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E9277"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Resolución del Pleno del Instituto de Transparencia, Acceso a la I</w:t>
      </w:r>
      <w:bookmarkStart w:id="0" w:name="_GoBack"/>
      <w:bookmarkEnd w:id="0"/>
      <w:r w:rsidRPr="00AC0A01">
        <w:rPr>
          <w:rFonts w:ascii="Palatino Linotype" w:eastAsia="Palatino Linotype" w:hAnsi="Palatino Linotype" w:cs="Palatino Linotype"/>
        </w:rPr>
        <w:t xml:space="preserve">nformación Pública y Protección de Datos Personales del Estado de México y Municipios, con domicilio en Metepec, Estado de México, a diecisiete de enero de dos mil veinticuatro. </w:t>
      </w:r>
    </w:p>
    <w:p w14:paraId="4F45DD1C"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VISTO</w:t>
      </w:r>
      <w:r w:rsidRPr="00AC0A01">
        <w:rPr>
          <w:rFonts w:ascii="Palatino Linotype" w:eastAsia="Palatino Linotype" w:hAnsi="Palatino Linotype" w:cs="Palatino Linotype"/>
        </w:rPr>
        <w:t xml:space="preserve"> el expediente formado con motivo del recurso de revisión </w:t>
      </w:r>
      <w:r w:rsidRPr="00AC0A01">
        <w:rPr>
          <w:rFonts w:ascii="Palatino Linotype" w:eastAsia="Palatino Linotype" w:hAnsi="Palatino Linotype" w:cs="Palatino Linotype"/>
          <w:b/>
        </w:rPr>
        <w:t>00038/OASZUMPANG/IP/2023,</w:t>
      </w:r>
      <w:r w:rsidRPr="00AC0A01">
        <w:rPr>
          <w:rFonts w:ascii="Palatino Linotype" w:eastAsia="Palatino Linotype" w:hAnsi="Palatino Linotype" w:cs="Palatino Linotype"/>
        </w:rPr>
        <w:t xml:space="preserve"> interpuesto por </w:t>
      </w:r>
      <w:r w:rsidRPr="00AC0A01">
        <w:rPr>
          <w:rFonts w:ascii="Palatino Linotype" w:eastAsia="Palatino Linotype" w:hAnsi="Palatino Linotype" w:cs="Palatino Linotype"/>
          <w:b/>
        </w:rPr>
        <w:t>un particular que no proporcionó su nombre,</w:t>
      </w:r>
      <w:r w:rsidRPr="00AC0A01">
        <w:rPr>
          <w:rFonts w:ascii="Palatino Linotype" w:eastAsia="Palatino Linotype" w:hAnsi="Palatino Linotype" w:cs="Palatino Linotype"/>
        </w:rPr>
        <w:t xml:space="preserve"> al cual en lo sucesivo se le denominara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en contra de la respuesta a su solicitud por parte del </w:t>
      </w:r>
      <w:r w:rsidRPr="00AC0A01">
        <w:rPr>
          <w:rFonts w:ascii="Palatino Linotype" w:eastAsia="Palatino Linotype" w:hAnsi="Palatino Linotype" w:cs="Palatino Linotype"/>
          <w:b/>
        </w:rPr>
        <w:t xml:space="preserve">Organismo Público Descentralizado para la Prestación de Los Servicios de Agua Potable Alcantarillado y Saneamiento del Municipio de Zumpango, </w:t>
      </w:r>
      <w:r w:rsidRPr="00AC0A01">
        <w:rPr>
          <w:rFonts w:ascii="Palatino Linotype" w:eastAsia="Palatino Linotype" w:hAnsi="Palatino Linotype" w:cs="Palatino Linotype"/>
        </w:rPr>
        <w:t xml:space="preserve">en lo sucesivo el </w:t>
      </w:r>
      <w:r w:rsidRPr="00AC0A01">
        <w:rPr>
          <w:rFonts w:ascii="Palatino Linotype" w:eastAsia="Palatino Linotype" w:hAnsi="Palatino Linotype" w:cs="Palatino Linotype"/>
          <w:b/>
        </w:rPr>
        <w:t xml:space="preserve">SUJETO OBLIGADO, </w:t>
      </w:r>
      <w:r w:rsidRPr="00AC0A01">
        <w:rPr>
          <w:rFonts w:ascii="Palatino Linotype" w:eastAsia="Palatino Linotype" w:hAnsi="Palatino Linotype" w:cs="Palatino Linotype"/>
        </w:rPr>
        <w:t xml:space="preserve">se procede a dictar la presente resolución con base en los siguientes: </w:t>
      </w:r>
    </w:p>
    <w:p w14:paraId="46405B01" w14:textId="77777777" w:rsidR="002D17AF" w:rsidRPr="00AC0A01" w:rsidRDefault="00C7279D">
      <w:pPr>
        <w:spacing w:before="240" w:after="240" w:line="360" w:lineRule="auto"/>
        <w:jc w:val="center"/>
        <w:rPr>
          <w:rFonts w:ascii="Palatino Linotype" w:eastAsia="Palatino Linotype" w:hAnsi="Palatino Linotype" w:cs="Palatino Linotype"/>
          <w:b/>
        </w:rPr>
      </w:pPr>
      <w:r w:rsidRPr="00AC0A01">
        <w:rPr>
          <w:rFonts w:ascii="Palatino Linotype" w:eastAsia="Palatino Linotype" w:hAnsi="Palatino Linotype" w:cs="Palatino Linotype"/>
          <w:b/>
        </w:rPr>
        <w:t>I. A N T E C E D E N T E S</w:t>
      </w:r>
    </w:p>
    <w:p w14:paraId="2DF01B6B"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1. Solicitud de acceso a la información.</w:t>
      </w:r>
      <w:r w:rsidRPr="00AC0A01">
        <w:rPr>
          <w:rFonts w:ascii="Palatino Linotype" w:eastAsia="Palatino Linotype" w:hAnsi="Palatino Linotype" w:cs="Palatino Linotype"/>
        </w:rPr>
        <w:t xml:space="preserve"> Con fecha </w:t>
      </w:r>
      <w:r w:rsidRPr="00AC0A01">
        <w:rPr>
          <w:rFonts w:ascii="Palatino Linotype" w:eastAsia="Palatino Linotype" w:hAnsi="Palatino Linotype" w:cs="Palatino Linotype"/>
          <w:b/>
        </w:rPr>
        <w:t>treinta de mayo de dos mil veintitrés,</w:t>
      </w:r>
      <w:r w:rsidRPr="00AC0A01">
        <w:rPr>
          <w:rFonts w:ascii="Palatino Linotype" w:eastAsia="Palatino Linotype" w:hAnsi="Palatino Linotype" w:cs="Palatino Linotype"/>
        </w:rPr>
        <w:t xml:space="preserve"> la parte </w:t>
      </w:r>
      <w:r w:rsidRPr="00AC0A01">
        <w:rPr>
          <w:rFonts w:ascii="Palatino Linotype" w:eastAsia="Palatino Linotype" w:hAnsi="Palatino Linotype" w:cs="Palatino Linotype"/>
          <w:b/>
        </w:rPr>
        <w:t xml:space="preserve">RECURRENTE </w:t>
      </w:r>
      <w:r w:rsidRPr="00AC0A01">
        <w:rPr>
          <w:rFonts w:ascii="Palatino Linotype" w:eastAsia="Palatino Linotype" w:hAnsi="Palatino Linotype" w:cs="Palatino Linotype"/>
        </w:rPr>
        <w:t xml:space="preserve">presentó, través del Sistema de Acceso a la Información Mexiquense, en lo subsecuente el </w:t>
      </w:r>
      <w:r w:rsidRPr="00AC0A01">
        <w:rPr>
          <w:rFonts w:ascii="Palatino Linotype" w:eastAsia="Palatino Linotype" w:hAnsi="Palatino Linotype" w:cs="Palatino Linotype"/>
          <w:b/>
        </w:rPr>
        <w:t>SAIMEX,</w:t>
      </w:r>
      <w:r w:rsidRPr="00AC0A01">
        <w:rPr>
          <w:rFonts w:ascii="Palatino Linotype" w:eastAsia="Palatino Linotype" w:hAnsi="Palatino Linotype" w:cs="Palatino Linotype"/>
        </w:rPr>
        <w:t xml:space="preserve"> ante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la solicitud de acceso a la información pública, a la que se le asignó el número</w:t>
      </w:r>
      <w:r w:rsidRPr="00AC0A01">
        <w:rPr>
          <w:rFonts w:ascii="Palatino Linotype" w:eastAsia="Palatino Linotype" w:hAnsi="Palatino Linotype" w:cs="Palatino Linotype"/>
          <w:b/>
        </w:rPr>
        <w:t xml:space="preserve"> 00038/OASZUMPANG/IP/2023, </w:t>
      </w:r>
      <w:r w:rsidRPr="00AC0A01">
        <w:rPr>
          <w:rFonts w:ascii="Palatino Linotype" w:eastAsia="Palatino Linotype" w:hAnsi="Palatino Linotype" w:cs="Palatino Linotype"/>
        </w:rPr>
        <w:t xml:space="preserve">mediante la cual requirió la información siguiente: </w:t>
      </w:r>
    </w:p>
    <w:p w14:paraId="6F589A7B" w14:textId="77777777" w:rsidR="002D17AF" w:rsidRPr="00AC0A01" w:rsidRDefault="00C7279D">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AC0A01">
        <w:rPr>
          <w:rFonts w:ascii="Palatino Linotype" w:eastAsia="Palatino Linotype" w:hAnsi="Palatino Linotype" w:cs="Palatino Linotype"/>
          <w:i/>
          <w:sz w:val="22"/>
          <w:szCs w:val="22"/>
        </w:rPr>
        <w:lastRenderedPageBreak/>
        <w:t xml:space="preserve">“Con fundamento en el artículo 4 de la Ley de Transparencia y Acceso a la Información Pública del Estado de México y Municipios. </w:t>
      </w:r>
      <w:proofErr w:type="gramStart"/>
      <w:r w:rsidRPr="00AC0A01">
        <w:rPr>
          <w:rFonts w:ascii="Palatino Linotype" w:eastAsia="Palatino Linotype" w:hAnsi="Palatino Linotype" w:cs="Palatino Linotype"/>
          <w:i/>
          <w:sz w:val="22"/>
          <w:szCs w:val="22"/>
        </w:rPr>
        <w:t>solicito</w:t>
      </w:r>
      <w:proofErr w:type="gramEnd"/>
      <w:r w:rsidRPr="00AC0A01">
        <w:rPr>
          <w:rFonts w:ascii="Palatino Linotype" w:eastAsia="Palatino Linotype" w:hAnsi="Palatino Linotype" w:cs="Palatino Linotype"/>
          <w:i/>
          <w:sz w:val="22"/>
          <w:szCs w:val="22"/>
        </w:rPr>
        <w:t xml:space="preserve"> todas las actas de sesiones de consejo ordinarias y extraordinarias del periodo 2019, 2020, 2021, 2022 y 2023” (Sic)</w:t>
      </w:r>
    </w:p>
    <w:p w14:paraId="352B4CE2" w14:textId="77777777" w:rsidR="002D17AF" w:rsidRPr="00AC0A01" w:rsidRDefault="002D17AF">
      <w:pPr>
        <w:ind w:left="851" w:right="902"/>
        <w:jc w:val="both"/>
        <w:rPr>
          <w:rFonts w:ascii="Palatino Linotype" w:eastAsia="Palatino Linotype" w:hAnsi="Palatino Linotype" w:cs="Palatino Linotype"/>
          <w:i/>
          <w:sz w:val="22"/>
          <w:szCs w:val="22"/>
        </w:rPr>
      </w:pPr>
    </w:p>
    <w:p w14:paraId="593138AA"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Modalidad de Entrega:</w:t>
      </w:r>
      <w:r w:rsidRPr="00AC0A01">
        <w:rPr>
          <w:rFonts w:ascii="Palatino Linotype" w:eastAsia="Palatino Linotype" w:hAnsi="Palatino Linotype" w:cs="Palatino Linotype"/>
        </w:rPr>
        <w:t xml:space="preserve"> A través de SAIMEX.</w:t>
      </w:r>
    </w:p>
    <w:p w14:paraId="5057C54C" w14:textId="77777777" w:rsidR="002D17AF" w:rsidRPr="00AC0A01" w:rsidRDefault="002D17AF">
      <w:pPr>
        <w:spacing w:line="360" w:lineRule="auto"/>
        <w:jc w:val="both"/>
        <w:rPr>
          <w:rFonts w:ascii="Palatino Linotype" w:eastAsia="Palatino Linotype" w:hAnsi="Palatino Linotype" w:cs="Palatino Linotype"/>
        </w:rPr>
      </w:pPr>
    </w:p>
    <w:p w14:paraId="5238D1E5" w14:textId="77777777" w:rsidR="002D17AF" w:rsidRPr="00AC0A01" w:rsidRDefault="00C7279D">
      <w:pPr>
        <w:spacing w:after="240" w:line="360" w:lineRule="auto"/>
        <w:jc w:val="both"/>
        <w:rPr>
          <w:rFonts w:ascii="Palatino Linotype" w:eastAsia="Palatino Linotype" w:hAnsi="Palatino Linotype" w:cs="Palatino Linotype"/>
          <w:b/>
        </w:rPr>
      </w:pPr>
      <w:r w:rsidRPr="00AC0A01">
        <w:rPr>
          <w:rFonts w:ascii="Palatino Linotype" w:eastAsia="Palatino Linotype" w:hAnsi="Palatino Linotype" w:cs="Palatino Linotype"/>
          <w:b/>
        </w:rPr>
        <w:t xml:space="preserve">2. Respuesta. </w:t>
      </w:r>
      <w:r w:rsidRPr="00AC0A01">
        <w:rPr>
          <w:rFonts w:ascii="Palatino Linotype" w:eastAsia="Palatino Linotype" w:hAnsi="Palatino Linotype" w:cs="Palatino Linotype"/>
        </w:rPr>
        <w:t xml:space="preserve">Con fecha </w:t>
      </w:r>
      <w:r w:rsidRPr="00AC0A01">
        <w:rPr>
          <w:rFonts w:ascii="Palatino Linotype" w:eastAsia="Palatino Linotype" w:hAnsi="Palatino Linotype" w:cs="Palatino Linotype"/>
          <w:b/>
        </w:rPr>
        <w:t>veinte de junio de dos mil veintitrés</w:t>
      </w:r>
      <w:r w:rsidRPr="00AC0A01">
        <w:rPr>
          <w:rFonts w:ascii="Palatino Linotype" w:eastAsia="Palatino Linotype" w:hAnsi="Palatino Linotype" w:cs="Palatino Linotype"/>
        </w:rPr>
        <w:t xml:space="preserve">, el </w:t>
      </w:r>
      <w:r w:rsidRPr="00AC0A01">
        <w:rPr>
          <w:rFonts w:ascii="Palatino Linotype" w:eastAsia="Palatino Linotype" w:hAnsi="Palatino Linotype" w:cs="Palatino Linotype"/>
          <w:b/>
        </w:rPr>
        <w:t xml:space="preserve">SUJETO OBLIGADO </w:t>
      </w:r>
      <w:r w:rsidRPr="00AC0A0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8D91D7F" w14:textId="77777777" w:rsidR="002D17AF" w:rsidRPr="00AC0A01" w:rsidRDefault="00C7279D">
      <w:pPr>
        <w:spacing w:before="240" w:after="24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“…SE ENTREGA RESPUESTA A LA SOLICITUD 00038/OASZUMPANG/IP/2023...” (Sic)</w:t>
      </w:r>
    </w:p>
    <w:p w14:paraId="6C4D9323"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adjuntó el siguiente archivo electrónico:</w:t>
      </w:r>
    </w:p>
    <w:p w14:paraId="7712852C"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w:t>
      </w:r>
      <w:hyperlink r:id="rId8">
        <w:r w:rsidRPr="00AC0A01">
          <w:rPr>
            <w:rFonts w:ascii="Palatino Linotype" w:eastAsia="Palatino Linotype" w:hAnsi="Palatino Linotype" w:cs="Palatino Linotype"/>
          </w:rPr>
          <w:t>EXP_SOL_038_IP_OAS_2023_DG</w:t>
        </w:r>
        <w:proofErr w:type="gramStart"/>
        <w:r w:rsidRPr="00AC0A01">
          <w:rPr>
            <w:rFonts w:ascii="Palatino Linotype" w:eastAsia="Palatino Linotype" w:hAnsi="Palatino Linotype" w:cs="Palatino Linotype"/>
          </w:rPr>
          <w:t>..</w:t>
        </w:r>
        <w:proofErr w:type="gramEnd"/>
        <w:r w:rsidRPr="00AC0A01">
          <w:rPr>
            <w:rFonts w:ascii="Palatino Linotype" w:eastAsia="Palatino Linotype" w:hAnsi="Palatino Linotype" w:cs="Palatino Linotype"/>
          </w:rPr>
          <w:t>pdf</w:t>
        </w:r>
      </w:hyperlink>
      <w:r w:rsidRPr="00AC0A01">
        <w:rPr>
          <w:rFonts w:ascii="Palatino Linotype" w:eastAsia="Palatino Linotype" w:hAnsi="Palatino Linotype" w:cs="Palatino Linotype"/>
        </w:rPr>
        <w:t xml:space="preserve">”, el cual contiene el oficio número A.D.A.P.A.Z/DG/160/2023, por medio del cual el Director General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informó que la información sobrepasa las capacidades técnicas, administrativas y humanas </w:t>
      </w:r>
      <w:r w:rsidRPr="00AC0A01">
        <w:rPr>
          <w:rFonts w:ascii="Palatino Linotype" w:eastAsia="Palatino Linotype" w:hAnsi="Palatino Linotype" w:cs="Palatino Linotype"/>
          <w:b/>
          <w:u w:val="single"/>
        </w:rPr>
        <w:t>al no contar con el personal suficiente para hacer la digitalización, revisión y elaboración de la versión pública en caso de ser necesario de lo solicitado, por</w:t>
      </w:r>
      <w:r w:rsidRPr="00AC0A01">
        <w:rPr>
          <w:rFonts w:ascii="Palatino Linotype" w:eastAsia="Palatino Linotype" w:hAnsi="Palatino Linotype" w:cs="Palatino Linotype"/>
        </w:rPr>
        <w:t xml:space="preserve"> lo que hizo el cambio de modalidad a consulta directa en la oficinas del edificio central del Organismo Público Descentralizado para la Prestación de Los Servicios de Agua Potable Alcantarillado y Saneamiento del Municipio de Zumpango, ubicado en Avenida Ave Fénix s/n Fraccionamiento Zumpango, barrio Santiago, Segunda Sección, Zumpango Estado de México C.P. </w:t>
      </w:r>
      <w:r w:rsidRPr="00AC0A01">
        <w:rPr>
          <w:rFonts w:ascii="Palatino Linotype" w:eastAsia="Palatino Linotype" w:hAnsi="Palatino Linotype" w:cs="Palatino Linotype"/>
        </w:rPr>
        <w:lastRenderedPageBreak/>
        <w:t xml:space="preserve">55600, en el área de Transparencia y Acceso a la Información Pública y será atendido por el Servidor Público Marco Antonio Gamboa Martínez </w:t>
      </w:r>
      <w:r w:rsidRPr="00AC0A01">
        <w:rPr>
          <w:rFonts w:ascii="Palatino Linotype" w:eastAsia="Palatino Linotype" w:hAnsi="Palatino Linotype" w:cs="Palatino Linotype"/>
          <w:b/>
          <w:u w:val="single"/>
        </w:rPr>
        <w:t>el día 11 de julio del 2023</w:t>
      </w:r>
      <w:r w:rsidRPr="00AC0A01">
        <w:rPr>
          <w:rFonts w:ascii="Palatino Linotype" w:eastAsia="Palatino Linotype" w:hAnsi="Palatino Linotype" w:cs="Palatino Linotype"/>
        </w:rPr>
        <w:t xml:space="preserve"> en un horario de 9:00 a 17:00 horas. </w:t>
      </w:r>
    </w:p>
    <w:p w14:paraId="1C8BD2B6"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3. Interposición del recurso de revisión. </w:t>
      </w:r>
      <w:r w:rsidRPr="00AC0A01">
        <w:rPr>
          <w:rFonts w:ascii="Palatino Linotype" w:eastAsia="Palatino Linotype" w:hAnsi="Palatino Linotype" w:cs="Palatino Linotype"/>
        </w:rPr>
        <w:t xml:space="preserve">Inconforme con los términos de la respuesta emitida por parte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el </w:t>
      </w:r>
      <w:r w:rsidRPr="00AC0A01">
        <w:rPr>
          <w:rFonts w:ascii="Palatino Linotype" w:eastAsia="Palatino Linotype" w:hAnsi="Palatino Linotype" w:cs="Palatino Linotype"/>
          <w:b/>
        </w:rPr>
        <w:t>tres de julio del año dos mil veintitrés,</w:t>
      </w:r>
      <w:r w:rsidRPr="00AC0A01">
        <w:rPr>
          <w:rFonts w:ascii="Palatino Linotype" w:eastAsia="Palatino Linotype" w:hAnsi="Palatino Linotype" w:cs="Palatino Linotype"/>
        </w:rPr>
        <w:t xml:space="preserve">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interpuso el recurso de revisión a través de </w:t>
      </w:r>
      <w:r w:rsidRPr="00AC0A01">
        <w:rPr>
          <w:rFonts w:ascii="Palatino Linotype" w:eastAsia="Palatino Linotype" w:hAnsi="Palatino Linotype" w:cs="Palatino Linotype"/>
          <w:b/>
        </w:rPr>
        <w:t xml:space="preserve">SAIMEX, </w:t>
      </w:r>
      <w:r w:rsidRPr="00AC0A01">
        <w:rPr>
          <w:rFonts w:ascii="Palatino Linotype" w:eastAsia="Palatino Linotype" w:hAnsi="Palatino Linotype" w:cs="Palatino Linotype"/>
        </w:rPr>
        <w:t>en donde se manifestó de la siguiente manera:</w:t>
      </w:r>
    </w:p>
    <w:p w14:paraId="3B1F4EFC" w14:textId="77777777" w:rsidR="002D17AF" w:rsidRPr="00AC0A01" w:rsidRDefault="00C7279D">
      <w:pPr>
        <w:tabs>
          <w:tab w:val="left" w:pos="2745"/>
        </w:tabs>
        <w:spacing w:before="240" w:after="240" w:line="360" w:lineRule="auto"/>
        <w:jc w:val="both"/>
        <w:rPr>
          <w:rFonts w:ascii="Palatino Linotype" w:eastAsia="Palatino Linotype" w:hAnsi="Palatino Linotype" w:cs="Palatino Linotype"/>
          <w:b/>
        </w:rPr>
      </w:pPr>
      <w:r w:rsidRPr="00AC0A01">
        <w:rPr>
          <w:rFonts w:ascii="Palatino Linotype" w:eastAsia="Palatino Linotype" w:hAnsi="Palatino Linotype" w:cs="Palatino Linotype"/>
          <w:b/>
        </w:rPr>
        <w:t xml:space="preserve">Acto impugnado: </w:t>
      </w:r>
      <w:r w:rsidRPr="00AC0A01">
        <w:rPr>
          <w:rFonts w:ascii="Palatino Linotype" w:eastAsia="Palatino Linotype" w:hAnsi="Palatino Linotype" w:cs="Palatino Linotype"/>
          <w:b/>
        </w:rPr>
        <w:tab/>
      </w:r>
    </w:p>
    <w:p w14:paraId="3B25DC3C" w14:textId="77777777" w:rsidR="002D17AF" w:rsidRPr="00AC0A01" w:rsidRDefault="00C7279D">
      <w:pPr>
        <w:spacing w:line="360" w:lineRule="auto"/>
        <w:ind w:left="851" w:right="900"/>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“cambio de modalidad de entrega de la información” (Sic)</w:t>
      </w:r>
    </w:p>
    <w:p w14:paraId="367EB699"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Y Razones o motivos de inconformidad</w:t>
      </w:r>
      <w:r w:rsidRPr="00AC0A01">
        <w:rPr>
          <w:rFonts w:ascii="Palatino Linotype" w:eastAsia="Palatino Linotype" w:hAnsi="Palatino Linotype" w:cs="Palatino Linotype"/>
        </w:rPr>
        <w:t>:</w:t>
      </w:r>
    </w:p>
    <w:p w14:paraId="362FEC64" w14:textId="77777777" w:rsidR="002D17AF" w:rsidRPr="00AC0A01" w:rsidRDefault="00C7279D">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AC0A01">
        <w:rPr>
          <w:rFonts w:ascii="Palatino Linotype" w:eastAsia="Palatino Linotype" w:hAnsi="Palatino Linotype" w:cs="Palatino Linotype"/>
          <w:i/>
          <w:sz w:val="22"/>
          <w:szCs w:val="22"/>
        </w:rPr>
        <w:t xml:space="preserve"> “Con fundamento en el artículo 179 fracción VIII de la Ley de Transparencia y Acceso a la Información Pública del Estado y Municipios, la inconformidad es porque la información fue solicitada en SAIMEX y cambiaron la modalidad de entrega.” (Sic)</w:t>
      </w:r>
    </w:p>
    <w:p w14:paraId="678C85E0" w14:textId="77777777" w:rsidR="002D17AF" w:rsidRPr="00AC0A01" w:rsidRDefault="002D17AF">
      <w:pPr>
        <w:spacing w:line="360" w:lineRule="auto"/>
        <w:ind w:right="51"/>
        <w:jc w:val="both"/>
        <w:rPr>
          <w:rFonts w:ascii="Palatino Linotype" w:eastAsia="Palatino Linotype" w:hAnsi="Palatino Linotype" w:cs="Palatino Linotype"/>
          <w:b/>
        </w:rPr>
      </w:pPr>
    </w:p>
    <w:p w14:paraId="14F8E281" w14:textId="77777777" w:rsidR="002D17AF" w:rsidRPr="00AC0A01" w:rsidRDefault="00C7279D">
      <w:pPr>
        <w:spacing w:line="360" w:lineRule="auto"/>
        <w:ind w:right="51"/>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4. Turno. </w:t>
      </w:r>
      <w:r w:rsidRPr="00AC0A0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C0A01">
        <w:rPr>
          <w:rFonts w:ascii="Palatino Linotype" w:eastAsia="Palatino Linotype" w:hAnsi="Palatino Linotype" w:cs="Palatino Linotype"/>
          <w:b/>
        </w:rPr>
        <w:t xml:space="preserve">Guadalupe Ramírez Peña, </w:t>
      </w:r>
      <w:r w:rsidRPr="00AC0A01">
        <w:rPr>
          <w:rFonts w:ascii="Palatino Linotype" w:eastAsia="Palatino Linotype" w:hAnsi="Palatino Linotype" w:cs="Palatino Linotype"/>
        </w:rPr>
        <w:t xml:space="preserve">a efecto de que analizara sobre su admisión o su </w:t>
      </w:r>
      <w:proofErr w:type="spellStart"/>
      <w:r w:rsidRPr="00AC0A01">
        <w:rPr>
          <w:rFonts w:ascii="Palatino Linotype" w:eastAsia="Palatino Linotype" w:hAnsi="Palatino Linotype" w:cs="Palatino Linotype"/>
        </w:rPr>
        <w:t>desechamiento</w:t>
      </w:r>
      <w:proofErr w:type="spellEnd"/>
      <w:r w:rsidRPr="00AC0A01">
        <w:rPr>
          <w:rFonts w:ascii="Palatino Linotype" w:eastAsia="Palatino Linotype" w:hAnsi="Palatino Linotype" w:cs="Palatino Linotype"/>
        </w:rPr>
        <w:t>.</w:t>
      </w:r>
    </w:p>
    <w:p w14:paraId="2B163992" w14:textId="77777777" w:rsidR="002D17AF" w:rsidRPr="00AC0A01" w:rsidRDefault="002D17AF">
      <w:pPr>
        <w:spacing w:line="360" w:lineRule="auto"/>
        <w:ind w:right="51"/>
        <w:jc w:val="both"/>
        <w:rPr>
          <w:rFonts w:ascii="Palatino Linotype" w:eastAsia="Palatino Linotype" w:hAnsi="Palatino Linotype" w:cs="Palatino Linotype"/>
        </w:rPr>
      </w:pPr>
    </w:p>
    <w:p w14:paraId="0EAB4D31"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lastRenderedPageBreak/>
        <w:t>5. Admisión del Recurso de revisión.</w:t>
      </w:r>
      <w:r w:rsidRPr="00AC0A01">
        <w:rPr>
          <w:rFonts w:ascii="Palatino Linotype" w:eastAsia="Palatino Linotype" w:hAnsi="Palatino Linotype" w:cs="Palatino Linotype"/>
        </w:rPr>
        <w:t xml:space="preserve"> Con fecha</w:t>
      </w:r>
      <w:r w:rsidRPr="00AC0A01">
        <w:rPr>
          <w:rFonts w:ascii="Palatino Linotype" w:eastAsia="Palatino Linotype" w:hAnsi="Palatino Linotype" w:cs="Palatino Linotype"/>
          <w:b/>
        </w:rPr>
        <w:t xml:space="preserve"> seis de julio de dos mil veintitrés, </w:t>
      </w:r>
      <w:r w:rsidRPr="00AC0A0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C0A01">
        <w:rPr>
          <w:rFonts w:ascii="Palatino Linotype" w:eastAsia="Palatino Linotype" w:hAnsi="Palatino Linotype" w:cs="Palatino Linotype"/>
          <w:b/>
        </w:rPr>
        <w:t xml:space="preserve">SUJETO OBLIGADO </w:t>
      </w:r>
      <w:r w:rsidRPr="00AC0A01">
        <w:rPr>
          <w:rFonts w:ascii="Palatino Linotype" w:eastAsia="Palatino Linotype" w:hAnsi="Palatino Linotype" w:cs="Palatino Linotype"/>
        </w:rPr>
        <w:t>presentara su informe justificado.</w:t>
      </w:r>
    </w:p>
    <w:p w14:paraId="5CBCF849" w14:textId="77777777" w:rsidR="002D17AF" w:rsidRPr="00AC0A01" w:rsidRDefault="00C7279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3" w:name="_heading=h.2s8eyo1" w:colFirst="0" w:colLast="0"/>
      <w:bookmarkEnd w:id="3"/>
      <w:r w:rsidRPr="00AC0A01">
        <w:rPr>
          <w:rFonts w:ascii="Palatino Linotype" w:eastAsia="Palatino Linotype" w:hAnsi="Palatino Linotype" w:cs="Palatino Linotype"/>
          <w:b/>
        </w:rPr>
        <w:t>6. Manifestaciones</w:t>
      </w:r>
      <w:r w:rsidRPr="00AC0A01">
        <w:rPr>
          <w:rFonts w:ascii="Palatino Linotype" w:eastAsia="Palatino Linotype" w:hAnsi="Palatino Linotype" w:cs="Palatino Linotype"/>
        </w:rPr>
        <w:t>. De las constancias que integran el expediente en que se actúa se advierte que en fecha treinta y uno de octubre de dos mil veintitrés</w:t>
      </w:r>
      <w:r w:rsidRPr="00AC0A01">
        <w:rPr>
          <w:rFonts w:ascii="Palatino Linotype" w:eastAsia="Palatino Linotype" w:hAnsi="Palatino Linotype" w:cs="Palatino Linotype"/>
          <w:b/>
        </w:rPr>
        <w:t xml:space="preserve">, </w:t>
      </w:r>
      <w:r w:rsidRPr="00AC0A01">
        <w:rPr>
          <w:rFonts w:ascii="Palatino Linotype" w:eastAsia="Palatino Linotype" w:hAnsi="Palatino Linotype" w:cs="Palatino Linotype"/>
        </w:rPr>
        <w:t xml:space="preserve">el </w:t>
      </w:r>
      <w:r w:rsidRPr="00AC0A01">
        <w:rPr>
          <w:rFonts w:ascii="Palatino Linotype" w:eastAsia="Palatino Linotype" w:hAnsi="Palatino Linotype" w:cs="Palatino Linotype"/>
          <w:b/>
        </w:rPr>
        <w:t xml:space="preserve">SUJETO OBLIGADO </w:t>
      </w:r>
      <w:r w:rsidRPr="00AC0A01">
        <w:rPr>
          <w:rFonts w:ascii="Palatino Linotype" w:eastAsia="Palatino Linotype" w:hAnsi="Palatino Linotype" w:cs="Palatino Linotype"/>
        </w:rPr>
        <w:t>remitió, a través del SAIMEX, los siguientes archivos electrónicos:</w:t>
      </w:r>
    </w:p>
    <w:p w14:paraId="588DFE28" w14:textId="77777777" w:rsidR="002D17AF" w:rsidRPr="00AC0A01" w:rsidRDefault="002D17AF">
      <w:pPr>
        <w:ind w:right="618"/>
        <w:jc w:val="both"/>
        <w:rPr>
          <w:rFonts w:ascii="Palatino Linotype" w:eastAsia="Palatino Linotype" w:hAnsi="Palatino Linotype" w:cs="Palatino Linotype"/>
        </w:rPr>
      </w:pPr>
    </w:p>
    <w:p w14:paraId="5A5C251D" w14:textId="77777777" w:rsidR="002D17AF" w:rsidRPr="00AC0A01" w:rsidRDefault="00C7279D">
      <w:pPr>
        <w:widowControl w:val="0"/>
        <w:pBdr>
          <w:top w:val="nil"/>
          <w:left w:val="nil"/>
          <w:bottom w:val="nil"/>
          <w:right w:val="nil"/>
          <w:between w:val="nil"/>
        </w:pBdr>
        <w:tabs>
          <w:tab w:val="left" w:pos="709"/>
        </w:tabs>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lang w:val="en-US"/>
        </w:rPr>
        <w:t>“</w:t>
      </w:r>
      <w:hyperlink r:id="rId9">
        <w:r w:rsidRPr="00AC0A01">
          <w:rPr>
            <w:rFonts w:ascii="Palatino Linotype" w:eastAsia="Palatino Linotype" w:hAnsi="Palatino Linotype" w:cs="Palatino Linotype"/>
            <w:lang w:val="en-US"/>
          </w:rPr>
          <w:t xml:space="preserve">EXP_SOL_038_IP_OAS_2023_DG. </w:t>
        </w:r>
        <w:r w:rsidRPr="00AC0A01">
          <w:rPr>
            <w:rFonts w:ascii="Palatino Linotype" w:eastAsia="Palatino Linotype" w:hAnsi="Palatino Linotype" w:cs="Palatino Linotype"/>
          </w:rPr>
          <w:t>(2).</w:t>
        </w:r>
        <w:proofErr w:type="spellStart"/>
        <w:r w:rsidRPr="00AC0A01">
          <w:rPr>
            <w:rFonts w:ascii="Palatino Linotype" w:eastAsia="Palatino Linotype" w:hAnsi="Palatino Linotype" w:cs="Palatino Linotype"/>
          </w:rPr>
          <w:t>pdf</w:t>
        </w:r>
        <w:proofErr w:type="spellEnd"/>
      </w:hyperlink>
      <w:r w:rsidRPr="00AC0A01">
        <w:rPr>
          <w:rFonts w:ascii="Palatino Linotype" w:eastAsia="Palatino Linotype" w:hAnsi="Palatino Linotype" w:cs="Palatino Linotype"/>
        </w:rPr>
        <w:t>” y “</w:t>
      </w:r>
      <w:hyperlink r:id="rId10">
        <w:r w:rsidRPr="00AC0A01">
          <w:rPr>
            <w:rFonts w:ascii="Palatino Linotype" w:eastAsia="Palatino Linotype" w:hAnsi="Palatino Linotype" w:cs="Palatino Linotype"/>
          </w:rPr>
          <w:t>EXP_SOL_038_IP_OAS_2023_DG. (2).</w:t>
        </w:r>
        <w:proofErr w:type="spellStart"/>
        <w:r w:rsidRPr="00AC0A01">
          <w:rPr>
            <w:rFonts w:ascii="Palatino Linotype" w:eastAsia="Palatino Linotype" w:hAnsi="Palatino Linotype" w:cs="Palatino Linotype"/>
          </w:rPr>
          <w:t>pdf</w:t>
        </w:r>
        <w:proofErr w:type="spellEnd"/>
      </w:hyperlink>
      <w:r w:rsidRPr="00AC0A01">
        <w:rPr>
          <w:rFonts w:ascii="Palatino Linotype" w:eastAsia="Palatino Linotype" w:hAnsi="Palatino Linotype" w:cs="Palatino Linotype"/>
        </w:rPr>
        <w:t xml:space="preserve">”, el cual contiene el oficio número A.D.A.P.A.Z/DG/160/2023, por medio del cual se dio respuesta al presente asunto y el cual fue descrito en el antecedente 2 de la presente resolución. </w:t>
      </w:r>
    </w:p>
    <w:p w14:paraId="1C08A88C" w14:textId="77777777" w:rsidR="002D17AF" w:rsidRPr="00AC0A01" w:rsidRDefault="00C7279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w:t>
      </w:r>
      <w:hyperlink r:id="rId11">
        <w:r w:rsidRPr="00AC0A01">
          <w:rPr>
            <w:rFonts w:ascii="Palatino Linotype" w:eastAsia="Palatino Linotype" w:hAnsi="Palatino Linotype" w:cs="Palatino Linotype"/>
          </w:rPr>
          <w:t>EXP._RR_03829_RESPUESTA_SPH_OAS</w:t>
        </w:r>
        <w:proofErr w:type="gramStart"/>
        <w:r w:rsidRPr="00AC0A01">
          <w:rPr>
            <w:rFonts w:ascii="Palatino Linotype" w:eastAsia="Palatino Linotype" w:hAnsi="Palatino Linotype" w:cs="Palatino Linotype"/>
          </w:rPr>
          <w:t>..pdf</w:t>
        </w:r>
        <w:proofErr w:type="gramEnd"/>
      </w:hyperlink>
      <w:r w:rsidRPr="00AC0A01">
        <w:rPr>
          <w:rFonts w:ascii="Palatino Linotype" w:eastAsia="Palatino Linotype" w:hAnsi="Palatino Linotype" w:cs="Palatino Linotype"/>
        </w:rPr>
        <w:t xml:space="preserve">” y </w:t>
      </w:r>
      <w:hyperlink r:id="rId12">
        <w:r w:rsidRPr="00AC0A01">
          <w:rPr>
            <w:rFonts w:ascii="Palatino Linotype" w:eastAsia="Palatino Linotype" w:hAnsi="Palatino Linotype" w:cs="Palatino Linotype"/>
          </w:rPr>
          <w:t>“EXP._RR_03829_RESPUESTA_SPH_OAS..pdf</w:t>
        </w:r>
      </w:hyperlink>
      <w:r w:rsidRPr="00AC0A01">
        <w:rPr>
          <w:rFonts w:ascii="Palatino Linotype" w:eastAsia="Palatino Linotype" w:hAnsi="Palatino Linotype" w:cs="Palatino Linotype"/>
        </w:rPr>
        <w:t xml:space="preserve">”, a través de los cuales el Director General del </w:t>
      </w:r>
      <w:r w:rsidRPr="00AC0A01">
        <w:rPr>
          <w:rFonts w:ascii="Palatino Linotype" w:eastAsia="Palatino Linotype" w:hAnsi="Palatino Linotype" w:cs="Palatino Linotype"/>
          <w:b/>
        </w:rPr>
        <w:t xml:space="preserve">SUJETO OBLIGADO, reiteró su cambio de modalidad a consulta directa, derivado del requerimiento realizado por este Órgano Garante de fecha veinticuatro de octubre del año en curso. </w:t>
      </w:r>
    </w:p>
    <w:p w14:paraId="1336C2A0" w14:textId="77777777" w:rsidR="002D17AF" w:rsidRPr="00AC0A01" w:rsidRDefault="002D17AF">
      <w:pPr>
        <w:ind w:right="618"/>
        <w:jc w:val="both"/>
        <w:rPr>
          <w:rFonts w:ascii="Palatino Linotype" w:eastAsia="Palatino Linotype" w:hAnsi="Palatino Linotype" w:cs="Palatino Linotype"/>
          <w:i/>
        </w:rPr>
      </w:pPr>
    </w:p>
    <w:p w14:paraId="36D53DB5"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Documentos que, una vez analizado en fecha seis de noviembre del año en curso, se hizo del conocimiento de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a efecto de que manifestara lo que a su derecho estimara conveniente, sin embargo, fue omisa en ejercer dicha prerrogativa en el plazo establecido para tal efecto.</w:t>
      </w:r>
    </w:p>
    <w:p w14:paraId="2DAD0A78"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7. Requerimiento adicional. </w:t>
      </w:r>
      <w:r w:rsidRPr="00AC0A01">
        <w:rPr>
          <w:rFonts w:ascii="Palatino Linotype" w:eastAsia="Palatino Linotype" w:hAnsi="Palatino Linotype" w:cs="Palatino Linotype"/>
        </w:rPr>
        <w:t xml:space="preserve">El veinticuatro de octubre de dos mil veintitrés, se envió por correo electrónico un requerimiento de información adicional al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el cual consistió en lo siguiente:</w:t>
      </w:r>
    </w:p>
    <w:p w14:paraId="62775C88"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noProof/>
          <w:lang w:val="es-MX"/>
        </w:rPr>
        <w:drawing>
          <wp:inline distT="0" distB="0" distL="0" distR="0" wp14:anchorId="5334A890" wp14:editId="26337AE0">
            <wp:extent cx="5635013" cy="3971306"/>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35013" cy="3971306"/>
                    </a:xfrm>
                    <a:prstGeom prst="rect">
                      <a:avLst/>
                    </a:prstGeom>
                    <a:ln/>
                  </pic:spPr>
                </pic:pic>
              </a:graphicData>
            </a:graphic>
          </wp:inline>
        </w:drawing>
      </w:r>
    </w:p>
    <w:p w14:paraId="1825BD6D" w14:textId="77777777" w:rsidR="002D17AF" w:rsidRPr="00AC0A01" w:rsidRDefault="00C7279D">
      <w:pPr>
        <w:spacing w:after="240" w:line="360" w:lineRule="auto"/>
        <w:jc w:val="both"/>
        <w:rPr>
          <w:rFonts w:ascii="Palatino Linotype" w:eastAsia="Palatino Linotype" w:hAnsi="Palatino Linotype" w:cs="Palatino Linotype"/>
          <w:b/>
        </w:rPr>
      </w:pPr>
      <w:r w:rsidRPr="00AC0A01">
        <w:rPr>
          <w:rFonts w:ascii="Palatino Linotype" w:eastAsia="Palatino Linotype" w:hAnsi="Palatino Linotype" w:cs="Palatino Linotype"/>
          <w:b/>
          <w:noProof/>
          <w:lang w:val="es-MX"/>
        </w:rPr>
        <w:lastRenderedPageBreak/>
        <w:drawing>
          <wp:inline distT="0" distB="0" distL="0" distR="0" wp14:anchorId="1FFD9FB2" wp14:editId="5FE42B9B">
            <wp:extent cx="5544324" cy="276263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544324" cy="2762636"/>
                    </a:xfrm>
                    <a:prstGeom prst="rect">
                      <a:avLst/>
                    </a:prstGeom>
                    <a:ln/>
                  </pic:spPr>
                </pic:pic>
              </a:graphicData>
            </a:graphic>
          </wp:inline>
        </w:drawing>
      </w:r>
    </w:p>
    <w:p w14:paraId="7AE0C746"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8. Atención al requerimiento adicional. E</w:t>
      </w:r>
      <w:r w:rsidRPr="00AC0A01">
        <w:rPr>
          <w:rFonts w:ascii="Palatino Linotype" w:eastAsia="Palatino Linotype" w:hAnsi="Palatino Linotype" w:cs="Palatino Linotype"/>
        </w:rPr>
        <w:t xml:space="preserv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dio atención al requerimiento adicional en fecha veintiséis de octubre del año en curso, a través de los siguientes archivos electrónicos:</w:t>
      </w:r>
    </w:p>
    <w:p w14:paraId="1C49CFFA"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“EXP._RR_03829_AVISO_SPH_OAS.”, el cual contiene el requerimiento de la Unidad de Transparencia al Director General, ambos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sobre el requerimiento realizado por este Organismo Garante, para justificar el cambio de modalidad a consulta directa.  </w:t>
      </w:r>
    </w:p>
    <w:p w14:paraId="56BC73EC"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“EXP._RR_03829_LIC._JUAN_CARLOS_INFOEM-“, el cual contiene la contestación al requerimiento adicional como se observa a continuación:</w:t>
      </w:r>
    </w:p>
    <w:p w14:paraId="16B8173A"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noProof/>
          <w:lang w:val="es-MX"/>
        </w:rPr>
        <w:lastRenderedPageBreak/>
        <w:drawing>
          <wp:inline distT="0" distB="0" distL="0" distR="0" wp14:anchorId="4F69BF23" wp14:editId="26D675C9">
            <wp:extent cx="5612130" cy="618109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6181090"/>
                    </a:xfrm>
                    <a:prstGeom prst="rect">
                      <a:avLst/>
                    </a:prstGeom>
                    <a:ln/>
                  </pic:spPr>
                </pic:pic>
              </a:graphicData>
            </a:graphic>
          </wp:inline>
        </w:drawing>
      </w:r>
    </w:p>
    <w:p w14:paraId="2F5FD487" w14:textId="77777777" w:rsidR="002D17AF" w:rsidRPr="00AC0A01" w:rsidRDefault="00C7279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“EXP._RR_03829_RESPUESTA_SPH_OAS.”, por medio del cual el Director General </w:t>
      </w:r>
      <w:r w:rsidRPr="00AC0A01">
        <w:rPr>
          <w:rFonts w:ascii="Palatino Linotype" w:eastAsia="Palatino Linotype" w:hAnsi="Palatino Linotype" w:cs="Palatino Linotype"/>
        </w:rPr>
        <w:lastRenderedPageBreak/>
        <w:t xml:space="preserve">del </w:t>
      </w:r>
      <w:r w:rsidRPr="00AC0A01">
        <w:rPr>
          <w:rFonts w:ascii="Palatino Linotype" w:eastAsia="Palatino Linotype" w:hAnsi="Palatino Linotype" w:cs="Palatino Linotype"/>
          <w:b/>
        </w:rPr>
        <w:t xml:space="preserve">SUJETO OBLIGADO, reiteró su cambio de modalidad a consulta directa, descrito en el antecedente 6 del presente asunto. </w:t>
      </w:r>
    </w:p>
    <w:p w14:paraId="0A690B53" w14:textId="77777777" w:rsidR="002D17AF" w:rsidRPr="00AC0A01" w:rsidRDefault="00C7279D">
      <w:pPr>
        <w:widowControl w:val="0"/>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9. Ampliación del plazo.</w:t>
      </w:r>
      <w:r w:rsidRPr="00AC0A01">
        <w:rPr>
          <w:rFonts w:ascii="Palatino Linotype" w:eastAsia="Palatino Linotype" w:hAnsi="Palatino Linotype" w:cs="Palatino Linotype"/>
        </w:rPr>
        <w:t xml:space="preserve"> En fecha diecinueve de diciembre del año dos mil veintitrés, con fundamento en el artículo 181, párrafo tercero de la Ley de Transparencia y Acceso a la Información Pública del Estado de México y Municipios, se acordó la ampliación del plazo para su resolución.</w:t>
      </w:r>
    </w:p>
    <w:p w14:paraId="7AE41F2E" w14:textId="77777777" w:rsidR="002D17AF" w:rsidRPr="00AC0A01" w:rsidRDefault="002D17AF">
      <w:pPr>
        <w:widowControl w:val="0"/>
        <w:spacing w:line="360" w:lineRule="auto"/>
        <w:jc w:val="both"/>
        <w:rPr>
          <w:rFonts w:ascii="Palatino Linotype" w:eastAsia="Palatino Linotype" w:hAnsi="Palatino Linotype" w:cs="Palatino Linotype"/>
        </w:rPr>
      </w:pPr>
    </w:p>
    <w:p w14:paraId="1C8D121D" w14:textId="77777777" w:rsidR="002D17AF" w:rsidRPr="00AC0A01" w:rsidRDefault="00C7279D">
      <w:pPr>
        <w:widowControl w:val="0"/>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FC9350" w14:textId="77777777" w:rsidR="002D17AF" w:rsidRPr="00AC0A01" w:rsidRDefault="002D17AF">
      <w:pPr>
        <w:spacing w:line="360" w:lineRule="auto"/>
        <w:jc w:val="both"/>
        <w:rPr>
          <w:rFonts w:ascii="Palatino Linotype" w:eastAsia="Palatino Linotype" w:hAnsi="Palatino Linotype" w:cs="Palatino Linotype"/>
        </w:rPr>
      </w:pPr>
    </w:p>
    <w:p w14:paraId="76AC476A"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3CA851" w14:textId="77777777" w:rsidR="002D17AF" w:rsidRPr="00AC0A01" w:rsidRDefault="002D17AF">
      <w:pPr>
        <w:spacing w:line="360" w:lineRule="auto"/>
        <w:jc w:val="both"/>
        <w:rPr>
          <w:rFonts w:ascii="Palatino Linotype" w:eastAsia="Palatino Linotype" w:hAnsi="Palatino Linotype" w:cs="Palatino Linotype"/>
        </w:rPr>
      </w:pPr>
    </w:p>
    <w:p w14:paraId="1411FA2E"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76685" w14:textId="77777777" w:rsidR="002D17AF" w:rsidRPr="00AC0A01" w:rsidRDefault="002D17AF">
      <w:pPr>
        <w:spacing w:line="360" w:lineRule="auto"/>
        <w:jc w:val="both"/>
        <w:rPr>
          <w:rFonts w:ascii="Palatino Linotype" w:eastAsia="Palatino Linotype" w:hAnsi="Palatino Linotype" w:cs="Palatino Linotype"/>
        </w:rPr>
      </w:pPr>
    </w:p>
    <w:p w14:paraId="66E4AB72"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D9217EB" w14:textId="77777777" w:rsidR="002D17AF" w:rsidRPr="00AC0A01" w:rsidRDefault="002D17AF">
      <w:pPr>
        <w:spacing w:line="360" w:lineRule="auto"/>
        <w:jc w:val="both"/>
        <w:rPr>
          <w:rFonts w:ascii="Palatino Linotype" w:eastAsia="Palatino Linotype" w:hAnsi="Palatino Linotype" w:cs="Palatino Linotype"/>
        </w:rPr>
      </w:pPr>
    </w:p>
    <w:p w14:paraId="18AC749B" w14:textId="77777777" w:rsidR="002D17AF" w:rsidRPr="00AC0A01" w:rsidRDefault="00C7279D">
      <w:pPr>
        <w:spacing w:line="360" w:lineRule="auto"/>
        <w:jc w:val="both"/>
        <w:rPr>
          <w:rFonts w:ascii="Palatino Linotype" w:eastAsia="Palatino Linotype" w:hAnsi="Palatino Linotype" w:cs="Palatino Linotype"/>
          <w:strike/>
        </w:rPr>
      </w:pPr>
      <w:r w:rsidRPr="00AC0A0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B0216E2" w14:textId="77777777" w:rsidR="002D17AF" w:rsidRPr="00AC0A01" w:rsidRDefault="002D17AF">
      <w:pPr>
        <w:spacing w:line="360" w:lineRule="auto"/>
        <w:jc w:val="both"/>
        <w:rPr>
          <w:rFonts w:ascii="Palatino Linotype" w:eastAsia="Palatino Linotype" w:hAnsi="Palatino Linotype" w:cs="Palatino Linotype"/>
        </w:rPr>
      </w:pPr>
    </w:p>
    <w:p w14:paraId="0A3494E7" w14:textId="77777777" w:rsidR="002D17AF" w:rsidRPr="00AC0A01" w:rsidRDefault="00C7279D">
      <w:pPr>
        <w:numPr>
          <w:ilvl w:val="0"/>
          <w:numId w:val="6"/>
        </w:numPr>
        <w:ind w:left="851"/>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E410942" w14:textId="77777777" w:rsidR="002D17AF" w:rsidRPr="00AC0A01" w:rsidRDefault="002D17AF">
      <w:pPr>
        <w:ind w:left="851" w:hanging="360"/>
        <w:jc w:val="both"/>
        <w:rPr>
          <w:rFonts w:ascii="Palatino Linotype" w:eastAsia="Palatino Linotype" w:hAnsi="Palatino Linotype" w:cs="Palatino Linotype"/>
        </w:rPr>
      </w:pPr>
    </w:p>
    <w:p w14:paraId="400CEA50" w14:textId="77777777" w:rsidR="002D17AF" w:rsidRPr="00AC0A01" w:rsidRDefault="00C7279D">
      <w:pPr>
        <w:numPr>
          <w:ilvl w:val="0"/>
          <w:numId w:val="6"/>
        </w:numPr>
        <w:ind w:left="851"/>
        <w:jc w:val="both"/>
        <w:rPr>
          <w:rFonts w:ascii="Palatino Linotype" w:eastAsia="Palatino Linotype" w:hAnsi="Palatino Linotype" w:cs="Palatino Linotype"/>
        </w:rPr>
      </w:pPr>
      <w:r w:rsidRPr="00AC0A01">
        <w:rPr>
          <w:rFonts w:ascii="Palatino Linotype" w:eastAsia="Palatino Linotype" w:hAnsi="Palatino Linotype" w:cs="Palatino Linotype"/>
        </w:rPr>
        <w:t>Actividad Procesal del interesado. Acciones u omisiones del interesado.</w:t>
      </w:r>
    </w:p>
    <w:p w14:paraId="4A85E7E3" w14:textId="77777777" w:rsidR="002D17AF" w:rsidRPr="00AC0A01" w:rsidRDefault="002D17AF">
      <w:pPr>
        <w:ind w:left="851" w:hanging="360"/>
        <w:jc w:val="both"/>
        <w:rPr>
          <w:rFonts w:ascii="Palatino Linotype" w:eastAsia="Palatino Linotype" w:hAnsi="Palatino Linotype" w:cs="Palatino Linotype"/>
        </w:rPr>
      </w:pPr>
    </w:p>
    <w:p w14:paraId="0E1DCDBA" w14:textId="77777777" w:rsidR="002D17AF" w:rsidRPr="00AC0A01" w:rsidRDefault="00C7279D">
      <w:pPr>
        <w:numPr>
          <w:ilvl w:val="0"/>
          <w:numId w:val="6"/>
        </w:numPr>
        <w:ind w:left="851"/>
        <w:jc w:val="both"/>
        <w:rPr>
          <w:rFonts w:ascii="Palatino Linotype" w:eastAsia="Palatino Linotype" w:hAnsi="Palatino Linotype" w:cs="Palatino Linotype"/>
        </w:rPr>
      </w:pPr>
      <w:r w:rsidRPr="00AC0A01">
        <w:rPr>
          <w:rFonts w:ascii="Palatino Linotype" w:eastAsia="Palatino Linotype" w:hAnsi="Palatino Linotype" w:cs="Palatino Linotype"/>
        </w:rPr>
        <w:t>Conducta de la Autoridad: Las Acciones u omisiones realizadas en el procedimiento. Así como si la autoridad actuó con la debida diligencia.</w:t>
      </w:r>
    </w:p>
    <w:p w14:paraId="286A1F61" w14:textId="77777777" w:rsidR="002D17AF" w:rsidRPr="00AC0A01" w:rsidRDefault="002D17AF">
      <w:pPr>
        <w:ind w:left="851" w:hanging="360"/>
        <w:rPr>
          <w:rFonts w:ascii="Palatino Linotype" w:eastAsia="Palatino Linotype" w:hAnsi="Palatino Linotype" w:cs="Palatino Linotype"/>
        </w:rPr>
      </w:pPr>
    </w:p>
    <w:p w14:paraId="0A4298AB" w14:textId="77777777" w:rsidR="002D17AF" w:rsidRPr="00AC0A01" w:rsidRDefault="00C7279D">
      <w:pPr>
        <w:ind w:left="851" w:hanging="360"/>
        <w:jc w:val="both"/>
        <w:rPr>
          <w:rFonts w:ascii="Palatino Linotype" w:eastAsia="Palatino Linotype" w:hAnsi="Palatino Linotype" w:cs="Palatino Linotype"/>
        </w:rPr>
      </w:pPr>
      <w:r w:rsidRPr="00AC0A01">
        <w:rPr>
          <w:rFonts w:ascii="Palatino Linotype" w:eastAsia="Palatino Linotype" w:hAnsi="Palatino Linotype" w:cs="Palatino Linotype"/>
        </w:rPr>
        <w:t>d) La afectación generada en la situación jurídica de la persona involucrada en el proceso: Violación a sus derechos humanos.</w:t>
      </w:r>
    </w:p>
    <w:p w14:paraId="37E79616"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75AC26" w14:textId="77777777" w:rsidR="002D17AF" w:rsidRPr="00AC0A01" w:rsidRDefault="002D17AF">
      <w:pPr>
        <w:spacing w:line="360" w:lineRule="auto"/>
        <w:jc w:val="both"/>
        <w:rPr>
          <w:rFonts w:ascii="Palatino Linotype" w:eastAsia="Palatino Linotype" w:hAnsi="Palatino Linotype" w:cs="Palatino Linotype"/>
        </w:rPr>
      </w:pPr>
    </w:p>
    <w:p w14:paraId="1F5A05B3" w14:textId="77777777" w:rsidR="002D17AF" w:rsidRPr="00AC0A01" w:rsidRDefault="00C7279D">
      <w:pPr>
        <w:spacing w:line="360" w:lineRule="auto"/>
        <w:jc w:val="both"/>
        <w:rPr>
          <w:rFonts w:ascii="Palatino Linotype" w:eastAsia="Palatino Linotype" w:hAnsi="Palatino Linotype" w:cs="Palatino Linotype"/>
          <w:b/>
        </w:rPr>
      </w:pPr>
      <w:r w:rsidRPr="00AC0A01">
        <w:rPr>
          <w:rFonts w:ascii="Palatino Linotype" w:eastAsia="Palatino Linotype" w:hAnsi="Palatino Linotype" w:cs="Palatino Linotype"/>
        </w:rPr>
        <w:t>Argumento que encuentra sustento en la jurisprudencia P</w:t>
      </w:r>
      <w:proofErr w:type="gramStart"/>
      <w:r w:rsidRPr="00AC0A01">
        <w:rPr>
          <w:rFonts w:ascii="Palatino Linotype" w:eastAsia="Palatino Linotype" w:hAnsi="Palatino Linotype" w:cs="Palatino Linotype"/>
        </w:rPr>
        <w:t>./</w:t>
      </w:r>
      <w:proofErr w:type="gramEnd"/>
      <w:r w:rsidRPr="00AC0A01">
        <w:rPr>
          <w:rFonts w:ascii="Palatino Linotype" w:eastAsia="Palatino Linotype" w:hAnsi="Palatino Linotype" w:cs="Palatino Linotype"/>
        </w:rPr>
        <w:t xml:space="preserve">J. 32/92 emitida por el Pleno de la Suprema Corte de Justicia de la Nación de rubro </w:t>
      </w:r>
      <w:r w:rsidRPr="00AC0A0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C0A01">
        <w:rPr>
          <w:rFonts w:ascii="Palatino Linotype" w:eastAsia="Palatino Linotype" w:hAnsi="Palatino Linotype" w:cs="Palatino Linotype"/>
        </w:rPr>
        <w:t>, visible en la Gaceta del Seminario Judicial de la Federación con el registro digital 205635.</w:t>
      </w:r>
    </w:p>
    <w:p w14:paraId="5B9959F9" w14:textId="77777777" w:rsidR="002D17AF" w:rsidRPr="00AC0A01" w:rsidRDefault="002D17AF">
      <w:pPr>
        <w:spacing w:line="360" w:lineRule="auto"/>
        <w:jc w:val="both"/>
        <w:rPr>
          <w:rFonts w:ascii="Palatino Linotype" w:eastAsia="Palatino Linotype" w:hAnsi="Palatino Linotype" w:cs="Palatino Linotype"/>
        </w:rPr>
      </w:pPr>
    </w:p>
    <w:p w14:paraId="251D9D45"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AC0A01">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C27248C" w14:textId="77777777" w:rsidR="002D17AF" w:rsidRPr="00AC0A01" w:rsidRDefault="002D17AF">
      <w:pPr>
        <w:spacing w:line="360" w:lineRule="auto"/>
        <w:jc w:val="both"/>
        <w:rPr>
          <w:rFonts w:ascii="Palatino Linotype" w:eastAsia="Palatino Linotype" w:hAnsi="Palatino Linotype" w:cs="Palatino Linotype"/>
        </w:rPr>
      </w:pPr>
    </w:p>
    <w:p w14:paraId="04B20FD1"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E156944" w14:textId="77777777" w:rsidR="002D17AF" w:rsidRPr="00AC0A01" w:rsidRDefault="002D17AF">
      <w:pPr>
        <w:spacing w:line="360" w:lineRule="auto"/>
        <w:jc w:val="both"/>
        <w:rPr>
          <w:rFonts w:ascii="Palatino Linotype" w:eastAsia="Palatino Linotype" w:hAnsi="Palatino Linotype" w:cs="Palatino Linotype"/>
        </w:rPr>
      </w:pPr>
    </w:p>
    <w:p w14:paraId="56743336"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 </w:t>
      </w:r>
      <w:r w:rsidRPr="00AC0A01">
        <w:rPr>
          <w:rFonts w:ascii="Palatino Linotype" w:eastAsia="Palatino Linotype" w:hAnsi="Palatino Linotype" w:cs="Palatino Linotype"/>
          <w:i/>
        </w:rPr>
        <w:t>“PLAZO RAZONABLE PARA RESOLVER. DIMENSIÓN Y EFECTOS DE ESTE CONCEPTO CUANDO SE ADUCE EXCESIVA CARGA DE TRABAJO.”</w:t>
      </w:r>
      <w:r w:rsidRPr="00AC0A01">
        <w:rPr>
          <w:rFonts w:ascii="Palatino Linotype" w:eastAsia="Palatino Linotype" w:hAnsi="Palatino Linotype" w:cs="Palatino Linotype"/>
        </w:rPr>
        <w:t xml:space="preserve"> consultable en el Seminario Judicial de la Federación y su gaceta, con el registro digital 2002351.</w:t>
      </w:r>
    </w:p>
    <w:p w14:paraId="42DD92D5" w14:textId="77777777" w:rsidR="002D17AF" w:rsidRPr="00AC0A01" w:rsidRDefault="002D17AF">
      <w:pPr>
        <w:spacing w:line="360" w:lineRule="auto"/>
        <w:jc w:val="both"/>
        <w:rPr>
          <w:rFonts w:ascii="Palatino Linotype" w:eastAsia="Palatino Linotype" w:hAnsi="Palatino Linotype" w:cs="Palatino Linotype"/>
          <w:b/>
        </w:rPr>
      </w:pPr>
    </w:p>
    <w:p w14:paraId="4956C4A7"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i/>
        </w:rPr>
        <w:t>“PLAZO RAZONABLE PARA RESOLVER. CONCEPTO Y ELEMENTOS QUE LO INTEGRAN A LA LUZ DEL DERECHO INTERNACIONAL DE LOS DERECHOS HUMANOS.”</w:t>
      </w:r>
      <w:r w:rsidRPr="00AC0A01">
        <w:rPr>
          <w:rFonts w:ascii="Palatino Linotype" w:eastAsia="Palatino Linotype" w:hAnsi="Palatino Linotype" w:cs="Palatino Linotype"/>
        </w:rPr>
        <w:t>, visible en el Seminario Judicial de la Federación y su gaceta, con el registro digital 2002350.</w:t>
      </w:r>
    </w:p>
    <w:p w14:paraId="20C31B41" w14:textId="77777777" w:rsidR="002D17AF" w:rsidRPr="00AC0A01" w:rsidRDefault="002D17AF">
      <w:pPr>
        <w:spacing w:line="360" w:lineRule="auto"/>
        <w:jc w:val="both"/>
        <w:rPr>
          <w:rFonts w:ascii="Palatino Linotype" w:eastAsia="Palatino Linotype" w:hAnsi="Palatino Linotype" w:cs="Palatino Linotype"/>
        </w:rPr>
      </w:pPr>
    </w:p>
    <w:p w14:paraId="77F94542"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0E2DB1B"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lastRenderedPageBreak/>
        <w:t xml:space="preserve">10. Cierre de instrucción. </w:t>
      </w:r>
      <w:r w:rsidRPr="00AC0A0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AC0A01">
        <w:rPr>
          <w:rFonts w:ascii="Palatino Linotype" w:eastAsia="Palatino Linotype" w:hAnsi="Palatino Linotype" w:cs="Palatino Linotype"/>
          <w:b/>
        </w:rPr>
        <w:t xml:space="preserve">doce de enero de dos mil veinticuatro, </w:t>
      </w:r>
      <w:r w:rsidRPr="00AC0A01">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9FC6477"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2A6F1E9" w14:textId="77777777" w:rsidR="002D17AF" w:rsidRPr="00AC0A01" w:rsidRDefault="00C7279D">
      <w:pPr>
        <w:widowControl w:val="0"/>
        <w:spacing w:line="360" w:lineRule="auto"/>
        <w:jc w:val="center"/>
        <w:rPr>
          <w:rFonts w:ascii="Palatino Linotype" w:eastAsia="Palatino Linotype" w:hAnsi="Palatino Linotype" w:cs="Palatino Linotype"/>
          <w:b/>
        </w:rPr>
      </w:pPr>
      <w:r w:rsidRPr="00AC0A01">
        <w:rPr>
          <w:rFonts w:ascii="Palatino Linotype" w:eastAsia="Palatino Linotype" w:hAnsi="Palatino Linotype" w:cs="Palatino Linotype"/>
          <w:b/>
        </w:rPr>
        <w:t>II. C O N S I D E R A N D O S</w:t>
      </w:r>
    </w:p>
    <w:p w14:paraId="499B58D4" w14:textId="77777777" w:rsidR="002D17AF" w:rsidRPr="00AC0A01" w:rsidRDefault="002D17AF">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67AB870B"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Primero. Competencia.</w:t>
      </w:r>
      <w:r w:rsidRPr="00AC0A0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AC0A01">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3A689C85" w14:textId="77777777" w:rsidR="002D17AF" w:rsidRPr="00AC0A01" w:rsidRDefault="00C7279D">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AC0A01">
        <w:rPr>
          <w:rFonts w:ascii="Palatino Linotype" w:eastAsia="Palatino Linotype" w:hAnsi="Palatino Linotype" w:cs="Palatino Linotype"/>
          <w:b/>
        </w:rPr>
        <w:t xml:space="preserve">Segundo. Oportunidad y </w:t>
      </w:r>
      <w:proofErr w:type="spellStart"/>
      <w:r w:rsidRPr="00AC0A01">
        <w:rPr>
          <w:rFonts w:ascii="Palatino Linotype" w:eastAsia="Palatino Linotype" w:hAnsi="Palatino Linotype" w:cs="Palatino Linotype"/>
          <w:b/>
        </w:rPr>
        <w:t>Procedibilidad</w:t>
      </w:r>
      <w:proofErr w:type="spellEnd"/>
      <w:r w:rsidRPr="00AC0A01">
        <w:rPr>
          <w:rFonts w:ascii="Palatino Linotype" w:eastAsia="Palatino Linotype" w:hAnsi="Palatino Linotype" w:cs="Palatino Linotype"/>
          <w:b/>
        </w:rPr>
        <w:t xml:space="preserve"> del Recurso de Revisión. </w:t>
      </w:r>
      <w:r w:rsidRPr="00AC0A01">
        <w:rPr>
          <w:rFonts w:ascii="Palatino Linotype" w:eastAsia="Palatino Linotype" w:hAnsi="Palatino Linotype" w:cs="Palatino Linotype"/>
        </w:rPr>
        <w:t xml:space="preserve">Previo al estudio del fondo del asunto, se procede a analizar los requisitos de oportunidad y </w:t>
      </w:r>
      <w:proofErr w:type="spellStart"/>
      <w:r w:rsidRPr="00AC0A01">
        <w:rPr>
          <w:rFonts w:ascii="Palatino Linotype" w:eastAsia="Palatino Linotype" w:hAnsi="Palatino Linotype" w:cs="Palatino Linotype"/>
        </w:rPr>
        <w:t>procedibilidad</w:t>
      </w:r>
      <w:proofErr w:type="spellEnd"/>
      <w:r w:rsidRPr="00AC0A01">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5A4966E4"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Al respecto la Ley de Transparencia y Acceso a la Información Pública del Estado de México y Municipios, establece lo siguiente:</w:t>
      </w:r>
    </w:p>
    <w:p w14:paraId="4CFD2B18" w14:textId="77777777" w:rsidR="002D17AF" w:rsidRPr="00AC0A01" w:rsidRDefault="00C7279D">
      <w:pPr>
        <w:ind w:left="851" w:right="900"/>
        <w:jc w:val="both"/>
        <w:rPr>
          <w:rFonts w:ascii="Palatino Linotype" w:eastAsia="Palatino Linotype" w:hAnsi="Palatino Linotype" w:cs="Palatino Linotype"/>
          <w:i/>
          <w:sz w:val="28"/>
          <w:szCs w:val="28"/>
        </w:rPr>
      </w:pPr>
      <w:r w:rsidRPr="00AC0A01">
        <w:rPr>
          <w:rFonts w:ascii="Palatino Linotype" w:eastAsia="Palatino Linotype" w:hAnsi="Palatino Linotype" w:cs="Palatino Linotype"/>
          <w:b/>
          <w:i/>
          <w:sz w:val="22"/>
          <w:szCs w:val="22"/>
        </w:rPr>
        <w:t xml:space="preserve">“Artículo 178. </w:t>
      </w:r>
      <w:r w:rsidRPr="00AC0A0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76B11A2"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remitió la respuesta a la solicitud de información el día </w:t>
      </w:r>
      <w:r w:rsidRPr="00AC0A01">
        <w:rPr>
          <w:rFonts w:ascii="Palatino Linotype" w:eastAsia="Palatino Linotype" w:hAnsi="Palatino Linotype" w:cs="Palatino Linotype"/>
          <w:b/>
        </w:rPr>
        <w:t xml:space="preserve">veinte de junio de dos mil veintitrés, </w:t>
      </w:r>
      <w:r w:rsidRPr="00AC0A01">
        <w:rPr>
          <w:rFonts w:ascii="Palatino Linotype" w:eastAsia="Palatino Linotype" w:hAnsi="Palatino Linotype" w:cs="Palatino Linotype"/>
        </w:rPr>
        <w:t xml:space="preserve">mientras que el recurso de </w:t>
      </w:r>
      <w:r w:rsidRPr="00AC0A01">
        <w:rPr>
          <w:rFonts w:ascii="Palatino Linotype" w:eastAsia="Palatino Linotype" w:hAnsi="Palatino Linotype" w:cs="Palatino Linotype"/>
        </w:rPr>
        <w:lastRenderedPageBreak/>
        <w:t xml:space="preserve">revisión interpuesto por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se tuvo por presentado el día </w:t>
      </w:r>
      <w:r w:rsidRPr="00AC0A01">
        <w:rPr>
          <w:rFonts w:ascii="Palatino Linotype" w:eastAsia="Palatino Linotype" w:hAnsi="Palatino Linotype" w:cs="Palatino Linotype"/>
          <w:b/>
        </w:rPr>
        <w:t>tres de julio del año dos mil veintitrés</w:t>
      </w:r>
      <w:r w:rsidRPr="00AC0A01">
        <w:rPr>
          <w:rFonts w:ascii="Palatino Linotype" w:eastAsia="Palatino Linotype" w:hAnsi="Palatino Linotype" w:cs="Palatino Linotype"/>
        </w:rPr>
        <w:t>; esto es, al noveno día hábil en que tuvo conocimiento de la respuesta.</w:t>
      </w:r>
    </w:p>
    <w:p w14:paraId="51904C7E"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Al mismo tiempo, tras la revisión del formato de interposición del recurso, es de suma importancia señalar que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7D3530B" w14:textId="77777777" w:rsidR="002D17AF" w:rsidRPr="00AC0A01" w:rsidRDefault="002D17AF">
      <w:pPr>
        <w:ind w:left="567" w:right="474"/>
        <w:jc w:val="both"/>
        <w:rPr>
          <w:rFonts w:ascii="Palatino Linotype" w:eastAsia="Palatino Linotype" w:hAnsi="Palatino Linotype" w:cs="Palatino Linotype"/>
          <w:i/>
        </w:rPr>
      </w:pPr>
    </w:p>
    <w:p w14:paraId="71259B98" w14:textId="77777777" w:rsidR="002D17AF" w:rsidRPr="00AC0A01" w:rsidRDefault="00C7279D">
      <w:pPr>
        <w:spacing w:after="240"/>
        <w:ind w:left="567" w:right="474"/>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Las solicitudes anónimas</w:t>
      </w:r>
      <w:r w:rsidRPr="00AC0A01">
        <w:rPr>
          <w:rFonts w:ascii="Palatino Linotype" w:eastAsia="Palatino Linotype" w:hAnsi="Palatino Linotype" w:cs="Palatino Linotype"/>
          <w:i/>
          <w:sz w:val="22"/>
          <w:szCs w:val="22"/>
        </w:rPr>
        <w:t xml:space="preserve">, con nombre incompleto o seudónimo </w:t>
      </w:r>
      <w:r w:rsidRPr="00AC0A01">
        <w:rPr>
          <w:rFonts w:ascii="Palatino Linotype" w:eastAsia="Palatino Linotype" w:hAnsi="Palatino Linotype" w:cs="Palatino Linotype"/>
          <w:b/>
          <w:i/>
          <w:sz w:val="22"/>
          <w:szCs w:val="22"/>
        </w:rPr>
        <w:t>serán procedentes para su trámite por parte del sujeto obligado ante quien se presente</w:t>
      </w:r>
      <w:r w:rsidRPr="00AC0A01">
        <w:rPr>
          <w:rFonts w:ascii="Palatino Linotype" w:eastAsia="Palatino Linotype" w:hAnsi="Palatino Linotype" w:cs="Palatino Linotype"/>
          <w:i/>
          <w:sz w:val="22"/>
          <w:szCs w:val="22"/>
        </w:rPr>
        <w:t>. No podrá requerirse información adicional con motivo del nombre proporcionado por el solicitante."(Sic)</w:t>
      </w:r>
    </w:p>
    <w:p w14:paraId="4ACF04D0" w14:textId="77777777" w:rsidR="002D17AF" w:rsidRPr="00AC0A01" w:rsidRDefault="002D17AF">
      <w:pPr>
        <w:spacing w:before="240" w:line="360" w:lineRule="auto"/>
        <w:ind w:right="51"/>
        <w:jc w:val="both"/>
        <w:rPr>
          <w:rFonts w:ascii="Palatino Linotype" w:eastAsia="Palatino Linotype" w:hAnsi="Palatino Linotype" w:cs="Palatino Linotype"/>
        </w:rPr>
      </w:pPr>
    </w:p>
    <w:p w14:paraId="02F87D4D" w14:textId="77777777" w:rsidR="002D17AF" w:rsidRPr="00AC0A01" w:rsidRDefault="00C7279D">
      <w:pPr>
        <w:spacing w:line="360" w:lineRule="auto"/>
        <w:ind w:right="51"/>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Así también, por cuanto hace a la </w:t>
      </w:r>
      <w:proofErr w:type="spellStart"/>
      <w:r w:rsidRPr="00AC0A01">
        <w:rPr>
          <w:rFonts w:ascii="Palatino Linotype" w:eastAsia="Palatino Linotype" w:hAnsi="Palatino Linotype" w:cs="Palatino Linotype"/>
        </w:rPr>
        <w:t>procedibilidad</w:t>
      </w:r>
      <w:proofErr w:type="spellEnd"/>
      <w:r w:rsidRPr="00AC0A01">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1EBAF5E"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VIII de la ley de la materia, que a la letra dice:</w:t>
      </w:r>
    </w:p>
    <w:p w14:paraId="19B36C10" w14:textId="77777777" w:rsidR="002D17AF" w:rsidRPr="00AC0A01" w:rsidRDefault="00C7279D">
      <w:pPr>
        <w:ind w:left="1276" w:right="175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 xml:space="preserve">Artículo 179. </w:t>
      </w:r>
      <w:r w:rsidRPr="00AC0A0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AC0A01">
        <w:rPr>
          <w:rFonts w:ascii="Palatino Linotype" w:eastAsia="Palatino Linotype" w:hAnsi="Palatino Linotype" w:cs="Palatino Linotype"/>
          <w:i/>
        </w:rPr>
        <w:t>causas</w:t>
      </w:r>
      <w:r w:rsidRPr="00AC0A01">
        <w:rPr>
          <w:rFonts w:ascii="Palatino Linotype" w:eastAsia="Palatino Linotype" w:hAnsi="Palatino Linotype" w:cs="Palatino Linotype"/>
          <w:i/>
          <w:sz w:val="22"/>
          <w:szCs w:val="22"/>
        </w:rPr>
        <w:t>:</w:t>
      </w:r>
    </w:p>
    <w:p w14:paraId="13457429" w14:textId="77777777" w:rsidR="002D17AF" w:rsidRPr="00AC0A01" w:rsidRDefault="00C7279D">
      <w:pPr>
        <w:ind w:left="1276" w:right="175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p>
    <w:p w14:paraId="6A861445" w14:textId="77777777" w:rsidR="002D17AF" w:rsidRPr="00AC0A01" w:rsidRDefault="00C7279D">
      <w:pPr>
        <w:ind w:left="1276" w:right="175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34C490EE" w14:textId="77777777" w:rsidR="002D17AF" w:rsidRPr="00AC0A01" w:rsidRDefault="00C7279D">
      <w:pPr>
        <w:spacing w:before="280" w:after="28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Tercero. Materia de Revisión</w:t>
      </w:r>
      <w:r w:rsidRPr="00AC0A0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AC0A01">
        <w:rPr>
          <w:rFonts w:ascii="Palatino Linotype" w:eastAsia="Palatino Linotype" w:hAnsi="Palatino Linotype" w:cs="Palatino Linotype"/>
          <w:b/>
        </w:rPr>
        <w:t>verificar si la respuesta otorgada por el SUJETO OBLIGADO es adecuada y suficiente para satisfacer el derecho de acceso a la información pública de la parte</w:t>
      </w:r>
      <w:r w:rsidRPr="00AC0A01">
        <w:rPr>
          <w:rFonts w:ascii="Palatino Linotype" w:eastAsia="Palatino Linotype" w:hAnsi="Palatino Linotype" w:cs="Palatino Linotype"/>
        </w:rPr>
        <w:t xml:space="preserv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o en su defecto, en caso de ser procedente, ordenar la entrega de información.</w:t>
      </w:r>
    </w:p>
    <w:p w14:paraId="73F8C995"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Cuarto. Estudio de fondo del asunto. </w:t>
      </w:r>
      <w:r w:rsidRPr="00AC0A01">
        <w:rPr>
          <w:rFonts w:ascii="Palatino Linotype" w:eastAsia="Palatino Linotype" w:hAnsi="Palatino Linotype" w:cs="Palatino Linotype"/>
        </w:rPr>
        <w:t xml:space="preserve">Es conveniente analizar si la respuesta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w:t>
      </w:r>
      <w:r w:rsidRPr="00AC0A01">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transcribe para un mejor entendimiento:</w:t>
      </w:r>
    </w:p>
    <w:p w14:paraId="2A5A5224" w14:textId="77777777" w:rsidR="002D17AF" w:rsidRPr="00AC0A01" w:rsidRDefault="00C7279D">
      <w:pPr>
        <w:spacing w:before="240"/>
        <w:ind w:left="709" w:right="760"/>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Artículo 4</w:t>
      </w:r>
      <w:r w:rsidRPr="00AC0A0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60DF00A" w14:textId="77777777" w:rsidR="002D17AF" w:rsidRPr="00AC0A01" w:rsidRDefault="00C7279D">
      <w:pPr>
        <w:ind w:left="709" w:right="760"/>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C0A0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FBE9BFB" w14:textId="77777777" w:rsidR="002D17AF" w:rsidRPr="00AC0A01" w:rsidRDefault="00C7279D">
      <w:pPr>
        <w:ind w:left="709" w:right="760"/>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C0A01">
        <w:rPr>
          <w:rFonts w:ascii="Palatino Linotype" w:eastAsia="Palatino Linotype" w:hAnsi="Palatino Linotype" w:cs="Palatino Linotype"/>
          <w:i/>
          <w:sz w:val="22"/>
          <w:szCs w:val="22"/>
        </w:rPr>
        <w:t>.”(Sic)</w:t>
      </w:r>
    </w:p>
    <w:p w14:paraId="0E72B8B0" w14:textId="77777777" w:rsidR="002D17AF" w:rsidRPr="00AC0A01" w:rsidRDefault="002D17AF">
      <w:pPr>
        <w:spacing w:line="360" w:lineRule="auto"/>
        <w:jc w:val="both"/>
        <w:rPr>
          <w:rFonts w:ascii="Palatino Linotype" w:eastAsia="Palatino Linotype" w:hAnsi="Palatino Linotype" w:cs="Palatino Linotype"/>
        </w:rPr>
      </w:pPr>
    </w:p>
    <w:p w14:paraId="6223FCDF"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A8D50D" w14:textId="77777777" w:rsidR="002D17AF" w:rsidRPr="00AC0A01" w:rsidRDefault="00C7279D">
      <w:pPr>
        <w:ind w:left="567" w:right="758"/>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lastRenderedPageBreak/>
        <w:t>“Artículo 12.-</w:t>
      </w:r>
      <w:r w:rsidRPr="00AC0A0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D02059F" w14:textId="77777777" w:rsidR="002D17AF" w:rsidRPr="00AC0A01" w:rsidRDefault="002D17AF">
      <w:pPr>
        <w:ind w:left="567" w:right="758"/>
        <w:jc w:val="both"/>
        <w:rPr>
          <w:rFonts w:ascii="Palatino Linotype" w:eastAsia="Palatino Linotype" w:hAnsi="Palatino Linotype" w:cs="Palatino Linotype"/>
          <w:i/>
          <w:sz w:val="22"/>
          <w:szCs w:val="22"/>
        </w:rPr>
      </w:pPr>
    </w:p>
    <w:p w14:paraId="519EA3EA" w14:textId="77777777" w:rsidR="002D17AF" w:rsidRPr="00AC0A01" w:rsidRDefault="00C7279D">
      <w:pPr>
        <w:ind w:left="567" w:right="758"/>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C0A01">
        <w:rPr>
          <w:rFonts w:ascii="Palatino Linotype" w:eastAsia="Palatino Linotype" w:hAnsi="Palatino Linotype" w:cs="Palatino Linotype"/>
          <w:i/>
          <w:sz w:val="22"/>
          <w:szCs w:val="22"/>
        </w:rPr>
        <w:t xml:space="preserve">. </w:t>
      </w:r>
      <w:r w:rsidRPr="00AC0A0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E032B4A" w14:textId="77777777" w:rsidR="002D17AF" w:rsidRPr="00AC0A01" w:rsidRDefault="002D17AF">
      <w:pPr>
        <w:spacing w:line="360" w:lineRule="auto"/>
        <w:ind w:right="-93"/>
        <w:jc w:val="both"/>
        <w:rPr>
          <w:rFonts w:ascii="Palatino Linotype" w:eastAsia="Palatino Linotype" w:hAnsi="Palatino Linotype" w:cs="Palatino Linotype"/>
        </w:rPr>
      </w:pPr>
    </w:p>
    <w:p w14:paraId="6AA08335" w14:textId="77777777" w:rsidR="002D17AF" w:rsidRPr="00AC0A01" w:rsidRDefault="00C7279D">
      <w:pPr>
        <w:spacing w:line="360" w:lineRule="auto"/>
        <w:ind w:right="-93"/>
        <w:jc w:val="both"/>
        <w:rPr>
          <w:rFonts w:ascii="Palatino Linotype" w:eastAsia="Palatino Linotype" w:hAnsi="Palatino Linotype" w:cs="Palatino Linotype"/>
        </w:rPr>
      </w:pPr>
      <w:r w:rsidRPr="00AC0A0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AD6737A" w14:textId="77777777" w:rsidR="002D17AF" w:rsidRPr="00AC0A01" w:rsidRDefault="002D17AF">
      <w:pPr>
        <w:spacing w:line="360" w:lineRule="auto"/>
        <w:ind w:right="-93"/>
        <w:jc w:val="both"/>
        <w:rPr>
          <w:rFonts w:ascii="Palatino Linotype" w:eastAsia="Palatino Linotype" w:hAnsi="Palatino Linotype" w:cs="Palatino Linotype"/>
        </w:rPr>
      </w:pPr>
    </w:p>
    <w:p w14:paraId="0018E664" w14:textId="77777777" w:rsidR="002D17AF" w:rsidRPr="00AC0A01" w:rsidRDefault="00C7279D">
      <w:pPr>
        <w:spacing w:line="360" w:lineRule="auto"/>
        <w:jc w:val="both"/>
        <w:rPr>
          <w:rFonts w:ascii="Palatino Linotype" w:eastAsia="Palatino Linotype" w:hAnsi="Palatino Linotype" w:cs="Palatino Linotype"/>
          <w:b/>
        </w:rPr>
      </w:pPr>
      <w:r w:rsidRPr="00AC0A01">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AC0A01">
        <w:rPr>
          <w:rFonts w:ascii="Palatino Linotype" w:eastAsia="Palatino Linotype" w:hAnsi="Palatino Linotype" w:cs="Palatino Linotype"/>
          <w:b/>
        </w:rPr>
        <w:t xml:space="preserve"> </w:t>
      </w:r>
    </w:p>
    <w:p w14:paraId="564B405A" w14:textId="77777777" w:rsidR="002D17AF" w:rsidRPr="00AC0A01" w:rsidRDefault="002D17AF">
      <w:pPr>
        <w:ind w:left="851" w:right="850"/>
        <w:jc w:val="both"/>
        <w:rPr>
          <w:rFonts w:ascii="Palatino Linotype" w:eastAsia="Palatino Linotype" w:hAnsi="Palatino Linotype" w:cs="Palatino Linotype"/>
        </w:rPr>
      </w:pPr>
    </w:p>
    <w:p w14:paraId="1FF0951D" w14:textId="77777777" w:rsidR="002D17AF" w:rsidRPr="00AC0A01" w:rsidRDefault="00C7279D">
      <w:pPr>
        <w:ind w:left="851" w:right="90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No existe obligación de elaborar documentos ad hoc para atender las solicitudes de acceso a la información.</w:t>
      </w:r>
      <w:r w:rsidRPr="00AC0A0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AC0A01">
        <w:rPr>
          <w:rFonts w:ascii="Palatino Linotype" w:eastAsia="Palatino Linotype" w:hAnsi="Palatino Linotype" w:cs="Palatino Linotype"/>
          <w:i/>
          <w:sz w:val="22"/>
          <w:szCs w:val="22"/>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B954788" w14:textId="77777777" w:rsidR="002D17AF" w:rsidRPr="00AC0A01" w:rsidRDefault="00C7279D">
      <w:pPr>
        <w:ind w:left="851" w:right="90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Resoluciones: </w:t>
      </w:r>
    </w:p>
    <w:p w14:paraId="58E62FFB" w14:textId="77777777" w:rsidR="002D17AF" w:rsidRPr="00AC0A01" w:rsidRDefault="00C7279D">
      <w:pPr>
        <w:ind w:left="851" w:right="901"/>
        <w:jc w:val="both"/>
        <w:rPr>
          <w:rFonts w:ascii="Palatino Linotype" w:eastAsia="Palatino Linotype" w:hAnsi="Palatino Linotype" w:cs="Palatino Linotype"/>
          <w:i/>
          <w:sz w:val="22"/>
          <w:szCs w:val="22"/>
        </w:rPr>
      </w:pPr>
      <w:r w:rsidRPr="00AC0A01">
        <w:rPr>
          <w:rFonts w:ascii="Noto Sans Symbols" w:eastAsia="Noto Sans Symbols" w:hAnsi="Noto Sans Symbols" w:cs="Noto Sans Symbols"/>
          <w:i/>
          <w:sz w:val="22"/>
          <w:szCs w:val="22"/>
        </w:rPr>
        <w:t>∙</w:t>
      </w:r>
      <w:r w:rsidRPr="00AC0A0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1CB8887" w14:textId="77777777" w:rsidR="002D17AF" w:rsidRPr="00AC0A01" w:rsidRDefault="00C7279D">
      <w:pPr>
        <w:ind w:left="851" w:right="901"/>
        <w:jc w:val="both"/>
        <w:rPr>
          <w:rFonts w:ascii="Palatino Linotype" w:eastAsia="Palatino Linotype" w:hAnsi="Palatino Linotype" w:cs="Palatino Linotype"/>
          <w:i/>
          <w:sz w:val="22"/>
          <w:szCs w:val="22"/>
        </w:rPr>
      </w:pPr>
      <w:r w:rsidRPr="00AC0A01">
        <w:rPr>
          <w:rFonts w:ascii="Noto Sans Symbols" w:eastAsia="Noto Sans Symbols" w:hAnsi="Noto Sans Symbols" w:cs="Noto Sans Symbols"/>
          <w:i/>
          <w:sz w:val="22"/>
          <w:szCs w:val="22"/>
        </w:rPr>
        <w:t>∙</w:t>
      </w:r>
      <w:r w:rsidRPr="00AC0A0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48415C70" w14:textId="77777777" w:rsidR="002D17AF" w:rsidRPr="00AC0A01" w:rsidRDefault="00C7279D">
      <w:pPr>
        <w:ind w:left="851" w:right="901"/>
        <w:jc w:val="both"/>
        <w:rPr>
          <w:rFonts w:ascii="Palatino Linotype" w:eastAsia="Palatino Linotype" w:hAnsi="Palatino Linotype" w:cs="Palatino Linotype"/>
          <w:i/>
          <w:sz w:val="22"/>
          <w:szCs w:val="22"/>
        </w:rPr>
      </w:pPr>
      <w:r w:rsidRPr="00AC0A01">
        <w:rPr>
          <w:rFonts w:ascii="Noto Sans Symbols" w:eastAsia="Noto Sans Symbols" w:hAnsi="Noto Sans Symbols" w:cs="Noto Sans Symbols"/>
          <w:i/>
          <w:sz w:val="22"/>
          <w:szCs w:val="22"/>
        </w:rPr>
        <w:t>∙</w:t>
      </w:r>
      <w:r w:rsidRPr="00AC0A0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E8413C6" w14:textId="77777777" w:rsidR="002D17AF" w:rsidRPr="00AC0A01" w:rsidRDefault="002D17AF">
      <w:pPr>
        <w:spacing w:line="360" w:lineRule="auto"/>
        <w:ind w:right="-93"/>
        <w:jc w:val="both"/>
        <w:rPr>
          <w:rFonts w:ascii="Palatino Linotype" w:eastAsia="Palatino Linotype" w:hAnsi="Palatino Linotype" w:cs="Palatino Linotype"/>
        </w:rPr>
      </w:pPr>
    </w:p>
    <w:p w14:paraId="7BF759A9"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B379437" w14:textId="77777777" w:rsidR="002D17AF" w:rsidRPr="00AC0A01" w:rsidRDefault="002D17AF">
      <w:pPr>
        <w:spacing w:line="360" w:lineRule="auto"/>
        <w:jc w:val="both"/>
        <w:rPr>
          <w:rFonts w:ascii="Palatino Linotype" w:eastAsia="Palatino Linotype" w:hAnsi="Palatino Linotype" w:cs="Palatino Linotype"/>
        </w:rPr>
      </w:pPr>
    </w:p>
    <w:p w14:paraId="7E3DEA81" w14:textId="77777777" w:rsidR="002D17AF" w:rsidRPr="00AC0A01" w:rsidRDefault="00C7279D">
      <w:pPr>
        <w:spacing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AC0A01">
        <w:rPr>
          <w:rFonts w:ascii="Palatino Linotype" w:eastAsia="Palatino Linotype" w:hAnsi="Palatino Linotype" w:cs="Palatino Linotype"/>
        </w:rPr>
        <w:lastRenderedPageBreak/>
        <w:t>Ley de Transparencia y Acceso a la Información Pública del Estado de México y Municipios.</w:t>
      </w:r>
    </w:p>
    <w:p w14:paraId="285A3F9D" w14:textId="77777777" w:rsidR="002D17AF" w:rsidRPr="00AC0A01" w:rsidRDefault="002D17AF">
      <w:pPr>
        <w:spacing w:line="360" w:lineRule="auto"/>
        <w:ind w:right="49"/>
        <w:jc w:val="both"/>
        <w:rPr>
          <w:rFonts w:ascii="Palatino Linotype" w:eastAsia="Palatino Linotype" w:hAnsi="Palatino Linotype" w:cs="Palatino Linotype"/>
        </w:rPr>
      </w:pPr>
    </w:p>
    <w:p w14:paraId="2947417A"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DA7BE30" w14:textId="77777777" w:rsidR="002D17AF" w:rsidRPr="00AC0A01" w:rsidRDefault="002D17AF">
      <w:pPr>
        <w:ind w:left="851" w:right="899"/>
        <w:jc w:val="both"/>
        <w:rPr>
          <w:rFonts w:ascii="Palatino Linotype" w:eastAsia="Palatino Linotype" w:hAnsi="Palatino Linotype" w:cs="Palatino Linotype"/>
          <w:i/>
          <w:sz w:val="22"/>
          <w:szCs w:val="22"/>
        </w:rPr>
      </w:pPr>
    </w:p>
    <w:p w14:paraId="1737FB40" w14:textId="77777777" w:rsidR="002D17AF" w:rsidRPr="00AC0A01" w:rsidRDefault="00C7279D">
      <w:pPr>
        <w:ind w:left="851" w:right="89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 xml:space="preserve">Artículo 3. </w:t>
      </w:r>
      <w:r w:rsidRPr="00AC0A01">
        <w:rPr>
          <w:rFonts w:ascii="Palatino Linotype" w:eastAsia="Palatino Linotype" w:hAnsi="Palatino Linotype" w:cs="Palatino Linotype"/>
          <w:i/>
          <w:sz w:val="22"/>
          <w:szCs w:val="22"/>
        </w:rPr>
        <w:t>Para los efectos de la presente Ley se entenderá por:</w:t>
      </w:r>
    </w:p>
    <w:p w14:paraId="59AE887C" w14:textId="77777777" w:rsidR="002D17AF" w:rsidRPr="00AC0A01" w:rsidRDefault="00C7279D">
      <w:pPr>
        <w:ind w:left="851" w:right="89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p>
    <w:p w14:paraId="17B6ECC5" w14:textId="77777777" w:rsidR="002D17AF" w:rsidRPr="00AC0A01" w:rsidRDefault="00C7279D">
      <w:pPr>
        <w:ind w:left="851" w:right="89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XI. Documento:</w:t>
      </w:r>
      <w:r w:rsidRPr="00AC0A01">
        <w:rPr>
          <w:rFonts w:ascii="Palatino Linotype" w:eastAsia="Palatino Linotype" w:hAnsi="Palatino Linotype" w:cs="Palatino Linotype"/>
          <w:i/>
          <w:sz w:val="22"/>
          <w:szCs w:val="22"/>
        </w:rPr>
        <w:t xml:space="preserve"> Los expedientes, reportes, estudios, actas</w:t>
      </w:r>
      <w:r w:rsidRPr="00AC0A01">
        <w:rPr>
          <w:rFonts w:ascii="Palatino Linotype" w:eastAsia="Palatino Linotype" w:hAnsi="Palatino Linotype" w:cs="Palatino Linotype"/>
          <w:b/>
          <w:i/>
          <w:sz w:val="22"/>
          <w:szCs w:val="22"/>
        </w:rPr>
        <w:t>,</w:t>
      </w:r>
      <w:r w:rsidRPr="00AC0A0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FA5EE5F" w14:textId="77777777" w:rsidR="002D17AF" w:rsidRPr="00AC0A01" w:rsidRDefault="002D17AF">
      <w:pPr>
        <w:ind w:left="851" w:right="899"/>
        <w:jc w:val="both"/>
        <w:rPr>
          <w:rFonts w:ascii="Palatino Linotype" w:eastAsia="Palatino Linotype" w:hAnsi="Palatino Linotype" w:cs="Palatino Linotype"/>
          <w:sz w:val="22"/>
          <w:szCs w:val="22"/>
        </w:rPr>
      </w:pPr>
    </w:p>
    <w:p w14:paraId="7BB6A42D"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AC0A01">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28C5413E" w14:textId="77777777" w:rsidR="002D17AF" w:rsidRPr="00AC0A01" w:rsidRDefault="002D17AF">
      <w:pPr>
        <w:ind w:left="851" w:right="899"/>
        <w:jc w:val="both"/>
        <w:rPr>
          <w:rFonts w:ascii="Palatino Linotype" w:eastAsia="Palatino Linotype" w:hAnsi="Palatino Linotype" w:cs="Palatino Linotype"/>
        </w:rPr>
      </w:pPr>
    </w:p>
    <w:p w14:paraId="3264BAC5" w14:textId="77777777" w:rsidR="002D17AF" w:rsidRPr="00AC0A01" w:rsidRDefault="00C7279D">
      <w:pPr>
        <w:ind w:left="851" w:right="899"/>
        <w:jc w:val="both"/>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sz w:val="22"/>
          <w:szCs w:val="22"/>
        </w:rPr>
        <w:t>“</w:t>
      </w:r>
      <w:r w:rsidRPr="00AC0A01">
        <w:rPr>
          <w:rFonts w:ascii="Palatino Linotype" w:eastAsia="Palatino Linotype" w:hAnsi="Palatino Linotype" w:cs="Palatino Linotype"/>
          <w:b/>
          <w:i/>
          <w:sz w:val="22"/>
          <w:szCs w:val="22"/>
        </w:rPr>
        <w:t>CRITERIO 0002-11</w:t>
      </w:r>
    </w:p>
    <w:p w14:paraId="5D5DE9D6" w14:textId="77777777" w:rsidR="002D17AF" w:rsidRPr="00AC0A01" w:rsidRDefault="00C7279D">
      <w:pPr>
        <w:ind w:left="851" w:right="89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C0A0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E0A183" w14:textId="77777777" w:rsidR="002D17AF" w:rsidRPr="00AC0A01" w:rsidRDefault="00C7279D">
      <w:pPr>
        <w:ind w:left="851" w:right="89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2A11893" w14:textId="77777777" w:rsidR="002D17AF" w:rsidRPr="00AC0A01" w:rsidRDefault="00C7279D">
      <w:pPr>
        <w:ind w:left="851" w:right="89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9388E28" w14:textId="77777777" w:rsidR="002D17AF" w:rsidRPr="00AC0A01" w:rsidRDefault="00C7279D">
      <w:pPr>
        <w:ind w:left="851" w:right="899"/>
        <w:jc w:val="both"/>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9B24456" w14:textId="77777777" w:rsidR="002D17AF" w:rsidRPr="00AC0A01" w:rsidRDefault="00C7279D">
      <w:pPr>
        <w:ind w:left="851" w:right="899"/>
        <w:jc w:val="both"/>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36F46CBC" w14:textId="77777777" w:rsidR="002D17AF" w:rsidRPr="00AC0A01" w:rsidRDefault="002D17AF">
      <w:pPr>
        <w:spacing w:line="360" w:lineRule="auto"/>
        <w:jc w:val="both"/>
        <w:rPr>
          <w:rFonts w:ascii="Palatino Linotype" w:eastAsia="Palatino Linotype" w:hAnsi="Palatino Linotype" w:cs="Palatino Linotype"/>
        </w:rPr>
      </w:pPr>
    </w:p>
    <w:p w14:paraId="59FC4BCD"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Ahora bien, del análisis de la solicitud de información motivo del recurso de revisión que ahora se resuelve, se advierte que el particular requirió al Organismo Público Descentralizado para la Prestación de Los Servicios de Agua Potable Alcantarillado y Saneamiento del Municipio de Zumpango, lo siguiente:</w:t>
      </w:r>
    </w:p>
    <w:p w14:paraId="3EF4D9B4" w14:textId="77777777" w:rsidR="002D17AF" w:rsidRPr="00AC0A01" w:rsidRDefault="00C7279D">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Las actas de sesiones de consejo ordinarias y extraordinarias del periodo 2019, 2020, 2021, 2022 y 2023.</w:t>
      </w:r>
    </w:p>
    <w:p w14:paraId="5250AD40"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 xml:space="preserve">En respuesta, el Director General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informó que la información sobrepasa las capacidades técnicas, administrativas y humanas al no contar con el personal suficiente para hacer la digitalización, revisión y elaboración de la versión pública en caso de ser necesario de lo solicitado, por lo que hizo el cambio de modalidad a consulta directa.</w:t>
      </w:r>
    </w:p>
    <w:p w14:paraId="7C134870"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Conocida la respuesta, de una revisión del acto impugnado como motivos de inconformidad,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se inconformó en lo medular por el cambio de modalidad a consulta directa. </w:t>
      </w:r>
    </w:p>
    <w:p w14:paraId="0ACEE8E0"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Una vez notificado el recurso de revisión al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este rindió su informe justificado a través del cual reiteró su cambio de modalidad a consulta directa. </w:t>
      </w:r>
    </w:p>
    <w:p w14:paraId="3EC89A57"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En virtud de lo anterior, se determina que la información emitida por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parcialmente fundados para revocar la respuesta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en razón de las consideraciones de derecho que a continuación se exponen:</w:t>
      </w:r>
    </w:p>
    <w:p w14:paraId="30D5C197"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Sobre la naturaleza de la información, es necesario señalar que del Reglamento Interior del Organismo Público Descentralizado para la Prestación de los Servicios </w:t>
      </w:r>
      <w:r w:rsidRPr="00AC0A01">
        <w:rPr>
          <w:rFonts w:ascii="Palatino Linotype" w:eastAsia="Palatino Linotype" w:hAnsi="Palatino Linotype" w:cs="Palatino Linotype"/>
        </w:rPr>
        <w:lastRenderedPageBreak/>
        <w:t>de Agua Potable, Alcantarillado y Saneamiento del Municipio de Zumpango, en su artículo 5, su administración se integra de la siguiente manera:</w:t>
      </w:r>
    </w:p>
    <w:p w14:paraId="13708A5C" w14:textId="77777777" w:rsidR="002D17AF" w:rsidRPr="00AC0A01" w:rsidRDefault="00C7279D">
      <w:pPr>
        <w:tabs>
          <w:tab w:val="left" w:pos="567"/>
        </w:tabs>
        <w:spacing w:before="240" w:after="240"/>
        <w:ind w:left="85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“Artículo 5. La Administración del Organismo está a cargo de: </w:t>
      </w:r>
    </w:p>
    <w:p w14:paraId="5F78B05B" w14:textId="77777777" w:rsidR="002D17AF" w:rsidRPr="00AC0A01" w:rsidRDefault="00C7279D">
      <w:pPr>
        <w:numPr>
          <w:ilvl w:val="0"/>
          <w:numId w:val="5"/>
        </w:numPr>
        <w:pBdr>
          <w:top w:val="nil"/>
          <w:left w:val="nil"/>
          <w:bottom w:val="nil"/>
          <w:right w:val="nil"/>
          <w:between w:val="nil"/>
        </w:pBdr>
        <w:tabs>
          <w:tab w:val="left" w:pos="567"/>
        </w:tabs>
        <w:spacing w:before="240"/>
        <w:ind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Un Consejo Directivo; y </w:t>
      </w:r>
    </w:p>
    <w:p w14:paraId="34127118" w14:textId="77777777" w:rsidR="002D17AF" w:rsidRPr="00AC0A01" w:rsidRDefault="00C7279D">
      <w:pPr>
        <w:numPr>
          <w:ilvl w:val="0"/>
          <w:numId w:val="5"/>
        </w:numPr>
        <w:pBdr>
          <w:top w:val="nil"/>
          <w:left w:val="nil"/>
          <w:bottom w:val="nil"/>
          <w:right w:val="nil"/>
          <w:between w:val="nil"/>
        </w:pBdr>
        <w:tabs>
          <w:tab w:val="left" w:pos="567"/>
        </w:tabs>
        <w:spacing w:after="240"/>
        <w:ind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Un Director General.” (Sic)</w:t>
      </w:r>
    </w:p>
    <w:p w14:paraId="42897DFC"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Consejo Directivo que a su vez se integra de la siguiente manera, en términos del artículo 6 del Reglamento antes citado:</w:t>
      </w:r>
    </w:p>
    <w:p w14:paraId="2FB30557" w14:textId="77777777" w:rsidR="002D17AF" w:rsidRPr="00AC0A01" w:rsidRDefault="00C7279D">
      <w:pPr>
        <w:pBdr>
          <w:top w:val="nil"/>
          <w:left w:val="nil"/>
          <w:bottom w:val="nil"/>
          <w:right w:val="nil"/>
          <w:between w:val="nil"/>
        </w:pBdr>
        <w:tabs>
          <w:tab w:val="left" w:pos="567"/>
        </w:tabs>
        <w:spacing w:before="240"/>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Artículo 6. El Consejo Directivo del Organismo está integrado de la siguiente forma:</w:t>
      </w:r>
    </w:p>
    <w:p w14:paraId="01E09774" w14:textId="77777777" w:rsidR="002D17AF" w:rsidRPr="00AC0A01" w:rsidRDefault="00C7279D">
      <w:pPr>
        <w:pBdr>
          <w:top w:val="nil"/>
          <w:left w:val="nil"/>
          <w:bottom w:val="nil"/>
          <w:right w:val="nil"/>
          <w:between w:val="nil"/>
        </w:pBdr>
        <w:tabs>
          <w:tab w:val="left" w:pos="567"/>
        </w:tabs>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I. Un Presidente; quien será el Presidente Municipal. </w:t>
      </w:r>
    </w:p>
    <w:p w14:paraId="201EDD23" w14:textId="77777777" w:rsidR="002D17AF" w:rsidRPr="00AC0A01" w:rsidRDefault="00C7279D">
      <w:pPr>
        <w:pBdr>
          <w:top w:val="nil"/>
          <w:left w:val="nil"/>
          <w:bottom w:val="nil"/>
          <w:right w:val="nil"/>
          <w:between w:val="nil"/>
        </w:pBdr>
        <w:tabs>
          <w:tab w:val="left" w:pos="567"/>
        </w:tabs>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II. Un Secretario Técnico, quien será el Director del Organismo Operador de Agua. </w:t>
      </w:r>
    </w:p>
    <w:p w14:paraId="5B1650B2" w14:textId="77777777" w:rsidR="002D17AF" w:rsidRPr="00AC0A01" w:rsidRDefault="00C7279D">
      <w:pPr>
        <w:pBdr>
          <w:top w:val="nil"/>
          <w:left w:val="nil"/>
          <w:bottom w:val="nil"/>
          <w:right w:val="nil"/>
          <w:between w:val="nil"/>
        </w:pBdr>
        <w:tabs>
          <w:tab w:val="left" w:pos="567"/>
        </w:tabs>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III. Un Representante del Ayuntamiento. </w:t>
      </w:r>
    </w:p>
    <w:p w14:paraId="0222AA5D" w14:textId="77777777" w:rsidR="002D17AF" w:rsidRPr="00AC0A01" w:rsidRDefault="00C7279D">
      <w:pPr>
        <w:pBdr>
          <w:top w:val="nil"/>
          <w:left w:val="nil"/>
          <w:bottom w:val="nil"/>
          <w:right w:val="nil"/>
          <w:between w:val="nil"/>
        </w:pBdr>
        <w:tabs>
          <w:tab w:val="left" w:pos="567"/>
        </w:tabs>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IV. Un Representante de la Comisión. </w:t>
      </w:r>
    </w:p>
    <w:p w14:paraId="06EE6244" w14:textId="77777777" w:rsidR="002D17AF" w:rsidRPr="00AC0A01" w:rsidRDefault="00C7279D">
      <w:pPr>
        <w:pBdr>
          <w:top w:val="nil"/>
          <w:left w:val="nil"/>
          <w:bottom w:val="nil"/>
          <w:right w:val="nil"/>
          <w:between w:val="nil"/>
        </w:pBdr>
        <w:tabs>
          <w:tab w:val="left" w:pos="567"/>
        </w:tabs>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V. Un Comisario designado por el cabildo a propuesta del Consejo Directivo. VI. Tres vocales ajenos a la administración Municipal, con mayor representatividad y designados por el ayuntamiento a propuesta de las organizaciones vecinales, comerciales, industriales o de cualquier otro tipo, que sean usuarios. </w:t>
      </w:r>
    </w:p>
    <w:p w14:paraId="023C9231" w14:textId="77777777" w:rsidR="002D17AF" w:rsidRPr="00AC0A01" w:rsidRDefault="00C7279D">
      <w:pPr>
        <w:pBdr>
          <w:top w:val="nil"/>
          <w:left w:val="nil"/>
          <w:bottom w:val="nil"/>
          <w:right w:val="nil"/>
          <w:between w:val="nil"/>
        </w:pBdr>
        <w:tabs>
          <w:tab w:val="left" w:pos="567"/>
        </w:tabs>
        <w:spacing w:after="240"/>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Los integrantes del Consejo Directivo tendrán derecho a voz y voto, con excepción del Secretario Técnico, del Comisario y el representante de la Comisión que sólo tendrán derecho a voz. En caso de empate, el presidente tendrá voto de calidad. </w:t>
      </w:r>
      <w:r w:rsidRPr="00AC0A01">
        <w:rPr>
          <w:rFonts w:ascii="Palatino Linotype" w:eastAsia="Palatino Linotype" w:hAnsi="Palatino Linotype" w:cs="Palatino Linotype"/>
          <w:b/>
          <w:i/>
          <w:sz w:val="22"/>
          <w:szCs w:val="22"/>
        </w:rPr>
        <w:t>Se podrá invitar a las sesiones del Consejo Directivo, con voz pero sin voto, a representantes de las dependencias y entidades federales o estatales, así como del ayuntamiento, cuando se trate de algún asunto de su competencia</w:t>
      </w:r>
      <w:r w:rsidRPr="00AC0A01">
        <w:rPr>
          <w:rFonts w:ascii="Palatino Linotype" w:eastAsia="Palatino Linotype" w:hAnsi="Palatino Linotype" w:cs="Palatino Linotype"/>
          <w:i/>
          <w:sz w:val="22"/>
          <w:szCs w:val="22"/>
        </w:rPr>
        <w:t>, así como a representantes de los usuarios cuando lo determine el Consejo Directivo.”(Sic)</w:t>
      </w:r>
    </w:p>
    <w:p w14:paraId="68C110D8"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Precepto legal en el que se destaca que el Consejo Directivo invitara a sus sesiones para resolver asuntos de su competencia, a los representantes de las dependencias y entidades federales o estatales, así como del Ayuntamiento.</w:t>
      </w:r>
    </w:p>
    <w:p w14:paraId="51B0221D"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Sesiones las cuales pueden ser ordinarias, conforme a la siguiente imagen que se inserta a continuación de manera de ejemplo, de la tercera sesión ordinaria del Consejo Directivo del </w:t>
      </w:r>
      <w:r w:rsidRPr="00AC0A01">
        <w:rPr>
          <w:rFonts w:ascii="Palatino Linotype" w:eastAsia="Palatino Linotype" w:hAnsi="Palatino Linotype" w:cs="Palatino Linotype"/>
          <w:b/>
        </w:rPr>
        <w:t xml:space="preserve">SUJETO OBLIGADO </w:t>
      </w:r>
      <w:r w:rsidRPr="00AC0A01">
        <w:rPr>
          <w:rFonts w:ascii="Palatino Linotype" w:eastAsia="Palatino Linotype" w:hAnsi="Palatino Linotype" w:cs="Palatino Linotype"/>
        </w:rPr>
        <w:t>de la administración 2019-2021:</w:t>
      </w:r>
    </w:p>
    <w:p w14:paraId="6D198ED8"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 </w:t>
      </w:r>
      <w:r w:rsidRPr="00AC0A01">
        <w:rPr>
          <w:rFonts w:ascii="Palatino Linotype" w:eastAsia="Palatino Linotype" w:hAnsi="Palatino Linotype" w:cs="Palatino Linotype"/>
          <w:noProof/>
          <w:lang w:val="es-MX"/>
        </w:rPr>
        <w:drawing>
          <wp:inline distT="0" distB="0" distL="0" distR="0" wp14:anchorId="0C717238" wp14:editId="77378BC8">
            <wp:extent cx="5615801" cy="398557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15801" cy="3985574"/>
                    </a:xfrm>
                    <a:prstGeom prst="rect">
                      <a:avLst/>
                    </a:prstGeom>
                    <a:ln/>
                  </pic:spPr>
                </pic:pic>
              </a:graphicData>
            </a:graphic>
          </wp:inline>
        </w:drawing>
      </w:r>
    </w:p>
    <w:p w14:paraId="0889EC48"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 xml:space="preserve"> Las cuales podrán ser también extraordinarias, en términos de lo señalado por el artículo 80 del Reglamento en cita, que señala:</w:t>
      </w:r>
    </w:p>
    <w:p w14:paraId="2E3A4AB8" w14:textId="77777777" w:rsidR="002D17AF" w:rsidRPr="00AC0A01" w:rsidRDefault="00C7279D">
      <w:pPr>
        <w:pBdr>
          <w:top w:val="nil"/>
          <w:left w:val="nil"/>
          <w:bottom w:val="nil"/>
          <w:right w:val="nil"/>
          <w:between w:val="nil"/>
        </w:pBdr>
        <w:tabs>
          <w:tab w:val="left" w:pos="567"/>
        </w:tabs>
        <w:spacing w:before="240"/>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“Artículo 80. Contra los actos emitidos conforme al presente Reglamento, los particulares podrán promover los medios de impugnación establecidos en el Código de Procedimientos Administrativos del Estado de México. </w:t>
      </w:r>
    </w:p>
    <w:p w14:paraId="0D51300A" w14:textId="77777777" w:rsidR="002D17AF" w:rsidRPr="00AC0A01" w:rsidRDefault="00C7279D">
      <w:pPr>
        <w:pBdr>
          <w:top w:val="nil"/>
          <w:left w:val="nil"/>
          <w:bottom w:val="nil"/>
          <w:right w:val="nil"/>
          <w:between w:val="nil"/>
        </w:pBdr>
        <w:tabs>
          <w:tab w:val="left" w:pos="567"/>
        </w:tabs>
        <w:spacing w:after="240"/>
        <w:ind w:left="1571" w:right="616"/>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Aprobado por el Consejo Directivo del Organismo Público Descentralizado para la Prestación de los Servicios de Agua Potable, Alcantarillado y Saneamiento del Municipio de Zumpango, de acuerdo a lo establecido en el </w:t>
      </w:r>
      <w:r w:rsidRPr="00AC0A01">
        <w:rPr>
          <w:rFonts w:ascii="Palatino Linotype" w:eastAsia="Palatino Linotype" w:hAnsi="Palatino Linotype" w:cs="Palatino Linotype"/>
          <w:b/>
          <w:i/>
          <w:sz w:val="22"/>
          <w:szCs w:val="22"/>
          <w:u w:val="single"/>
        </w:rPr>
        <w:t>Acta de la Décima Primera Sesión Extraordinaria</w:t>
      </w:r>
      <w:r w:rsidRPr="00AC0A01">
        <w:rPr>
          <w:rFonts w:ascii="Palatino Linotype" w:eastAsia="Palatino Linotype" w:hAnsi="Palatino Linotype" w:cs="Palatino Linotype"/>
          <w:i/>
          <w:sz w:val="22"/>
          <w:szCs w:val="22"/>
        </w:rPr>
        <w:t xml:space="preserve"> del Consejo Directivo del Organismo Público Descentralizado para la Prestación de los Servicios de Agua Potable, Alcantarillado y Saneamiento del Municipio de Zumpango, México; a los 27 días del mes de mayo del dos mil diecinueve.” (Sic)</w:t>
      </w:r>
    </w:p>
    <w:p w14:paraId="7EACB623" w14:textId="77777777" w:rsidR="002D17AF" w:rsidRPr="00AC0A01" w:rsidRDefault="002D17AF">
      <w:pPr>
        <w:spacing w:before="240" w:line="360" w:lineRule="auto"/>
        <w:ind w:right="49"/>
        <w:jc w:val="both"/>
        <w:rPr>
          <w:rFonts w:ascii="Palatino Linotype" w:eastAsia="Palatino Linotype" w:hAnsi="Palatino Linotype" w:cs="Palatino Linotype"/>
        </w:rPr>
      </w:pPr>
    </w:p>
    <w:p w14:paraId="42D459FF" w14:textId="77777777" w:rsidR="002D17AF" w:rsidRPr="00AC0A01" w:rsidRDefault="00C7279D">
      <w:pPr>
        <w:spacing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Con base en lo anterior, se acredita que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como Consejo Directivo, tuvo que sesionar de manera ordinaria y extraordinaria para atender los asuntos de su competencia </w:t>
      </w:r>
    </w:p>
    <w:p w14:paraId="678D5A16" w14:textId="77777777" w:rsidR="002D17AF" w:rsidRPr="00AC0A01" w:rsidRDefault="00C7279D">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Ahora bien, tanto en respuesta, como en Informe Justificado, el Director General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informó que la información sobrepasa las capacidades técnicas, administrativas y humanas al no contar con el personal suficiente para hacer la digitalización, revisión y elaboración de la versión pública en caso de ser necesario de lo solicitado, por lo que hizo el cambio de modalidad a consulta directa, al respecto, cabe recordar que se requirió la información, a través del Sistema de Acceso a Información Mexiquense (SAIMEX). </w:t>
      </w:r>
    </w:p>
    <w:p w14:paraId="34C5DEA7" w14:textId="77777777" w:rsidR="002D17AF" w:rsidRPr="00AC0A01" w:rsidRDefault="00C7279D">
      <w:pPr>
        <w:tabs>
          <w:tab w:val="left" w:pos="709"/>
        </w:tabs>
        <w:spacing w:line="360" w:lineRule="auto"/>
        <w:jc w:val="both"/>
        <w:rPr>
          <w:rFonts w:ascii="Palatino Linotype" w:eastAsia="Palatino Linotype" w:hAnsi="Palatino Linotype" w:cs="Palatino Linotype"/>
          <w:b/>
          <w:u w:val="single"/>
        </w:rPr>
      </w:pPr>
      <w:r w:rsidRPr="00AC0A01">
        <w:rPr>
          <w:rFonts w:ascii="Palatino Linotype" w:eastAsia="Palatino Linotype" w:hAnsi="Palatino Linotype" w:cs="Palatino Linotype"/>
          <w:b/>
          <w:u w:val="single"/>
        </w:rPr>
        <w:lastRenderedPageBreak/>
        <w:t xml:space="preserve">Sobre el cambio de modalidad a consulta directa.  </w:t>
      </w:r>
    </w:p>
    <w:p w14:paraId="25FB6C49" w14:textId="77777777" w:rsidR="002D17AF" w:rsidRPr="00AC0A01" w:rsidRDefault="002D17AF">
      <w:pPr>
        <w:spacing w:line="360" w:lineRule="auto"/>
        <w:ind w:right="-28"/>
        <w:jc w:val="both"/>
        <w:rPr>
          <w:rFonts w:ascii="Palatino Linotype" w:eastAsia="Palatino Linotype" w:hAnsi="Palatino Linotype" w:cs="Palatino Linotype"/>
          <w:b/>
          <w:u w:val="single"/>
        </w:rPr>
      </w:pPr>
    </w:p>
    <w:p w14:paraId="3975E82A" w14:textId="77777777" w:rsidR="002D17AF" w:rsidRPr="00AC0A01" w:rsidRDefault="00C7279D">
      <w:pPr>
        <w:spacing w:line="360" w:lineRule="auto"/>
        <w:ind w:right="-28"/>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Al respecto, conviene mencionar que el artículo 155, fracción V, de la Ley de Transparencia y Acceso a la Información Pública del Estado de México y Municipios, precisa que para presentar una solicitud, el particular podrá señalar </w:t>
      </w:r>
      <w:r w:rsidRPr="00AC0A01">
        <w:rPr>
          <w:rFonts w:ascii="Palatino Linotype" w:eastAsia="Palatino Linotype" w:hAnsi="Palatino Linotype" w:cs="Palatino Linotype"/>
          <w:b/>
        </w:rPr>
        <w:t>la modalidad en la que prefiere se otorgue el acceso a la información</w:t>
      </w:r>
      <w:r w:rsidRPr="00AC0A01">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7B585D35" w14:textId="77777777" w:rsidR="002D17AF" w:rsidRPr="00AC0A01" w:rsidRDefault="002D17AF">
      <w:pPr>
        <w:spacing w:line="360" w:lineRule="auto"/>
        <w:ind w:right="-28"/>
        <w:jc w:val="both"/>
        <w:rPr>
          <w:rFonts w:ascii="Palatino Linotype" w:eastAsia="Palatino Linotype" w:hAnsi="Palatino Linotype" w:cs="Palatino Linotype"/>
        </w:rPr>
      </w:pPr>
    </w:p>
    <w:p w14:paraId="07FCC52D" w14:textId="77777777" w:rsidR="002D17AF" w:rsidRPr="00AC0A01" w:rsidRDefault="00C7279D">
      <w:pPr>
        <w:spacing w:line="360" w:lineRule="auto"/>
        <w:ind w:right="-28"/>
        <w:jc w:val="both"/>
        <w:rPr>
          <w:rFonts w:ascii="Palatino Linotype" w:eastAsia="Palatino Linotype" w:hAnsi="Palatino Linotype" w:cs="Palatino Linotype"/>
          <w:b/>
        </w:rPr>
      </w:pPr>
      <w:r w:rsidRPr="00AC0A01">
        <w:rPr>
          <w:rFonts w:ascii="Palatino Linotype" w:eastAsia="Palatino Linotype" w:hAnsi="Palatino Linotype" w:cs="Palatino Linotype"/>
        </w:rPr>
        <w:t xml:space="preserve">El artículo 158, dispone que, de manera excepcional, cuando de manera fundada y motivada lo determine el Sujeto Obligado, </w:t>
      </w:r>
      <w:r w:rsidRPr="00AC0A01">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724F9D6" w14:textId="77777777" w:rsidR="002D17AF" w:rsidRPr="00AC0A01" w:rsidRDefault="002D17AF">
      <w:pPr>
        <w:spacing w:line="360" w:lineRule="auto"/>
        <w:ind w:right="-28"/>
        <w:jc w:val="both"/>
        <w:rPr>
          <w:rFonts w:ascii="Palatino Linotype" w:eastAsia="Palatino Linotype" w:hAnsi="Palatino Linotype" w:cs="Palatino Linotype"/>
          <w:b/>
        </w:rPr>
      </w:pPr>
    </w:p>
    <w:p w14:paraId="309139D8"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AC0A01">
        <w:rPr>
          <w:rFonts w:ascii="Palatino Linotype" w:eastAsia="Palatino Linotype" w:hAnsi="Palatino Linotype" w:cs="Palatino Linotype"/>
          <w:b/>
        </w:rPr>
        <w:t xml:space="preserve">Cuando la información no pueda entregarse o enviarse en la modalidad elegida, el sujeto obligado deberá ofrecer otra u otras modalidades de </w:t>
      </w:r>
      <w:r w:rsidRPr="00AC0A01">
        <w:rPr>
          <w:rFonts w:ascii="Palatino Linotype" w:eastAsia="Palatino Linotype" w:hAnsi="Palatino Linotype" w:cs="Palatino Linotype"/>
          <w:b/>
        </w:rPr>
        <w:lastRenderedPageBreak/>
        <w:t>entrega.</w:t>
      </w:r>
      <w:r w:rsidRPr="00AC0A01">
        <w:rPr>
          <w:rFonts w:ascii="Palatino Linotype" w:eastAsia="Palatino Linotype" w:hAnsi="Palatino Linotype" w:cs="Palatino Linotype"/>
        </w:rPr>
        <w:t xml:space="preserve"> En cualquier caso, </w:t>
      </w:r>
      <w:r w:rsidRPr="00AC0A01">
        <w:rPr>
          <w:rFonts w:ascii="Palatino Linotype" w:eastAsia="Palatino Linotype" w:hAnsi="Palatino Linotype" w:cs="Palatino Linotype"/>
          <w:b/>
        </w:rPr>
        <w:t>se deberá fundar y motivar</w:t>
      </w:r>
      <w:r w:rsidRPr="00AC0A01">
        <w:rPr>
          <w:rFonts w:ascii="Palatino Linotype" w:eastAsia="Palatino Linotype" w:hAnsi="Palatino Linotype" w:cs="Palatino Linotype"/>
        </w:rPr>
        <w:t xml:space="preserve"> la necesidad de ofrecer otras modalidades.</w:t>
      </w:r>
    </w:p>
    <w:p w14:paraId="4E64E8A9" w14:textId="77777777" w:rsidR="002D17AF" w:rsidRPr="00AC0A01" w:rsidRDefault="002D17AF">
      <w:pPr>
        <w:spacing w:line="360" w:lineRule="auto"/>
        <w:jc w:val="both"/>
        <w:rPr>
          <w:rFonts w:ascii="Palatino Linotype" w:eastAsia="Palatino Linotype" w:hAnsi="Palatino Linotype" w:cs="Palatino Linotype"/>
        </w:rPr>
      </w:pPr>
    </w:p>
    <w:p w14:paraId="103E8964"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AC0A01">
        <w:rPr>
          <w:rFonts w:ascii="Palatino Linotype" w:eastAsia="Palatino Linotype" w:hAnsi="Palatino Linotype" w:cs="Palatino Linotype"/>
          <w:b/>
        </w:rPr>
        <w:t>en la medida de lo posible, en la forma solicitada por el interesado, salvo que exista un impedimento justificado para atenderla</w:t>
      </w:r>
      <w:r w:rsidRPr="00AC0A01">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AC0A01">
        <w:rPr>
          <w:rFonts w:ascii="Palatino Linotype" w:eastAsia="Palatino Linotype" w:hAnsi="Palatino Linotype" w:cs="Palatino Linotype"/>
          <w:b/>
        </w:rPr>
        <w:t>sólo procede, en caso de que se acredite la imposibilidad de atenderla.</w:t>
      </w:r>
      <w:r w:rsidRPr="00AC0A01">
        <w:rPr>
          <w:rFonts w:ascii="Palatino Linotype" w:eastAsia="Palatino Linotype" w:hAnsi="Palatino Linotype" w:cs="Palatino Linotype"/>
        </w:rPr>
        <w:t xml:space="preserve"> </w:t>
      </w:r>
    </w:p>
    <w:p w14:paraId="4A298DAE" w14:textId="77777777" w:rsidR="002D17AF" w:rsidRPr="00AC0A01" w:rsidRDefault="002D17AF">
      <w:pPr>
        <w:spacing w:line="360" w:lineRule="auto"/>
        <w:jc w:val="both"/>
        <w:rPr>
          <w:rFonts w:ascii="Palatino Linotype" w:eastAsia="Palatino Linotype" w:hAnsi="Palatino Linotype" w:cs="Palatino Linotype"/>
        </w:rPr>
      </w:pPr>
    </w:p>
    <w:p w14:paraId="372D2993"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Así, cuando se justifique el impedimento, </w:t>
      </w:r>
      <w:r w:rsidRPr="00AC0A01">
        <w:rPr>
          <w:rFonts w:ascii="Palatino Linotype" w:eastAsia="Palatino Linotype" w:hAnsi="Palatino Linotype" w:cs="Palatino Linotype"/>
          <w:b/>
        </w:rPr>
        <w:t>los Sujetos Obligados deberán ofrecer al particular otras modalidades de entrega que permita la información</w:t>
      </w:r>
      <w:r w:rsidRPr="00AC0A01">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5AA0AC51" w14:textId="77777777" w:rsidR="002D17AF" w:rsidRPr="00AC0A01" w:rsidRDefault="002D17AF">
      <w:pPr>
        <w:spacing w:line="360" w:lineRule="auto"/>
        <w:jc w:val="both"/>
        <w:rPr>
          <w:rFonts w:ascii="Palatino Linotype" w:eastAsia="Palatino Linotype" w:hAnsi="Palatino Linotype" w:cs="Palatino Linotype"/>
        </w:rPr>
      </w:pPr>
    </w:p>
    <w:p w14:paraId="60FF76F1" w14:textId="77777777" w:rsidR="002D17AF" w:rsidRPr="00AC0A01" w:rsidRDefault="00C7279D">
      <w:pPr>
        <w:spacing w:line="276" w:lineRule="auto"/>
        <w:ind w:left="851" w:right="902"/>
        <w:jc w:val="both"/>
        <w:rPr>
          <w:rFonts w:ascii="Palatino Linotype" w:eastAsia="Palatino Linotype" w:hAnsi="Palatino Linotype" w:cs="Palatino Linotype"/>
          <w:b/>
          <w:i/>
          <w:u w:val="single"/>
        </w:rPr>
      </w:pPr>
      <w:r w:rsidRPr="00AC0A01">
        <w:rPr>
          <w:rFonts w:ascii="Palatino Linotype" w:eastAsia="Palatino Linotype" w:hAnsi="Palatino Linotype" w:cs="Palatino Linotype"/>
          <w:b/>
          <w:i/>
        </w:rPr>
        <w:lastRenderedPageBreak/>
        <w:t>“Modalidad de entrega. Procedencia de proporcionar la información solicitada en una diversa a la elegida por el solicitante.</w:t>
      </w:r>
      <w:r w:rsidRPr="00AC0A01">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AC0A01">
        <w:rPr>
          <w:rFonts w:ascii="Palatino Linotype" w:eastAsia="Palatino Linotype" w:hAnsi="Palatino Linotype" w:cs="Palatino Linotype"/>
          <w:b/>
          <w:i/>
          <w:u w:val="single"/>
        </w:rPr>
        <w:t>en todas las modalidades que permita el documento de que se trate, procurando reducir, en todo momento, los costos de entrega.”</w:t>
      </w:r>
    </w:p>
    <w:p w14:paraId="4382DB62" w14:textId="77777777" w:rsidR="002D17AF" w:rsidRPr="00AC0A01" w:rsidRDefault="002D17AF">
      <w:pPr>
        <w:spacing w:line="276" w:lineRule="auto"/>
        <w:ind w:left="851" w:right="902"/>
        <w:jc w:val="both"/>
        <w:rPr>
          <w:rFonts w:ascii="Palatino Linotype" w:eastAsia="Palatino Linotype" w:hAnsi="Palatino Linotype" w:cs="Palatino Linotype"/>
          <w:u w:val="single"/>
        </w:rPr>
      </w:pPr>
    </w:p>
    <w:p w14:paraId="0E2724A8" w14:textId="77777777" w:rsidR="002D17AF" w:rsidRPr="00AC0A01" w:rsidRDefault="00C7279D">
      <w:pPr>
        <w:spacing w:line="360" w:lineRule="auto"/>
        <w:jc w:val="both"/>
        <w:rPr>
          <w:rFonts w:ascii="Palatino Linotype" w:eastAsia="Palatino Linotype" w:hAnsi="Palatino Linotype" w:cs="Palatino Linotype"/>
          <w:b/>
        </w:rPr>
      </w:pPr>
      <w:r w:rsidRPr="00AC0A01">
        <w:rPr>
          <w:rFonts w:ascii="Palatino Linotype" w:eastAsia="Palatino Linotype" w:hAnsi="Palatino Linotype" w:cs="Palatino Linotype"/>
        </w:rPr>
        <w:t>Del citado criterio, se desprende que cuando</w:t>
      </w:r>
      <w:r w:rsidRPr="00AC0A01">
        <w:rPr>
          <w:rFonts w:ascii="Palatino Linotype" w:eastAsia="Palatino Linotype" w:hAnsi="Palatino Linotype" w:cs="Palatino Linotype"/>
          <w:b/>
        </w:rPr>
        <w:t xml:space="preserve"> la información no pueda entregarse o enviarse en la modalidad elegida, </w:t>
      </w:r>
      <w:r w:rsidRPr="00AC0A01">
        <w:rPr>
          <w:rFonts w:ascii="Palatino Linotype" w:eastAsia="Palatino Linotype" w:hAnsi="Palatino Linotype" w:cs="Palatino Linotype"/>
        </w:rPr>
        <w:t xml:space="preserve">para que la obligación de acceso a la información se tenga por cumplida, </w:t>
      </w:r>
      <w:r w:rsidRPr="00AC0A01">
        <w:rPr>
          <w:rFonts w:ascii="Palatino Linotype" w:eastAsia="Palatino Linotype" w:hAnsi="Palatino Linotype" w:cs="Palatino Linotype"/>
          <w:b/>
        </w:rPr>
        <w:t>el Sujeto Obligado deberá ofrecer otra u otras modalidades de entrega.</w:t>
      </w:r>
      <w:r w:rsidRPr="00AC0A01">
        <w:rPr>
          <w:rFonts w:ascii="Palatino Linotype" w:eastAsia="Palatino Linotype" w:hAnsi="Palatino Linotype" w:cs="Palatino Linotype"/>
        </w:rPr>
        <w:t xml:space="preserve"> En cualquier caso, </w:t>
      </w:r>
      <w:r w:rsidRPr="00AC0A01">
        <w:rPr>
          <w:rFonts w:ascii="Palatino Linotype" w:eastAsia="Palatino Linotype" w:hAnsi="Palatino Linotype" w:cs="Palatino Linotype"/>
          <w:b/>
        </w:rPr>
        <w:t>se deberá fundar y motivar la necesidad de ofrecer otras modalidades</w:t>
      </w:r>
      <w:r w:rsidRPr="00AC0A01">
        <w:rPr>
          <w:rFonts w:ascii="Palatino Linotype" w:eastAsia="Palatino Linotype" w:hAnsi="Palatino Linotype" w:cs="Palatino Linotype"/>
        </w:rPr>
        <w:t xml:space="preserve"> que lo permitan, </w:t>
      </w:r>
      <w:r w:rsidRPr="00AC0A01">
        <w:rPr>
          <w:rFonts w:ascii="Palatino Linotype" w:eastAsia="Palatino Linotype" w:hAnsi="Palatino Linotype" w:cs="Palatino Linotype"/>
          <w:b/>
        </w:rPr>
        <w:t>procurando reducir los costos de entrega.</w:t>
      </w:r>
    </w:p>
    <w:p w14:paraId="0EB603A5" w14:textId="77777777" w:rsidR="002D17AF" w:rsidRPr="00AC0A01" w:rsidRDefault="002D17AF">
      <w:pPr>
        <w:spacing w:line="360" w:lineRule="auto"/>
        <w:jc w:val="both"/>
        <w:rPr>
          <w:rFonts w:ascii="Palatino Linotype" w:eastAsia="Palatino Linotype" w:hAnsi="Palatino Linotype" w:cs="Palatino Linotype"/>
        </w:rPr>
      </w:pPr>
    </w:p>
    <w:p w14:paraId="77B696C6"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2C30EDC" w14:textId="77777777" w:rsidR="002D17AF" w:rsidRPr="00AC0A01" w:rsidRDefault="002D17AF">
      <w:pPr>
        <w:spacing w:line="360" w:lineRule="auto"/>
        <w:jc w:val="both"/>
        <w:rPr>
          <w:rFonts w:ascii="Palatino Linotype" w:eastAsia="Palatino Linotype" w:hAnsi="Palatino Linotype" w:cs="Palatino Linotype"/>
        </w:rPr>
      </w:pPr>
    </w:p>
    <w:p w14:paraId="001DDB2D" w14:textId="77777777" w:rsidR="002D17AF" w:rsidRPr="00AC0A01" w:rsidRDefault="00C7279D">
      <w:pPr>
        <w:numPr>
          <w:ilvl w:val="0"/>
          <w:numId w:val="3"/>
        </w:num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Las razones por las cuales la información implicaba un análisis, estudio o procesamiento de datos;</w:t>
      </w:r>
    </w:p>
    <w:p w14:paraId="146E0B3E" w14:textId="77777777" w:rsidR="002D17AF" w:rsidRPr="00AC0A01" w:rsidRDefault="00C7279D">
      <w:pPr>
        <w:numPr>
          <w:ilvl w:val="0"/>
          <w:numId w:val="3"/>
        </w:num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5CB1FE59" w14:textId="77777777" w:rsidR="002D17AF" w:rsidRPr="00AC0A01" w:rsidRDefault="00C7279D">
      <w:pPr>
        <w:numPr>
          <w:ilvl w:val="0"/>
          <w:numId w:val="3"/>
        </w:num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La cantidad de recursos humanos y materiales con los que cuenta el Sujeto Obligado son insuficientes.</w:t>
      </w:r>
    </w:p>
    <w:p w14:paraId="337786B6" w14:textId="77777777" w:rsidR="002D17AF" w:rsidRPr="00AC0A01" w:rsidRDefault="002D17AF">
      <w:pPr>
        <w:spacing w:line="360" w:lineRule="auto"/>
        <w:ind w:right="-28"/>
        <w:jc w:val="both"/>
      </w:pPr>
    </w:p>
    <w:p w14:paraId="0B77D321" w14:textId="77777777" w:rsidR="002D17AF" w:rsidRPr="00AC0A01" w:rsidRDefault="00C7279D">
      <w:pPr>
        <w:spacing w:line="360" w:lineRule="auto"/>
        <w:ind w:right="-28"/>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0EEB58C1"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Es menester recordar que el </w:t>
      </w:r>
      <w:r w:rsidRPr="00AC0A01">
        <w:rPr>
          <w:rFonts w:ascii="Palatino Linotype" w:eastAsia="Palatino Linotype" w:hAnsi="Palatino Linotype" w:cs="Palatino Linotype"/>
          <w:b/>
        </w:rPr>
        <w:t xml:space="preserve">SUJETO OBLIGADO, </w:t>
      </w:r>
      <w:r w:rsidRPr="00AC0A01">
        <w:rPr>
          <w:rFonts w:ascii="Palatino Linotype" w:eastAsia="Palatino Linotype" w:hAnsi="Palatino Linotype" w:cs="Palatino Linotype"/>
        </w:rPr>
        <w:t xml:space="preserve">a través de su Director General  señaló que la información sobrepasa las capacidades técnicas, administrativas y humanas al no contar con el personal suficiente para hacer la digitalización, revisión </w:t>
      </w:r>
      <w:r w:rsidRPr="00AC0A01">
        <w:rPr>
          <w:rFonts w:ascii="Palatino Linotype" w:eastAsia="Palatino Linotype" w:hAnsi="Palatino Linotype" w:cs="Palatino Linotype"/>
        </w:rPr>
        <w:lastRenderedPageBreak/>
        <w:t>y elaboración de la versión pública en caso de ser necesario de lo solicitado, por lo que hizo el cambio de modalidad a consulta directa.</w:t>
      </w:r>
    </w:p>
    <w:p w14:paraId="75B8ADB1"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No obstante a lo anterior, este Organismo Garante solicitó a través de correo electrónico al Personal de la Dirección General de Informática, que señalará si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14:paraId="48EC4760" w14:textId="77777777" w:rsidR="002D17AF" w:rsidRPr="00AC0A01" w:rsidRDefault="002D17AF">
      <w:pPr>
        <w:spacing w:line="360" w:lineRule="auto"/>
        <w:jc w:val="both"/>
      </w:pPr>
    </w:p>
    <w:p w14:paraId="2B7B1341"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noProof/>
          <w:lang w:val="es-MX"/>
        </w:rPr>
        <w:drawing>
          <wp:inline distT="0" distB="0" distL="0" distR="0" wp14:anchorId="28FA75C3" wp14:editId="2B84884B">
            <wp:extent cx="5612130" cy="94996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12130" cy="949960"/>
                    </a:xfrm>
                    <a:prstGeom prst="rect">
                      <a:avLst/>
                    </a:prstGeom>
                    <a:ln/>
                  </pic:spPr>
                </pic:pic>
              </a:graphicData>
            </a:graphic>
          </wp:inline>
        </w:drawing>
      </w:r>
    </w:p>
    <w:p w14:paraId="2B9E753D" w14:textId="77777777" w:rsidR="002D17AF" w:rsidRPr="00AC0A01" w:rsidRDefault="002D17AF">
      <w:pPr>
        <w:spacing w:line="360" w:lineRule="auto"/>
        <w:jc w:val="both"/>
        <w:rPr>
          <w:rFonts w:ascii="Palatino Linotype" w:eastAsia="Palatino Linotype" w:hAnsi="Palatino Linotype" w:cs="Palatino Linotype"/>
        </w:rPr>
      </w:pPr>
    </w:p>
    <w:p w14:paraId="790469B7" w14:textId="77777777" w:rsidR="002D17AF" w:rsidRPr="00AC0A01" w:rsidRDefault="00C7279D">
      <w:pPr>
        <w:spacing w:line="360" w:lineRule="auto"/>
        <w:jc w:val="both"/>
        <w:rPr>
          <w:rFonts w:ascii="Palatino Linotype" w:eastAsia="Palatino Linotype" w:hAnsi="Palatino Linotype" w:cs="Palatino Linotype"/>
        </w:rPr>
      </w:pPr>
      <w:r w:rsidRPr="00AC0A01">
        <w:t xml:space="preserve"> </w:t>
      </w:r>
      <w:r w:rsidRPr="00AC0A01">
        <w:rPr>
          <w:rFonts w:ascii="Palatino Linotype" w:eastAsia="Palatino Linotype" w:hAnsi="Palatino Linotype" w:cs="Palatino Linotype"/>
        </w:rPr>
        <w:t xml:space="preserve">Por lo anterior, la Dirección General de Informática informó que no existen incidencias reportadas por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además señaló que el Sistema de Acceso a la Información Mexiquense (SAIMEX), cuenta con la capacidad de recibir archivos con un peso aproximado de hasta 500Mb, que corresponde a un aproximado de 8,000 hojas, por cada solicitud de acceso a la información pública. </w:t>
      </w:r>
    </w:p>
    <w:p w14:paraId="39589967" w14:textId="77777777" w:rsidR="002D17AF" w:rsidRPr="00AC0A01" w:rsidRDefault="002D17AF">
      <w:pPr>
        <w:spacing w:line="360" w:lineRule="auto"/>
        <w:jc w:val="both"/>
        <w:rPr>
          <w:rFonts w:ascii="Palatino Linotype" w:eastAsia="Palatino Linotype" w:hAnsi="Palatino Linotype" w:cs="Palatino Linotype"/>
        </w:rPr>
      </w:pPr>
    </w:p>
    <w:p w14:paraId="1701CB14"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 xml:space="preserve">Aunado a que derivado del requerimiento realizado por este Organismo Garante para que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acreditara su cambio de modalidad a consulta directa, este no justificó el cambio de modalidad a consulta directa, conforme a lo siguiente:</w:t>
      </w:r>
    </w:p>
    <w:p w14:paraId="3AD87CC2" w14:textId="77777777" w:rsidR="002D17AF" w:rsidRPr="00AC0A01" w:rsidRDefault="002D17AF">
      <w:pPr>
        <w:spacing w:line="360" w:lineRule="auto"/>
        <w:jc w:val="both"/>
        <w:rPr>
          <w:rFonts w:ascii="Palatino Linotype" w:eastAsia="Palatino Linotype" w:hAnsi="Palatino Linotype" w:cs="Palatino Linotyp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6006"/>
        <w:gridCol w:w="1333"/>
      </w:tblGrid>
      <w:tr w:rsidR="00AC0A01" w:rsidRPr="00AC0A01" w14:paraId="75E8480E" w14:textId="77777777">
        <w:tc>
          <w:tcPr>
            <w:tcW w:w="1489" w:type="dxa"/>
          </w:tcPr>
          <w:p w14:paraId="1E36E4B0"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Requerimiento</w:t>
            </w:r>
          </w:p>
        </w:tc>
        <w:tc>
          <w:tcPr>
            <w:tcW w:w="6006" w:type="dxa"/>
          </w:tcPr>
          <w:p w14:paraId="3AEFEEFB"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Desahogo</w:t>
            </w:r>
          </w:p>
        </w:tc>
        <w:tc>
          <w:tcPr>
            <w:tcW w:w="1333" w:type="dxa"/>
          </w:tcPr>
          <w:p w14:paraId="21AFF21F"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Justifica</w:t>
            </w:r>
          </w:p>
        </w:tc>
      </w:tr>
      <w:tr w:rsidR="00AC0A01" w:rsidRPr="00AC0A01" w14:paraId="75CCB24C" w14:textId="77777777">
        <w:tc>
          <w:tcPr>
            <w:tcW w:w="1489" w:type="dxa"/>
          </w:tcPr>
          <w:p w14:paraId="6B213526"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Manifieste las razones y fundamentos suficientes para no entregar la información a través del SAIMEX.</w:t>
            </w:r>
          </w:p>
        </w:tc>
        <w:tc>
          <w:tcPr>
            <w:tcW w:w="6006" w:type="dxa"/>
          </w:tcPr>
          <w:p w14:paraId="7400DA94"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noProof/>
                <w:sz w:val="18"/>
                <w:szCs w:val="18"/>
                <w:lang w:val="es-MX"/>
              </w:rPr>
              <w:drawing>
                <wp:inline distT="0" distB="0" distL="0" distR="0" wp14:anchorId="166D5F8B" wp14:editId="7CF7171B">
                  <wp:extent cx="3678898" cy="207260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678898" cy="2072603"/>
                          </a:xfrm>
                          <a:prstGeom prst="rect">
                            <a:avLst/>
                          </a:prstGeom>
                          <a:ln/>
                        </pic:spPr>
                      </pic:pic>
                    </a:graphicData>
                  </a:graphic>
                </wp:inline>
              </w:drawing>
            </w:r>
          </w:p>
        </w:tc>
        <w:tc>
          <w:tcPr>
            <w:tcW w:w="1333" w:type="dxa"/>
          </w:tcPr>
          <w:p w14:paraId="5FCE4FA2"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No</w:t>
            </w:r>
          </w:p>
          <w:p w14:paraId="08D1DB0A" w14:textId="77777777" w:rsidR="002D17AF" w:rsidRPr="00AC0A01" w:rsidRDefault="002D17AF">
            <w:pPr>
              <w:jc w:val="both"/>
              <w:rPr>
                <w:rFonts w:ascii="Palatino Linotype" w:eastAsia="Palatino Linotype" w:hAnsi="Palatino Linotype" w:cs="Palatino Linotype"/>
                <w:sz w:val="18"/>
                <w:szCs w:val="18"/>
              </w:rPr>
            </w:pPr>
          </w:p>
        </w:tc>
      </w:tr>
      <w:tr w:rsidR="00AC0A01" w:rsidRPr="00AC0A01" w14:paraId="17CCF2BE" w14:textId="77777777">
        <w:tc>
          <w:tcPr>
            <w:tcW w:w="1489" w:type="dxa"/>
          </w:tcPr>
          <w:p w14:paraId="48E0F922"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Se refiera al cúmulo de información que se trata y sí excede las capacidades del SAIMEX, esto mediante el reporte de incidencias realizado con el área de soporte técnico del INFOEM</w:t>
            </w:r>
          </w:p>
        </w:tc>
        <w:tc>
          <w:tcPr>
            <w:tcW w:w="6006" w:type="dxa"/>
          </w:tcPr>
          <w:p w14:paraId="79C25A00" w14:textId="77777777" w:rsidR="002D17AF" w:rsidRPr="00AC0A01" w:rsidRDefault="00C7279D">
            <w:pPr>
              <w:jc w:val="both"/>
              <w:rPr>
                <w:rFonts w:ascii="Palatino Linotype" w:eastAsia="Palatino Linotype" w:hAnsi="Palatino Linotype" w:cs="Palatino Linotype"/>
                <w:b/>
                <w:sz w:val="18"/>
                <w:szCs w:val="18"/>
              </w:rPr>
            </w:pPr>
            <w:r w:rsidRPr="00AC0A01">
              <w:rPr>
                <w:rFonts w:ascii="Palatino Linotype" w:eastAsia="Palatino Linotype" w:hAnsi="Palatino Linotype" w:cs="Palatino Linotype"/>
                <w:sz w:val="18"/>
                <w:szCs w:val="18"/>
              </w:rPr>
              <w:t>No se pronunció</w:t>
            </w:r>
          </w:p>
        </w:tc>
        <w:tc>
          <w:tcPr>
            <w:tcW w:w="1333" w:type="dxa"/>
          </w:tcPr>
          <w:p w14:paraId="3003AB3C"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No</w:t>
            </w:r>
          </w:p>
        </w:tc>
      </w:tr>
      <w:tr w:rsidR="00AC0A01" w:rsidRPr="00AC0A01" w14:paraId="1B197F96" w14:textId="77777777">
        <w:tc>
          <w:tcPr>
            <w:tcW w:w="1489" w:type="dxa"/>
          </w:tcPr>
          <w:p w14:paraId="2C89239D"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lastRenderedPageBreak/>
              <w:t xml:space="preserve">Que la información solicitada, sobrepase las capacidades técnicas administrativas y humanas del Sujeto Obligado para cumplir con la solicitud, en los plazos establecidos para dichos efectos, </w:t>
            </w:r>
            <w:r w:rsidRPr="00AC0A01">
              <w:rPr>
                <w:rFonts w:ascii="Palatino Linotype" w:eastAsia="Palatino Linotype" w:hAnsi="Palatino Linotype" w:cs="Palatino Linotype"/>
                <w:b/>
                <w:sz w:val="18"/>
                <w:szCs w:val="18"/>
              </w:rPr>
              <w:t>con los respectivos medios de convicción</w:t>
            </w:r>
          </w:p>
        </w:tc>
        <w:tc>
          <w:tcPr>
            <w:tcW w:w="6006" w:type="dxa"/>
          </w:tcPr>
          <w:p w14:paraId="2428078B"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noProof/>
                <w:sz w:val="18"/>
                <w:szCs w:val="18"/>
                <w:lang w:val="es-MX"/>
              </w:rPr>
              <w:drawing>
                <wp:inline distT="0" distB="0" distL="0" distR="0" wp14:anchorId="2E3E6F2E" wp14:editId="2C3C01AB">
                  <wp:extent cx="3678898" cy="207260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678898" cy="2072603"/>
                          </a:xfrm>
                          <a:prstGeom prst="rect">
                            <a:avLst/>
                          </a:prstGeom>
                          <a:ln/>
                        </pic:spPr>
                      </pic:pic>
                    </a:graphicData>
                  </a:graphic>
                </wp:inline>
              </w:drawing>
            </w:r>
          </w:p>
        </w:tc>
        <w:tc>
          <w:tcPr>
            <w:tcW w:w="1333" w:type="dxa"/>
          </w:tcPr>
          <w:p w14:paraId="2EB61A3E"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 xml:space="preserve">Parcialmente, no presento los medios de convicción. </w:t>
            </w:r>
          </w:p>
        </w:tc>
      </w:tr>
      <w:tr w:rsidR="00AC0A01" w:rsidRPr="00AC0A01" w14:paraId="5ED7BB73" w14:textId="77777777">
        <w:tc>
          <w:tcPr>
            <w:tcW w:w="1489" w:type="dxa"/>
          </w:tcPr>
          <w:p w14:paraId="3C4066C6"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Sí la información solicitada, es necesario que se entregue en versión pública</w:t>
            </w:r>
          </w:p>
        </w:tc>
        <w:tc>
          <w:tcPr>
            <w:tcW w:w="6006" w:type="dxa"/>
          </w:tcPr>
          <w:p w14:paraId="0DB38623"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 xml:space="preserve">Señaló que la información se debe realizar en versión pública en caso de ser necesario, sin embargo, no se pronunció sobre el cumulo de la información solicitada de la cual pretende hacer el cambio de modalidad a consulta directa. </w:t>
            </w:r>
          </w:p>
        </w:tc>
        <w:tc>
          <w:tcPr>
            <w:tcW w:w="1333" w:type="dxa"/>
          </w:tcPr>
          <w:p w14:paraId="3B2D95C7" w14:textId="77777777" w:rsidR="002D17AF" w:rsidRPr="00AC0A01" w:rsidRDefault="00C7279D">
            <w:pPr>
              <w:jc w:val="both"/>
              <w:rPr>
                <w:rFonts w:ascii="Palatino Linotype" w:eastAsia="Palatino Linotype" w:hAnsi="Palatino Linotype" w:cs="Palatino Linotype"/>
                <w:sz w:val="18"/>
                <w:szCs w:val="18"/>
              </w:rPr>
            </w:pPr>
            <w:r w:rsidRPr="00AC0A01">
              <w:rPr>
                <w:rFonts w:ascii="Palatino Linotype" w:eastAsia="Palatino Linotype" w:hAnsi="Palatino Linotype" w:cs="Palatino Linotype"/>
                <w:sz w:val="18"/>
                <w:szCs w:val="18"/>
              </w:rPr>
              <w:t>Parcialmente</w:t>
            </w:r>
          </w:p>
        </w:tc>
      </w:tr>
    </w:tbl>
    <w:p w14:paraId="153F018C" w14:textId="77777777" w:rsidR="002D17AF" w:rsidRPr="00AC0A01" w:rsidRDefault="002D17AF">
      <w:pPr>
        <w:spacing w:line="360" w:lineRule="auto"/>
        <w:jc w:val="both"/>
        <w:rPr>
          <w:rFonts w:ascii="Palatino Linotype" w:eastAsia="Palatino Linotype" w:hAnsi="Palatino Linotype" w:cs="Palatino Linotype"/>
        </w:rPr>
      </w:pPr>
    </w:p>
    <w:p w14:paraId="2D2B1860" w14:textId="77777777" w:rsidR="002D17AF" w:rsidRPr="00AC0A01" w:rsidRDefault="002D17AF">
      <w:pPr>
        <w:spacing w:line="360" w:lineRule="auto"/>
        <w:jc w:val="both"/>
        <w:rPr>
          <w:rFonts w:ascii="Palatino Linotype" w:eastAsia="Palatino Linotype" w:hAnsi="Palatino Linotype" w:cs="Palatino Linotype"/>
        </w:rPr>
      </w:pPr>
    </w:p>
    <w:p w14:paraId="6952DD69"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En ese contexto, este Instituto reitera que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no señaló de manera puntual las imposibilidades para dar atención a la solicitud relacionada con el recurso de revisión que ahora se resuelve.</w:t>
      </w:r>
    </w:p>
    <w:p w14:paraId="2B04EA60" w14:textId="77777777" w:rsidR="002D17AF" w:rsidRPr="00AC0A01" w:rsidRDefault="002D17AF">
      <w:pPr>
        <w:spacing w:line="360" w:lineRule="auto"/>
        <w:jc w:val="both"/>
        <w:rPr>
          <w:rFonts w:ascii="Palatino Linotype" w:eastAsia="Palatino Linotype" w:hAnsi="Palatino Linotype" w:cs="Palatino Linotype"/>
        </w:rPr>
      </w:pPr>
    </w:p>
    <w:p w14:paraId="76A0278F"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Además, </w:t>
      </w:r>
      <w:r w:rsidRPr="00AC0A01">
        <w:rPr>
          <w:rFonts w:ascii="Palatino Linotype" w:eastAsia="Palatino Linotype" w:hAnsi="Palatino Linotype" w:cs="Palatino Linotype"/>
          <w:b/>
        </w:rPr>
        <w:t>EL SUJETO OBLIGADO</w:t>
      </w:r>
      <w:r w:rsidRPr="00AC0A01">
        <w:rPr>
          <w:rFonts w:ascii="Palatino Linotype" w:eastAsia="Palatino Linotype" w:hAnsi="Palatino Linotype" w:cs="Palatino Linotype"/>
        </w:rPr>
        <w:t xml:space="preserve"> tampoco acreditó que lo peticionado implicaba un análisis, procesamiento o estudio de documentos cuya reproducción sobrepasará las capacidades técnicas, administrativas y humanas; además que la entrega de la </w:t>
      </w:r>
      <w:r w:rsidRPr="00AC0A01">
        <w:rPr>
          <w:rFonts w:ascii="Palatino Linotype" w:eastAsia="Palatino Linotype" w:hAnsi="Palatino Linotype" w:cs="Palatino Linotype"/>
        </w:rPr>
        <w:lastRenderedPageBreak/>
        <w:t>información y de acuerdo a la naturaleza del SAIMEX, debe corresponder al respectivo folio de la solicitud, aunado a ello, no se precisó el número de personas que se encontraban en las áreas, ni el formato y sí la información se debería entregar en versión pública; esto es, no proporcionó los elementos necesarios para acreditar el cambio de modalidad, pues no  justificó dicho cambio.</w:t>
      </w:r>
    </w:p>
    <w:p w14:paraId="791A8C1C" w14:textId="77777777" w:rsidR="002D17AF" w:rsidRPr="00AC0A01" w:rsidRDefault="002D17AF">
      <w:pPr>
        <w:spacing w:line="360" w:lineRule="auto"/>
        <w:jc w:val="both"/>
        <w:rPr>
          <w:rFonts w:ascii="Palatino Linotype" w:eastAsia="Palatino Linotype" w:hAnsi="Palatino Linotype" w:cs="Palatino Linotype"/>
        </w:rPr>
      </w:pPr>
    </w:p>
    <w:p w14:paraId="0A7E156C"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Asimismo, el </w:t>
      </w:r>
      <w:r w:rsidRPr="00AC0A01">
        <w:rPr>
          <w:rFonts w:ascii="Palatino Linotype" w:eastAsia="Palatino Linotype" w:hAnsi="Palatino Linotype" w:cs="Palatino Linotype"/>
          <w:b/>
        </w:rPr>
        <w:t xml:space="preserve">SUJETO OBLIGADO </w:t>
      </w:r>
      <w:r w:rsidRPr="00AC0A01">
        <w:rPr>
          <w:rFonts w:ascii="Palatino Linotype" w:eastAsia="Palatino Linotype" w:hAnsi="Palatino Linotype" w:cs="Palatino Linotype"/>
        </w:rPr>
        <w:t>le</w:t>
      </w:r>
      <w:r w:rsidRPr="00AC0A01">
        <w:rPr>
          <w:rFonts w:ascii="Palatino Linotype" w:eastAsia="Palatino Linotype" w:hAnsi="Palatino Linotype" w:cs="Palatino Linotype"/>
          <w:b/>
        </w:rPr>
        <w:t xml:space="preserve"> </w:t>
      </w:r>
      <w:r w:rsidRPr="00AC0A01">
        <w:rPr>
          <w:rFonts w:ascii="Palatino Linotype" w:eastAsia="Palatino Linotype" w:hAnsi="Palatino Linotype" w:cs="Palatino Linotype"/>
        </w:rPr>
        <w:t xml:space="preserve">indicó a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que para la consulta directa deberá hacerlo en un solo día lo que es restrictivo,  lo que contraviene lo señalado por el artículo 166 de la Ley de Transparencia y Acceso a la Información Pública del Estado de México y Municipios, en razón de cuando se realice el cambio de modalidad de entrega de la información a través de consulta directa, se deberá hacer del conocimiento a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que la información estará disponible, por un plazo mínimo de sesenta días naturales, a partir de la fecha en que ponga a disposición de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la información, en términos del segundo párrafo del artículo 166 de la Ley de Transparencia y Acceso a la Información Pública del Estado de México y Municipios.</w:t>
      </w:r>
    </w:p>
    <w:p w14:paraId="22087E78" w14:textId="77777777" w:rsidR="002D17AF" w:rsidRPr="00AC0A01" w:rsidRDefault="002D17AF">
      <w:pPr>
        <w:spacing w:line="360" w:lineRule="auto"/>
        <w:jc w:val="both"/>
        <w:rPr>
          <w:rFonts w:ascii="Palatino Linotype" w:eastAsia="Palatino Linotype" w:hAnsi="Palatino Linotype" w:cs="Palatino Linotype"/>
        </w:rPr>
      </w:pPr>
    </w:p>
    <w:p w14:paraId="3AE877D8"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w:t>
      </w:r>
      <w:r w:rsidRPr="00AC0A01">
        <w:rPr>
          <w:rFonts w:ascii="Palatino Linotype" w:eastAsia="Palatino Linotype" w:hAnsi="Palatino Linotype" w:cs="Palatino Linotype"/>
        </w:rPr>
        <w:lastRenderedPageBreak/>
        <w:t xml:space="preserve">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34A606E" w14:textId="77777777" w:rsidR="002D17AF" w:rsidRPr="00AC0A01" w:rsidRDefault="002D17AF">
      <w:pPr>
        <w:spacing w:line="360" w:lineRule="auto"/>
        <w:jc w:val="both"/>
        <w:rPr>
          <w:rFonts w:ascii="Palatino Linotype" w:eastAsia="Palatino Linotype" w:hAnsi="Palatino Linotype" w:cs="Palatino Linotype"/>
        </w:rPr>
      </w:pPr>
    </w:p>
    <w:p w14:paraId="57620FF6" w14:textId="77777777" w:rsidR="002D17AF" w:rsidRPr="00AC0A01" w:rsidRDefault="00C7279D">
      <w:pPr>
        <w:spacing w:line="360" w:lineRule="auto"/>
        <w:jc w:val="both"/>
        <w:rPr>
          <w:rFonts w:ascii="Palatino Linotype" w:eastAsia="Palatino Linotype" w:hAnsi="Palatino Linotype" w:cs="Palatino Linotype"/>
        </w:rPr>
      </w:pPr>
      <w:bookmarkStart w:id="5" w:name="_heading=h.3rdcrjn" w:colFirst="0" w:colLast="0"/>
      <w:bookmarkEnd w:id="5"/>
      <w:r w:rsidRPr="00AC0A01">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680B2C74" w14:textId="77777777" w:rsidR="002D17AF" w:rsidRPr="00AC0A01" w:rsidRDefault="002D17AF">
      <w:pPr>
        <w:spacing w:line="360" w:lineRule="auto"/>
        <w:jc w:val="both"/>
        <w:rPr>
          <w:rFonts w:ascii="Palatino Linotype" w:eastAsia="Palatino Linotype" w:hAnsi="Palatino Linotype" w:cs="Palatino Linotype"/>
        </w:rPr>
      </w:pPr>
    </w:p>
    <w:p w14:paraId="0FB5580D" w14:textId="77777777" w:rsidR="002D17AF" w:rsidRPr="00AC0A01" w:rsidRDefault="00C7279D">
      <w:pPr>
        <w:spacing w:after="120"/>
        <w:ind w:left="851" w:right="902"/>
        <w:jc w:val="center"/>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CAPÍTULO X</w:t>
      </w:r>
    </w:p>
    <w:p w14:paraId="3AFFB281" w14:textId="77777777" w:rsidR="002D17AF" w:rsidRPr="00AC0A01" w:rsidRDefault="00C7279D">
      <w:pPr>
        <w:spacing w:before="120" w:after="120"/>
        <w:ind w:left="851" w:right="902"/>
        <w:jc w:val="center"/>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i/>
          <w:sz w:val="22"/>
          <w:szCs w:val="22"/>
        </w:rPr>
        <w:t>DE LA CONSULTA DIRECTA</w:t>
      </w:r>
    </w:p>
    <w:p w14:paraId="7E6FD926"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Sexagésimo séptimo</w:t>
      </w:r>
      <w:r w:rsidRPr="00AC0A01">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AC0A01">
        <w:rPr>
          <w:rFonts w:ascii="Palatino Linotype" w:eastAsia="Palatino Linotype" w:hAnsi="Palatino Linotype" w:cs="Palatino Linotype"/>
          <w:b/>
          <w:i/>
          <w:sz w:val="22"/>
          <w:szCs w:val="22"/>
        </w:rPr>
        <w:t>deberá emitir la resolución en la que funde y motive la clasificación</w:t>
      </w:r>
      <w:r w:rsidRPr="00AC0A01">
        <w:rPr>
          <w:rFonts w:ascii="Palatino Linotype" w:eastAsia="Palatino Linotype" w:hAnsi="Palatino Linotype" w:cs="Palatino Linotype"/>
          <w:i/>
          <w:sz w:val="22"/>
          <w:szCs w:val="22"/>
        </w:rPr>
        <w:t xml:space="preserve"> de las partes o secciones que no podrán dejarse a la vista del solicitante. </w:t>
      </w:r>
    </w:p>
    <w:p w14:paraId="23EA824A"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Sexagésimo octavo</w:t>
      </w:r>
      <w:r w:rsidRPr="00AC0A01">
        <w:rPr>
          <w:rFonts w:ascii="Palatino Linotype" w:eastAsia="Palatino Linotype" w:hAnsi="Palatino Linotype" w:cs="Palatino Linotype"/>
          <w:i/>
          <w:sz w:val="22"/>
          <w:szCs w:val="22"/>
        </w:rPr>
        <w:t xml:space="preserve">. En la </w:t>
      </w:r>
      <w:r w:rsidRPr="00AC0A01">
        <w:rPr>
          <w:rFonts w:ascii="Palatino Linotype" w:eastAsia="Palatino Linotype" w:hAnsi="Palatino Linotype" w:cs="Palatino Linotype"/>
          <w:b/>
          <w:i/>
          <w:sz w:val="22"/>
          <w:szCs w:val="22"/>
        </w:rPr>
        <w:t>resolución del Comité de Transparencia</w:t>
      </w:r>
      <w:r w:rsidRPr="00AC0A01">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w:t>
      </w:r>
      <w:r w:rsidRPr="00AC0A01">
        <w:rPr>
          <w:rFonts w:ascii="Palatino Linotype" w:eastAsia="Palatino Linotype" w:hAnsi="Palatino Linotype" w:cs="Palatino Linotype"/>
          <w:i/>
          <w:sz w:val="22"/>
          <w:szCs w:val="22"/>
        </w:rPr>
        <w:lastRenderedPageBreak/>
        <w:t xml:space="preserve">de que se resguarde la información clasificada, atendiendo a la naturaleza del documento y el formato en el que obra. </w:t>
      </w:r>
    </w:p>
    <w:p w14:paraId="7695118B"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Sexagésimo noveno</w:t>
      </w:r>
      <w:r w:rsidRPr="00AC0A01">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4FCEF855"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Septuagésimo</w:t>
      </w:r>
      <w:r w:rsidRPr="00AC0A01">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5219B204" w14:textId="77777777" w:rsidR="002D17AF" w:rsidRPr="00AC0A01" w:rsidRDefault="00C7279D">
      <w:pPr>
        <w:spacing w:before="120" w:after="120"/>
        <w:ind w:left="1134"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I.</w:t>
      </w:r>
      <w:r w:rsidRPr="00AC0A01">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ECF14D3" w14:textId="77777777" w:rsidR="002D17AF" w:rsidRPr="00AC0A01" w:rsidRDefault="00C7279D">
      <w:pPr>
        <w:spacing w:before="120" w:after="120"/>
        <w:ind w:left="1134"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II.</w:t>
      </w:r>
      <w:r w:rsidRPr="00AC0A01">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295EC689" w14:textId="77777777" w:rsidR="002D17AF" w:rsidRPr="00AC0A01" w:rsidRDefault="00C7279D">
      <w:pPr>
        <w:spacing w:before="120" w:after="120"/>
        <w:ind w:left="1134"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III.</w:t>
      </w:r>
      <w:r w:rsidRPr="00AC0A01">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3F32E1E" w14:textId="77777777" w:rsidR="002D17AF" w:rsidRPr="00AC0A01" w:rsidRDefault="00C7279D">
      <w:pPr>
        <w:spacing w:before="120" w:after="120"/>
        <w:ind w:left="1134"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IV.</w:t>
      </w:r>
      <w:r w:rsidRPr="00AC0A01">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133CFF28" w14:textId="77777777" w:rsidR="002D17AF" w:rsidRPr="00AC0A01" w:rsidRDefault="00C7279D">
      <w:pPr>
        <w:spacing w:before="120" w:after="120"/>
        <w:ind w:left="1134"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V.</w:t>
      </w:r>
      <w:r w:rsidRPr="00AC0A01">
        <w:rPr>
          <w:rFonts w:ascii="Palatino Linotype" w:eastAsia="Palatino Linotype" w:hAnsi="Palatino Linotype" w:cs="Palatino Linotype"/>
          <w:i/>
          <w:sz w:val="22"/>
          <w:szCs w:val="22"/>
        </w:rPr>
        <w:t xml:space="preserve"> Abstenerse de requerir al solicitante que acredite interés alguno; </w:t>
      </w:r>
    </w:p>
    <w:p w14:paraId="2615553C" w14:textId="77777777" w:rsidR="002D17AF" w:rsidRPr="00AC0A01" w:rsidRDefault="00C7279D">
      <w:pPr>
        <w:spacing w:before="120" w:after="120"/>
        <w:ind w:left="1134"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VI.</w:t>
      </w:r>
      <w:r w:rsidRPr="00AC0A01">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1B739F03" w14:textId="77777777" w:rsidR="002D17AF" w:rsidRPr="00AC0A01" w:rsidRDefault="00C7279D">
      <w:pPr>
        <w:spacing w:before="120" w:after="120"/>
        <w:ind w:left="1418"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lastRenderedPageBreak/>
        <w:t>a)</w:t>
      </w:r>
      <w:r w:rsidRPr="00AC0A01">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3DA8031E" w14:textId="77777777" w:rsidR="002D17AF" w:rsidRPr="00AC0A01" w:rsidRDefault="00C7279D">
      <w:pPr>
        <w:spacing w:before="120" w:after="120"/>
        <w:ind w:left="1418"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b)</w:t>
      </w:r>
      <w:r w:rsidRPr="00AC0A01">
        <w:rPr>
          <w:rFonts w:ascii="Palatino Linotype" w:eastAsia="Palatino Linotype" w:hAnsi="Palatino Linotype" w:cs="Palatino Linotype"/>
          <w:i/>
          <w:sz w:val="22"/>
          <w:szCs w:val="22"/>
        </w:rPr>
        <w:t xml:space="preserve"> Equipo y personal de vigilancia;</w:t>
      </w:r>
    </w:p>
    <w:p w14:paraId="718C653F"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c)</w:t>
      </w:r>
      <w:r w:rsidRPr="00AC0A01">
        <w:rPr>
          <w:rFonts w:ascii="Palatino Linotype" w:eastAsia="Palatino Linotype" w:hAnsi="Palatino Linotype" w:cs="Palatino Linotype"/>
          <w:i/>
          <w:sz w:val="22"/>
          <w:szCs w:val="22"/>
        </w:rPr>
        <w:t xml:space="preserve"> Plan de acción contra robo o vandalismo; </w:t>
      </w:r>
    </w:p>
    <w:p w14:paraId="32150970"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d)</w:t>
      </w:r>
      <w:r w:rsidRPr="00AC0A01">
        <w:rPr>
          <w:rFonts w:ascii="Palatino Linotype" w:eastAsia="Palatino Linotype" w:hAnsi="Palatino Linotype" w:cs="Palatino Linotype"/>
          <w:i/>
          <w:sz w:val="22"/>
          <w:szCs w:val="22"/>
        </w:rPr>
        <w:t xml:space="preserve"> Extintores de fuego de gas inocuo; </w:t>
      </w:r>
    </w:p>
    <w:p w14:paraId="6C17E8B9"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e)</w:t>
      </w:r>
      <w:r w:rsidRPr="00AC0A01">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6C47F5A5"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f)</w:t>
      </w:r>
      <w:r w:rsidRPr="00AC0A01">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1FA79F46"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g)</w:t>
      </w:r>
      <w:r w:rsidRPr="00AC0A01">
        <w:rPr>
          <w:rFonts w:ascii="Palatino Linotype" w:eastAsia="Palatino Linotype" w:hAnsi="Palatino Linotype" w:cs="Palatino Linotype"/>
          <w:i/>
          <w:sz w:val="22"/>
          <w:szCs w:val="22"/>
        </w:rPr>
        <w:t xml:space="preserve"> Las demás que, a criterio de los sujetos obligados, resulten necesarias. </w:t>
      </w:r>
    </w:p>
    <w:p w14:paraId="7C95FC4B"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VII.</w:t>
      </w:r>
      <w:r w:rsidRPr="00AC0A01">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20FCCE79" w14:textId="77777777" w:rsidR="002D17AF" w:rsidRPr="00AC0A01" w:rsidRDefault="00C7279D">
      <w:pPr>
        <w:spacing w:before="120" w:after="120"/>
        <w:ind w:left="851" w:right="902"/>
        <w:jc w:val="both"/>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i/>
          <w:sz w:val="22"/>
          <w:szCs w:val="22"/>
        </w:rPr>
        <w:t>VIII.</w:t>
      </w:r>
      <w:r w:rsidRPr="00AC0A01">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AC0A01">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1D89A9F0"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 xml:space="preserve">Septuagésimo primero. </w:t>
      </w:r>
      <w:r w:rsidRPr="00AC0A01">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5491595"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1FCDD437"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lastRenderedPageBreak/>
        <w:t>Septuagésimo segundo.</w:t>
      </w:r>
      <w:r w:rsidRPr="00AC0A01">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365308B7"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A8219F1"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Septuagésimo tercero</w:t>
      </w:r>
      <w:r w:rsidRPr="00AC0A01">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C29F4A3" w14:textId="77777777" w:rsidR="002D17AF" w:rsidRPr="00AC0A01" w:rsidRDefault="00C7279D">
      <w:pPr>
        <w:spacing w:before="120" w:after="120"/>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La información deberá ser entregada sin costo, cuando implique la entrega de no más de veinte hojas simples.”(Sic)</w:t>
      </w:r>
    </w:p>
    <w:p w14:paraId="509AF2FF" w14:textId="77777777" w:rsidR="002D17AF" w:rsidRPr="00AC0A01" w:rsidRDefault="002D17AF">
      <w:pPr>
        <w:tabs>
          <w:tab w:val="left" w:pos="7938"/>
        </w:tabs>
        <w:spacing w:before="120" w:line="360" w:lineRule="auto"/>
        <w:ind w:left="567" w:right="616"/>
        <w:jc w:val="both"/>
        <w:rPr>
          <w:rFonts w:ascii="Palatino Linotype" w:eastAsia="Palatino Linotype" w:hAnsi="Palatino Linotype" w:cs="Palatino Linotype"/>
          <w:i/>
        </w:rPr>
      </w:pPr>
    </w:p>
    <w:p w14:paraId="6368FC0C"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Preceptos legales que de igual forma fueron inobservados por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para hacer el cambio de modalidad a consulta directa. </w:t>
      </w:r>
    </w:p>
    <w:p w14:paraId="4D9A4947" w14:textId="77777777" w:rsidR="002D17AF" w:rsidRPr="00AC0A01" w:rsidRDefault="002D17AF">
      <w:pPr>
        <w:spacing w:line="360" w:lineRule="auto"/>
        <w:jc w:val="both"/>
        <w:rPr>
          <w:rFonts w:ascii="Palatino Linotype" w:eastAsia="Palatino Linotype" w:hAnsi="Palatino Linotype" w:cs="Palatino Linotype"/>
        </w:rPr>
      </w:pPr>
    </w:p>
    <w:p w14:paraId="32F9F85E" w14:textId="77777777" w:rsidR="002D17AF" w:rsidRPr="00AC0A01" w:rsidRDefault="00C7279D">
      <w:pPr>
        <w:spacing w:line="360" w:lineRule="auto"/>
        <w:ind w:right="51"/>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En consecuencia,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no justificó el impedimento para remitir la información solicitada vía SAIMEX, siendo aplicable por analogía el criterio de interpretación 08/17, emitido por el Instituto Nacional de Transparencia, Acceso a la Información y Protección de Datos Personales, INAI, que es del tenor literal siguiente:</w:t>
      </w:r>
    </w:p>
    <w:p w14:paraId="3ABA043E" w14:textId="77777777" w:rsidR="002D17AF" w:rsidRPr="00AC0A01" w:rsidRDefault="002D17AF">
      <w:pPr>
        <w:spacing w:line="360" w:lineRule="auto"/>
        <w:ind w:right="51"/>
        <w:jc w:val="both"/>
        <w:rPr>
          <w:rFonts w:ascii="Palatino Linotype" w:eastAsia="Palatino Linotype" w:hAnsi="Palatino Linotype" w:cs="Palatino Linotype"/>
        </w:rPr>
      </w:pPr>
    </w:p>
    <w:p w14:paraId="0D418D0D" w14:textId="77777777" w:rsidR="002D17AF" w:rsidRPr="00AC0A01" w:rsidRDefault="00C7279D">
      <w:pPr>
        <w:spacing w:after="120"/>
        <w:ind w:left="851" w:right="900"/>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AC0A01">
        <w:rPr>
          <w:rFonts w:ascii="Palatino Linotype" w:eastAsia="Palatino Linotype" w:hAnsi="Palatino Linotype" w:cs="Palatino Linotype"/>
          <w:i/>
          <w:sz w:val="22"/>
          <w:szCs w:val="22"/>
        </w:rPr>
        <w:t xml:space="preserve">. De una interpretación a los artículos 133 de la Ley General de Transparencia y Acceso a </w:t>
      </w:r>
      <w:r w:rsidRPr="00AC0A01">
        <w:rPr>
          <w:rFonts w:ascii="Palatino Linotype" w:eastAsia="Palatino Linotype" w:hAnsi="Palatino Linotype" w:cs="Palatino Linotype"/>
          <w:i/>
          <w:sz w:val="22"/>
          <w:szCs w:val="22"/>
        </w:rPr>
        <w:lastRenderedPageBreak/>
        <w:t xml:space="preserve">la Información Pública y 136 de la Ley Federal de Transparencia y Acceso a la Información Pública, cuando no sea posible atender la modalidad elegida, la obligación de acceso a la información se tendrá por cumplida cuando el sujeto obligado: </w:t>
      </w:r>
      <w:r w:rsidRPr="00AC0A01">
        <w:rPr>
          <w:rFonts w:ascii="Palatino Linotype" w:eastAsia="Palatino Linotype" w:hAnsi="Palatino Linotype" w:cs="Palatino Linotype"/>
          <w:b/>
          <w:i/>
          <w:sz w:val="22"/>
          <w:szCs w:val="22"/>
        </w:rPr>
        <w:t xml:space="preserve">a) justifique el impedimento para atender la misma </w:t>
      </w:r>
      <w:r w:rsidRPr="00AC0A01">
        <w:rPr>
          <w:rFonts w:ascii="Palatino Linotype" w:eastAsia="Palatino Linotype" w:hAnsi="Palatino Linotype" w:cs="Palatino Linotype"/>
          <w:i/>
          <w:sz w:val="22"/>
          <w:szCs w:val="22"/>
        </w:rPr>
        <w:t xml:space="preserve">y </w:t>
      </w:r>
      <w:r w:rsidRPr="00AC0A01">
        <w:rPr>
          <w:rFonts w:ascii="Palatino Linotype" w:eastAsia="Palatino Linotype" w:hAnsi="Palatino Linotype" w:cs="Palatino Linotype"/>
          <w:b/>
          <w:i/>
          <w:sz w:val="22"/>
          <w:szCs w:val="22"/>
        </w:rPr>
        <w:t>b) se notifique al particular la disposición de la información en todas las modalidades que permita el documento de que se trate</w:t>
      </w:r>
      <w:r w:rsidRPr="00AC0A01">
        <w:rPr>
          <w:rFonts w:ascii="Palatino Linotype" w:eastAsia="Palatino Linotype" w:hAnsi="Palatino Linotype" w:cs="Palatino Linotype"/>
          <w:i/>
          <w:sz w:val="22"/>
          <w:szCs w:val="22"/>
        </w:rPr>
        <w:t>, procurando reducir, en todo momento, los costos de entrega.”(Sic)</w:t>
      </w:r>
    </w:p>
    <w:p w14:paraId="26CCECFD" w14:textId="77777777" w:rsidR="002D17AF" w:rsidRPr="00AC0A01" w:rsidRDefault="002D17AF">
      <w:pPr>
        <w:spacing w:after="240" w:line="360" w:lineRule="auto"/>
        <w:jc w:val="both"/>
        <w:rPr>
          <w:rFonts w:ascii="Palatino Linotype" w:eastAsia="Palatino Linotype" w:hAnsi="Palatino Linotype" w:cs="Palatino Linotype"/>
        </w:rPr>
      </w:pPr>
    </w:p>
    <w:p w14:paraId="1EAC6168"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Por las consideraciones anteriores, resulta procedente aludir que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no fundó, motivó, ni mucho menos justificó la imposibilidad de entregar la información solicitada en un formato electrónico a través del SAIMEX.</w:t>
      </w:r>
    </w:p>
    <w:p w14:paraId="56218ECC" w14:textId="77777777" w:rsidR="002D17AF" w:rsidRPr="00AC0A01" w:rsidRDefault="00C7279D">
      <w:pPr>
        <w:widowControl w:val="0"/>
        <w:tabs>
          <w:tab w:val="left" w:pos="1276"/>
        </w:tabs>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Respecto a la fundamentación y motivación es de señalar que el máximo tribunal del país ha establecido jurisprudencia respecto a qué debe entenderse por fundamentación y motivación, en los siguientes términos:</w:t>
      </w:r>
    </w:p>
    <w:p w14:paraId="607014E7" w14:textId="77777777" w:rsidR="002D17AF" w:rsidRPr="00AC0A01" w:rsidRDefault="00C7279D">
      <w:pPr>
        <w:widowControl w:val="0"/>
        <w:tabs>
          <w:tab w:val="left" w:pos="1276"/>
        </w:tabs>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“FUNDAMENTACIÓN Y MOTIVACIÓN.</w:t>
      </w:r>
      <w:r w:rsidRPr="00AC0A01">
        <w:rPr>
          <w:rFonts w:ascii="Palatino Linotype" w:eastAsia="Palatino Linotype" w:hAnsi="Palatino Linotype" w:cs="Palatino Linotype"/>
          <w:i/>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6DED83B" w14:textId="77777777" w:rsidR="002D17AF" w:rsidRPr="00AC0A01" w:rsidRDefault="00C7279D">
      <w:pPr>
        <w:widowControl w:val="0"/>
        <w:tabs>
          <w:tab w:val="left" w:pos="1276"/>
        </w:tabs>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w:t>
      </w:r>
      <w:r w:rsidRPr="00AC0A01">
        <w:rPr>
          <w:rFonts w:ascii="Palatino Linotype" w:eastAsia="Palatino Linotype" w:hAnsi="Palatino Linotype" w:cs="Palatino Linotype"/>
        </w:rPr>
        <w:lastRenderedPageBreak/>
        <w:t>sostiene que la finalidad de la fundamentación o motivación es la de explicar, justificar, posibilitar la defensa y comunicar la decisión de la autoridad:</w:t>
      </w:r>
    </w:p>
    <w:p w14:paraId="6E1A2201" w14:textId="77777777" w:rsidR="002D17AF" w:rsidRPr="00AC0A01" w:rsidRDefault="00C7279D">
      <w:pPr>
        <w:widowControl w:val="0"/>
        <w:tabs>
          <w:tab w:val="left" w:pos="1276"/>
        </w:tabs>
        <w:ind w:left="851" w:right="902"/>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AC0A01">
        <w:rPr>
          <w:rFonts w:ascii="Palatino Linotype" w:eastAsia="Palatino Linotype" w:hAnsi="Palatino Linotype" w:cs="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B9760A5" w14:textId="77777777" w:rsidR="002D17AF" w:rsidRPr="00AC0A01" w:rsidRDefault="002D17AF">
      <w:pPr>
        <w:widowControl w:val="0"/>
        <w:tabs>
          <w:tab w:val="left" w:pos="1276"/>
        </w:tabs>
        <w:spacing w:line="360" w:lineRule="auto"/>
        <w:jc w:val="both"/>
        <w:rPr>
          <w:rFonts w:ascii="Palatino Linotype" w:eastAsia="Palatino Linotype" w:hAnsi="Palatino Linotype" w:cs="Palatino Linotype"/>
        </w:rPr>
      </w:pPr>
    </w:p>
    <w:p w14:paraId="79638383"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79B9363E" w14:textId="77777777" w:rsidR="002D17AF" w:rsidRPr="00AC0A01" w:rsidRDefault="002D17AF">
      <w:pPr>
        <w:spacing w:line="360" w:lineRule="auto"/>
        <w:jc w:val="both"/>
        <w:rPr>
          <w:rFonts w:ascii="Palatino Linotype" w:eastAsia="Palatino Linotype" w:hAnsi="Palatino Linotype" w:cs="Palatino Linotype"/>
          <w:i/>
          <w:sz w:val="20"/>
          <w:szCs w:val="20"/>
        </w:rPr>
      </w:pPr>
    </w:p>
    <w:p w14:paraId="5162D9E4"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 xml:space="preserve">Así, resulta procedente ordenar la entrega del documento en donde consten todas las actas de sesiones ordinarias y extraordinarias del Consejo Directivo del Organismo Público Descentralizado para la Prestación de los Servicios de Agua Potable, Alcantarillado y Saneamiento del Municipio de Zumpango de los años 2019, 2020, 2021, 2022 y del primero de enero al treinta de mayo del 2023 y de ser procedente en versión pública conforme a lo señalado en el considerando quinto del presente fallo. </w:t>
      </w:r>
    </w:p>
    <w:p w14:paraId="584DD2EC"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Quinto. Versión Pública. </w:t>
      </w:r>
      <w:r w:rsidRPr="00AC0A01">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sin menoscabar el derecho a la protección de los datos personales de terceros.</w:t>
      </w:r>
    </w:p>
    <w:p w14:paraId="3CA1926F" w14:textId="77777777" w:rsidR="002D17AF" w:rsidRPr="00AC0A01" w:rsidRDefault="00C7279D">
      <w:pPr>
        <w:spacing w:after="240" w:line="360" w:lineRule="auto"/>
        <w:ind w:right="50"/>
        <w:jc w:val="both"/>
        <w:rPr>
          <w:rFonts w:ascii="Palatino Linotype" w:eastAsia="Palatino Linotype" w:hAnsi="Palatino Linotype" w:cs="Palatino Linotype"/>
        </w:rPr>
      </w:pPr>
      <w:r w:rsidRPr="00AC0A01">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D7B78FA" w14:textId="77777777" w:rsidR="002D17AF" w:rsidRPr="00AC0A01" w:rsidRDefault="00C7279D">
      <w:pPr>
        <w:ind w:left="993" w:right="1041"/>
        <w:jc w:val="both"/>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i/>
          <w:sz w:val="22"/>
          <w:szCs w:val="22"/>
        </w:rPr>
        <w:t xml:space="preserve"> “Artículo 3. Para los efectos de la presente Ley se entenderá por:</w:t>
      </w:r>
    </w:p>
    <w:p w14:paraId="24DCE1B1"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lastRenderedPageBreak/>
        <w:t>IX. Datos personales:</w:t>
      </w:r>
      <w:r w:rsidRPr="00AC0A01">
        <w:rPr>
          <w:rFonts w:ascii="Palatino Linotype" w:eastAsia="Palatino Linotype" w:hAnsi="Palatino Linotype" w:cs="Palatino Linotype"/>
          <w:i/>
          <w:sz w:val="22"/>
          <w:szCs w:val="22"/>
        </w:rPr>
        <w:t xml:space="preserve"> </w:t>
      </w:r>
      <w:r w:rsidRPr="00AC0A01">
        <w:rPr>
          <w:rFonts w:ascii="Palatino Linotype" w:eastAsia="Palatino Linotype" w:hAnsi="Palatino Linotype" w:cs="Palatino Linotype"/>
          <w:b/>
          <w:i/>
          <w:sz w:val="22"/>
          <w:szCs w:val="22"/>
        </w:rPr>
        <w:t>La información concerniente a una persona, identificada o identificable</w:t>
      </w:r>
      <w:r w:rsidRPr="00AC0A01">
        <w:rPr>
          <w:rFonts w:ascii="Palatino Linotype" w:eastAsia="Palatino Linotype" w:hAnsi="Palatino Linotype" w:cs="Palatino Linotype"/>
          <w:i/>
          <w:sz w:val="22"/>
          <w:szCs w:val="22"/>
        </w:rPr>
        <w:t xml:space="preserve"> según lo dispuesto por la Ley de Protección de Datos Personales del Estado de México;</w:t>
      </w:r>
    </w:p>
    <w:p w14:paraId="48CB1918"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XX. Información clasificada:</w:t>
      </w:r>
      <w:r w:rsidRPr="00AC0A01">
        <w:rPr>
          <w:rFonts w:ascii="Palatino Linotype" w:eastAsia="Palatino Linotype" w:hAnsi="Palatino Linotype" w:cs="Palatino Linotype"/>
          <w:i/>
          <w:sz w:val="22"/>
          <w:szCs w:val="22"/>
        </w:rPr>
        <w:t xml:space="preserve"> Aquella considerada por la presente Ley como reservada o confidencial;</w:t>
      </w:r>
    </w:p>
    <w:p w14:paraId="328E86BC"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XXXII. Protección de Datos Personales:</w:t>
      </w:r>
      <w:r w:rsidRPr="00AC0A01">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0D3AC0C"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XLV. Versión pública</w:t>
      </w:r>
      <w:r w:rsidRPr="00AC0A0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37C025A" w14:textId="77777777" w:rsidR="002D17AF" w:rsidRPr="00AC0A01" w:rsidRDefault="002D17AF">
      <w:pPr>
        <w:ind w:left="993" w:right="1041"/>
        <w:jc w:val="both"/>
        <w:rPr>
          <w:rFonts w:ascii="Palatino Linotype" w:eastAsia="Palatino Linotype" w:hAnsi="Palatino Linotype" w:cs="Palatino Linotype"/>
          <w:i/>
          <w:sz w:val="22"/>
          <w:szCs w:val="22"/>
        </w:rPr>
      </w:pPr>
    </w:p>
    <w:p w14:paraId="77732729"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“Artículo 6.</w:t>
      </w:r>
      <w:r w:rsidRPr="00AC0A01">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7B24276" w14:textId="77777777" w:rsidR="002D17AF" w:rsidRPr="00AC0A01" w:rsidRDefault="002D17AF">
      <w:pPr>
        <w:ind w:left="993" w:right="1041"/>
        <w:jc w:val="both"/>
        <w:rPr>
          <w:rFonts w:ascii="Palatino Linotype" w:eastAsia="Palatino Linotype" w:hAnsi="Palatino Linotype" w:cs="Palatino Linotype"/>
          <w:i/>
          <w:sz w:val="22"/>
          <w:szCs w:val="22"/>
        </w:rPr>
      </w:pPr>
    </w:p>
    <w:p w14:paraId="2CAC785E" w14:textId="77777777" w:rsidR="002D17AF" w:rsidRPr="00AC0A01" w:rsidRDefault="00C7279D">
      <w:pPr>
        <w:ind w:left="993" w:right="1041"/>
        <w:jc w:val="both"/>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i/>
          <w:sz w:val="22"/>
          <w:szCs w:val="22"/>
        </w:rPr>
        <w:t>“Artículo 137.</w:t>
      </w:r>
      <w:r w:rsidRPr="00AC0A0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F927D45" w14:textId="77777777" w:rsidR="002D17AF" w:rsidRPr="00AC0A01" w:rsidRDefault="002D17AF">
      <w:pPr>
        <w:ind w:left="993" w:right="1041"/>
        <w:jc w:val="both"/>
        <w:rPr>
          <w:rFonts w:ascii="Palatino Linotype" w:eastAsia="Palatino Linotype" w:hAnsi="Palatino Linotype" w:cs="Palatino Linotype"/>
          <w:b/>
          <w:i/>
          <w:sz w:val="22"/>
          <w:szCs w:val="22"/>
        </w:rPr>
      </w:pPr>
    </w:p>
    <w:p w14:paraId="61DCB913"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“Artículo 143</w:t>
      </w:r>
      <w:r w:rsidRPr="00AC0A0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BB4F53A"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I.</w:t>
      </w:r>
      <w:r w:rsidRPr="00AC0A01">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8309E6B"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sidRPr="00AC0A01">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1C3A3B86" w14:textId="77777777" w:rsidR="002D17AF" w:rsidRPr="00AC0A01" w:rsidRDefault="00C7279D">
      <w:pPr>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010A568E" w14:textId="77777777" w:rsidR="002D17AF" w:rsidRPr="00AC0A01" w:rsidRDefault="002D17AF">
      <w:pPr>
        <w:ind w:left="993" w:right="1041"/>
        <w:jc w:val="both"/>
        <w:rPr>
          <w:rFonts w:ascii="Palatino Linotype" w:eastAsia="Palatino Linotype" w:hAnsi="Palatino Linotype" w:cs="Palatino Linotype"/>
          <w:i/>
          <w:sz w:val="22"/>
          <w:szCs w:val="22"/>
        </w:rPr>
      </w:pPr>
    </w:p>
    <w:p w14:paraId="04A73505" w14:textId="77777777" w:rsidR="002D17AF" w:rsidRPr="00AC0A01" w:rsidRDefault="00C7279D">
      <w:pPr>
        <w:spacing w:line="360" w:lineRule="auto"/>
        <w:ind w:right="51"/>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DA9B379" w14:textId="77777777" w:rsidR="002D17AF" w:rsidRPr="00AC0A01" w:rsidRDefault="002D17AF">
      <w:pPr>
        <w:spacing w:line="360" w:lineRule="auto"/>
        <w:ind w:right="51"/>
        <w:jc w:val="both"/>
        <w:rPr>
          <w:rFonts w:ascii="Palatino Linotype" w:eastAsia="Palatino Linotype" w:hAnsi="Palatino Linotype" w:cs="Palatino Linotype"/>
        </w:rPr>
      </w:pPr>
    </w:p>
    <w:p w14:paraId="1256DFD7" w14:textId="77777777" w:rsidR="002D17AF" w:rsidRPr="00AC0A01" w:rsidRDefault="00C7279D">
      <w:pPr>
        <w:spacing w:line="360" w:lineRule="auto"/>
        <w:ind w:right="50"/>
        <w:jc w:val="both"/>
        <w:rPr>
          <w:rFonts w:ascii="Palatino Linotype" w:eastAsia="Palatino Linotype" w:hAnsi="Palatino Linotype" w:cs="Palatino Linotype"/>
        </w:rPr>
      </w:pPr>
      <w:r w:rsidRPr="00AC0A0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9D5FC1C" w14:textId="77777777" w:rsidR="002D17AF" w:rsidRPr="00AC0A01" w:rsidRDefault="002D17AF">
      <w:pPr>
        <w:spacing w:line="360" w:lineRule="auto"/>
        <w:ind w:right="50"/>
        <w:jc w:val="both"/>
        <w:rPr>
          <w:rFonts w:ascii="Palatino Linotype" w:eastAsia="Palatino Linotype" w:hAnsi="Palatino Linotype" w:cs="Palatino Linotype"/>
        </w:rPr>
      </w:pPr>
    </w:p>
    <w:p w14:paraId="11357476" w14:textId="77777777" w:rsidR="002D17AF" w:rsidRPr="00AC0A01" w:rsidRDefault="00C7279D">
      <w:pPr>
        <w:spacing w:line="360" w:lineRule="auto"/>
        <w:ind w:right="51"/>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4AC18A20" w14:textId="77777777" w:rsidR="002D17AF" w:rsidRPr="00AC0A01" w:rsidRDefault="002D17AF">
      <w:pPr>
        <w:spacing w:line="360" w:lineRule="auto"/>
        <w:ind w:right="51"/>
        <w:jc w:val="both"/>
        <w:rPr>
          <w:rFonts w:ascii="Palatino Linotype" w:eastAsia="Palatino Linotype" w:hAnsi="Palatino Linotype" w:cs="Palatino Linotype"/>
        </w:rPr>
      </w:pPr>
    </w:p>
    <w:p w14:paraId="7DDCD91B" w14:textId="77777777" w:rsidR="002D17AF" w:rsidRPr="00AC0A01" w:rsidRDefault="00C7279D">
      <w:pPr>
        <w:ind w:left="992" w:right="1043"/>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“Artículo 49.</w:t>
      </w:r>
      <w:r w:rsidRPr="00AC0A01">
        <w:rPr>
          <w:rFonts w:ascii="Palatino Linotype" w:eastAsia="Palatino Linotype" w:hAnsi="Palatino Linotype" w:cs="Palatino Linotype"/>
          <w:i/>
          <w:sz w:val="22"/>
          <w:szCs w:val="22"/>
        </w:rPr>
        <w:t xml:space="preserve"> </w:t>
      </w:r>
      <w:r w:rsidRPr="00AC0A01">
        <w:rPr>
          <w:rFonts w:ascii="Palatino Linotype" w:eastAsia="Palatino Linotype" w:hAnsi="Palatino Linotype" w:cs="Palatino Linotype"/>
          <w:b/>
          <w:i/>
          <w:sz w:val="22"/>
          <w:szCs w:val="22"/>
        </w:rPr>
        <w:t>Los Comités de Transparencia</w:t>
      </w:r>
      <w:r w:rsidRPr="00AC0A01">
        <w:rPr>
          <w:rFonts w:ascii="Palatino Linotype" w:eastAsia="Palatino Linotype" w:hAnsi="Palatino Linotype" w:cs="Palatino Linotype"/>
          <w:i/>
          <w:sz w:val="22"/>
          <w:szCs w:val="22"/>
        </w:rPr>
        <w:t xml:space="preserve"> tendrán las siguientes atribuciones:</w:t>
      </w:r>
    </w:p>
    <w:p w14:paraId="1C81E37C" w14:textId="77777777" w:rsidR="002D17AF" w:rsidRPr="00AC0A01" w:rsidRDefault="00C7279D">
      <w:pPr>
        <w:ind w:left="992" w:right="1043"/>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VIII. Aprobar, modificar o revocar la clasificación de la información</w:t>
      </w:r>
      <w:r w:rsidRPr="00AC0A01">
        <w:rPr>
          <w:rFonts w:ascii="Palatino Linotype" w:eastAsia="Palatino Linotype" w:hAnsi="Palatino Linotype" w:cs="Palatino Linotype"/>
          <w:i/>
          <w:sz w:val="22"/>
          <w:szCs w:val="22"/>
        </w:rPr>
        <w:t>…”</w:t>
      </w:r>
    </w:p>
    <w:p w14:paraId="3E00DD7F" w14:textId="77777777" w:rsidR="002D17AF" w:rsidRPr="00AC0A01" w:rsidRDefault="00C7279D">
      <w:pPr>
        <w:ind w:left="992" w:right="1043"/>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Artículo 53.</w:t>
      </w:r>
      <w:r w:rsidRPr="00AC0A01">
        <w:rPr>
          <w:rFonts w:ascii="Palatino Linotype" w:eastAsia="Palatino Linotype" w:hAnsi="Palatino Linotype" w:cs="Palatino Linotype"/>
          <w:i/>
          <w:sz w:val="22"/>
          <w:szCs w:val="22"/>
        </w:rPr>
        <w:t xml:space="preserve"> Las </w:t>
      </w:r>
      <w:r w:rsidRPr="00AC0A01">
        <w:rPr>
          <w:rFonts w:ascii="Palatino Linotype" w:eastAsia="Palatino Linotype" w:hAnsi="Palatino Linotype" w:cs="Palatino Linotype"/>
          <w:b/>
          <w:i/>
          <w:sz w:val="22"/>
          <w:szCs w:val="22"/>
        </w:rPr>
        <w:t>Unidades de Transparencia</w:t>
      </w:r>
      <w:r w:rsidRPr="00AC0A01">
        <w:rPr>
          <w:rFonts w:ascii="Palatino Linotype" w:eastAsia="Palatino Linotype" w:hAnsi="Palatino Linotype" w:cs="Palatino Linotype"/>
          <w:i/>
          <w:sz w:val="22"/>
          <w:szCs w:val="22"/>
        </w:rPr>
        <w:t xml:space="preserve"> tendrán las siguientes </w:t>
      </w:r>
      <w:r w:rsidRPr="00AC0A01">
        <w:rPr>
          <w:rFonts w:ascii="Palatino Linotype" w:eastAsia="Palatino Linotype" w:hAnsi="Palatino Linotype" w:cs="Palatino Linotype"/>
          <w:b/>
          <w:i/>
          <w:sz w:val="22"/>
          <w:szCs w:val="22"/>
        </w:rPr>
        <w:t>funciones</w:t>
      </w:r>
      <w:r w:rsidRPr="00AC0A01">
        <w:rPr>
          <w:rFonts w:ascii="Palatino Linotype" w:eastAsia="Palatino Linotype" w:hAnsi="Palatino Linotype" w:cs="Palatino Linotype"/>
          <w:i/>
          <w:sz w:val="22"/>
          <w:szCs w:val="22"/>
        </w:rPr>
        <w:t>:</w:t>
      </w:r>
    </w:p>
    <w:p w14:paraId="423E159F" w14:textId="77777777" w:rsidR="002D17AF" w:rsidRPr="00AC0A01" w:rsidRDefault="00C7279D">
      <w:pPr>
        <w:ind w:left="992" w:right="1043"/>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X. Presentar ante el Comité, el proyecto de clasificación de información</w:t>
      </w:r>
      <w:r w:rsidRPr="00AC0A01">
        <w:rPr>
          <w:rFonts w:ascii="Palatino Linotype" w:eastAsia="Palatino Linotype" w:hAnsi="Palatino Linotype" w:cs="Palatino Linotype"/>
          <w:i/>
          <w:sz w:val="22"/>
          <w:szCs w:val="22"/>
        </w:rPr>
        <w:t xml:space="preserve">…” </w:t>
      </w:r>
    </w:p>
    <w:p w14:paraId="62D04F59" w14:textId="77777777" w:rsidR="002D17AF" w:rsidRPr="00AC0A01" w:rsidRDefault="00C7279D">
      <w:pPr>
        <w:ind w:left="992" w:right="1043"/>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“Artículo 59.</w:t>
      </w:r>
      <w:r w:rsidRPr="00AC0A01">
        <w:rPr>
          <w:rFonts w:ascii="Palatino Linotype" w:eastAsia="Palatino Linotype" w:hAnsi="Palatino Linotype" w:cs="Palatino Linotype"/>
          <w:i/>
          <w:sz w:val="22"/>
          <w:szCs w:val="22"/>
        </w:rPr>
        <w:t xml:space="preserve"> Los </w:t>
      </w:r>
      <w:r w:rsidRPr="00AC0A01">
        <w:rPr>
          <w:rFonts w:ascii="Palatino Linotype" w:eastAsia="Palatino Linotype" w:hAnsi="Palatino Linotype" w:cs="Palatino Linotype"/>
          <w:b/>
          <w:i/>
          <w:sz w:val="22"/>
          <w:szCs w:val="22"/>
        </w:rPr>
        <w:t>servidores públicos habilitados</w:t>
      </w:r>
      <w:r w:rsidRPr="00AC0A01">
        <w:rPr>
          <w:rFonts w:ascii="Palatino Linotype" w:eastAsia="Palatino Linotype" w:hAnsi="Palatino Linotype" w:cs="Palatino Linotype"/>
          <w:i/>
          <w:sz w:val="22"/>
          <w:szCs w:val="22"/>
        </w:rPr>
        <w:t xml:space="preserve"> tendrán las </w:t>
      </w:r>
      <w:r w:rsidRPr="00AC0A01">
        <w:rPr>
          <w:rFonts w:ascii="Palatino Linotype" w:eastAsia="Palatino Linotype" w:hAnsi="Palatino Linotype" w:cs="Palatino Linotype"/>
          <w:b/>
          <w:i/>
          <w:sz w:val="22"/>
          <w:szCs w:val="22"/>
        </w:rPr>
        <w:t>funciones</w:t>
      </w:r>
      <w:r w:rsidRPr="00AC0A01">
        <w:rPr>
          <w:rFonts w:ascii="Palatino Linotype" w:eastAsia="Palatino Linotype" w:hAnsi="Palatino Linotype" w:cs="Palatino Linotype"/>
          <w:i/>
          <w:sz w:val="22"/>
          <w:szCs w:val="22"/>
        </w:rPr>
        <w:t xml:space="preserve"> siguientes:</w:t>
      </w:r>
    </w:p>
    <w:p w14:paraId="6C80FA52" w14:textId="77777777" w:rsidR="002D17AF" w:rsidRPr="00AC0A01" w:rsidRDefault="00C7279D">
      <w:pPr>
        <w:ind w:left="992" w:right="1043"/>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C0A01">
        <w:rPr>
          <w:rFonts w:ascii="Palatino Linotype" w:eastAsia="Palatino Linotype" w:hAnsi="Palatino Linotype" w:cs="Palatino Linotype"/>
          <w:i/>
          <w:sz w:val="22"/>
          <w:szCs w:val="22"/>
        </w:rPr>
        <w:t>, la cual tendrá los fundamentos y argumentos en que se basa dicha propuesta…” (Sic)</w:t>
      </w:r>
    </w:p>
    <w:p w14:paraId="2B1018B2" w14:textId="77777777" w:rsidR="002D17AF" w:rsidRPr="00AC0A01" w:rsidRDefault="002D17AF">
      <w:pPr>
        <w:ind w:left="992" w:right="1043"/>
        <w:jc w:val="both"/>
        <w:rPr>
          <w:rFonts w:ascii="Palatino Linotype" w:eastAsia="Palatino Linotype" w:hAnsi="Palatino Linotype" w:cs="Palatino Linotype"/>
          <w:i/>
          <w:sz w:val="22"/>
          <w:szCs w:val="22"/>
        </w:rPr>
      </w:pPr>
    </w:p>
    <w:p w14:paraId="239036B6"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sidRPr="00AC0A01">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14:paraId="6E8FB9FC" w14:textId="77777777" w:rsidR="002D17AF" w:rsidRPr="00AC0A01" w:rsidRDefault="002D17AF">
      <w:pPr>
        <w:spacing w:line="360" w:lineRule="auto"/>
        <w:jc w:val="both"/>
        <w:rPr>
          <w:rFonts w:ascii="Palatino Linotype" w:eastAsia="Palatino Linotype" w:hAnsi="Palatino Linotype" w:cs="Palatino Linotype"/>
        </w:rPr>
      </w:pPr>
    </w:p>
    <w:p w14:paraId="1ADED888"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225A71B" w14:textId="77777777" w:rsidR="002D17AF" w:rsidRPr="00AC0A01" w:rsidRDefault="002D17AF">
      <w:pPr>
        <w:spacing w:line="360" w:lineRule="auto"/>
        <w:jc w:val="both"/>
        <w:rPr>
          <w:rFonts w:ascii="Palatino Linotype" w:eastAsia="Palatino Linotype" w:hAnsi="Palatino Linotype" w:cs="Palatino Linotype"/>
        </w:rPr>
      </w:pPr>
    </w:p>
    <w:p w14:paraId="29889E83" w14:textId="77777777" w:rsidR="002D17AF" w:rsidRPr="00AC0A01" w:rsidRDefault="00C7279D">
      <w:pPr>
        <w:spacing w:after="240"/>
        <w:ind w:left="993" w:right="1041"/>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Artículo 149.</w:t>
      </w:r>
      <w:r w:rsidRPr="00AC0A01">
        <w:rPr>
          <w:rFonts w:ascii="Palatino Linotype" w:eastAsia="Palatino Linotype" w:hAnsi="Palatino Linotype" w:cs="Palatino Linotype"/>
          <w:i/>
          <w:sz w:val="22"/>
          <w:szCs w:val="22"/>
        </w:rPr>
        <w:t xml:space="preserve"> El </w:t>
      </w:r>
      <w:r w:rsidRPr="00AC0A01">
        <w:rPr>
          <w:rFonts w:ascii="Palatino Linotype" w:eastAsia="Palatino Linotype" w:hAnsi="Palatino Linotype" w:cs="Palatino Linotype"/>
          <w:b/>
          <w:i/>
          <w:sz w:val="22"/>
          <w:szCs w:val="22"/>
        </w:rPr>
        <w:t>acuerdo que clasifique la información como confidencial</w:t>
      </w:r>
      <w:r w:rsidRPr="00AC0A0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7935CA0C" w14:textId="77777777" w:rsidR="002D17AF" w:rsidRPr="00AC0A01" w:rsidRDefault="002D17AF">
      <w:pPr>
        <w:spacing w:before="240" w:line="360" w:lineRule="auto"/>
        <w:ind w:right="51"/>
        <w:jc w:val="both"/>
        <w:rPr>
          <w:rFonts w:ascii="Palatino Linotype" w:eastAsia="Palatino Linotype" w:hAnsi="Palatino Linotype" w:cs="Palatino Linotype"/>
          <w:i/>
          <w:sz w:val="22"/>
          <w:szCs w:val="22"/>
        </w:rPr>
      </w:pPr>
    </w:p>
    <w:p w14:paraId="1F9532FC" w14:textId="77777777" w:rsidR="002D17AF" w:rsidRPr="00AC0A01" w:rsidRDefault="00C7279D">
      <w:pPr>
        <w:spacing w:line="360" w:lineRule="auto"/>
        <w:ind w:right="51"/>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Es decir,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9D1B481" w14:textId="77777777" w:rsidR="002D17AF" w:rsidRPr="00AC0A01" w:rsidRDefault="002D17AF">
      <w:pPr>
        <w:spacing w:line="360" w:lineRule="auto"/>
        <w:ind w:right="51"/>
        <w:jc w:val="both"/>
        <w:rPr>
          <w:rFonts w:ascii="Palatino Linotype" w:eastAsia="Palatino Linotype" w:hAnsi="Palatino Linotype" w:cs="Palatino Linotype"/>
        </w:rPr>
      </w:pPr>
    </w:p>
    <w:p w14:paraId="3D06933A"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 xml:space="preserve">Al respecto, se destaca que la versión pública que elabore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AC0A0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AC0A01">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04AF428" w14:textId="77777777" w:rsidR="002D17AF" w:rsidRPr="00AC0A01" w:rsidRDefault="002D17AF">
      <w:pPr>
        <w:ind w:left="709" w:right="709"/>
        <w:jc w:val="both"/>
        <w:rPr>
          <w:rFonts w:ascii="Palatino Linotype" w:eastAsia="Palatino Linotype" w:hAnsi="Palatino Linotype" w:cs="Palatino Linotype"/>
          <w:b/>
          <w:i/>
          <w:sz w:val="22"/>
          <w:szCs w:val="22"/>
        </w:rPr>
      </w:pPr>
    </w:p>
    <w:p w14:paraId="16858570"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B5CEA8A"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i/>
          <w:sz w:val="22"/>
          <w:szCs w:val="22"/>
        </w:rPr>
        <w:t>“</w:t>
      </w:r>
      <w:r w:rsidRPr="00AC0A01">
        <w:rPr>
          <w:rFonts w:ascii="Palatino Linotype" w:eastAsia="Palatino Linotype" w:hAnsi="Palatino Linotype" w:cs="Palatino Linotype"/>
          <w:b/>
          <w:i/>
          <w:sz w:val="22"/>
          <w:szCs w:val="22"/>
        </w:rPr>
        <w:t>Segundo.-</w:t>
      </w:r>
      <w:r w:rsidRPr="00AC0A01">
        <w:rPr>
          <w:rFonts w:ascii="Palatino Linotype" w:eastAsia="Palatino Linotype" w:hAnsi="Palatino Linotype" w:cs="Palatino Linotype"/>
          <w:i/>
          <w:sz w:val="22"/>
          <w:szCs w:val="22"/>
        </w:rPr>
        <w:t xml:space="preserve"> Para efectos de los presentes Lineamientos Generales, se entenderá por:</w:t>
      </w:r>
    </w:p>
    <w:p w14:paraId="569E633C"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XVIII.</w:t>
      </w:r>
      <w:r w:rsidRPr="00AC0A01">
        <w:rPr>
          <w:rFonts w:ascii="Palatino Linotype" w:eastAsia="Palatino Linotype" w:hAnsi="Palatino Linotype" w:cs="Palatino Linotype"/>
          <w:i/>
          <w:sz w:val="22"/>
          <w:szCs w:val="22"/>
        </w:rPr>
        <w:t xml:space="preserve"> </w:t>
      </w:r>
      <w:r w:rsidRPr="00AC0A01">
        <w:rPr>
          <w:rFonts w:ascii="Palatino Linotype" w:eastAsia="Palatino Linotype" w:hAnsi="Palatino Linotype" w:cs="Palatino Linotype"/>
          <w:b/>
          <w:i/>
          <w:sz w:val="22"/>
          <w:szCs w:val="22"/>
        </w:rPr>
        <w:t>Versión pública:</w:t>
      </w:r>
      <w:r w:rsidRPr="00AC0A0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C0A01">
        <w:rPr>
          <w:rFonts w:ascii="Palatino Linotype" w:eastAsia="Palatino Linotype" w:hAnsi="Palatino Linotype" w:cs="Palatino Linotype"/>
          <w:b/>
          <w:i/>
          <w:sz w:val="22"/>
          <w:szCs w:val="22"/>
          <w:u w:val="single"/>
        </w:rPr>
        <w:t>fundando y motivando la</w:t>
      </w:r>
      <w:r w:rsidRPr="00AC0A01">
        <w:rPr>
          <w:rFonts w:ascii="Palatino Linotype" w:eastAsia="Palatino Linotype" w:hAnsi="Palatino Linotype" w:cs="Palatino Linotype"/>
          <w:i/>
          <w:sz w:val="22"/>
          <w:szCs w:val="22"/>
        </w:rPr>
        <w:t xml:space="preserve"> reserva o </w:t>
      </w:r>
      <w:r w:rsidRPr="00AC0A01">
        <w:rPr>
          <w:rFonts w:ascii="Palatino Linotype" w:eastAsia="Palatino Linotype" w:hAnsi="Palatino Linotype" w:cs="Palatino Linotype"/>
          <w:b/>
          <w:i/>
          <w:sz w:val="22"/>
          <w:szCs w:val="22"/>
          <w:u w:val="single"/>
        </w:rPr>
        <w:t>confidencialidad</w:t>
      </w:r>
      <w:r w:rsidRPr="00AC0A01">
        <w:rPr>
          <w:rFonts w:ascii="Palatino Linotype" w:eastAsia="Palatino Linotype" w:hAnsi="Palatino Linotype" w:cs="Palatino Linotype"/>
          <w:i/>
          <w:sz w:val="22"/>
          <w:szCs w:val="22"/>
        </w:rPr>
        <w:t>, a través de la resolución que para tal efecto emita el Comité de Transparencia.</w:t>
      </w:r>
    </w:p>
    <w:p w14:paraId="1551C9FE"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Cuarto.</w:t>
      </w:r>
      <w:r w:rsidRPr="00AC0A0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AC0A01">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14:paraId="7DBEDCE7"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E2D7CA3"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Quinto.</w:t>
      </w:r>
      <w:r w:rsidRPr="00AC0A0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133049"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w:t>
      </w:r>
    </w:p>
    <w:p w14:paraId="45304DC4"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Séptimo.</w:t>
      </w:r>
      <w:r w:rsidRPr="00AC0A01">
        <w:rPr>
          <w:rFonts w:ascii="Palatino Linotype" w:eastAsia="Palatino Linotype" w:hAnsi="Palatino Linotype" w:cs="Palatino Linotype"/>
          <w:i/>
          <w:sz w:val="22"/>
          <w:szCs w:val="22"/>
        </w:rPr>
        <w:t xml:space="preserve"> La clasificación de la información se llevará a cabo en el momento en que:</w:t>
      </w:r>
    </w:p>
    <w:p w14:paraId="69242B99"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I.</w:t>
      </w:r>
      <w:r w:rsidRPr="00AC0A01">
        <w:rPr>
          <w:rFonts w:ascii="Palatino Linotype" w:eastAsia="Palatino Linotype" w:hAnsi="Palatino Linotype" w:cs="Palatino Linotype"/>
          <w:i/>
          <w:sz w:val="22"/>
          <w:szCs w:val="22"/>
        </w:rPr>
        <w:t xml:space="preserve"> Se reciba una solicitud de acceso a la información;</w:t>
      </w:r>
    </w:p>
    <w:p w14:paraId="2BA96CCB" w14:textId="77777777" w:rsidR="002D17AF" w:rsidRPr="00AC0A01" w:rsidRDefault="00C7279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II.</w:t>
      </w:r>
      <w:r w:rsidRPr="00AC0A01">
        <w:rPr>
          <w:rFonts w:ascii="Palatino Linotype" w:eastAsia="Palatino Linotype" w:hAnsi="Palatino Linotype" w:cs="Palatino Linotype"/>
          <w:i/>
          <w:sz w:val="22"/>
          <w:szCs w:val="22"/>
        </w:rPr>
        <w:t xml:space="preserve"> Se  determine mediante resolución del Comité de Transparencia, el órgano garante </w:t>
      </w:r>
    </w:p>
    <w:p w14:paraId="1DBF63EA" w14:textId="77777777" w:rsidR="002D17AF" w:rsidRPr="00AC0A01" w:rsidRDefault="00C7279D">
      <w:pPr>
        <w:pBdr>
          <w:top w:val="nil"/>
          <w:left w:val="nil"/>
          <w:bottom w:val="nil"/>
          <w:right w:val="nil"/>
          <w:between w:val="nil"/>
        </w:pBdr>
        <w:ind w:left="709" w:right="709"/>
        <w:jc w:val="both"/>
      </w:pPr>
      <w:proofErr w:type="gramStart"/>
      <w:r w:rsidRPr="00AC0A01">
        <w:rPr>
          <w:rFonts w:ascii="Palatino Linotype" w:eastAsia="Palatino Linotype" w:hAnsi="Palatino Linotype" w:cs="Palatino Linotype"/>
          <w:i/>
          <w:sz w:val="22"/>
          <w:szCs w:val="22"/>
        </w:rPr>
        <w:t>competente</w:t>
      </w:r>
      <w:proofErr w:type="gramEnd"/>
      <w:r w:rsidRPr="00AC0A01">
        <w:rPr>
          <w:rFonts w:ascii="Palatino Linotype" w:eastAsia="Palatino Linotype" w:hAnsi="Palatino Linotype" w:cs="Palatino Linotype"/>
          <w:i/>
          <w:sz w:val="22"/>
          <w:szCs w:val="22"/>
        </w:rPr>
        <w:t>, o en cumplimiento a una sentencia del Poder Judicial; o</w:t>
      </w:r>
    </w:p>
    <w:p w14:paraId="5268DC60"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III.</w:t>
      </w:r>
      <w:r w:rsidRPr="00AC0A0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BDB3CF2"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4BDE33C"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Octavo.</w:t>
      </w:r>
      <w:r w:rsidRPr="00AC0A0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C34E09"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69595EC" w14:textId="77777777" w:rsidR="002D17AF" w:rsidRPr="00AC0A01" w:rsidRDefault="00C7279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3A552BB"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Noveno.</w:t>
      </w:r>
      <w:r w:rsidRPr="00AC0A0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w:t>
      </w:r>
      <w:r w:rsidRPr="00AC0A01">
        <w:rPr>
          <w:rFonts w:ascii="Palatino Linotype" w:eastAsia="Palatino Linotype" w:hAnsi="Palatino Linotype" w:cs="Palatino Linotype"/>
          <w:i/>
          <w:sz w:val="22"/>
          <w:szCs w:val="22"/>
        </w:rPr>
        <w:lastRenderedPageBreak/>
        <w:t>pública fundando y motivando la clasificación de las partes o secciones que se testen, siguiendo los procedimientos establecidos en el Capítulo IX de los presentes lineamientos.</w:t>
      </w:r>
    </w:p>
    <w:p w14:paraId="18639B2A"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b/>
          <w:i/>
          <w:sz w:val="22"/>
          <w:szCs w:val="22"/>
        </w:rPr>
        <w:t>Décimo.</w:t>
      </w:r>
      <w:r w:rsidRPr="00AC0A0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0445BD2"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9835EA8" w14:textId="77777777" w:rsidR="002D17AF" w:rsidRPr="00AC0A01" w:rsidRDefault="00C7279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Décimo primero.</w:t>
      </w:r>
      <w:r w:rsidRPr="00AC0A0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FD324ED" w14:textId="77777777" w:rsidR="002D17AF" w:rsidRPr="00AC0A01" w:rsidRDefault="002D17AF">
      <w:pPr>
        <w:pBdr>
          <w:top w:val="nil"/>
          <w:left w:val="nil"/>
          <w:bottom w:val="nil"/>
          <w:right w:val="nil"/>
          <w:between w:val="nil"/>
        </w:pBdr>
        <w:ind w:right="709"/>
        <w:jc w:val="both"/>
      </w:pPr>
    </w:p>
    <w:p w14:paraId="423C8664" w14:textId="77777777" w:rsidR="002D17AF" w:rsidRPr="00AC0A01" w:rsidRDefault="00C7279D">
      <w:pPr>
        <w:pBdr>
          <w:top w:val="nil"/>
          <w:left w:val="nil"/>
          <w:bottom w:val="nil"/>
          <w:right w:val="nil"/>
          <w:between w:val="nil"/>
        </w:pBdr>
        <w:ind w:left="709" w:right="709"/>
        <w:jc w:val="both"/>
      </w:pPr>
      <w:r w:rsidRPr="00AC0A01">
        <w:rPr>
          <w:rFonts w:ascii="Palatino Linotype" w:eastAsia="Palatino Linotype" w:hAnsi="Palatino Linotype" w:cs="Palatino Linotype"/>
          <w:i/>
          <w:sz w:val="22"/>
          <w:szCs w:val="22"/>
        </w:rPr>
        <w:t>[…]</w:t>
      </w:r>
    </w:p>
    <w:p w14:paraId="26FC928E" w14:textId="77777777" w:rsidR="002D17AF" w:rsidRPr="00AC0A01" w:rsidRDefault="00C7279D">
      <w:pPr>
        <w:pBdr>
          <w:top w:val="nil"/>
          <w:left w:val="nil"/>
          <w:bottom w:val="nil"/>
          <w:right w:val="nil"/>
          <w:between w:val="nil"/>
        </w:pBdr>
        <w:ind w:left="709" w:right="709"/>
        <w:jc w:val="center"/>
      </w:pPr>
      <w:r w:rsidRPr="00AC0A01">
        <w:rPr>
          <w:rFonts w:ascii="Palatino Linotype" w:eastAsia="Palatino Linotype" w:hAnsi="Palatino Linotype" w:cs="Palatino Linotype"/>
          <w:b/>
          <w:i/>
          <w:sz w:val="22"/>
          <w:szCs w:val="22"/>
        </w:rPr>
        <w:t>CAPÍTULO VIII</w:t>
      </w:r>
    </w:p>
    <w:p w14:paraId="428F1E76" w14:textId="77777777" w:rsidR="002D17AF" w:rsidRPr="00AC0A01" w:rsidRDefault="00C7279D">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AC0A01">
        <w:rPr>
          <w:rFonts w:ascii="Palatino Linotype" w:eastAsia="Palatino Linotype" w:hAnsi="Palatino Linotype" w:cs="Palatino Linotype"/>
          <w:b/>
          <w:i/>
          <w:sz w:val="22"/>
          <w:szCs w:val="22"/>
        </w:rPr>
        <w:t>DE LOS ELEMENTOS PARA LA CLASIFICACIÓN</w:t>
      </w:r>
    </w:p>
    <w:p w14:paraId="07907CA6"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Quincuagésimo</w:t>
      </w:r>
      <w:r w:rsidRPr="00AC0A01">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D0A8F5F"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Quincuagésimo primero</w:t>
      </w:r>
      <w:r w:rsidRPr="00AC0A01">
        <w:rPr>
          <w:rFonts w:ascii="Palatino Linotype" w:eastAsia="Palatino Linotype" w:hAnsi="Palatino Linotype" w:cs="Palatino Linotype"/>
          <w:i/>
          <w:sz w:val="22"/>
          <w:szCs w:val="22"/>
        </w:rPr>
        <w:t>. Toda acta del Comité de Transparencia deberá contener:</w:t>
      </w:r>
    </w:p>
    <w:p w14:paraId="292B09A7"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I. El número de sesión y fecha; </w:t>
      </w:r>
    </w:p>
    <w:p w14:paraId="731E12D9"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II. El nombre del área que solicitó la clasificación de información;</w:t>
      </w:r>
    </w:p>
    <w:p w14:paraId="63C5FE19"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III. La fundamentación legal y motivación correspondiente;</w:t>
      </w:r>
    </w:p>
    <w:p w14:paraId="3DB1FB3F"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IV. La resolución o resoluciones aprobadas; y</w:t>
      </w:r>
    </w:p>
    <w:p w14:paraId="70006485"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V. La rúbrica o firma digital de cada integrante del Comité de Transparencia. </w:t>
      </w:r>
    </w:p>
    <w:p w14:paraId="5A1D2AD7"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lastRenderedPageBreak/>
        <w:t>Las resoluciones del Comité en las que se haya determinado confirmar o modificar la clasificación de información pública como reservada, deberán incluir, cuando menos:</w:t>
      </w:r>
    </w:p>
    <w:p w14:paraId="2C0162EF"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 Los motivos y razonamientos que sustenten la confirmación o modificación de la prueba de daño;</w:t>
      </w:r>
    </w:p>
    <w:p w14:paraId="4C3D22B8"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II. Descripción de las partes o secciones reservadas, en caso de clasificación parcial;</w:t>
      </w:r>
    </w:p>
    <w:p w14:paraId="6069DA03"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III. El periodo por el que mantendrá su clasificación y fecha de expiración; y</w:t>
      </w:r>
    </w:p>
    <w:p w14:paraId="57DD97E1"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IV. El nombre del titular y área encargada de realizar la versión pública del documento, en su caso.</w:t>
      </w:r>
    </w:p>
    <w:p w14:paraId="6B187711"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49CA955"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918F9EC"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b/>
          <w:i/>
          <w:sz w:val="22"/>
          <w:szCs w:val="22"/>
        </w:rPr>
        <w:t>Quincuagésimo segundo</w:t>
      </w:r>
      <w:r w:rsidRPr="00AC0A01">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AC0A01">
        <w:rPr>
          <w:rFonts w:ascii="Palatino Linotype" w:eastAsia="Palatino Linotype" w:hAnsi="Palatino Linotype" w:cs="Palatino Linotype"/>
          <w:i/>
          <w:sz w:val="22"/>
          <w:szCs w:val="22"/>
        </w:rPr>
        <w:t>sobreposición</w:t>
      </w:r>
      <w:proofErr w:type="spellEnd"/>
      <w:r w:rsidRPr="00AC0A01">
        <w:rPr>
          <w:rFonts w:ascii="Palatino Linotype" w:eastAsia="Palatino Linotype" w:hAnsi="Palatino Linotype" w:cs="Palatino Linotype"/>
          <w:i/>
          <w:sz w:val="22"/>
          <w:szCs w:val="22"/>
        </w:rPr>
        <w:t xml:space="preserve"> de contenido distinto al autorizado por el Comité.</w:t>
      </w:r>
    </w:p>
    <w:p w14:paraId="3E38969F"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BF71AF8"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1D26153"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EECA710"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III. Señalar las personas o instancias autorizadas a acceder a la información clasificada.</w:t>
      </w:r>
    </w:p>
    <w:p w14:paraId="47D1D8AB"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p>
    <w:p w14:paraId="5871F960" w14:textId="77777777" w:rsidR="002D17AF" w:rsidRPr="00AC0A01" w:rsidRDefault="00C7279D">
      <w:pPr>
        <w:pBdr>
          <w:top w:val="nil"/>
          <w:left w:val="nil"/>
          <w:bottom w:val="nil"/>
          <w:right w:val="nil"/>
          <w:between w:val="nil"/>
        </w:pBdr>
        <w:spacing w:after="160"/>
        <w:ind w:left="709" w:right="709"/>
        <w:jc w:val="both"/>
      </w:pPr>
      <w:r w:rsidRPr="00AC0A01">
        <w:rPr>
          <w:rFonts w:ascii="Palatino Linotype" w:eastAsia="Palatino Linotype" w:hAnsi="Palatino Linotype" w:cs="Palatino Linotype"/>
          <w:b/>
          <w:i/>
          <w:sz w:val="22"/>
          <w:szCs w:val="22"/>
        </w:rPr>
        <w:t xml:space="preserve">Quincuagésimo tercero. </w:t>
      </w:r>
      <w:r w:rsidRPr="00AC0A01">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roofErr w:type="gramStart"/>
      <w:r w:rsidRPr="00AC0A01">
        <w:rPr>
          <w:rFonts w:ascii="Palatino Linotype" w:eastAsia="Palatino Linotype" w:hAnsi="Palatino Linotype" w:cs="Palatino Linotype"/>
          <w:b/>
          <w:i/>
          <w:sz w:val="22"/>
          <w:szCs w:val="22"/>
          <w:u w:val="single"/>
        </w:rPr>
        <w:t>:</w:t>
      </w:r>
      <w:r w:rsidRPr="00AC0A01">
        <w:rPr>
          <w:rFonts w:ascii="Palatino Linotype" w:eastAsia="Palatino Linotype" w:hAnsi="Palatino Linotype" w:cs="Palatino Linotype"/>
          <w:i/>
          <w:sz w:val="22"/>
          <w:szCs w:val="22"/>
        </w:rPr>
        <w:t>:</w:t>
      </w:r>
      <w:proofErr w:type="gramEnd"/>
    </w:p>
    <w:tbl>
      <w:tblPr>
        <w:tblStyle w:val="a0"/>
        <w:tblW w:w="8833" w:type="dxa"/>
        <w:jc w:val="center"/>
        <w:tblInd w:w="0" w:type="dxa"/>
        <w:tblLayout w:type="fixed"/>
        <w:tblLook w:val="0400" w:firstRow="0" w:lastRow="0" w:firstColumn="0" w:lastColumn="0" w:noHBand="0" w:noVBand="1"/>
      </w:tblPr>
      <w:tblGrid>
        <w:gridCol w:w="1660"/>
        <w:gridCol w:w="1980"/>
        <w:gridCol w:w="5193"/>
      </w:tblGrid>
      <w:tr w:rsidR="00AC0A01" w:rsidRPr="00AC0A01" w14:paraId="07A81C11"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2778CF3D" w14:textId="77777777" w:rsidR="002D17AF" w:rsidRPr="00AC0A01" w:rsidRDefault="002D17AF"/>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31832"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4297A"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b/>
                <w:i/>
              </w:rPr>
              <w:t>Dónde:</w:t>
            </w:r>
          </w:p>
        </w:tc>
      </w:tr>
      <w:tr w:rsidR="00AC0A01" w:rsidRPr="00AC0A01" w14:paraId="064E5E20"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497D7C"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FD890"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3CFF9"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Se anotará la fecha en la que el Comité de Transparencia confirmó la clasificación del documento o expediente, en su caso.</w:t>
            </w:r>
          </w:p>
        </w:tc>
      </w:tr>
      <w:tr w:rsidR="00AC0A01" w:rsidRPr="00AC0A01" w14:paraId="06414EE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7D9CDD"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77657"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3E051"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Se señalará el nombre del área del cual es titular quien clasifica.</w:t>
            </w:r>
          </w:p>
        </w:tc>
      </w:tr>
      <w:tr w:rsidR="00AC0A01" w:rsidRPr="00AC0A01" w14:paraId="3A16485E"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BE435"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E9042"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10700"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AC0A01" w:rsidRPr="00AC0A01" w14:paraId="66CF730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E30EED"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0463B"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31EC0"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AC0A01" w:rsidRPr="00AC0A01" w14:paraId="490F7C7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BE39A"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7568D"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01D43"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Se señalará el nombre del ordenamiento, el o los artículos, fracción(es), párrafo(s) con base en los cuales se sustente la reserva.</w:t>
            </w:r>
          </w:p>
        </w:tc>
      </w:tr>
      <w:tr w:rsidR="00AC0A01" w:rsidRPr="00AC0A01" w14:paraId="5317A27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26B513"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D7D8E"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6A0E8"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C0A01" w:rsidRPr="00AC0A01" w14:paraId="31BE8FD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C0CCA8"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81490"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98F62"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Rúbrica autógrafa o firma digital de quien clasifica.</w:t>
            </w:r>
          </w:p>
        </w:tc>
      </w:tr>
      <w:tr w:rsidR="00AC0A01" w:rsidRPr="00AC0A01" w14:paraId="7443428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14B39"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FD048"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61653"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Se anotará la fecha en que se desclasifica el documento.</w:t>
            </w:r>
          </w:p>
        </w:tc>
      </w:tr>
      <w:tr w:rsidR="00AC0A01" w:rsidRPr="00AC0A01" w14:paraId="7662470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BD663" w14:textId="77777777" w:rsidR="002D17AF" w:rsidRPr="00AC0A01" w:rsidRDefault="002D17AF">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C675D" w14:textId="77777777" w:rsidR="002D17AF" w:rsidRPr="00AC0A01" w:rsidRDefault="00C7279D">
            <w:pPr>
              <w:pBdr>
                <w:top w:val="nil"/>
                <w:left w:val="nil"/>
                <w:bottom w:val="nil"/>
                <w:right w:val="nil"/>
                <w:between w:val="nil"/>
              </w:pBdr>
              <w:jc w:val="center"/>
            </w:pPr>
            <w:r w:rsidRPr="00AC0A01">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5614A0" w14:textId="77777777" w:rsidR="002D17AF" w:rsidRPr="00AC0A01" w:rsidRDefault="00C7279D">
            <w:pPr>
              <w:pBdr>
                <w:top w:val="nil"/>
                <w:left w:val="nil"/>
                <w:bottom w:val="nil"/>
                <w:right w:val="nil"/>
                <w:between w:val="nil"/>
              </w:pBdr>
              <w:jc w:val="both"/>
            </w:pPr>
            <w:r w:rsidRPr="00AC0A01">
              <w:rPr>
                <w:rFonts w:ascii="Palatino Linotype" w:eastAsia="Palatino Linotype" w:hAnsi="Palatino Linotype" w:cs="Palatino Linotype"/>
                <w:i/>
              </w:rPr>
              <w:t>Rúbrica autógrafa o firma digital de quien desclasifica.</w:t>
            </w:r>
          </w:p>
        </w:tc>
      </w:tr>
      <w:tr w:rsidR="00AC0A01" w:rsidRPr="00AC0A01" w14:paraId="6D925C16"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B5F43" w14:textId="77777777" w:rsidR="002D17AF" w:rsidRPr="00AC0A01" w:rsidRDefault="002D17AF">
            <w:pPr>
              <w:widowControl w:val="0"/>
              <w:pBdr>
                <w:top w:val="nil"/>
                <w:left w:val="nil"/>
                <w:bottom w:val="nil"/>
                <w:right w:val="nil"/>
                <w:between w:val="nil"/>
              </w:pBdr>
              <w:spacing w:line="276" w:lineRule="auto"/>
            </w:pPr>
          </w:p>
        </w:tc>
      </w:tr>
    </w:tbl>
    <w:p w14:paraId="22E3B486" w14:textId="77777777" w:rsidR="002D17AF" w:rsidRPr="00AC0A01" w:rsidRDefault="00C7279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4914E53" w14:textId="77777777" w:rsidR="002D17AF" w:rsidRPr="00AC0A01" w:rsidRDefault="00C7279D">
      <w:pPr>
        <w:pBdr>
          <w:top w:val="nil"/>
          <w:left w:val="nil"/>
          <w:bottom w:val="nil"/>
          <w:right w:val="nil"/>
          <w:between w:val="nil"/>
        </w:pBdr>
        <w:spacing w:after="160"/>
        <w:ind w:left="709" w:right="709"/>
        <w:jc w:val="both"/>
      </w:pPr>
      <w:r w:rsidRPr="00AC0A01">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AC0A01">
        <w:rPr>
          <w:rFonts w:ascii="Palatino Linotype" w:eastAsia="Palatino Linotype" w:hAnsi="Palatino Linotype" w:cs="Palatino Linotype"/>
          <w:i/>
          <w:sz w:val="22"/>
          <w:szCs w:val="22"/>
        </w:rPr>
        <w:t>testado</w:t>
      </w:r>
      <w:proofErr w:type="spellEnd"/>
      <w:r w:rsidRPr="00AC0A01">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2576913C" w14:textId="77777777" w:rsidR="002D17AF" w:rsidRPr="00AC0A01" w:rsidRDefault="002D17AF">
      <w:pPr>
        <w:jc w:val="both"/>
      </w:pPr>
    </w:p>
    <w:p w14:paraId="50AE5E6C" w14:textId="77777777" w:rsidR="002D17AF" w:rsidRPr="00AC0A01" w:rsidRDefault="002D17AF"/>
    <w:p w14:paraId="4C6934D8" w14:textId="77777777" w:rsidR="002D17AF" w:rsidRPr="00AC0A01" w:rsidRDefault="00C7279D">
      <w:pPr>
        <w:spacing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B1D139D" w14:textId="77777777" w:rsidR="002D17AF" w:rsidRPr="00AC0A01" w:rsidRDefault="002D17AF">
      <w:pPr>
        <w:spacing w:line="360" w:lineRule="auto"/>
        <w:jc w:val="both"/>
        <w:rPr>
          <w:rFonts w:ascii="Palatino Linotype" w:eastAsia="Palatino Linotype" w:hAnsi="Palatino Linotype" w:cs="Palatino Linotype"/>
        </w:rPr>
      </w:pPr>
    </w:p>
    <w:p w14:paraId="25866360" w14:textId="77777777" w:rsidR="002D17AF" w:rsidRPr="00AC0A01" w:rsidRDefault="00C7279D">
      <w:pPr>
        <w:shd w:val="clear" w:color="auto" w:fill="FFFFFF"/>
        <w:spacing w:line="360" w:lineRule="auto"/>
        <w:ind w:right="51"/>
        <w:jc w:val="both"/>
        <w:rPr>
          <w:rFonts w:ascii="Palatino Linotype" w:eastAsia="Palatino Linotype" w:hAnsi="Palatino Linotype" w:cs="Palatino Linotype"/>
        </w:rPr>
      </w:pPr>
      <w:r w:rsidRPr="00AC0A0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sidRPr="00AC0A01">
        <w:rPr>
          <w:rFonts w:ascii="Palatino Linotype" w:eastAsia="Palatino Linotype" w:hAnsi="Palatino Linotype" w:cs="Palatino Linotype"/>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w:t>
      </w:r>
    </w:p>
    <w:p w14:paraId="2F9F1EBC" w14:textId="77777777" w:rsidR="002D17AF" w:rsidRPr="00AC0A01" w:rsidRDefault="002D17AF">
      <w:pPr>
        <w:spacing w:line="360" w:lineRule="auto"/>
        <w:jc w:val="both"/>
        <w:rPr>
          <w:rFonts w:ascii="Palatino Linotype" w:eastAsia="Palatino Linotype" w:hAnsi="Palatino Linotype" w:cs="Palatino Linotype"/>
        </w:rPr>
      </w:pPr>
    </w:p>
    <w:p w14:paraId="066AE95E" w14:textId="77777777" w:rsidR="002D17AF" w:rsidRPr="00AC0A01" w:rsidRDefault="00C7279D">
      <w:pPr>
        <w:spacing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4E87712C" w14:textId="77777777" w:rsidR="002D17AF" w:rsidRPr="00AC0A01" w:rsidRDefault="00C7279D">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C0A01">
        <w:rPr>
          <w:rFonts w:ascii="Palatino Linotype" w:eastAsia="Palatino Linotype" w:hAnsi="Palatino Linotype" w:cs="Palatino Linotype"/>
          <w:b/>
          <w:sz w:val="22"/>
          <w:szCs w:val="22"/>
        </w:rPr>
        <w:t>R E S U E L V E:</w:t>
      </w:r>
    </w:p>
    <w:p w14:paraId="3D0D7D66" w14:textId="77777777" w:rsidR="002D17AF" w:rsidRPr="00AC0A01" w:rsidRDefault="00C7279D">
      <w:pPr>
        <w:spacing w:before="240" w:after="24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Primero. </w:t>
      </w:r>
      <w:r w:rsidRPr="00AC0A01">
        <w:rPr>
          <w:rFonts w:ascii="Palatino Linotype" w:eastAsia="Palatino Linotype" w:hAnsi="Palatino Linotype" w:cs="Palatino Linotype"/>
        </w:rPr>
        <w:t xml:space="preserve">Resultan fundados los motivos de inconformidad hechos valer por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en el Recurso de Revisión </w:t>
      </w:r>
      <w:r w:rsidRPr="00AC0A01">
        <w:rPr>
          <w:rFonts w:ascii="Palatino Linotype" w:eastAsia="Palatino Linotype" w:hAnsi="Palatino Linotype" w:cs="Palatino Linotype"/>
          <w:b/>
        </w:rPr>
        <w:t xml:space="preserve">03829/INFOEM/IP/RR/2023; </w:t>
      </w:r>
      <w:r w:rsidRPr="00AC0A01">
        <w:rPr>
          <w:rFonts w:ascii="Palatino Linotype" w:eastAsia="Palatino Linotype" w:hAnsi="Palatino Linotype" w:cs="Palatino Linotype"/>
        </w:rPr>
        <w:t xml:space="preserve">por lo que, en términos del considerando </w:t>
      </w:r>
      <w:r w:rsidRPr="00AC0A01">
        <w:rPr>
          <w:rFonts w:ascii="Palatino Linotype" w:eastAsia="Palatino Linotype" w:hAnsi="Palatino Linotype" w:cs="Palatino Linotype"/>
          <w:b/>
        </w:rPr>
        <w:t xml:space="preserve">Cuarto </w:t>
      </w:r>
      <w:r w:rsidRPr="00AC0A01">
        <w:rPr>
          <w:rFonts w:ascii="Palatino Linotype" w:eastAsia="Palatino Linotype" w:hAnsi="Palatino Linotype" w:cs="Palatino Linotype"/>
        </w:rPr>
        <w:t xml:space="preserve">de esta resolución, se </w:t>
      </w:r>
      <w:r w:rsidRPr="00AC0A01">
        <w:rPr>
          <w:rFonts w:ascii="Palatino Linotype" w:eastAsia="Palatino Linotype" w:hAnsi="Palatino Linotype" w:cs="Palatino Linotype"/>
          <w:b/>
        </w:rPr>
        <w:t xml:space="preserve">REVOCA </w:t>
      </w:r>
      <w:r w:rsidRPr="00AC0A01">
        <w:rPr>
          <w:rFonts w:ascii="Palatino Linotype" w:eastAsia="Palatino Linotype" w:hAnsi="Palatino Linotype" w:cs="Palatino Linotype"/>
        </w:rPr>
        <w:t xml:space="preserve">la respuesta emitida por 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w:t>
      </w:r>
    </w:p>
    <w:p w14:paraId="499098C8" w14:textId="77777777" w:rsidR="002D17AF" w:rsidRPr="00AC0A01" w:rsidRDefault="00C7279D">
      <w:pPr>
        <w:spacing w:before="240" w:after="240"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Segundo. </w:t>
      </w:r>
      <w:r w:rsidRPr="00AC0A01">
        <w:rPr>
          <w:rFonts w:ascii="Palatino Linotype" w:eastAsia="Palatino Linotype" w:hAnsi="Palatino Linotype" w:cs="Palatino Linotype"/>
        </w:rPr>
        <w:t>Se</w:t>
      </w:r>
      <w:r w:rsidRPr="00AC0A01">
        <w:rPr>
          <w:rFonts w:ascii="Palatino Linotype" w:eastAsia="Palatino Linotype" w:hAnsi="Palatino Linotype" w:cs="Palatino Linotype"/>
          <w:b/>
        </w:rPr>
        <w:t xml:space="preserve"> ORDENA </w:t>
      </w:r>
      <w:r w:rsidRPr="00AC0A01">
        <w:rPr>
          <w:rFonts w:ascii="Palatino Linotype" w:eastAsia="Palatino Linotype" w:hAnsi="Palatino Linotype" w:cs="Palatino Linotype"/>
        </w:rPr>
        <w:t xml:space="preserve">al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a que,</w:t>
      </w:r>
      <w:r w:rsidRPr="00AC0A01">
        <w:rPr>
          <w:rFonts w:ascii="Palatino Linotype" w:eastAsia="Palatino Linotype" w:hAnsi="Palatino Linotype" w:cs="Palatino Linotype"/>
          <w:b/>
        </w:rPr>
        <w:t xml:space="preserve"> </w:t>
      </w:r>
      <w:r w:rsidRPr="00AC0A01">
        <w:rPr>
          <w:rFonts w:ascii="Palatino Linotype" w:eastAsia="Palatino Linotype" w:hAnsi="Palatino Linotype" w:cs="Palatino Linotype"/>
        </w:rPr>
        <w:t>en términos del Considerando Cuarto y Quinto, haga entrega vía SAIMEX, en versión pública de ser procedente, de:</w:t>
      </w:r>
    </w:p>
    <w:p w14:paraId="4B420B9E" w14:textId="77777777" w:rsidR="002D17AF" w:rsidRPr="00AC0A01" w:rsidRDefault="00C7279D">
      <w:pPr>
        <w:numPr>
          <w:ilvl w:val="0"/>
          <w:numId w:val="2"/>
        </w:numPr>
        <w:pBdr>
          <w:top w:val="nil"/>
          <w:left w:val="nil"/>
          <w:bottom w:val="nil"/>
          <w:right w:val="nil"/>
          <w:between w:val="nil"/>
        </w:pBdr>
        <w:spacing w:before="280" w:line="360" w:lineRule="auto"/>
        <w:jc w:val="both"/>
        <w:rPr>
          <w:rFonts w:ascii="Palatino Linotype" w:eastAsia="Palatino Linotype" w:hAnsi="Palatino Linotype" w:cs="Palatino Linotype"/>
        </w:rPr>
      </w:pPr>
      <w:r w:rsidRPr="00AC0A01">
        <w:rPr>
          <w:rFonts w:ascii="Palatino Linotype" w:eastAsia="Palatino Linotype" w:hAnsi="Palatino Linotype" w:cs="Palatino Linotype"/>
        </w:rPr>
        <w:lastRenderedPageBreak/>
        <w:t>Las actas de sesiones ordinarias y extraordinarias del Consejo Directivo del Organismo Público Descentralizado para la Prestación de los Servicios de Agua Potable, Alcantarillado y Saneamiento del Municipio de Zumpango de los años 2019, 2020, 2021, 2022 y del primero de enero al treinta de mayo del 2023.</w:t>
      </w:r>
    </w:p>
    <w:p w14:paraId="3FC499DE" w14:textId="77777777" w:rsidR="002D17AF" w:rsidRPr="00AC0A01" w:rsidRDefault="00C7279D">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AC0A01">
        <w:rPr>
          <w:rFonts w:ascii="Palatino Linotype" w:eastAsia="Palatino Linotype" w:hAnsi="Palatino Linotype" w:cs="Palatino Linotype"/>
          <w:i/>
          <w:sz w:val="22"/>
          <w:szCs w:val="22"/>
        </w:rPr>
        <w:t>De ser procedente, 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44FC1F2" w14:textId="77777777" w:rsidR="002D17AF" w:rsidRPr="00AC0A01" w:rsidRDefault="002D17AF">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32D05B20" w14:textId="77777777" w:rsidR="002D17AF" w:rsidRPr="00AC0A01" w:rsidRDefault="00C7279D">
      <w:pPr>
        <w:spacing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b/>
        </w:rPr>
        <w:t xml:space="preserve">Tercero. Notifíquese, </w:t>
      </w:r>
      <w:r w:rsidRPr="00AC0A01">
        <w:rPr>
          <w:rFonts w:ascii="Palatino Linotype" w:eastAsia="Palatino Linotype" w:hAnsi="Palatino Linotype" w:cs="Palatino Linotype"/>
        </w:rPr>
        <w:t xml:space="preserve">vía </w:t>
      </w:r>
      <w:r w:rsidRPr="00AC0A01">
        <w:rPr>
          <w:rFonts w:ascii="Palatino Linotype" w:eastAsia="Palatino Linotype" w:hAnsi="Palatino Linotype" w:cs="Palatino Linotype"/>
          <w:b/>
        </w:rPr>
        <w:t>SAIMEX</w:t>
      </w:r>
      <w:r w:rsidRPr="00AC0A01">
        <w:rPr>
          <w:rFonts w:ascii="Palatino Linotype" w:eastAsia="Palatino Linotype" w:hAnsi="Palatino Linotype" w:cs="Palatino Linotype"/>
        </w:rPr>
        <w:t xml:space="preserve">, al Titular de la Unidad de Transparencia del </w:t>
      </w:r>
      <w:r w:rsidRPr="00AC0A01">
        <w:rPr>
          <w:rFonts w:ascii="Palatino Linotype" w:eastAsia="Palatino Linotype" w:hAnsi="Palatino Linotype" w:cs="Palatino Linotype"/>
          <w:b/>
        </w:rPr>
        <w:t>SUJETO OBLIGADO,</w:t>
      </w:r>
      <w:r w:rsidRPr="00AC0A01">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4497FD" w14:textId="77777777" w:rsidR="002D17AF" w:rsidRPr="00AC0A01" w:rsidRDefault="002D17AF">
      <w:pPr>
        <w:spacing w:line="360" w:lineRule="auto"/>
        <w:ind w:right="49"/>
        <w:jc w:val="both"/>
        <w:rPr>
          <w:rFonts w:ascii="Palatino Linotype" w:eastAsia="Palatino Linotype" w:hAnsi="Palatino Linotype" w:cs="Palatino Linotype"/>
          <w:b/>
        </w:rPr>
      </w:pPr>
    </w:p>
    <w:p w14:paraId="2887BC0C" w14:textId="77777777" w:rsidR="002D17AF" w:rsidRPr="00AC0A01" w:rsidRDefault="00C7279D">
      <w:pPr>
        <w:spacing w:line="360" w:lineRule="auto"/>
        <w:ind w:right="49"/>
        <w:jc w:val="both"/>
        <w:rPr>
          <w:rFonts w:ascii="Palatino Linotype" w:eastAsia="Palatino Linotype" w:hAnsi="Palatino Linotype" w:cs="Palatino Linotype"/>
        </w:rPr>
      </w:pPr>
      <w:r w:rsidRPr="00AC0A01">
        <w:rPr>
          <w:rFonts w:ascii="Palatino Linotype" w:eastAsia="Palatino Linotype" w:hAnsi="Palatino Linotype" w:cs="Palatino Linotype"/>
          <w:b/>
        </w:rPr>
        <w:lastRenderedPageBreak/>
        <w:t>Cuarto. Notifíquese vía SAIMEX</w:t>
      </w:r>
      <w:r w:rsidRPr="00AC0A01">
        <w:rPr>
          <w:rFonts w:ascii="Palatino Linotype" w:eastAsia="Palatino Linotype" w:hAnsi="Palatino Linotype" w:cs="Palatino Linotype"/>
        </w:rPr>
        <w:t xml:space="preserve">, a la parte </w:t>
      </w:r>
      <w:r w:rsidRPr="00AC0A01">
        <w:rPr>
          <w:rFonts w:ascii="Palatino Linotype" w:eastAsia="Palatino Linotype" w:hAnsi="Palatino Linotype" w:cs="Palatino Linotype"/>
          <w:b/>
        </w:rPr>
        <w:t>RECURRENTE</w:t>
      </w:r>
      <w:r w:rsidRPr="00AC0A0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A45EB01" w14:textId="77777777" w:rsidR="002D17AF" w:rsidRPr="00AC0A01" w:rsidRDefault="00C7279D">
      <w:pPr>
        <w:spacing w:before="240" w:after="240" w:line="360" w:lineRule="auto"/>
        <w:jc w:val="both"/>
        <w:rPr>
          <w:rFonts w:ascii="Palatino Linotype" w:eastAsia="Palatino Linotype" w:hAnsi="Palatino Linotype" w:cs="Palatino Linotype"/>
          <w:b/>
        </w:rPr>
      </w:pPr>
      <w:r w:rsidRPr="00AC0A01">
        <w:rPr>
          <w:rFonts w:ascii="Palatino Linotype" w:eastAsia="Palatino Linotype" w:hAnsi="Palatino Linotype" w:cs="Palatino Linotype"/>
          <w:b/>
        </w:rPr>
        <w:t>Quinto.</w:t>
      </w:r>
      <w:r w:rsidRPr="00AC0A0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556C9D" w14:textId="20D186B7" w:rsidR="002D17AF" w:rsidRPr="00AC0A01" w:rsidRDefault="00C7279D">
      <w:pPr>
        <w:spacing w:before="240" w:after="240" w:line="360" w:lineRule="auto"/>
        <w:jc w:val="both"/>
        <w:rPr>
          <w:rFonts w:ascii="Palatino Linotype" w:eastAsia="Palatino Linotype" w:hAnsi="Palatino Linotype" w:cs="Palatino Linotype"/>
        </w:rPr>
      </w:pPr>
      <w:bookmarkStart w:id="6" w:name="_heading=h.17dp8vu" w:colFirst="0" w:colLast="0"/>
      <w:bookmarkEnd w:id="6"/>
      <w:r w:rsidRPr="00AC0A0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DIECISIETE DE ENERO DEL DOS MIL VEINTICUATRO, ANTE EL SECRETARIO TÉCNICO DEL PLENO ALEXIS TAPIA RAMÍREZ.</w:t>
      </w:r>
    </w:p>
    <w:p w14:paraId="2129D4A1" w14:textId="5CCED62A" w:rsidR="00AC0A01" w:rsidRPr="00AC0A01" w:rsidRDefault="00AC0A01">
      <w:pPr>
        <w:spacing w:before="240" w:after="240" w:line="360" w:lineRule="auto"/>
        <w:jc w:val="both"/>
        <w:rPr>
          <w:rFonts w:ascii="Palatino Linotype" w:eastAsia="Palatino Linotype" w:hAnsi="Palatino Linotype" w:cs="Palatino Linotype"/>
        </w:rPr>
      </w:pPr>
    </w:p>
    <w:p w14:paraId="05FAF383" w14:textId="075C8B6F" w:rsidR="00AC0A01" w:rsidRPr="00AC0A01" w:rsidRDefault="00AC0A01">
      <w:pPr>
        <w:spacing w:before="240" w:after="240" w:line="360" w:lineRule="auto"/>
        <w:jc w:val="both"/>
        <w:rPr>
          <w:rFonts w:ascii="Palatino Linotype" w:eastAsia="Palatino Linotype" w:hAnsi="Palatino Linotype" w:cs="Palatino Linotype"/>
        </w:rPr>
      </w:pPr>
    </w:p>
    <w:p w14:paraId="045DE690" w14:textId="2162CF7F" w:rsidR="00AC0A01" w:rsidRPr="00AC0A01" w:rsidRDefault="00AC0A01">
      <w:pPr>
        <w:spacing w:before="240" w:after="240" w:line="360" w:lineRule="auto"/>
        <w:jc w:val="both"/>
        <w:rPr>
          <w:rFonts w:ascii="Palatino Linotype" w:eastAsia="Palatino Linotype" w:hAnsi="Palatino Linotype" w:cs="Palatino Linotype"/>
        </w:rPr>
      </w:pPr>
    </w:p>
    <w:p w14:paraId="66BF02EA" w14:textId="77777777" w:rsidR="00AC0A01" w:rsidRPr="00AC0A01" w:rsidRDefault="00AC0A01">
      <w:pPr>
        <w:spacing w:before="240" w:after="240" w:line="360" w:lineRule="auto"/>
        <w:jc w:val="both"/>
        <w:rPr>
          <w:rFonts w:ascii="Palatino Linotype" w:eastAsia="Palatino Linotype" w:hAnsi="Palatino Linotype" w:cs="Palatino Linotype"/>
        </w:rPr>
      </w:pPr>
    </w:p>
    <w:sectPr w:rsidR="00AC0A01" w:rsidRPr="00AC0A01">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18C98" w14:textId="77777777" w:rsidR="000605DB" w:rsidRDefault="000605DB">
      <w:r>
        <w:separator/>
      </w:r>
    </w:p>
  </w:endnote>
  <w:endnote w:type="continuationSeparator" w:id="0">
    <w:p w14:paraId="790800BB" w14:textId="77777777" w:rsidR="000605DB" w:rsidRDefault="00060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C4212" w14:textId="77777777" w:rsidR="002D17AF" w:rsidRDefault="00C727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693FA88B" w14:textId="77777777" w:rsidR="002D17AF" w:rsidRDefault="002D17A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04964" w14:textId="77777777" w:rsidR="002D17AF" w:rsidRDefault="00C727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2CCC46B7" w14:textId="77777777" w:rsidR="002D17AF" w:rsidRDefault="002D17A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2E99F" w14:textId="77777777" w:rsidR="000605DB" w:rsidRDefault="000605DB">
      <w:r>
        <w:separator/>
      </w:r>
    </w:p>
  </w:footnote>
  <w:footnote w:type="continuationSeparator" w:id="0">
    <w:p w14:paraId="61556E61" w14:textId="77777777" w:rsidR="000605DB" w:rsidRDefault="00060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9211C" w14:textId="77777777" w:rsidR="002D17AF" w:rsidRDefault="00C7279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1741417" wp14:editId="5D335E11">
          <wp:simplePos x="0" y="0"/>
          <wp:positionH relativeFrom="column">
            <wp:posOffset>-1080133</wp:posOffset>
          </wp:positionH>
          <wp:positionV relativeFrom="paragraph">
            <wp:posOffset>-488313</wp:posOffset>
          </wp:positionV>
          <wp:extent cx="7809865" cy="101657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2D17AF" w14:paraId="2F9A67A6" w14:textId="77777777">
      <w:tc>
        <w:tcPr>
          <w:tcW w:w="2489" w:type="dxa"/>
          <w:shd w:val="clear" w:color="auto" w:fill="auto"/>
        </w:tcPr>
        <w:p w14:paraId="0E87E25A" w14:textId="77777777" w:rsidR="002D17AF" w:rsidRDefault="00C727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E034C7F" w14:textId="77777777" w:rsidR="002D17AF" w:rsidRDefault="00C7279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03829/INFOEM/IP/RR/2023</w:t>
          </w:r>
        </w:p>
      </w:tc>
    </w:tr>
    <w:tr w:rsidR="002D17AF" w14:paraId="2CD5A50F" w14:textId="77777777">
      <w:trPr>
        <w:trHeight w:val="228"/>
      </w:trPr>
      <w:tc>
        <w:tcPr>
          <w:tcW w:w="2489" w:type="dxa"/>
          <w:shd w:val="clear" w:color="auto" w:fill="auto"/>
          <w:vAlign w:val="center"/>
        </w:tcPr>
        <w:p w14:paraId="51871808" w14:textId="77777777" w:rsidR="002D17AF" w:rsidRDefault="00C727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6B1C4BF" w14:textId="77777777" w:rsidR="002D17AF" w:rsidRDefault="00C7279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Zumpango.</w:t>
          </w:r>
        </w:p>
      </w:tc>
    </w:tr>
    <w:tr w:rsidR="002D17AF" w14:paraId="3CFEC7A2" w14:textId="77777777">
      <w:tc>
        <w:tcPr>
          <w:tcW w:w="2489" w:type="dxa"/>
          <w:shd w:val="clear" w:color="auto" w:fill="auto"/>
          <w:vAlign w:val="center"/>
        </w:tcPr>
        <w:p w14:paraId="1B2A09D7" w14:textId="77777777" w:rsidR="002D17AF" w:rsidRDefault="00C7279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6C84B55" w14:textId="77777777" w:rsidR="002D17AF" w:rsidRDefault="00C7279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3D5DD5" w14:textId="77777777" w:rsidR="002D17AF" w:rsidRDefault="00C7279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92A0B" w14:textId="77777777" w:rsidR="002D17AF" w:rsidRDefault="002D17A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1"/>
      <w:tblW w:w="5670" w:type="dxa"/>
      <w:tblInd w:w="3261" w:type="dxa"/>
      <w:tblLayout w:type="fixed"/>
      <w:tblLook w:val="0400" w:firstRow="0" w:lastRow="0" w:firstColumn="0" w:lastColumn="0" w:noHBand="0" w:noVBand="1"/>
    </w:tblPr>
    <w:tblGrid>
      <w:gridCol w:w="2551"/>
      <w:gridCol w:w="3119"/>
    </w:tblGrid>
    <w:tr w:rsidR="002D17AF" w14:paraId="67937D61" w14:textId="77777777">
      <w:tc>
        <w:tcPr>
          <w:tcW w:w="2551" w:type="dxa"/>
          <w:shd w:val="clear" w:color="auto" w:fill="auto"/>
          <w:vAlign w:val="center"/>
        </w:tcPr>
        <w:p w14:paraId="218EE9D9" w14:textId="77777777" w:rsidR="002D17AF" w:rsidRDefault="00C727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2ADFB6F" w14:textId="77777777" w:rsidR="002D17AF" w:rsidRDefault="00C7279D">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03829/INFOEM/IP/RR/2023</w:t>
          </w:r>
        </w:p>
      </w:tc>
    </w:tr>
    <w:tr w:rsidR="002D17AF" w14:paraId="69B56FD3" w14:textId="77777777">
      <w:trPr>
        <w:trHeight w:val="130"/>
      </w:trPr>
      <w:tc>
        <w:tcPr>
          <w:tcW w:w="2551" w:type="dxa"/>
          <w:shd w:val="clear" w:color="auto" w:fill="auto"/>
          <w:vAlign w:val="center"/>
        </w:tcPr>
        <w:p w14:paraId="203DEAF4" w14:textId="77777777" w:rsidR="002D17AF" w:rsidRDefault="00C727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26B4EAA" w14:textId="77777777" w:rsidR="002D17AF" w:rsidRDefault="002D17AF">
          <w:pPr>
            <w:tabs>
              <w:tab w:val="left" w:pos="3153"/>
            </w:tabs>
            <w:ind w:left="-45"/>
            <w:jc w:val="both"/>
            <w:rPr>
              <w:rFonts w:ascii="Palatino Linotype" w:eastAsia="Palatino Linotype" w:hAnsi="Palatino Linotype" w:cs="Palatino Linotype"/>
              <w:b/>
              <w:sz w:val="22"/>
              <w:szCs w:val="22"/>
            </w:rPr>
          </w:pPr>
        </w:p>
      </w:tc>
    </w:tr>
    <w:tr w:rsidR="002D17AF" w14:paraId="5CF0FFA0" w14:textId="77777777">
      <w:trPr>
        <w:trHeight w:val="228"/>
      </w:trPr>
      <w:tc>
        <w:tcPr>
          <w:tcW w:w="2551" w:type="dxa"/>
          <w:shd w:val="clear" w:color="auto" w:fill="auto"/>
          <w:vAlign w:val="center"/>
        </w:tcPr>
        <w:p w14:paraId="708FE7F7" w14:textId="77777777" w:rsidR="002D17AF" w:rsidRDefault="00C727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BC2D84E" w14:textId="77777777" w:rsidR="002D17AF" w:rsidRDefault="00C7279D">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Zumpango.</w:t>
          </w:r>
        </w:p>
      </w:tc>
    </w:tr>
    <w:tr w:rsidR="002D17AF" w14:paraId="6789C795" w14:textId="77777777">
      <w:tc>
        <w:tcPr>
          <w:tcW w:w="2551" w:type="dxa"/>
          <w:shd w:val="clear" w:color="auto" w:fill="auto"/>
          <w:vAlign w:val="center"/>
        </w:tcPr>
        <w:p w14:paraId="248B8E6B" w14:textId="77777777" w:rsidR="002D17AF" w:rsidRDefault="00C727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8E36AED" w14:textId="77777777" w:rsidR="002D17AF" w:rsidRDefault="00C7279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BBA95E4" w14:textId="77777777" w:rsidR="002D17AF" w:rsidRDefault="00C7279D">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6AC965C" wp14:editId="761100BD">
          <wp:simplePos x="0" y="0"/>
          <wp:positionH relativeFrom="column">
            <wp:posOffset>-1089658</wp:posOffset>
          </wp:positionH>
          <wp:positionV relativeFrom="paragraph">
            <wp:posOffset>-1169668</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05F22"/>
    <w:multiLevelType w:val="multilevel"/>
    <w:tmpl w:val="ECB219D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FF612D"/>
    <w:multiLevelType w:val="multilevel"/>
    <w:tmpl w:val="9E1C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AF6B04"/>
    <w:multiLevelType w:val="multilevel"/>
    <w:tmpl w:val="70444C0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5BA34C72"/>
    <w:multiLevelType w:val="multilevel"/>
    <w:tmpl w:val="E1AC0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27359D"/>
    <w:multiLevelType w:val="multilevel"/>
    <w:tmpl w:val="3168A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78C18B2"/>
    <w:multiLevelType w:val="multilevel"/>
    <w:tmpl w:val="2184331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7AF"/>
    <w:rsid w:val="000605DB"/>
    <w:rsid w:val="002D17AF"/>
    <w:rsid w:val="003846B6"/>
    <w:rsid w:val="00402FB1"/>
    <w:rsid w:val="007E5944"/>
    <w:rsid w:val="00AC0A01"/>
    <w:rsid w:val="00C727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9CEE"/>
  <w15:docId w15:val="{54DE38C9-DF85-480A-8813-A467522E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15686.page"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940895.pag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940894.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saimex.org.mx/saimex/solicitud/downloadAttach/1940896.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940893.page"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inKarFo3mONT1b2fXLhfu9jag==">CgMxLjAyCGguZ2pkZ3hzMgloLjMwajB6bGwyCWguMnM4ZXlvMTIIaC50eWpjd3QyCWguM3JkY3JqbjIJaC4xN2RwOHZ1OAByITFGYUhDR0V6M2RXMWRjNERGZVJWSUd4QXdSMDFxYkJINA==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11493</Words>
  <Characters>63214</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2024-01-19T16:27:00Z</cp:lastPrinted>
  <dcterms:created xsi:type="dcterms:W3CDTF">2024-01-24T19:55:00Z</dcterms:created>
  <dcterms:modified xsi:type="dcterms:W3CDTF">2024-01-24T19:55:00Z</dcterms:modified>
</cp:coreProperties>
</file>