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1080C"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bookmarkStart w:id="0" w:name="_heading=h.1fob9te" w:colFirst="0" w:colLast="0"/>
      <w:bookmarkEnd w:id="0"/>
      <w:r w:rsidRPr="00FE3C5A">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a </w:t>
      </w:r>
      <w:r w:rsidRPr="00FE3C5A">
        <w:rPr>
          <w:rFonts w:ascii="Palatino Linotype" w:eastAsia="Palatino Linotype" w:hAnsi="Palatino Linotype" w:cs="Palatino Linotype"/>
          <w:b/>
          <w:sz w:val="22"/>
          <w:szCs w:val="22"/>
        </w:rPr>
        <w:t>once de diciembre de dos mil veinticuatro</w:t>
      </w:r>
      <w:r w:rsidRPr="00FE3C5A">
        <w:rPr>
          <w:rFonts w:ascii="Palatino Linotype" w:eastAsia="Palatino Linotype" w:hAnsi="Palatino Linotype" w:cs="Palatino Linotype"/>
          <w:sz w:val="22"/>
          <w:szCs w:val="22"/>
        </w:rPr>
        <w:t xml:space="preserve">. </w:t>
      </w:r>
    </w:p>
    <w:p w14:paraId="336E7BEB" w14:textId="44245609" w:rsidR="007928C7" w:rsidRPr="00FE3C5A" w:rsidRDefault="000C530D">
      <w:pPr>
        <w:spacing w:before="240" w:after="240" w:line="360" w:lineRule="auto"/>
        <w:jc w:val="both"/>
        <w:rPr>
          <w:rFonts w:ascii="Palatino Linotype" w:eastAsia="Palatino Linotype" w:hAnsi="Palatino Linotype" w:cs="Palatino Linotype"/>
          <w:sz w:val="22"/>
          <w:szCs w:val="22"/>
        </w:rPr>
      </w:pPr>
      <w:bookmarkStart w:id="1" w:name="_heading=h.35nkun2" w:colFirst="0" w:colLast="0"/>
      <w:bookmarkEnd w:id="1"/>
      <w:r w:rsidRPr="00FE3C5A">
        <w:rPr>
          <w:rFonts w:ascii="Palatino Linotype" w:eastAsia="Palatino Linotype" w:hAnsi="Palatino Linotype" w:cs="Palatino Linotype"/>
          <w:b/>
          <w:sz w:val="22"/>
          <w:szCs w:val="22"/>
        </w:rPr>
        <w:t>Visto</w:t>
      </w:r>
      <w:r w:rsidRPr="00FE3C5A">
        <w:rPr>
          <w:rFonts w:ascii="Palatino Linotype" w:eastAsia="Palatino Linotype" w:hAnsi="Palatino Linotype" w:cs="Palatino Linotype"/>
          <w:sz w:val="22"/>
          <w:szCs w:val="22"/>
        </w:rPr>
        <w:t xml:space="preserve"> el expediente formado con motivo del recurso de revisión </w:t>
      </w:r>
      <w:r w:rsidRPr="00FE3C5A">
        <w:rPr>
          <w:rFonts w:ascii="Palatino Linotype" w:eastAsia="Palatino Linotype" w:hAnsi="Palatino Linotype" w:cs="Palatino Linotype"/>
          <w:b/>
          <w:sz w:val="22"/>
          <w:szCs w:val="22"/>
        </w:rPr>
        <w:t>07319/INFOEM/IP/RR/2024</w:t>
      </w:r>
      <w:r w:rsidRPr="00FE3C5A">
        <w:rPr>
          <w:rFonts w:ascii="Palatino Linotype" w:eastAsia="Palatino Linotype" w:hAnsi="Palatino Linotype" w:cs="Palatino Linotype"/>
          <w:sz w:val="22"/>
          <w:szCs w:val="22"/>
        </w:rPr>
        <w:t>, interpuesto por la</w:t>
      </w:r>
      <w:r w:rsidRPr="00FE3C5A">
        <w:rPr>
          <w:rFonts w:ascii="Palatino Linotype" w:eastAsia="Palatino Linotype" w:hAnsi="Palatino Linotype" w:cs="Palatino Linotype"/>
          <w:b/>
          <w:sz w:val="22"/>
          <w:szCs w:val="22"/>
        </w:rPr>
        <w:t xml:space="preserve"> C. </w:t>
      </w:r>
      <w:r w:rsidR="00996B35" w:rsidRPr="00996B35">
        <w:rPr>
          <w:rFonts w:ascii="Palatino Linotype" w:eastAsia="Palatino Linotype" w:hAnsi="Palatino Linotype" w:cs="Palatino Linotype"/>
          <w:b/>
          <w:sz w:val="22"/>
          <w:szCs w:val="22"/>
        </w:rPr>
        <w:t>XXXXXX XXXXX XXXXXX</w:t>
      </w:r>
      <w:r w:rsidRPr="00FE3C5A">
        <w:rPr>
          <w:rFonts w:ascii="Palatino Linotype" w:eastAsia="Palatino Linotype" w:hAnsi="Palatino Linotype" w:cs="Palatino Linotype"/>
          <w:b/>
          <w:sz w:val="22"/>
          <w:szCs w:val="22"/>
        </w:rPr>
        <w:t>,</w:t>
      </w:r>
      <w:r w:rsidRPr="00FE3C5A">
        <w:rPr>
          <w:rFonts w:ascii="Palatino Linotype" w:eastAsia="Palatino Linotype" w:hAnsi="Palatino Linotype" w:cs="Palatino Linotype"/>
          <w:sz w:val="22"/>
          <w:szCs w:val="22"/>
        </w:rPr>
        <w:t xml:space="preserve"> en lo sucesivo</w:t>
      </w:r>
      <w:r w:rsidRPr="00FE3C5A">
        <w:rPr>
          <w:rFonts w:ascii="Palatino Linotype" w:eastAsia="Palatino Linotype" w:hAnsi="Palatino Linotype" w:cs="Palatino Linotype"/>
          <w:b/>
          <w:sz w:val="22"/>
          <w:szCs w:val="22"/>
        </w:rPr>
        <w:t xml:space="preserve"> </w:t>
      </w:r>
      <w:r w:rsidRPr="00FE3C5A">
        <w:rPr>
          <w:rFonts w:ascii="Palatino Linotype" w:eastAsia="Palatino Linotype" w:hAnsi="Palatino Linotype" w:cs="Palatino Linotype"/>
          <w:sz w:val="22"/>
          <w:szCs w:val="22"/>
        </w:rPr>
        <w:t xml:space="preserve">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en contra de la respuesta a su solicitud por parte del</w:t>
      </w:r>
      <w:r w:rsidRPr="00FE3C5A">
        <w:rPr>
          <w:rFonts w:ascii="Palatino Linotype" w:eastAsia="Palatino Linotype" w:hAnsi="Palatino Linotype" w:cs="Palatino Linotype"/>
          <w:b/>
          <w:sz w:val="22"/>
          <w:szCs w:val="22"/>
        </w:rPr>
        <w:t xml:space="preserve"> Ayuntamiento de Chapultepec, </w:t>
      </w:r>
      <w:r w:rsidRPr="00FE3C5A">
        <w:rPr>
          <w:rFonts w:ascii="Palatino Linotype" w:eastAsia="Palatino Linotype" w:hAnsi="Palatino Linotype" w:cs="Palatino Linotype"/>
          <w:sz w:val="22"/>
          <w:szCs w:val="22"/>
        </w:rPr>
        <w:t xml:space="preserve">en lo sucesivo 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 xml:space="preserve">se procede a dictar la presente resolución con base en los siguientes: </w:t>
      </w:r>
    </w:p>
    <w:p w14:paraId="3094ABC2" w14:textId="77777777" w:rsidR="007928C7" w:rsidRPr="00FE3C5A" w:rsidRDefault="000C530D">
      <w:pPr>
        <w:spacing w:before="240" w:after="240" w:line="360" w:lineRule="auto"/>
        <w:jc w:val="center"/>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I. A N T E C E D E N T E S</w:t>
      </w:r>
    </w:p>
    <w:p w14:paraId="528DEC98" w14:textId="77777777" w:rsidR="007928C7" w:rsidRPr="00FE3C5A" w:rsidRDefault="000C530D">
      <w:pPr>
        <w:spacing w:before="240" w:after="240" w:line="360" w:lineRule="auto"/>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1. Solicitud de acceso a la información.</w:t>
      </w:r>
      <w:r w:rsidRPr="00FE3C5A">
        <w:rPr>
          <w:rFonts w:ascii="Palatino Linotype" w:eastAsia="Palatino Linotype" w:hAnsi="Palatino Linotype" w:cs="Palatino Linotype"/>
          <w:sz w:val="22"/>
          <w:szCs w:val="22"/>
        </w:rPr>
        <w:t xml:space="preserve"> El </w:t>
      </w:r>
      <w:r w:rsidRPr="00FE3C5A">
        <w:rPr>
          <w:rFonts w:ascii="Palatino Linotype" w:eastAsia="Palatino Linotype" w:hAnsi="Palatino Linotype" w:cs="Palatino Linotype"/>
          <w:b/>
          <w:sz w:val="22"/>
          <w:szCs w:val="22"/>
        </w:rPr>
        <w:t>dieciocho de octubre de</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dos mil veinticuatro,</w:t>
      </w:r>
      <w:r w:rsidRPr="00FE3C5A">
        <w:rPr>
          <w:rFonts w:ascii="Palatino Linotype" w:eastAsia="Palatino Linotype" w:hAnsi="Palatino Linotype" w:cs="Palatino Linotype"/>
          <w:sz w:val="22"/>
          <w:szCs w:val="22"/>
        </w:rPr>
        <w:t xml:space="preserve"> la parte </w:t>
      </w:r>
      <w:r w:rsidRPr="00FE3C5A">
        <w:rPr>
          <w:rFonts w:ascii="Palatino Linotype" w:eastAsia="Palatino Linotype" w:hAnsi="Palatino Linotype" w:cs="Palatino Linotype"/>
          <w:b/>
          <w:sz w:val="22"/>
          <w:szCs w:val="22"/>
        </w:rPr>
        <w:t xml:space="preserve">Recurrente </w:t>
      </w:r>
      <w:r w:rsidRPr="00FE3C5A">
        <w:rPr>
          <w:rFonts w:ascii="Palatino Linotype" w:eastAsia="Palatino Linotype" w:hAnsi="Palatino Linotype" w:cs="Palatino Linotype"/>
          <w:sz w:val="22"/>
          <w:szCs w:val="22"/>
        </w:rPr>
        <w:t xml:space="preserve">presentó, a través del Sistema de Acceso a la Información Mexiquense, en lo subsecuente el </w:t>
      </w:r>
      <w:r w:rsidRPr="00FE3C5A">
        <w:rPr>
          <w:rFonts w:ascii="Palatino Linotype" w:eastAsia="Palatino Linotype" w:hAnsi="Palatino Linotype" w:cs="Palatino Linotype"/>
          <w:b/>
          <w:sz w:val="22"/>
          <w:szCs w:val="22"/>
        </w:rPr>
        <w:t>SAIMEX,</w:t>
      </w:r>
      <w:r w:rsidRPr="00FE3C5A">
        <w:rPr>
          <w:rFonts w:ascii="Palatino Linotype" w:eastAsia="Palatino Linotype" w:hAnsi="Palatino Linotype" w:cs="Palatino Linotype"/>
          <w:sz w:val="22"/>
          <w:szCs w:val="22"/>
        </w:rPr>
        <w:t xml:space="preserve"> ante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la solicitud de acceso a la información pública, a la que se le asignó el número</w:t>
      </w:r>
      <w:r w:rsidRPr="00FE3C5A">
        <w:rPr>
          <w:rFonts w:ascii="Palatino Linotype" w:eastAsia="Palatino Linotype" w:hAnsi="Palatino Linotype" w:cs="Palatino Linotype"/>
          <w:b/>
          <w:sz w:val="22"/>
          <w:szCs w:val="22"/>
        </w:rPr>
        <w:t xml:space="preserve"> 00091/CHAPULTE/IP/2024, </w:t>
      </w:r>
      <w:r w:rsidRPr="00FE3C5A">
        <w:rPr>
          <w:rFonts w:ascii="Palatino Linotype" w:eastAsia="Palatino Linotype" w:hAnsi="Palatino Linotype" w:cs="Palatino Linotype"/>
          <w:sz w:val="22"/>
          <w:szCs w:val="22"/>
        </w:rPr>
        <w:t xml:space="preserve">mediante la cual requirió la información siguiente: </w:t>
      </w:r>
    </w:p>
    <w:p w14:paraId="29BA691F" w14:textId="77777777" w:rsidR="007928C7" w:rsidRPr="00FE3C5A" w:rsidRDefault="000C530D">
      <w:pPr>
        <w:spacing w:before="240" w:after="240"/>
        <w:ind w:left="851" w:right="616"/>
        <w:jc w:val="both"/>
        <w:rPr>
          <w:rFonts w:ascii="Palatino Linotype" w:eastAsia="Palatino Linotype" w:hAnsi="Palatino Linotype" w:cs="Palatino Linotype"/>
          <w:b/>
          <w:i/>
          <w:sz w:val="22"/>
          <w:szCs w:val="22"/>
        </w:rPr>
      </w:pPr>
      <w:bookmarkStart w:id="2" w:name="_heading=h.gjdgxs" w:colFirst="0" w:colLast="0"/>
      <w:bookmarkEnd w:id="2"/>
      <w:r w:rsidRPr="00FE3C5A">
        <w:rPr>
          <w:rFonts w:ascii="Palatino Linotype" w:eastAsia="Palatino Linotype" w:hAnsi="Palatino Linotype" w:cs="Palatino Linotype"/>
          <w:i/>
          <w:sz w:val="22"/>
          <w:szCs w:val="22"/>
        </w:rPr>
        <w:t xml:space="preserve">“En temas de Infraestructura municipal, durante el periodo comprendido de enero 2022 a octubre 2024: Que obras se realizaron para la rehabilitación de la casa de la cultura Cuanto tiempo les llevó el trabajo de obras Cuanto presupuesto se destinó para llevarlo a cabo En qué fecha se entregó la obra terminada y que autoridades municipales acudieron a la misma.” (Sic) </w:t>
      </w:r>
    </w:p>
    <w:p w14:paraId="6F5FA54C"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Modalidad de Entrega:</w:t>
      </w:r>
      <w:r w:rsidRPr="00FE3C5A">
        <w:rPr>
          <w:rFonts w:ascii="Palatino Linotype" w:eastAsia="Palatino Linotype" w:hAnsi="Palatino Linotype" w:cs="Palatino Linotype"/>
          <w:sz w:val="22"/>
          <w:szCs w:val="22"/>
        </w:rPr>
        <w:t xml:space="preserve"> A través del </w:t>
      </w:r>
      <w:r w:rsidRPr="00FE3C5A">
        <w:rPr>
          <w:rFonts w:ascii="Palatino Linotype" w:eastAsia="Palatino Linotype" w:hAnsi="Palatino Linotype" w:cs="Palatino Linotype"/>
          <w:b/>
          <w:sz w:val="22"/>
          <w:szCs w:val="22"/>
        </w:rPr>
        <w:t>SAIMEX</w:t>
      </w:r>
    </w:p>
    <w:p w14:paraId="4355490C" w14:textId="77777777" w:rsidR="007928C7" w:rsidRPr="00FE3C5A" w:rsidRDefault="000C530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bookmarkStart w:id="3" w:name="_heading=h.3dy6vkm" w:colFirst="0" w:colLast="0"/>
      <w:bookmarkEnd w:id="3"/>
      <w:r w:rsidRPr="00FE3C5A">
        <w:rPr>
          <w:rFonts w:ascii="Palatino Linotype" w:eastAsia="Palatino Linotype" w:hAnsi="Palatino Linotype" w:cs="Palatino Linotype"/>
          <w:b/>
          <w:sz w:val="22"/>
          <w:szCs w:val="22"/>
        </w:rPr>
        <w:t>2. Prórroga</w:t>
      </w:r>
      <w:r w:rsidRPr="00FE3C5A">
        <w:rPr>
          <w:rFonts w:ascii="Palatino Linotype" w:eastAsia="Palatino Linotype" w:hAnsi="Palatino Linotype" w:cs="Palatino Linotype"/>
          <w:sz w:val="22"/>
          <w:szCs w:val="22"/>
        </w:rPr>
        <w:t xml:space="preserve">. Con fecha </w:t>
      </w:r>
      <w:r w:rsidRPr="00FE3C5A">
        <w:rPr>
          <w:rFonts w:ascii="Palatino Linotype" w:eastAsia="Palatino Linotype" w:hAnsi="Palatino Linotype" w:cs="Palatino Linotype"/>
          <w:b/>
          <w:sz w:val="22"/>
          <w:szCs w:val="22"/>
        </w:rPr>
        <w:t>once de noviembre de dos mil veinticuatro</w:t>
      </w:r>
      <w:r w:rsidRPr="00FE3C5A">
        <w:rPr>
          <w:rFonts w:ascii="Palatino Linotype" w:eastAsia="Palatino Linotype" w:hAnsi="Palatino Linotype" w:cs="Palatino Linotype"/>
          <w:sz w:val="22"/>
          <w:szCs w:val="22"/>
        </w:rPr>
        <w:t xml:space="preserve">,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solicitó prórroga mediante </w:t>
      </w:r>
      <w:r w:rsidRPr="00FE3C5A">
        <w:rPr>
          <w:rFonts w:ascii="Palatino Linotype" w:eastAsia="Palatino Linotype" w:hAnsi="Palatino Linotype" w:cs="Palatino Linotype"/>
          <w:b/>
          <w:sz w:val="22"/>
          <w:szCs w:val="22"/>
        </w:rPr>
        <w:t>SAIMEX</w:t>
      </w:r>
      <w:r w:rsidRPr="00FE3C5A">
        <w:rPr>
          <w:rFonts w:ascii="Palatino Linotype" w:eastAsia="Palatino Linotype" w:hAnsi="Palatino Linotype" w:cs="Palatino Linotype"/>
          <w:sz w:val="22"/>
          <w:szCs w:val="22"/>
        </w:rPr>
        <w:t>, argumentando lo siguiente:</w:t>
      </w:r>
    </w:p>
    <w:p w14:paraId="39E035B0" w14:textId="77777777" w:rsidR="007928C7" w:rsidRPr="00FE3C5A" w:rsidRDefault="007928C7">
      <w:pPr>
        <w:pBdr>
          <w:top w:val="nil"/>
          <w:left w:val="nil"/>
          <w:bottom w:val="nil"/>
          <w:right w:val="nil"/>
          <w:between w:val="nil"/>
        </w:pBdr>
        <w:ind w:left="720" w:hanging="720"/>
        <w:rPr>
          <w:rFonts w:ascii="Palatino Linotype" w:eastAsia="Palatino Linotype" w:hAnsi="Palatino Linotype" w:cs="Palatino Linotype"/>
          <w:sz w:val="22"/>
          <w:szCs w:val="22"/>
        </w:rPr>
      </w:pPr>
    </w:p>
    <w:p w14:paraId="6978831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“...Con fundamento en el artículo 163 de la Ley de Transparencia y Acceso a la Información Pública del Estado de México y Municipios, se le hace de su conocimiento que el plazo de 15 días hábiles para atender su solicitud de información ha sido prorrogado por 7 días en virtud de las siguientes razones:</w:t>
      </w:r>
    </w:p>
    <w:p w14:paraId="4F4A079C" w14:textId="77777777" w:rsidR="007928C7" w:rsidRPr="00FE3C5A" w:rsidRDefault="007928C7">
      <w:pPr>
        <w:spacing w:line="276" w:lineRule="auto"/>
        <w:ind w:left="851" w:right="616"/>
        <w:jc w:val="both"/>
        <w:rPr>
          <w:rFonts w:ascii="Palatino Linotype" w:eastAsia="Palatino Linotype" w:hAnsi="Palatino Linotype" w:cs="Palatino Linotype"/>
          <w:i/>
          <w:sz w:val="22"/>
          <w:szCs w:val="22"/>
        </w:rPr>
      </w:pPr>
    </w:p>
    <w:p w14:paraId="6612C7F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Debido al cierre de administración y falta de personal administrativo.”</w:t>
      </w:r>
    </w:p>
    <w:p w14:paraId="798EDFFE"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7933FE1E" w14:textId="77777777" w:rsidR="007928C7" w:rsidRPr="00FE3C5A" w:rsidRDefault="000C530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De esta manera, como refiere el Sujeto Obligado la Ley de Transparencia y Acceso a la Información Pública del Estado de México y Municipios, contempla la potestad de ampliar el plazo hasta por siete días, en términos del párrafo segundo del artículo 163 de la Ley de Transparencia y Acceso a la Información Pública del Estado de México y Municipios, siempre y cuando existan razones fundadas y motivadas para hacerlo, y que estas sean aprobadas por el Comité de Transparencia, mediante la emisión de una resolución; en el caso particular que nos ocupa y derivado de las constancias que obran en el expediente, se advierte que </w:t>
      </w:r>
      <w:r w:rsidRPr="00FE3C5A">
        <w:rPr>
          <w:rFonts w:ascii="Palatino Linotype" w:eastAsia="Palatino Linotype" w:hAnsi="Palatino Linotype" w:cs="Palatino Linotype"/>
          <w:b/>
          <w:sz w:val="22"/>
          <w:szCs w:val="22"/>
        </w:rPr>
        <w:t>NO se observaron las formalidades que establece la Ley de la materia</w:t>
      </w:r>
      <w:r w:rsidRPr="00FE3C5A">
        <w:rPr>
          <w:rFonts w:ascii="Palatino Linotype" w:eastAsia="Palatino Linotype" w:hAnsi="Palatino Linotype" w:cs="Palatino Linotype"/>
          <w:sz w:val="22"/>
          <w:szCs w:val="22"/>
        </w:rPr>
        <w:t>, pues no se anexó el Acuerdo del Comité de Transparencia de dicho ente público, mediante el cual se aprobara la ampliación del plazo para dar atención a la solicitud de información.</w:t>
      </w:r>
    </w:p>
    <w:p w14:paraId="5AA8C600"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 xml:space="preserve">3. Respuesta. </w:t>
      </w:r>
      <w:r w:rsidRPr="00FE3C5A">
        <w:rPr>
          <w:rFonts w:ascii="Palatino Linotype" w:eastAsia="Palatino Linotype" w:hAnsi="Palatino Linotype" w:cs="Palatino Linotype"/>
          <w:sz w:val="22"/>
          <w:szCs w:val="22"/>
        </w:rPr>
        <w:t xml:space="preserve">El </w:t>
      </w:r>
      <w:r w:rsidRPr="00FE3C5A">
        <w:rPr>
          <w:rFonts w:ascii="Palatino Linotype" w:eastAsia="Palatino Linotype" w:hAnsi="Palatino Linotype" w:cs="Palatino Linotype"/>
          <w:b/>
          <w:sz w:val="22"/>
          <w:szCs w:val="22"/>
        </w:rPr>
        <w:t>veintiuno de noviembre de dos mil veinticuatro</w:t>
      </w:r>
      <w:r w:rsidRPr="00FE3C5A">
        <w:rPr>
          <w:rFonts w:ascii="Palatino Linotype" w:eastAsia="Palatino Linotype" w:hAnsi="Palatino Linotype" w:cs="Palatino Linotype"/>
          <w:sz w:val="22"/>
          <w:szCs w:val="22"/>
        </w:rPr>
        <w:t xml:space="preserve">, 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envió su respuesta a la solicitud de acceso a la información a través de SAIMEX, sustancialmente en los términos siguientes:</w:t>
      </w:r>
    </w:p>
    <w:p w14:paraId="17C0C6A5" w14:textId="77777777" w:rsidR="007928C7" w:rsidRPr="00FE3C5A" w:rsidRDefault="000C530D">
      <w:pPr>
        <w:spacing w:before="240" w:after="24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599156D8" w14:textId="77777777" w:rsidR="007928C7" w:rsidRPr="00FE3C5A" w:rsidRDefault="000C530D">
      <w:pPr>
        <w:spacing w:before="240" w:after="24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buen día la información la puede obtener en el informe de gobierno que se encuentra en la siguiente liga https://www.chapultepec.gob.mx/</w:t>
      </w:r>
    </w:p>
    <w:p w14:paraId="37BD916F" w14:textId="77777777" w:rsidR="007928C7" w:rsidRPr="00FE3C5A" w:rsidRDefault="000C530D">
      <w:pPr>
        <w:spacing w:before="240" w:after="24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ATENTAMENTE</w:t>
      </w:r>
    </w:p>
    <w:p w14:paraId="7E81178D" w14:textId="77777777" w:rsidR="007928C7" w:rsidRPr="00FE3C5A" w:rsidRDefault="000C530D">
      <w:pPr>
        <w:spacing w:before="240" w:after="24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 xml:space="preserve">JOSÉ EMMANUEL HERNANDEZ MARTÍNEZ” </w:t>
      </w:r>
    </w:p>
    <w:p w14:paraId="39718052" w14:textId="77777777" w:rsidR="007928C7" w:rsidRPr="00FE3C5A" w:rsidRDefault="007928C7">
      <w:pPr>
        <w:spacing w:line="360" w:lineRule="auto"/>
        <w:ind w:right="49"/>
        <w:jc w:val="both"/>
        <w:rPr>
          <w:rFonts w:ascii="Palatino Linotype" w:eastAsia="Palatino Linotype" w:hAnsi="Palatino Linotype" w:cs="Palatino Linotype"/>
          <w:b/>
          <w:sz w:val="22"/>
          <w:szCs w:val="22"/>
        </w:rPr>
      </w:pPr>
    </w:p>
    <w:p w14:paraId="5254AC9E" w14:textId="77777777" w:rsidR="007928C7" w:rsidRPr="00FE3C5A" w:rsidRDefault="000C530D">
      <w:pPr>
        <w:spacing w:before="240" w:after="240" w:line="360" w:lineRule="auto"/>
        <w:ind w:right="49"/>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 xml:space="preserve">4. Interposición del recurso de revisión. </w:t>
      </w:r>
      <w:r w:rsidRPr="00FE3C5A">
        <w:rPr>
          <w:rFonts w:ascii="Palatino Linotype" w:eastAsia="Palatino Linotype" w:hAnsi="Palatino Linotype" w:cs="Palatino Linotype"/>
          <w:sz w:val="22"/>
          <w:szCs w:val="22"/>
        </w:rPr>
        <w:t xml:space="preserve">Inconforme con los términos de la respuesta emitida por parte del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el</w:t>
      </w:r>
      <w:r w:rsidRPr="00FE3C5A">
        <w:rPr>
          <w:rFonts w:ascii="Palatino Linotype" w:eastAsia="Palatino Linotype" w:hAnsi="Palatino Linotype" w:cs="Palatino Linotype"/>
          <w:b/>
          <w:sz w:val="22"/>
          <w:szCs w:val="22"/>
        </w:rPr>
        <w:t xml:space="preserve"> veintiuno de noviembre de dos mil veinticuatro,</w:t>
      </w:r>
      <w:r w:rsidRPr="00FE3C5A">
        <w:rPr>
          <w:rFonts w:ascii="Palatino Linotype" w:eastAsia="Palatino Linotype" w:hAnsi="Palatino Linotype" w:cs="Palatino Linotype"/>
          <w:sz w:val="22"/>
          <w:szCs w:val="22"/>
        </w:rPr>
        <w:t xml:space="preserve">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interpuso el recurso de revisión a través de </w:t>
      </w:r>
      <w:r w:rsidRPr="00FE3C5A">
        <w:rPr>
          <w:rFonts w:ascii="Palatino Linotype" w:eastAsia="Palatino Linotype" w:hAnsi="Palatino Linotype" w:cs="Palatino Linotype"/>
          <w:b/>
          <w:sz w:val="22"/>
          <w:szCs w:val="22"/>
        </w:rPr>
        <w:t xml:space="preserve">SAIMEX, </w:t>
      </w:r>
      <w:r w:rsidRPr="00FE3C5A">
        <w:rPr>
          <w:rFonts w:ascii="Palatino Linotype" w:eastAsia="Palatino Linotype" w:hAnsi="Palatino Linotype" w:cs="Palatino Linotype"/>
          <w:sz w:val="22"/>
          <w:szCs w:val="22"/>
        </w:rPr>
        <w:t>en donde se manifestó de la siguiente manera:</w:t>
      </w:r>
    </w:p>
    <w:p w14:paraId="156F19A5" w14:textId="77777777" w:rsidR="007928C7" w:rsidRPr="00FE3C5A" w:rsidRDefault="000C530D">
      <w:pPr>
        <w:tabs>
          <w:tab w:val="left" w:pos="2745"/>
        </w:tabs>
        <w:spacing w:before="240" w:after="240" w:line="276" w:lineRule="auto"/>
        <w:ind w:left="851" w:right="616"/>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 xml:space="preserve">a) Acto impugnado: </w:t>
      </w:r>
    </w:p>
    <w:p w14:paraId="62378629" w14:textId="77777777" w:rsidR="007928C7" w:rsidRPr="00FE3C5A" w:rsidRDefault="000C530D">
      <w:pPr>
        <w:tabs>
          <w:tab w:val="left" w:pos="2745"/>
        </w:tabs>
        <w:spacing w:before="240" w:after="240" w:line="276" w:lineRule="auto"/>
        <w:ind w:left="851" w:right="616"/>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i/>
          <w:sz w:val="22"/>
          <w:szCs w:val="22"/>
        </w:rPr>
        <w:t>“incumplimiento del sujeto obligado de proporcionar la información requerida” (Sic)</w:t>
      </w:r>
    </w:p>
    <w:p w14:paraId="0722CE15" w14:textId="77777777" w:rsidR="007928C7" w:rsidRPr="00FE3C5A" w:rsidRDefault="000C530D">
      <w:pPr>
        <w:spacing w:line="276" w:lineRule="auto"/>
        <w:ind w:left="851" w:right="616"/>
        <w:jc w:val="both"/>
        <w:rPr>
          <w:rFonts w:ascii="Palatino Linotype" w:eastAsia="Palatino Linotype" w:hAnsi="Palatino Linotype" w:cs="Palatino Linotype"/>
          <w:sz w:val="22"/>
          <w:szCs w:val="22"/>
        </w:rPr>
      </w:pPr>
      <w:bookmarkStart w:id="4" w:name="_heading=h.30j0zll" w:colFirst="0" w:colLast="0"/>
      <w:bookmarkEnd w:id="4"/>
      <w:r w:rsidRPr="00FE3C5A">
        <w:rPr>
          <w:rFonts w:ascii="Palatino Linotype" w:eastAsia="Palatino Linotype" w:hAnsi="Palatino Linotype" w:cs="Palatino Linotype"/>
          <w:b/>
          <w:sz w:val="22"/>
          <w:szCs w:val="22"/>
        </w:rPr>
        <w:t>b) Razones o motivos de inconformidad</w:t>
      </w:r>
      <w:r w:rsidRPr="00FE3C5A">
        <w:rPr>
          <w:rFonts w:ascii="Palatino Linotype" w:eastAsia="Palatino Linotype" w:hAnsi="Palatino Linotype" w:cs="Palatino Linotype"/>
          <w:sz w:val="22"/>
          <w:szCs w:val="22"/>
        </w:rPr>
        <w:t xml:space="preserve">: </w:t>
      </w:r>
    </w:p>
    <w:p w14:paraId="5D48A06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sz w:val="22"/>
          <w:szCs w:val="22"/>
        </w:rPr>
        <w:t>“</w:t>
      </w:r>
      <w:r w:rsidRPr="00FE3C5A">
        <w:rPr>
          <w:rFonts w:ascii="Palatino Linotype" w:eastAsia="Palatino Linotype" w:hAnsi="Palatino Linotype" w:cs="Palatino Linotype"/>
          <w:i/>
          <w:sz w:val="22"/>
          <w:szCs w:val="22"/>
        </w:rPr>
        <w:t>En la liga https://www.chapultepec.gob.mx/ aún no se encuentra el apartado del informe de gobierno; aunado a que el sujeto está obligado a proporcionar la información cuando se le requiere y no deslindarse de brindarla proporcionando un link genérico del ayuntamiento en cuestión.” (Sic)</w:t>
      </w:r>
    </w:p>
    <w:p w14:paraId="463F09D4" w14:textId="77777777" w:rsidR="007928C7" w:rsidRPr="00FE3C5A" w:rsidRDefault="007928C7">
      <w:pPr>
        <w:spacing w:line="276" w:lineRule="auto"/>
        <w:ind w:right="900"/>
        <w:jc w:val="both"/>
        <w:rPr>
          <w:rFonts w:ascii="Palatino Linotype" w:eastAsia="Palatino Linotype" w:hAnsi="Palatino Linotype" w:cs="Palatino Linotype"/>
          <w:sz w:val="22"/>
          <w:szCs w:val="22"/>
        </w:rPr>
      </w:pPr>
    </w:p>
    <w:p w14:paraId="7B68E580" w14:textId="77777777" w:rsidR="007928C7" w:rsidRPr="00FE3C5A" w:rsidRDefault="000C530D">
      <w:pPr>
        <w:spacing w:before="240" w:after="240"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 xml:space="preserve">5. Turno. </w:t>
      </w:r>
      <w:r w:rsidRPr="00FE3C5A">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FE3C5A">
        <w:rPr>
          <w:rFonts w:ascii="Palatino Linotype" w:eastAsia="Palatino Linotype" w:hAnsi="Palatino Linotype" w:cs="Palatino Linotype"/>
          <w:b/>
          <w:sz w:val="22"/>
          <w:szCs w:val="22"/>
        </w:rPr>
        <w:t xml:space="preserve">Guadalupe Ramírez Peña, </w:t>
      </w:r>
      <w:r w:rsidRPr="00FE3C5A">
        <w:rPr>
          <w:rFonts w:ascii="Palatino Linotype" w:eastAsia="Palatino Linotype" w:hAnsi="Palatino Linotype" w:cs="Palatino Linotype"/>
          <w:sz w:val="22"/>
          <w:szCs w:val="22"/>
        </w:rPr>
        <w:t xml:space="preserve">a efecto de que analizara sobre su admisión o su </w:t>
      </w:r>
      <w:proofErr w:type="spellStart"/>
      <w:r w:rsidRPr="00FE3C5A">
        <w:rPr>
          <w:rFonts w:ascii="Palatino Linotype" w:eastAsia="Palatino Linotype" w:hAnsi="Palatino Linotype" w:cs="Palatino Linotype"/>
          <w:sz w:val="22"/>
          <w:szCs w:val="22"/>
        </w:rPr>
        <w:t>desechamiento</w:t>
      </w:r>
      <w:proofErr w:type="spellEnd"/>
      <w:r w:rsidRPr="00FE3C5A">
        <w:rPr>
          <w:rFonts w:ascii="Palatino Linotype" w:eastAsia="Palatino Linotype" w:hAnsi="Palatino Linotype" w:cs="Palatino Linotype"/>
          <w:sz w:val="22"/>
          <w:szCs w:val="22"/>
        </w:rPr>
        <w:t>.</w:t>
      </w:r>
    </w:p>
    <w:p w14:paraId="02395764"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6. Admisión del Recurso de revisión.</w:t>
      </w:r>
      <w:r w:rsidRPr="00FE3C5A">
        <w:rPr>
          <w:rFonts w:ascii="Palatino Linotype" w:eastAsia="Palatino Linotype" w:hAnsi="Palatino Linotype" w:cs="Palatino Linotype"/>
          <w:sz w:val="22"/>
          <w:szCs w:val="22"/>
        </w:rPr>
        <w:t xml:space="preserve"> El</w:t>
      </w:r>
      <w:r w:rsidRPr="00FE3C5A">
        <w:rPr>
          <w:rFonts w:ascii="Palatino Linotype" w:eastAsia="Palatino Linotype" w:hAnsi="Palatino Linotype" w:cs="Palatino Linotype"/>
          <w:b/>
          <w:sz w:val="22"/>
          <w:szCs w:val="22"/>
        </w:rPr>
        <w:t xml:space="preserve"> veintiséis de noviembre de dos mil veinticuatro, </w:t>
      </w:r>
      <w:r w:rsidRPr="00FE3C5A">
        <w:rPr>
          <w:rFonts w:ascii="Palatino Linotype" w:eastAsia="Palatino Linotype" w:hAnsi="Palatino Linotype" w:cs="Palatino Linotype"/>
          <w:sz w:val="22"/>
          <w:szCs w:val="22"/>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w:t>
      </w:r>
      <w:r w:rsidRPr="00FE3C5A">
        <w:rPr>
          <w:rFonts w:ascii="Palatino Linotype" w:eastAsia="Palatino Linotype" w:hAnsi="Palatino Linotype" w:cs="Palatino Linotype"/>
          <w:sz w:val="22"/>
          <w:szCs w:val="22"/>
        </w:rPr>
        <w:lastRenderedPageBreak/>
        <w:t xml:space="preserve">manifestaran lo que a su derecho resultara conveniente, ofrecieran pruebas, formularan alegatos y 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presentara su informe justificado.</w:t>
      </w:r>
    </w:p>
    <w:p w14:paraId="6CDA3C6A" w14:textId="77777777" w:rsidR="007928C7" w:rsidRPr="00FE3C5A" w:rsidRDefault="000C530D">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b/>
          <w:sz w:val="22"/>
          <w:szCs w:val="22"/>
        </w:rPr>
      </w:pPr>
      <w:bookmarkStart w:id="5" w:name="_heading=h.2s8eyo1" w:colFirst="0" w:colLast="0"/>
      <w:bookmarkEnd w:id="5"/>
      <w:r w:rsidRPr="00FE3C5A">
        <w:rPr>
          <w:rFonts w:ascii="Palatino Linotype" w:eastAsia="Palatino Linotype" w:hAnsi="Palatino Linotype" w:cs="Palatino Linotype"/>
          <w:b/>
          <w:sz w:val="22"/>
          <w:szCs w:val="22"/>
        </w:rPr>
        <w:t>7. Manifestaciones e Informe Justificado</w:t>
      </w:r>
      <w:r w:rsidRPr="00FE3C5A">
        <w:rPr>
          <w:rFonts w:ascii="Palatino Linotype" w:eastAsia="Palatino Linotype" w:hAnsi="Palatino Linotype" w:cs="Palatino Linotype"/>
          <w:sz w:val="22"/>
          <w:szCs w:val="22"/>
        </w:rPr>
        <w:t xml:space="preserve">. De las constancias que obran en el expediente electrónico del </w:t>
      </w:r>
      <w:r w:rsidRPr="00FE3C5A">
        <w:rPr>
          <w:rFonts w:ascii="Palatino Linotype" w:eastAsia="Palatino Linotype" w:hAnsi="Palatino Linotype" w:cs="Palatino Linotype"/>
          <w:b/>
          <w:sz w:val="22"/>
          <w:szCs w:val="22"/>
        </w:rPr>
        <w:t>SAIMEX</w:t>
      </w:r>
      <w:r w:rsidRPr="00FE3C5A">
        <w:rPr>
          <w:rFonts w:ascii="Palatino Linotype" w:eastAsia="Palatino Linotype" w:hAnsi="Palatino Linotype" w:cs="Palatino Linotype"/>
          <w:sz w:val="22"/>
          <w:szCs w:val="22"/>
        </w:rPr>
        <w:t xml:space="preserve"> se desprende que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no rindió su informe justificado, del mismo modo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omitió realizar manifestaciones, como se observa a continuación:</w:t>
      </w:r>
    </w:p>
    <w:p w14:paraId="0B4CAB58" w14:textId="77777777" w:rsidR="007928C7" w:rsidRPr="00FE3C5A" w:rsidRDefault="007928C7">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b/>
          <w:sz w:val="22"/>
          <w:szCs w:val="22"/>
        </w:rPr>
      </w:pPr>
    </w:p>
    <w:p w14:paraId="17560AB0" w14:textId="77777777" w:rsidR="007928C7" w:rsidRPr="00FE3C5A" w:rsidRDefault="000C530D">
      <w:p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 xml:space="preserve">8. Cierre de instrucción. </w:t>
      </w:r>
      <w:r w:rsidRPr="00FE3C5A">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el </w:t>
      </w:r>
      <w:r w:rsidRPr="00FE3C5A">
        <w:rPr>
          <w:rFonts w:ascii="Palatino Linotype" w:eastAsia="Palatino Linotype" w:hAnsi="Palatino Linotype" w:cs="Palatino Linotype"/>
          <w:b/>
          <w:sz w:val="22"/>
          <w:szCs w:val="22"/>
        </w:rPr>
        <w:t>nueve de diciembre de dos mil veinticuatro</w:t>
      </w:r>
      <w:r w:rsidRPr="00FE3C5A">
        <w:rPr>
          <w:rFonts w:ascii="Palatino Linotype" w:eastAsia="Palatino Linotype" w:hAnsi="Palatino Linotype" w:cs="Palatino Linotype"/>
          <w:sz w:val="22"/>
          <w:szCs w:val="22"/>
        </w:rPr>
        <w:t>, la Comisionada Ponente determinó el cierre de instrucción en términos de la fracción VI del artículo 185 de la Ley de Transparencia y Acceso a la Información Pública del Estado de México y Municipios.</w:t>
      </w:r>
    </w:p>
    <w:p w14:paraId="5AE4D2DC"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177A225B" w14:textId="77777777" w:rsidR="007928C7" w:rsidRPr="00FE3C5A" w:rsidRDefault="000C530D">
      <w:pPr>
        <w:widowControl w:val="0"/>
        <w:spacing w:before="240" w:after="240" w:line="360" w:lineRule="auto"/>
        <w:jc w:val="center"/>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II. C O N S I D E R A N D O S</w:t>
      </w:r>
    </w:p>
    <w:p w14:paraId="4384CE22"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Primero. Competencia.</w:t>
      </w:r>
      <w:r w:rsidRPr="00FE3C5A">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w:t>
      </w:r>
      <w:r w:rsidRPr="00FE3C5A">
        <w:rPr>
          <w:rFonts w:ascii="Palatino Linotype" w:eastAsia="Palatino Linotype" w:hAnsi="Palatino Linotype" w:cs="Palatino Linotype"/>
          <w:sz w:val="22"/>
          <w:szCs w:val="22"/>
        </w:rPr>
        <w:lastRenderedPageBreak/>
        <w:t>fracciones I y XXIII y 11 del Reglamento Interior del Instituto de Transparencia, Acceso a la Información Pública y Protección de Datos Personales del Estado de México y Municipios.</w:t>
      </w:r>
    </w:p>
    <w:p w14:paraId="58E4B65B"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bookmarkStart w:id="6" w:name="_heading=h.tyjcwt" w:colFirst="0" w:colLast="0"/>
      <w:bookmarkEnd w:id="6"/>
      <w:r w:rsidRPr="00FE3C5A">
        <w:rPr>
          <w:rFonts w:ascii="Palatino Linotype" w:eastAsia="Palatino Linotype" w:hAnsi="Palatino Linotype" w:cs="Palatino Linotype"/>
          <w:b/>
          <w:sz w:val="22"/>
          <w:szCs w:val="22"/>
        </w:rPr>
        <w:t>Segundo. Oportunidad y Procedibilidad del Recurso de Revisión</w:t>
      </w:r>
      <w:r w:rsidRPr="00FE3C5A">
        <w:rPr>
          <w:rFonts w:ascii="Palatino Linotype" w:eastAsia="Palatino Linotype" w:hAnsi="Palatino Linotype" w:cs="Palatino Linotype"/>
          <w:sz w:val="22"/>
          <w:szCs w:val="22"/>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5934B040"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El recurso de revisión fue interpuesto dentro del plazo de quince días hábiles, previsto en el artículo 178 de la Ley de Transparencia y Acceso a la Información Pública del Estado de México y Municipios, toda vez que 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 xml:space="preserve">remitió la respuesta a la solicitud de información el </w:t>
      </w:r>
      <w:r w:rsidRPr="00FE3C5A">
        <w:rPr>
          <w:rFonts w:ascii="Palatino Linotype" w:eastAsia="Palatino Linotype" w:hAnsi="Palatino Linotype" w:cs="Palatino Linotype"/>
          <w:b/>
          <w:sz w:val="22"/>
          <w:szCs w:val="22"/>
        </w:rPr>
        <w:t>veintiuno de noviembre</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 xml:space="preserve">de dos mil veinticuatro, </w:t>
      </w:r>
      <w:r w:rsidRPr="00FE3C5A">
        <w:rPr>
          <w:rFonts w:ascii="Palatino Linotype" w:eastAsia="Palatino Linotype" w:hAnsi="Palatino Linotype" w:cs="Palatino Linotype"/>
          <w:sz w:val="22"/>
          <w:szCs w:val="22"/>
        </w:rPr>
        <w:t>mientras que el recurso de revisión interpuesto por la parte</w:t>
      </w:r>
      <w:r w:rsidRPr="00FE3C5A">
        <w:rPr>
          <w:rFonts w:ascii="Palatino Linotype" w:eastAsia="Palatino Linotype" w:hAnsi="Palatino Linotype" w:cs="Palatino Linotype"/>
          <w:b/>
          <w:sz w:val="22"/>
          <w:szCs w:val="22"/>
        </w:rPr>
        <w:t xml:space="preserve"> Recurrente</w:t>
      </w:r>
      <w:r w:rsidRPr="00FE3C5A">
        <w:rPr>
          <w:rFonts w:ascii="Palatino Linotype" w:eastAsia="Palatino Linotype" w:hAnsi="Palatino Linotype" w:cs="Palatino Linotype"/>
          <w:sz w:val="22"/>
          <w:szCs w:val="22"/>
        </w:rPr>
        <w:t xml:space="preserve">, se tuvo por presentado el día </w:t>
      </w:r>
      <w:r w:rsidRPr="00FE3C5A">
        <w:rPr>
          <w:rFonts w:ascii="Palatino Linotype" w:eastAsia="Palatino Linotype" w:hAnsi="Palatino Linotype" w:cs="Palatino Linotype"/>
          <w:b/>
          <w:sz w:val="22"/>
          <w:szCs w:val="22"/>
        </w:rPr>
        <w:t>veintiuno de noviembre</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 xml:space="preserve">de dos mil veinticuatro, </w:t>
      </w:r>
      <w:r w:rsidRPr="00FE3C5A">
        <w:rPr>
          <w:rFonts w:ascii="Palatino Linotype" w:eastAsia="Palatino Linotype" w:hAnsi="Palatino Linotype" w:cs="Palatino Linotype"/>
          <w:sz w:val="22"/>
          <w:szCs w:val="22"/>
        </w:rPr>
        <w:t xml:space="preserve">esto es, el </w:t>
      </w:r>
      <w:r w:rsidRPr="00FE3C5A">
        <w:rPr>
          <w:rFonts w:ascii="Palatino Linotype" w:eastAsia="Palatino Linotype" w:hAnsi="Palatino Linotype" w:cs="Palatino Linotype"/>
          <w:b/>
          <w:sz w:val="22"/>
          <w:szCs w:val="22"/>
        </w:rPr>
        <w:t>mismo día hábil</w:t>
      </w:r>
      <w:r w:rsidRPr="00FE3C5A">
        <w:rPr>
          <w:rFonts w:ascii="Palatino Linotype" w:eastAsia="Palatino Linotype" w:hAnsi="Palatino Linotype" w:cs="Palatino Linotype"/>
          <w:sz w:val="22"/>
          <w:szCs w:val="22"/>
        </w:rPr>
        <w:t xml:space="preserve"> al que tuvo conocimiento de la respuesta impugnada. En este sentido, se concluye que el presente recurso de revisión se encuentra dentro de los márgenes temporales previstos en las disposiciones legales referidas.</w:t>
      </w:r>
    </w:p>
    <w:p w14:paraId="555A765E"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este sentido, al considerar la fecha en que se formuló la solicitud y la fecha en que respondió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así como la fecha en que se interpuso el recurso de revisión, se concluye que el presente recurso de revisión se encuentra dentro de los márgenes temporales previstos las disposiciones legales referidas.</w:t>
      </w:r>
    </w:p>
    <w:p w14:paraId="0A7BDC4D"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Sin que contraríe a lo anterior, el artículo 178 en análisis, refiere que el plazo de quince días hábiles se contará a partir del día siguiente de la fecha en que el afectado tuvo conocimiento de la resolución materia de impugnación, ya que ello debe entenderse para el efecto de que transcurrido dicho plazo ya no podrá presentarse el medio de impugnación o si es que se presenta, el mismo se considerará extemporáneo, no así cuando el medio de defensa se interponga antes de que comience a correr el plazo legal; tiene aplicación por analogía, la </w:t>
      </w:r>
      <w:r w:rsidRPr="00FE3C5A">
        <w:rPr>
          <w:rFonts w:ascii="Palatino Linotype" w:eastAsia="Palatino Linotype" w:hAnsi="Palatino Linotype" w:cs="Palatino Linotype"/>
          <w:sz w:val="22"/>
          <w:szCs w:val="22"/>
        </w:rPr>
        <w:lastRenderedPageBreak/>
        <w:t>jurisprudencia 1ª. /J.41/2015, publicada en el Semanario Judicial de la Federación y su Gaceta, Libro 19, Junio de 2015, Tomo I, página 569 de la Décima época que lleva por rubro y texto los siguientes:</w:t>
      </w:r>
    </w:p>
    <w:p w14:paraId="4CBF3BE1"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“RECURSO DE RECLAMACIÓN. SU INTERPOSICIÓN NO ES EXTEMPORÁNEA SI SE REALIZA ANTES DE QUE INICIE EL PLAZO PARA HACERLO</w:t>
      </w:r>
      <w:r w:rsidRPr="00FE3C5A">
        <w:rPr>
          <w:rFonts w:ascii="Palatino Linotype" w:eastAsia="Palatino Linotype" w:hAnsi="Palatino Linotype" w:cs="Palatino Linotype"/>
          <w:i/>
          <w:sz w:val="22"/>
          <w:szCs w:val="22"/>
        </w:rPr>
        <w:t>.</w:t>
      </w:r>
    </w:p>
    <w:p w14:paraId="5F6912A2"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Conforme al artículo 104, párrafo segundo, de la Ley de Amparo, el recurso de reclamación podrá interponerse por cualquiera de las partes, por escrito, dentro del término de tres días siguientes al en que surta efectos la notificación de la resolución impugnada. Ahora bien, dicho numeral sólo refiere que el aludido medio de defensa no puede hacerse valer después de tres días, por tanto, no impide que el escrito correspondiente se presente antes de iniciado ese término. De ahí </w:t>
      </w:r>
      <w:proofErr w:type="gramStart"/>
      <w:r w:rsidRPr="00FE3C5A">
        <w:rPr>
          <w:rFonts w:ascii="Palatino Linotype" w:eastAsia="Palatino Linotype" w:hAnsi="Palatino Linotype" w:cs="Palatino Linotype"/>
          <w:i/>
          <w:sz w:val="22"/>
          <w:szCs w:val="22"/>
        </w:rPr>
        <w:t>que</w:t>
      </w:r>
      <w:proofErr w:type="gramEnd"/>
      <w:r w:rsidRPr="00FE3C5A">
        <w:rPr>
          <w:rFonts w:ascii="Palatino Linotype" w:eastAsia="Palatino Linotype" w:hAnsi="Palatino Linotype" w:cs="Palatino Linotype"/>
          <w:i/>
          <w:sz w:val="22"/>
          <w:szCs w:val="22"/>
        </w:rPr>
        <w:t xml:space="preserve"> si dicho recurso se interpone antes de que inicie el plazo para hacerlo, su presentación no es extemporánea.”</w:t>
      </w:r>
    </w:p>
    <w:p w14:paraId="5CFCC045" w14:textId="77777777" w:rsidR="007928C7" w:rsidRPr="00FE3C5A" w:rsidRDefault="000C530D">
      <w:pPr>
        <w:tabs>
          <w:tab w:val="left" w:pos="7938"/>
        </w:tabs>
        <w:spacing w:before="240" w:after="240" w:line="360" w:lineRule="auto"/>
        <w:jc w:val="both"/>
        <w:rPr>
          <w:rFonts w:ascii="Palatino Linotype" w:eastAsia="Palatino Linotype" w:hAnsi="Palatino Linotype" w:cs="Palatino Linotype"/>
          <w:sz w:val="22"/>
          <w:szCs w:val="22"/>
        </w:rPr>
      </w:pPr>
      <w:bookmarkStart w:id="7" w:name="_heading=h.3znysh7" w:colFirst="0" w:colLast="0"/>
      <w:bookmarkEnd w:id="7"/>
      <w:r w:rsidRPr="00FE3C5A">
        <w:rPr>
          <w:rFonts w:ascii="Palatino Linotype" w:eastAsia="Palatino Linotype" w:hAnsi="Palatino Linotype" w:cs="Palatino Linotype"/>
          <w:sz w:val="22"/>
          <w:szCs w:val="22"/>
        </w:rPr>
        <w:t>Al mismo tiempo, por cuanto hace a la procedibilidad del recurso de revisión, una vez realizado el análisis del formato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6768F4BA"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Finalmente, se advierte que resulta procedente la interposición del recurso, según lo manifestado por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en sus motivos de inconformidad, de acuerdo al artículo 179, fracción I del ordenamiento legal citado, que a la letra dice: </w:t>
      </w:r>
    </w:p>
    <w:p w14:paraId="40815F5C"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179.</w:t>
      </w:r>
      <w:r w:rsidRPr="00FE3C5A">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3E341374"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6EDB2A78" w14:textId="77777777" w:rsidR="007928C7" w:rsidRPr="00FE3C5A" w:rsidRDefault="000C530D">
      <w:pPr>
        <w:spacing w:before="120" w:after="120"/>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u w:val="single"/>
        </w:rPr>
        <w:t>I. La negativa a la información solicitada;</w:t>
      </w:r>
      <w:r w:rsidRPr="00FE3C5A">
        <w:rPr>
          <w:rFonts w:ascii="Palatino Linotype" w:eastAsia="Palatino Linotype" w:hAnsi="Palatino Linotype" w:cs="Palatino Linotype"/>
          <w:b/>
          <w:i/>
          <w:sz w:val="22"/>
          <w:szCs w:val="22"/>
        </w:rPr>
        <w:t xml:space="preserve">” </w:t>
      </w:r>
    </w:p>
    <w:p w14:paraId="68F93BEC"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(Énfasis añadido)</w:t>
      </w:r>
    </w:p>
    <w:p w14:paraId="3C7CB02A"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lastRenderedPageBreak/>
        <w:t xml:space="preserve">Tercero. Materia de la revisión. </w:t>
      </w:r>
      <w:r w:rsidRPr="00FE3C5A">
        <w:rPr>
          <w:rFonts w:ascii="Palatino Linotype" w:eastAsia="Palatino Linotype" w:hAnsi="Palatino Linotype" w:cs="Palatino Linotype"/>
          <w:sz w:val="22"/>
          <w:szCs w:val="22"/>
        </w:rPr>
        <w:t xml:space="preserve">De la revisión a las constancias y documentos que obran en el expediente electrónico se advierte, que el tema sobre el que este Organismo Garante de Transparencia y Acceso a la Información se pronunciará será: </w:t>
      </w:r>
      <w:r w:rsidRPr="00FE3C5A">
        <w:rPr>
          <w:rFonts w:ascii="Palatino Linotype" w:eastAsia="Palatino Linotype" w:hAnsi="Palatino Linotype" w:cs="Palatino Linotype"/>
          <w:b/>
          <w:sz w:val="22"/>
          <w:szCs w:val="22"/>
        </w:rPr>
        <w:t xml:space="preserve">verificar si la respuesta otorgada por el Sujeto Obligado es adecuada y suficiente para satisfacer el derecho de acceso a la información pública </w:t>
      </w:r>
      <w:r w:rsidRPr="00FE3C5A">
        <w:rPr>
          <w:rFonts w:ascii="Palatino Linotype" w:eastAsia="Palatino Linotype" w:hAnsi="Palatino Linotype" w:cs="Palatino Linotype"/>
          <w:sz w:val="22"/>
          <w:szCs w:val="22"/>
        </w:rPr>
        <w:t xml:space="preserve">de </w:t>
      </w:r>
      <w:r w:rsidRPr="00FE3C5A">
        <w:rPr>
          <w:rFonts w:ascii="Palatino Linotype" w:eastAsia="Palatino Linotype" w:hAnsi="Palatino Linotype" w:cs="Palatino Linotype"/>
          <w:b/>
          <w:sz w:val="22"/>
          <w:szCs w:val="22"/>
        </w:rPr>
        <w:t>la parte</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o en su defecto, en caso de ser procedente, ordenar la entrega de información.</w:t>
      </w:r>
    </w:p>
    <w:p w14:paraId="167F1686"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bookmarkStart w:id="8" w:name="_heading=h.2et92p0" w:colFirst="0" w:colLast="0"/>
      <w:bookmarkEnd w:id="8"/>
      <w:r w:rsidRPr="00FE3C5A">
        <w:rPr>
          <w:rFonts w:ascii="Palatino Linotype" w:eastAsia="Palatino Linotype" w:hAnsi="Palatino Linotype" w:cs="Palatino Linotype"/>
          <w:b/>
          <w:sz w:val="22"/>
          <w:szCs w:val="22"/>
        </w:rPr>
        <w:t xml:space="preserve">Cuarto. Estudio del asunto. </w:t>
      </w:r>
      <w:r w:rsidRPr="00FE3C5A">
        <w:rPr>
          <w:rFonts w:ascii="Palatino Linotype" w:eastAsia="Palatino Linotype" w:hAnsi="Palatino Linotype" w:cs="Palatino Linotype"/>
          <w:sz w:val="22"/>
          <w:szCs w:val="22"/>
        </w:rPr>
        <w:t>En primer lugar, es conveniente mencionar que de conformidad con el artículo 4 de la Ley de Transparencia y Acceso a la Información Pública del Estado de México y Municipios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248FCF4C"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4</w:t>
      </w:r>
      <w:r w:rsidRPr="00FE3C5A">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3C106E6D"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FE3C5A">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5D6920F1"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FE3C5A">
        <w:rPr>
          <w:rFonts w:ascii="Palatino Linotype" w:eastAsia="Palatino Linotype" w:hAnsi="Palatino Linotype" w:cs="Palatino Linotype"/>
          <w:i/>
          <w:sz w:val="22"/>
          <w:szCs w:val="22"/>
        </w:rPr>
        <w:t>.”</w:t>
      </w:r>
    </w:p>
    <w:p w14:paraId="2521931F"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(Énfasis añadido)</w:t>
      </w:r>
    </w:p>
    <w:p w14:paraId="1415D060"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23E7AAA0"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12.-</w:t>
      </w:r>
      <w:r w:rsidRPr="00FE3C5A">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09897500"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La obligación de proporcionar información no comprende el procesamiento de la misma, ni el presentarla conforme al interés del solicitante; no estarán obligados a generarla, resumirla, efectuar cálculos o practicar investigaciones.</w:t>
      </w:r>
      <w:r w:rsidRPr="00FE3C5A">
        <w:rPr>
          <w:rFonts w:ascii="Palatino Linotype" w:eastAsia="Palatino Linotype" w:hAnsi="Palatino Linotype" w:cs="Palatino Linotype"/>
          <w:i/>
          <w:sz w:val="22"/>
          <w:szCs w:val="22"/>
        </w:rPr>
        <w:t xml:space="preserve">” </w:t>
      </w:r>
    </w:p>
    <w:p w14:paraId="795A2F4D" w14:textId="77777777" w:rsidR="007928C7" w:rsidRPr="00FE3C5A" w:rsidRDefault="000C530D">
      <w:pPr>
        <w:spacing w:before="240" w:after="240" w:line="360" w:lineRule="auto"/>
        <w:ind w:right="-93"/>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concretaran a proporcionar la información solicitada que tengan en su poder en el estado que se encuentran, sin necesidad de concretarse al interés o términos específicos del solicitante.</w:t>
      </w:r>
    </w:p>
    <w:p w14:paraId="13D5A6EB" w14:textId="77777777" w:rsidR="007928C7" w:rsidRPr="00FE3C5A" w:rsidRDefault="000C530D">
      <w:pPr>
        <w:spacing w:before="240" w:after="240" w:line="360" w:lineRule="auto"/>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sz w:val="22"/>
          <w:szCs w:val="22"/>
        </w:rPr>
        <w:t xml:space="preserve">Sirve de apoyo a lo anterior, el criterio 03/17, emitido por el Instituto Nacional de Transparencia, Acceso a la Información y Protección de Datos Personales, </w:t>
      </w:r>
      <w:proofErr w:type="gramStart"/>
      <w:r w:rsidRPr="00FE3C5A">
        <w:rPr>
          <w:rFonts w:ascii="Palatino Linotype" w:eastAsia="Palatino Linotype" w:hAnsi="Palatino Linotype" w:cs="Palatino Linotype"/>
          <w:sz w:val="22"/>
          <w:szCs w:val="22"/>
        </w:rPr>
        <w:t>que</w:t>
      </w:r>
      <w:proofErr w:type="gramEnd"/>
      <w:r w:rsidRPr="00FE3C5A">
        <w:rPr>
          <w:rFonts w:ascii="Palatino Linotype" w:eastAsia="Palatino Linotype" w:hAnsi="Palatino Linotype" w:cs="Palatino Linotype"/>
          <w:sz w:val="22"/>
          <w:szCs w:val="22"/>
        </w:rPr>
        <w:t xml:space="preserve"> por rubro y texto, dispone lo siguiente:</w:t>
      </w:r>
      <w:r w:rsidRPr="00FE3C5A">
        <w:rPr>
          <w:rFonts w:ascii="Palatino Linotype" w:eastAsia="Palatino Linotype" w:hAnsi="Palatino Linotype" w:cs="Palatino Linotype"/>
          <w:b/>
          <w:sz w:val="22"/>
          <w:szCs w:val="22"/>
        </w:rPr>
        <w:t xml:space="preserve"> </w:t>
      </w:r>
    </w:p>
    <w:p w14:paraId="06714849"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No existe obligación de elaborar documentos ad hoc para atender las solicitudes de acceso a la información.</w:t>
      </w:r>
      <w:r w:rsidRPr="00FE3C5A">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w:t>
      </w:r>
      <w:r w:rsidRPr="00FE3C5A">
        <w:rPr>
          <w:rFonts w:ascii="Palatino Linotype" w:eastAsia="Palatino Linotype" w:hAnsi="Palatino Linotype" w:cs="Palatino Linotype"/>
          <w:i/>
          <w:sz w:val="22"/>
          <w:szCs w:val="22"/>
        </w:rPr>
        <w:lastRenderedPageBreak/>
        <w:t>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42EED3DD" w14:textId="77777777" w:rsidR="007928C7" w:rsidRPr="00FE3C5A" w:rsidRDefault="007928C7">
      <w:pPr>
        <w:spacing w:before="120" w:after="120"/>
        <w:ind w:left="851" w:right="616"/>
        <w:jc w:val="both"/>
        <w:rPr>
          <w:rFonts w:ascii="Palatino Linotype" w:eastAsia="Palatino Linotype" w:hAnsi="Palatino Linotype" w:cs="Palatino Linotype"/>
          <w:i/>
          <w:sz w:val="22"/>
          <w:szCs w:val="22"/>
        </w:rPr>
      </w:pPr>
    </w:p>
    <w:p w14:paraId="5F4299BA" w14:textId="77777777" w:rsidR="007928C7" w:rsidRPr="00FE3C5A" w:rsidRDefault="000C530D">
      <w:pPr>
        <w:spacing w:before="120" w:after="12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1910699C" w14:textId="77777777" w:rsidR="007928C7" w:rsidRPr="00FE3C5A" w:rsidRDefault="000C530D">
      <w:pPr>
        <w:spacing w:before="120" w:after="12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25B054DF" w14:textId="77777777" w:rsidR="007928C7" w:rsidRPr="00FE3C5A" w:rsidRDefault="000C530D">
      <w:pPr>
        <w:tabs>
          <w:tab w:val="left" w:pos="8222"/>
        </w:tabs>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 xml:space="preserve">Artículo 3. </w:t>
      </w:r>
      <w:r w:rsidRPr="00FE3C5A">
        <w:rPr>
          <w:rFonts w:ascii="Palatino Linotype" w:eastAsia="Palatino Linotype" w:hAnsi="Palatino Linotype" w:cs="Palatino Linotype"/>
          <w:i/>
          <w:sz w:val="22"/>
          <w:szCs w:val="22"/>
        </w:rPr>
        <w:t>Para los efectos de la presente Ley se entenderá por:</w:t>
      </w:r>
    </w:p>
    <w:p w14:paraId="78B4C89F" w14:textId="77777777" w:rsidR="007928C7" w:rsidRPr="00FE3C5A" w:rsidRDefault="000C530D">
      <w:pPr>
        <w:tabs>
          <w:tab w:val="left" w:pos="8222"/>
        </w:tabs>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4A818541" w14:textId="77777777" w:rsidR="007928C7" w:rsidRPr="00FE3C5A" w:rsidRDefault="000C530D">
      <w:pPr>
        <w:tabs>
          <w:tab w:val="left" w:pos="8222"/>
        </w:tabs>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XI. Documento:</w:t>
      </w:r>
      <w:r w:rsidRPr="00FE3C5A">
        <w:rPr>
          <w:rFonts w:ascii="Palatino Linotype" w:eastAsia="Palatino Linotype" w:hAnsi="Palatino Linotype" w:cs="Palatino Linotype"/>
          <w:i/>
          <w:sz w:val="22"/>
          <w:szCs w:val="22"/>
        </w:rPr>
        <w:t xml:space="preserve"> Los expedientes, reportes, estudios, actas</w:t>
      </w:r>
      <w:r w:rsidRPr="00FE3C5A">
        <w:rPr>
          <w:rFonts w:ascii="Palatino Linotype" w:eastAsia="Palatino Linotype" w:hAnsi="Palatino Linotype" w:cs="Palatino Linotype"/>
          <w:b/>
          <w:i/>
          <w:sz w:val="22"/>
          <w:szCs w:val="22"/>
        </w:rPr>
        <w:t>,</w:t>
      </w:r>
      <w:r w:rsidRPr="00FE3C5A">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65E1F470"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286B671F"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sz w:val="22"/>
          <w:szCs w:val="22"/>
        </w:rPr>
        <w:t>“</w:t>
      </w:r>
      <w:r w:rsidRPr="00FE3C5A">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FE3C5A">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3B5FE275"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En </w:t>
      </w:r>
      <w:proofErr w:type="gramStart"/>
      <w:r w:rsidRPr="00FE3C5A">
        <w:rPr>
          <w:rFonts w:ascii="Palatino Linotype" w:eastAsia="Palatino Linotype" w:hAnsi="Palatino Linotype" w:cs="Palatino Linotype"/>
          <w:i/>
          <w:sz w:val="22"/>
          <w:szCs w:val="22"/>
        </w:rPr>
        <w:t>consecuencia</w:t>
      </w:r>
      <w:proofErr w:type="gramEnd"/>
      <w:r w:rsidRPr="00FE3C5A">
        <w:rPr>
          <w:rFonts w:ascii="Palatino Linotype" w:eastAsia="Palatino Linotype" w:hAnsi="Palatino Linotype" w:cs="Palatino Linotype"/>
          <w:i/>
          <w:sz w:val="22"/>
          <w:szCs w:val="22"/>
        </w:rPr>
        <w:t xml:space="preserve"> el acceso a la información se refiere a que se cumplan cualquiera de los siguientes tres supuestos:</w:t>
      </w:r>
    </w:p>
    <w:p w14:paraId="687F864E"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1) Que se trate de información registrada en cualquier soporte documental, </w:t>
      </w:r>
      <w:proofErr w:type="gramStart"/>
      <w:r w:rsidRPr="00FE3C5A">
        <w:rPr>
          <w:rFonts w:ascii="Palatino Linotype" w:eastAsia="Palatino Linotype" w:hAnsi="Palatino Linotype" w:cs="Palatino Linotype"/>
          <w:i/>
          <w:sz w:val="22"/>
          <w:szCs w:val="22"/>
        </w:rPr>
        <w:t>que</w:t>
      </w:r>
      <w:proofErr w:type="gramEnd"/>
      <w:r w:rsidRPr="00FE3C5A">
        <w:rPr>
          <w:rFonts w:ascii="Palatino Linotype" w:eastAsia="Palatino Linotype" w:hAnsi="Palatino Linotype" w:cs="Palatino Linotype"/>
          <w:i/>
          <w:sz w:val="22"/>
          <w:szCs w:val="22"/>
        </w:rPr>
        <w:t xml:space="preserve"> en ejercicio de las atribuciones conferidas, sea generada por los Sujetos Obligados;</w:t>
      </w:r>
    </w:p>
    <w:p w14:paraId="7F505C70"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2) Que se trate de información registrada en cualquier soporte documental, </w:t>
      </w:r>
      <w:proofErr w:type="gramStart"/>
      <w:r w:rsidRPr="00FE3C5A">
        <w:rPr>
          <w:rFonts w:ascii="Palatino Linotype" w:eastAsia="Palatino Linotype" w:hAnsi="Palatino Linotype" w:cs="Palatino Linotype"/>
          <w:i/>
          <w:sz w:val="22"/>
          <w:szCs w:val="22"/>
        </w:rPr>
        <w:t>que</w:t>
      </w:r>
      <w:proofErr w:type="gramEnd"/>
      <w:r w:rsidRPr="00FE3C5A">
        <w:rPr>
          <w:rFonts w:ascii="Palatino Linotype" w:eastAsia="Palatino Linotype" w:hAnsi="Palatino Linotype" w:cs="Palatino Linotype"/>
          <w:i/>
          <w:sz w:val="22"/>
          <w:szCs w:val="22"/>
        </w:rPr>
        <w:t xml:space="preserve"> en ejercicio de las atribuciones conferidas, sea administrada por los Sujetos Obligados, y</w:t>
      </w:r>
    </w:p>
    <w:p w14:paraId="48F7296D" w14:textId="77777777" w:rsidR="007928C7" w:rsidRPr="00FE3C5A" w:rsidRDefault="000C530D">
      <w:pPr>
        <w:spacing w:before="120" w:after="120"/>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3) Que se trate de información registrada en cualquier soporte documental, </w:t>
      </w:r>
      <w:proofErr w:type="gramStart"/>
      <w:r w:rsidRPr="00FE3C5A">
        <w:rPr>
          <w:rFonts w:ascii="Palatino Linotype" w:eastAsia="Palatino Linotype" w:hAnsi="Palatino Linotype" w:cs="Palatino Linotype"/>
          <w:i/>
          <w:sz w:val="22"/>
          <w:szCs w:val="22"/>
        </w:rPr>
        <w:t>que</w:t>
      </w:r>
      <w:proofErr w:type="gramEnd"/>
      <w:r w:rsidRPr="00FE3C5A">
        <w:rPr>
          <w:rFonts w:ascii="Palatino Linotype" w:eastAsia="Palatino Linotype" w:hAnsi="Palatino Linotype" w:cs="Palatino Linotype"/>
          <w:i/>
          <w:sz w:val="22"/>
          <w:szCs w:val="22"/>
        </w:rPr>
        <w:t xml:space="preserve"> en ejercicio de las atribuciones conferidas, se encuentre en posesión de los Sujetos Obligados.” </w:t>
      </w:r>
    </w:p>
    <w:p w14:paraId="4CFD1470" w14:textId="77777777" w:rsidR="007928C7" w:rsidRPr="00FE3C5A" w:rsidRDefault="000C530D">
      <w:pPr>
        <w:spacing w:before="240" w:after="240"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Lo anterior, siempre y cuando no se trate de información clasificada como reservada o confidencial, cuya difusión pueda lesionar el interés jurídicamente protegido por la Ley, producir un daño mayor que el interés de conocerse, o bien, generar un daño en los derechos de las personas,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2405DE5D"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En el mismo tenor, los artículos 6, apartado A, fracción I, de la Constitución Política de los Estados Unidos Mexicanos y 5, fracción I, de la Constitución Política del Estado Libre y Soberano de México, establecen que toda la información en posesión 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jurídica colectiva o sindicato que reciba y ejerza recursos públicos o realice actos de autoridad en el ámbito estatal y municipal, es pública y sólo podrá ser reservada temporalmente por las razones previstas en la Constitución Federal por interés público y seguridad, en los términos que fijen las leyes de la materia.</w:t>
      </w:r>
    </w:p>
    <w:p w14:paraId="103048D1"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Ahora bien, del análisis de la solicitud de información, motivo del recurso de revisión que ahora se resuelve, se advierte que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requirió al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le proporcione, información consistente en lo siguiente:</w:t>
      </w:r>
    </w:p>
    <w:p w14:paraId="276621CA" w14:textId="77777777" w:rsidR="007928C7" w:rsidRPr="00FE3C5A" w:rsidRDefault="000C530D">
      <w:pPr>
        <w:numPr>
          <w:ilvl w:val="0"/>
          <w:numId w:val="1"/>
        </w:numPr>
        <w:pBdr>
          <w:top w:val="nil"/>
          <w:left w:val="nil"/>
          <w:bottom w:val="nil"/>
          <w:right w:val="nil"/>
          <w:between w:val="nil"/>
        </w:pBdr>
        <w:spacing w:before="240" w:line="360" w:lineRule="auto"/>
        <w:ind w:left="567" w:right="616"/>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De las obras de rehabilitación de la Casa de Cultura, de enero 2022 a octubre 2024:</w:t>
      </w:r>
    </w:p>
    <w:p w14:paraId="142B0E23" w14:textId="77777777" w:rsidR="007928C7" w:rsidRPr="00FE3C5A" w:rsidRDefault="000C530D">
      <w:pPr>
        <w:numPr>
          <w:ilvl w:val="0"/>
          <w:numId w:val="2"/>
        </w:numPr>
        <w:pBdr>
          <w:top w:val="nil"/>
          <w:left w:val="nil"/>
          <w:bottom w:val="nil"/>
          <w:right w:val="nil"/>
          <w:between w:val="nil"/>
        </w:pBdr>
        <w:spacing w:line="360" w:lineRule="auto"/>
        <w:ind w:left="567"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Cuanto tiempo les llevó el trabajo de obras, </w:t>
      </w:r>
    </w:p>
    <w:p w14:paraId="52CA20B1" w14:textId="77777777" w:rsidR="007928C7" w:rsidRPr="00FE3C5A" w:rsidRDefault="000C530D">
      <w:pPr>
        <w:numPr>
          <w:ilvl w:val="0"/>
          <w:numId w:val="2"/>
        </w:numPr>
        <w:pBdr>
          <w:top w:val="nil"/>
          <w:left w:val="nil"/>
          <w:bottom w:val="nil"/>
          <w:right w:val="nil"/>
          <w:between w:val="nil"/>
        </w:pBdr>
        <w:spacing w:line="360" w:lineRule="auto"/>
        <w:ind w:left="567"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Cuanto presupuesto se destinó para llevarlo a cabo, </w:t>
      </w:r>
    </w:p>
    <w:p w14:paraId="2F55072F" w14:textId="77777777" w:rsidR="007928C7" w:rsidRPr="00FE3C5A" w:rsidRDefault="000C530D">
      <w:pPr>
        <w:numPr>
          <w:ilvl w:val="0"/>
          <w:numId w:val="2"/>
        </w:numPr>
        <w:pBdr>
          <w:top w:val="nil"/>
          <w:left w:val="nil"/>
          <w:bottom w:val="nil"/>
          <w:right w:val="nil"/>
          <w:between w:val="nil"/>
        </w:pBdr>
        <w:spacing w:line="360" w:lineRule="auto"/>
        <w:ind w:left="567"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qué fecha se entregó la obra terminada; y, </w:t>
      </w:r>
    </w:p>
    <w:p w14:paraId="6C016A97" w14:textId="77777777" w:rsidR="007928C7" w:rsidRPr="00FE3C5A" w:rsidRDefault="000C530D">
      <w:pPr>
        <w:numPr>
          <w:ilvl w:val="0"/>
          <w:numId w:val="2"/>
        </w:numPr>
        <w:pBdr>
          <w:top w:val="nil"/>
          <w:left w:val="nil"/>
          <w:bottom w:val="nil"/>
          <w:right w:val="nil"/>
          <w:between w:val="nil"/>
        </w:pBdr>
        <w:spacing w:after="240" w:line="360" w:lineRule="auto"/>
        <w:ind w:left="567"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Que autoridades municipales acudieron a la misma. </w:t>
      </w:r>
    </w:p>
    <w:p w14:paraId="0D631EDD" w14:textId="77777777" w:rsidR="007928C7" w:rsidRPr="00FE3C5A" w:rsidRDefault="000C530D">
      <w:pPr>
        <w:spacing w:before="240"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Cabe hacer mención que respecto a las autoridades municipales que acudieron, se entiende que la pretensión del hoy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es obtener el nombre de los servidores públicos que son autoridades del municipio, los cuales acudieron a la entrega de las obras. </w:t>
      </w:r>
    </w:p>
    <w:p w14:paraId="2EA3CF71" w14:textId="77777777" w:rsidR="007928C7" w:rsidRPr="00FE3C5A" w:rsidRDefault="000C530D">
      <w:pPr>
        <w:spacing w:before="240"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Ahora bien, en respuesta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por conducto del Titular de la Unidad de Transparencia hizo del conocimiento del particular que la información la puede obtener en </w:t>
      </w:r>
      <w:r w:rsidRPr="00FE3C5A">
        <w:rPr>
          <w:rFonts w:ascii="Palatino Linotype" w:eastAsia="Palatino Linotype" w:hAnsi="Palatino Linotype" w:cs="Palatino Linotype"/>
          <w:sz w:val="22"/>
          <w:szCs w:val="22"/>
        </w:rPr>
        <w:lastRenderedPageBreak/>
        <w:t xml:space="preserve">el informe de gobierno que se encuentra en la siguiente liga </w:t>
      </w:r>
      <w:hyperlink r:id="rId8">
        <w:r w:rsidRPr="00FE3C5A">
          <w:rPr>
            <w:rFonts w:ascii="Palatino Linotype" w:eastAsia="Palatino Linotype" w:hAnsi="Palatino Linotype" w:cs="Palatino Linotype"/>
            <w:sz w:val="22"/>
            <w:szCs w:val="22"/>
            <w:u w:val="single"/>
          </w:rPr>
          <w:t>https://www.chapultepec.gob.mx/</w:t>
        </w:r>
      </w:hyperlink>
      <w:r w:rsidRPr="00FE3C5A">
        <w:rPr>
          <w:rFonts w:ascii="Palatino Linotype" w:eastAsia="Palatino Linotype" w:hAnsi="Palatino Linotype" w:cs="Palatino Linotype"/>
          <w:sz w:val="22"/>
          <w:szCs w:val="22"/>
        </w:rPr>
        <w:t xml:space="preserve">. </w:t>
      </w:r>
    </w:p>
    <w:p w14:paraId="5D59DCA5" w14:textId="77777777" w:rsidR="007928C7" w:rsidRPr="00FE3C5A" w:rsidRDefault="000C530D">
      <w:pPr>
        <w:spacing w:before="240"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Conocida la respuesta por la persona solicitante, al no estar conforme con los términos de la misma, interpuso el recurso de revisión que nos ocupa, mediante el cual se inconformó por la liga electrónica que le fue proporcionada, señalando que en esta no se encuentra el apartado del informe de gobierno. </w:t>
      </w:r>
    </w:p>
    <w:p w14:paraId="5B72816D" w14:textId="77777777" w:rsidR="007928C7" w:rsidRPr="00FE3C5A" w:rsidRDefault="000C530D">
      <w:pPr>
        <w:spacing w:before="240"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Admitido el presente recurso de revisión, en términos del artículo 185 fracción II</w:t>
      </w:r>
      <w:r w:rsidRPr="00FE3C5A">
        <w:rPr>
          <w:rFonts w:ascii="Palatino Linotype" w:eastAsia="Palatino Linotype" w:hAnsi="Palatino Linotype" w:cs="Palatino Linotype"/>
          <w:sz w:val="22"/>
          <w:szCs w:val="22"/>
          <w:vertAlign w:val="superscript"/>
        </w:rPr>
        <w:footnoteReference w:id="1"/>
      </w:r>
      <w:r w:rsidRPr="00FE3C5A">
        <w:rPr>
          <w:rFonts w:ascii="Palatino Linotype" w:eastAsia="Palatino Linotype" w:hAnsi="Palatino Linotype" w:cs="Palatino Linotype"/>
          <w:sz w:val="22"/>
          <w:szCs w:val="22"/>
        </w:rPr>
        <w:t xml:space="preserve"> de la Ley de Transparencia y Acceso a la Información Pública del Estado de México y Municipios, se integró el expediente y se puso a disposición de las partes para que, en un plazo máximo de siete días hábiles, manifestaran lo que a su derecho resultara conveniente, teniendo así que el </w:t>
      </w:r>
      <w:r w:rsidRPr="00FE3C5A">
        <w:rPr>
          <w:rFonts w:ascii="Palatino Linotype" w:eastAsia="Palatino Linotype" w:hAnsi="Palatino Linotype" w:cs="Palatino Linotype"/>
          <w:b/>
          <w:sz w:val="22"/>
          <w:szCs w:val="22"/>
        </w:rPr>
        <w:t xml:space="preserve">Recurrente </w:t>
      </w:r>
      <w:r w:rsidRPr="00FE3C5A">
        <w:rPr>
          <w:rFonts w:ascii="Palatino Linotype" w:eastAsia="Palatino Linotype" w:hAnsi="Palatino Linotype" w:cs="Palatino Linotype"/>
          <w:sz w:val="22"/>
          <w:szCs w:val="22"/>
        </w:rPr>
        <w:t xml:space="preserve">no realizó manifestaciones, alegatos o pruebas que a su derecho convinieran y por su parte 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 xml:space="preserve">fue omiso en rendir su informe justificado. </w:t>
      </w:r>
    </w:p>
    <w:p w14:paraId="52DC2A7B"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Expuestas las posturas de las partes, el artículo 33 del Bando Municipal del Ayuntamiento de Chapultepec, señala </w:t>
      </w:r>
      <w:proofErr w:type="gramStart"/>
      <w:r w:rsidRPr="00FE3C5A">
        <w:rPr>
          <w:rFonts w:ascii="Palatino Linotype" w:eastAsia="Palatino Linotype" w:hAnsi="Palatino Linotype" w:cs="Palatino Linotype"/>
          <w:sz w:val="22"/>
          <w:szCs w:val="22"/>
        </w:rPr>
        <w:t>que</w:t>
      </w:r>
      <w:proofErr w:type="gramEnd"/>
      <w:r w:rsidRPr="00FE3C5A">
        <w:rPr>
          <w:rFonts w:ascii="Palatino Linotype" w:eastAsia="Palatino Linotype" w:hAnsi="Palatino Linotype" w:cs="Palatino Linotype"/>
          <w:sz w:val="22"/>
          <w:szCs w:val="22"/>
        </w:rPr>
        <w:t xml:space="preserve"> para el despacho de los asuntos municipales, el Ayuntamiento se auxiliará de las dependencias administrativas, organismos públicos descentralizados y entidades de la Administración Pública Municipal que considere necesarias, las que estarán subordinadas a la Presidenta Municipal. </w:t>
      </w:r>
    </w:p>
    <w:p w14:paraId="6356A27F"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0DA4DEF8"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Asimismo, el artículo 35 de la normativa en cita, señala que la Administración Pública Centralizada es una forma de organización de la Administración Pública del Municipio, cuyos órganos auxilian al Ayuntamiento en el despacho de los asuntos municipales y están subordinados a la Presidencia Municipal, mismos que se integran de la siguiente manera: </w:t>
      </w:r>
    </w:p>
    <w:p w14:paraId="090A9B1A"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76ECE11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w:t>
      </w:r>
      <w:r w:rsidRPr="00FE3C5A">
        <w:rPr>
          <w:rFonts w:ascii="Palatino Linotype" w:eastAsia="Palatino Linotype" w:hAnsi="Palatino Linotype" w:cs="Palatino Linotype"/>
          <w:b/>
          <w:i/>
          <w:sz w:val="22"/>
          <w:szCs w:val="22"/>
        </w:rPr>
        <w:t>Artículo 35</w:t>
      </w:r>
      <w:r w:rsidRPr="00FE3C5A">
        <w:rPr>
          <w:rFonts w:ascii="Palatino Linotype" w:eastAsia="Palatino Linotype" w:hAnsi="Palatino Linotype" w:cs="Palatino Linotype"/>
          <w:i/>
          <w:sz w:val="22"/>
          <w:szCs w:val="22"/>
        </w:rPr>
        <w:t xml:space="preserve">.- … </w:t>
      </w:r>
    </w:p>
    <w:p w14:paraId="7884862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La Administración Pública Centralizada se integra por:</w:t>
      </w:r>
    </w:p>
    <w:p w14:paraId="0F1C3D33" w14:textId="77777777" w:rsidR="007928C7" w:rsidRPr="00FE3C5A" w:rsidRDefault="007928C7">
      <w:pPr>
        <w:spacing w:line="276" w:lineRule="auto"/>
        <w:ind w:left="851" w:right="616"/>
        <w:jc w:val="both"/>
        <w:rPr>
          <w:rFonts w:ascii="Palatino Linotype" w:eastAsia="Palatino Linotype" w:hAnsi="Palatino Linotype" w:cs="Palatino Linotype"/>
          <w:i/>
          <w:sz w:val="22"/>
          <w:szCs w:val="22"/>
        </w:rPr>
      </w:pPr>
    </w:p>
    <w:p w14:paraId="496480B4"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 Secretaría del Ayuntamiento:</w:t>
      </w:r>
    </w:p>
    <w:p w14:paraId="2FAA558E"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a) Sistema de Control de Recursos para Entidades</w:t>
      </w:r>
    </w:p>
    <w:p w14:paraId="34A0EC1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Gubernamentales; y</w:t>
      </w:r>
    </w:p>
    <w:p w14:paraId="1C8E47D0"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b) Archivo Municipal;</w:t>
      </w:r>
    </w:p>
    <w:p w14:paraId="1965AA0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Tesorería:</w:t>
      </w:r>
    </w:p>
    <w:p w14:paraId="6C39134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a) Catastro Municipal;</w:t>
      </w:r>
    </w:p>
    <w:p w14:paraId="64A670B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Contraloría;</w:t>
      </w:r>
    </w:p>
    <w:p w14:paraId="603F5DDE"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IV. Direcciones de:</w:t>
      </w:r>
    </w:p>
    <w:p w14:paraId="7A0106B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a) Agua Potable, Alcantarillado y Saneamiento;</w:t>
      </w:r>
    </w:p>
    <w:p w14:paraId="146C2228"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b) Desarrollo Económico y Turismo:</w:t>
      </w:r>
    </w:p>
    <w:p w14:paraId="1367138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b.1. Coordinación Agropecuaria;</w:t>
      </w:r>
    </w:p>
    <w:p w14:paraId="7463ED7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c) Desarrollo Social y Participación Ciudadana:</w:t>
      </w:r>
    </w:p>
    <w:p w14:paraId="3899D183"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c.1. Coordinación de Salud; y</w:t>
      </w:r>
    </w:p>
    <w:p w14:paraId="00075BF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c.2. Coordinación de Atención a la Juventud;</w:t>
      </w:r>
    </w:p>
    <w:p w14:paraId="3560EB1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d) Desarrollo Urbano;</w:t>
      </w:r>
    </w:p>
    <w:p w14:paraId="62281764"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u w:val="single"/>
        </w:rPr>
      </w:pPr>
      <w:r w:rsidRPr="00FE3C5A">
        <w:rPr>
          <w:rFonts w:ascii="Palatino Linotype" w:eastAsia="Palatino Linotype" w:hAnsi="Palatino Linotype" w:cs="Palatino Linotype"/>
          <w:b/>
          <w:i/>
          <w:sz w:val="22"/>
          <w:szCs w:val="22"/>
          <w:u w:val="single"/>
        </w:rPr>
        <w:t>e) Obras Públicas;</w:t>
      </w:r>
    </w:p>
    <w:p w14:paraId="371641B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f) Educación y Cultura;</w:t>
      </w:r>
    </w:p>
    <w:p w14:paraId="6BE453B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g) Seguridad Pública Municipal;</w:t>
      </w:r>
    </w:p>
    <w:p w14:paraId="316C507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g.1. Coordinación del Centro de Mando C2;</w:t>
      </w:r>
    </w:p>
    <w:p w14:paraId="2358066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h) Servicios Públicos;</w:t>
      </w:r>
    </w:p>
    <w:p w14:paraId="02FA6C1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h.1. Coordinación del Panteón Municipal;</w:t>
      </w:r>
    </w:p>
    <w:p w14:paraId="5C11A3E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 Ecología;</w:t>
      </w:r>
    </w:p>
    <w:p w14:paraId="2BCA47F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j) Gobernación; y</w:t>
      </w:r>
    </w:p>
    <w:p w14:paraId="0A3888A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k) Las demás que determine crear el Ayuntamiento, a propuesta de la </w:t>
      </w:r>
      <w:proofErr w:type="gramStart"/>
      <w:r w:rsidRPr="00FE3C5A">
        <w:rPr>
          <w:rFonts w:ascii="Palatino Linotype" w:eastAsia="Palatino Linotype" w:hAnsi="Palatino Linotype" w:cs="Palatino Linotype"/>
          <w:i/>
          <w:sz w:val="22"/>
          <w:szCs w:val="22"/>
        </w:rPr>
        <w:t>Presidenta</w:t>
      </w:r>
      <w:proofErr w:type="gramEnd"/>
      <w:r w:rsidRPr="00FE3C5A">
        <w:rPr>
          <w:rFonts w:ascii="Palatino Linotype" w:eastAsia="Palatino Linotype" w:hAnsi="Palatino Linotype" w:cs="Palatino Linotype"/>
          <w:i/>
          <w:sz w:val="22"/>
          <w:szCs w:val="22"/>
        </w:rPr>
        <w:t xml:space="preserve"> Municipal.”</w:t>
      </w:r>
    </w:p>
    <w:p w14:paraId="35E057E6"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7A98E07A"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Ahora bien, cabe señalar que la Ley Orgánica Municipal del Estado de México establece en su artículo 96 Bis que la Dirección de Obras Públicas, cuenta con las siguientes atribuciones:</w:t>
      </w:r>
    </w:p>
    <w:p w14:paraId="55E8A4ED" w14:textId="77777777" w:rsidR="007928C7" w:rsidRPr="00FE3C5A" w:rsidRDefault="007928C7">
      <w:pPr>
        <w:spacing w:line="276" w:lineRule="auto"/>
        <w:ind w:left="567" w:right="567"/>
        <w:jc w:val="both"/>
        <w:rPr>
          <w:rFonts w:ascii="Palatino Linotype" w:eastAsia="Palatino Linotype" w:hAnsi="Palatino Linotype" w:cs="Palatino Linotype"/>
          <w:i/>
          <w:sz w:val="22"/>
          <w:szCs w:val="22"/>
        </w:rPr>
      </w:pPr>
    </w:p>
    <w:p w14:paraId="590BF4A2" w14:textId="77777777" w:rsidR="007928C7" w:rsidRPr="00FE3C5A" w:rsidRDefault="000C530D">
      <w:pPr>
        <w:spacing w:line="276" w:lineRule="auto"/>
        <w:ind w:left="851" w:right="567"/>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 xml:space="preserve">Artículo 96. </w:t>
      </w:r>
      <w:proofErr w:type="gramStart"/>
      <w:r w:rsidRPr="00FE3C5A">
        <w:rPr>
          <w:rFonts w:ascii="Palatino Linotype" w:eastAsia="Palatino Linotype" w:hAnsi="Palatino Linotype" w:cs="Palatino Linotype"/>
          <w:b/>
          <w:i/>
          <w:sz w:val="22"/>
          <w:szCs w:val="22"/>
        </w:rPr>
        <w:t>Bis.-</w:t>
      </w:r>
      <w:proofErr w:type="gramEnd"/>
      <w:r w:rsidRPr="00FE3C5A">
        <w:rPr>
          <w:rFonts w:ascii="Palatino Linotype" w:eastAsia="Palatino Linotype" w:hAnsi="Palatino Linotype" w:cs="Palatino Linotype"/>
          <w:b/>
          <w:i/>
          <w:sz w:val="22"/>
          <w:szCs w:val="22"/>
        </w:rPr>
        <w:t xml:space="preserve"> </w:t>
      </w:r>
      <w:r w:rsidRPr="00FE3C5A">
        <w:rPr>
          <w:rFonts w:ascii="Palatino Linotype" w:eastAsia="Palatino Linotype" w:hAnsi="Palatino Linotype" w:cs="Palatino Linotype"/>
          <w:i/>
          <w:sz w:val="22"/>
          <w:szCs w:val="22"/>
        </w:rPr>
        <w:t>El Director de Obras Públicas o el Titular de la Unidad Administrativa equivalente, tiene las siguientes atribuciones:</w:t>
      </w:r>
    </w:p>
    <w:p w14:paraId="3AB4D134" w14:textId="77777777" w:rsidR="007928C7" w:rsidRPr="00FE3C5A" w:rsidRDefault="007928C7">
      <w:pPr>
        <w:spacing w:line="276" w:lineRule="auto"/>
        <w:ind w:left="851" w:right="567"/>
        <w:jc w:val="both"/>
        <w:rPr>
          <w:rFonts w:ascii="Palatino Linotype" w:eastAsia="Palatino Linotype" w:hAnsi="Palatino Linotype" w:cs="Palatino Linotype"/>
          <w:i/>
          <w:sz w:val="22"/>
          <w:szCs w:val="22"/>
        </w:rPr>
      </w:pPr>
    </w:p>
    <w:p w14:paraId="45CA9660" w14:textId="77777777" w:rsidR="007928C7" w:rsidRPr="00FE3C5A" w:rsidRDefault="000C530D">
      <w:pPr>
        <w:spacing w:line="276" w:lineRule="auto"/>
        <w:ind w:left="851" w:right="567"/>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 </w:t>
      </w:r>
      <w:r w:rsidRPr="00FE3C5A">
        <w:rPr>
          <w:rFonts w:ascii="Palatino Linotype" w:eastAsia="Palatino Linotype" w:hAnsi="Palatino Linotype" w:cs="Palatino Linotype"/>
          <w:b/>
          <w:i/>
          <w:sz w:val="22"/>
          <w:szCs w:val="22"/>
        </w:rPr>
        <w:t>Realizar la programación y ejecución de las obras públicas y servicios relacionados, que por orden expresa del Ayuntamiento requieran prioridad</w:t>
      </w:r>
      <w:r w:rsidRPr="00FE3C5A">
        <w:rPr>
          <w:rFonts w:ascii="Palatino Linotype" w:eastAsia="Palatino Linotype" w:hAnsi="Palatino Linotype" w:cs="Palatino Linotype"/>
          <w:i/>
          <w:sz w:val="22"/>
          <w:szCs w:val="22"/>
        </w:rPr>
        <w:t>;</w:t>
      </w:r>
    </w:p>
    <w:p w14:paraId="07F7BC97" w14:textId="77777777" w:rsidR="007928C7" w:rsidRPr="00FE3C5A" w:rsidRDefault="000C530D">
      <w:pPr>
        <w:spacing w:line="276" w:lineRule="auto"/>
        <w:ind w:left="851" w:right="567"/>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Planear y coordinar los proyectos de obras públicas y servicios relacionados con las mismas que autorice el Ayuntamiento, una vez que se cumplan los requisitos de licitación y otros que determine la ley de la materia;</w:t>
      </w:r>
    </w:p>
    <w:p w14:paraId="460AACEB" w14:textId="77777777" w:rsidR="007928C7" w:rsidRPr="00FE3C5A" w:rsidRDefault="000C530D">
      <w:pPr>
        <w:spacing w:line="276" w:lineRule="auto"/>
        <w:ind w:left="851" w:right="567"/>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VI. Vigilar que se cumplan y lleven a cabo los programas de construcción y mantenimiento de obras públicas y servicios relacionados;</w:t>
      </w:r>
    </w:p>
    <w:p w14:paraId="229898D3" w14:textId="77777777" w:rsidR="007928C7" w:rsidRPr="00FE3C5A" w:rsidRDefault="000C530D">
      <w:pPr>
        <w:spacing w:line="276" w:lineRule="auto"/>
        <w:ind w:left="851" w:right="567"/>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IX. Administrar y ejercer, en el ámbito de su competencia, de manera coordinada con el Tesorero municipal, los recursos públicos destinados a la planeación, programación, presupuestación, adjudicación, contratación, ejecución y control de la obra pública, conforme a las disposiciones legales aplicables y en congruencia con los planes, programas, especificaciones técnicas, controles y procedimientos administrativos aprobados;”</w:t>
      </w:r>
    </w:p>
    <w:p w14:paraId="532BAE3E"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4DC86753"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Por su parte, el Manual de Organización de la Dirección de Obras Públicas señala que dicha dirección cuenta con las siguientes funciones:</w:t>
      </w:r>
    </w:p>
    <w:p w14:paraId="1C30BD16"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14D2B7F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“Funciones</w:t>
      </w:r>
    </w:p>
    <w:p w14:paraId="72E8DA7E"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I. Planear, programar y controlar la construcción de obras de beneficio colectivo que autorice el ayuntamiento.</w:t>
      </w:r>
    </w:p>
    <w:p w14:paraId="6A130A75"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II. </w:t>
      </w:r>
      <w:r w:rsidRPr="00FE3C5A">
        <w:rPr>
          <w:rFonts w:ascii="Palatino Linotype" w:eastAsia="Palatino Linotype" w:hAnsi="Palatino Linotype" w:cs="Palatino Linotype"/>
          <w:b/>
          <w:i/>
          <w:sz w:val="22"/>
          <w:szCs w:val="22"/>
        </w:rPr>
        <w:t>Vigilar e impulsar el mantenimiento y conservación de la obra pública</w:t>
      </w:r>
      <w:r w:rsidRPr="00FE3C5A">
        <w:rPr>
          <w:rFonts w:ascii="Palatino Linotype" w:eastAsia="Palatino Linotype" w:hAnsi="Palatino Linotype" w:cs="Palatino Linotype"/>
          <w:i/>
          <w:sz w:val="22"/>
          <w:szCs w:val="22"/>
        </w:rPr>
        <w:t>.</w:t>
      </w:r>
    </w:p>
    <w:p w14:paraId="77851FE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Elaborar y pr</w:t>
      </w:r>
      <w:r w:rsidRPr="00FE3C5A">
        <w:rPr>
          <w:rFonts w:ascii="Palatino Linotype" w:eastAsia="Palatino Linotype" w:hAnsi="Palatino Linotype" w:cs="Palatino Linotype"/>
          <w:b/>
          <w:i/>
          <w:sz w:val="22"/>
          <w:szCs w:val="22"/>
        </w:rPr>
        <w:t>e</w:t>
      </w:r>
      <w:r w:rsidRPr="00FE3C5A">
        <w:rPr>
          <w:rFonts w:ascii="Palatino Linotype" w:eastAsia="Palatino Linotype" w:hAnsi="Palatino Linotype" w:cs="Palatino Linotype"/>
          <w:i/>
          <w:sz w:val="22"/>
          <w:szCs w:val="22"/>
        </w:rPr>
        <w:t xml:space="preserve">sentar para su aprobación y autorización a la </w:t>
      </w:r>
      <w:proofErr w:type="gramStart"/>
      <w:r w:rsidRPr="00FE3C5A">
        <w:rPr>
          <w:rFonts w:ascii="Palatino Linotype" w:eastAsia="Palatino Linotype" w:hAnsi="Palatino Linotype" w:cs="Palatino Linotype"/>
          <w:i/>
          <w:sz w:val="22"/>
          <w:szCs w:val="22"/>
        </w:rPr>
        <w:t>Presidenta</w:t>
      </w:r>
      <w:proofErr w:type="gramEnd"/>
      <w:r w:rsidRPr="00FE3C5A">
        <w:rPr>
          <w:rFonts w:ascii="Palatino Linotype" w:eastAsia="Palatino Linotype" w:hAnsi="Palatino Linotype" w:cs="Palatino Linotype"/>
          <w:i/>
          <w:sz w:val="22"/>
          <w:szCs w:val="22"/>
        </w:rPr>
        <w:t xml:space="preserve"> Municipal el Programa Anual de Obras y programa de trabajo de la Dirección.</w:t>
      </w:r>
    </w:p>
    <w:p w14:paraId="4926460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IV. Elaborar el informe anual de actividades autorizadas por la Dirección a fin de que sea integrado al informe anual de actividades que presenta conforme a la Ley la </w:t>
      </w:r>
      <w:proofErr w:type="gramStart"/>
      <w:r w:rsidRPr="00FE3C5A">
        <w:rPr>
          <w:rFonts w:ascii="Palatino Linotype" w:eastAsia="Palatino Linotype" w:hAnsi="Palatino Linotype" w:cs="Palatino Linotype"/>
          <w:i/>
          <w:sz w:val="22"/>
          <w:szCs w:val="22"/>
        </w:rPr>
        <w:t>Presidenta</w:t>
      </w:r>
      <w:proofErr w:type="gramEnd"/>
      <w:r w:rsidRPr="00FE3C5A">
        <w:rPr>
          <w:rFonts w:ascii="Palatino Linotype" w:eastAsia="Palatino Linotype" w:hAnsi="Palatino Linotype" w:cs="Palatino Linotype"/>
          <w:i/>
          <w:sz w:val="22"/>
          <w:szCs w:val="22"/>
        </w:rPr>
        <w:t xml:space="preserve"> Municipal.</w:t>
      </w:r>
    </w:p>
    <w:p w14:paraId="5C5A25E1"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V. Promover conforme a la normatividad, la adjudicación de contratos para la ejecución de obras públicas.</w:t>
      </w:r>
    </w:p>
    <w:p w14:paraId="096C1BA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VI. Celebrar convenios, contratos o acuerdos que se deriven de las obras públicas incluidas en los diferentes programas institucionales de inversión</w:t>
      </w:r>
      <w:r w:rsidRPr="00FE3C5A">
        <w:rPr>
          <w:rFonts w:ascii="Palatino Linotype" w:eastAsia="Palatino Linotype" w:hAnsi="Palatino Linotype" w:cs="Palatino Linotype"/>
          <w:i/>
          <w:sz w:val="22"/>
          <w:szCs w:val="22"/>
        </w:rPr>
        <w:t>.</w:t>
      </w:r>
    </w:p>
    <w:p w14:paraId="136EAE1E"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VII. Analizar y validar, la documentación soporte que se genere en las obras públicas, a fin de dar trámite al pago de anticipación y estimaciones.</w:t>
      </w:r>
    </w:p>
    <w:p w14:paraId="181A6874"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VIII. Coordinar y supervisar, que la integración de expedientes unitarios de obra, se lleven a cabo conforme a normatividad, de forma completa y ordenada.</w:t>
      </w:r>
    </w:p>
    <w:p w14:paraId="4825DC6B"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IX. Promover la elaboración de proyectos ejecutivos, justificaciones económicas, validaciones y demás requisitos básicos que faciliten la autorización de recursos para la ejecución de obras.</w:t>
      </w:r>
    </w:p>
    <w:p w14:paraId="6F85CA23"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 Evaluar las actividades de las diferentes áreas de la Dirección a fin de lograr una permanente efectividad de funciones y elevar la calidad de los servicios que se prestan.</w:t>
      </w:r>
    </w:p>
    <w:p w14:paraId="7AA895AD"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XI. Atender en audiencia personalizada, a la ciudadanía en general que tenga interés os asuntos relacionados con la obra pública.</w:t>
      </w:r>
    </w:p>
    <w:p w14:paraId="3082FC85"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XII. Asistir a eventos, cursos, reuniones, capacitaciones etc... Relacionados con temas inherentes a la obra pública.</w:t>
      </w:r>
    </w:p>
    <w:p w14:paraId="2C1E38B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XIII. Coordinar el establecimiento de canales de comunicación entre las áreas de la Dirección a fin de que los objetivos y programas se cumplan de forma íntegra y con esto dar mejores servicios a la comunidad.</w:t>
      </w:r>
    </w:p>
    <w:p w14:paraId="1E73438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XIV. Coordinar la atención a los entes fiscalizadores, a fin de otorgar respuesta oportuna a las acciones de auditoría que se realicen. </w:t>
      </w:r>
    </w:p>
    <w:p w14:paraId="46F2C44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XV. Desarrollar las demás funciones inherentes al área de su competencia.”</w:t>
      </w:r>
    </w:p>
    <w:p w14:paraId="6A61762B"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37FF324D"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De acuerdo a lo anterior, el </w:t>
      </w:r>
      <w:proofErr w:type="gramStart"/>
      <w:r w:rsidRPr="00FE3C5A">
        <w:rPr>
          <w:rFonts w:ascii="Palatino Linotype" w:eastAsia="Palatino Linotype" w:hAnsi="Palatino Linotype" w:cs="Palatino Linotype"/>
          <w:sz w:val="22"/>
          <w:szCs w:val="22"/>
        </w:rPr>
        <w:t>Director</w:t>
      </w:r>
      <w:proofErr w:type="gramEnd"/>
      <w:r w:rsidRPr="00FE3C5A">
        <w:rPr>
          <w:rFonts w:ascii="Palatino Linotype" w:eastAsia="Palatino Linotype" w:hAnsi="Palatino Linotype" w:cs="Palatino Linotype"/>
          <w:sz w:val="22"/>
          <w:szCs w:val="22"/>
        </w:rPr>
        <w:t xml:space="preserve"> de Obras Públicas, realiza la programación y ejecución de las obras públicas y servicios relacionados, por orden expresa del Ayuntamiento, planeando y coordinando los proyectos de obras públicas y servicios relacionados con las mismas que autorice el Ayuntamiento, una vez que se cumplan los requisitos de licitación, vigilando que se cumplan y lleven a cabo los programas de construcción y mantenimiento de obras públicas y servicios relacionados. Administrando y ejerciendo en el ámbito de su competencia, de manera coordinada con el Tesorero municipal, los recursos públicos destinados a la planeación, programación, presupuestación, adjudicación, contratación, ejecución y control de la obra pública en congruencia con los planes, programas, especificaciones técnicas, controles y procedimientos administrativos aprobados, por lo que se entiende que es la unidad administrativa que conoce de la información solicitada y no así la Unidad de Transparencia. </w:t>
      </w:r>
    </w:p>
    <w:p w14:paraId="54399647"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4047079F"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Por ello resulta oportuno referir que, si bien, la Titular de la Unidad de Transparencia es el encargado de dar atención a las solicitudes de información con fundamento en los artículos 50 y 53 fracciones II, V y VI de la Ley de Transparencia y Acceso a la Información Pública del Estado de México y Municipios, también lo es que, dentro de sus propias funciones se encuentra la de </w:t>
      </w:r>
      <w:r w:rsidRPr="00FE3C5A">
        <w:rPr>
          <w:rFonts w:ascii="Palatino Linotype" w:eastAsia="Palatino Linotype" w:hAnsi="Palatino Linotype" w:cs="Palatino Linotype"/>
          <w:b/>
          <w:sz w:val="22"/>
          <w:szCs w:val="22"/>
        </w:rPr>
        <w:t>tramitar ante las Áreas poseedoras de la información lo que se solicita</w:t>
      </w:r>
      <w:r w:rsidRPr="00FE3C5A">
        <w:rPr>
          <w:rFonts w:ascii="Palatino Linotype" w:eastAsia="Palatino Linotype" w:hAnsi="Palatino Linotype" w:cs="Palatino Linotype"/>
          <w:sz w:val="22"/>
          <w:szCs w:val="22"/>
        </w:rPr>
        <w:t>, a efecto de entregarla al solicitante, de acuerdo a la forma en que la Unidad Administrativa correspondiente, la genere, recopile, administre, maneje, procese, archive o conserve, esto de conformidad con los artículos 51 y 53 fracción IV de la Ley en cita, que refieren:</w:t>
      </w:r>
    </w:p>
    <w:p w14:paraId="7FFC32D4" w14:textId="77777777" w:rsidR="007928C7" w:rsidRPr="00FE3C5A" w:rsidRDefault="007928C7">
      <w:pPr>
        <w:tabs>
          <w:tab w:val="left" w:pos="709"/>
        </w:tabs>
        <w:ind w:left="851" w:right="760"/>
        <w:jc w:val="both"/>
        <w:rPr>
          <w:rFonts w:ascii="Palatino Linotype" w:eastAsia="Palatino Linotype" w:hAnsi="Palatino Linotype" w:cs="Palatino Linotype"/>
          <w:sz w:val="22"/>
          <w:szCs w:val="22"/>
        </w:rPr>
      </w:pPr>
    </w:p>
    <w:p w14:paraId="0936E794"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“Artículo 50. Los sujetos obligados contarán con un área responsable para la atención de las solicitudes de información, a la que se le denominará Unidad de Transparencia. </w:t>
      </w:r>
    </w:p>
    <w:p w14:paraId="1A5ED649"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Artículo 51. Los sujetos obligados designaran a un responsable para atender la Unidad de Transparencia, quien fungirá como enlace entre éstos y los solicitantes. </w:t>
      </w:r>
      <w:r w:rsidRPr="00FE3C5A">
        <w:rPr>
          <w:rFonts w:ascii="Palatino Linotype" w:eastAsia="Palatino Linotype" w:hAnsi="Palatino Linotype" w:cs="Palatino Linotype"/>
          <w:b/>
          <w:i/>
          <w:sz w:val="22"/>
          <w:szCs w:val="22"/>
          <w:u w:val="single"/>
        </w:rPr>
        <w:t>Dicha Unidad será la encargada de tramitar internamente la solicitud de información</w:t>
      </w:r>
      <w:r w:rsidRPr="00FE3C5A">
        <w:rPr>
          <w:rFonts w:ascii="Palatino Linotype" w:eastAsia="Palatino Linotype" w:hAnsi="Palatino Linotype" w:cs="Palatino Linotype"/>
          <w:i/>
          <w:sz w:val="22"/>
          <w:szCs w:val="22"/>
        </w:rPr>
        <w:t xml:space="preserve"> y tendrá la responsabilidad de verificar en cada caso que la misma no sea confidencial o reservada. Dicha Unidad contará con las facultades internas necesarias para gestionar la atención a las solicitudes de información en los términos de la Ley General y la presente Ley.</w:t>
      </w:r>
    </w:p>
    <w:p w14:paraId="434F66DE"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582A1CE7"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Artículo 53. Las Unidades de Transparencia tendrán las siguientes funciones:</w:t>
      </w:r>
    </w:p>
    <w:p w14:paraId="62A3A3FB"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3AD6BAC3"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II. Recibir, tramitar y dar respuesta a las solicitudes de acceso a la información; </w:t>
      </w:r>
    </w:p>
    <w:p w14:paraId="5AC797DD"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3619EF00"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b/>
          <w:i/>
          <w:sz w:val="22"/>
          <w:szCs w:val="22"/>
          <w:u w:val="single"/>
        </w:rPr>
      </w:pPr>
      <w:r w:rsidRPr="00FE3C5A">
        <w:rPr>
          <w:rFonts w:ascii="Palatino Linotype" w:eastAsia="Palatino Linotype" w:hAnsi="Palatino Linotype" w:cs="Palatino Linotype"/>
          <w:b/>
          <w:i/>
          <w:sz w:val="22"/>
          <w:szCs w:val="22"/>
          <w:u w:val="single"/>
        </w:rPr>
        <w:t xml:space="preserve">IV. Realizar, con efectividad, los trámites internos necesarios para la atención de las solicitudes de acceso a la información; </w:t>
      </w:r>
    </w:p>
    <w:p w14:paraId="1BF29431"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 Entregar, en su caso, a los particulares la información solicitada; </w:t>
      </w:r>
    </w:p>
    <w:p w14:paraId="442BD053" w14:textId="77777777" w:rsidR="007928C7" w:rsidRPr="00FE3C5A" w:rsidRDefault="000C530D">
      <w:pPr>
        <w:tabs>
          <w:tab w:val="left" w:pos="127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VI. Efectuar las notificaciones a los solicitantes;”</w:t>
      </w:r>
    </w:p>
    <w:p w14:paraId="5FE3E6A7"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45148117"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Aunado a lo anterior, se debe señalar que aunque la solicitud de información y la respuesta estén dirigidas y atendidas por un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lo cierto es que también tienen diversas </w:t>
      </w:r>
      <w:r w:rsidRPr="00FE3C5A">
        <w:rPr>
          <w:rFonts w:ascii="Palatino Linotype" w:eastAsia="Palatino Linotype" w:hAnsi="Palatino Linotype" w:cs="Palatino Linotype"/>
          <w:sz w:val="22"/>
          <w:szCs w:val="22"/>
        </w:rPr>
        <w:lastRenderedPageBreak/>
        <w:t xml:space="preserve">Unidades Administrativas y cada área cuenta con un </w:t>
      </w:r>
      <w:r w:rsidRPr="00FE3C5A">
        <w:rPr>
          <w:rFonts w:ascii="Palatino Linotype" w:eastAsia="Palatino Linotype" w:hAnsi="Palatino Linotype" w:cs="Palatino Linotype"/>
          <w:b/>
          <w:sz w:val="22"/>
          <w:szCs w:val="22"/>
        </w:rPr>
        <w:t>Servidor Público Habilitado</w:t>
      </w:r>
      <w:r w:rsidRPr="00FE3C5A">
        <w:rPr>
          <w:rFonts w:ascii="Palatino Linotype" w:eastAsia="Palatino Linotype" w:hAnsi="Palatino Linotype" w:cs="Palatino Linotype"/>
          <w:sz w:val="22"/>
          <w:szCs w:val="22"/>
        </w:rPr>
        <w:t>, que es la persona encargada de apoyar, gestionar y entregar la información o datos personales que se ubiquen en la misma, a sus respectivas unidades de transparencia; respecto de las solicitudes presentadas y aportar en primera instancia el fundamento y motivación de la clasificación de la información al Titular de la Unidad de Transparencia de los Sujetos Obligados, lo anterior de conformidad con los artículos 3 fracción XXXIX, 58 y 59  de la Ley en la materia, que estipulan lo siguiente:</w:t>
      </w:r>
    </w:p>
    <w:p w14:paraId="3EA922D3" w14:textId="77777777" w:rsidR="007928C7" w:rsidRPr="00FE3C5A" w:rsidRDefault="007928C7">
      <w:pPr>
        <w:spacing w:line="360" w:lineRule="auto"/>
        <w:rPr>
          <w:rFonts w:ascii="Palatino Linotype" w:eastAsia="Palatino Linotype" w:hAnsi="Palatino Linotype" w:cs="Palatino Linotype"/>
          <w:sz w:val="22"/>
          <w:szCs w:val="22"/>
        </w:rPr>
      </w:pPr>
    </w:p>
    <w:p w14:paraId="79A9DFD3"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3.</w:t>
      </w:r>
      <w:r w:rsidRPr="00FE3C5A">
        <w:rPr>
          <w:rFonts w:ascii="Palatino Linotype" w:eastAsia="Palatino Linotype" w:hAnsi="Palatino Linotype" w:cs="Palatino Linotype"/>
          <w:i/>
          <w:sz w:val="22"/>
          <w:szCs w:val="22"/>
        </w:rPr>
        <w:t xml:space="preserve"> Para los efectos de la presente Ley se entenderá por:</w:t>
      </w:r>
    </w:p>
    <w:p w14:paraId="04FCA66E"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6B897857"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XXXIX. Servidor público habilitado: </w:t>
      </w:r>
      <w:r w:rsidRPr="00FE3C5A">
        <w:rPr>
          <w:rFonts w:ascii="Palatino Linotype" w:eastAsia="Palatino Linotype" w:hAnsi="Palatino Linotype" w:cs="Palatino Linotype"/>
          <w:i/>
          <w:sz w:val="22"/>
          <w:szCs w:val="22"/>
        </w:rPr>
        <w:t>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w:t>
      </w:r>
    </w:p>
    <w:p w14:paraId="13DA8C28"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423F9965" w14:textId="77777777" w:rsidR="007928C7" w:rsidRPr="00FE3C5A" w:rsidRDefault="007928C7">
      <w:pPr>
        <w:tabs>
          <w:tab w:val="left" w:pos="5529"/>
        </w:tabs>
        <w:spacing w:line="276" w:lineRule="auto"/>
        <w:ind w:left="851" w:right="616"/>
        <w:rPr>
          <w:rFonts w:ascii="Palatino Linotype" w:eastAsia="Palatino Linotype" w:hAnsi="Palatino Linotype" w:cs="Palatino Linotype"/>
          <w:sz w:val="22"/>
          <w:szCs w:val="22"/>
        </w:rPr>
      </w:pPr>
    </w:p>
    <w:p w14:paraId="1CECA0BE"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Artículo 58.</w:t>
      </w:r>
      <w:r w:rsidRPr="00FE3C5A">
        <w:rPr>
          <w:rFonts w:ascii="Palatino Linotype" w:eastAsia="Palatino Linotype" w:hAnsi="Palatino Linotype" w:cs="Palatino Linotype"/>
          <w:i/>
          <w:sz w:val="22"/>
          <w:szCs w:val="22"/>
        </w:rPr>
        <w:t xml:space="preserve"> Los servidores públicos habilitados serán designados por el titular del sujeto obligado a propuesta del responsable de la Unidad de Transparencia.</w:t>
      </w:r>
    </w:p>
    <w:p w14:paraId="3CDF65D3"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Artículo 59.</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u w:val="single"/>
        </w:rPr>
        <w:t>Los servidores públicos habilitados</w:t>
      </w:r>
      <w:r w:rsidRPr="00FE3C5A">
        <w:rPr>
          <w:rFonts w:ascii="Palatino Linotype" w:eastAsia="Palatino Linotype" w:hAnsi="Palatino Linotype" w:cs="Palatino Linotype"/>
          <w:i/>
          <w:sz w:val="22"/>
          <w:szCs w:val="22"/>
        </w:rPr>
        <w:t xml:space="preserve"> tendrán las funciones siguientes:</w:t>
      </w:r>
    </w:p>
    <w:p w14:paraId="61523075" w14:textId="77777777" w:rsidR="007928C7" w:rsidRPr="00FE3C5A" w:rsidRDefault="007928C7">
      <w:pPr>
        <w:tabs>
          <w:tab w:val="left" w:pos="5529"/>
        </w:tabs>
        <w:spacing w:line="276" w:lineRule="auto"/>
        <w:ind w:left="851" w:right="616"/>
        <w:rPr>
          <w:rFonts w:ascii="Palatino Linotype" w:eastAsia="Palatino Linotype" w:hAnsi="Palatino Linotype" w:cs="Palatino Linotype"/>
          <w:sz w:val="22"/>
          <w:szCs w:val="22"/>
        </w:rPr>
      </w:pPr>
    </w:p>
    <w:p w14:paraId="2919EC6B"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 </w:t>
      </w:r>
      <w:r w:rsidRPr="00FE3C5A">
        <w:rPr>
          <w:rFonts w:ascii="Palatino Linotype" w:eastAsia="Palatino Linotype" w:hAnsi="Palatino Linotype" w:cs="Palatino Linotype"/>
          <w:b/>
          <w:i/>
          <w:sz w:val="22"/>
          <w:szCs w:val="22"/>
          <w:u w:val="single"/>
        </w:rPr>
        <w:t>Localizar la información que le solicite la Unidad de Transparencia</w:t>
      </w:r>
      <w:r w:rsidRPr="00FE3C5A">
        <w:rPr>
          <w:rFonts w:ascii="Palatino Linotype" w:eastAsia="Palatino Linotype" w:hAnsi="Palatino Linotype" w:cs="Palatino Linotype"/>
          <w:i/>
          <w:sz w:val="22"/>
          <w:szCs w:val="22"/>
        </w:rPr>
        <w:t>;</w:t>
      </w:r>
    </w:p>
    <w:p w14:paraId="628F9EA2"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II. </w:t>
      </w:r>
      <w:r w:rsidRPr="00FE3C5A">
        <w:rPr>
          <w:rFonts w:ascii="Palatino Linotype" w:eastAsia="Palatino Linotype" w:hAnsi="Palatino Linotype" w:cs="Palatino Linotype"/>
          <w:b/>
          <w:i/>
          <w:sz w:val="22"/>
          <w:szCs w:val="22"/>
          <w:u w:val="single"/>
        </w:rPr>
        <w:t>Proporcionar la información que obre en los archivos y que le sea solicitada por la Unidad de Transparencia</w:t>
      </w:r>
      <w:r w:rsidRPr="00FE3C5A">
        <w:rPr>
          <w:rFonts w:ascii="Palatino Linotype" w:eastAsia="Palatino Linotype" w:hAnsi="Palatino Linotype" w:cs="Palatino Linotype"/>
          <w:i/>
          <w:sz w:val="22"/>
          <w:szCs w:val="22"/>
        </w:rPr>
        <w:t>;</w:t>
      </w:r>
    </w:p>
    <w:p w14:paraId="3AC59DEB"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Apoyar a la Unidad de Transparencia en lo que esta le solicite para el cumplimiento de sus funciones;</w:t>
      </w:r>
    </w:p>
    <w:p w14:paraId="4A481DE2"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IV. Proporcionar a la Unidad de Transparencia, las modificaciones a la información pública de oficio que obre en su poder;</w:t>
      </w:r>
    </w:p>
    <w:p w14:paraId="4BAF34F4"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V. Integrar y presentar al responsable de la Unidad de Transparencia la propuesta de clasificación de información, la cual tendrá los fundamentos y argumentos en que se basa dicha propuesta;</w:t>
      </w:r>
    </w:p>
    <w:p w14:paraId="1B8F43EB"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VI. Verificar, una vez analizado el contenido de la información, que no se encuentre en los supuestos de información clasificada; y</w:t>
      </w:r>
    </w:p>
    <w:p w14:paraId="622D4897" w14:textId="77777777" w:rsidR="007928C7" w:rsidRPr="00FE3C5A" w:rsidRDefault="000C530D">
      <w:pPr>
        <w:tabs>
          <w:tab w:val="left" w:pos="5529"/>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VII. Dar cuenta a la Unidad de Transparencia del vencimiento de los plazos de reserva.”</w:t>
      </w:r>
    </w:p>
    <w:p w14:paraId="7E46A7DC"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77A2AF69"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otras palabras, 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no</w:t>
      </w:r>
      <w:r w:rsidRPr="00FE3C5A">
        <w:rPr>
          <w:rFonts w:ascii="Palatino Linotype" w:eastAsia="Palatino Linotype" w:hAnsi="Palatino Linotype" w:cs="Palatino Linotype"/>
          <w:b/>
          <w:sz w:val="22"/>
          <w:szCs w:val="22"/>
        </w:rPr>
        <w:t xml:space="preserve"> </w:t>
      </w:r>
      <w:r w:rsidRPr="00FE3C5A">
        <w:rPr>
          <w:rFonts w:ascii="Palatino Linotype" w:eastAsia="Palatino Linotype" w:hAnsi="Palatino Linotype" w:cs="Palatino Linotype"/>
          <w:sz w:val="22"/>
          <w:szCs w:val="22"/>
        </w:rPr>
        <w:t xml:space="preserve">cumplió con lo </w:t>
      </w:r>
      <w:proofErr w:type="gramStart"/>
      <w:r w:rsidRPr="00FE3C5A">
        <w:rPr>
          <w:rFonts w:ascii="Palatino Linotype" w:eastAsia="Palatino Linotype" w:hAnsi="Palatino Linotype" w:cs="Palatino Linotype"/>
          <w:sz w:val="22"/>
          <w:szCs w:val="22"/>
        </w:rPr>
        <w:t>que</w:t>
      </w:r>
      <w:proofErr w:type="gramEnd"/>
      <w:r w:rsidRPr="00FE3C5A">
        <w:rPr>
          <w:rFonts w:ascii="Palatino Linotype" w:eastAsia="Palatino Linotype" w:hAnsi="Palatino Linotype" w:cs="Palatino Linotype"/>
          <w:sz w:val="22"/>
          <w:szCs w:val="22"/>
        </w:rPr>
        <w:t xml:space="preserve"> para tal efecto, dispone el artículo 162 de la Ley de Transparencia y Acceso a la Información Pública del Estado de México y Municipios, que índica:</w:t>
      </w:r>
    </w:p>
    <w:p w14:paraId="37303F2A" w14:textId="77777777" w:rsidR="007928C7" w:rsidRPr="00FE3C5A" w:rsidRDefault="007928C7">
      <w:pPr>
        <w:rPr>
          <w:rFonts w:ascii="Palatino Linotype" w:eastAsia="Palatino Linotype" w:hAnsi="Palatino Linotype" w:cs="Palatino Linotype"/>
          <w:sz w:val="22"/>
          <w:szCs w:val="22"/>
        </w:rPr>
      </w:pPr>
    </w:p>
    <w:p w14:paraId="50F3F703"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 xml:space="preserve">Artículo 162. </w:t>
      </w:r>
      <w:r w:rsidRPr="00FE3C5A">
        <w:rPr>
          <w:rFonts w:ascii="Palatino Linotype" w:eastAsia="Palatino Linotype" w:hAnsi="Palatino Linotype" w:cs="Palatino Linotype"/>
          <w:i/>
          <w:sz w:val="22"/>
          <w:szCs w:val="22"/>
          <w:u w:val="single"/>
        </w:rPr>
        <w:t>Las unidades de transparencia deberán garantizar que las solicitudes se turnen a todas las Áreas competentes que cuenten con la información o deban tenerla de acuerdo a sus facultades, competencias y funciones, con el objeto de que realicen una búsqueda exhaustiva y razonable de la información solicitada.</w:t>
      </w: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 xml:space="preserve"> </w:t>
      </w:r>
    </w:p>
    <w:p w14:paraId="3A58163E"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[Énfasis añadido]</w:t>
      </w:r>
    </w:p>
    <w:p w14:paraId="605A0E6E" w14:textId="77777777" w:rsidR="007928C7" w:rsidRPr="00FE3C5A" w:rsidRDefault="007928C7">
      <w:pPr>
        <w:rPr>
          <w:rFonts w:ascii="Palatino Linotype" w:eastAsia="Palatino Linotype" w:hAnsi="Palatino Linotype" w:cs="Palatino Linotype"/>
          <w:sz w:val="22"/>
          <w:szCs w:val="22"/>
        </w:rPr>
      </w:pPr>
    </w:p>
    <w:p w14:paraId="79E87DDB" w14:textId="77777777" w:rsidR="007928C7" w:rsidRPr="00FE3C5A" w:rsidRDefault="000C530D">
      <w:pPr>
        <w:tabs>
          <w:tab w:val="left" w:pos="7938"/>
        </w:tabs>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Por lo anterior, se reitera que el Titular de la Unidad de Transparencia no llevó a cabo los pasos que le conmina sus funciones, de acuerdo con la Ley de Transparencia y Acceso a la Información Pública del Estado de México y Municipios, es decir, no solicitó la información a la unidad administrativa que por obligación le corresponden dar atención a la misma, esto es la Dirección de Obras Públicas.</w:t>
      </w:r>
    </w:p>
    <w:p w14:paraId="673129FA"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6424398E"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este orden de ideas, el Código Administrativo del Estado de México, establece en su artículo 12.15 que corresponde a los Ayuntamientos formular los programas de obra pública o de servicios relacionados con la misma, con base en las políticas, objetivos y prioridades de la planeación del desarrollo del Municipio. </w:t>
      </w:r>
    </w:p>
    <w:p w14:paraId="5CC0DF57" w14:textId="77777777" w:rsidR="007928C7" w:rsidRPr="00FE3C5A" w:rsidRDefault="007928C7">
      <w:pPr>
        <w:spacing w:line="276" w:lineRule="auto"/>
        <w:ind w:left="851" w:right="616"/>
        <w:jc w:val="both"/>
        <w:rPr>
          <w:rFonts w:ascii="Palatino Linotype" w:eastAsia="Palatino Linotype" w:hAnsi="Palatino Linotype" w:cs="Palatino Linotype"/>
          <w:i/>
          <w:sz w:val="22"/>
          <w:szCs w:val="22"/>
        </w:rPr>
      </w:pPr>
    </w:p>
    <w:p w14:paraId="6E44F5E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12.15.-</w:t>
      </w:r>
      <w:r w:rsidRPr="00FE3C5A">
        <w:rPr>
          <w:rFonts w:ascii="Palatino Linotype" w:eastAsia="Palatino Linotype" w:hAnsi="Palatino Linotype" w:cs="Palatino Linotype"/>
          <w:i/>
          <w:sz w:val="22"/>
          <w:szCs w:val="22"/>
        </w:rPr>
        <w:t xml:space="preserve"> Las dependencias, entidades y </w:t>
      </w:r>
      <w:r w:rsidRPr="00FE3C5A">
        <w:rPr>
          <w:rFonts w:ascii="Palatino Linotype" w:eastAsia="Palatino Linotype" w:hAnsi="Palatino Linotype" w:cs="Palatino Linotype"/>
          <w:b/>
          <w:i/>
          <w:sz w:val="22"/>
          <w:szCs w:val="22"/>
        </w:rPr>
        <w:t>ayuntamientos</w:t>
      </w:r>
      <w:r w:rsidRPr="00FE3C5A">
        <w:rPr>
          <w:rFonts w:ascii="Palatino Linotype" w:eastAsia="Palatino Linotype" w:hAnsi="Palatino Linotype" w:cs="Palatino Linotype"/>
          <w:i/>
          <w:sz w:val="22"/>
          <w:szCs w:val="22"/>
        </w:rPr>
        <w:t xml:space="preserve">, según las características, complejidad y magnitud de los trabajos, </w:t>
      </w:r>
      <w:r w:rsidRPr="00FE3C5A">
        <w:rPr>
          <w:rFonts w:ascii="Palatino Linotype" w:eastAsia="Palatino Linotype" w:hAnsi="Palatino Linotype" w:cs="Palatino Linotype"/>
          <w:b/>
          <w:i/>
          <w:sz w:val="22"/>
          <w:szCs w:val="22"/>
        </w:rPr>
        <w:t>formularán los programas de obra pública o de servicios</w:t>
      </w:r>
      <w:r w:rsidRPr="00FE3C5A">
        <w:rPr>
          <w:rFonts w:ascii="Palatino Linotype" w:eastAsia="Palatino Linotype" w:hAnsi="Palatino Linotype" w:cs="Palatino Linotype"/>
          <w:i/>
          <w:sz w:val="22"/>
          <w:szCs w:val="22"/>
        </w:rPr>
        <w:t xml:space="preserve"> relacionados con la misma, así como sus respectivos presupuestos, con base en las políticas, objetivos y prioridades de la planeación del desarrollo del Estado y municipios, considerando:</w:t>
      </w:r>
    </w:p>
    <w:p w14:paraId="66999A7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I. Entre las obras prioritarias, aquéllas que se encuentren en proceso de ejecución;</w:t>
      </w:r>
    </w:p>
    <w:p w14:paraId="2DC6DBD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El resultado de los estudios que se requieran para definir la factibilidad técnica, económica, social, ecológica y ambiental de los trabajos;</w:t>
      </w:r>
    </w:p>
    <w:p w14:paraId="40ED559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Los objetivos y metas a corto, mediano y largo plazo;</w:t>
      </w:r>
    </w:p>
    <w:p w14:paraId="6BF99DC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IV. Las acciones previas, simultáneas y posteriores a la ejecución de la obra pública, incluyendo, cuando corresponda, las obras principales, de infraestructura, inducidas, complementarias y accesorias, así como las acciones para poner aquellas en servicio;</w:t>
      </w:r>
    </w:p>
    <w:p w14:paraId="6226DB45"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V. Las características ambientales, climáticas y geográficas de la región donde deba realizarse la obra pública, así como los resultados previsibles;</w:t>
      </w:r>
    </w:p>
    <w:p w14:paraId="07B6C933"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VI. La coordinación que sea necesaria para resolver posibles interferencias y evitar duplicidad de trabajos o interrupción de servicios públicos;</w:t>
      </w:r>
    </w:p>
    <w:p w14:paraId="0A5168E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VII. La calendarización física y financiera de los recursos necesarios para la realización de estudios y proyectos, ejecución de los trabajos y cobertura de los gastos de operación</w:t>
      </w:r>
      <w:r w:rsidRPr="00FE3C5A">
        <w:rPr>
          <w:rFonts w:ascii="Palatino Linotype" w:eastAsia="Palatino Linotype" w:hAnsi="Palatino Linotype" w:cs="Palatino Linotype"/>
          <w:i/>
          <w:sz w:val="22"/>
          <w:szCs w:val="22"/>
        </w:rPr>
        <w:t>;</w:t>
      </w:r>
    </w:p>
    <w:p w14:paraId="7032CC78"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VIII. Las fechas de inicio y término de los trabajos;</w:t>
      </w:r>
    </w:p>
    <w:p w14:paraId="67DB144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IX. Las investigaciones, asesorías, consultorías, y estudios que se requieran, incluyendo los proyectos arquitectónicos y de ingeniería necesarios;</w:t>
      </w:r>
    </w:p>
    <w:p w14:paraId="5AA5A4D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 La adquisición y regularización en su caso, de la tenencia de la tierra;</w:t>
      </w:r>
    </w:p>
    <w:p w14:paraId="1FB26730"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XI. La ejecución, que deberá comprender el costo estimado, incluyendo probables ajustes; las condiciones de suministro de materiales, de maquinaria, de equipo o de cualquier otro accesorio relacionado con los trabajos; los cargos para pruebas de funcionamiento, así como los indirectos de la obra o servicios relacionados con la misma;</w:t>
      </w:r>
    </w:p>
    <w:p w14:paraId="1A2D590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XII. Los trabajos de mantenimiento preventivo y correctivo de los bienes inmuebles a su cargo;</w:t>
      </w:r>
    </w:p>
    <w:p w14:paraId="58BE45E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XIII. La accesibilidad, evacuación, libre tránsito sin barreras arquitectónicas para todas las personas; y cumplir con las normas de diseño y de señalización que se emitan, en instalaciones, circulaciones, servicios sanitarios y demás instalaciones análogas para las personas con discapacidad;</w:t>
      </w:r>
    </w:p>
    <w:p w14:paraId="168C8444" w14:textId="77777777" w:rsidR="007928C7" w:rsidRPr="00FE3C5A" w:rsidRDefault="000C530D">
      <w:pP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XIV. La forma de ejecución sea por contrato o por administración directa”</w:t>
      </w:r>
    </w:p>
    <w:p w14:paraId="27BAD3E9" w14:textId="77777777" w:rsidR="007928C7" w:rsidRPr="00FE3C5A" w:rsidRDefault="007928C7">
      <w:pPr>
        <w:jc w:val="both"/>
        <w:rPr>
          <w:rFonts w:ascii="Palatino Linotype" w:eastAsia="Palatino Linotype" w:hAnsi="Palatino Linotype" w:cs="Palatino Linotype"/>
          <w:sz w:val="22"/>
          <w:szCs w:val="22"/>
        </w:rPr>
      </w:pPr>
    </w:p>
    <w:p w14:paraId="456055C1" w14:textId="77777777" w:rsidR="007928C7" w:rsidRPr="00FE3C5A" w:rsidRDefault="000C530D">
      <w:pPr>
        <w:tabs>
          <w:tab w:val="left" w:pos="2552"/>
        </w:tabs>
        <w:spacing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Aunado a lo anterior, el Manual para la Planeación, Programación y Presupuestación Municipal para el Ejercicio Fiscal 2024, garantiza realizar la integración del proyecto de </w:t>
      </w:r>
      <w:r w:rsidRPr="00FE3C5A">
        <w:rPr>
          <w:rFonts w:ascii="Palatino Linotype" w:eastAsia="Palatino Linotype" w:hAnsi="Palatino Linotype" w:cs="Palatino Linotype"/>
          <w:sz w:val="22"/>
          <w:szCs w:val="22"/>
        </w:rPr>
        <w:lastRenderedPageBreak/>
        <w:t>presupuesto de egresos municipal, que sustente programas y proyectos que se ejecutarán en el ejercicio fiscal, orientando éstos a la realización de acciones que den cumplimiento a objetivos preestablecidos en el Plan de Desarrollo Municipal (PDM), los cuales serán verificados a través de indicadores y metas previstas a alcanzar; además en el cual se determinan los formatos impresos que deben integrarse, como se ilustra a continuación:</w:t>
      </w:r>
    </w:p>
    <w:p w14:paraId="1BC6AB3A" w14:textId="77777777" w:rsidR="007928C7" w:rsidRPr="00FE3C5A" w:rsidRDefault="00995982">
      <w:pPr>
        <w:jc w:val="center"/>
        <w:rPr>
          <w:rFonts w:ascii="Palatino Linotype" w:eastAsia="Palatino Linotype" w:hAnsi="Palatino Linotype" w:cs="Palatino Linotype"/>
          <w:sz w:val="22"/>
          <w:szCs w:val="22"/>
        </w:rPr>
      </w:pPr>
      <w:r w:rsidRPr="00FE3C5A">
        <w:rPr>
          <w:noProof/>
        </w:rPr>
        <mc:AlternateContent>
          <mc:Choice Requires="wps">
            <w:drawing>
              <wp:anchor distT="0" distB="0" distL="114300" distR="114300" simplePos="0" relativeHeight="251658240" behindDoc="0" locked="0" layoutInCell="1" hidden="0" allowOverlap="1" wp14:anchorId="4A717029" wp14:editId="7CE8A4C4">
                <wp:simplePos x="0" y="0"/>
                <wp:positionH relativeFrom="column">
                  <wp:posOffset>992800</wp:posOffset>
                </wp:positionH>
                <wp:positionV relativeFrom="paragraph">
                  <wp:posOffset>3537644</wp:posOffset>
                </wp:positionV>
                <wp:extent cx="2913321" cy="499730"/>
                <wp:effectExtent l="19050" t="19050" r="20955" b="15240"/>
                <wp:wrapNone/>
                <wp:docPr id="563968136" name="Rectángulo 563968136"/>
                <wp:cNvGraphicFramePr/>
                <a:graphic xmlns:a="http://schemas.openxmlformats.org/drawingml/2006/main">
                  <a:graphicData uri="http://schemas.microsoft.com/office/word/2010/wordprocessingShape">
                    <wps:wsp>
                      <wps:cNvSpPr/>
                      <wps:spPr>
                        <a:xfrm>
                          <a:off x="0" y="0"/>
                          <a:ext cx="2913321" cy="499730"/>
                        </a:xfrm>
                        <a:prstGeom prst="rect">
                          <a:avLst/>
                        </a:prstGeom>
                        <a:noFill/>
                        <a:ln w="28575" cap="flat" cmpd="sng">
                          <a:solidFill>
                            <a:srgbClr val="FF0000"/>
                          </a:solidFill>
                          <a:prstDash val="solid"/>
                          <a:round/>
                          <a:headEnd type="none" w="sm" len="sm"/>
                          <a:tailEnd type="none" w="sm" len="sm"/>
                        </a:ln>
                      </wps:spPr>
                      <wps:txbx>
                        <w:txbxContent>
                          <w:p w14:paraId="49234AC5" w14:textId="77777777" w:rsidR="007928C7" w:rsidRDefault="007928C7">
                            <w:pPr>
                              <w:spacing w:line="258" w:lineRule="auto"/>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id="Rectángulo 563968136" o:spid="_x0000_s1026" style="position:absolute;left:0;text-align:left;margin-left:78.15pt;margin-top:278.55pt;width:229.4pt;height:39.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" filled="f" strokecolor="red" strokeweight="2.25pt">
                <v:stroke startarrowwidth="narrow" startarrowlength="short" endarrowwidth="narrow" endarrowlength="short" joinstyle="round"/>
                <v:textbox inset="2.53958mm,2.53958mm,2.53958mm,2.53958mm">
                  <w:txbxContent>
                    <w:p w:rsidR="007928C7" w:rsidRDefault="007928C7">
                      <w:pPr>
                        <w:spacing w:line="258" w:lineRule="auto"/>
                        <w:textDirection w:val="btLr"/>
                      </w:pPr>
                    </w:p>
                  </w:txbxContent>
                </v:textbox>
              </v:rect>
            </w:pict>
          </mc:Fallback>
        </mc:AlternateContent>
      </w:r>
      <w:r w:rsidR="000C530D" w:rsidRPr="00FE3C5A">
        <w:rPr>
          <w:rFonts w:ascii="Palatino Linotype" w:eastAsia="Palatino Linotype" w:hAnsi="Palatino Linotype" w:cs="Palatino Linotype"/>
          <w:noProof/>
          <w:sz w:val="22"/>
          <w:szCs w:val="22"/>
        </w:rPr>
        <w:drawing>
          <wp:inline distT="0" distB="0" distL="0" distR="0" wp14:anchorId="0405E52C" wp14:editId="71358719">
            <wp:extent cx="4231758" cy="4051004"/>
            <wp:effectExtent l="0" t="0" r="0" b="6985"/>
            <wp:docPr id="56396813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l="32390" t="29804" r="30271" b="22104"/>
                    <a:stretch>
                      <a:fillRect/>
                    </a:stretch>
                  </pic:blipFill>
                  <pic:spPr>
                    <a:xfrm>
                      <a:off x="0" y="0"/>
                      <a:ext cx="4286431" cy="4103341"/>
                    </a:xfrm>
                    <a:prstGeom prst="rect">
                      <a:avLst/>
                    </a:prstGeom>
                    <a:ln/>
                  </pic:spPr>
                </pic:pic>
              </a:graphicData>
            </a:graphic>
          </wp:inline>
        </w:drawing>
      </w:r>
    </w:p>
    <w:p w14:paraId="2FA388F1" w14:textId="77777777" w:rsidR="007928C7" w:rsidRPr="00FE3C5A" w:rsidRDefault="007928C7">
      <w:pPr>
        <w:tabs>
          <w:tab w:val="left" w:pos="2552"/>
        </w:tabs>
        <w:spacing w:line="360" w:lineRule="auto"/>
        <w:jc w:val="both"/>
        <w:rPr>
          <w:rFonts w:ascii="Palatino Linotype" w:eastAsia="Palatino Linotype" w:hAnsi="Palatino Linotype" w:cs="Palatino Linotype"/>
          <w:sz w:val="22"/>
          <w:szCs w:val="22"/>
        </w:rPr>
      </w:pPr>
    </w:p>
    <w:p w14:paraId="2FC95A39" w14:textId="77777777" w:rsidR="007928C7" w:rsidRPr="00FE3C5A" w:rsidRDefault="000C530D">
      <w:pPr>
        <w:tabs>
          <w:tab w:val="left" w:pos="2552"/>
        </w:tabs>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Mismo que se maneja con el formato siguiente:</w:t>
      </w:r>
    </w:p>
    <w:p w14:paraId="5A96F9EC" w14:textId="77777777" w:rsidR="007928C7" w:rsidRPr="00FE3C5A" w:rsidRDefault="000C530D">
      <w:pPr>
        <w:spacing w:line="360" w:lineRule="auto"/>
        <w:ind w:right="49"/>
        <w:jc w:val="center"/>
        <w:rPr>
          <w:rFonts w:ascii="Palatino Linotype" w:eastAsia="Palatino Linotype" w:hAnsi="Palatino Linotype" w:cs="Palatino Linotype"/>
          <w:sz w:val="22"/>
          <w:szCs w:val="22"/>
        </w:rPr>
      </w:pPr>
      <w:r w:rsidRPr="00FE3C5A">
        <w:rPr>
          <w:rFonts w:ascii="Palatino Linotype" w:eastAsia="Palatino Linotype" w:hAnsi="Palatino Linotype" w:cs="Palatino Linotype"/>
          <w:noProof/>
          <w:sz w:val="22"/>
          <w:szCs w:val="22"/>
        </w:rPr>
        <w:lastRenderedPageBreak/>
        <w:drawing>
          <wp:inline distT="0" distB="0" distL="0" distR="0" wp14:anchorId="2D8CBA2D" wp14:editId="0ACF2000">
            <wp:extent cx="5337544" cy="6549655"/>
            <wp:effectExtent l="0" t="0" r="0" b="3810"/>
            <wp:docPr id="56396814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5375258" cy="6595933"/>
                    </a:xfrm>
                    <a:prstGeom prst="rect">
                      <a:avLst/>
                    </a:prstGeom>
                    <a:ln/>
                  </pic:spPr>
                </pic:pic>
              </a:graphicData>
            </a:graphic>
          </wp:inline>
        </w:drawing>
      </w:r>
    </w:p>
    <w:p w14:paraId="6CFEBBEE" w14:textId="77777777" w:rsidR="007928C7" w:rsidRPr="00FE3C5A" w:rsidRDefault="000C530D">
      <w:pPr>
        <w:spacing w:line="360" w:lineRule="auto"/>
        <w:ind w:right="49"/>
        <w:jc w:val="center"/>
        <w:rPr>
          <w:rFonts w:ascii="Palatino Linotype" w:eastAsia="Palatino Linotype" w:hAnsi="Palatino Linotype" w:cs="Palatino Linotype"/>
          <w:sz w:val="22"/>
          <w:szCs w:val="22"/>
        </w:rPr>
      </w:pPr>
      <w:r w:rsidRPr="00FE3C5A">
        <w:rPr>
          <w:rFonts w:ascii="Palatino Linotype" w:eastAsia="Palatino Linotype" w:hAnsi="Palatino Linotype" w:cs="Palatino Linotype"/>
          <w:noProof/>
          <w:sz w:val="22"/>
          <w:szCs w:val="22"/>
        </w:rPr>
        <w:lastRenderedPageBreak/>
        <w:drawing>
          <wp:inline distT="0" distB="0" distL="0" distR="0" wp14:anchorId="470B56B3" wp14:editId="1909DB6F">
            <wp:extent cx="5348177" cy="3370521"/>
            <wp:effectExtent l="0" t="0" r="5080" b="1905"/>
            <wp:docPr id="56396814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5375110" cy="3387495"/>
                    </a:xfrm>
                    <a:prstGeom prst="rect">
                      <a:avLst/>
                    </a:prstGeom>
                    <a:ln/>
                  </pic:spPr>
                </pic:pic>
              </a:graphicData>
            </a:graphic>
          </wp:inline>
        </w:drawing>
      </w:r>
    </w:p>
    <w:p w14:paraId="037C9A91"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Como se ha expuesto en líneas anteriores, el Programa Anual de Obras, se encuentra vinculado con el Presupuesto de Egresos Municipal; para argumentar lo anterior, es indispensable citar lo ordenado por el artículo 125 de la Constitución Política del Estado Libre y Soberano de México, que en su penúltimo párrafo establece que el</w:t>
      </w:r>
      <w:r w:rsidRPr="00FE3C5A">
        <w:rPr>
          <w:rFonts w:ascii="Palatino Linotype" w:eastAsia="Palatino Linotype" w:hAnsi="Palatino Linotype" w:cs="Palatino Linotype"/>
          <w:b/>
          <w:i/>
          <w:sz w:val="22"/>
          <w:szCs w:val="22"/>
        </w:rPr>
        <w:t xml:space="preserve"> </w:t>
      </w:r>
      <w:r w:rsidRPr="00FE3C5A">
        <w:rPr>
          <w:rFonts w:ascii="Palatino Linotype" w:eastAsia="Palatino Linotype" w:hAnsi="Palatino Linotype" w:cs="Palatino Linotype"/>
          <w:sz w:val="22"/>
          <w:szCs w:val="22"/>
        </w:rPr>
        <w:t>Presidente Municipal, promulgará y publicará el Presupuesto de Egresos Municipal, a más tardar el día 25 de febrero de cada año debiendo enviarlo al Órgano Superior de Fiscalización en la misma fecha</w:t>
      </w:r>
      <w:r w:rsidRPr="00FE3C5A">
        <w:rPr>
          <w:rFonts w:ascii="Palatino Linotype" w:eastAsia="Palatino Linotype" w:hAnsi="Palatino Linotype" w:cs="Palatino Linotype"/>
          <w:b/>
          <w:i/>
          <w:sz w:val="22"/>
          <w:szCs w:val="22"/>
        </w:rPr>
        <w:t xml:space="preserve">; </w:t>
      </w:r>
      <w:r w:rsidRPr="00FE3C5A">
        <w:rPr>
          <w:rFonts w:ascii="Palatino Linotype" w:eastAsia="Palatino Linotype" w:hAnsi="Palatino Linotype" w:cs="Palatino Linotype"/>
          <w:sz w:val="22"/>
          <w:szCs w:val="22"/>
        </w:rPr>
        <w:t xml:space="preserve">de lo cual se colige que deberá presentar la propuesta correspondiente, a fin de que el día veinticinco de febrero de cada año pueda llevarse a cabo su promulgación y publicación e informar al Órgano Superior de Fiscalización del Estado de México. </w:t>
      </w:r>
    </w:p>
    <w:p w14:paraId="5E425EF3"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33418BE9"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esta consecución de ideas, toda vez que como se ilustró en líneas anteriores, le corresponde al propio Ayuntamiento, la aprobación del Programa Anual de Obras, este debe obrar en un acta de cabildo, por lo que en dicho documento puede colmar de manera </w:t>
      </w:r>
      <w:r w:rsidRPr="00FE3C5A">
        <w:rPr>
          <w:rFonts w:ascii="Palatino Linotype" w:eastAsia="Palatino Linotype" w:hAnsi="Palatino Linotype" w:cs="Palatino Linotype"/>
          <w:sz w:val="22"/>
          <w:szCs w:val="22"/>
        </w:rPr>
        <w:lastRenderedPageBreak/>
        <w:t xml:space="preserve">enunciativa más no limitativa la cantidad de obras se han realizado en la Casa de Cultura del Ayuntamiento de Chapultepec.  </w:t>
      </w:r>
    </w:p>
    <w:p w14:paraId="74A1383E"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67F7911E"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 fin de sustentar lo anterior, resulta indispensable citar el artículo 21 del Reglamento del Libro Décimo Segundo del Código Administrativo del Estado De México, que establece que el Comité Interno de Obra Pública es una instancia interna auxiliar de los titulares de las dependencias y los órganos de gobierno de las entidades en los procesos de contratación de obra pública y servicios, así como de los ayuntamientos.</w:t>
      </w:r>
    </w:p>
    <w:p w14:paraId="1F8709A3"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1A896E9C"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Bajo esta tesitura, conforme al Reglamento en cita, la obra pública podrá adjudicarse mediante los siguientes procedimientos:</w:t>
      </w:r>
    </w:p>
    <w:p w14:paraId="25651996"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32934AD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“Capítulo Primero </w:t>
      </w:r>
    </w:p>
    <w:p w14:paraId="57AAC82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De la Licitación Pública </w:t>
      </w:r>
    </w:p>
    <w:p w14:paraId="4DCEA81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Artículo 26.- </w:t>
      </w:r>
      <w:r w:rsidRPr="00FE3C5A">
        <w:rPr>
          <w:rFonts w:ascii="Palatino Linotype" w:eastAsia="Palatino Linotype" w:hAnsi="Palatino Linotype" w:cs="Palatino Linotype"/>
          <w:b/>
          <w:i/>
          <w:sz w:val="22"/>
          <w:szCs w:val="22"/>
          <w:u w:val="single"/>
        </w:rPr>
        <w:t>La licitación pública es el procedimiento de adjudicación de una obra pública o de un servicio por convocatoria pública</w:t>
      </w:r>
      <w:r w:rsidRPr="00FE3C5A">
        <w:rPr>
          <w:rFonts w:ascii="Palatino Linotype" w:eastAsia="Palatino Linotype" w:hAnsi="Palatino Linotype" w:cs="Palatino Linotype"/>
          <w:i/>
          <w:sz w:val="22"/>
          <w:szCs w:val="22"/>
        </w:rPr>
        <w:t>. Tiene por objeto asegurar la participación abierta de todos los interesados en igualdad de condiciones y la selección fundamentada y transparente de la propuesta más conveniente para las dependencias, entidades y ayuntamientos.</w:t>
      </w:r>
    </w:p>
    <w:p w14:paraId="0C142FB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7D7818E8"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Capítulo Segundo </w:t>
      </w:r>
    </w:p>
    <w:p w14:paraId="036085C7"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 xml:space="preserve">De las Excepciones a la Licitación Pública </w:t>
      </w:r>
    </w:p>
    <w:p w14:paraId="28F8E2C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u w:val="single"/>
        </w:rPr>
        <w:t>Artículo 69.- Cuando las dependencias, entidades y ayuntamientos determinen optar por las modalidades de invitación restringida o adjudicación directa</w:t>
      </w:r>
      <w:r w:rsidRPr="00FE3C5A">
        <w:rPr>
          <w:rFonts w:ascii="Palatino Linotype" w:eastAsia="Palatino Linotype" w:hAnsi="Palatino Linotype" w:cs="Palatino Linotype"/>
          <w:i/>
          <w:sz w:val="22"/>
          <w:szCs w:val="22"/>
        </w:rPr>
        <w:t xml:space="preserve">, deberán respaldar su determinación en un estudio que fundamente su conveniencia por ofrecer mejores condiciones para el Estado de México, tomando en cuenta los siguientes criterios: </w:t>
      </w:r>
    </w:p>
    <w:p w14:paraId="6F20008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 Economía, que signifique un menor costo de la obra o servicio;</w:t>
      </w:r>
    </w:p>
    <w:p w14:paraId="39C1CD0E"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 II. Oportunidad, que permita satisfacer la necesidad que se atiende con la obra pública o servicio en el menor lapso posible;</w:t>
      </w:r>
    </w:p>
    <w:p w14:paraId="5AE475F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 III. Eficacia, que la obra o servicio satisfaga la necesidad que la origina; </w:t>
      </w:r>
    </w:p>
    <w:p w14:paraId="098E637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 xml:space="preserve">IV. Eficiencia, que se dé el máximo aprovechamiento de los recursos que la dependencia, entidad o ayuntamiento asigne a la obra o servicio; </w:t>
      </w:r>
    </w:p>
    <w:p w14:paraId="3689B04E"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 Imparcialidad, que la adjudicación de la obra o servicio se realice sin favorecer a ninguno de los interesados; </w:t>
      </w:r>
    </w:p>
    <w:p w14:paraId="5B3D7A6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VI. Honradez, que garantice una justa prestación para las partes involucradas; </w:t>
      </w:r>
    </w:p>
    <w:p w14:paraId="608D81A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VII. Transparencia, que se respeten escrupulosamente en la adjudicación de la obra o servicio los procedimientos establecidos en el Libro y en este Reglamento.  </w:t>
      </w:r>
    </w:p>
    <w:p w14:paraId="2FB2F0E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Artículo 70.</w:t>
      </w:r>
      <w:proofErr w:type="gramStart"/>
      <w:r w:rsidRPr="00FE3C5A">
        <w:rPr>
          <w:rFonts w:ascii="Palatino Linotype" w:eastAsia="Palatino Linotype" w:hAnsi="Palatino Linotype" w:cs="Palatino Linotype"/>
          <w:i/>
          <w:sz w:val="22"/>
          <w:szCs w:val="22"/>
        </w:rPr>
        <w:t>-  Las</w:t>
      </w:r>
      <w:proofErr w:type="gramEnd"/>
      <w:r w:rsidRPr="00FE3C5A">
        <w:rPr>
          <w:rFonts w:ascii="Palatino Linotype" w:eastAsia="Palatino Linotype" w:hAnsi="Palatino Linotype" w:cs="Palatino Linotype"/>
          <w:i/>
          <w:sz w:val="22"/>
          <w:szCs w:val="22"/>
        </w:rPr>
        <w:t xml:space="preserve"> dependencias, entidades y ayuntamientos podrán contratar obra pública o servicios mediante los procedimientos de invitación restringida o adjudicación directa cuando éstos no rebasen los montos establecidos en el Presupuesto de Egresos del Gobierno del Estado de México.”</w:t>
      </w:r>
    </w:p>
    <w:p w14:paraId="7ECFB715" w14:textId="77777777" w:rsidR="007928C7" w:rsidRPr="00FE3C5A" w:rsidRDefault="007928C7">
      <w:pPr>
        <w:spacing w:line="276" w:lineRule="auto"/>
        <w:ind w:left="567" w:right="760"/>
        <w:jc w:val="both"/>
        <w:rPr>
          <w:rFonts w:ascii="Palatino Linotype" w:eastAsia="Palatino Linotype" w:hAnsi="Palatino Linotype" w:cs="Palatino Linotype"/>
          <w:i/>
          <w:sz w:val="22"/>
          <w:szCs w:val="22"/>
        </w:rPr>
      </w:pPr>
    </w:p>
    <w:p w14:paraId="01AFAE8C" w14:textId="77777777" w:rsidR="007928C7" w:rsidRPr="00FE3C5A" w:rsidRDefault="000C530D">
      <w:pPr>
        <w:spacing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En mérito de lo anterior, se tiene que la obra pública por regla general se adjudica por conducto de la licitación pública, sin embargo, de manera excepcional pudiera recurrirse a la invitación restringida o adjudicación directa. </w:t>
      </w:r>
    </w:p>
    <w:p w14:paraId="4BC7E589" w14:textId="77777777" w:rsidR="007928C7" w:rsidRPr="00FE3C5A" w:rsidRDefault="000C530D">
      <w:pPr>
        <w:spacing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Al respecto, el artículo 92, fracción XXXVI de la Ley de Transparencia y Acceso a la Información Pública del Estado de México y Municipios, establece como obligaciones de transparencia que los Sujetos Obligados deben poner a disposición del público de manera permanente y actualizada, de forma sencilla, precisa y entendible, en los respectivos medios electrónicos, la información relativa a los procesos y resultados sobre procedimientos de adjudicación directa, invitación restringida, y licitación de cualquier naturaleza, incluyendo la versión pública del expediente respectivo y de los contratos celebrados, a saber:</w:t>
      </w:r>
    </w:p>
    <w:p w14:paraId="4EBD86D9"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92</w:t>
      </w:r>
      <w:r w:rsidRPr="00FE3C5A">
        <w:rPr>
          <w:rFonts w:ascii="Palatino Linotype" w:eastAsia="Palatino Linotype" w:hAnsi="Palatino Linotype" w:cs="Palatino Linotype"/>
          <w:i/>
          <w:sz w:val="22"/>
          <w:szCs w:val="22"/>
        </w:rPr>
        <w:t>.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57EB07A6"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p>
    <w:p w14:paraId="6E915CD2"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XXIX.</w:t>
      </w:r>
      <w:r w:rsidRPr="00FE3C5A">
        <w:rPr>
          <w:rFonts w:ascii="Palatino Linotype" w:eastAsia="Palatino Linotype" w:hAnsi="Palatino Linotype" w:cs="Palatino Linotype"/>
          <w:i/>
          <w:sz w:val="22"/>
          <w:szCs w:val="22"/>
        </w:rPr>
        <w:t xml:space="preserve"> La </w:t>
      </w:r>
      <w:r w:rsidRPr="00FE3C5A">
        <w:rPr>
          <w:rFonts w:ascii="Palatino Linotype" w:eastAsia="Palatino Linotype" w:hAnsi="Palatino Linotype" w:cs="Palatino Linotype"/>
          <w:b/>
          <w:i/>
          <w:sz w:val="22"/>
          <w:szCs w:val="22"/>
        </w:rPr>
        <w:t xml:space="preserve">información sobre los procesos y resultados </w:t>
      </w:r>
      <w:r w:rsidRPr="00FE3C5A">
        <w:rPr>
          <w:rFonts w:ascii="Palatino Linotype" w:eastAsia="Palatino Linotype" w:hAnsi="Palatino Linotype" w:cs="Palatino Linotype"/>
          <w:b/>
          <w:i/>
          <w:sz w:val="22"/>
          <w:szCs w:val="22"/>
          <w:u w:val="single"/>
        </w:rPr>
        <w:t xml:space="preserve">sobre procedimientos de adjudicación directa, invitación restringida y licitación de cualquier </w:t>
      </w:r>
      <w:r w:rsidRPr="00FE3C5A">
        <w:rPr>
          <w:rFonts w:ascii="Palatino Linotype" w:eastAsia="Palatino Linotype" w:hAnsi="Palatino Linotype" w:cs="Palatino Linotype"/>
          <w:b/>
          <w:i/>
          <w:sz w:val="22"/>
          <w:szCs w:val="22"/>
          <w:u w:val="single"/>
        </w:rPr>
        <w:lastRenderedPageBreak/>
        <w:t>naturaleza</w:t>
      </w:r>
      <w:r w:rsidRPr="00FE3C5A">
        <w:rPr>
          <w:rFonts w:ascii="Palatino Linotype" w:eastAsia="Palatino Linotype" w:hAnsi="Palatino Linotype" w:cs="Palatino Linotype"/>
          <w:i/>
          <w:sz w:val="22"/>
          <w:szCs w:val="22"/>
          <w:u w:val="single"/>
        </w:rPr>
        <w:t xml:space="preserve">, </w:t>
      </w:r>
      <w:r w:rsidRPr="00FE3C5A">
        <w:rPr>
          <w:rFonts w:ascii="Palatino Linotype" w:eastAsia="Palatino Linotype" w:hAnsi="Palatino Linotype" w:cs="Palatino Linotype"/>
          <w:b/>
          <w:i/>
          <w:sz w:val="22"/>
          <w:szCs w:val="22"/>
        </w:rPr>
        <w:t>incluyendo la versión pública</w:t>
      </w:r>
      <w:r w:rsidRPr="00FE3C5A">
        <w:rPr>
          <w:rFonts w:ascii="Palatino Linotype" w:eastAsia="Palatino Linotype" w:hAnsi="Palatino Linotype" w:cs="Palatino Linotype"/>
          <w:i/>
          <w:sz w:val="22"/>
          <w:szCs w:val="22"/>
        </w:rPr>
        <w:t xml:space="preserve"> del </w:t>
      </w:r>
      <w:r w:rsidRPr="00FE3C5A">
        <w:rPr>
          <w:rFonts w:ascii="Palatino Linotype" w:eastAsia="Palatino Linotype" w:hAnsi="Palatino Linotype" w:cs="Palatino Linotype"/>
          <w:b/>
          <w:i/>
          <w:sz w:val="22"/>
          <w:szCs w:val="22"/>
        </w:rPr>
        <w:t>expediente respectivo</w:t>
      </w:r>
      <w:r w:rsidRPr="00FE3C5A">
        <w:rPr>
          <w:rFonts w:ascii="Palatino Linotype" w:eastAsia="Palatino Linotype" w:hAnsi="Palatino Linotype" w:cs="Palatino Linotype"/>
          <w:i/>
          <w:sz w:val="22"/>
          <w:szCs w:val="22"/>
        </w:rPr>
        <w:t xml:space="preserve"> y </w:t>
      </w:r>
      <w:r w:rsidRPr="00FE3C5A">
        <w:rPr>
          <w:rFonts w:ascii="Palatino Linotype" w:eastAsia="Palatino Linotype" w:hAnsi="Palatino Linotype" w:cs="Palatino Linotype"/>
          <w:b/>
          <w:i/>
          <w:sz w:val="22"/>
          <w:szCs w:val="22"/>
        </w:rPr>
        <w:t>de los contratos celebrados</w:t>
      </w:r>
      <w:r w:rsidRPr="00FE3C5A">
        <w:rPr>
          <w:rFonts w:ascii="Palatino Linotype" w:eastAsia="Palatino Linotype" w:hAnsi="Palatino Linotype" w:cs="Palatino Linotype"/>
          <w:i/>
          <w:sz w:val="22"/>
          <w:szCs w:val="22"/>
        </w:rPr>
        <w:t>, que deberán contener, por los menos, lo siguiente:</w:t>
      </w:r>
    </w:p>
    <w:p w14:paraId="59A2C53F"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a) De licitaciones públicas o procedimientos de invitación restringida:</w:t>
      </w:r>
    </w:p>
    <w:p w14:paraId="5475DD86"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1)</w:t>
      </w:r>
      <w:r w:rsidRPr="00FE3C5A">
        <w:rPr>
          <w:rFonts w:ascii="Palatino Linotype" w:eastAsia="Palatino Linotype" w:hAnsi="Palatino Linotype" w:cs="Palatino Linotype"/>
          <w:i/>
          <w:sz w:val="22"/>
          <w:szCs w:val="22"/>
        </w:rPr>
        <w:t xml:space="preserve"> La convocatoria o invitación emitida, así como los fundamentos legales aplicados para llevarla a cabo;</w:t>
      </w:r>
    </w:p>
    <w:p w14:paraId="48C03D23"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2)</w:t>
      </w:r>
      <w:r w:rsidRPr="00FE3C5A">
        <w:rPr>
          <w:rFonts w:ascii="Palatino Linotype" w:eastAsia="Palatino Linotype" w:hAnsi="Palatino Linotype" w:cs="Palatino Linotype"/>
          <w:i/>
          <w:sz w:val="22"/>
          <w:szCs w:val="22"/>
        </w:rPr>
        <w:t xml:space="preserve"> Los nombres de los participantes o invitados;</w:t>
      </w:r>
    </w:p>
    <w:p w14:paraId="11F6514B"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3)</w:t>
      </w:r>
      <w:r w:rsidRPr="00FE3C5A">
        <w:rPr>
          <w:rFonts w:ascii="Palatino Linotype" w:eastAsia="Palatino Linotype" w:hAnsi="Palatino Linotype" w:cs="Palatino Linotype"/>
          <w:i/>
          <w:sz w:val="22"/>
          <w:szCs w:val="22"/>
        </w:rPr>
        <w:t xml:space="preserve"> El nombre del ganador y las razones que lo justifican;</w:t>
      </w:r>
    </w:p>
    <w:p w14:paraId="31995B1A"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4)</w:t>
      </w:r>
      <w:r w:rsidRPr="00FE3C5A">
        <w:rPr>
          <w:rFonts w:ascii="Palatino Linotype" w:eastAsia="Palatino Linotype" w:hAnsi="Palatino Linotype" w:cs="Palatino Linotype"/>
          <w:i/>
          <w:sz w:val="22"/>
          <w:szCs w:val="22"/>
        </w:rPr>
        <w:t xml:space="preserve"> El área solicitante y la responsable de su ejecución;</w:t>
      </w:r>
    </w:p>
    <w:p w14:paraId="6348B867"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5)</w:t>
      </w:r>
      <w:r w:rsidRPr="00FE3C5A">
        <w:rPr>
          <w:rFonts w:ascii="Palatino Linotype" w:eastAsia="Palatino Linotype" w:hAnsi="Palatino Linotype" w:cs="Palatino Linotype"/>
          <w:i/>
          <w:sz w:val="22"/>
          <w:szCs w:val="22"/>
        </w:rPr>
        <w:t xml:space="preserve"> Las convocatorias e invitaciones emitidas; </w:t>
      </w:r>
    </w:p>
    <w:p w14:paraId="77D73DF4" w14:textId="77777777" w:rsidR="007928C7" w:rsidRPr="00FE3C5A" w:rsidRDefault="000C530D">
      <w:pPr>
        <w:tabs>
          <w:tab w:val="left" w:pos="426"/>
        </w:tabs>
        <w:spacing w:line="276" w:lineRule="auto"/>
        <w:ind w:left="851" w:right="616" w:firstLine="140"/>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6)</w:t>
      </w:r>
      <w:r w:rsidRPr="00FE3C5A">
        <w:rPr>
          <w:rFonts w:ascii="Palatino Linotype" w:eastAsia="Palatino Linotype" w:hAnsi="Palatino Linotype" w:cs="Palatino Linotype"/>
          <w:i/>
          <w:sz w:val="22"/>
          <w:szCs w:val="22"/>
        </w:rPr>
        <w:t xml:space="preserve"> Los dictámenes y fallo de adjudicación;</w:t>
      </w:r>
    </w:p>
    <w:p w14:paraId="1770A11F" w14:textId="77777777" w:rsidR="007928C7" w:rsidRPr="00FE3C5A" w:rsidRDefault="000C530D">
      <w:pPr>
        <w:tabs>
          <w:tab w:val="left" w:pos="426"/>
        </w:tabs>
        <w:spacing w:line="276" w:lineRule="auto"/>
        <w:ind w:left="851" w:right="616" w:firstLine="140"/>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7) El contrato</w:t>
      </w:r>
      <w:r w:rsidRPr="00FE3C5A">
        <w:rPr>
          <w:rFonts w:ascii="Palatino Linotype" w:eastAsia="Palatino Linotype" w:hAnsi="Palatino Linotype" w:cs="Palatino Linotype"/>
          <w:i/>
          <w:sz w:val="22"/>
          <w:szCs w:val="22"/>
        </w:rPr>
        <w:t xml:space="preserve"> y, en su caso, sus anexos; </w:t>
      </w:r>
    </w:p>
    <w:p w14:paraId="56E1CFE4"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8)</w:t>
      </w:r>
      <w:r w:rsidRPr="00FE3C5A">
        <w:rPr>
          <w:rFonts w:ascii="Palatino Linotype" w:eastAsia="Palatino Linotype" w:hAnsi="Palatino Linotype" w:cs="Palatino Linotype"/>
          <w:i/>
          <w:sz w:val="22"/>
          <w:szCs w:val="22"/>
        </w:rPr>
        <w:t xml:space="preserve"> Los mecanismos de vigilancia y supervisión, incluyendo en su caso, los estudios de impacto urbano y ambiental, según corresponda;</w:t>
      </w:r>
    </w:p>
    <w:p w14:paraId="2FF14F6C"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9)</w:t>
      </w:r>
      <w:r w:rsidRPr="00FE3C5A">
        <w:rPr>
          <w:rFonts w:ascii="Palatino Linotype" w:eastAsia="Palatino Linotype" w:hAnsi="Palatino Linotype" w:cs="Palatino Linotype"/>
          <w:i/>
          <w:sz w:val="22"/>
          <w:szCs w:val="22"/>
        </w:rPr>
        <w:t xml:space="preserve"> La partida presupuestal, de conformidad con el clasificador por objeto del gasto, en el caso de ser aplicable; </w:t>
      </w:r>
    </w:p>
    <w:p w14:paraId="5780A3CC"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10)</w:t>
      </w:r>
      <w:r w:rsidRPr="00FE3C5A">
        <w:rPr>
          <w:rFonts w:ascii="Palatino Linotype" w:eastAsia="Palatino Linotype" w:hAnsi="Palatino Linotype" w:cs="Palatino Linotype"/>
          <w:i/>
          <w:sz w:val="22"/>
          <w:szCs w:val="22"/>
        </w:rPr>
        <w:t xml:space="preserve"> Origen de los recursos especificando si son federales, estatales o municipales, así como el tipo de fondo de participación o aportación respectiva;</w:t>
      </w:r>
    </w:p>
    <w:p w14:paraId="7D18A079"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11) Los convenios modificatorios que, en su caso, sean firmados, precisando el objeto y la fecha de celebración;</w:t>
      </w:r>
    </w:p>
    <w:p w14:paraId="34D13A38"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12)</w:t>
      </w:r>
      <w:r w:rsidRPr="00FE3C5A">
        <w:rPr>
          <w:rFonts w:ascii="Palatino Linotype" w:eastAsia="Palatino Linotype" w:hAnsi="Palatino Linotype" w:cs="Palatino Linotype"/>
          <w:i/>
          <w:sz w:val="22"/>
          <w:szCs w:val="22"/>
        </w:rPr>
        <w:t xml:space="preserve"> Los informes de avance físico y financiero sobre las obras o servicios contratados; </w:t>
      </w:r>
    </w:p>
    <w:p w14:paraId="59B33E59"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13)</w:t>
      </w:r>
      <w:r w:rsidRPr="00FE3C5A">
        <w:rPr>
          <w:rFonts w:ascii="Palatino Linotype" w:eastAsia="Palatino Linotype" w:hAnsi="Palatino Linotype" w:cs="Palatino Linotype"/>
          <w:i/>
          <w:sz w:val="22"/>
          <w:szCs w:val="22"/>
        </w:rPr>
        <w:t xml:space="preserve"> El convenio de terminación; </w:t>
      </w:r>
    </w:p>
    <w:p w14:paraId="4C6BCB86"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14)</w:t>
      </w:r>
      <w:r w:rsidRPr="00FE3C5A">
        <w:rPr>
          <w:rFonts w:ascii="Palatino Linotype" w:eastAsia="Palatino Linotype" w:hAnsi="Palatino Linotype" w:cs="Palatino Linotype"/>
          <w:i/>
          <w:sz w:val="22"/>
          <w:szCs w:val="22"/>
        </w:rPr>
        <w:t xml:space="preserve"> El finiquito.</w:t>
      </w:r>
    </w:p>
    <w:p w14:paraId="5E6BC2CC" w14:textId="77777777" w:rsidR="007928C7" w:rsidRPr="00FE3C5A" w:rsidRDefault="000C530D">
      <w:pPr>
        <w:tabs>
          <w:tab w:val="left" w:pos="426"/>
        </w:tabs>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b) …</w:t>
      </w:r>
      <w:r w:rsidRPr="00FE3C5A">
        <w:rPr>
          <w:rFonts w:ascii="Palatino Linotype" w:eastAsia="Palatino Linotype" w:hAnsi="Palatino Linotype" w:cs="Palatino Linotype"/>
          <w:i/>
          <w:sz w:val="22"/>
          <w:szCs w:val="22"/>
        </w:rPr>
        <w:t>”</w:t>
      </w:r>
    </w:p>
    <w:p w14:paraId="671CF442"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5CD3743F"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Bajo este orden de ideas, por cuanto hace a los contratos que emanan de los procedimientos expuestos que regula la legislación en materia de contratación pública estatal, el Reglamento de la Ley de Contratación Pública del Estado de México y Municipios establece que los instrumentos jurídicos vinculantes deberán reunir los siguientes elementos: </w:t>
      </w:r>
    </w:p>
    <w:p w14:paraId="371F80C9"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4E9C6813" w14:textId="77777777" w:rsidR="007928C7" w:rsidRPr="00FE3C5A" w:rsidRDefault="000C530D">
      <w:pPr>
        <w:spacing w:line="276" w:lineRule="auto"/>
        <w:ind w:left="851" w:right="616"/>
        <w:jc w:val="center"/>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“TÍTULO NOVENO</w:t>
      </w:r>
    </w:p>
    <w:p w14:paraId="61517E90" w14:textId="77777777" w:rsidR="007928C7" w:rsidRPr="00FE3C5A" w:rsidRDefault="000C530D">
      <w:pPr>
        <w:spacing w:line="276" w:lineRule="auto"/>
        <w:ind w:left="851" w:right="616"/>
        <w:jc w:val="center"/>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DE LOS CONTRATOS</w:t>
      </w:r>
    </w:p>
    <w:p w14:paraId="0E71361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120.- </w:t>
      </w:r>
      <w:r w:rsidRPr="00FE3C5A">
        <w:rPr>
          <w:rFonts w:ascii="Palatino Linotype" w:eastAsia="Palatino Linotype" w:hAnsi="Palatino Linotype" w:cs="Palatino Linotype"/>
          <w:b/>
          <w:i/>
          <w:sz w:val="22"/>
          <w:szCs w:val="22"/>
          <w:u w:val="single"/>
        </w:rPr>
        <w:t xml:space="preserve">Los contratos </w:t>
      </w:r>
      <w:r w:rsidRPr="00FE3C5A">
        <w:rPr>
          <w:rFonts w:ascii="Palatino Linotype" w:eastAsia="Palatino Linotype" w:hAnsi="Palatino Linotype" w:cs="Palatino Linotype"/>
          <w:i/>
          <w:sz w:val="22"/>
          <w:szCs w:val="22"/>
        </w:rPr>
        <w:t xml:space="preserve">relacionados con las materias reguladas por la Ley referirán, como mínimo, lo siguiente: </w:t>
      </w:r>
    </w:p>
    <w:p w14:paraId="28354A7B"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u w:val="single"/>
        </w:rPr>
      </w:pPr>
      <w:r w:rsidRPr="00FE3C5A">
        <w:rPr>
          <w:rFonts w:ascii="Palatino Linotype" w:eastAsia="Palatino Linotype" w:hAnsi="Palatino Linotype" w:cs="Palatino Linotype"/>
          <w:b/>
          <w:i/>
          <w:sz w:val="22"/>
          <w:szCs w:val="22"/>
          <w:u w:val="single"/>
        </w:rPr>
        <w:lastRenderedPageBreak/>
        <w:t xml:space="preserve">I. Objeto; </w:t>
      </w:r>
    </w:p>
    <w:p w14:paraId="1F770BA8"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 xml:space="preserve">II. Fecha de suministro de los bienes o </w:t>
      </w:r>
      <w:r w:rsidRPr="00FE3C5A">
        <w:rPr>
          <w:rFonts w:ascii="Palatino Linotype" w:eastAsia="Palatino Linotype" w:hAnsi="Palatino Linotype" w:cs="Palatino Linotype"/>
          <w:b/>
          <w:i/>
          <w:sz w:val="22"/>
          <w:szCs w:val="22"/>
          <w:u w:val="single"/>
        </w:rPr>
        <w:t>período de prestación del servicio</w:t>
      </w:r>
      <w:r w:rsidRPr="00FE3C5A">
        <w:rPr>
          <w:rFonts w:ascii="Palatino Linotype" w:eastAsia="Palatino Linotype" w:hAnsi="Palatino Linotype" w:cs="Palatino Linotype"/>
          <w:b/>
          <w:i/>
          <w:sz w:val="22"/>
          <w:szCs w:val="22"/>
        </w:rPr>
        <w:t xml:space="preserve">; </w:t>
      </w:r>
    </w:p>
    <w:p w14:paraId="3506DDA3"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III. Datos del procedimiento que dio origen al contrato; </w:t>
      </w:r>
    </w:p>
    <w:p w14:paraId="63717321"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u w:val="single"/>
        </w:rPr>
      </w:pPr>
      <w:r w:rsidRPr="00FE3C5A">
        <w:rPr>
          <w:rFonts w:ascii="Palatino Linotype" w:eastAsia="Palatino Linotype" w:hAnsi="Palatino Linotype" w:cs="Palatino Linotype"/>
          <w:b/>
          <w:i/>
          <w:sz w:val="22"/>
          <w:szCs w:val="22"/>
          <w:u w:val="single"/>
        </w:rPr>
        <w:t xml:space="preserve">IV. Importe total; </w:t>
      </w:r>
    </w:p>
    <w:p w14:paraId="125AACAE"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 Porcentajes, número y fechas de las exhibiciones y amortización de los anticipos que se otorguen; </w:t>
      </w:r>
    </w:p>
    <w:p w14:paraId="3B9F541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VI. Formalidades para el otorgamiento y cobro de garantías; </w:t>
      </w:r>
    </w:p>
    <w:p w14:paraId="6A690D9A"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VII. Penas convencionales por causas imputables al proveedor o prestador del servicio, las que se determinarán en función del incumplimiento de las condiciones convenidas, y que en ningún caso podrán ser superiores, en su conjunto, al monto de la garantía de cumplimiento. Las dependencias, organismos auxiliares, tribunales administrativos y municipios deberán fijar los términos, forma y porcentajes para aplicar las penas convencionales; </w:t>
      </w:r>
    </w:p>
    <w:p w14:paraId="5B3BCFB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VIII. Términos en que el proveedor o prestador del servicio, en su caso, reintegrará las cantidades que, en cualquier forma, hubiere recibido en exceso por la contratación; </w:t>
      </w:r>
    </w:p>
    <w:p w14:paraId="209BB815"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IX. Causales por las que la Secretaría, organismos auxiliares, tribunales administrativos o municipios podrán dar por rescindido el contrato y sus efectos; </w:t>
      </w:r>
    </w:p>
    <w:p w14:paraId="10F1BDF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X. Las consecuencias de la cancelación o terminación anticipada por causas imputables al proveedor o prestador del servicio; </w:t>
      </w:r>
    </w:p>
    <w:p w14:paraId="2512943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XI. Señalamiento del domicilio de las partes, ubicado en el territorio del Estado, o bien, domicilio para oír y recibir notificaciones; y </w:t>
      </w:r>
    </w:p>
    <w:p w14:paraId="54CDAF44"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XII. Renuncia expresa al fuero que les pudiera corresponder en función de su domicilio o vecindad presente o futuro. </w:t>
      </w:r>
    </w:p>
    <w:p w14:paraId="71C9AC00"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121.- </w:t>
      </w:r>
      <w:r w:rsidRPr="00FE3C5A">
        <w:rPr>
          <w:rFonts w:ascii="Palatino Linotype" w:eastAsia="Palatino Linotype" w:hAnsi="Palatino Linotype" w:cs="Palatino Linotype"/>
          <w:i/>
          <w:sz w:val="22"/>
          <w:szCs w:val="22"/>
        </w:rPr>
        <w:t xml:space="preserve">Cuando el contrato sea adjudicado a varios participantes, deberá ser firmado por todos, especificando las obligaciones que a cada uno correspondan. </w:t>
      </w:r>
    </w:p>
    <w:p w14:paraId="60D87635"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122.- </w:t>
      </w:r>
      <w:r w:rsidRPr="00FE3C5A">
        <w:rPr>
          <w:rFonts w:ascii="Palatino Linotype" w:eastAsia="Palatino Linotype" w:hAnsi="Palatino Linotype" w:cs="Palatino Linotype"/>
          <w:i/>
          <w:sz w:val="22"/>
          <w:szCs w:val="22"/>
        </w:rPr>
        <w:t xml:space="preserve">Cuando dentro del término establecido para ello, el contrato no sea firmado por la persona que resulte adjudicada, la convocante podrá adjudicarlo al oferente que haya presentado la propuesta económica solvente más cercana a la ganadora, y así sucesivamente; en todo caso, la diferencia de precio no deberá ser superior al diez por ciento, incluyendo el Impuesto al Valor Agregado, respecto de la propuesta ganadora. </w:t>
      </w:r>
    </w:p>
    <w:p w14:paraId="6B3BB2F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123.- </w:t>
      </w:r>
      <w:r w:rsidRPr="00FE3C5A">
        <w:rPr>
          <w:rFonts w:ascii="Palatino Linotype" w:eastAsia="Palatino Linotype" w:hAnsi="Palatino Linotype" w:cs="Palatino Linotype"/>
          <w:i/>
          <w:sz w:val="22"/>
          <w:szCs w:val="22"/>
        </w:rPr>
        <w:t xml:space="preserve">El proveedor o prestador del servicio que desee transmitir sus derechos de cobro, deberá solicitar por escrito el consentimiento de la contratante, misma que resolverá lo procedente en un término de quince días naturales contados a partir de la presentación de dicha solicitud. </w:t>
      </w:r>
    </w:p>
    <w:p w14:paraId="6C4E3E5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lastRenderedPageBreak/>
        <w:t xml:space="preserve">No se generará el pago de gastos o recargos por parte de la contratante, si durante el plazo para emitir la resolución de la transmisión de los derechos de cobro, se origina un retraso en el pago pactado. </w:t>
      </w:r>
    </w:p>
    <w:p w14:paraId="10B9A270"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124.- </w:t>
      </w:r>
      <w:r w:rsidRPr="00FE3C5A">
        <w:rPr>
          <w:rFonts w:ascii="Palatino Linotype" w:eastAsia="Palatino Linotype" w:hAnsi="Palatino Linotype" w:cs="Palatino Linotype"/>
          <w:i/>
          <w:sz w:val="22"/>
          <w:szCs w:val="22"/>
        </w:rPr>
        <w:t xml:space="preserve">En los contratos se establecerán los casos concretos en los que procederá la subcontratación, la cual invariablemente deberá ser autorizada de manera previa por la contratante; en el entendido de que en ningún caso los licitantes que hayan resultado adjudicados podrán subcontratar a personas físicas o jurídicas colectivas que hayan participado por sí mismos o a través de otros, en el mismo procedimiento licitatorio del que se derive dicho contrato. </w:t>
      </w:r>
    </w:p>
    <w:p w14:paraId="3C9963A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125.- </w:t>
      </w:r>
      <w:r w:rsidRPr="00FE3C5A">
        <w:rPr>
          <w:rFonts w:ascii="Palatino Linotype" w:eastAsia="Palatino Linotype" w:hAnsi="Palatino Linotype" w:cs="Palatino Linotype"/>
          <w:i/>
          <w:sz w:val="22"/>
          <w:szCs w:val="22"/>
        </w:rPr>
        <w:t xml:space="preserve">La contratante en caso de ser necesario y se aseguren las mejores condiciones disponibles en cuanto precio, calidad, financiamiento, oportunidad y demás circunstancias pertinentes, podrá acordar conforme a las previsiones y disposiciones presupuestarias respectivas, incrementos en la cantidad de bienes adquiridos mediante modificaciones a sus contratos vigentes, dentro de los doce meses posteriores a su suscripción, siempre que el monto total de la modificación no rebase, en su conjunto, el treinta por ciento del importe original y el precio de los bienes sea igual al pactado inicialmente. El incremento se aplicará al importe total del contrato, independientemente de la cantidad de partidas que decidan ampliarse. </w:t>
      </w:r>
    </w:p>
    <w:p w14:paraId="6390C3A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Igual porcentaje se aplicará a las modificaciones o prórrogas que se hagan respecto a la vigencia de los contratos de prestación de servicios. </w:t>
      </w:r>
    </w:p>
    <w:p w14:paraId="43AEAA2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126.- </w:t>
      </w:r>
      <w:r w:rsidRPr="00FE3C5A">
        <w:rPr>
          <w:rFonts w:ascii="Palatino Linotype" w:eastAsia="Palatino Linotype" w:hAnsi="Palatino Linotype" w:cs="Palatino Linotype"/>
          <w:i/>
          <w:sz w:val="22"/>
          <w:szCs w:val="22"/>
        </w:rPr>
        <w:t xml:space="preserve">Los contratos de inmuebles del dominio privado se regularán por las disposiciones de la Ley, este Reglamento, las normas, políticas, bases o lineamientos que expida la Secretaría y, supletoriamente, las del Código Civil del Estado de México, en lo conducente. </w:t>
      </w:r>
    </w:p>
    <w:p w14:paraId="1EC31EE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Artículo 127.- </w:t>
      </w:r>
      <w:r w:rsidRPr="00FE3C5A">
        <w:rPr>
          <w:rFonts w:ascii="Palatino Linotype" w:eastAsia="Palatino Linotype" w:hAnsi="Palatino Linotype" w:cs="Palatino Linotype"/>
          <w:i/>
          <w:sz w:val="22"/>
          <w:szCs w:val="22"/>
        </w:rPr>
        <w:t xml:space="preserve">Las unidades administrativas usuarias deberán informar por escrito a la contratante, dentro de los cinco días hábiles siguientes contados a partir de la fecha indicada para el suministro de los bienes o prestación del servicio, sobre el cumplimiento o incumplimiento a las condiciones, características y especificaciones técnicas pactadas en los contratos respectivos. </w:t>
      </w:r>
    </w:p>
    <w:p w14:paraId="3E85FB68"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Al escrito por medio del cual se informe el cumplimiento o incumplimiento del proveedor o prestador del servicio, se adjuntarán copia de las facturas que acrediten el suministro de los bienes o prestación de los servicios relativos. </w:t>
      </w:r>
    </w:p>
    <w:p w14:paraId="350A9D0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Lo anterior, podrá ser informado a través del sistema COMPRAMEX.”</w:t>
      </w:r>
    </w:p>
    <w:p w14:paraId="7337AE2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(Énfasis añadido)</w:t>
      </w:r>
    </w:p>
    <w:p w14:paraId="3A20CB03"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1718F873"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 xml:space="preserve">De lo anteriormente expuesto se arriban a las siguientes conclusiones: </w:t>
      </w:r>
    </w:p>
    <w:p w14:paraId="34001CC2"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035C152C" w14:textId="77777777" w:rsidR="007928C7" w:rsidRPr="00FE3C5A" w:rsidRDefault="000C530D">
      <w:pPr>
        <w:numPr>
          <w:ilvl w:val="0"/>
          <w:numId w:val="3"/>
        </w:numPr>
        <w:spacing w:line="360" w:lineRule="auto"/>
        <w:ind w:right="851"/>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sz w:val="22"/>
          <w:szCs w:val="22"/>
        </w:rPr>
        <w:t xml:space="preserve">Que dentro de los requisitos para la licitación se prevé la suscripción de </w:t>
      </w:r>
      <w:r w:rsidRPr="00FE3C5A">
        <w:rPr>
          <w:rFonts w:ascii="Palatino Linotype" w:eastAsia="Palatino Linotype" w:hAnsi="Palatino Linotype" w:cs="Palatino Linotype"/>
          <w:b/>
          <w:sz w:val="22"/>
          <w:szCs w:val="22"/>
        </w:rPr>
        <w:t>un contrato en el que se establezcan como elementos mínimos: el objeto, fecha de suministro de los servicios o</w:t>
      </w:r>
      <w:r w:rsidRPr="00FE3C5A">
        <w:rPr>
          <w:rFonts w:ascii="Palatino Linotype" w:eastAsia="Palatino Linotype" w:hAnsi="Palatino Linotype" w:cs="Palatino Linotype"/>
          <w:sz w:val="22"/>
          <w:szCs w:val="22"/>
        </w:rPr>
        <w:t xml:space="preserve"> el </w:t>
      </w:r>
      <w:r w:rsidRPr="00FE3C5A">
        <w:rPr>
          <w:rFonts w:ascii="Palatino Linotype" w:eastAsia="Palatino Linotype" w:hAnsi="Palatino Linotype" w:cs="Palatino Linotype"/>
          <w:b/>
          <w:sz w:val="22"/>
          <w:szCs w:val="22"/>
        </w:rPr>
        <w:t>período de prestación del servicio, datos del procedimiento que dio origen al contrato, importe, etc.</w:t>
      </w:r>
    </w:p>
    <w:p w14:paraId="7EA4F287" w14:textId="77777777" w:rsidR="007928C7" w:rsidRPr="00FE3C5A" w:rsidRDefault="000C530D">
      <w:pPr>
        <w:numPr>
          <w:ilvl w:val="0"/>
          <w:numId w:val="3"/>
        </w:numPr>
        <w:spacing w:line="360" w:lineRule="auto"/>
        <w:ind w:right="8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Que constituye una obligación de transparencia el poner a disposición del público toda la información referente a las licitaciones públicas, e</w:t>
      </w:r>
      <w:r w:rsidRPr="00FE3C5A">
        <w:rPr>
          <w:rFonts w:ascii="Palatino Linotype" w:eastAsia="Palatino Linotype" w:hAnsi="Palatino Linotype" w:cs="Palatino Linotype"/>
          <w:b/>
          <w:sz w:val="22"/>
          <w:szCs w:val="22"/>
        </w:rPr>
        <w:t xml:space="preserve">ntre estos documentos destacan los contratos, </w:t>
      </w:r>
      <w:r w:rsidRPr="00FE3C5A">
        <w:rPr>
          <w:rFonts w:ascii="Palatino Linotype" w:eastAsia="Palatino Linotype" w:hAnsi="Palatino Linotype" w:cs="Palatino Linotype"/>
          <w:sz w:val="22"/>
          <w:szCs w:val="22"/>
        </w:rPr>
        <w:t xml:space="preserve">mismos que de manera enunciativa más no limitativa pueden dar atención al requerimiento del particular, dado que de ellos se puede advertir la obra realizada, periodo para realizar el trabajo de obra, el importe y el periodo de entrega. </w:t>
      </w:r>
    </w:p>
    <w:p w14:paraId="18F91211"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2636D4BE" w14:textId="77777777" w:rsidR="007928C7" w:rsidRPr="00FE3C5A" w:rsidRDefault="000C530D">
      <w:pPr>
        <w:tabs>
          <w:tab w:val="left" w:pos="7938"/>
        </w:tabs>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Ahora bien, dicho lo anterior cabe recordar que en respuesta,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proporcionó una liga electrónica, en tal contexto, en primer lugar, debemos traer a colación el artículo 161</w:t>
      </w:r>
      <w:r w:rsidRPr="00FE3C5A">
        <w:rPr>
          <w:rFonts w:ascii="Palatino Linotype" w:eastAsia="Palatino Linotype" w:hAnsi="Palatino Linotype" w:cs="Palatino Linotype"/>
          <w:sz w:val="22"/>
          <w:szCs w:val="22"/>
          <w:vertAlign w:val="superscript"/>
        </w:rPr>
        <w:footnoteReference w:id="2"/>
      </w:r>
      <w:r w:rsidRPr="00FE3C5A">
        <w:rPr>
          <w:rFonts w:ascii="Palatino Linotype" w:eastAsia="Palatino Linotype" w:hAnsi="Palatino Linotype" w:cs="Palatino Linotype"/>
          <w:sz w:val="22"/>
          <w:szCs w:val="22"/>
        </w:rPr>
        <w:t xml:space="preserve"> de la Ley de Transparencia y Acceso a la Información Pública del Estado de México y Municipios</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sz w:val="22"/>
          <w:szCs w:val="22"/>
        </w:rPr>
        <w:t>el cual establece las características que debe tener la información desde el momento de su generación, publicación y entrega; de igual manera se contempla el procedimiento a seguir por el sujeto obligado para informar a los solicitantes sobre información que se encuentre disponible en libros, compendios, formatos electrónicos, entre otros, haciéndole saber al solicitante como podrá consultar, reproducir o adquirir la información, en un plazo no mayor a cinco días hábiles, comprendiendo:</w:t>
      </w:r>
    </w:p>
    <w:p w14:paraId="208C4A34"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410763D0" w14:textId="77777777" w:rsidR="007928C7" w:rsidRPr="00FE3C5A" w:rsidRDefault="000C530D">
      <w:pPr>
        <w:spacing w:line="360" w:lineRule="auto"/>
        <w:ind w:left="284"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a) La fuente</w:t>
      </w:r>
    </w:p>
    <w:p w14:paraId="538D01DF" w14:textId="77777777" w:rsidR="007928C7" w:rsidRPr="00FE3C5A" w:rsidRDefault="000C530D">
      <w:pPr>
        <w:spacing w:line="360" w:lineRule="auto"/>
        <w:ind w:left="284"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b) El lugar y</w:t>
      </w:r>
    </w:p>
    <w:p w14:paraId="638DA3A6" w14:textId="77777777" w:rsidR="007928C7" w:rsidRPr="00FE3C5A" w:rsidRDefault="000C530D">
      <w:pPr>
        <w:spacing w:line="360" w:lineRule="auto"/>
        <w:ind w:left="284"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c) La forma</w:t>
      </w:r>
    </w:p>
    <w:p w14:paraId="4BCBF6C3" w14:textId="77777777" w:rsidR="007928C7" w:rsidRPr="00FE3C5A" w:rsidRDefault="007928C7">
      <w:pPr>
        <w:spacing w:line="360" w:lineRule="auto"/>
        <w:ind w:left="284" w:right="51"/>
        <w:jc w:val="both"/>
        <w:rPr>
          <w:rFonts w:ascii="Palatino Linotype" w:eastAsia="Palatino Linotype" w:hAnsi="Palatino Linotype" w:cs="Palatino Linotype"/>
          <w:sz w:val="22"/>
          <w:szCs w:val="22"/>
        </w:rPr>
      </w:pPr>
    </w:p>
    <w:p w14:paraId="6AC68069" w14:textId="77777777" w:rsidR="007928C7" w:rsidRPr="00FE3C5A" w:rsidRDefault="000C530D">
      <w:pPr>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Asimismo, se establece que la fuente de la información deberá ser:</w:t>
      </w:r>
    </w:p>
    <w:p w14:paraId="5C3939B9"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1A685888" w14:textId="77777777" w:rsidR="007928C7" w:rsidRPr="00FE3C5A" w:rsidRDefault="000C530D">
      <w:pPr>
        <w:spacing w:line="360" w:lineRule="auto"/>
        <w:ind w:left="284"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 Precisa</w:t>
      </w:r>
    </w:p>
    <w:p w14:paraId="30192995" w14:textId="77777777" w:rsidR="007928C7" w:rsidRPr="00FE3C5A" w:rsidRDefault="000C530D">
      <w:pPr>
        <w:spacing w:after="240" w:line="276" w:lineRule="auto"/>
        <w:ind w:left="284"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b) Concreta</w:t>
      </w:r>
    </w:p>
    <w:p w14:paraId="505CFA3E" w14:textId="77777777" w:rsidR="007928C7" w:rsidRPr="00FE3C5A" w:rsidRDefault="000C530D">
      <w:pPr>
        <w:spacing w:before="240" w:line="360" w:lineRule="auto"/>
        <w:ind w:left="284" w:right="51"/>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c) Y</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no debe implicar que el solicitante realice una búsqueda en toda la información que se encuentre disponible.</w:t>
      </w:r>
    </w:p>
    <w:p w14:paraId="19F8F072" w14:textId="77777777" w:rsidR="007928C7" w:rsidRPr="00FE3C5A" w:rsidRDefault="007928C7">
      <w:pPr>
        <w:spacing w:line="360" w:lineRule="auto"/>
        <w:ind w:left="284" w:right="51"/>
        <w:jc w:val="both"/>
        <w:rPr>
          <w:rFonts w:ascii="Palatino Linotype" w:eastAsia="Palatino Linotype" w:hAnsi="Palatino Linotype" w:cs="Palatino Linotype"/>
          <w:sz w:val="22"/>
          <w:szCs w:val="22"/>
        </w:rPr>
      </w:pPr>
    </w:p>
    <w:p w14:paraId="7E2D09AC" w14:textId="77777777" w:rsidR="007928C7" w:rsidRPr="00FE3C5A" w:rsidRDefault="000C530D">
      <w:pPr>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Imperativos legales que establecen el procedimiento que debe seguir el</w:t>
      </w:r>
      <w:r w:rsidRPr="00FE3C5A">
        <w:rPr>
          <w:rFonts w:ascii="Palatino Linotype" w:eastAsia="Palatino Linotype" w:hAnsi="Palatino Linotype" w:cs="Palatino Linotype"/>
          <w:b/>
          <w:sz w:val="22"/>
          <w:szCs w:val="22"/>
        </w:rPr>
        <w:t xml:space="preserve"> Sujeto Obligado </w:t>
      </w:r>
      <w:r w:rsidRPr="00FE3C5A">
        <w:rPr>
          <w:rFonts w:ascii="Palatino Linotype" w:eastAsia="Palatino Linotype" w:hAnsi="Palatino Linotype" w:cs="Palatino Linotype"/>
          <w:sz w:val="22"/>
          <w:szCs w:val="22"/>
        </w:rPr>
        <w:t>para que pueda tomarse como válida su orientación sobre la forma en que puede consultar la información requerida.</w:t>
      </w:r>
    </w:p>
    <w:p w14:paraId="20D8F789"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3E9CF38C"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Sin menoscabar lo anterior, este Instituto revisó la liga electrónica remitida, siendo esta la siguiente: </w:t>
      </w:r>
      <w:hyperlink r:id="rId12">
        <w:r w:rsidRPr="00FE3C5A">
          <w:rPr>
            <w:rFonts w:ascii="Palatino Linotype" w:eastAsia="Palatino Linotype" w:hAnsi="Palatino Linotype" w:cs="Palatino Linotype"/>
            <w:sz w:val="22"/>
            <w:szCs w:val="22"/>
            <w:u w:val="single"/>
          </w:rPr>
          <w:t>https://www.chapultepec.gob.mx/</w:t>
        </w:r>
      </w:hyperlink>
      <w:r w:rsidRPr="00FE3C5A">
        <w:rPr>
          <w:rFonts w:ascii="Palatino Linotype" w:eastAsia="Palatino Linotype" w:hAnsi="Palatino Linotype" w:cs="Palatino Linotype"/>
          <w:sz w:val="22"/>
          <w:szCs w:val="22"/>
        </w:rPr>
        <w:t>, la cual da acceso a lo siguiente:</w:t>
      </w:r>
    </w:p>
    <w:p w14:paraId="26382537"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52F88346"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noProof/>
          <w:sz w:val="22"/>
          <w:szCs w:val="22"/>
        </w:rPr>
        <w:lastRenderedPageBreak/>
        <w:drawing>
          <wp:inline distT="0" distB="0" distL="0" distR="0" wp14:anchorId="2A33F2F7" wp14:editId="25FCA5B4">
            <wp:extent cx="5612130" cy="3040380"/>
            <wp:effectExtent l="0" t="0" r="0" b="0"/>
            <wp:docPr id="56396814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3"/>
                    <a:srcRect/>
                    <a:stretch>
                      <a:fillRect/>
                    </a:stretch>
                  </pic:blipFill>
                  <pic:spPr>
                    <a:xfrm>
                      <a:off x="0" y="0"/>
                      <a:ext cx="5612130" cy="3040380"/>
                    </a:xfrm>
                    <a:prstGeom prst="rect">
                      <a:avLst/>
                    </a:prstGeom>
                    <a:ln/>
                  </pic:spPr>
                </pic:pic>
              </a:graphicData>
            </a:graphic>
          </wp:inline>
        </w:drawing>
      </w:r>
    </w:p>
    <w:p w14:paraId="22D0FB88"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De lo anterior se advierte que la liga, únicamente remite a la página oficial del Ayuntamiento de Chapultepec, y no así al Informe de Gobierno de donde a decir del Titular de la Unidad de Transparencia, se podría obtener la información solicitada, por lo que los motivos de inconformidad de la parte </w:t>
      </w:r>
      <w:r w:rsidRPr="00FE3C5A">
        <w:rPr>
          <w:rFonts w:ascii="Palatino Linotype" w:eastAsia="Palatino Linotype" w:hAnsi="Palatino Linotype" w:cs="Palatino Linotype"/>
          <w:b/>
          <w:sz w:val="22"/>
          <w:szCs w:val="22"/>
        </w:rPr>
        <w:t xml:space="preserve">Recurrente </w:t>
      </w:r>
      <w:r w:rsidRPr="00FE3C5A">
        <w:rPr>
          <w:rFonts w:ascii="Palatino Linotype" w:eastAsia="Palatino Linotype" w:hAnsi="Palatino Linotype" w:cs="Palatino Linotype"/>
          <w:sz w:val="22"/>
          <w:szCs w:val="22"/>
        </w:rPr>
        <w:t xml:space="preserve">devienen fundados, al no obtener acceso a la información solicitada, aunado a que también omitió precisar el procedimiento para acceder a los datos solicitados, es decir, no refirió la forma y el lugar específico para poder obtener lo solicitado; por lo tanto, incumplió con lo establecido en el artículo 161 de la Ley de Transparencia y Acceso a la Información Pública del Estado de México y Municipios. </w:t>
      </w:r>
    </w:p>
    <w:p w14:paraId="464E67D9"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48F2C8B2" w14:textId="77777777" w:rsidR="007928C7" w:rsidRPr="00FE3C5A" w:rsidRDefault="000C530D">
      <w:pPr>
        <w:spacing w:line="360" w:lineRule="auto"/>
        <w:jc w:val="both"/>
        <w:rPr>
          <w:rFonts w:ascii="Palatino Linotype" w:eastAsia="Palatino Linotype" w:hAnsi="Palatino Linotype" w:cs="Palatino Linotype"/>
          <w:sz w:val="22"/>
          <w:szCs w:val="22"/>
          <w:u w:val="single"/>
        </w:rPr>
      </w:pPr>
      <w:r w:rsidRPr="00FE3C5A">
        <w:rPr>
          <w:rFonts w:ascii="Palatino Linotype" w:eastAsia="Palatino Linotype" w:hAnsi="Palatino Linotype" w:cs="Palatino Linotype"/>
          <w:sz w:val="22"/>
          <w:szCs w:val="22"/>
        </w:rPr>
        <w:t xml:space="preserve">Ahora bien, toma relevancia señalar que este Instituto localizó en la Gaceta Municipal número 21 Vol. 01 Chapultepec, Estado de México, de fecha treinta y uno de marzo de dos mil veintidós, el Plan de Desarrollo Municipal 2022-2024 del Ayuntamiento de Chapultepec, el cual establece dentro de su Pilar 1 Social: Municipio Socialmente Responsable, Solidario e Incluyente, el tema: Cultura Física, Deporte y Recreación, y Subtema: Líneas de Acción, </w:t>
      </w:r>
      <w:r w:rsidRPr="00FE3C5A">
        <w:rPr>
          <w:rFonts w:ascii="Palatino Linotype" w:eastAsia="Palatino Linotype" w:hAnsi="Palatino Linotype" w:cs="Palatino Linotype"/>
          <w:sz w:val="22"/>
          <w:szCs w:val="22"/>
          <w:u w:val="single"/>
        </w:rPr>
        <w:t xml:space="preserve">la Rehabilitación de la casa de cultura. Cabecera municipal. </w:t>
      </w:r>
    </w:p>
    <w:p w14:paraId="250A3ED7"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15198058"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 xml:space="preserve">Robusteciendo lo anterior, en el Primer Informe de Gobierno que rindió la </w:t>
      </w:r>
      <w:proofErr w:type="gramStart"/>
      <w:r w:rsidRPr="00FE3C5A">
        <w:rPr>
          <w:rFonts w:ascii="Palatino Linotype" w:eastAsia="Palatino Linotype" w:hAnsi="Palatino Linotype" w:cs="Palatino Linotype"/>
          <w:sz w:val="22"/>
          <w:szCs w:val="22"/>
        </w:rPr>
        <w:t>Presidenta</w:t>
      </w:r>
      <w:proofErr w:type="gramEnd"/>
      <w:r w:rsidRPr="00FE3C5A">
        <w:rPr>
          <w:rFonts w:ascii="Palatino Linotype" w:eastAsia="Palatino Linotype" w:hAnsi="Palatino Linotype" w:cs="Palatino Linotype"/>
          <w:sz w:val="22"/>
          <w:szCs w:val="22"/>
        </w:rPr>
        <w:t xml:space="preserve"> Municipal Constitucional, establece en su Pilar Territorial Ciudades y Comunidades Sostenibles, que respecto al tema de obras públicas, el municipio logró la ejecución de obras que requerían de acciones inmediatas, que impactaron directamente en el beneficio social de su población y para su ejecución en el 2022 se recibieron recursos provenientes de los siguientes programas:</w:t>
      </w:r>
    </w:p>
    <w:p w14:paraId="0E5D7954"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33043853" w14:textId="77777777" w:rsidR="007928C7" w:rsidRPr="00FE3C5A" w:rsidRDefault="000C530D">
      <w:pPr>
        <w:spacing w:line="360" w:lineRule="auto"/>
        <w:jc w:val="center"/>
        <w:rPr>
          <w:rFonts w:ascii="Palatino Linotype" w:eastAsia="Palatino Linotype" w:hAnsi="Palatino Linotype" w:cs="Palatino Linotype"/>
          <w:sz w:val="22"/>
          <w:szCs w:val="22"/>
        </w:rPr>
      </w:pPr>
      <w:r w:rsidRPr="00FE3C5A">
        <w:rPr>
          <w:rFonts w:ascii="Palatino Linotype" w:eastAsia="Palatino Linotype" w:hAnsi="Palatino Linotype" w:cs="Palatino Linotype"/>
          <w:noProof/>
          <w:sz w:val="22"/>
          <w:szCs w:val="22"/>
        </w:rPr>
        <w:drawing>
          <wp:inline distT="0" distB="0" distL="0" distR="0" wp14:anchorId="686DB82A" wp14:editId="543F11ED">
            <wp:extent cx="4850866" cy="1921026"/>
            <wp:effectExtent l="0" t="0" r="0" b="0"/>
            <wp:docPr id="56396814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4"/>
                    <a:srcRect/>
                    <a:stretch>
                      <a:fillRect/>
                    </a:stretch>
                  </pic:blipFill>
                  <pic:spPr>
                    <a:xfrm>
                      <a:off x="0" y="0"/>
                      <a:ext cx="4850866" cy="1921026"/>
                    </a:xfrm>
                    <a:prstGeom prst="rect">
                      <a:avLst/>
                    </a:prstGeom>
                    <a:ln/>
                  </pic:spPr>
                </pic:pic>
              </a:graphicData>
            </a:graphic>
          </wp:inline>
        </w:drawing>
      </w:r>
    </w:p>
    <w:p w14:paraId="43F19375"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25B2B809"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Asimismo, se advierte que se realizaron obras públicas de las que se observa la </w:t>
      </w:r>
      <w:r w:rsidRPr="00FE3C5A">
        <w:rPr>
          <w:rFonts w:ascii="Palatino Linotype" w:eastAsia="Palatino Linotype" w:hAnsi="Palatino Linotype" w:cs="Palatino Linotype"/>
          <w:b/>
          <w:sz w:val="22"/>
          <w:szCs w:val="22"/>
        </w:rPr>
        <w:t>Construcción de Fachada y Rehabilitación de Casa de Cultura, Cabecera Municipal</w:t>
      </w:r>
      <w:r w:rsidRPr="00FE3C5A">
        <w:rPr>
          <w:rFonts w:ascii="Palatino Linotype" w:eastAsia="Palatino Linotype" w:hAnsi="Palatino Linotype" w:cs="Palatino Linotype"/>
          <w:sz w:val="22"/>
          <w:szCs w:val="22"/>
        </w:rPr>
        <w:t xml:space="preserve">, refiriendo el recurso, monto, el número de beneficiarios y el estatus de la obra, tal y como se muestra a continuación: </w:t>
      </w:r>
    </w:p>
    <w:p w14:paraId="544B0484"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5CF90E39"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noProof/>
          <w:sz w:val="22"/>
          <w:szCs w:val="22"/>
        </w:rPr>
        <w:drawing>
          <wp:inline distT="0" distB="0" distL="0" distR="0" wp14:anchorId="129F95CE" wp14:editId="0F42B81C">
            <wp:extent cx="5612130" cy="443230"/>
            <wp:effectExtent l="0" t="0" r="0" b="0"/>
            <wp:docPr id="56396814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5"/>
                    <a:srcRect/>
                    <a:stretch>
                      <a:fillRect/>
                    </a:stretch>
                  </pic:blipFill>
                  <pic:spPr>
                    <a:xfrm>
                      <a:off x="0" y="0"/>
                      <a:ext cx="5612130" cy="443230"/>
                    </a:xfrm>
                    <a:prstGeom prst="rect">
                      <a:avLst/>
                    </a:prstGeom>
                    <a:ln/>
                  </pic:spPr>
                </pic:pic>
              </a:graphicData>
            </a:graphic>
          </wp:inline>
        </w:drawing>
      </w:r>
    </w:p>
    <w:p w14:paraId="59A38B7B" w14:textId="77777777" w:rsidR="007928C7" w:rsidRPr="00FE3C5A" w:rsidRDefault="000C530D">
      <w:pPr>
        <w:spacing w:line="360" w:lineRule="auto"/>
        <w:jc w:val="center"/>
        <w:rPr>
          <w:rFonts w:ascii="Palatino Linotype" w:eastAsia="Palatino Linotype" w:hAnsi="Palatino Linotype" w:cs="Palatino Linotype"/>
          <w:sz w:val="22"/>
          <w:szCs w:val="22"/>
        </w:rPr>
      </w:pPr>
      <w:r w:rsidRPr="00FE3C5A">
        <w:rPr>
          <w:rFonts w:ascii="Palatino Linotype" w:eastAsia="Palatino Linotype" w:hAnsi="Palatino Linotype" w:cs="Palatino Linotype"/>
          <w:noProof/>
          <w:sz w:val="22"/>
          <w:szCs w:val="22"/>
        </w:rPr>
        <w:lastRenderedPageBreak/>
        <w:drawing>
          <wp:inline distT="0" distB="0" distL="0" distR="0" wp14:anchorId="0D9DCD76" wp14:editId="79DFDFB0">
            <wp:extent cx="4229690" cy="3591426"/>
            <wp:effectExtent l="0" t="0" r="0" b="0"/>
            <wp:docPr id="563968144"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6"/>
                    <a:srcRect/>
                    <a:stretch>
                      <a:fillRect/>
                    </a:stretch>
                  </pic:blipFill>
                  <pic:spPr>
                    <a:xfrm>
                      <a:off x="0" y="0"/>
                      <a:ext cx="4229690" cy="3591426"/>
                    </a:xfrm>
                    <a:prstGeom prst="rect">
                      <a:avLst/>
                    </a:prstGeom>
                    <a:ln/>
                  </pic:spPr>
                </pic:pic>
              </a:graphicData>
            </a:graphic>
          </wp:inline>
        </w:drawing>
      </w:r>
    </w:p>
    <w:p w14:paraId="722AC14D"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6D469C15"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Aunado a ello, en el tema de Rehabilitación Urbana, se observa que a través de las Direcciones de Desarrollo Urbano y Obras Públicas se realizaron acciones en materia de rehabilitación urbana para el beneficio de la comunidad, dentro de las cuales destacan la Construcción de barda en la casa del artesano y en la casa de cultura.</w:t>
      </w:r>
    </w:p>
    <w:p w14:paraId="48DECE3C"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269AB056"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Con base a lo anterior, podemos concluir que hay un indicio de que la información solicitada debe obrar en los archivos del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sirve de sustento a lo anterior las siguientes tesis jurisprudenciales:</w:t>
      </w:r>
    </w:p>
    <w:p w14:paraId="176B933C"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14FC1CEC" w14:textId="77777777" w:rsidR="007928C7" w:rsidRPr="00FE3C5A" w:rsidRDefault="000C530D">
      <w:pPr>
        <w:spacing w:line="360" w:lineRule="auto"/>
        <w:ind w:left="851" w:right="618"/>
        <w:jc w:val="center"/>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“HECHOS NOTORIOS. CONCEPTOS GENERAL Y JURÍDICO</w:t>
      </w:r>
    </w:p>
    <w:p w14:paraId="26EE3F16" w14:textId="77777777" w:rsidR="007928C7" w:rsidRPr="00FE3C5A" w:rsidRDefault="000C530D">
      <w:pPr>
        <w:spacing w:line="276" w:lineRule="auto"/>
        <w:ind w:left="851" w:right="618"/>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 xml:space="preserve">Conforme al artículo </w:t>
      </w:r>
      <w:hyperlink r:id="rId17">
        <w:r w:rsidRPr="00FE3C5A">
          <w:rPr>
            <w:rFonts w:ascii="Palatino Linotype" w:eastAsia="Palatino Linotype" w:hAnsi="Palatino Linotype" w:cs="Palatino Linotype"/>
            <w:b/>
            <w:i/>
            <w:sz w:val="22"/>
            <w:szCs w:val="22"/>
          </w:rPr>
          <w:t>88 del Código Federal de Procedimientos Civiles</w:t>
        </w:r>
      </w:hyperlink>
      <w:r w:rsidRPr="00FE3C5A">
        <w:rPr>
          <w:rFonts w:ascii="Palatino Linotype" w:eastAsia="Palatino Linotype" w:hAnsi="Palatino Linotype" w:cs="Palatino Linotype"/>
          <w:b/>
          <w:i/>
          <w:sz w:val="22"/>
          <w:szCs w:val="22"/>
        </w:rPr>
        <w:t xml:space="preserve"> los tribunales pueden invocar hechos </w:t>
      </w:r>
      <w:proofErr w:type="gramStart"/>
      <w:r w:rsidRPr="00FE3C5A">
        <w:rPr>
          <w:rFonts w:ascii="Palatino Linotype" w:eastAsia="Palatino Linotype" w:hAnsi="Palatino Linotype" w:cs="Palatino Linotype"/>
          <w:b/>
          <w:i/>
          <w:sz w:val="22"/>
          <w:szCs w:val="22"/>
        </w:rPr>
        <w:t>notorios</w:t>
      </w:r>
      <w:proofErr w:type="gramEnd"/>
      <w:r w:rsidRPr="00FE3C5A">
        <w:rPr>
          <w:rFonts w:ascii="Palatino Linotype" w:eastAsia="Palatino Linotype" w:hAnsi="Palatino Linotype" w:cs="Palatino Linotype"/>
          <w:b/>
          <w:i/>
          <w:sz w:val="22"/>
          <w:szCs w:val="22"/>
        </w:rPr>
        <w:t xml:space="preserve"> aunque no hayan sido alegados ni probados por las partes.</w:t>
      </w:r>
      <w:r w:rsidRPr="00FE3C5A">
        <w:rPr>
          <w:rFonts w:ascii="Palatino Linotype" w:eastAsia="Palatino Linotype" w:hAnsi="Palatino Linotype" w:cs="Palatino Linotype"/>
          <w:i/>
          <w:sz w:val="22"/>
          <w:szCs w:val="22"/>
        </w:rPr>
        <w:t xml:space="preserve"> Por hechos notorios deben entenderse, en general, </w:t>
      </w:r>
      <w:r w:rsidRPr="00FE3C5A">
        <w:rPr>
          <w:rFonts w:ascii="Palatino Linotype" w:eastAsia="Palatino Linotype" w:hAnsi="Palatino Linotype" w:cs="Palatino Linotype"/>
          <w:i/>
          <w:sz w:val="22"/>
          <w:szCs w:val="22"/>
        </w:rPr>
        <w:lastRenderedPageBreak/>
        <w:t>aquellos que por el conocimiento humano se consideran ciertos e indiscutibles, ya sea que pertenezcan a la historia, a la ciencia, a la naturaleza</w:t>
      </w:r>
      <w:r w:rsidRPr="00FE3C5A">
        <w:rPr>
          <w:rFonts w:ascii="Palatino Linotype" w:eastAsia="Palatino Linotype" w:hAnsi="Palatino Linotype" w:cs="Palatino Linotype"/>
          <w:b/>
          <w:i/>
          <w:sz w:val="22"/>
          <w:szCs w:val="22"/>
        </w:rPr>
        <w:t>, a las vicisitudes de la vida pública actual o a circunstancias comúnmente conocidas en un determinado lugar</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de modo que toda persona de ese medio esté en condiciones de saberlo</w:t>
      </w:r>
      <w:r w:rsidRPr="00FE3C5A">
        <w:rPr>
          <w:rFonts w:ascii="Palatino Linotype" w:eastAsia="Palatino Linotype" w:hAnsi="Palatino Linotype" w:cs="Palatino Linotype"/>
          <w:i/>
          <w:sz w:val="22"/>
          <w:szCs w:val="22"/>
        </w:rPr>
        <w:t>; y desde el punto de vista jurídico, hecho notorio es cualquier acontecimiento de dominio público conocido por todos o casi todos los miembros de un círculo social en el momento en que va a pronunciarse la decisión judicial, respecto del cual no hay duda ni discusión; de manera que al ser notorio la ley exime de su prueba, por ser del conocimiento público en el medio social donde ocurrió o donde se tramita el procedimiento.</w:t>
      </w:r>
    </w:p>
    <w:p w14:paraId="1CF6EF0F" w14:textId="77777777" w:rsidR="007928C7" w:rsidRPr="00FE3C5A" w:rsidRDefault="000C530D">
      <w:pPr>
        <w:spacing w:line="276" w:lineRule="auto"/>
        <w:ind w:left="851" w:right="618"/>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Controversia constitucional 24/2005. Cámara de Diputados del Congreso de la Unión. 9 de marzo de 2006. Once votos. Ponente: José Ramón Cossío Díaz. Secretarios: Raúl Manuel Mejía Garza y Laura Patricia Rojas Zamudio.</w:t>
      </w:r>
    </w:p>
    <w:p w14:paraId="483DD18A" w14:textId="77777777" w:rsidR="007928C7" w:rsidRPr="00FE3C5A" w:rsidRDefault="000C530D">
      <w:pPr>
        <w:spacing w:line="276" w:lineRule="auto"/>
        <w:ind w:left="851" w:right="618"/>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El Tribunal Pleno, el dieciséis de mayo en curso, aprobó, con el número 74/2006, la tesis jurisprudencial que antecede. México, Distrito Federal, a dieciséis de mayo de dos mil seis.</w:t>
      </w:r>
    </w:p>
    <w:p w14:paraId="069C72BA" w14:textId="77777777" w:rsidR="007928C7" w:rsidRPr="00FE3C5A" w:rsidRDefault="000C530D">
      <w:pPr>
        <w:spacing w:line="276" w:lineRule="auto"/>
        <w:ind w:left="851" w:right="618"/>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Nota: Esta tesis fue objeto de la denuncia relativa a la contradicción de tesis 91/2014, desechada por notoriamente improcedente, mediante acuerdo de 24 de marzo de 2014.”</w:t>
      </w:r>
    </w:p>
    <w:p w14:paraId="3AEA0A02"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3F8ED0A8" w14:textId="77777777" w:rsidR="007928C7" w:rsidRPr="00FE3C5A" w:rsidRDefault="000C530D">
      <w:pPr>
        <w:spacing w:line="360" w:lineRule="auto"/>
        <w:jc w:val="both"/>
        <w:rPr>
          <w:rFonts w:ascii="Palatino Linotype" w:eastAsia="Palatino Linotype" w:hAnsi="Palatino Linotype" w:cs="Palatino Linotype"/>
          <w:sz w:val="22"/>
          <w:szCs w:val="22"/>
        </w:rPr>
      </w:pPr>
      <w:bookmarkStart w:id="9" w:name="_heading=h.1ksv4uv" w:colFirst="0" w:colLast="0"/>
      <w:bookmarkEnd w:id="9"/>
      <w:r w:rsidRPr="00FE3C5A">
        <w:rPr>
          <w:rFonts w:ascii="Palatino Linotype" w:eastAsia="Palatino Linotype" w:hAnsi="Palatino Linotype" w:cs="Palatino Linotype"/>
          <w:sz w:val="22"/>
          <w:szCs w:val="22"/>
        </w:rPr>
        <w:t xml:space="preserve">De este modo y por lo anteriormente expuesto, se advierte que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sí ha llevado a cabo obras públicas en la Casa de Cultura del Ayuntamiento de Chapultepec; sin embargo, no se tiene certeza de que sean estas las únicas obras realizadas, durante el periodo solicitado; en consecuencia, resulta procedente ordenar, previa búsqueda exhaustiva y razonable, de las obras realizadas para la rehabilitación de la Casa de Cultura, la entrega del documento o documentos en donde conste el tiempo de ejecución, presupuesto destinado para su realización, fecha en que se entregó la obra y el nombre de las autoridades municipales que acudieron a la entrega, del primero de enero de dos mil veintidós al dieciocho de octubre de dos mil veinticuatro, de ser procedente en versión pública. </w:t>
      </w:r>
    </w:p>
    <w:p w14:paraId="64E7A661"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25E6BFEA" w14:textId="77777777" w:rsidR="007928C7" w:rsidRPr="00FE3C5A" w:rsidRDefault="000C530D">
      <w:pPr>
        <w:spacing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lastRenderedPageBreak/>
        <w:t xml:space="preserve">Quinto. Versión pública. </w:t>
      </w:r>
      <w:r w:rsidRPr="00FE3C5A">
        <w:rPr>
          <w:rFonts w:ascii="Palatino Linotype" w:eastAsia="Palatino Linotype" w:hAnsi="Palatino Linotype" w:cs="Palatino Linotype"/>
          <w:sz w:val="22"/>
          <w:szCs w:val="22"/>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sin menoscabar el derecho a la protección de los datos personales de terceros.</w:t>
      </w:r>
    </w:p>
    <w:p w14:paraId="205D4455" w14:textId="77777777" w:rsidR="007928C7" w:rsidRPr="00FE3C5A" w:rsidRDefault="000C530D">
      <w:pPr>
        <w:spacing w:before="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Lo anterior, de conformidad a lo que señalan los artículos 3, fracciones IX, XX, XXXII, XLV; 6, 137 y 143 fracción I, de la Ley de Transparencia y Acceso a la Información Pública del Estado de México y Municipios vigente, que se leen como sigue:</w:t>
      </w:r>
    </w:p>
    <w:p w14:paraId="35133FEE"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3E885924"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3. Para los efectos de la presente Ley se entenderá por:</w:t>
      </w:r>
    </w:p>
    <w:p w14:paraId="0FD07F1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IX. Datos personales:</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La información concerniente a una persona, identificada o identificable</w:t>
      </w:r>
      <w:r w:rsidRPr="00FE3C5A">
        <w:rPr>
          <w:rFonts w:ascii="Palatino Linotype" w:eastAsia="Palatino Linotype" w:hAnsi="Palatino Linotype" w:cs="Palatino Linotype"/>
          <w:i/>
          <w:sz w:val="22"/>
          <w:szCs w:val="22"/>
        </w:rPr>
        <w:t xml:space="preserve"> según lo dispuesto por la Ley de Protección de Datos Personales del Estado de México;</w:t>
      </w:r>
    </w:p>
    <w:p w14:paraId="4CA853F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XX. Información clasificada:</w:t>
      </w:r>
      <w:r w:rsidRPr="00FE3C5A">
        <w:rPr>
          <w:rFonts w:ascii="Palatino Linotype" w:eastAsia="Palatino Linotype" w:hAnsi="Palatino Linotype" w:cs="Palatino Linotype"/>
          <w:i/>
          <w:sz w:val="22"/>
          <w:szCs w:val="22"/>
        </w:rPr>
        <w:t xml:space="preserve"> Aquella considerada por la presente Ley como reservada o confidencial;</w:t>
      </w:r>
    </w:p>
    <w:p w14:paraId="70AB31C7"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XXXII. Protección de Datos Personales:</w:t>
      </w:r>
      <w:r w:rsidRPr="00FE3C5A">
        <w:rPr>
          <w:rFonts w:ascii="Palatino Linotype" w:eastAsia="Palatino Linotype" w:hAnsi="Palatino Linotype" w:cs="Palatino Linotype"/>
          <w:i/>
          <w:sz w:val="22"/>
          <w:szCs w:val="22"/>
        </w:rPr>
        <w:t xml:space="preserve"> Derecho humano que tutela la privacidad de datos personales en poder de los sujetos obligados y sujetos particulares;</w:t>
      </w:r>
    </w:p>
    <w:p w14:paraId="72A19ED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XLV. Versión pública</w:t>
      </w:r>
      <w:r w:rsidRPr="00FE3C5A">
        <w:rPr>
          <w:rFonts w:ascii="Palatino Linotype" w:eastAsia="Palatino Linotype" w:hAnsi="Palatino Linotype" w:cs="Palatino Linotype"/>
          <w:i/>
          <w:sz w:val="22"/>
          <w:szCs w:val="22"/>
        </w:rPr>
        <w:t>: Documento en el que se elimine, suprime o borra la información clasificada como reservada o confidencial para permitir su acceso.”</w:t>
      </w:r>
    </w:p>
    <w:p w14:paraId="3D56BE1F" w14:textId="77777777" w:rsidR="007928C7" w:rsidRPr="00FE3C5A" w:rsidRDefault="007928C7">
      <w:pPr>
        <w:spacing w:line="276" w:lineRule="auto"/>
        <w:ind w:left="851" w:right="616"/>
        <w:jc w:val="both"/>
        <w:rPr>
          <w:rFonts w:ascii="Palatino Linotype" w:eastAsia="Palatino Linotype" w:hAnsi="Palatino Linotype" w:cs="Palatino Linotype"/>
          <w:i/>
          <w:sz w:val="22"/>
          <w:szCs w:val="22"/>
        </w:rPr>
      </w:pPr>
    </w:p>
    <w:p w14:paraId="43C89164"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“Artículo 6.</w:t>
      </w:r>
      <w:r w:rsidRPr="00FE3C5A">
        <w:rPr>
          <w:rFonts w:ascii="Palatino Linotype" w:eastAsia="Palatino Linotype" w:hAnsi="Palatino Linotype" w:cs="Palatino Linotype"/>
          <w:i/>
          <w:sz w:val="22"/>
          <w:szCs w:val="22"/>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w:t>
      </w:r>
      <w:r w:rsidRPr="00FE3C5A">
        <w:rPr>
          <w:rFonts w:ascii="Palatino Linotype" w:eastAsia="Palatino Linotype" w:hAnsi="Palatino Linotype" w:cs="Palatino Linotype"/>
          <w:i/>
          <w:sz w:val="22"/>
          <w:szCs w:val="22"/>
        </w:rPr>
        <w:lastRenderedPageBreak/>
        <w:t>seguridad en el tratamiento y demás disposiciones en materia de datos personales, se deberá estar a lo dispuesto en las leyes de la materia.”</w:t>
      </w:r>
    </w:p>
    <w:p w14:paraId="007E72E9" w14:textId="77777777" w:rsidR="007928C7" w:rsidRPr="00FE3C5A" w:rsidRDefault="007928C7">
      <w:pPr>
        <w:spacing w:line="276" w:lineRule="auto"/>
        <w:ind w:left="851" w:right="616"/>
        <w:jc w:val="both"/>
        <w:rPr>
          <w:rFonts w:ascii="Palatino Linotype" w:eastAsia="Palatino Linotype" w:hAnsi="Palatino Linotype" w:cs="Palatino Linotype"/>
          <w:i/>
          <w:sz w:val="22"/>
          <w:szCs w:val="22"/>
        </w:rPr>
      </w:pPr>
    </w:p>
    <w:p w14:paraId="0E0B165C" w14:textId="77777777" w:rsidR="007928C7" w:rsidRPr="00FE3C5A" w:rsidRDefault="000C530D">
      <w:pPr>
        <w:spacing w:line="276" w:lineRule="auto"/>
        <w:ind w:left="851" w:right="616"/>
        <w:jc w:val="both"/>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“Artículo 137.</w:t>
      </w:r>
      <w:r w:rsidRPr="00FE3C5A">
        <w:rPr>
          <w:rFonts w:ascii="Palatino Linotype" w:eastAsia="Palatino Linotype" w:hAnsi="Palatino Linotype" w:cs="Palatino Linotype"/>
          <w:i/>
          <w:sz w:val="22"/>
          <w:szCs w:val="22"/>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5A65865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“Artículo 143</w:t>
      </w:r>
      <w:r w:rsidRPr="00FE3C5A">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03E072F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I.</w:t>
      </w:r>
      <w:r w:rsidRPr="00FE3C5A">
        <w:rPr>
          <w:rFonts w:ascii="Palatino Linotype" w:eastAsia="Palatino Linotype" w:hAnsi="Palatino Linotype" w:cs="Palatino Linotype"/>
          <w:i/>
          <w:sz w:val="22"/>
          <w:szCs w:val="22"/>
        </w:rPr>
        <w:t xml:space="preserve"> Se refiera a la información privada y los datos personales concernientes a una persona física o jurídica colectiva identificada o identificable;</w:t>
      </w:r>
    </w:p>
    <w:p w14:paraId="54A65EEB"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Los secretos bancario, fiduciario, industrial, comercial, fiscal, bursátil y postal, cuya titularidad corresponda a particulares, sujetos de derecho internacional o a sujetos obligados cuando no involucren el ejercicio de recursos públicos; y</w:t>
      </w:r>
    </w:p>
    <w:p w14:paraId="0D942F45"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III. La que presenten los particulares a los sujetos obligados, de conformidad con lo dispuesto por las leyes o los tratados internacionales.” </w:t>
      </w:r>
    </w:p>
    <w:p w14:paraId="08E63200" w14:textId="77777777" w:rsidR="007928C7" w:rsidRPr="00FE3C5A" w:rsidRDefault="007928C7">
      <w:pPr>
        <w:ind w:left="993" w:right="1041"/>
        <w:jc w:val="both"/>
        <w:rPr>
          <w:rFonts w:ascii="Palatino Linotype" w:eastAsia="Palatino Linotype" w:hAnsi="Palatino Linotype" w:cs="Palatino Linotype"/>
          <w:i/>
          <w:sz w:val="22"/>
          <w:szCs w:val="22"/>
        </w:rPr>
      </w:pPr>
    </w:p>
    <w:p w14:paraId="0218EBDE" w14:textId="77777777" w:rsidR="007928C7" w:rsidRPr="00FE3C5A" w:rsidRDefault="000C530D">
      <w:pPr>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deberá proceder a testar los datos personales que se encuentren contenidos en los documentos a entregar para satisfacer el derecho de acceso a la información pública de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111D4A2A"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2BB2EEAD" w14:textId="77777777" w:rsidR="007928C7" w:rsidRPr="00FE3C5A" w:rsidRDefault="000C530D">
      <w:pP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0A7B1CEC"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30113472" w14:textId="77777777" w:rsidR="007928C7" w:rsidRPr="00FE3C5A" w:rsidRDefault="000C530D">
      <w:pPr>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Por ende, la clasificación de la información no opera con la simple supresión de datos que se haga en los documentos de que se trate o con la simple decisión que tome el Servidor Público Habilitado o el </w:t>
      </w:r>
      <w:proofErr w:type="gramStart"/>
      <w:r w:rsidRPr="00FE3C5A">
        <w:rPr>
          <w:rFonts w:ascii="Palatino Linotype" w:eastAsia="Palatino Linotype" w:hAnsi="Palatino Linotype" w:cs="Palatino Linotype"/>
          <w:sz w:val="22"/>
          <w:szCs w:val="22"/>
        </w:rPr>
        <w:t>Responsable</w:t>
      </w:r>
      <w:proofErr w:type="gramEnd"/>
      <w:r w:rsidRPr="00FE3C5A">
        <w:rPr>
          <w:rFonts w:ascii="Palatino Linotype" w:eastAsia="Palatino Linotype" w:hAnsi="Palatino Linotype" w:cs="Palatino Linotype"/>
          <w:sz w:val="22"/>
          <w:szCs w:val="22"/>
        </w:rPr>
        <w:t xml:space="preserve"> de la Unidad de Transparencia del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sino que ello deberá realizarse en términos de lo que disponen los artículos 49 fracción VIII, 53, fracción X y 59, fracción V, de la Ley en consulta, cuyo sentido literal es el siguiente:</w:t>
      </w:r>
    </w:p>
    <w:p w14:paraId="1F15C16C"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20AA1511"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49.</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Los Comités de Transparencia</w:t>
      </w:r>
      <w:r w:rsidRPr="00FE3C5A">
        <w:rPr>
          <w:rFonts w:ascii="Palatino Linotype" w:eastAsia="Palatino Linotype" w:hAnsi="Palatino Linotype" w:cs="Palatino Linotype"/>
          <w:i/>
          <w:sz w:val="22"/>
          <w:szCs w:val="22"/>
        </w:rPr>
        <w:t xml:space="preserve"> tendrán las siguientes atribuciones:</w:t>
      </w:r>
    </w:p>
    <w:p w14:paraId="37F6F5EF"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VIII. Aprobar, modificar o revocar la clasificación de la información</w:t>
      </w:r>
      <w:r w:rsidRPr="00FE3C5A">
        <w:rPr>
          <w:rFonts w:ascii="Palatino Linotype" w:eastAsia="Palatino Linotype" w:hAnsi="Palatino Linotype" w:cs="Palatino Linotype"/>
          <w:i/>
          <w:sz w:val="22"/>
          <w:szCs w:val="22"/>
        </w:rPr>
        <w:t>…”</w:t>
      </w:r>
    </w:p>
    <w:p w14:paraId="1845939D"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53.</w:t>
      </w:r>
      <w:r w:rsidRPr="00FE3C5A">
        <w:rPr>
          <w:rFonts w:ascii="Palatino Linotype" w:eastAsia="Palatino Linotype" w:hAnsi="Palatino Linotype" w:cs="Palatino Linotype"/>
          <w:i/>
          <w:sz w:val="22"/>
          <w:szCs w:val="22"/>
        </w:rPr>
        <w:t xml:space="preserve"> Las </w:t>
      </w:r>
      <w:r w:rsidRPr="00FE3C5A">
        <w:rPr>
          <w:rFonts w:ascii="Palatino Linotype" w:eastAsia="Palatino Linotype" w:hAnsi="Palatino Linotype" w:cs="Palatino Linotype"/>
          <w:b/>
          <w:i/>
          <w:sz w:val="22"/>
          <w:szCs w:val="22"/>
        </w:rPr>
        <w:t>Unidades de Transparencia</w:t>
      </w:r>
      <w:r w:rsidRPr="00FE3C5A">
        <w:rPr>
          <w:rFonts w:ascii="Palatino Linotype" w:eastAsia="Palatino Linotype" w:hAnsi="Palatino Linotype" w:cs="Palatino Linotype"/>
          <w:i/>
          <w:sz w:val="22"/>
          <w:szCs w:val="22"/>
        </w:rPr>
        <w:t xml:space="preserve"> tendrán las siguientes </w:t>
      </w:r>
      <w:r w:rsidRPr="00FE3C5A">
        <w:rPr>
          <w:rFonts w:ascii="Palatino Linotype" w:eastAsia="Palatino Linotype" w:hAnsi="Palatino Linotype" w:cs="Palatino Linotype"/>
          <w:b/>
          <w:i/>
          <w:sz w:val="22"/>
          <w:szCs w:val="22"/>
        </w:rPr>
        <w:t>funciones</w:t>
      </w:r>
      <w:r w:rsidRPr="00FE3C5A">
        <w:rPr>
          <w:rFonts w:ascii="Palatino Linotype" w:eastAsia="Palatino Linotype" w:hAnsi="Palatino Linotype" w:cs="Palatino Linotype"/>
          <w:i/>
          <w:sz w:val="22"/>
          <w:szCs w:val="22"/>
        </w:rPr>
        <w:t>:</w:t>
      </w:r>
    </w:p>
    <w:p w14:paraId="403CB3F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X. Presentar ante el Comité, el proyecto de clasificación de información</w:t>
      </w:r>
      <w:r w:rsidRPr="00FE3C5A">
        <w:rPr>
          <w:rFonts w:ascii="Palatino Linotype" w:eastAsia="Palatino Linotype" w:hAnsi="Palatino Linotype" w:cs="Palatino Linotype"/>
          <w:i/>
          <w:sz w:val="22"/>
          <w:szCs w:val="22"/>
        </w:rPr>
        <w:t xml:space="preserve">…” </w:t>
      </w:r>
    </w:p>
    <w:p w14:paraId="73D01072"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“Artículo 59.</w:t>
      </w:r>
      <w:r w:rsidRPr="00FE3C5A">
        <w:rPr>
          <w:rFonts w:ascii="Palatino Linotype" w:eastAsia="Palatino Linotype" w:hAnsi="Palatino Linotype" w:cs="Palatino Linotype"/>
          <w:i/>
          <w:sz w:val="22"/>
          <w:szCs w:val="22"/>
        </w:rPr>
        <w:t xml:space="preserve"> Los </w:t>
      </w:r>
      <w:r w:rsidRPr="00FE3C5A">
        <w:rPr>
          <w:rFonts w:ascii="Palatino Linotype" w:eastAsia="Palatino Linotype" w:hAnsi="Palatino Linotype" w:cs="Palatino Linotype"/>
          <w:b/>
          <w:i/>
          <w:sz w:val="22"/>
          <w:szCs w:val="22"/>
        </w:rPr>
        <w:t>servidores públicos habilitados</w:t>
      </w:r>
      <w:r w:rsidRPr="00FE3C5A">
        <w:rPr>
          <w:rFonts w:ascii="Palatino Linotype" w:eastAsia="Palatino Linotype" w:hAnsi="Palatino Linotype" w:cs="Palatino Linotype"/>
          <w:i/>
          <w:sz w:val="22"/>
          <w:szCs w:val="22"/>
        </w:rPr>
        <w:t xml:space="preserve"> tendrán las </w:t>
      </w:r>
      <w:r w:rsidRPr="00FE3C5A">
        <w:rPr>
          <w:rFonts w:ascii="Palatino Linotype" w:eastAsia="Palatino Linotype" w:hAnsi="Palatino Linotype" w:cs="Palatino Linotype"/>
          <w:b/>
          <w:i/>
          <w:sz w:val="22"/>
          <w:szCs w:val="22"/>
        </w:rPr>
        <w:t>funciones</w:t>
      </w:r>
      <w:r w:rsidRPr="00FE3C5A">
        <w:rPr>
          <w:rFonts w:ascii="Palatino Linotype" w:eastAsia="Palatino Linotype" w:hAnsi="Palatino Linotype" w:cs="Palatino Linotype"/>
          <w:i/>
          <w:sz w:val="22"/>
          <w:szCs w:val="22"/>
        </w:rPr>
        <w:t xml:space="preserve"> siguientes:</w:t>
      </w:r>
    </w:p>
    <w:p w14:paraId="1013D4D6"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FE3C5A">
        <w:rPr>
          <w:rFonts w:ascii="Palatino Linotype" w:eastAsia="Palatino Linotype" w:hAnsi="Palatino Linotype" w:cs="Palatino Linotype"/>
          <w:i/>
          <w:sz w:val="22"/>
          <w:szCs w:val="22"/>
        </w:rPr>
        <w:t xml:space="preserve">, la cual tendrá los fundamentos y argumentos en que se basa dicha propuesta…” </w:t>
      </w:r>
    </w:p>
    <w:p w14:paraId="63D8CD1D" w14:textId="77777777" w:rsidR="007928C7" w:rsidRPr="00FE3C5A" w:rsidRDefault="007928C7">
      <w:pPr>
        <w:spacing w:line="360" w:lineRule="auto"/>
        <w:ind w:left="992" w:right="1043"/>
        <w:jc w:val="both"/>
        <w:rPr>
          <w:rFonts w:ascii="Palatino Linotype" w:eastAsia="Palatino Linotype" w:hAnsi="Palatino Linotype" w:cs="Palatino Linotype"/>
          <w:i/>
          <w:sz w:val="22"/>
          <w:szCs w:val="22"/>
        </w:rPr>
      </w:pPr>
    </w:p>
    <w:p w14:paraId="0F41B44B"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66AE6428"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4B45343D"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38F1DC9B"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31A8F4FC" w14:textId="77777777" w:rsidR="007928C7" w:rsidRPr="00FE3C5A" w:rsidRDefault="000C530D">
      <w:pPr>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149.</w:t>
      </w:r>
      <w:r w:rsidRPr="00FE3C5A">
        <w:rPr>
          <w:rFonts w:ascii="Palatino Linotype" w:eastAsia="Palatino Linotype" w:hAnsi="Palatino Linotype" w:cs="Palatino Linotype"/>
          <w:i/>
          <w:sz w:val="22"/>
          <w:szCs w:val="22"/>
        </w:rPr>
        <w:t xml:space="preserve"> El </w:t>
      </w:r>
      <w:r w:rsidRPr="00FE3C5A">
        <w:rPr>
          <w:rFonts w:ascii="Palatino Linotype" w:eastAsia="Palatino Linotype" w:hAnsi="Palatino Linotype" w:cs="Palatino Linotype"/>
          <w:b/>
          <w:i/>
          <w:sz w:val="22"/>
          <w:szCs w:val="22"/>
        </w:rPr>
        <w:t>acuerdo que clasifique la información como confidencial</w:t>
      </w:r>
      <w:r w:rsidRPr="00FE3C5A">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w:t>
      </w:r>
    </w:p>
    <w:p w14:paraId="39CB36BF" w14:textId="77777777" w:rsidR="007928C7" w:rsidRPr="00FE3C5A" w:rsidRDefault="007928C7">
      <w:pPr>
        <w:spacing w:line="360" w:lineRule="auto"/>
        <w:ind w:right="51"/>
        <w:jc w:val="both"/>
        <w:rPr>
          <w:rFonts w:ascii="Palatino Linotype" w:eastAsia="Palatino Linotype" w:hAnsi="Palatino Linotype" w:cs="Palatino Linotype"/>
          <w:i/>
          <w:sz w:val="22"/>
          <w:szCs w:val="22"/>
        </w:rPr>
      </w:pPr>
    </w:p>
    <w:p w14:paraId="44001700" w14:textId="77777777" w:rsidR="007928C7" w:rsidRPr="00FE3C5A" w:rsidRDefault="000C530D">
      <w:pPr>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Es decir, el</w:t>
      </w:r>
      <w:r w:rsidRPr="00FE3C5A">
        <w:rPr>
          <w:rFonts w:ascii="Palatino Linotype" w:eastAsia="Palatino Linotype" w:hAnsi="Palatino Linotype" w:cs="Palatino Linotype"/>
          <w:b/>
          <w:sz w:val="22"/>
          <w:szCs w:val="22"/>
        </w:rPr>
        <w:t xml:space="preserve"> Sujeto Obligado</w:t>
      </w:r>
      <w:r w:rsidRPr="00FE3C5A">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527F3E21"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767F5DBD" w14:textId="77777777" w:rsidR="007928C7" w:rsidRPr="00FE3C5A" w:rsidRDefault="000C530D">
      <w:pPr>
        <w:pBdr>
          <w:top w:val="nil"/>
          <w:left w:val="nil"/>
          <w:bottom w:val="nil"/>
          <w:right w:val="nil"/>
          <w:between w:val="nil"/>
        </w:pBd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Respecto del </w:t>
      </w:r>
      <w:r w:rsidRPr="00FE3C5A">
        <w:rPr>
          <w:rFonts w:ascii="Palatino Linotype" w:eastAsia="Palatino Linotype" w:hAnsi="Palatino Linotype" w:cs="Palatino Linotype"/>
          <w:b/>
          <w:sz w:val="22"/>
          <w:szCs w:val="22"/>
        </w:rPr>
        <w:t>nombre de las personas físicas</w:t>
      </w:r>
      <w:r w:rsidRPr="00FE3C5A">
        <w:rPr>
          <w:rFonts w:ascii="Palatino Linotype" w:eastAsia="Palatino Linotype" w:hAnsi="Palatino Linotype" w:cs="Palatino Linotype"/>
          <w:sz w:val="22"/>
          <w:szCs w:val="22"/>
        </w:rPr>
        <w:t xml:space="preserve"> o los </w:t>
      </w:r>
      <w:r w:rsidRPr="00FE3C5A">
        <w:rPr>
          <w:rFonts w:ascii="Palatino Linotype" w:eastAsia="Palatino Linotype" w:hAnsi="Palatino Linotype" w:cs="Palatino Linotype"/>
          <w:b/>
          <w:sz w:val="22"/>
          <w:szCs w:val="22"/>
        </w:rPr>
        <w:t>representantes legales de las personas morales</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en su calidad de proveedores, contratistas o prestadores de servicios, y la firma y rúbrica de estos</w:t>
      </w:r>
      <w:r w:rsidRPr="00FE3C5A">
        <w:rPr>
          <w:rFonts w:ascii="Palatino Linotype" w:eastAsia="Palatino Linotype" w:hAnsi="Palatino Linotype" w:cs="Palatino Linotype"/>
          <w:sz w:val="22"/>
          <w:szCs w:val="22"/>
        </w:rPr>
        <w:t>, que participen en algún  proceso de adjudicación en cualquiera de sus modalidades, los entes públicos tienen la obligación de difundir toda aquella información relativa a los montos y las personas a quienes entreguen, por cualquier motivo, recursos públicos, así como los informes que dichas personas entreguen sobre el uso y destino de dichos recursos, motivo por el cual los datos del representante legal de la persona moral que resultó favorecida con el procedimiento de licitación no conservan el carácter de confidencial y por tanto no deben ser testados.</w:t>
      </w:r>
    </w:p>
    <w:p w14:paraId="0F3C0F21" w14:textId="77777777" w:rsidR="007928C7" w:rsidRPr="00FE3C5A" w:rsidRDefault="007928C7">
      <w:pPr>
        <w:pBdr>
          <w:top w:val="nil"/>
          <w:left w:val="nil"/>
          <w:bottom w:val="nil"/>
          <w:right w:val="nil"/>
          <w:between w:val="nil"/>
        </w:pBdr>
        <w:spacing w:line="360" w:lineRule="auto"/>
        <w:ind w:right="50"/>
        <w:jc w:val="both"/>
        <w:rPr>
          <w:rFonts w:ascii="Palatino Linotype" w:eastAsia="Palatino Linotype" w:hAnsi="Palatino Linotype" w:cs="Palatino Linotype"/>
          <w:sz w:val="22"/>
          <w:szCs w:val="22"/>
        </w:rPr>
      </w:pPr>
    </w:p>
    <w:p w14:paraId="0E1D1505" w14:textId="77777777" w:rsidR="007928C7" w:rsidRPr="00FE3C5A" w:rsidRDefault="000C530D">
      <w:pPr>
        <w:pBdr>
          <w:top w:val="nil"/>
          <w:left w:val="nil"/>
          <w:bottom w:val="nil"/>
          <w:right w:val="nil"/>
          <w:between w:val="nil"/>
        </w:pBd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Argumentación que guarda sustento en lo estipulado por el artículo 23 de la Ley de Transparencia y Acceso a la Información Pública del Estado de México y Municipios en su penúltimo párrafo, mismo que es del tenor literal siguiente:</w:t>
      </w:r>
    </w:p>
    <w:p w14:paraId="0CBC24DB" w14:textId="77777777" w:rsidR="007928C7" w:rsidRPr="00FE3C5A" w:rsidRDefault="007928C7">
      <w:pPr>
        <w:pBdr>
          <w:top w:val="nil"/>
          <w:left w:val="nil"/>
          <w:bottom w:val="nil"/>
          <w:right w:val="nil"/>
          <w:between w:val="nil"/>
        </w:pBdr>
        <w:spacing w:line="360" w:lineRule="auto"/>
        <w:ind w:right="50"/>
        <w:jc w:val="both"/>
        <w:rPr>
          <w:rFonts w:ascii="Palatino Linotype" w:eastAsia="Palatino Linotype" w:hAnsi="Palatino Linotype" w:cs="Palatino Linotype"/>
          <w:sz w:val="22"/>
          <w:szCs w:val="22"/>
        </w:rPr>
      </w:pPr>
    </w:p>
    <w:p w14:paraId="28DE9657" w14:textId="77777777" w:rsidR="007928C7" w:rsidRPr="00FE3C5A" w:rsidRDefault="000C530D">
      <w:pPr>
        <w:pBdr>
          <w:top w:val="nil"/>
          <w:left w:val="nil"/>
          <w:bottom w:val="nil"/>
          <w:right w:val="nil"/>
          <w:between w:val="nil"/>
        </w:pBdr>
        <w:spacing w:after="120"/>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Artículo 23.</w:t>
      </w:r>
      <w:r w:rsidRPr="00FE3C5A">
        <w:rPr>
          <w:rFonts w:ascii="Palatino Linotype" w:eastAsia="Palatino Linotype" w:hAnsi="Palatino Linotype" w:cs="Palatino Linotype"/>
          <w:i/>
          <w:sz w:val="22"/>
          <w:szCs w:val="22"/>
        </w:rPr>
        <w:t xml:space="preserve"> (…)</w:t>
      </w:r>
    </w:p>
    <w:p w14:paraId="7E3A4498" w14:textId="77777777" w:rsidR="007928C7" w:rsidRPr="00FE3C5A" w:rsidRDefault="000C530D">
      <w:pPr>
        <w:pBdr>
          <w:top w:val="nil"/>
          <w:left w:val="nil"/>
          <w:bottom w:val="nil"/>
          <w:right w:val="nil"/>
          <w:between w:val="nil"/>
        </w:pBdr>
        <w:spacing w:before="120" w:after="120"/>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Los sujetos obligados deberán hacer pública toda aquella información relativa a los montos y las personas a quienes entreguen, por cualquier motivo, recursos públicos, así como los informes que dichas personas les entreguen sobre el uso y destino de dichos recursos.”</w:t>
      </w:r>
    </w:p>
    <w:p w14:paraId="1C6675E1" w14:textId="77777777" w:rsidR="007928C7" w:rsidRPr="00FE3C5A" w:rsidRDefault="000C530D">
      <w:pPr>
        <w:pBdr>
          <w:top w:val="nil"/>
          <w:left w:val="nil"/>
          <w:bottom w:val="nil"/>
          <w:right w:val="nil"/>
          <w:between w:val="nil"/>
        </w:pBdr>
        <w:spacing w:before="280" w:after="28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Asimismo, resulta aplicable el contenido del criterio de interpretación 01/19 emitido por el Instituto Nacional de Transparencia, Acceso a la Información, y Protección de Datos Personales, INAI, que lleva por rubro y texto los siguientes</w:t>
      </w:r>
    </w:p>
    <w:p w14:paraId="21C4F98E"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Datos de identificación del representante o apoderado legal.</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 xml:space="preserve">Naturaleza jurídica. El nombre, la </w:t>
      </w:r>
      <w:r w:rsidRPr="00FE3C5A">
        <w:rPr>
          <w:rFonts w:ascii="Palatino Linotype" w:eastAsia="Palatino Linotype" w:hAnsi="Palatino Linotype" w:cs="Palatino Linotype"/>
          <w:b/>
          <w:i/>
          <w:sz w:val="22"/>
          <w:szCs w:val="22"/>
          <w:u w:val="single"/>
        </w:rPr>
        <w:t>firma y la rúbrica</w:t>
      </w:r>
      <w:r w:rsidRPr="00FE3C5A">
        <w:rPr>
          <w:rFonts w:ascii="Palatino Linotype" w:eastAsia="Palatino Linotype" w:hAnsi="Palatino Linotype" w:cs="Palatino Linotype"/>
          <w:i/>
          <w:sz w:val="22"/>
          <w:szCs w:val="22"/>
        </w:rPr>
        <w:t xml:space="preserve"> de una persona física, que actúe como representante o apoderado legal de un tercero que haya celebrado un acto jurídico, con algún sujeto obligado, </w:t>
      </w:r>
      <w:r w:rsidRPr="00FE3C5A">
        <w:rPr>
          <w:rFonts w:ascii="Palatino Linotype" w:eastAsia="Palatino Linotype" w:hAnsi="Palatino Linotype" w:cs="Palatino Linotype"/>
          <w:b/>
          <w:i/>
          <w:sz w:val="22"/>
          <w:szCs w:val="22"/>
          <w:u w:val="single"/>
        </w:rPr>
        <w:t>es información pública</w:t>
      </w:r>
      <w:r w:rsidRPr="00FE3C5A">
        <w:rPr>
          <w:rFonts w:ascii="Palatino Linotype" w:eastAsia="Palatino Linotype" w:hAnsi="Palatino Linotype" w:cs="Palatino Linotype"/>
          <w:b/>
          <w:i/>
          <w:sz w:val="22"/>
          <w:szCs w:val="22"/>
        </w:rPr>
        <w:t>, en razón de que tales datos fueron proporcionados con el objeto de expresar el consentimiento obligacional del tercero y otorgar validez a dicho instrumento jurídico</w:t>
      </w:r>
      <w:r w:rsidRPr="00FE3C5A">
        <w:rPr>
          <w:rFonts w:ascii="Palatino Linotype" w:eastAsia="Palatino Linotype" w:hAnsi="Palatino Linotype" w:cs="Palatino Linotype"/>
          <w:i/>
          <w:sz w:val="22"/>
          <w:szCs w:val="22"/>
        </w:rPr>
        <w:t>.”</w:t>
      </w:r>
    </w:p>
    <w:p w14:paraId="1CA674A3"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38D53F99"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Por cuanto hace al </w:t>
      </w:r>
      <w:r w:rsidRPr="00FE3C5A">
        <w:rPr>
          <w:rFonts w:ascii="Palatino Linotype" w:eastAsia="Palatino Linotype" w:hAnsi="Palatino Linotype" w:cs="Palatino Linotype"/>
          <w:b/>
          <w:sz w:val="22"/>
          <w:szCs w:val="22"/>
        </w:rPr>
        <w:t>número de cuenta bancaria de los particulares</w:t>
      </w:r>
      <w:r w:rsidRPr="00FE3C5A">
        <w:rPr>
          <w:rFonts w:ascii="Palatino Linotype" w:eastAsia="Palatino Linotype" w:hAnsi="Palatino Linotype" w:cs="Palatino Linotype"/>
          <w:sz w:val="22"/>
          <w:szCs w:val="22"/>
        </w:rPr>
        <w:t xml:space="preserve"> debe ser clasificado como confidencial con fundamento en las fracciones I y II del artículo 143 de la Ley de la Materia de la Entidad; en razón de que, con su difusión se estaría poniendo en riesgo la seguridad de su titular.</w:t>
      </w:r>
    </w:p>
    <w:p w14:paraId="67F594C4" w14:textId="77777777" w:rsidR="007928C7" w:rsidRPr="00FE3C5A" w:rsidRDefault="007928C7">
      <w:pPr>
        <w:spacing w:line="360" w:lineRule="auto"/>
        <w:ind w:right="50"/>
        <w:jc w:val="both"/>
        <w:rPr>
          <w:rFonts w:ascii="Palatino Linotype" w:eastAsia="Palatino Linotype" w:hAnsi="Palatino Linotype" w:cs="Palatino Linotype"/>
          <w:sz w:val="22"/>
          <w:szCs w:val="22"/>
        </w:rPr>
      </w:pPr>
    </w:p>
    <w:p w14:paraId="53590848" w14:textId="77777777" w:rsidR="007928C7" w:rsidRPr="00FE3C5A" w:rsidRDefault="000C530D">
      <w:pPr>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Además de que, la publicidad de los números de cuenta bancaria de los particulares en nada contribuye a la rendición de cuentas, sino por el contrario, dar a conocer los números de las cuentas bancarias hace vulnerable a las personas físicas, al abrir la posibilidad de que terceros que cuenten con las posibilidades tecnológicas y/o económicas puedan realizar </w:t>
      </w:r>
      <w:r w:rsidRPr="00FE3C5A">
        <w:rPr>
          <w:rFonts w:ascii="Palatino Linotype" w:eastAsia="Palatino Linotype" w:hAnsi="Palatino Linotype" w:cs="Palatino Linotype"/>
          <w:sz w:val="22"/>
          <w:szCs w:val="22"/>
        </w:rPr>
        <w:lastRenderedPageBreak/>
        <w:t xml:space="preserve">actos ilícitos mediante operaciones cibernéticas; en esa virtud, este Instituto determina que dicha información no puede ser del dominio público, toda vez que se podría dar un uso inadecuado a la misma o cometer algún ilícito o fraude en contra del patrimonio de los particulares. </w:t>
      </w:r>
    </w:p>
    <w:p w14:paraId="199F8D46" w14:textId="77777777" w:rsidR="007928C7" w:rsidRPr="00FE3C5A" w:rsidRDefault="007928C7">
      <w:pPr>
        <w:spacing w:line="360" w:lineRule="auto"/>
        <w:ind w:right="51"/>
        <w:jc w:val="both"/>
        <w:rPr>
          <w:rFonts w:ascii="Palatino Linotype" w:eastAsia="Palatino Linotype" w:hAnsi="Palatino Linotype" w:cs="Palatino Linotype"/>
          <w:sz w:val="22"/>
          <w:szCs w:val="22"/>
        </w:rPr>
      </w:pPr>
    </w:p>
    <w:p w14:paraId="18FB651D" w14:textId="77777777" w:rsidR="007928C7" w:rsidRPr="00FE3C5A" w:rsidRDefault="000C530D">
      <w:pP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Lo anterior encuentra sustento en el criterio 10/17 emitido por el Instituto Nacional de Transparencia y Acceso a la Información Pública del Estado de México y Municipios, que a la letra dicen:</w:t>
      </w:r>
    </w:p>
    <w:p w14:paraId="7F62C33A" w14:textId="77777777" w:rsidR="007928C7" w:rsidRPr="00FE3C5A" w:rsidRDefault="007928C7">
      <w:pPr>
        <w:spacing w:line="360" w:lineRule="auto"/>
        <w:ind w:right="50"/>
        <w:jc w:val="both"/>
        <w:rPr>
          <w:rFonts w:ascii="Palatino Linotype" w:eastAsia="Palatino Linotype" w:hAnsi="Palatino Linotype" w:cs="Palatino Linotype"/>
          <w:sz w:val="22"/>
          <w:szCs w:val="22"/>
        </w:rPr>
      </w:pPr>
    </w:p>
    <w:p w14:paraId="0AE88308"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Cuentas bancarias y/o CLABE interbancaria de personas físicas y morales privadas.</w:t>
      </w:r>
      <w:r w:rsidRPr="00FE3C5A">
        <w:rPr>
          <w:rFonts w:ascii="Palatino Linotype" w:eastAsia="Palatino Linotype" w:hAnsi="Palatino Linotype" w:cs="Palatino Linotype"/>
          <w:i/>
          <w:sz w:val="22"/>
          <w:szCs w:val="22"/>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fundamento en los artículos 116 de la Ley General de Transparencia y Acceso a la Información Pública y 113 de la Ley Federal de Transparencia y Acceso a la Información Pública.”</w:t>
      </w:r>
    </w:p>
    <w:p w14:paraId="14F7803B" w14:textId="77777777" w:rsidR="007928C7" w:rsidRPr="00FE3C5A" w:rsidRDefault="007928C7">
      <w:pPr>
        <w:ind w:left="851" w:right="899"/>
        <w:jc w:val="center"/>
        <w:rPr>
          <w:rFonts w:ascii="Palatino Linotype" w:eastAsia="Palatino Linotype" w:hAnsi="Palatino Linotype" w:cs="Palatino Linotype"/>
          <w:b/>
          <w:i/>
          <w:sz w:val="22"/>
          <w:szCs w:val="22"/>
        </w:rPr>
      </w:pPr>
    </w:p>
    <w:p w14:paraId="75FF255B" w14:textId="77777777" w:rsidR="007928C7" w:rsidRPr="00FE3C5A" w:rsidRDefault="000C530D">
      <w:pP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Ahora bien, por cuanto hace a las cuentas bancarias de los Sujetos obligados, dicha información no puede considerarse como confidencial, pues la difusión de dichas cuentas o claves interbancarias, favorecen a la rendición de cuentas; ello tiene sustento en el criterio 11/17, emitido por el Instituto Nacional de Transparencia y Acceso a la Información Pública del Estado de México y Municipios, el cual para mayor referencia se inserta a continuación:</w:t>
      </w:r>
    </w:p>
    <w:p w14:paraId="584910AA" w14:textId="77777777" w:rsidR="007928C7" w:rsidRPr="00FE3C5A" w:rsidRDefault="007928C7">
      <w:pPr>
        <w:spacing w:line="360" w:lineRule="auto"/>
        <w:ind w:right="50"/>
        <w:jc w:val="both"/>
        <w:rPr>
          <w:rFonts w:ascii="Palatino Linotype" w:eastAsia="Palatino Linotype" w:hAnsi="Palatino Linotype" w:cs="Palatino Linotype"/>
          <w:sz w:val="22"/>
          <w:szCs w:val="22"/>
        </w:rPr>
      </w:pPr>
    </w:p>
    <w:p w14:paraId="0611264C" w14:textId="77777777" w:rsidR="007928C7" w:rsidRPr="00FE3C5A" w:rsidRDefault="000C530D">
      <w:pP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w:t>
      </w:r>
      <w:r w:rsidRPr="00FE3C5A">
        <w:rPr>
          <w:rFonts w:ascii="Palatino Linotype" w:eastAsia="Palatino Linotype" w:hAnsi="Palatino Linotype" w:cs="Palatino Linotype"/>
          <w:b/>
          <w:i/>
          <w:sz w:val="22"/>
          <w:szCs w:val="22"/>
        </w:rPr>
        <w:t>Cuentas bancarias y/o CLABE interbancaria de sujetos obligados que reciben y/o transfieren recursos públicos, son información pública.</w:t>
      </w:r>
      <w:r w:rsidRPr="00FE3C5A">
        <w:rPr>
          <w:rFonts w:ascii="Palatino Linotype" w:eastAsia="Palatino Linotype" w:hAnsi="Palatino Linotype" w:cs="Palatino Linotype"/>
          <w:i/>
          <w:sz w:val="22"/>
          <w:szCs w:val="22"/>
        </w:rPr>
        <w:t xml:space="preserve"> La difusión de las cuentas bancarias y claves interbancarias pertenecientes a un sujeto obligado favorece la rendición de cuentas al transparentar la forma en que se </w:t>
      </w:r>
      <w:r w:rsidRPr="00FE3C5A">
        <w:rPr>
          <w:rFonts w:ascii="Palatino Linotype" w:eastAsia="Palatino Linotype" w:hAnsi="Palatino Linotype" w:cs="Palatino Linotype"/>
          <w:i/>
          <w:sz w:val="22"/>
          <w:szCs w:val="22"/>
        </w:rPr>
        <w:lastRenderedPageBreak/>
        <w:t>administran los recursos públicos, razón por la cual no pueden considerarse como información clasificada. “</w:t>
      </w:r>
    </w:p>
    <w:p w14:paraId="5AF6F199" w14:textId="77777777" w:rsidR="007928C7" w:rsidRPr="00FE3C5A" w:rsidRDefault="007928C7">
      <w:pPr>
        <w:spacing w:line="360" w:lineRule="auto"/>
        <w:ind w:left="851" w:right="1134"/>
        <w:jc w:val="both"/>
        <w:rPr>
          <w:rFonts w:ascii="Palatino Linotype" w:eastAsia="Palatino Linotype" w:hAnsi="Palatino Linotype" w:cs="Palatino Linotype"/>
          <w:i/>
          <w:sz w:val="22"/>
          <w:szCs w:val="22"/>
        </w:rPr>
      </w:pPr>
    </w:p>
    <w:p w14:paraId="4E9F5911" w14:textId="77777777" w:rsidR="007928C7" w:rsidRPr="00FE3C5A" w:rsidRDefault="000C530D">
      <w:pP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Sobre el </w:t>
      </w:r>
      <w:r w:rsidRPr="00FE3C5A">
        <w:rPr>
          <w:rFonts w:ascii="Palatino Linotype" w:eastAsia="Palatino Linotype" w:hAnsi="Palatino Linotype" w:cs="Palatino Linotype"/>
          <w:b/>
          <w:sz w:val="22"/>
          <w:szCs w:val="22"/>
        </w:rPr>
        <w:t>RFC</w:t>
      </w:r>
      <w:r w:rsidRPr="00FE3C5A">
        <w:rPr>
          <w:rFonts w:ascii="Palatino Linotype" w:eastAsia="Palatino Linotype" w:hAnsi="Palatino Linotype" w:cs="Palatino Linotype"/>
          <w:sz w:val="22"/>
          <w:szCs w:val="22"/>
        </w:rPr>
        <w:t>, dada la naturaleza de la información que se ordena, es importante resaltar que, si bien este Instituto ha sostenido que el RFC y domicilio de las personas físicas debe ser testado por los Sujetos Obligados, en las versiones públicas de los documentos que elaboren para atender las solicitudes de información pública, lo cierto es que tratándose de proveedores, prestadores de servicios o contratistas, dichos datos no deben ser suprimidos de las facturas y contratos que vayan a ser entregados.</w:t>
      </w:r>
    </w:p>
    <w:p w14:paraId="5228BCE3" w14:textId="77777777" w:rsidR="007928C7" w:rsidRPr="00FE3C5A" w:rsidRDefault="007928C7">
      <w:pPr>
        <w:spacing w:line="360" w:lineRule="auto"/>
        <w:ind w:right="50"/>
        <w:jc w:val="both"/>
        <w:rPr>
          <w:rFonts w:ascii="Palatino Linotype" w:eastAsia="Palatino Linotype" w:hAnsi="Palatino Linotype" w:cs="Palatino Linotype"/>
          <w:sz w:val="22"/>
          <w:szCs w:val="22"/>
        </w:rPr>
      </w:pPr>
    </w:p>
    <w:p w14:paraId="7FE336E3" w14:textId="77777777" w:rsidR="007928C7" w:rsidRPr="00FE3C5A" w:rsidRDefault="000C530D">
      <w:pP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Ello se debe a que, del ejercicio de ponderación entre el derecho a la protección de datos personales con el derecho de acceso a la información pública, es de mayor trascendencia el que cualquier persona pueda conocer en qué se gastan los recursos públicos, puesto que se trata de erogaciones que realiza un órgano del Estado con base en los recursos que encuentran su origen en mayor medida en las contribuciones aportados por los gobernados, por lo que debe transparentarse su ejercicio.</w:t>
      </w:r>
    </w:p>
    <w:p w14:paraId="4ABDAE48" w14:textId="77777777" w:rsidR="007928C7" w:rsidRPr="00FE3C5A" w:rsidRDefault="000C530D">
      <w:pPr>
        <w:spacing w:line="360" w:lineRule="auto"/>
        <w:ind w:right="50"/>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Además, las personas físicas que realicen las actividades contratadas por las instituciones, renuncian implícitamente a una parte de su derecho a la intimidad al obtener beneficios y lucros de los recursos públicos por dicha contratación, por lo que no puede considerarse como información clasificada lo relativo a su nombre, registro federal de contribuyentes y domicilio fiscal, atento a que dicha información es la que puede generar certeza en los gobernados en que se está ejerciendo debidamente el presupuesto.</w:t>
      </w:r>
    </w:p>
    <w:p w14:paraId="69D3D7E5" w14:textId="77777777" w:rsidR="007928C7" w:rsidRPr="00FE3C5A" w:rsidRDefault="007928C7">
      <w:pPr>
        <w:spacing w:line="360" w:lineRule="auto"/>
        <w:ind w:right="50"/>
        <w:jc w:val="both"/>
        <w:rPr>
          <w:rFonts w:ascii="Palatino Linotype" w:eastAsia="Palatino Linotype" w:hAnsi="Palatino Linotype" w:cs="Palatino Linotype"/>
          <w:sz w:val="22"/>
          <w:szCs w:val="22"/>
        </w:rPr>
      </w:pPr>
    </w:p>
    <w:p w14:paraId="7F0E60ED"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Al respecto, se destaca que la versión pública que elabore el</w:t>
      </w:r>
      <w:r w:rsidRPr="00FE3C5A">
        <w:rPr>
          <w:rFonts w:ascii="Palatino Linotype" w:eastAsia="Palatino Linotype" w:hAnsi="Palatino Linotype" w:cs="Palatino Linotype"/>
          <w:b/>
          <w:sz w:val="22"/>
          <w:szCs w:val="22"/>
        </w:rPr>
        <w:t xml:space="preserve"> Sujeto Obligado</w:t>
      </w:r>
      <w:r w:rsidRPr="00FE3C5A">
        <w:rPr>
          <w:rFonts w:ascii="Palatino Linotype" w:eastAsia="Palatino Linotype" w:hAnsi="Palatino Linotype" w:cs="Palatino Linotype"/>
          <w:sz w:val="22"/>
          <w:szCs w:val="22"/>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w:t>
      </w:r>
      <w:r w:rsidRPr="00FE3C5A">
        <w:rPr>
          <w:rFonts w:ascii="Palatino Linotype" w:eastAsia="Palatino Linotype" w:hAnsi="Palatino Linotype" w:cs="Palatino Linotype"/>
          <w:sz w:val="22"/>
          <w:szCs w:val="22"/>
        </w:rPr>
        <w:lastRenderedPageBreak/>
        <w:t xml:space="preserve">cabalmente con las formalidades previstas en el artículo 137 de la Ley de Transparencia y Acceso a la Información Pública del Estado de México y Municipios, ya expuesto; así como con los numerales aplicables de los </w:t>
      </w:r>
      <w:r w:rsidRPr="00FE3C5A">
        <w:rPr>
          <w:rFonts w:ascii="Palatino Linotype" w:eastAsia="Palatino Linotype" w:hAnsi="Palatino Linotype" w:cs="Palatino Linotype"/>
          <w:b/>
          <w:sz w:val="22"/>
          <w:szCs w:val="22"/>
        </w:rPr>
        <w:t>LINEAMIENTOS GENERALES EN MATERIA DE CLASIFICACIÓN Y DESCLASIFICACIÓN DE LA INFORMACIÓN, ASÍ COMO PARA LA ELABORACIÓN DE VERSIONES PÚBLICAS</w:t>
      </w:r>
      <w:r w:rsidRPr="00FE3C5A">
        <w:rPr>
          <w:rFonts w:ascii="Palatino Linotype" w:eastAsia="Palatino Linotype" w:hAnsi="Palatino Linotype" w:cs="Palatino Linotype"/>
          <w:sz w:val="22"/>
          <w:szCs w:val="22"/>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65A96426" w14:textId="77777777" w:rsidR="007928C7" w:rsidRPr="00FE3C5A" w:rsidRDefault="007928C7">
      <w:pPr>
        <w:ind w:left="709" w:right="709"/>
        <w:jc w:val="both"/>
        <w:rPr>
          <w:rFonts w:ascii="Palatino Linotype" w:eastAsia="Palatino Linotype" w:hAnsi="Palatino Linotype" w:cs="Palatino Linotype"/>
          <w:b/>
          <w:i/>
          <w:sz w:val="22"/>
          <w:szCs w:val="22"/>
        </w:rPr>
      </w:pPr>
    </w:p>
    <w:p w14:paraId="2E73EFFB"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“Lineamientos Generales en materia de Clasificación y Desclasificación de la Información, así como para la elaboración de Versiones Públicas</w:t>
      </w:r>
    </w:p>
    <w:p w14:paraId="30CA326C"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w:t>
      </w:r>
      <w:proofErr w:type="gramStart"/>
      <w:r w:rsidRPr="00FE3C5A">
        <w:rPr>
          <w:rFonts w:ascii="Palatino Linotype" w:eastAsia="Palatino Linotype" w:hAnsi="Palatino Linotype" w:cs="Palatino Linotype"/>
          <w:b/>
          <w:i/>
          <w:sz w:val="22"/>
          <w:szCs w:val="22"/>
        </w:rPr>
        <w:t>Segundo.-</w:t>
      </w:r>
      <w:proofErr w:type="gramEnd"/>
      <w:r w:rsidRPr="00FE3C5A">
        <w:rPr>
          <w:rFonts w:ascii="Palatino Linotype" w:eastAsia="Palatino Linotype" w:hAnsi="Palatino Linotype" w:cs="Palatino Linotype"/>
          <w:i/>
          <w:sz w:val="22"/>
          <w:szCs w:val="22"/>
        </w:rPr>
        <w:t xml:space="preserve"> Para efectos de los presentes Lineamientos Generales, se entenderá por:</w:t>
      </w:r>
    </w:p>
    <w:p w14:paraId="57FD2297"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XVIII.</w:t>
      </w:r>
      <w:r w:rsidRPr="00FE3C5A">
        <w:rPr>
          <w:rFonts w:ascii="Palatino Linotype" w:eastAsia="Palatino Linotype" w:hAnsi="Palatino Linotype" w:cs="Palatino Linotype"/>
          <w:i/>
          <w:sz w:val="22"/>
          <w:szCs w:val="22"/>
        </w:rPr>
        <w:t xml:space="preserve"> </w:t>
      </w:r>
      <w:r w:rsidRPr="00FE3C5A">
        <w:rPr>
          <w:rFonts w:ascii="Palatino Linotype" w:eastAsia="Palatino Linotype" w:hAnsi="Palatino Linotype" w:cs="Palatino Linotype"/>
          <w:b/>
          <w:i/>
          <w:sz w:val="22"/>
          <w:szCs w:val="22"/>
        </w:rPr>
        <w:t>Versión pública:</w:t>
      </w:r>
      <w:r w:rsidRPr="00FE3C5A">
        <w:rPr>
          <w:rFonts w:ascii="Palatino Linotype" w:eastAsia="Palatino Linotype" w:hAnsi="Palatino Linotype" w:cs="Palatino Linotype"/>
          <w:i/>
          <w:sz w:val="22"/>
          <w:szCs w:val="22"/>
        </w:rPr>
        <w:t xml:space="preserve"> El documento a partir del que se otorga acceso a la información, en el que se testan partes o secciones clasificadas, indicando el contenido de éstas de manera genérica, </w:t>
      </w:r>
      <w:r w:rsidRPr="00FE3C5A">
        <w:rPr>
          <w:rFonts w:ascii="Palatino Linotype" w:eastAsia="Palatino Linotype" w:hAnsi="Palatino Linotype" w:cs="Palatino Linotype"/>
          <w:b/>
          <w:i/>
          <w:sz w:val="22"/>
          <w:szCs w:val="22"/>
          <w:u w:val="single"/>
        </w:rPr>
        <w:t>fundando y motivando la</w:t>
      </w:r>
      <w:r w:rsidRPr="00FE3C5A">
        <w:rPr>
          <w:rFonts w:ascii="Palatino Linotype" w:eastAsia="Palatino Linotype" w:hAnsi="Palatino Linotype" w:cs="Palatino Linotype"/>
          <w:i/>
          <w:sz w:val="22"/>
          <w:szCs w:val="22"/>
        </w:rPr>
        <w:t xml:space="preserve"> reserva o </w:t>
      </w:r>
      <w:r w:rsidRPr="00FE3C5A">
        <w:rPr>
          <w:rFonts w:ascii="Palatino Linotype" w:eastAsia="Palatino Linotype" w:hAnsi="Palatino Linotype" w:cs="Palatino Linotype"/>
          <w:b/>
          <w:i/>
          <w:sz w:val="22"/>
          <w:szCs w:val="22"/>
          <w:u w:val="single"/>
        </w:rPr>
        <w:t>confidencialidad</w:t>
      </w:r>
      <w:r w:rsidRPr="00FE3C5A">
        <w:rPr>
          <w:rFonts w:ascii="Palatino Linotype" w:eastAsia="Palatino Linotype" w:hAnsi="Palatino Linotype" w:cs="Palatino Linotype"/>
          <w:i/>
          <w:sz w:val="22"/>
          <w:szCs w:val="22"/>
        </w:rPr>
        <w:t>, a través de la resolución que para tal efecto emita el Comité de Transparencia.</w:t>
      </w:r>
    </w:p>
    <w:p w14:paraId="2524CE07"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Cuarto.</w:t>
      </w:r>
      <w:r w:rsidRPr="00FE3C5A">
        <w:rPr>
          <w:rFonts w:ascii="Palatino Linotype" w:eastAsia="Palatino Linotype" w:hAnsi="Palatino Linotype" w:cs="Palatino Linotype"/>
          <w:i/>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1000ADD9"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Los sujetos obligados deberán aplicar, de manera estricta, las excepciones al derecho de acceso a la información y sólo podrán invocarlas cuando acrediten su procedencia.</w:t>
      </w:r>
    </w:p>
    <w:p w14:paraId="051A265E"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Quinto.</w:t>
      </w:r>
      <w:r w:rsidRPr="00FE3C5A">
        <w:rPr>
          <w:rFonts w:ascii="Palatino Linotype" w:eastAsia="Palatino Linotype" w:hAnsi="Palatino Linotype" w:cs="Palatino Linotype"/>
          <w:i/>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573E9108"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lastRenderedPageBreak/>
        <w:t>…</w:t>
      </w:r>
    </w:p>
    <w:p w14:paraId="164EB22E"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Séptimo.</w:t>
      </w:r>
      <w:r w:rsidRPr="00FE3C5A">
        <w:rPr>
          <w:rFonts w:ascii="Palatino Linotype" w:eastAsia="Palatino Linotype" w:hAnsi="Palatino Linotype" w:cs="Palatino Linotype"/>
          <w:i/>
          <w:sz w:val="22"/>
          <w:szCs w:val="22"/>
        </w:rPr>
        <w:t xml:space="preserve"> La clasificación de la información se llevará a cabo en el momento en que:</w:t>
      </w:r>
    </w:p>
    <w:p w14:paraId="6416531E"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I.</w:t>
      </w:r>
      <w:r w:rsidRPr="00FE3C5A">
        <w:rPr>
          <w:rFonts w:ascii="Palatino Linotype" w:eastAsia="Palatino Linotype" w:hAnsi="Palatino Linotype" w:cs="Palatino Linotype"/>
          <w:i/>
          <w:sz w:val="22"/>
          <w:szCs w:val="22"/>
        </w:rPr>
        <w:t xml:space="preserve"> Se reciba una solicitud de acceso a la información;</w:t>
      </w:r>
    </w:p>
    <w:p w14:paraId="477F9FE2"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II.</w:t>
      </w:r>
      <w:r w:rsidRPr="00FE3C5A">
        <w:rPr>
          <w:rFonts w:ascii="Palatino Linotype" w:eastAsia="Palatino Linotype" w:hAnsi="Palatino Linotype" w:cs="Palatino Linotype"/>
          <w:i/>
          <w:sz w:val="22"/>
          <w:szCs w:val="22"/>
        </w:rPr>
        <w:t xml:space="preserve"> </w:t>
      </w:r>
      <w:proofErr w:type="gramStart"/>
      <w:r w:rsidRPr="00FE3C5A">
        <w:rPr>
          <w:rFonts w:ascii="Palatino Linotype" w:eastAsia="Palatino Linotype" w:hAnsi="Palatino Linotype" w:cs="Palatino Linotype"/>
          <w:i/>
          <w:sz w:val="22"/>
          <w:szCs w:val="22"/>
        </w:rPr>
        <w:t>Se  determine</w:t>
      </w:r>
      <w:proofErr w:type="gramEnd"/>
      <w:r w:rsidRPr="00FE3C5A">
        <w:rPr>
          <w:rFonts w:ascii="Palatino Linotype" w:eastAsia="Palatino Linotype" w:hAnsi="Palatino Linotype" w:cs="Palatino Linotype"/>
          <w:i/>
          <w:sz w:val="22"/>
          <w:szCs w:val="22"/>
        </w:rPr>
        <w:t xml:space="preserve"> mediante resolución del Comité de Transparencia, el órgano garante </w:t>
      </w:r>
    </w:p>
    <w:p w14:paraId="06256FDB"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competente, o en cumplimiento a una sentencia del Poder Judicial; o</w:t>
      </w:r>
    </w:p>
    <w:p w14:paraId="6540D45C"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III.</w:t>
      </w:r>
      <w:r w:rsidRPr="00FE3C5A">
        <w:rPr>
          <w:rFonts w:ascii="Palatino Linotype" w:eastAsia="Palatino Linotype" w:hAnsi="Palatino Linotype" w:cs="Palatino Linotype"/>
          <w:i/>
          <w:sz w:val="22"/>
          <w:szCs w:val="22"/>
        </w:rPr>
        <w:t xml:space="preserve"> Se generen versiones públicas para dar cumplimiento a las obligaciones de transparencia previstas en la Ley General, la Ley Federal y las correspondientes de las entidades federativas.</w:t>
      </w:r>
    </w:p>
    <w:p w14:paraId="031FC948"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Los titulares de las áreas deberán revisar la clasificación al momento de la recepción de una solicitud de acceso a la información, para verificar si encuadra en una causal de reserva o de confidencialidad.</w:t>
      </w:r>
    </w:p>
    <w:p w14:paraId="75798C4B"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Octavo.</w:t>
      </w:r>
      <w:r w:rsidRPr="00FE3C5A">
        <w:rPr>
          <w:rFonts w:ascii="Palatino Linotype" w:eastAsia="Palatino Linotype" w:hAnsi="Palatino Linotype" w:cs="Palatino Linotype"/>
          <w:i/>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530821D8"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Para motivar la clasificación se deberán señalar las razones o circunstancias especiales que lo llevaron a concluir que el caso particular se ajusta al supuesto previsto por la norma legal invocada como fundamento.</w:t>
      </w:r>
    </w:p>
    <w:p w14:paraId="7A072AF7"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00083B39"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Noveno.</w:t>
      </w:r>
      <w:r w:rsidRPr="00FE3C5A">
        <w:rPr>
          <w:rFonts w:ascii="Palatino Linotype" w:eastAsia="Palatino Linotype" w:hAnsi="Palatino Linotype" w:cs="Palatino Linotype"/>
          <w:i/>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56D4A5FD"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Décimo.</w:t>
      </w:r>
      <w:r w:rsidRPr="00FE3C5A">
        <w:rPr>
          <w:rFonts w:ascii="Palatino Linotype" w:eastAsia="Palatino Linotype" w:hAnsi="Palatino Linotype" w:cs="Palatino Linotype"/>
          <w:i/>
          <w:sz w:val="22"/>
          <w:szCs w:val="22"/>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36F0C22A"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lastRenderedPageBreak/>
        <w:t>En ausencia de los titulares de las áreas, la información será clasificada o desclasificada por la persona que lo supla, en términos de la normativa que rija la actuación del sujeto obligado.</w:t>
      </w:r>
    </w:p>
    <w:p w14:paraId="4D5591E9"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Décimo primero.</w:t>
      </w:r>
      <w:r w:rsidRPr="00FE3C5A">
        <w:rPr>
          <w:rFonts w:ascii="Palatino Linotype" w:eastAsia="Palatino Linotype" w:hAnsi="Palatino Linotype" w:cs="Palatino Linotype"/>
          <w:i/>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66CB6A83" w14:textId="77777777" w:rsidR="007928C7" w:rsidRPr="00FE3C5A" w:rsidRDefault="007928C7">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p>
    <w:p w14:paraId="24C21FBF"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w:t>
      </w:r>
    </w:p>
    <w:p w14:paraId="4648BB67" w14:textId="77777777" w:rsidR="007928C7" w:rsidRPr="00FE3C5A" w:rsidRDefault="000C530D">
      <w:pPr>
        <w:pBdr>
          <w:top w:val="nil"/>
          <w:left w:val="nil"/>
          <w:bottom w:val="nil"/>
          <w:right w:val="nil"/>
          <w:between w:val="nil"/>
        </w:pBdr>
        <w:spacing w:line="276" w:lineRule="auto"/>
        <w:ind w:left="851" w:right="616"/>
        <w:jc w:val="center"/>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CAPÍTULO VIII</w:t>
      </w:r>
    </w:p>
    <w:p w14:paraId="6F4A302A" w14:textId="77777777" w:rsidR="007928C7" w:rsidRPr="00FE3C5A" w:rsidRDefault="000C530D">
      <w:pPr>
        <w:pBdr>
          <w:top w:val="nil"/>
          <w:left w:val="nil"/>
          <w:bottom w:val="nil"/>
          <w:right w:val="nil"/>
          <w:between w:val="nil"/>
        </w:pBdr>
        <w:spacing w:line="276" w:lineRule="auto"/>
        <w:ind w:left="851" w:right="616"/>
        <w:jc w:val="center"/>
        <w:rPr>
          <w:rFonts w:ascii="Palatino Linotype" w:eastAsia="Palatino Linotype" w:hAnsi="Palatino Linotype" w:cs="Palatino Linotype"/>
          <w:b/>
          <w:i/>
          <w:sz w:val="22"/>
          <w:szCs w:val="22"/>
        </w:rPr>
      </w:pPr>
      <w:r w:rsidRPr="00FE3C5A">
        <w:rPr>
          <w:rFonts w:ascii="Palatino Linotype" w:eastAsia="Palatino Linotype" w:hAnsi="Palatino Linotype" w:cs="Palatino Linotype"/>
          <w:b/>
          <w:i/>
          <w:sz w:val="22"/>
          <w:szCs w:val="22"/>
        </w:rPr>
        <w:t>DE LOS ELEMENTOS PARA LA CLASIFICACIÓN</w:t>
      </w:r>
    </w:p>
    <w:p w14:paraId="0C269B9E"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Quincuagésimo</w:t>
      </w:r>
      <w:r w:rsidRPr="00FE3C5A">
        <w:rPr>
          <w:rFonts w:ascii="Palatino Linotype" w:eastAsia="Palatino Linotype" w:hAnsi="Palatino Linotype" w:cs="Palatino Linotype"/>
          <w:i/>
          <w:sz w:val="22"/>
          <w:szCs w:val="22"/>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402CC6A7"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t>Quincuagésimo primero</w:t>
      </w:r>
      <w:r w:rsidRPr="00FE3C5A">
        <w:rPr>
          <w:rFonts w:ascii="Palatino Linotype" w:eastAsia="Palatino Linotype" w:hAnsi="Palatino Linotype" w:cs="Palatino Linotype"/>
          <w:i/>
          <w:sz w:val="22"/>
          <w:szCs w:val="22"/>
        </w:rPr>
        <w:t>. Toda acta del Comité de Transparencia deberá contener:</w:t>
      </w:r>
    </w:p>
    <w:p w14:paraId="10CDCEBC"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I. El número de sesión y fecha; </w:t>
      </w:r>
    </w:p>
    <w:p w14:paraId="4280C283"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El nombre del área que solicitó la clasificación de información;</w:t>
      </w:r>
    </w:p>
    <w:p w14:paraId="60B2E89D"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La fundamentación legal y motivación correspondiente;</w:t>
      </w:r>
    </w:p>
    <w:p w14:paraId="4A92C4BF"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IV. La resolución o resoluciones aprobadas; y</w:t>
      </w:r>
    </w:p>
    <w:p w14:paraId="7B92BAEF"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V. La rúbrica o firma digital de cada integrante del Comité de Transparencia. </w:t>
      </w:r>
    </w:p>
    <w:p w14:paraId="471A6413"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Las resoluciones del Comité en las que se haya determinado confirmar o modificar la clasificación de información pública como reservada, deberán incluir, cuando menos:</w:t>
      </w:r>
    </w:p>
    <w:p w14:paraId="5A7E137A"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 Los motivos y razonamientos que sustenten la confirmación o modificación de la prueba de daño;</w:t>
      </w:r>
    </w:p>
    <w:p w14:paraId="31BE22B6"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Descripción de las partes o secciones reservadas, en caso de clasificación parcial;</w:t>
      </w:r>
    </w:p>
    <w:p w14:paraId="66466F77"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El periodo por el que mantendrá su clasificación y fecha de expiración; y</w:t>
      </w:r>
    </w:p>
    <w:p w14:paraId="372F0FC8"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IV. El nombre del titular y área encargada de realizar la versión pública del documento, en su caso.</w:t>
      </w:r>
    </w:p>
    <w:p w14:paraId="237D468C"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En los casos en que se clasifique la información como reservada siempre se entregará o anexará la prueba de daño con la respuesta al solicitante. </w:t>
      </w:r>
    </w:p>
    <w:p w14:paraId="18082900"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En los casos de resoluciones del Comité de Transparencia en las que se confirme la clasificación de información confidencial solo se deberán de identificar los tipos de datos protegidos, de conformidad con el lineamiento trigésimo octavo.</w:t>
      </w:r>
    </w:p>
    <w:p w14:paraId="0C19AB10"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b/>
          <w:i/>
          <w:sz w:val="22"/>
          <w:szCs w:val="22"/>
        </w:rPr>
        <w:lastRenderedPageBreak/>
        <w:t>Quincuagésimo segundo</w:t>
      </w:r>
      <w:r w:rsidRPr="00FE3C5A">
        <w:rPr>
          <w:rFonts w:ascii="Palatino Linotype" w:eastAsia="Palatino Linotype" w:hAnsi="Palatino Linotype" w:cs="Palatino Linotype"/>
          <w:i/>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4FC431EB"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En el caso específico de la clasificación y elaboración de versiones públicas de documentos que contengan información confidencial, las áreas de los sujetos obligados deberán:</w:t>
      </w:r>
    </w:p>
    <w:p w14:paraId="34BBEB8C"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 Fijar la fecha en que se elaboró la versión pública y la fecha en la cual el Comité de Transparencia confirmó dicha versión;</w:t>
      </w:r>
    </w:p>
    <w:p w14:paraId="28483845"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 Señalar dentro del documento el tipo de información confidencial que fue testada en cada caso específico, de conformidad con el lineamiento trigésimo octavo; y</w:t>
      </w:r>
    </w:p>
    <w:p w14:paraId="75A383CF"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III. Señalar las personas o instancias autorizadas a acceder a la información clasificada.</w:t>
      </w:r>
    </w:p>
    <w:p w14:paraId="1D0486C0"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En los documentos de difusión electrónica, señalar en la primera hoja y en el nombre del archivo, que la versión pública corresponde a un documento que contiene información confidencial.</w:t>
      </w:r>
    </w:p>
    <w:p w14:paraId="51B2329D"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i/>
          <w:sz w:val="22"/>
          <w:szCs w:val="22"/>
        </w:rPr>
        <w:t>…</w:t>
      </w:r>
    </w:p>
    <w:p w14:paraId="3C4C9A16"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Quincuagésimo cuarto. 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p>
    <w:p w14:paraId="61C00ACB" w14:textId="77777777" w:rsidR="007928C7" w:rsidRPr="00FE3C5A" w:rsidRDefault="000C530D">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i/>
          <w:sz w:val="22"/>
          <w:szCs w:val="22"/>
        </w:rPr>
        <w:t xml:space="preserve">Quincuagésimo quinto. Cada área del sujeto obligado podrá designar formalmente a una o más personas como responsables del </w:t>
      </w:r>
      <w:proofErr w:type="spellStart"/>
      <w:r w:rsidRPr="00FE3C5A">
        <w:rPr>
          <w:rFonts w:ascii="Palatino Linotype" w:eastAsia="Palatino Linotype" w:hAnsi="Palatino Linotype" w:cs="Palatino Linotype"/>
          <w:i/>
          <w:sz w:val="22"/>
          <w:szCs w:val="22"/>
        </w:rPr>
        <w:t>testado</w:t>
      </w:r>
      <w:proofErr w:type="spellEnd"/>
      <w:r w:rsidRPr="00FE3C5A">
        <w:rPr>
          <w:rFonts w:ascii="Palatino Linotype" w:eastAsia="Palatino Linotype" w:hAnsi="Palatino Linotype" w:cs="Palatino Linotype"/>
          <w:i/>
          <w:sz w:val="22"/>
          <w:szCs w:val="22"/>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w:t>
      </w:r>
    </w:p>
    <w:p w14:paraId="1F6AEE8E" w14:textId="77777777" w:rsidR="007928C7" w:rsidRPr="00FE3C5A" w:rsidRDefault="007928C7">
      <w:pPr>
        <w:jc w:val="both"/>
        <w:rPr>
          <w:rFonts w:ascii="Palatino Linotype" w:eastAsia="Palatino Linotype" w:hAnsi="Palatino Linotype" w:cs="Palatino Linotype"/>
          <w:sz w:val="22"/>
          <w:szCs w:val="22"/>
        </w:rPr>
      </w:pPr>
    </w:p>
    <w:p w14:paraId="644E8B23" w14:textId="77777777" w:rsidR="007928C7" w:rsidRPr="00FE3C5A" w:rsidRDefault="000C530D">
      <w:pPr>
        <w:spacing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Efectivamente, cuando se clasifica información como confidencial es importante someterlo al Comité de Transparencia, quien debe confirmar, modificar o revocar la clasificación.</w:t>
      </w:r>
    </w:p>
    <w:p w14:paraId="343C977B" w14:textId="77777777" w:rsidR="007928C7" w:rsidRPr="00FE3C5A" w:rsidRDefault="007928C7">
      <w:pPr>
        <w:spacing w:line="360" w:lineRule="auto"/>
        <w:jc w:val="both"/>
        <w:rPr>
          <w:rFonts w:ascii="Palatino Linotype" w:eastAsia="Palatino Linotype" w:hAnsi="Palatino Linotype" w:cs="Palatino Linotype"/>
          <w:sz w:val="22"/>
          <w:szCs w:val="22"/>
        </w:rPr>
      </w:pPr>
    </w:p>
    <w:p w14:paraId="138C1464" w14:textId="77777777" w:rsidR="007928C7" w:rsidRPr="00FE3C5A" w:rsidRDefault="000C530D">
      <w:pPr>
        <w:shd w:val="clear" w:color="auto" w:fill="FFFFFF"/>
        <w:spacing w:line="360" w:lineRule="auto"/>
        <w:ind w:right="51"/>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lastRenderedPageBreak/>
        <w:t xml:space="preserve">Por lo tanto, la entrega de documentos en su versión pública debe acompañarse necesariamente del Acuerdo del Comité de Transparencia que la sustente, en el que se 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sidRPr="00FE3C5A">
        <w:rPr>
          <w:rFonts w:ascii="Palatino Linotype" w:eastAsia="Palatino Linotype" w:hAnsi="Palatino Linotype" w:cs="Palatino Linotype"/>
          <w:b/>
          <w:sz w:val="22"/>
          <w:szCs w:val="22"/>
        </w:rPr>
        <w:t>LA PARTE</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w:t>
      </w:r>
    </w:p>
    <w:p w14:paraId="7FF6F779" w14:textId="77777777" w:rsidR="007928C7" w:rsidRPr="00FE3C5A" w:rsidRDefault="007928C7">
      <w:pPr>
        <w:spacing w:line="360" w:lineRule="auto"/>
        <w:ind w:right="49"/>
        <w:jc w:val="both"/>
        <w:rPr>
          <w:rFonts w:ascii="Palatino Linotype" w:eastAsia="Palatino Linotype" w:hAnsi="Palatino Linotype" w:cs="Palatino Linotype"/>
          <w:sz w:val="22"/>
          <w:szCs w:val="22"/>
        </w:rPr>
      </w:pPr>
    </w:p>
    <w:p w14:paraId="4080D12C" w14:textId="77777777" w:rsidR="007928C7" w:rsidRPr="00FE3C5A" w:rsidRDefault="000C530D">
      <w:pPr>
        <w:spacing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 xml:space="preserve">Es así como, en mérito de lo expuesto en líneas anteriores, resultan fundadas las razones o motivos de inconformidad hechos valer por la parte </w:t>
      </w:r>
      <w:r w:rsidRPr="00FE3C5A">
        <w:rPr>
          <w:rFonts w:ascii="Palatino Linotype" w:eastAsia="Palatino Linotype" w:hAnsi="Palatino Linotype" w:cs="Palatino Linotype"/>
          <w:b/>
          <w:sz w:val="22"/>
          <w:szCs w:val="22"/>
        </w:rPr>
        <w:t>Recurrente</w:t>
      </w:r>
      <w:r w:rsidRPr="00FE3C5A">
        <w:rPr>
          <w:rFonts w:ascii="Palatino Linotype" w:eastAsia="Palatino Linotype" w:hAnsi="Palatino Linotype" w:cs="Palatino Linotype"/>
          <w:sz w:val="22"/>
          <w:szCs w:val="22"/>
        </w:rPr>
        <w:t xml:space="preserve"> dentro del recurso de revisión </w:t>
      </w:r>
      <w:r w:rsidRPr="00FE3C5A">
        <w:rPr>
          <w:rFonts w:ascii="Palatino Linotype" w:eastAsia="Palatino Linotype" w:hAnsi="Palatino Linotype" w:cs="Palatino Linotype"/>
          <w:b/>
          <w:sz w:val="22"/>
          <w:szCs w:val="22"/>
        </w:rPr>
        <w:t>07319/INFOEM/IP/RR/2024</w:t>
      </w:r>
      <w:r w:rsidRPr="00FE3C5A">
        <w:rPr>
          <w:rFonts w:ascii="Palatino Linotype" w:eastAsia="Palatino Linotype" w:hAnsi="Palatino Linotype" w:cs="Palatino Linotype"/>
          <w:sz w:val="22"/>
          <w:szCs w:val="22"/>
        </w:rPr>
        <w:t xml:space="preserve">; por ello, y con fundamento en la fracción IV del numeral 186 de la Ley de Transparencia y Acceso a la Información Pública del Estado de México y Municipios, por lo que se </w:t>
      </w:r>
      <w:r w:rsidRPr="00FE3C5A">
        <w:rPr>
          <w:rFonts w:ascii="Palatino Linotype" w:eastAsia="Palatino Linotype" w:hAnsi="Palatino Linotype" w:cs="Palatino Linotype"/>
          <w:b/>
          <w:sz w:val="22"/>
          <w:szCs w:val="22"/>
        </w:rPr>
        <w:t xml:space="preserve">Revoca </w:t>
      </w:r>
      <w:r w:rsidRPr="00FE3C5A">
        <w:rPr>
          <w:rFonts w:ascii="Palatino Linotype" w:eastAsia="Palatino Linotype" w:hAnsi="Palatino Linotype" w:cs="Palatino Linotype"/>
          <w:sz w:val="22"/>
          <w:szCs w:val="22"/>
        </w:rPr>
        <w:t xml:space="preserve">la respuesta del </w:t>
      </w:r>
      <w:r w:rsidRPr="00FE3C5A">
        <w:rPr>
          <w:rFonts w:ascii="Palatino Linotype" w:eastAsia="Palatino Linotype" w:hAnsi="Palatino Linotype" w:cs="Palatino Linotype"/>
          <w:b/>
          <w:sz w:val="22"/>
          <w:szCs w:val="22"/>
        </w:rPr>
        <w:t xml:space="preserve">Sujeto Obligado </w:t>
      </w:r>
      <w:r w:rsidRPr="00FE3C5A">
        <w:rPr>
          <w:rFonts w:ascii="Palatino Linotype" w:eastAsia="Palatino Linotype" w:hAnsi="Palatino Linotype" w:cs="Palatino Linotype"/>
          <w:sz w:val="22"/>
          <w:szCs w:val="22"/>
        </w:rPr>
        <w:t xml:space="preserve">a la solicitud de información </w:t>
      </w:r>
      <w:r w:rsidRPr="00FE3C5A">
        <w:rPr>
          <w:rFonts w:ascii="Palatino Linotype" w:eastAsia="Palatino Linotype" w:hAnsi="Palatino Linotype" w:cs="Palatino Linotype"/>
          <w:b/>
          <w:sz w:val="22"/>
          <w:szCs w:val="22"/>
        </w:rPr>
        <w:t>00091/CHAPULTE/IP/2024.</w:t>
      </w:r>
      <w:r w:rsidRPr="00FE3C5A">
        <w:rPr>
          <w:rFonts w:ascii="Palatino Linotype" w:eastAsia="Palatino Linotype" w:hAnsi="Palatino Linotype" w:cs="Palatino Linotype"/>
          <w:sz w:val="22"/>
          <w:szCs w:val="22"/>
        </w:rPr>
        <w:t xml:space="preserve"> </w:t>
      </w:r>
    </w:p>
    <w:p w14:paraId="28E55456" w14:textId="1B0738F6" w:rsidR="007928C7" w:rsidRPr="00FE3C5A" w:rsidRDefault="000C530D">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sz w:val="22"/>
          <w:szCs w:val="22"/>
        </w:rPr>
        <w:t>Así, con fundamento en lo prescrito en los artículos 5 párrafos trigésimo segundo, trigésimo tercero y trigésimo cuarto de la Constitución Política del Estado Libre y Soberano de México; 2, fracción II; 29, 36 fracciones I y II; 176, 178, 181, 185 y 186 fracción II de la Ley de Transparencia y Acceso a la Información Pública del Estado de México y Municipios, este Pleno:</w:t>
      </w:r>
    </w:p>
    <w:p w14:paraId="7F20E6D1" w14:textId="77777777" w:rsidR="00FE3C5A" w:rsidRPr="00FE3C5A" w:rsidRDefault="00FE3C5A">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p>
    <w:p w14:paraId="00E1286F" w14:textId="77777777" w:rsidR="007928C7" w:rsidRPr="00FE3C5A" w:rsidRDefault="000C530D">
      <w:pPr>
        <w:pBdr>
          <w:top w:val="nil"/>
          <w:left w:val="nil"/>
          <w:bottom w:val="nil"/>
          <w:right w:val="nil"/>
          <w:between w:val="nil"/>
        </w:pBdr>
        <w:spacing w:before="240" w:after="240" w:line="360" w:lineRule="auto"/>
        <w:jc w:val="center"/>
        <w:rPr>
          <w:rFonts w:ascii="Palatino Linotype" w:eastAsia="Palatino Linotype" w:hAnsi="Palatino Linotype" w:cs="Palatino Linotype"/>
          <w:b/>
          <w:sz w:val="22"/>
          <w:szCs w:val="22"/>
        </w:rPr>
      </w:pPr>
      <w:bookmarkStart w:id="10" w:name="_heading=h.ijv98pntcd5s" w:colFirst="0" w:colLast="0"/>
      <w:bookmarkEnd w:id="10"/>
      <w:r w:rsidRPr="00FE3C5A">
        <w:rPr>
          <w:rFonts w:ascii="Palatino Linotype" w:eastAsia="Palatino Linotype" w:hAnsi="Palatino Linotype" w:cs="Palatino Linotype"/>
          <w:b/>
          <w:sz w:val="22"/>
          <w:szCs w:val="22"/>
        </w:rPr>
        <w:lastRenderedPageBreak/>
        <w:t>III. R E S U E L V E</w:t>
      </w:r>
    </w:p>
    <w:p w14:paraId="58D8DED9"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bookmarkStart w:id="11" w:name="_heading=h.26in1rg" w:colFirst="0" w:colLast="0"/>
      <w:bookmarkEnd w:id="11"/>
      <w:r w:rsidRPr="00FE3C5A">
        <w:rPr>
          <w:rFonts w:ascii="Palatino Linotype" w:eastAsia="Palatino Linotype" w:hAnsi="Palatino Linotype" w:cs="Palatino Linotype"/>
          <w:b/>
          <w:sz w:val="22"/>
          <w:szCs w:val="22"/>
        </w:rPr>
        <w:t xml:space="preserve">Primero. </w:t>
      </w:r>
      <w:r w:rsidRPr="00FE3C5A">
        <w:rPr>
          <w:rFonts w:ascii="Palatino Linotype" w:eastAsia="Palatino Linotype" w:hAnsi="Palatino Linotype" w:cs="Palatino Linotype"/>
          <w:sz w:val="22"/>
          <w:szCs w:val="22"/>
        </w:rPr>
        <w:t xml:space="preserve">Resultan </w:t>
      </w:r>
      <w:r w:rsidRPr="00FE3C5A">
        <w:rPr>
          <w:rFonts w:ascii="Palatino Linotype" w:eastAsia="Palatino Linotype" w:hAnsi="Palatino Linotype" w:cs="Palatino Linotype"/>
          <w:b/>
          <w:sz w:val="22"/>
          <w:szCs w:val="22"/>
        </w:rPr>
        <w:t>fundadas</w:t>
      </w:r>
      <w:r w:rsidRPr="00FE3C5A">
        <w:rPr>
          <w:rFonts w:ascii="Palatino Linotype" w:eastAsia="Palatino Linotype" w:hAnsi="Palatino Linotype" w:cs="Palatino Linotype"/>
          <w:sz w:val="22"/>
          <w:szCs w:val="22"/>
        </w:rPr>
        <w:t xml:space="preserve"> las razones o motivos de inconformidad hechos valer por la parte</w:t>
      </w:r>
      <w:r w:rsidRPr="00FE3C5A">
        <w:rPr>
          <w:rFonts w:ascii="Palatino Linotype" w:eastAsia="Palatino Linotype" w:hAnsi="Palatino Linotype" w:cs="Palatino Linotype"/>
          <w:b/>
          <w:sz w:val="22"/>
          <w:szCs w:val="22"/>
        </w:rPr>
        <w:t xml:space="preserve"> Recurrente</w:t>
      </w:r>
      <w:r w:rsidRPr="00FE3C5A">
        <w:rPr>
          <w:rFonts w:ascii="Palatino Linotype" w:eastAsia="Palatino Linotype" w:hAnsi="Palatino Linotype" w:cs="Palatino Linotype"/>
          <w:sz w:val="22"/>
          <w:szCs w:val="22"/>
        </w:rPr>
        <w:t xml:space="preserve"> en el recurso de revisión </w:t>
      </w:r>
      <w:r w:rsidRPr="00FE3C5A">
        <w:rPr>
          <w:rFonts w:ascii="Palatino Linotype" w:eastAsia="Palatino Linotype" w:hAnsi="Palatino Linotype" w:cs="Palatino Linotype"/>
          <w:b/>
          <w:sz w:val="22"/>
          <w:szCs w:val="22"/>
        </w:rPr>
        <w:t>07319/INFOEM/IP/RR/2024</w:t>
      </w:r>
      <w:r w:rsidRPr="00FE3C5A">
        <w:rPr>
          <w:rFonts w:ascii="Palatino Linotype" w:eastAsia="Palatino Linotype" w:hAnsi="Palatino Linotype" w:cs="Palatino Linotype"/>
          <w:sz w:val="22"/>
          <w:szCs w:val="22"/>
        </w:rPr>
        <w:t xml:space="preserve">; por lo que, en términos del </w:t>
      </w:r>
      <w:r w:rsidRPr="00FE3C5A">
        <w:rPr>
          <w:rFonts w:ascii="Palatino Linotype" w:eastAsia="Palatino Linotype" w:hAnsi="Palatino Linotype" w:cs="Palatino Linotype"/>
          <w:b/>
          <w:sz w:val="22"/>
          <w:szCs w:val="22"/>
        </w:rPr>
        <w:t>Considerando</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 xml:space="preserve">Cuarto </w:t>
      </w:r>
      <w:r w:rsidRPr="00FE3C5A">
        <w:rPr>
          <w:rFonts w:ascii="Palatino Linotype" w:eastAsia="Palatino Linotype" w:hAnsi="Palatino Linotype" w:cs="Palatino Linotype"/>
          <w:sz w:val="22"/>
          <w:szCs w:val="22"/>
        </w:rPr>
        <w:t xml:space="preserve">de esta resolución, se </w:t>
      </w:r>
      <w:r w:rsidRPr="00FE3C5A">
        <w:rPr>
          <w:rFonts w:ascii="Palatino Linotype" w:eastAsia="Palatino Linotype" w:hAnsi="Palatino Linotype" w:cs="Palatino Linotype"/>
          <w:b/>
          <w:sz w:val="22"/>
          <w:szCs w:val="22"/>
        </w:rPr>
        <w:t xml:space="preserve">Revoca </w:t>
      </w:r>
      <w:r w:rsidRPr="00FE3C5A">
        <w:rPr>
          <w:rFonts w:ascii="Palatino Linotype" w:eastAsia="Palatino Linotype" w:hAnsi="Palatino Linotype" w:cs="Palatino Linotype"/>
          <w:sz w:val="22"/>
          <w:szCs w:val="22"/>
        </w:rPr>
        <w:t xml:space="preserve">la respuesta emitida por el </w:t>
      </w:r>
      <w:r w:rsidRPr="00FE3C5A">
        <w:rPr>
          <w:rFonts w:ascii="Palatino Linotype" w:eastAsia="Palatino Linotype" w:hAnsi="Palatino Linotype" w:cs="Palatino Linotype"/>
          <w:b/>
          <w:sz w:val="22"/>
          <w:szCs w:val="22"/>
        </w:rPr>
        <w:t xml:space="preserve">Sujeto Obligado. </w:t>
      </w:r>
    </w:p>
    <w:p w14:paraId="12EA1157" w14:textId="77777777" w:rsidR="007928C7" w:rsidRPr="00FE3C5A" w:rsidRDefault="000C530D">
      <w:pPr>
        <w:spacing w:before="240" w:after="240" w:line="360" w:lineRule="auto"/>
        <w:ind w:right="49"/>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b/>
          <w:sz w:val="22"/>
          <w:szCs w:val="22"/>
        </w:rPr>
        <w:t xml:space="preserve">Segundo. </w:t>
      </w:r>
      <w:r w:rsidRPr="00FE3C5A">
        <w:rPr>
          <w:rFonts w:ascii="Palatino Linotype" w:eastAsia="Palatino Linotype" w:hAnsi="Palatino Linotype" w:cs="Palatino Linotype"/>
          <w:sz w:val="22"/>
          <w:szCs w:val="22"/>
        </w:rPr>
        <w:t xml:space="preserve">Se </w:t>
      </w:r>
      <w:r w:rsidRPr="00FE3C5A">
        <w:rPr>
          <w:rFonts w:ascii="Palatino Linotype" w:eastAsia="Palatino Linotype" w:hAnsi="Palatino Linotype" w:cs="Palatino Linotype"/>
          <w:b/>
          <w:sz w:val="22"/>
          <w:szCs w:val="22"/>
        </w:rPr>
        <w:t xml:space="preserve">ordena </w:t>
      </w:r>
      <w:r w:rsidRPr="00FE3C5A">
        <w:rPr>
          <w:rFonts w:ascii="Palatino Linotype" w:eastAsia="Palatino Linotype" w:hAnsi="Palatino Linotype" w:cs="Palatino Linotype"/>
          <w:sz w:val="22"/>
          <w:szCs w:val="22"/>
        </w:rPr>
        <w:t xml:space="preserve">al </w:t>
      </w:r>
      <w:r w:rsidRPr="00FE3C5A">
        <w:rPr>
          <w:rFonts w:ascii="Palatino Linotype" w:eastAsia="Palatino Linotype" w:hAnsi="Palatino Linotype" w:cs="Palatino Linotype"/>
          <w:b/>
          <w:sz w:val="22"/>
          <w:szCs w:val="22"/>
        </w:rPr>
        <w:t>Sujeto Obligado</w:t>
      </w:r>
      <w:r w:rsidRPr="00FE3C5A">
        <w:rPr>
          <w:rFonts w:ascii="Palatino Linotype" w:eastAsia="Palatino Linotype" w:hAnsi="Palatino Linotype" w:cs="Palatino Linotype"/>
          <w:sz w:val="22"/>
          <w:szCs w:val="22"/>
        </w:rPr>
        <w:t xml:space="preserve"> haga entrega, de ser procedente en versión pública a la parte</w:t>
      </w:r>
      <w:r w:rsidRPr="00FE3C5A">
        <w:rPr>
          <w:rFonts w:ascii="Palatino Linotype" w:eastAsia="Palatino Linotype" w:hAnsi="Palatino Linotype" w:cs="Palatino Linotype"/>
          <w:b/>
          <w:sz w:val="22"/>
          <w:szCs w:val="22"/>
        </w:rPr>
        <w:t xml:space="preserve"> Recurrente,</w:t>
      </w:r>
      <w:r w:rsidRPr="00FE3C5A">
        <w:rPr>
          <w:rFonts w:ascii="Palatino Linotype" w:eastAsia="Palatino Linotype" w:hAnsi="Palatino Linotype" w:cs="Palatino Linotype"/>
          <w:sz w:val="22"/>
          <w:szCs w:val="22"/>
        </w:rPr>
        <w:t xml:space="preserve"> vía </w:t>
      </w:r>
      <w:r w:rsidRPr="00FE3C5A">
        <w:rPr>
          <w:rFonts w:ascii="Palatino Linotype" w:eastAsia="Palatino Linotype" w:hAnsi="Palatino Linotype" w:cs="Palatino Linotype"/>
          <w:b/>
          <w:sz w:val="22"/>
          <w:szCs w:val="22"/>
        </w:rPr>
        <w:t xml:space="preserve">SAIMEX, </w:t>
      </w:r>
      <w:r w:rsidRPr="00FE3C5A">
        <w:rPr>
          <w:rFonts w:ascii="Palatino Linotype" w:eastAsia="Palatino Linotype" w:hAnsi="Palatino Linotype" w:cs="Palatino Linotype"/>
          <w:sz w:val="22"/>
          <w:szCs w:val="22"/>
        </w:rPr>
        <w:t xml:space="preserve">en términos de los </w:t>
      </w:r>
      <w:r w:rsidRPr="00FE3C5A">
        <w:rPr>
          <w:rFonts w:ascii="Palatino Linotype" w:eastAsia="Palatino Linotype" w:hAnsi="Palatino Linotype" w:cs="Palatino Linotype"/>
          <w:b/>
          <w:sz w:val="22"/>
          <w:szCs w:val="22"/>
        </w:rPr>
        <w:t>Considerandos</w:t>
      </w:r>
      <w:r w:rsidRPr="00FE3C5A">
        <w:rPr>
          <w:rFonts w:ascii="Palatino Linotype" w:eastAsia="Palatino Linotype" w:hAnsi="Palatino Linotype" w:cs="Palatino Linotype"/>
          <w:sz w:val="22"/>
          <w:szCs w:val="22"/>
        </w:rPr>
        <w:t xml:space="preserve"> </w:t>
      </w:r>
      <w:r w:rsidRPr="00FE3C5A">
        <w:rPr>
          <w:rFonts w:ascii="Palatino Linotype" w:eastAsia="Palatino Linotype" w:hAnsi="Palatino Linotype" w:cs="Palatino Linotype"/>
          <w:b/>
          <w:sz w:val="22"/>
          <w:szCs w:val="22"/>
        </w:rPr>
        <w:t>Cuarto y Quinto, de lo siguiente:</w:t>
      </w:r>
    </w:p>
    <w:p w14:paraId="38A7E1C4" w14:textId="77777777" w:rsidR="007928C7" w:rsidRPr="00FE3C5A" w:rsidRDefault="000C530D">
      <w:pPr>
        <w:pBdr>
          <w:top w:val="nil"/>
          <w:left w:val="nil"/>
          <w:bottom w:val="nil"/>
          <w:right w:val="nil"/>
          <w:between w:val="nil"/>
        </w:pBdr>
        <w:spacing w:before="240" w:line="360" w:lineRule="auto"/>
        <w:ind w:left="851" w:right="616"/>
        <w:jc w:val="both"/>
        <w:rPr>
          <w:rFonts w:ascii="Palatino Linotype" w:eastAsia="Palatino Linotype" w:hAnsi="Palatino Linotype" w:cs="Palatino Linotype"/>
          <w:b/>
          <w:sz w:val="22"/>
          <w:szCs w:val="22"/>
        </w:rPr>
      </w:pPr>
      <w:r w:rsidRPr="00FE3C5A">
        <w:rPr>
          <w:rFonts w:ascii="Palatino Linotype" w:eastAsia="Palatino Linotype" w:hAnsi="Palatino Linotype" w:cs="Palatino Linotype"/>
          <w:sz w:val="22"/>
          <w:szCs w:val="22"/>
        </w:rPr>
        <w:t xml:space="preserve">De las obras de rehabilitación de la Casa de Cultura, del primero de enero de dos mil veintidós al dieciocho de octubre de dos mil veinticuatro: </w:t>
      </w:r>
    </w:p>
    <w:p w14:paraId="1B8CE7A9" w14:textId="77777777" w:rsidR="007928C7" w:rsidRPr="00FE3C5A" w:rsidRDefault="000C530D">
      <w:pPr>
        <w:numPr>
          <w:ilvl w:val="0"/>
          <w:numId w:val="1"/>
        </w:numPr>
        <w:pBdr>
          <w:top w:val="nil"/>
          <w:left w:val="nil"/>
          <w:bottom w:val="nil"/>
          <w:right w:val="nil"/>
          <w:between w:val="nil"/>
        </w:pBdr>
        <w:spacing w:line="276" w:lineRule="auto"/>
        <w:ind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sz w:val="22"/>
          <w:szCs w:val="22"/>
        </w:rPr>
        <w:t>El documento en donde conste el tiempo de ejecución, presupuesto destinado para su realización, fecha en que se entregaron las obras y el nombre de las autoridades municipales que acudieron a la entrega.</w:t>
      </w:r>
    </w:p>
    <w:p w14:paraId="079FEE81" w14:textId="77777777" w:rsidR="007928C7" w:rsidRPr="00FE3C5A" w:rsidRDefault="007928C7">
      <w:pPr>
        <w:pBdr>
          <w:top w:val="nil"/>
          <w:left w:val="nil"/>
          <w:bottom w:val="nil"/>
          <w:right w:val="nil"/>
          <w:between w:val="nil"/>
        </w:pBdr>
        <w:spacing w:line="276" w:lineRule="auto"/>
        <w:ind w:left="851" w:right="616"/>
        <w:jc w:val="both"/>
        <w:rPr>
          <w:rFonts w:ascii="Palatino Linotype" w:eastAsia="Palatino Linotype" w:hAnsi="Palatino Linotype" w:cs="Palatino Linotype"/>
          <w:sz w:val="22"/>
          <w:szCs w:val="22"/>
        </w:rPr>
      </w:pPr>
    </w:p>
    <w:p w14:paraId="1D8D6F81" w14:textId="77777777" w:rsidR="007928C7" w:rsidRPr="00FE3C5A" w:rsidRDefault="000C530D">
      <w:pPr>
        <w:pBdr>
          <w:top w:val="nil"/>
          <w:left w:val="nil"/>
          <w:bottom w:val="nil"/>
          <w:right w:val="nil"/>
          <w:between w:val="nil"/>
        </w:pBdr>
        <w:spacing w:after="120" w:line="276" w:lineRule="auto"/>
        <w:ind w:left="851" w:right="616"/>
        <w:jc w:val="both"/>
        <w:rPr>
          <w:rFonts w:ascii="Palatino Linotype" w:eastAsia="Palatino Linotype" w:hAnsi="Palatino Linotype" w:cs="Palatino Linotype"/>
          <w:i/>
          <w:sz w:val="22"/>
          <w:szCs w:val="22"/>
        </w:rPr>
      </w:pPr>
      <w:r w:rsidRPr="00FE3C5A">
        <w:rPr>
          <w:rFonts w:ascii="Palatino Linotype" w:eastAsia="Palatino Linotype" w:hAnsi="Palatino Linotype" w:cs="Palatino Linotype"/>
          <w:i/>
          <w:sz w:val="22"/>
          <w:szCs w:val="22"/>
        </w:rPr>
        <w:t xml:space="preserve">Deberá emitir el Acuerdo del Comité de Transparencia en términos de la Ley de Transparencia y Acceso a la Información Pública del Estado de México y Municipios, en el que funde y motive las razones sobre los datos que se supriman o eliminen y se ponga a disposición de la parte </w:t>
      </w:r>
      <w:r w:rsidRPr="00FE3C5A">
        <w:rPr>
          <w:rFonts w:ascii="Palatino Linotype" w:eastAsia="Palatino Linotype" w:hAnsi="Palatino Linotype" w:cs="Palatino Linotype"/>
          <w:b/>
          <w:i/>
          <w:sz w:val="22"/>
          <w:szCs w:val="22"/>
        </w:rPr>
        <w:t>Recurrente</w:t>
      </w:r>
      <w:r w:rsidRPr="00FE3C5A">
        <w:rPr>
          <w:rFonts w:ascii="Palatino Linotype" w:eastAsia="Palatino Linotype" w:hAnsi="Palatino Linotype" w:cs="Palatino Linotype"/>
          <w:i/>
          <w:sz w:val="22"/>
          <w:szCs w:val="22"/>
        </w:rPr>
        <w:t>.</w:t>
      </w:r>
    </w:p>
    <w:p w14:paraId="55FB7AE2" w14:textId="77777777" w:rsidR="007928C7" w:rsidRPr="00FE3C5A" w:rsidRDefault="000C530D">
      <w:pPr>
        <w:spacing w:before="240" w:after="240" w:line="360" w:lineRule="auto"/>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 xml:space="preserve">Tercero. Notifíquese </w:t>
      </w:r>
      <w:r w:rsidRPr="00FE3C5A">
        <w:rPr>
          <w:rFonts w:ascii="Palatino Linotype" w:eastAsia="Palatino Linotype" w:hAnsi="Palatino Linotype" w:cs="Palatino Linotype"/>
          <w:sz w:val="22"/>
          <w:szCs w:val="22"/>
        </w:rPr>
        <w:t>vía</w:t>
      </w:r>
      <w:r w:rsidRPr="00FE3C5A">
        <w:rPr>
          <w:rFonts w:ascii="Palatino Linotype" w:eastAsia="Palatino Linotype" w:hAnsi="Palatino Linotype" w:cs="Palatino Linotype"/>
          <w:b/>
          <w:sz w:val="22"/>
          <w:szCs w:val="22"/>
        </w:rPr>
        <w:t xml:space="preserve"> SAIMEX, </w:t>
      </w:r>
      <w:r w:rsidRPr="00FE3C5A">
        <w:rPr>
          <w:rFonts w:ascii="Palatino Linotype" w:eastAsia="Palatino Linotype" w:hAnsi="Palatino Linotype" w:cs="Palatino Linotype"/>
          <w:sz w:val="22"/>
          <w:szCs w:val="22"/>
        </w:rPr>
        <w:t xml:space="preserve">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w:t>
      </w:r>
      <w:r w:rsidRPr="00FE3C5A">
        <w:rPr>
          <w:rFonts w:ascii="Palatino Linotype" w:eastAsia="Palatino Linotype" w:hAnsi="Palatino Linotype" w:cs="Palatino Linotype"/>
          <w:sz w:val="22"/>
          <w:szCs w:val="22"/>
        </w:rPr>
        <w:lastRenderedPageBreak/>
        <w:t>conformidad con lo previsto en los artículos 198, 200, fracción III; 214, 215 y 216 de la Ley  de Transparencia y Acceso a la Información Pública del Estado de México y Municipios.</w:t>
      </w:r>
    </w:p>
    <w:p w14:paraId="2BA613D5" w14:textId="77777777" w:rsidR="007928C7" w:rsidRPr="00FE3C5A" w:rsidRDefault="000C530D">
      <w:pPr>
        <w:spacing w:before="240"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 xml:space="preserve">Cuarto. </w:t>
      </w:r>
      <w:r w:rsidRPr="00FE3C5A">
        <w:rPr>
          <w:rFonts w:ascii="Palatino Linotype" w:eastAsia="Palatino Linotype" w:hAnsi="Palatino Linotype" w:cs="Palatino Linotype"/>
          <w:sz w:val="22"/>
          <w:szCs w:val="22"/>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1D53A327" w14:textId="77777777" w:rsidR="007928C7" w:rsidRPr="00FE3C5A" w:rsidRDefault="000C530D">
      <w:pPr>
        <w:spacing w:before="240" w:after="240" w:line="360" w:lineRule="auto"/>
        <w:ind w:right="49"/>
        <w:jc w:val="both"/>
        <w:rPr>
          <w:rFonts w:ascii="Palatino Linotype" w:eastAsia="Palatino Linotype" w:hAnsi="Palatino Linotype" w:cs="Palatino Linotype"/>
          <w:sz w:val="22"/>
          <w:szCs w:val="22"/>
        </w:rPr>
      </w:pPr>
      <w:r w:rsidRPr="00FE3C5A">
        <w:rPr>
          <w:rFonts w:ascii="Palatino Linotype" w:eastAsia="Palatino Linotype" w:hAnsi="Palatino Linotype" w:cs="Palatino Linotype"/>
          <w:b/>
          <w:sz w:val="22"/>
          <w:szCs w:val="22"/>
        </w:rPr>
        <w:t xml:space="preserve">Quinto. Notifíquese </w:t>
      </w:r>
      <w:r w:rsidRPr="00FE3C5A">
        <w:rPr>
          <w:rFonts w:ascii="Palatino Linotype" w:eastAsia="Palatino Linotype" w:hAnsi="Palatino Linotype" w:cs="Palatino Linotype"/>
          <w:sz w:val="22"/>
          <w:szCs w:val="22"/>
        </w:rPr>
        <w:t>vía</w:t>
      </w:r>
      <w:r w:rsidRPr="00FE3C5A">
        <w:rPr>
          <w:rFonts w:ascii="Palatino Linotype" w:eastAsia="Palatino Linotype" w:hAnsi="Palatino Linotype" w:cs="Palatino Linotype"/>
          <w:b/>
          <w:sz w:val="22"/>
          <w:szCs w:val="22"/>
        </w:rPr>
        <w:t xml:space="preserve"> SAIMEX, </w:t>
      </w:r>
      <w:r w:rsidRPr="00FE3C5A">
        <w:rPr>
          <w:rFonts w:ascii="Palatino Linotype" w:eastAsia="Palatino Linotype" w:hAnsi="Palatino Linotype" w:cs="Palatino Linotype"/>
          <w:sz w:val="22"/>
          <w:szCs w:val="22"/>
        </w:rPr>
        <w:t>a</w:t>
      </w:r>
      <w:r w:rsidRPr="00FE3C5A">
        <w:rPr>
          <w:rFonts w:ascii="Palatino Linotype" w:eastAsia="Palatino Linotype" w:hAnsi="Palatino Linotype" w:cs="Palatino Linotype"/>
          <w:b/>
          <w:sz w:val="22"/>
          <w:szCs w:val="22"/>
        </w:rPr>
        <w:t xml:space="preserve"> </w:t>
      </w:r>
      <w:r w:rsidRPr="00FE3C5A">
        <w:rPr>
          <w:rFonts w:ascii="Palatino Linotype" w:eastAsia="Palatino Linotype" w:hAnsi="Palatino Linotype" w:cs="Palatino Linotype"/>
          <w:sz w:val="22"/>
          <w:szCs w:val="22"/>
        </w:rPr>
        <w:t>la parte</w:t>
      </w:r>
      <w:r w:rsidRPr="00FE3C5A">
        <w:rPr>
          <w:rFonts w:ascii="Palatino Linotype" w:eastAsia="Palatino Linotype" w:hAnsi="Palatino Linotype" w:cs="Palatino Linotype"/>
          <w:b/>
          <w:sz w:val="22"/>
          <w:szCs w:val="22"/>
        </w:rPr>
        <w:t xml:space="preserve"> Recurrente</w:t>
      </w:r>
      <w:r w:rsidRPr="00FE3C5A">
        <w:rPr>
          <w:rFonts w:ascii="Palatino Linotype" w:eastAsia="Palatino Linotype" w:hAnsi="Palatino Linotype" w:cs="Palatino Linotype"/>
          <w:sz w:val="22"/>
          <w:szCs w:val="22"/>
        </w:rPr>
        <w:t xml:space="preserve"> la presente resolución, así como que podrá impugnar vía Juicio de Amparo en los términos de las leyes aplicables, de conformidad con lo establecido en el artículo 196 de la Ley de Transparencia y Acceso a la Información Pública del Estado de México y Municipios. </w:t>
      </w:r>
    </w:p>
    <w:p w14:paraId="2CA6E1AA" w14:textId="77777777" w:rsidR="007928C7" w:rsidRPr="00FE3C5A" w:rsidRDefault="000C530D">
      <w:pPr>
        <w:spacing w:line="360" w:lineRule="auto"/>
        <w:jc w:val="both"/>
        <w:rPr>
          <w:rFonts w:ascii="Palatino Linotype" w:eastAsia="Palatino Linotype" w:hAnsi="Palatino Linotype" w:cs="Palatino Linotype"/>
          <w:sz w:val="22"/>
          <w:szCs w:val="22"/>
        </w:rPr>
        <w:sectPr w:rsidR="007928C7" w:rsidRPr="00FE3C5A">
          <w:headerReference w:type="even" r:id="rId18"/>
          <w:headerReference w:type="default" r:id="rId19"/>
          <w:footerReference w:type="even" r:id="rId20"/>
          <w:footerReference w:type="default" r:id="rId21"/>
          <w:headerReference w:type="first" r:id="rId22"/>
          <w:footerReference w:type="first" r:id="rId23"/>
          <w:pgSz w:w="12240" w:h="15840"/>
          <w:pgMar w:top="1985" w:right="1701" w:bottom="1701" w:left="1701" w:header="709" w:footer="709" w:gutter="0"/>
          <w:pgNumType w:start="1"/>
          <w:cols w:space="720"/>
          <w:titlePg/>
        </w:sectPr>
      </w:pPr>
      <w:bookmarkStart w:id="12" w:name="_heading=h.1t3h5sf" w:colFirst="0" w:colLast="0"/>
      <w:bookmarkEnd w:id="12"/>
      <w:r w:rsidRPr="00FE3C5A">
        <w:rPr>
          <w:rFonts w:ascii="Palatino Linotype" w:eastAsia="Palatino Linotype" w:hAnsi="Palatino Linotype" w:cs="Palatino Linotype"/>
          <w:sz w:val="22"/>
          <w:szCs w:val="22"/>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TERCERA SESIÓN ORDINARIA, CELEBRADA EL ONCE DE DICIEMBRE DE DOS MIL VEINTICUATRO, ANTE EL SECRETARIO TÉCNICO DEL PLENO ALEXIS TAPIA RAMÍREZ. </w:t>
      </w:r>
    </w:p>
    <w:p w14:paraId="192C1013" w14:textId="77777777" w:rsidR="007928C7" w:rsidRPr="00FE3C5A" w:rsidRDefault="007928C7">
      <w:pPr>
        <w:spacing w:line="360" w:lineRule="auto"/>
        <w:jc w:val="both"/>
        <w:rPr>
          <w:rFonts w:ascii="Palatino Linotype" w:eastAsia="Palatino Linotype" w:hAnsi="Palatino Linotype" w:cs="Palatino Linotype"/>
          <w:sz w:val="22"/>
          <w:szCs w:val="22"/>
        </w:rPr>
      </w:pPr>
    </w:p>
    <w:sectPr w:rsidR="007928C7" w:rsidRPr="00FE3C5A">
      <w:headerReference w:type="first" r:id="rId24"/>
      <w:footerReference w:type="first" r:id="rId25"/>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10B82C" w14:textId="77777777" w:rsidR="00B15132" w:rsidRDefault="00B15132">
      <w:r>
        <w:separator/>
      </w:r>
    </w:p>
  </w:endnote>
  <w:endnote w:type="continuationSeparator" w:id="0">
    <w:p w14:paraId="7826C16C" w14:textId="77777777" w:rsidR="00B15132" w:rsidRDefault="00B15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504F7" w14:textId="77777777" w:rsidR="007928C7" w:rsidRDefault="007928C7">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E1FE7" w14:textId="77777777" w:rsidR="007928C7" w:rsidRDefault="000C530D">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9561FF">
      <w:rPr>
        <w:rFonts w:ascii="Palatino Linotype" w:eastAsia="Palatino Linotype" w:hAnsi="Palatino Linotype" w:cs="Palatino Linotype"/>
        <w:b/>
        <w:noProof/>
        <w:color w:val="000000"/>
        <w:sz w:val="20"/>
        <w:szCs w:val="20"/>
      </w:rPr>
      <w:t>46</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9561FF">
      <w:rPr>
        <w:rFonts w:ascii="Palatino Linotype" w:eastAsia="Palatino Linotype" w:hAnsi="Palatino Linotype" w:cs="Palatino Linotype"/>
        <w:b/>
        <w:noProof/>
        <w:color w:val="000000"/>
        <w:sz w:val="20"/>
        <w:szCs w:val="20"/>
      </w:rPr>
      <w:t>48</w:t>
    </w:r>
    <w:r>
      <w:rPr>
        <w:rFonts w:ascii="Palatino Linotype" w:eastAsia="Palatino Linotype" w:hAnsi="Palatino Linotype" w:cs="Palatino Linotype"/>
        <w:b/>
        <w:color w:val="000000"/>
        <w:sz w:val="20"/>
        <w:szCs w:val="20"/>
      </w:rPr>
      <w:fldChar w:fldCharType="end"/>
    </w:r>
  </w:p>
  <w:p w14:paraId="185A985E" w14:textId="77777777" w:rsidR="007928C7" w:rsidRDefault="007928C7">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F951A" w14:textId="77777777" w:rsidR="007928C7" w:rsidRDefault="000C530D">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9561FF">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9561FF">
      <w:rPr>
        <w:rFonts w:ascii="Palatino Linotype" w:eastAsia="Palatino Linotype" w:hAnsi="Palatino Linotype" w:cs="Palatino Linotype"/>
        <w:b/>
        <w:noProof/>
        <w:color w:val="000000"/>
        <w:sz w:val="20"/>
        <w:szCs w:val="20"/>
      </w:rPr>
      <w:t>48</w:t>
    </w:r>
    <w:r>
      <w:rPr>
        <w:rFonts w:ascii="Palatino Linotype" w:eastAsia="Palatino Linotype" w:hAnsi="Palatino Linotype" w:cs="Palatino Linotype"/>
        <w:b/>
        <w:color w:val="000000"/>
        <w:sz w:val="20"/>
        <w:szCs w:val="20"/>
      </w:rPr>
      <w:fldChar w:fldCharType="end"/>
    </w:r>
  </w:p>
  <w:p w14:paraId="1937ADEF" w14:textId="77777777" w:rsidR="007928C7" w:rsidRDefault="007928C7">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7D795" w14:textId="77777777" w:rsidR="007928C7" w:rsidRDefault="000C530D">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bookmarkStart w:id="13" w:name="_heading=h.4d34og8" w:colFirst="0" w:colLast="0"/>
    <w:bookmarkEnd w:id="13"/>
    <w:r>
      <w:rPr>
        <w:rFonts w:ascii="Palatino Linotype" w:eastAsia="Palatino Linotype" w:hAnsi="Palatino Linotype" w:cs="Palatino Linotype"/>
        <w:b/>
        <w:color w:val="000000"/>
        <w:sz w:val="20"/>
        <w:szCs w:val="20"/>
      </w:rPr>
      <w:t>Página 48</w:t>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9561FF">
      <w:rPr>
        <w:rFonts w:ascii="Palatino Linotype" w:eastAsia="Palatino Linotype" w:hAnsi="Palatino Linotype" w:cs="Palatino Linotype"/>
        <w:b/>
        <w:noProof/>
        <w:color w:val="000000"/>
        <w:sz w:val="20"/>
        <w:szCs w:val="20"/>
      </w:rPr>
      <w:t>48</w:t>
    </w:r>
    <w:r>
      <w:rPr>
        <w:rFonts w:ascii="Palatino Linotype" w:eastAsia="Palatino Linotype" w:hAnsi="Palatino Linotype" w:cs="Palatino Linotype"/>
        <w:b/>
        <w:color w:val="000000"/>
        <w:sz w:val="20"/>
        <w:szCs w:val="20"/>
      </w:rPr>
      <w:fldChar w:fldCharType="end"/>
    </w:r>
  </w:p>
  <w:p w14:paraId="76162E11" w14:textId="77777777" w:rsidR="007928C7" w:rsidRDefault="007928C7">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B766C" w14:textId="77777777" w:rsidR="00B15132" w:rsidRDefault="00B15132">
      <w:r>
        <w:separator/>
      </w:r>
    </w:p>
  </w:footnote>
  <w:footnote w:type="continuationSeparator" w:id="0">
    <w:p w14:paraId="3ABDBF04" w14:textId="77777777" w:rsidR="00B15132" w:rsidRDefault="00B15132">
      <w:r>
        <w:continuationSeparator/>
      </w:r>
    </w:p>
  </w:footnote>
  <w:footnote w:id="1">
    <w:p w14:paraId="23B37544" w14:textId="77777777" w:rsidR="007928C7" w:rsidRDefault="000C530D">
      <w:pPr>
        <w:pBdr>
          <w:top w:val="nil"/>
          <w:left w:val="nil"/>
          <w:bottom w:val="nil"/>
          <w:right w:val="nil"/>
          <w:between w:val="nil"/>
        </w:pBdr>
        <w:ind w:left="720" w:hanging="720"/>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Artículo 185.</w:t>
      </w:r>
      <w:r>
        <w:rPr>
          <w:rFonts w:ascii="Palatino Linotype" w:eastAsia="Palatino Linotype" w:hAnsi="Palatino Linotype" w:cs="Palatino Linotype"/>
          <w:color w:val="000000"/>
          <w:sz w:val="16"/>
          <w:szCs w:val="16"/>
        </w:rPr>
        <w:t xml:space="preserve"> El Instituto resolverá el recurso de revisión conforme a lo siguiente: (…)</w:t>
      </w:r>
    </w:p>
    <w:p w14:paraId="36A66721" w14:textId="77777777" w:rsidR="007928C7" w:rsidRDefault="000C530D">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II. Admitido el recurso de revisión, la o el Comisionado ponente deberá integrar un expediente y ponerlo a disposición de las partes, para que, en un plazo máximo de siete días hábiles, manifiesten lo que a su derecho convenga;”</w:t>
      </w:r>
    </w:p>
  </w:footnote>
  <w:footnote w:id="2">
    <w:p w14:paraId="28CF2406" w14:textId="77777777" w:rsidR="007928C7" w:rsidRDefault="000C530D">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Artículo 161</w:t>
      </w:r>
      <w:r>
        <w:rPr>
          <w:rFonts w:ascii="Palatino Linotype" w:eastAsia="Palatino Linotype" w:hAnsi="Palatino Linotype" w:cs="Palatino Linotype"/>
          <w:color w:val="000000"/>
          <w:sz w:val="16"/>
          <w:szCs w:val="16"/>
        </w:rPr>
        <w:t>. Cuando la información requerida por el solicitante ya esté disponible al público en medios impresos, tales como libros, compendios, trípticos, registros públicos, en formatos electrónicos disponibles en Internet o en cualquier otro medio, se le hará saber por el medio requerido por el solicitante la fuente, el lugar y la forma en que puede consultar, reproducir o adquirir dicha información en un plazo no mayor a cinco días hábiles. La fuente deberá ser precisa y concreta y no debe implicar que el solicitante realice una búsqueda en toda la información que se encuentre disponible.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64BFB" w14:textId="77777777" w:rsidR="007928C7" w:rsidRDefault="007928C7">
    <w:pPr>
      <w:pBdr>
        <w:top w:val="nil"/>
        <w:left w:val="nil"/>
        <w:bottom w:val="nil"/>
        <w:right w:val="nil"/>
        <w:between w:val="nil"/>
      </w:pBdr>
      <w:tabs>
        <w:tab w:val="center" w:pos="4419"/>
        <w:tab w:val="right" w:pos="8838"/>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7A30A" w14:textId="77777777" w:rsidR="007928C7" w:rsidRDefault="007928C7">
    <w:pPr>
      <w:rPr>
        <w:rFonts w:ascii="Cambria" w:eastAsia="Cambria" w:hAnsi="Cambria" w:cs="Cambria"/>
        <w:color w:val="000000"/>
      </w:rPr>
    </w:pPr>
  </w:p>
  <w:tbl>
    <w:tblPr>
      <w:tblStyle w:val="a1"/>
      <w:tblW w:w="5953" w:type="dxa"/>
      <w:tblInd w:w="3261" w:type="dxa"/>
      <w:tblLayout w:type="fixed"/>
      <w:tblLook w:val="0400" w:firstRow="0" w:lastRow="0" w:firstColumn="0" w:lastColumn="0" w:noHBand="0" w:noVBand="1"/>
    </w:tblPr>
    <w:tblGrid>
      <w:gridCol w:w="2489"/>
      <w:gridCol w:w="3464"/>
    </w:tblGrid>
    <w:tr w:rsidR="007928C7" w14:paraId="0A7C83F6" w14:textId="77777777">
      <w:tc>
        <w:tcPr>
          <w:tcW w:w="2489" w:type="dxa"/>
          <w:shd w:val="clear" w:color="auto" w:fill="auto"/>
        </w:tcPr>
        <w:p w14:paraId="16F6B4BD" w14:textId="77777777" w:rsidR="007928C7" w:rsidRDefault="000C530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1180850A" w14:textId="77777777" w:rsidR="007928C7" w:rsidRDefault="000C530D">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07319/INFOEM/IP/RR/2024</w:t>
          </w:r>
        </w:p>
      </w:tc>
    </w:tr>
    <w:tr w:rsidR="007928C7" w14:paraId="7E4D0FBD" w14:textId="77777777">
      <w:trPr>
        <w:trHeight w:val="228"/>
      </w:trPr>
      <w:tc>
        <w:tcPr>
          <w:tcW w:w="2489" w:type="dxa"/>
          <w:shd w:val="clear" w:color="auto" w:fill="auto"/>
          <w:vAlign w:val="center"/>
        </w:tcPr>
        <w:p w14:paraId="65DF381A" w14:textId="77777777" w:rsidR="007928C7" w:rsidRDefault="000C530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3F781F14" w14:textId="77777777" w:rsidR="007928C7" w:rsidRDefault="000C530D">
          <w:pPr>
            <w:ind w:right="-540"/>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Chapultepec</w:t>
          </w:r>
          <w:r>
            <w:rPr>
              <w:noProof/>
            </w:rPr>
            <w:drawing>
              <wp:anchor distT="0" distB="0" distL="0" distR="0" simplePos="0" relativeHeight="251658240" behindDoc="1" locked="0" layoutInCell="1" hidden="0" allowOverlap="1" wp14:anchorId="3204CF86" wp14:editId="7D9A0D96">
                <wp:simplePos x="0" y="0"/>
                <wp:positionH relativeFrom="column">
                  <wp:posOffset>-4800597</wp:posOffset>
                </wp:positionH>
                <wp:positionV relativeFrom="paragraph">
                  <wp:posOffset>-880106</wp:posOffset>
                </wp:positionV>
                <wp:extent cx="7809865" cy="10165715"/>
                <wp:effectExtent l="0" t="0" r="0" b="0"/>
                <wp:wrapNone/>
                <wp:docPr id="56396813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c>
    </w:tr>
    <w:tr w:rsidR="007928C7" w14:paraId="59B80E9E" w14:textId="77777777">
      <w:tc>
        <w:tcPr>
          <w:tcW w:w="2489" w:type="dxa"/>
          <w:shd w:val="clear" w:color="auto" w:fill="auto"/>
          <w:vAlign w:val="center"/>
        </w:tcPr>
        <w:p w14:paraId="6D61BED1" w14:textId="77777777" w:rsidR="007928C7" w:rsidRDefault="000C530D">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59E24D30" w14:textId="77777777" w:rsidR="007928C7" w:rsidRDefault="000C530D">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0515979F" w14:textId="77777777" w:rsidR="007928C7" w:rsidRDefault="000C530D">
    <w:pPr>
      <w:rPr>
        <w:rFonts w:ascii="Cambria" w:eastAsia="Cambria" w:hAnsi="Cambria" w:cs="Cambria"/>
        <w:color w:val="000000"/>
      </w:rPr>
    </w:pPr>
    <w:r>
      <w:rPr>
        <w:rFonts w:ascii="Cambria" w:eastAsia="Cambria" w:hAnsi="Cambria" w:cs="Cambria"/>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08D61" w14:textId="77777777" w:rsidR="007928C7" w:rsidRDefault="000C530D">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1A081F64" wp14:editId="44A90862">
          <wp:simplePos x="0" y="0"/>
          <wp:positionH relativeFrom="column">
            <wp:posOffset>-1079488</wp:posOffset>
          </wp:positionH>
          <wp:positionV relativeFrom="paragraph">
            <wp:posOffset>-328916</wp:posOffset>
          </wp:positionV>
          <wp:extent cx="7809865" cy="10165715"/>
          <wp:effectExtent l="0" t="0" r="0" b="0"/>
          <wp:wrapNone/>
          <wp:docPr id="56396813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2"/>
      <w:tblW w:w="5670" w:type="dxa"/>
      <w:tblInd w:w="3402" w:type="dxa"/>
      <w:tblLayout w:type="fixed"/>
      <w:tblLook w:val="0400" w:firstRow="0" w:lastRow="0" w:firstColumn="0" w:lastColumn="0" w:noHBand="0" w:noVBand="1"/>
    </w:tblPr>
    <w:tblGrid>
      <w:gridCol w:w="2551"/>
      <w:gridCol w:w="3119"/>
    </w:tblGrid>
    <w:tr w:rsidR="007928C7" w14:paraId="6D035C8C" w14:textId="77777777">
      <w:tc>
        <w:tcPr>
          <w:tcW w:w="2551" w:type="dxa"/>
          <w:shd w:val="clear" w:color="auto" w:fill="auto"/>
          <w:vAlign w:val="center"/>
        </w:tcPr>
        <w:p w14:paraId="4DECA452" w14:textId="77777777" w:rsidR="007928C7" w:rsidRDefault="000C530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9" w:type="dxa"/>
          <w:shd w:val="clear" w:color="auto" w:fill="auto"/>
          <w:vAlign w:val="center"/>
        </w:tcPr>
        <w:p w14:paraId="0A68AEB7" w14:textId="77777777" w:rsidR="007928C7" w:rsidRDefault="000C530D">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07319/INFOEM/IP/RR/2024</w:t>
          </w:r>
        </w:p>
      </w:tc>
    </w:tr>
    <w:tr w:rsidR="007928C7" w14:paraId="0995A2F9" w14:textId="77777777">
      <w:trPr>
        <w:trHeight w:val="130"/>
      </w:trPr>
      <w:tc>
        <w:tcPr>
          <w:tcW w:w="2551" w:type="dxa"/>
          <w:shd w:val="clear" w:color="auto" w:fill="auto"/>
          <w:vAlign w:val="center"/>
        </w:tcPr>
        <w:p w14:paraId="35025E4C" w14:textId="77777777" w:rsidR="007928C7" w:rsidRDefault="000C530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119" w:type="dxa"/>
          <w:shd w:val="clear" w:color="auto" w:fill="auto"/>
          <w:vAlign w:val="center"/>
        </w:tcPr>
        <w:p w14:paraId="36E851C4" w14:textId="71CBA7F8" w:rsidR="007928C7" w:rsidRDefault="00996B35">
          <w:pPr>
            <w:ind w:left="-45" w:right="593"/>
            <w:jc w:val="both"/>
            <w:rPr>
              <w:rFonts w:ascii="Palatino Linotype" w:eastAsia="Palatino Linotype" w:hAnsi="Palatino Linotype" w:cs="Palatino Linotype"/>
              <w:b/>
              <w:sz w:val="22"/>
              <w:szCs w:val="22"/>
            </w:rPr>
          </w:pPr>
          <w:r w:rsidRPr="00996B35">
            <w:rPr>
              <w:rFonts w:ascii="Palatino Linotype" w:eastAsia="Palatino Linotype" w:hAnsi="Palatino Linotype" w:cs="Palatino Linotype"/>
              <w:b/>
              <w:sz w:val="22"/>
              <w:szCs w:val="22"/>
            </w:rPr>
            <w:t>XXXXXX XXXXX XXXXXX</w:t>
          </w:r>
        </w:p>
      </w:tc>
    </w:tr>
    <w:tr w:rsidR="007928C7" w14:paraId="47AA3980" w14:textId="77777777">
      <w:trPr>
        <w:trHeight w:val="228"/>
      </w:trPr>
      <w:tc>
        <w:tcPr>
          <w:tcW w:w="2551" w:type="dxa"/>
          <w:shd w:val="clear" w:color="auto" w:fill="auto"/>
          <w:vAlign w:val="center"/>
        </w:tcPr>
        <w:p w14:paraId="4C99EAF8" w14:textId="77777777" w:rsidR="007928C7" w:rsidRDefault="000C530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119" w:type="dxa"/>
          <w:shd w:val="clear" w:color="auto" w:fill="auto"/>
          <w:vAlign w:val="center"/>
        </w:tcPr>
        <w:p w14:paraId="47D814FE" w14:textId="77777777" w:rsidR="007928C7" w:rsidRDefault="000C530D">
          <w:pPr>
            <w:ind w:left="-45" w:right="73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Chapultepec</w:t>
          </w:r>
        </w:p>
      </w:tc>
    </w:tr>
    <w:tr w:rsidR="007928C7" w14:paraId="03BD68FE" w14:textId="77777777">
      <w:tc>
        <w:tcPr>
          <w:tcW w:w="2551" w:type="dxa"/>
          <w:shd w:val="clear" w:color="auto" w:fill="auto"/>
          <w:vAlign w:val="center"/>
        </w:tcPr>
        <w:p w14:paraId="686CCC8C" w14:textId="77777777" w:rsidR="007928C7" w:rsidRDefault="000C530D">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9" w:type="dxa"/>
          <w:shd w:val="clear" w:color="auto" w:fill="auto"/>
          <w:vAlign w:val="center"/>
        </w:tcPr>
        <w:p w14:paraId="30F00A07" w14:textId="77777777" w:rsidR="007928C7" w:rsidRDefault="000C530D">
          <w:pPr>
            <w:ind w:left="-45"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14717F77" w14:textId="77777777" w:rsidR="007928C7" w:rsidRDefault="007928C7">
    <w:pPr>
      <w:pBdr>
        <w:top w:val="nil"/>
        <w:left w:val="nil"/>
        <w:bottom w:val="nil"/>
        <w:right w:val="nil"/>
        <w:between w:val="nil"/>
      </w:pBdr>
      <w:tabs>
        <w:tab w:val="center" w:pos="4252"/>
        <w:tab w:val="right" w:pos="8504"/>
      </w:tabs>
      <w:rPr>
        <w:rFonts w:ascii="Cambria" w:eastAsia="Cambria" w:hAnsi="Cambria" w:cs="Cambria"/>
        <w:color w:val="000000"/>
      </w:rPr>
    </w:pPr>
  </w:p>
  <w:p w14:paraId="6133ABA1" w14:textId="77777777" w:rsidR="007928C7" w:rsidRDefault="007928C7"/>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A94AB" w14:textId="77777777" w:rsidR="007928C7" w:rsidRDefault="007928C7">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p>
  <w:p w14:paraId="1B561CC5" w14:textId="77777777" w:rsidR="007928C7" w:rsidRDefault="007928C7">
    <w:pPr>
      <w:pBdr>
        <w:top w:val="nil"/>
        <w:left w:val="nil"/>
        <w:bottom w:val="nil"/>
        <w:right w:val="nil"/>
        <w:between w:val="nil"/>
      </w:pBdr>
      <w:tabs>
        <w:tab w:val="center" w:pos="4252"/>
        <w:tab w:val="right" w:pos="8504"/>
      </w:tabs>
      <w:rPr>
        <w:rFonts w:ascii="Cambria" w:eastAsia="Cambria" w:hAnsi="Cambria" w:cs="Cambria"/>
        <w:color w:val="000000"/>
      </w:rPr>
    </w:pPr>
  </w:p>
  <w:p w14:paraId="519A7154" w14:textId="77777777" w:rsidR="007928C7" w:rsidRDefault="007928C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D5231F"/>
    <w:multiLevelType w:val="multilevel"/>
    <w:tmpl w:val="45CC28F4"/>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3."/>
      <w:lvlJc w:val="right"/>
      <w:pPr>
        <w:ind w:left="3011" w:hanging="180"/>
      </w:pPr>
    </w:lvl>
    <w:lvl w:ilvl="3">
      <w:start w:val="1"/>
      <w:numFmt w:val="decimal"/>
      <w:lvlText w:val="%4."/>
      <w:lvlJc w:val="left"/>
      <w:pPr>
        <w:ind w:left="3731" w:hanging="360"/>
      </w:pPr>
    </w:lvl>
    <w:lvl w:ilvl="4">
      <w:start w:val="1"/>
      <w:numFmt w:val="lowerLetter"/>
      <w:lvlText w:val="%5."/>
      <w:lvlJc w:val="left"/>
      <w:pPr>
        <w:ind w:left="4451" w:hanging="360"/>
      </w:pPr>
    </w:lvl>
    <w:lvl w:ilvl="5">
      <w:start w:val="1"/>
      <w:numFmt w:val="lowerRoman"/>
      <w:lvlText w:val="%6."/>
      <w:lvlJc w:val="right"/>
      <w:pPr>
        <w:ind w:left="5171" w:hanging="180"/>
      </w:pPr>
    </w:lvl>
    <w:lvl w:ilvl="6">
      <w:start w:val="1"/>
      <w:numFmt w:val="decimal"/>
      <w:lvlText w:val="%7."/>
      <w:lvlJc w:val="left"/>
      <w:pPr>
        <w:ind w:left="5891" w:hanging="360"/>
      </w:pPr>
    </w:lvl>
    <w:lvl w:ilvl="7">
      <w:start w:val="1"/>
      <w:numFmt w:val="lowerLetter"/>
      <w:lvlText w:val="%8."/>
      <w:lvlJc w:val="left"/>
      <w:pPr>
        <w:ind w:left="6611" w:hanging="360"/>
      </w:pPr>
    </w:lvl>
    <w:lvl w:ilvl="8">
      <w:start w:val="1"/>
      <w:numFmt w:val="lowerRoman"/>
      <w:lvlText w:val="%9."/>
      <w:lvlJc w:val="right"/>
      <w:pPr>
        <w:ind w:left="7331" w:hanging="180"/>
      </w:pPr>
    </w:lvl>
  </w:abstractNum>
  <w:abstractNum w:abstractNumId="1" w15:restartNumberingAfterBreak="0">
    <w:nsid w:val="326D460A"/>
    <w:multiLevelType w:val="multilevel"/>
    <w:tmpl w:val="5BB21E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3667BD4"/>
    <w:multiLevelType w:val="multilevel"/>
    <w:tmpl w:val="A896FCA8"/>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3" w15:restartNumberingAfterBreak="0">
    <w:nsid w:val="35A94D7F"/>
    <w:multiLevelType w:val="multilevel"/>
    <w:tmpl w:val="8C5C331A"/>
    <w:lvl w:ilvl="0">
      <w:start w:val="1"/>
      <w:numFmt w:val="decimal"/>
      <w:pStyle w:val="Listaconvietas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28C7"/>
    <w:rsid w:val="000C530D"/>
    <w:rsid w:val="007928C7"/>
    <w:rsid w:val="009561FF"/>
    <w:rsid w:val="00995982"/>
    <w:rsid w:val="00996B35"/>
    <w:rsid w:val="00AB4B3F"/>
    <w:rsid w:val="00B15132"/>
    <w:rsid w:val="00FE3C5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73C41"/>
  <w15:docId w15:val="{B85E2CA0-E929-4462-9238-24D3BDBF0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50A"/>
  </w:style>
  <w:style w:type="paragraph" w:styleId="Ttulo1">
    <w:name w:val="heading 1"/>
    <w:basedOn w:val="Normal"/>
    <w:next w:val="Normal"/>
    <w:uiPriority w:val="9"/>
    <w:qFormat/>
    <w:pPr>
      <w:keepNext/>
      <w:keepLines/>
      <w:spacing w:before="240"/>
      <w:outlineLvl w:val="0"/>
    </w:pPr>
    <w:rPr>
      <w:rFonts w:ascii="Calibri" w:eastAsia="Calibri" w:hAnsi="Calibri" w:cs="Calibri"/>
      <w:color w:val="366091"/>
      <w:sz w:val="32"/>
      <w:szCs w:val="32"/>
    </w:rPr>
  </w:style>
  <w:style w:type="paragraph" w:styleId="Ttulo2">
    <w:name w:val="heading 2"/>
    <w:basedOn w:val="Normal"/>
    <w:next w:val="Normal"/>
    <w:uiPriority w:val="9"/>
    <w:semiHidden/>
    <w:unhideWhenUsed/>
    <w:qFormat/>
    <w:pPr>
      <w:keepNext/>
      <w:keepLines/>
      <w:spacing w:before="40"/>
      <w:outlineLvl w:val="1"/>
    </w:pPr>
    <w:rPr>
      <w:rFonts w:ascii="Calibri" w:eastAsia="Calibri" w:hAnsi="Calibri" w:cs="Calibri"/>
      <w:color w:val="366091"/>
      <w:sz w:val="26"/>
      <w:szCs w:val="26"/>
    </w:rPr>
  </w:style>
  <w:style w:type="paragraph" w:styleId="Ttulo3">
    <w:name w:val="heading 3"/>
    <w:basedOn w:val="Normal"/>
    <w:next w:val="Normal"/>
    <w:uiPriority w:val="9"/>
    <w:semiHidden/>
    <w:unhideWhenUsed/>
    <w:qFormat/>
    <w:pPr>
      <w:keepNext/>
      <w:spacing w:before="240" w:after="60"/>
      <w:ind w:left="2160" w:hanging="720"/>
      <w:outlineLvl w:val="2"/>
    </w:pPr>
    <w:rPr>
      <w:rFonts w:ascii="Calibri" w:eastAsia="Calibri" w:hAnsi="Calibri" w:cs="Calibri"/>
      <w:b/>
      <w:sz w:val="26"/>
      <w:szCs w:val="26"/>
    </w:rPr>
  </w:style>
  <w:style w:type="paragraph" w:styleId="Ttulo4">
    <w:name w:val="heading 4"/>
    <w:basedOn w:val="Normal"/>
    <w:next w:val="Normal"/>
    <w:uiPriority w:val="9"/>
    <w:semiHidden/>
    <w:unhideWhenUsed/>
    <w:qFormat/>
    <w:pPr>
      <w:keepNext/>
      <w:spacing w:before="240" w:after="60"/>
      <w:ind w:left="2880" w:hanging="720"/>
      <w:outlineLvl w:val="3"/>
    </w:pPr>
    <w:rPr>
      <w:rFonts w:ascii="Cambria" w:eastAsia="Cambria" w:hAnsi="Cambria" w:cs="Cambria"/>
      <w:b/>
      <w:sz w:val="28"/>
      <w:szCs w:val="28"/>
    </w:rPr>
  </w:style>
  <w:style w:type="paragraph" w:styleId="Ttulo5">
    <w:name w:val="heading 5"/>
    <w:basedOn w:val="Normal"/>
    <w:next w:val="Normal"/>
    <w:uiPriority w:val="9"/>
    <w:semiHidden/>
    <w:unhideWhenUsed/>
    <w:qFormat/>
    <w:pPr>
      <w:spacing w:before="240" w:after="60"/>
      <w:ind w:left="3600" w:hanging="720"/>
      <w:outlineLvl w:val="4"/>
    </w:pPr>
    <w:rPr>
      <w:rFonts w:ascii="Cambria" w:eastAsia="Cambria" w:hAnsi="Cambria" w:cs="Cambria"/>
      <w:b/>
      <w:i/>
      <w:sz w:val="26"/>
      <w:szCs w:val="26"/>
    </w:rPr>
  </w:style>
  <w:style w:type="paragraph" w:styleId="Ttulo6">
    <w:name w:val="heading 6"/>
    <w:basedOn w:val="Normal"/>
    <w:next w:val="Normal"/>
    <w:uiPriority w:val="9"/>
    <w:semiHidden/>
    <w:unhideWhenUsed/>
    <w:qFormat/>
    <w:pPr>
      <w:spacing w:before="240" w:after="60"/>
      <w:ind w:left="4320" w:hanging="72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6">
    <w:name w:val="Table Normal6"/>
    <w:tblPr>
      <w:tblCellMar>
        <w:top w:w="0" w:type="dxa"/>
        <w:left w:w="0" w:type="dxa"/>
        <w:bottom w:w="0" w:type="dxa"/>
        <w:right w:w="0" w:type="dxa"/>
      </w:tblCellMar>
    </w:tblPr>
  </w:style>
  <w:style w:type="table" w:customStyle="1" w:styleId="TableNormal5">
    <w:name w:val="Table Normal5"/>
    <w:tblPr>
      <w:tblCellMar>
        <w:top w:w="0" w:type="dxa"/>
        <w:left w:w="0" w:type="dxa"/>
        <w:bottom w:w="0" w:type="dxa"/>
        <w:right w:w="0" w:type="dxa"/>
      </w:tblCellMar>
    </w:tblPr>
  </w:style>
  <w:style w:type="table" w:customStyle="1" w:styleId="TableNormal4">
    <w:name w:val="Table Normal4"/>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14">
    <w:name w:val="14"/>
    <w:basedOn w:val="TableNormal10"/>
    <w:tblPr>
      <w:tblStyleRowBandSize w:val="1"/>
      <w:tblStyleColBandSize w:val="1"/>
      <w:tblCellMar>
        <w:left w:w="115" w:type="dxa"/>
        <w:right w:w="115" w:type="dxa"/>
      </w:tblCellMar>
    </w:tblPr>
  </w:style>
  <w:style w:type="table" w:customStyle="1" w:styleId="13">
    <w:name w:val="13"/>
    <w:basedOn w:val="TableNormal10"/>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B215CF"/>
    <w:pPr>
      <w:tabs>
        <w:tab w:val="center" w:pos="4419"/>
        <w:tab w:val="right" w:pos="8838"/>
      </w:tabs>
    </w:pPr>
  </w:style>
  <w:style w:type="character" w:customStyle="1" w:styleId="EncabezadoCar">
    <w:name w:val="Encabezado Car"/>
    <w:basedOn w:val="Fuentedeprrafopredeter"/>
    <w:link w:val="Encabezado"/>
    <w:uiPriority w:val="99"/>
    <w:rsid w:val="00B215CF"/>
  </w:style>
  <w:style w:type="paragraph" w:styleId="Piedepgina">
    <w:name w:val="footer"/>
    <w:basedOn w:val="Normal"/>
    <w:link w:val="PiedepginaCar"/>
    <w:uiPriority w:val="99"/>
    <w:unhideWhenUsed/>
    <w:rsid w:val="00B215CF"/>
    <w:pPr>
      <w:tabs>
        <w:tab w:val="center" w:pos="4419"/>
        <w:tab w:val="right" w:pos="8838"/>
      </w:tabs>
    </w:pPr>
  </w:style>
  <w:style w:type="character" w:customStyle="1" w:styleId="PiedepginaCar">
    <w:name w:val="Pie de página Car"/>
    <w:basedOn w:val="Fuentedeprrafopredeter"/>
    <w:link w:val="Piedepgina"/>
    <w:uiPriority w:val="99"/>
    <w:rsid w:val="00B215CF"/>
  </w:style>
  <w:style w:type="paragraph" w:styleId="NormalWeb">
    <w:name w:val="Normal (Web)"/>
    <w:basedOn w:val="Normal"/>
    <w:uiPriority w:val="99"/>
    <w:unhideWhenUsed/>
    <w:rsid w:val="00DA0443"/>
    <w:pPr>
      <w:spacing w:before="100" w:beforeAutospacing="1" w:after="100" w:afterAutospacing="1"/>
    </w:p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038B1"/>
    <w:pPr>
      <w:ind w:left="720"/>
      <w:contextualSpacing/>
    </w:pPr>
  </w:style>
  <w:style w:type="table" w:customStyle="1" w:styleId="12">
    <w:name w:val="12"/>
    <w:basedOn w:val="TableNormal10"/>
    <w:tblPr>
      <w:tblStyleRowBandSize w:val="1"/>
      <w:tblStyleColBandSize w:val="1"/>
      <w:tblCellMar>
        <w:left w:w="115" w:type="dxa"/>
        <w:right w:w="115" w:type="dxa"/>
      </w:tblCellMar>
    </w:tblPr>
  </w:style>
  <w:style w:type="table" w:customStyle="1" w:styleId="11">
    <w:name w:val="11"/>
    <w:basedOn w:val="TableNormal10"/>
    <w:tblPr>
      <w:tblStyleRowBandSize w:val="1"/>
      <w:tblStyleColBandSize w:val="1"/>
      <w:tblCellMar>
        <w:left w:w="115" w:type="dxa"/>
        <w:right w:w="115" w:type="dxa"/>
      </w:tblCellMar>
    </w:tblPr>
  </w:style>
  <w:style w:type="table" w:customStyle="1" w:styleId="10">
    <w:name w:val="10"/>
    <w:basedOn w:val="TableNormal2"/>
    <w:tblPr>
      <w:tblStyleRowBandSize w:val="1"/>
      <w:tblStyleColBandSize w:val="1"/>
      <w:tblCellMar>
        <w:left w:w="115" w:type="dxa"/>
        <w:right w:w="115" w:type="dxa"/>
      </w:tblCellMar>
    </w:tblPr>
  </w:style>
  <w:style w:type="table" w:customStyle="1" w:styleId="9">
    <w:name w:val="9"/>
    <w:basedOn w:val="TableNormal2"/>
    <w:tblPr>
      <w:tblStyleRowBandSize w:val="1"/>
      <w:tblStyleColBandSize w:val="1"/>
      <w:tblCellMar>
        <w:left w:w="115" w:type="dxa"/>
        <w:right w:w="115" w:type="dxa"/>
      </w:tblCellMar>
    </w:tblPr>
  </w:style>
  <w:style w:type="table" w:customStyle="1" w:styleId="8">
    <w:name w:val="8"/>
    <w:basedOn w:val="TableNormal3"/>
    <w:tblPr>
      <w:tblStyleRowBandSize w:val="1"/>
      <w:tblStyleColBandSize w:val="1"/>
      <w:tblCellMar>
        <w:left w:w="115" w:type="dxa"/>
        <w:right w:w="115" w:type="dxa"/>
      </w:tblCellMar>
    </w:tblPr>
  </w:style>
  <w:style w:type="table" w:customStyle="1" w:styleId="7">
    <w:name w:val="7"/>
    <w:basedOn w:val="TableNormal3"/>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455091"/>
    <w:rPr>
      <w:color w:val="0000FF" w:themeColor="hyperlink"/>
      <w:u w:val="single"/>
    </w:rPr>
  </w:style>
  <w:style w:type="paragraph" w:styleId="Listaconvietas3">
    <w:name w:val="List Bullet 3"/>
    <w:basedOn w:val="Normal"/>
    <w:uiPriority w:val="99"/>
    <w:unhideWhenUsed/>
    <w:rsid w:val="00210E50"/>
    <w:pPr>
      <w:numPr>
        <w:numId w:val="4"/>
      </w:numPr>
      <w:contextualSpacing/>
    </w:pPr>
    <w:rPr>
      <w:lang w:val="es-ES"/>
    </w:rPr>
  </w:style>
  <w:style w:type="table" w:customStyle="1" w:styleId="6">
    <w:name w:val="6"/>
    <w:basedOn w:val="TableNormal4"/>
    <w:tblPr>
      <w:tblStyleRowBandSize w:val="1"/>
      <w:tblStyleColBandSize w:val="1"/>
      <w:tblCellMar>
        <w:left w:w="115" w:type="dxa"/>
        <w:right w:w="115" w:type="dxa"/>
      </w:tblCellMar>
    </w:tblPr>
  </w:style>
  <w:style w:type="table" w:customStyle="1" w:styleId="5">
    <w:name w:val="5"/>
    <w:basedOn w:val="TableNormal4"/>
    <w:tblPr>
      <w:tblStyleRowBandSize w:val="1"/>
      <w:tblStyleColBandSize w:val="1"/>
      <w:tblCellMar>
        <w:left w:w="115" w:type="dxa"/>
        <w:right w:w="115" w:type="dxa"/>
      </w:tblCellMar>
    </w:tblPr>
  </w:style>
  <w:style w:type="table" w:customStyle="1" w:styleId="4">
    <w:name w:val="4"/>
    <w:basedOn w:val="TableNormal5"/>
    <w:tblPr>
      <w:tblStyleRowBandSize w:val="1"/>
      <w:tblStyleColBandSize w:val="1"/>
      <w:tblCellMar>
        <w:left w:w="115" w:type="dxa"/>
        <w:right w:w="115" w:type="dxa"/>
      </w:tblCellMar>
    </w:tblPr>
  </w:style>
  <w:style w:type="table" w:customStyle="1" w:styleId="3">
    <w:name w:val="3"/>
    <w:basedOn w:val="TableNormal5"/>
    <w:tblPr>
      <w:tblStyleRowBandSize w:val="1"/>
      <w:tblStyleColBandSize w:val="1"/>
      <w:tblCellMar>
        <w:left w:w="115" w:type="dxa"/>
        <w:right w:w="115" w:type="dxa"/>
      </w:tblCellMar>
    </w:tblPr>
  </w:style>
  <w:style w:type="table" w:customStyle="1" w:styleId="2">
    <w:name w:val="2"/>
    <w:basedOn w:val="TableNormal6"/>
    <w:tblPr>
      <w:tblStyleRowBandSize w:val="1"/>
      <w:tblStyleColBandSize w:val="1"/>
      <w:tblCellMar>
        <w:left w:w="115" w:type="dxa"/>
        <w:right w:w="115" w:type="dxa"/>
      </w:tblCellMar>
    </w:tblPr>
  </w:style>
  <w:style w:type="table" w:customStyle="1" w:styleId="1">
    <w:name w:val="1"/>
    <w:basedOn w:val="TableNormal6"/>
    <w:tblPr>
      <w:tblStyleRowBandSize w:val="1"/>
      <w:tblStyleColBandSize w:val="1"/>
      <w:tblCellMar>
        <w:left w:w="115" w:type="dxa"/>
        <w:right w:w="115" w:type="dxa"/>
      </w:tblCellMar>
    </w:tblPr>
  </w:style>
  <w:style w:type="table" w:styleId="Tablaconcuadrcula">
    <w:name w:val="Table Grid"/>
    <w:basedOn w:val="Tablanormal"/>
    <w:uiPriority w:val="39"/>
    <w:rsid w:val="00FA3E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uiPriority w:val="99"/>
    <w:semiHidden/>
    <w:unhideWhenUsed/>
    <w:rsid w:val="00FA3EBA"/>
    <w:rPr>
      <w:color w:val="800080" w:themeColor="followedHyperlink"/>
      <w:u w:val="single"/>
    </w:rPr>
  </w:style>
  <w:style w:type="table" w:customStyle="1" w:styleId="Tablaconcuadrcula1">
    <w:name w:val="Tabla con cuadrícula1"/>
    <w:basedOn w:val="Tablanormal"/>
    <w:next w:val="Tablaconcuadrcula"/>
    <w:uiPriority w:val="59"/>
    <w:rsid w:val="00DA7169"/>
    <w:rPr>
      <w:rFonts w:asciiTheme="minorHAnsi" w:eastAsiaTheme="minorEastAsia" w:hAnsiTheme="minorHAnsi" w:cstheme="minorBidi"/>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5A405F"/>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left w:w="115" w:type="dxa"/>
        <w:right w:w="115" w:type="dxa"/>
      </w:tblCellMar>
    </w:tblPr>
  </w:style>
  <w:style w:type="table" w:customStyle="1" w:styleId="a2">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chapultepec.gob.mx/" TargetMode="External"/><Relationship Id="rId13" Type="http://schemas.openxmlformats.org/officeDocument/2006/relationships/image" Target="media/image4.png"/><Relationship Id="rId18" Type="http://schemas.openxmlformats.org/officeDocument/2006/relationships/header" Target="header1.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chapultepec.gob.mx/" TargetMode="External"/><Relationship Id="rId17" Type="http://schemas.openxmlformats.org/officeDocument/2006/relationships/hyperlink" Target="about:blank"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3.xml"/><Relationship Id="rId10" Type="http://schemas.openxmlformats.org/officeDocument/2006/relationships/image" Target="media/image2.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header" Target="header3.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4DKjz0PIhvcFvIG/1bVucIBUSEg==">CgMxLjAyCWguMWZvYjl0ZTIJaC4zNW5rdW4yMghoLmdqZGd4czIJaC4zZHk2dmttMgloLjMwajB6bGwyCWguMnM4ZXlvMTIIaC50eWpjd3QyCWguM3pueXNoNzIJaC4yZXQ5MnAwMgloLjFrc3Y0dXYyDmguaWp2OThwbnRjZDVzMgloLjI2aW4xcmcyCWguMXQzaDVzZjIJaC40ZDM0b2c4OAByITFobFBOejhDQ3dSdGtETko1NEsyMDh0LXpBSHVyS3N2Tg==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48</Pages>
  <Words>12899</Words>
  <Characters>70946</Characters>
  <Application>Microsoft Office Word</Application>
  <DocSecurity>0</DocSecurity>
  <Lines>591</Lines>
  <Paragraphs>167</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Maricela Villagómez Martínez</cp:lastModifiedBy>
  <cp:revision>2</cp:revision>
  <cp:lastPrinted>2024-12-13T17:19:00Z</cp:lastPrinted>
  <dcterms:created xsi:type="dcterms:W3CDTF">2025-01-16T18:19:00Z</dcterms:created>
  <dcterms:modified xsi:type="dcterms:W3CDTF">2025-01-16T18:19:00Z</dcterms:modified>
</cp:coreProperties>
</file>