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406F6" w:rsidRDefault="00AE3DA7" w:rsidP="008406F6">
          <w:pPr>
            <w:pStyle w:val="TtulodeTDC"/>
            <w:spacing w:before="0" w:line="240" w:lineRule="auto"/>
            <w:rPr>
              <w:rFonts w:ascii="Palatino Linotype" w:hAnsi="Palatino Linotype"/>
              <w:color w:val="auto"/>
              <w:sz w:val="24"/>
              <w:szCs w:val="24"/>
              <w:lang w:val="es-ES"/>
            </w:rPr>
          </w:pPr>
          <w:r w:rsidRPr="008406F6">
            <w:rPr>
              <w:rFonts w:ascii="Palatino Linotype" w:hAnsi="Palatino Linotype"/>
              <w:color w:val="auto"/>
              <w:sz w:val="24"/>
              <w:szCs w:val="24"/>
              <w:lang w:val="es-ES"/>
            </w:rPr>
            <w:t>Contenido</w:t>
          </w:r>
        </w:p>
        <w:p w14:paraId="3EB312A7" w14:textId="77777777" w:rsidR="00AA6EA9" w:rsidRPr="008406F6" w:rsidRDefault="00AA6EA9" w:rsidP="008406F6">
          <w:pPr>
            <w:spacing w:line="240" w:lineRule="auto"/>
            <w:rPr>
              <w:sz w:val="16"/>
              <w:szCs w:val="16"/>
              <w:lang w:val="es-ES" w:eastAsia="es-MX"/>
            </w:rPr>
          </w:pPr>
        </w:p>
        <w:p w14:paraId="6DBB3D60" w14:textId="1DF1B28A" w:rsidR="008406F6" w:rsidRPr="008406F6" w:rsidRDefault="00AE3DA7" w:rsidP="008406F6">
          <w:pPr>
            <w:pStyle w:val="TDC1"/>
            <w:tabs>
              <w:tab w:val="right" w:leader="dot" w:pos="9034"/>
            </w:tabs>
            <w:rPr>
              <w:rFonts w:asciiTheme="minorHAnsi" w:eastAsiaTheme="minorEastAsia" w:hAnsiTheme="minorHAnsi" w:cstheme="minorBidi"/>
              <w:noProof/>
              <w:szCs w:val="22"/>
              <w:lang w:eastAsia="es-MX"/>
            </w:rPr>
          </w:pPr>
          <w:r w:rsidRPr="008406F6">
            <w:rPr>
              <w:sz w:val="16"/>
              <w:szCs w:val="16"/>
            </w:rPr>
            <w:fldChar w:fldCharType="begin"/>
          </w:r>
          <w:r w:rsidRPr="008406F6">
            <w:rPr>
              <w:sz w:val="16"/>
              <w:szCs w:val="16"/>
            </w:rPr>
            <w:instrText xml:space="preserve"> TOC \o "1-3" \h \z \u </w:instrText>
          </w:r>
          <w:r w:rsidRPr="008406F6">
            <w:rPr>
              <w:sz w:val="16"/>
              <w:szCs w:val="16"/>
            </w:rPr>
            <w:fldChar w:fldCharType="separate"/>
          </w:r>
          <w:hyperlink w:anchor="_Toc181264967" w:history="1">
            <w:r w:rsidR="008406F6" w:rsidRPr="008406F6">
              <w:rPr>
                <w:rStyle w:val="Hipervnculo"/>
                <w:noProof/>
                <w:color w:val="auto"/>
              </w:rPr>
              <w:t>ANTECEDENTES</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_Toc181264967 \h </w:instrText>
            </w:r>
            <w:r w:rsidR="008406F6" w:rsidRPr="008406F6">
              <w:rPr>
                <w:noProof/>
                <w:webHidden/>
              </w:rPr>
            </w:r>
            <w:r w:rsidR="008406F6" w:rsidRPr="008406F6">
              <w:rPr>
                <w:noProof/>
                <w:webHidden/>
              </w:rPr>
              <w:fldChar w:fldCharType="separate"/>
            </w:r>
            <w:r w:rsidR="004554E1">
              <w:rPr>
                <w:noProof/>
                <w:webHidden/>
              </w:rPr>
              <w:t>1</w:t>
            </w:r>
            <w:r w:rsidR="008406F6" w:rsidRPr="008406F6">
              <w:rPr>
                <w:noProof/>
                <w:webHidden/>
              </w:rPr>
              <w:fldChar w:fldCharType="end"/>
            </w:r>
          </w:hyperlink>
        </w:p>
        <w:p w14:paraId="432E8B2E" w14:textId="35B9A140" w:rsidR="008406F6" w:rsidRPr="008406F6" w:rsidRDefault="0082022B" w:rsidP="008406F6">
          <w:pPr>
            <w:pStyle w:val="TDC2"/>
            <w:rPr>
              <w:rFonts w:asciiTheme="minorHAnsi" w:eastAsiaTheme="minorEastAsia" w:hAnsiTheme="minorHAnsi" w:cstheme="minorBidi"/>
              <w:noProof/>
              <w:szCs w:val="22"/>
              <w:lang w:eastAsia="es-MX"/>
            </w:rPr>
          </w:pPr>
          <w:hyperlink w:anchor="_Toc181264968" w:history="1">
            <w:r w:rsidR="008406F6" w:rsidRPr="008406F6">
              <w:rPr>
                <w:rStyle w:val="Hipervnculo"/>
                <w:noProof/>
                <w:color w:val="auto"/>
              </w:rPr>
              <w:t>DE LAS SOLICITUDES DE INFORMACIÓN</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_Toc181264968 \h </w:instrText>
            </w:r>
            <w:r w:rsidR="008406F6" w:rsidRPr="008406F6">
              <w:rPr>
                <w:noProof/>
                <w:webHidden/>
              </w:rPr>
            </w:r>
            <w:r w:rsidR="008406F6" w:rsidRPr="008406F6">
              <w:rPr>
                <w:noProof/>
                <w:webHidden/>
              </w:rPr>
              <w:fldChar w:fldCharType="separate"/>
            </w:r>
            <w:r w:rsidR="004554E1">
              <w:rPr>
                <w:noProof/>
                <w:webHidden/>
              </w:rPr>
              <w:t>1</w:t>
            </w:r>
            <w:r w:rsidR="008406F6" w:rsidRPr="008406F6">
              <w:rPr>
                <w:noProof/>
                <w:webHidden/>
              </w:rPr>
              <w:fldChar w:fldCharType="end"/>
            </w:r>
          </w:hyperlink>
        </w:p>
        <w:p w14:paraId="6B9E2E90" w14:textId="4AB210B6" w:rsidR="008406F6" w:rsidRPr="008406F6" w:rsidRDefault="0082022B" w:rsidP="008406F6">
          <w:pPr>
            <w:pStyle w:val="TDC3"/>
            <w:rPr>
              <w:rFonts w:asciiTheme="minorHAnsi" w:eastAsiaTheme="minorEastAsia" w:hAnsiTheme="minorHAnsi" w:cstheme="minorBidi"/>
              <w:noProof/>
              <w:szCs w:val="22"/>
              <w:lang w:eastAsia="es-MX"/>
            </w:rPr>
          </w:pPr>
          <w:hyperlink w:anchor="_Toc181264969" w:history="1">
            <w:r w:rsidR="008406F6" w:rsidRPr="008406F6">
              <w:rPr>
                <w:rStyle w:val="Hipervnculo"/>
                <w:noProof/>
                <w:color w:val="auto"/>
              </w:rPr>
              <w:t>a) Solicitudes de información</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_Toc181264969 \h </w:instrText>
            </w:r>
            <w:r w:rsidR="008406F6" w:rsidRPr="008406F6">
              <w:rPr>
                <w:noProof/>
                <w:webHidden/>
              </w:rPr>
            </w:r>
            <w:r w:rsidR="008406F6" w:rsidRPr="008406F6">
              <w:rPr>
                <w:noProof/>
                <w:webHidden/>
              </w:rPr>
              <w:fldChar w:fldCharType="separate"/>
            </w:r>
            <w:r w:rsidR="004554E1">
              <w:rPr>
                <w:noProof/>
                <w:webHidden/>
              </w:rPr>
              <w:t>1</w:t>
            </w:r>
            <w:r w:rsidR="008406F6" w:rsidRPr="008406F6">
              <w:rPr>
                <w:noProof/>
                <w:webHidden/>
              </w:rPr>
              <w:fldChar w:fldCharType="end"/>
            </w:r>
          </w:hyperlink>
        </w:p>
        <w:p w14:paraId="2E6D35C3" w14:textId="2D686A81" w:rsidR="008406F6" w:rsidRPr="008406F6" w:rsidRDefault="0082022B" w:rsidP="008406F6">
          <w:pPr>
            <w:pStyle w:val="TDC3"/>
            <w:rPr>
              <w:rFonts w:asciiTheme="minorHAnsi" w:eastAsiaTheme="minorEastAsia" w:hAnsiTheme="minorHAnsi" w:cstheme="minorBidi"/>
              <w:noProof/>
              <w:szCs w:val="22"/>
              <w:lang w:eastAsia="es-MX"/>
            </w:rPr>
          </w:pPr>
          <w:hyperlink w:anchor="_Toc181264970" w:history="1">
            <w:r w:rsidR="008406F6" w:rsidRPr="008406F6">
              <w:rPr>
                <w:rStyle w:val="Hipervnculo"/>
                <w:noProof/>
                <w:color w:val="auto"/>
              </w:rPr>
              <w:t>b) Respuesta</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_Toc181264970 \h </w:instrText>
            </w:r>
            <w:r w:rsidR="008406F6" w:rsidRPr="008406F6">
              <w:rPr>
                <w:noProof/>
                <w:webHidden/>
              </w:rPr>
            </w:r>
            <w:r w:rsidR="008406F6" w:rsidRPr="008406F6">
              <w:rPr>
                <w:noProof/>
                <w:webHidden/>
              </w:rPr>
              <w:fldChar w:fldCharType="separate"/>
            </w:r>
            <w:r w:rsidR="004554E1">
              <w:rPr>
                <w:noProof/>
                <w:webHidden/>
              </w:rPr>
              <w:t>3</w:t>
            </w:r>
            <w:r w:rsidR="008406F6" w:rsidRPr="008406F6">
              <w:rPr>
                <w:noProof/>
                <w:webHidden/>
              </w:rPr>
              <w:fldChar w:fldCharType="end"/>
            </w:r>
          </w:hyperlink>
        </w:p>
        <w:p w14:paraId="2EB43F99" w14:textId="4779CF8D" w:rsidR="008406F6" w:rsidRPr="008406F6" w:rsidRDefault="0082022B" w:rsidP="008406F6">
          <w:pPr>
            <w:pStyle w:val="TDC2"/>
            <w:rPr>
              <w:rFonts w:asciiTheme="minorHAnsi" w:eastAsiaTheme="minorEastAsia" w:hAnsiTheme="minorHAnsi" w:cstheme="minorBidi"/>
              <w:noProof/>
              <w:szCs w:val="22"/>
              <w:lang w:eastAsia="es-MX"/>
            </w:rPr>
          </w:pPr>
          <w:hyperlink w:anchor="_Toc181264971" w:history="1">
            <w:r w:rsidR="008406F6" w:rsidRPr="008406F6">
              <w:rPr>
                <w:rStyle w:val="Hipervnculo"/>
                <w:noProof/>
                <w:color w:val="auto"/>
              </w:rPr>
              <w:t>DE LOS RECURSOS DE REVISIÓN</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_Toc181264971 \h </w:instrText>
            </w:r>
            <w:r w:rsidR="008406F6" w:rsidRPr="008406F6">
              <w:rPr>
                <w:noProof/>
                <w:webHidden/>
              </w:rPr>
            </w:r>
            <w:r w:rsidR="008406F6" w:rsidRPr="008406F6">
              <w:rPr>
                <w:noProof/>
                <w:webHidden/>
              </w:rPr>
              <w:fldChar w:fldCharType="separate"/>
            </w:r>
            <w:r w:rsidR="004554E1">
              <w:rPr>
                <w:noProof/>
                <w:webHidden/>
              </w:rPr>
              <w:t>3</w:t>
            </w:r>
            <w:r w:rsidR="008406F6" w:rsidRPr="008406F6">
              <w:rPr>
                <w:noProof/>
                <w:webHidden/>
              </w:rPr>
              <w:fldChar w:fldCharType="end"/>
            </w:r>
          </w:hyperlink>
        </w:p>
        <w:p w14:paraId="53F8AE8B" w14:textId="2C634A1D" w:rsidR="008406F6" w:rsidRPr="008406F6" w:rsidRDefault="0082022B" w:rsidP="008406F6">
          <w:pPr>
            <w:pStyle w:val="TDC3"/>
            <w:rPr>
              <w:rFonts w:asciiTheme="minorHAnsi" w:eastAsiaTheme="minorEastAsia" w:hAnsiTheme="minorHAnsi" w:cstheme="minorBidi"/>
              <w:noProof/>
              <w:szCs w:val="22"/>
              <w:lang w:eastAsia="es-MX"/>
            </w:rPr>
          </w:pPr>
          <w:hyperlink w:anchor="_Toc181264972" w:history="1">
            <w:r w:rsidR="008406F6" w:rsidRPr="008406F6">
              <w:rPr>
                <w:rStyle w:val="Hipervnculo"/>
                <w:noProof/>
                <w:color w:val="auto"/>
              </w:rPr>
              <w:t>a) Interposición de los Recursos de Revisión</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_Toc181264972 \h </w:instrText>
            </w:r>
            <w:r w:rsidR="008406F6" w:rsidRPr="008406F6">
              <w:rPr>
                <w:noProof/>
                <w:webHidden/>
              </w:rPr>
            </w:r>
            <w:r w:rsidR="008406F6" w:rsidRPr="008406F6">
              <w:rPr>
                <w:noProof/>
                <w:webHidden/>
              </w:rPr>
              <w:fldChar w:fldCharType="separate"/>
            </w:r>
            <w:r w:rsidR="004554E1">
              <w:rPr>
                <w:noProof/>
                <w:webHidden/>
              </w:rPr>
              <w:t>3</w:t>
            </w:r>
            <w:r w:rsidR="008406F6" w:rsidRPr="008406F6">
              <w:rPr>
                <w:noProof/>
                <w:webHidden/>
              </w:rPr>
              <w:fldChar w:fldCharType="end"/>
            </w:r>
          </w:hyperlink>
        </w:p>
        <w:p w14:paraId="064CDBCC" w14:textId="1897AC69" w:rsidR="008406F6" w:rsidRPr="008406F6" w:rsidRDefault="0082022B" w:rsidP="008406F6">
          <w:pPr>
            <w:pStyle w:val="TDC3"/>
            <w:rPr>
              <w:rFonts w:asciiTheme="minorHAnsi" w:eastAsiaTheme="minorEastAsia" w:hAnsiTheme="minorHAnsi" w:cstheme="minorBidi"/>
              <w:noProof/>
              <w:szCs w:val="22"/>
              <w:lang w:eastAsia="es-MX"/>
            </w:rPr>
          </w:pPr>
          <w:hyperlink w:anchor="_Toc181264973" w:history="1">
            <w:r w:rsidR="008406F6" w:rsidRPr="008406F6">
              <w:rPr>
                <w:rStyle w:val="Hipervnculo"/>
                <w:noProof/>
                <w:color w:val="auto"/>
              </w:rPr>
              <w:t>b) Turno de los Recursos de Revisión</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_Toc181264973 \h </w:instrText>
            </w:r>
            <w:r w:rsidR="008406F6" w:rsidRPr="008406F6">
              <w:rPr>
                <w:noProof/>
                <w:webHidden/>
              </w:rPr>
            </w:r>
            <w:r w:rsidR="008406F6" w:rsidRPr="008406F6">
              <w:rPr>
                <w:noProof/>
                <w:webHidden/>
              </w:rPr>
              <w:fldChar w:fldCharType="separate"/>
            </w:r>
            <w:r w:rsidR="004554E1">
              <w:rPr>
                <w:noProof/>
                <w:webHidden/>
              </w:rPr>
              <w:t>4</w:t>
            </w:r>
            <w:r w:rsidR="008406F6" w:rsidRPr="008406F6">
              <w:rPr>
                <w:noProof/>
                <w:webHidden/>
              </w:rPr>
              <w:fldChar w:fldCharType="end"/>
            </w:r>
          </w:hyperlink>
        </w:p>
        <w:p w14:paraId="4D98D7A8" w14:textId="47D99C5B" w:rsidR="008406F6" w:rsidRPr="008406F6" w:rsidRDefault="0082022B" w:rsidP="008406F6">
          <w:pPr>
            <w:pStyle w:val="TDC3"/>
            <w:rPr>
              <w:rFonts w:asciiTheme="minorHAnsi" w:eastAsiaTheme="minorEastAsia" w:hAnsiTheme="minorHAnsi" w:cstheme="minorBidi"/>
              <w:noProof/>
              <w:szCs w:val="22"/>
              <w:lang w:eastAsia="es-MX"/>
            </w:rPr>
          </w:pPr>
          <w:hyperlink w:anchor="_Toc181264974" w:history="1">
            <w:r w:rsidR="008406F6" w:rsidRPr="008406F6">
              <w:rPr>
                <w:rStyle w:val="Hipervnculo"/>
                <w:noProof/>
                <w:color w:val="auto"/>
              </w:rPr>
              <w:t>c) Admisión de los Recursos de Revisión</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_Toc181264974 \h </w:instrText>
            </w:r>
            <w:r w:rsidR="008406F6" w:rsidRPr="008406F6">
              <w:rPr>
                <w:noProof/>
                <w:webHidden/>
              </w:rPr>
            </w:r>
            <w:r w:rsidR="008406F6" w:rsidRPr="008406F6">
              <w:rPr>
                <w:noProof/>
                <w:webHidden/>
              </w:rPr>
              <w:fldChar w:fldCharType="separate"/>
            </w:r>
            <w:r w:rsidR="004554E1">
              <w:rPr>
                <w:noProof/>
                <w:webHidden/>
              </w:rPr>
              <w:t>4</w:t>
            </w:r>
            <w:r w:rsidR="008406F6" w:rsidRPr="008406F6">
              <w:rPr>
                <w:noProof/>
                <w:webHidden/>
              </w:rPr>
              <w:fldChar w:fldCharType="end"/>
            </w:r>
          </w:hyperlink>
        </w:p>
        <w:p w14:paraId="7B962ADC" w14:textId="31378CA2" w:rsidR="008406F6" w:rsidRPr="008406F6" w:rsidRDefault="0082022B" w:rsidP="008406F6">
          <w:pPr>
            <w:pStyle w:val="TDC3"/>
            <w:rPr>
              <w:rFonts w:asciiTheme="minorHAnsi" w:eastAsiaTheme="minorEastAsia" w:hAnsiTheme="minorHAnsi" w:cstheme="minorBidi"/>
              <w:noProof/>
              <w:szCs w:val="22"/>
              <w:lang w:eastAsia="es-MX"/>
            </w:rPr>
          </w:pPr>
          <w:hyperlink w:anchor="_Toc181264975" w:history="1">
            <w:r w:rsidR="008406F6" w:rsidRPr="008406F6">
              <w:rPr>
                <w:rStyle w:val="Hipervnculo"/>
                <w:noProof/>
                <w:color w:val="auto"/>
              </w:rPr>
              <w:t>d) Informe Justificado del Sujeto Obligado</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_Toc181264975 \h </w:instrText>
            </w:r>
            <w:r w:rsidR="008406F6" w:rsidRPr="008406F6">
              <w:rPr>
                <w:noProof/>
                <w:webHidden/>
              </w:rPr>
            </w:r>
            <w:r w:rsidR="008406F6" w:rsidRPr="008406F6">
              <w:rPr>
                <w:noProof/>
                <w:webHidden/>
              </w:rPr>
              <w:fldChar w:fldCharType="separate"/>
            </w:r>
            <w:r w:rsidR="004554E1">
              <w:rPr>
                <w:noProof/>
                <w:webHidden/>
              </w:rPr>
              <w:t>4</w:t>
            </w:r>
            <w:r w:rsidR="008406F6" w:rsidRPr="008406F6">
              <w:rPr>
                <w:noProof/>
                <w:webHidden/>
              </w:rPr>
              <w:fldChar w:fldCharType="end"/>
            </w:r>
          </w:hyperlink>
        </w:p>
        <w:p w14:paraId="4AF72A2A" w14:textId="6FD9BCC6" w:rsidR="008406F6" w:rsidRPr="008406F6" w:rsidRDefault="0082022B" w:rsidP="008406F6">
          <w:pPr>
            <w:pStyle w:val="TDC3"/>
            <w:rPr>
              <w:rFonts w:asciiTheme="minorHAnsi" w:eastAsiaTheme="minorEastAsia" w:hAnsiTheme="minorHAnsi" w:cstheme="minorBidi"/>
              <w:noProof/>
              <w:szCs w:val="22"/>
              <w:lang w:eastAsia="es-MX"/>
            </w:rPr>
          </w:pPr>
          <w:hyperlink w:anchor="_Toc181264976" w:history="1">
            <w:r w:rsidR="008406F6" w:rsidRPr="008406F6">
              <w:rPr>
                <w:rStyle w:val="Hipervnculo"/>
                <w:rFonts w:eastAsia="Calibri"/>
                <w:bCs/>
                <w:noProof/>
                <w:color w:val="auto"/>
                <w:lang w:eastAsia="en-US"/>
              </w:rPr>
              <w:t>e)</w:t>
            </w:r>
            <w:r w:rsidR="008406F6" w:rsidRPr="008406F6">
              <w:rPr>
                <w:rStyle w:val="Hipervnculo"/>
                <w:noProof/>
                <w:color w:val="auto"/>
              </w:rPr>
              <w:t xml:space="preserve"> </w:t>
            </w:r>
            <w:r w:rsidR="008406F6" w:rsidRPr="008406F6">
              <w:rPr>
                <w:rStyle w:val="Hipervnculo"/>
                <w:noProof/>
                <w:color w:val="auto"/>
                <w:lang w:val="es-ES"/>
              </w:rPr>
              <w:t>Manifestaciones de la Parte Recurrente</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_Toc181264976 \h </w:instrText>
            </w:r>
            <w:r w:rsidR="008406F6" w:rsidRPr="008406F6">
              <w:rPr>
                <w:noProof/>
                <w:webHidden/>
              </w:rPr>
            </w:r>
            <w:r w:rsidR="008406F6" w:rsidRPr="008406F6">
              <w:rPr>
                <w:noProof/>
                <w:webHidden/>
              </w:rPr>
              <w:fldChar w:fldCharType="separate"/>
            </w:r>
            <w:r w:rsidR="004554E1">
              <w:rPr>
                <w:noProof/>
                <w:webHidden/>
              </w:rPr>
              <w:t>6</w:t>
            </w:r>
            <w:r w:rsidR="008406F6" w:rsidRPr="008406F6">
              <w:rPr>
                <w:noProof/>
                <w:webHidden/>
              </w:rPr>
              <w:fldChar w:fldCharType="end"/>
            </w:r>
          </w:hyperlink>
        </w:p>
        <w:p w14:paraId="07196AFF" w14:textId="390114C4" w:rsidR="008406F6" w:rsidRPr="008406F6" w:rsidRDefault="0082022B" w:rsidP="008406F6">
          <w:pPr>
            <w:pStyle w:val="TDC3"/>
            <w:rPr>
              <w:rFonts w:asciiTheme="minorHAnsi" w:eastAsiaTheme="minorEastAsia" w:hAnsiTheme="minorHAnsi" w:cstheme="minorBidi"/>
              <w:noProof/>
              <w:szCs w:val="22"/>
              <w:lang w:eastAsia="es-MX"/>
            </w:rPr>
          </w:pPr>
          <w:hyperlink w:anchor="_Toc181264977" w:history="1">
            <w:r w:rsidR="008406F6" w:rsidRPr="008406F6">
              <w:rPr>
                <w:rStyle w:val="Hipervnculo"/>
                <w:noProof/>
                <w:color w:val="auto"/>
              </w:rPr>
              <w:t>f) Acumulación de los Recursos de Revisión</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_Toc181264977 \h </w:instrText>
            </w:r>
            <w:r w:rsidR="008406F6" w:rsidRPr="008406F6">
              <w:rPr>
                <w:noProof/>
                <w:webHidden/>
              </w:rPr>
            </w:r>
            <w:r w:rsidR="008406F6" w:rsidRPr="008406F6">
              <w:rPr>
                <w:noProof/>
                <w:webHidden/>
              </w:rPr>
              <w:fldChar w:fldCharType="separate"/>
            </w:r>
            <w:r w:rsidR="004554E1">
              <w:rPr>
                <w:noProof/>
                <w:webHidden/>
              </w:rPr>
              <w:t>6</w:t>
            </w:r>
            <w:r w:rsidR="008406F6" w:rsidRPr="008406F6">
              <w:rPr>
                <w:noProof/>
                <w:webHidden/>
              </w:rPr>
              <w:fldChar w:fldCharType="end"/>
            </w:r>
          </w:hyperlink>
        </w:p>
        <w:p w14:paraId="752A7507" w14:textId="35CF6F62" w:rsidR="008406F6" w:rsidRPr="008406F6" w:rsidRDefault="0082022B" w:rsidP="008406F6">
          <w:pPr>
            <w:pStyle w:val="TDC3"/>
            <w:rPr>
              <w:rFonts w:asciiTheme="minorHAnsi" w:eastAsiaTheme="minorEastAsia" w:hAnsiTheme="minorHAnsi" w:cstheme="minorBidi"/>
              <w:noProof/>
              <w:szCs w:val="22"/>
              <w:lang w:eastAsia="es-MX"/>
            </w:rPr>
          </w:pPr>
          <w:hyperlink w:anchor="_Toc181264978" w:history="1">
            <w:r w:rsidR="008406F6" w:rsidRPr="008406F6">
              <w:rPr>
                <w:rStyle w:val="Hipervnculo"/>
                <w:rFonts w:eastAsia="Calibri"/>
                <w:noProof/>
                <w:color w:val="auto"/>
              </w:rPr>
              <w:t>g) Ampliación de plazo para resolver el Recurso de Revisión</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_Toc181264978 \h </w:instrText>
            </w:r>
            <w:r w:rsidR="008406F6" w:rsidRPr="008406F6">
              <w:rPr>
                <w:noProof/>
                <w:webHidden/>
              </w:rPr>
            </w:r>
            <w:r w:rsidR="008406F6" w:rsidRPr="008406F6">
              <w:rPr>
                <w:noProof/>
                <w:webHidden/>
              </w:rPr>
              <w:fldChar w:fldCharType="separate"/>
            </w:r>
            <w:r w:rsidR="004554E1">
              <w:rPr>
                <w:noProof/>
                <w:webHidden/>
              </w:rPr>
              <w:t>6</w:t>
            </w:r>
            <w:r w:rsidR="008406F6" w:rsidRPr="008406F6">
              <w:rPr>
                <w:noProof/>
                <w:webHidden/>
              </w:rPr>
              <w:fldChar w:fldCharType="end"/>
            </w:r>
          </w:hyperlink>
        </w:p>
        <w:p w14:paraId="78D876D0" w14:textId="2B6716A7" w:rsidR="008406F6" w:rsidRPr="008406F6" w:rsidRDefault="0082022B" w:rsidP="008406F6">
          <w:pPr>
            <w:pStyle w:val="TDC3"/>
            <w:rPr>
              <w:rFonts w:asciiTheme="minorHAnsi" w:eastAsiaTheme="minorEastAsia" w:hAnsiTheme="minorHAnsi" w:cstheme="minorBidi"/>
              <w:noProof/>
              <w:szCs w:val="22"/>
              <w:lang w:eastAsia="es-MX"/>
            </w:rPr>
          </w:pPr>
          <w:hyperlink w:anchor="_Toc181264979" w:history="1">
            <w:r w:rsidR="008406F6" w:rsidRPr="008406F6">
              <w:rPr>
                <w:rStyle w:val="Hipervnculo"/>
                <w:noProof/>
                <w:color w:val="auto"/>
              </w:rPr>
              <w:t>h) Cierre de instrucción</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_Toc181264979 \h </w:instrText>
            </w:r>
            <w:r w:rsidR="008406F6" w:rsidRPr="008406F6">
              <w:rPr>
                <w:noProof/>
                <w:webHidden/>
              </w:rPr>
            </w:r>
            <w:r w:rsidR="008406F6" w:rsidRPr="008406F6">
              <w:rPr>
                <w:noProof/>
                <w:webHidden/>
              </w:rPr>
              <w:fldChar w:fldCharType="separate"/>
            </w:r>
            <w:r w:rsidR="004554E1">
              <w:rPr>
                <w:noProof/>
                <w:webHidden/>
              </w:rPr>
              <w:t>7</w:t>
            </w:r>
            <w:r w:rsidR="008406F6" w:rsidRPr="008406F6">
              <w:rPr>
                <w:noProof/>
                <w:webHidden/>
              </w:rPr>
              <w:fldChar w:fldCharType="end"/>
            </w:r>
          </w:hyperlink>
        </w:p>
        <w:p w14:paraId="235311B6" w14:textId="1B13D727" w:rsidR="008406F6" w:rsidRPr="008406F6" w:rsidRDefault="0082022B" w:rsidP="008406F6">
          <w:pPr>
            <w:pStyle w:val="TDC1"/>
            <w:tabs>
              <w:tab w:val="right" w:leader="dot" w:pos="9034"/>
            </w:tabs>
            <w:rPr>
              <w:rFonts w:asciiTheme="minorHAnsi" w:eastAsiaTheme="minorEastAsia" w:hAnsiTheme="minorHAnsi" w:cstheme="minorBidi"/>
              <w:noProof/>
              <w:szCs w:val="22"/>
              <w:lang w:eastAsia="es-MX"/>
            </w:rPr>
          </w:pPr>
          <w:hyperlink w:anchor="_Toc181264980" w:history="1">
            <w:r w:rsidR="008406F6" w:rsidRPr="008406F6">
              <w:rPr>
                <w:rStyle w:val="Hipervnculo"/>
                <w:rFonts w:eastAsiaTheme="minorHAnsi"/>
                <w:noProof/>
                <w:color w:val="auto"/>
                <w:lang w:eastAsia="en-US"/>
              </w:rPr>
              <w:t>CONSIDERANDOS</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_Toc181264980 \h </w:instrText>
            </w:r>
            <w:r w:rsidR="008406F6" w:rsidRPr="008406F6">
              <w:rPr>
                <w:noProof/>
                <w:webHidden/>
              </w:rPr>
            </w:r>
            <w:r w:rsidR="008406F6" w:rsidRPr="008406F6">
              <w:rPr>
                <w:noProof/>
                <w:webHidden/>
              </w:rPr>
              <w:fldChar w:fldCharType="separate"/>
            </w:r>
            <w:r w:rsidR="004554E1">
              <w:rPr>
                <w:noProof/>
                <w:webHidden/>
              </w:rPr>
              <w:t>7</w:t>
            </w:r>
            <w:r w:rsidR="008406F6" w:rsidRPr="008406F6">
              <w:rPr>
                <w:noProof/>
                <w:webHidden/>
              </w:rPr>
              <w:fldChar w:fldCharType="end"/>
            </w:r>
          </w:hyperlink>
        </w:p>
        <w:p w14:paraId="44DB283E" w14:textId="5FE45A6E" w:rsidR="008406F6" w:rsidRPr="008406F6" w:rsidRDefault="0082022B" w:rsidP="008406F6">
          <w:pPr>
            <w:pStyle w:val="TDC2"/>
            <w:rPr>
              <w:rFonts w:asciiTheme="minorHAnsi" w:eastAsiaTheme="minorEastAsia" w:hAnsiTheme="minorHAnsi" w:cstheme="minorBidi"/>
              <w:noProof/>
              <w:szCs w:val="22"/>
              <w:lang w:eastAsia="es-MX"/>
            </w:rPr>
          </w:pPr>
          <w:hyperlink w:anchor="_Toc181264981" w:history="1">
            <w:r w:rsidR="008406F6" w:rsidRPr="008406F6">
              <w:rPr>
                <w:rStyle w:val="Hipervnculo"/>
                <w:rFonts w:eastAsia="Batang"/>
                <w:noProof/>
                <w:color w:val="auto"/>
              </w:rPr>
              <w:t>PRIMERO. Procedibilidad</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_Toc181264981 \h </w:instrText>
            </w:r>
            <w:r w:rsidR="008406F6" w:rsidRPr="008406F6">
              <w:rPr>
                <w:noProof/>
                <w:webHidden/>
              </w:rPr>
            </w:r>
            <w:r w:rsidR="008406F6" w:rsidRPr="008406F6">
              <w:rPr>
                <w:noProof/>
                <w:webHidden/>
              </w:rPr>
              <w:fldChar w:fldCharType="separate"/>
            </w:r>
            <w:r w:rsidR="004554E1">
              <w:rPr>
                <w:noProof/>
                <w:webHidden/>
              </w:rPr>
              <w:t>7</w:t>
            </w:r>
            <w:r w:rsidR="008406F6" w:rsidRPr="008406F6">
              <w:rPr>
                <w:noProof/>
                <w:webHidden/>
              </w:rPr>
              <w:fldChar w:fldCharType="end"/>
            </w:r>
          </w:hyperlink>
        </w:p>
        <w:p w14:paraId="26A3A40C" w14:textId="3683967B" w:rsidR="008406F6" w:rsidRPr="008406F6" w:rsidRDefault="0082022B" w:rsidP="008406F6">
          <w:pPr>
            <w:pStyle w:val="TDC3"/>
            <w:rPr>
              <w:rFonts w:asciiTheme="minorHAnsi" w:eastAsiaTheme="minorEastAsia" w:hAnsiTheme="minorHAnsi" w:cstheme="minorBidi"/>
              <w:noProof/>
              <w:szCs w:val="22"/>
              <w:lang w:eastAsia="es-MX"/>
            </w:rPr>
          </w:pPr>
          <w:hyperlink w:anchor="_Toc181264982" w:history="1">
            <w:r w:rsidR="008406F6" w:rsidRPr="008406F6">
              <w:rPr>
                <w:rStyle w:val="Hipervnculo"/>
                <w:noProof/>
                <w:color w:val="auto"/>
              </w:rPr>
              <w:t>a) Competencia del Instituto</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_Toc181264982 \h </w:instrText>
            </w:r>
            <w:r w:rsidR="008406F6" w:rsidRPr="008406F6">
              <w:rPr>
                <w:noProof/>
                <w:webHidden/>
              </w:rPr>
            </w:r>
            <w:r w:rsidR="008406F6" w:rsidRPr="008406F6">
              <w:rPr>
                <w:noProof/>
                <w:webHidden/>
              </w:rPr>
              <w:fldChar w:fldCharType="separate"/>
            </w:r>
            <w:r w:rsidR="004554E1">
              <w:rPr>
                <w:noProof/>
                <w:webHidden/>
              </w:rPr>
              <w:t>7</w:t>
            </w:r>
            <w:r w:rsidR="008406F6" w:rsidRPr="008406F6">
              <w:rPr>
                <w:noProof/>
                <w:webHidden/>
              </w:rPr>
              <w:fldChar w:fldCharType="end"/>
            </w:r>
          </w:hyperlink>
        </w:p>
        <w:p w14:paraId="6ED92BCF" w14:textId="2FDDEB1C" w:rsidR="008406F6" w:rsidRPr="008406F6" w:rsidRDefault="0082022B" w:rsidP="008406F6">
          <w:pPr>
            <w:pStyle w:val="TDC3"/>
            <w:rPr>
              <w:rFonts w:asciiTheme="minorHAnsi" w:eastAsiaTheme="minorEastAsia" w:hAnsiTheme="minorHAnsi" w:cstheme="minorBidi"/>
              <w:noProof/>
              <w:szCs w:val="22"/>
              <w:lang w:eastAsia="es-MX"/>
            </w:rPr>
          </w:pPr>
          <w:hyperlink w:anchor="_Toc181264983" w:history="1">
            <w:r w:rsidR="008406F6" w:rsidRPr="008406F6">
              <w:rPr>
                <w:rStyle w:val="Hipervnculo"/>
                <w:noProof/>
                <w:color w:val="auto"/>
              </w:rPr>
              <w:t>b) Legitimidad de la parte recurrente</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_Toc181264983 \h </w:instrText>
            </w:r>
            <w:r w:rsidR="008406F6" w:rsidRPr="008406F6">
              <w:rPr>
                <w:noProof/>
                <w:webHidden/>
              </w:rPr>
            </w:r>
            <w:r w:rsidR="008406F6" w:rsidRPr="008406F6">
              <w:rPr>
                <w:noProof/>
                <w:webHidden/>
              </w:rPr>
              <w:fldChar w:fldCharType="separate"/>
            </w:r>
            <w:r w:rsidR="004554E1">
              <w:rPr>
                <w:noProof/>
                <w:webHidden/>
              </w:rPr>
              <w:t>8</w:t>
            </w:r>
            <w:r w:rsidR="008406F6" w:rsidRPr="008406F6">
              <w:rPr>
                <w:noProof/>
                <w:webHidden/>
              </w:rPr>
              <w:fldChar w:fldCharType="end"/>
            </w:r>
          </w:hyperlink>
        </w:p>
        <w:p w14:paraId="1C72A108" w14:textId="5CBA4EFB" w:rsidR="008406F6" w:rsidRPr="008406F6" w:rsidRDefault="0082022B" w:rsidP="008406F6">
          <w:pPr>
            <w:pStyle w:val="TDC3"/>
            <w:rPr>
              <w:rFonts w:asciiTheme="minorHAnsi" w:eastAsiaTheme="minorEastAsia" w:hAnsiTheme="minorHAnsi" w:cstheme="minorBidi"/>
              <w:noProof/>
              <w:szCs w:val="22"/>
              <w:lang w:eastAsia="es-MX"/>
            </w:rPr>
          </w:pPr>
          <w:hyperlink w:anchor="_Toc181264984" w:history="1">
            <w:r w:rsidR="008406F6" w:rsidRPr="008406F6">
              <w:rPr>
                <w:rStyle w:val="Hipervnculo"/>
                <w:rFonts w:eastAsia="Calibri"/>
                <w:noProof/>
                <w:color w:val="auto"/>
                <w:lang w:eastAsia="es-ES_tradnl"/>
              </w:rPr>
              <w:t>c) Plazo para interponer el recurso</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_Toc181264984 \h </w:instrText>
            </w:r>
            <w:r w:rsidR="008406F6" w:rsidRPr="008406F6">
              <w:rPr>
                <w:noProof/>
                <w:webHidden/>
              </w:rPr>
            </w:r>
            <w:r w:rsidR="008406F6" w:rsidRPr="008406F6">
              <w:rPr>
                <w:noProof/>
                <w:webHidden/>
              </w:rPr>
              <w:fldChar w:fldCharType="separate"/>
            </w:r>
            <w:r w:rsidR="004554E1">
              <w:rPr>
                <w:noProof/>
                <w:webHidden/>
              </w:rPr>
              <w:t>8</w:t>
            </w:r>
            <w:r w:rsidR="008406F6" w:rsidRPr="008406F6">
              <w:rPr>
                <w:noProof/>
                <w:webHidden/>
              </w:rPr>
              <w:fldChar w:fldCharType="end"/>
            </w:r>
          </w:hyperlink>
        </w:p>
        <w:p w14:paraId="74987B0E" w14:textId="2772A54B" w:rsidR="008406F6" w:rsidRPr="008406F6" w:rsidRDefault="0082022B" w:rsidP="008406F6">
          <w:pPr>
            <w:pStyle w:val="TDC3"/>
            <w:rPr>
              <w:rFonts w:asciiTheme="minorHAnsi" w:eastAsiaTheme="minorEastAsia" w:hAnsiTheme="minorHAnsi" w:cstheme="minorBidi"/>
              <w:noProof/>
              <w:szCs w:val="22"/>
              <w:lang w:eastAsia="es-MX"/>
            </w:rPr>
          </w:pPr>
          <w:hyperlink w:anchor="_Toc181264985" w:history="1">
            <w:r w:rsidR="008406F6" w:rsidRPr="008406F6">
              <w:rPr>
                <w:rStyle w:val="Hipervnculo"/>
                <w:rFonts w:eastAsia="Calibri"/>
                <w:noProof/>
                <w:color w:val="auto"/>
                <w:lang w:eastAsia="es-ES_tradnl"/>
              </w:rPr>
              <w:t>d) Causal de procedencia</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_Toc181264985 \h </w:instrText>
            </w:r>
            <w:r w:rsidR="008406F6" w:rsidRPr="008406F6">
              <w:rPr>
                <w:noProof/>
                <w:webHidden/>
              </w:rPr>
            </w:r>
            <w:r w:rsidR="008406F6" w:rsidRPr="008406F6">
              <w:rPr>
                <w:noProof/>
                <w:webHidden/>
              </w:rPr>
              <w:fldChar w:fldCharType="separate"/>
            </w:r>
            <w:r w:rsidR="004554E1">
              <w:rPr>
                <w:noProof/>
                <w:webHidden/>
              </w:rPr>
              <w:t>8</w:t>
            </w:r>
            <w:r w:rsidR="008406F6" w:rsidRPr="008406F6">
              <w:rPr>
                <w:noProof/>
                <w:webHidden/>
              </w:rPr>
              <w:fldChar w:fldCharType="end"/>
            </w:r>
          </w:hyperlink>
        </w:p>
        <w:p w14:paraId="18B5CF69" w14:textId="4D8B2AD2" w:rsidR="008406F6" w:rsidRPr="008406F6" w:rsidRDefault="0082022B" w:rsidP="008406F6">
          <w:pPr>
            <w:pStyle w:val="TDC3"/>
            <w:rPr>
              <w:rFonts w:asciiTheme="minorHAnsi" w:eastAsiaTheme="minorEastAsia" w:hAnsiTheme="minorHAnsi" w:cstheme="minorBidi"/>
              <w:noProof/>
              <w:szCs w:val="22"/>
              <w:lang w:eastAsia="es-MX"/>
            </w:rPr>
          </w:pPr>
          <w:hyperlink w:anchor="_Toc181264986" w:history="1">
            <w:r w:rsidR="008406F6" w:rsidRPr="008406F6">
              <w:rPr>
                <w:rStyle w:val="Hipervnculo"/>
                <w:noProof/>
                <w:color w:val="auto"/>
              </w:rPr>
              <w:t>e) Requisitos formales para la interposición del recurso</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_Toc181264986 \h </w:instrText>
            </w:r>
            <w:r w:rsidR="008406F6" w:rsidRPr="008406F6">
              <w:rPr>
                <w:noProof/>
                <w:webHidden/>
              </w:rPr>
            </w:r>
            <w:r w:rsidR="008406F6" w:rsidRPr="008406F6">
              <w:rPr>
                <w:noProof/>
                <w:webHidden/>
              </w:rPr>
              <w:fldChar w:fldCharType="separate"/>
            </w:r>
            <w:r w:rsidR="004554E1">
              <w:rPr>
                <w:noProof/>
                <w:webHidden/>
              </w:rPr>
              <w:t>8</w:t>
            </w:r>
            <w:r w:rsidR="008406F6" w:rsidRPr="008406F6">
              <w:rPr>
                <w:noProof/>
                <w:webHidden/>
              </w:rPr>
              <w:fldChar w:fldCharType="end"/>
            </w:r>
          </w:hyperlink>
        </w:p>
        <w:p w14:paraId="11E2A46C" w14:textId="57603093" w:rsidR="008406F6" w:rsidRPr="008406F6" w:rsidRDefault="0082022B" w:rsidP="008406F6">
          <w:pPr>
            <w:pStyle w:val="TDC3"/>
            <w:rPr>
              <w:rFonts w:asciiTheme="minorHAnsi" w:eastAsiaTheme="minorEastAsia" w:hAnsiTheme="minorHAnsi" w:cstheme="minorBidi"/>
              <w:noProof/>
              <w:szCs w:val="22"/>
              <w:lang w:eastAsia="es-MX"/>
            </w:rPr>
          </w:pPr>
          <w:hyperlink w:anchor="_Toc181264987" w:history="1">
            <w:r w:rsidR="008406F6" w:rsidRPr="008406F6">
              <w:rPr>
                <w:rStyle w:val="Hipervnculo"/>
                <w:noProof/>
                <w:color w:val="auto"/>
              </w:rPr>
              <w:t>f) Acumulación de los Recursos de Revisión</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_Toc181264987 \h </w:instrText>
            </w:r>
            <w:r w:rsidR="008406F6" w:rsidRPr="008406F6">
              <w:rPr>
                <w:noProof/>
                <w:webHidden/>
              </w:rPr>
            </w:r>
            <w:r w:rsidR="008406F6" w:rsidRPr="008406F6">
              <w:rPr>
                <w:noProof/>
                <w:webHidden/>
              </w:rPr>
              <w:fldChar w:fldCharType="separate"/>
            </w:r>
            <w:r w:rsidR="004554E1">
              <w:rPr>
                <w:noProof/>
                <w:webHidden/>
              </w:rPr>
              <w:t>9</w:t>
            </w:r>
            <w:r w:rsidR="008406F6" w:rsidRPr="008406F6">
              <w:rPr>
                <w:noProof/>
                <w:webHidden/>
              </w:rPr>
              <w:fldChar w:fldCharType="end"/>
            </w:r>
          </w:hyperlink>
        </w:p>
        <w:p w14:paraId="3ECA7C55" w14:textId="3581FEBF" w:rsidR="008406F6" w:rsidRPr="008406F6" w:rsidRDefault="0082022B" w:rsidP="008406F6">
          <w:pPr>
            <w:pStyle w:val="TDC2"/>
            <w:rPr>
              <w:rFonts w:asciiTheme="minorHAnsi" w:eastAsiaTheme="minorEastAsia" w:hAnsiTheme="minorHAnsi" w:cstheme="minorBidi"/>
              <w:noProof/>
              <w:szCs w:val="22"/>
              <w:lang w:eastAsia="es-MX"/>
            </w:rPr>
          </w:pPr>
          <w:hyperlink w:anchor="_Toc181264988" w:history="1">
            <w:r w:rsidR="008406F6" w:rsidRPr="008406F6">
              <w:rPr>
                <w:rStyle w:val="Hipervnculo"/>
                <w:noProof/>
                <w:color w:val="auto"/>
              </w:rPr>
              <w:t>SEGUNDO. Estudio de Fondo</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_Toc181264988 \h </w:instrText>
            </w:r>
            <w:r w:rsidR="008406F6" w:rsidRPr="008406F6">
              <w:rPr>
                <w:noProof/>
                <w:webHidden/>
              </w:rPr>
            </w:r>
            <w:r w:rsidR="008406F6" w:rsidRPr="008406F6">
              <w:rPr>
                <w:noProof/>
                <w:webHidden/>
              </w:rPr>
              <w:fldChar w:fldCharType="separate"/>
            </w:r>
            <w:r w:rsidR="004554E1">
              <w:rPr>
                <w:noProof/>
                <w:webHidden/>
              </w:rPr>
              <w:t>10</w:t>
            </w:r>
            <w:r w:rsidR="008406F6" w:rsidRPr="008406F6">
              <w:rPr>
                <w:noProof/>
                <w:webHidden/>
              </w:rPr>
              <w:fldChar w:fldCharType="end"/>
            </w:r>
          </w:hyperlink>
        </w:p>
        <w:p w14:paraId="79108C16" w14:textId="11ECC28F" w:rsidR="008406F6" w:rsidRPr="008406F6" w:rsidRDefault="0082022B" w:rsidP="008406F6">
          <w:pPr>
            <w:pStyle w:val="TDC3"/>
            <w:rPr>
              <w:rFonts w:asciiTheme="minorHAnsi" w:eastAsiaTheme="minorEastAsia" w:hAnsiTheme="minorHAnsi" w:cstheme="minorBidi"/>
              <w:noProof/>
              <w:szCs w:val="22"/>
              <w:lang w:eastAsia="es-MX"/>
            </w:rPr>
          </w:pPr>
          <w:hyperlink w:anchor="_Toc181264989" w:history="1">
            <w:r w:rsidR="008406F6" w:rsidRPr="008406F6">
              <w:rPr>
                <w:rStyle w:val="Hipervnculo"/>
                <w:noProof/>
                <w:color w:val="auto"/>
              </w:rPr>
              <w:t>a) Mandato de transparencia y responsabilidad del Sujeto Obligado</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_Toc181264989 \h </w:instrText>
            </w:r>
            <w:r w:rsidR="008406F6" w:rsidRPr="008406F6">
              <w:rPr>
                <w:noProof/>
                <w:webHidden/>
              </w:rPr>
            </w:r>
            <w:r w:rsidR="008406F6" w:rsidRPr="008406F6">
              <w:rPr>
                <w:noProof/>
                <w:webHidden/>
              </w:rPr>
              <w:fldChar w:fldCharType="separate"/>
            </w:r>
            <w:r w:rsidR="004554E1">
              <w:rPr>
                <w:noProof/>
                <w:webHidden/>
              </w:rPr>
              <w:t>10</w:t>
            </w:r>
            <w:r w:rsidR="008406F6" w:rsidRPr="008406F6">
              <w:rPr>
                <w:noProof/>
                <w:webHidden/>
              </w:rPr>
              <w:fldChar w:fldCharType="end"/>
            </w:r>
          </w:hyperlink>
        </w:p>
        <w:p w14:paraId="0ADB2593" w14:textId="1C93802C" w:rsidR="008406F6" w:rsidRPr="008406F6" w:rsidRDefault="0082022B" w:rsidP="008406F6">
          <w:pPr>
            <w:pStyle w:val="TDC3"/>
            <w:rPr>
              <w:rFonts w:asciiTheme="minorHAnsi" w:eastAsiaTheme="minorEastAsia" w:hAnsiTheme="minorHAnsi" w:cstheme="minorBidi"/>
              <w:noProof/>
              <w:szCs w:val="22"/>
              <w:lang w:eastAsia="es-MX"/>
            </w:rPr>
          </w:pPr>
          <w:hyperlink w:anchor="_Toc181264990" w:history="1">
            <w:r w:rsidR="008406F6" w:rsidRPr="008406F6">
              <w:rPr>
                <w:rStyle w:val="Hipervnculo"/>
                <w:rFonts w:eastAsia="Calibri"/>
                <w:noProof/>
                <w:color w:val="auto"/>
                <w:lang w:eastAsia="es-ES_tradnl"/>
              </w:rPr>
              <w:t>b) Controversia a resolver</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_Toc181264990 \h </w:instrText>
            </w:r>
            <w:r w:rsidR="008406F6" w:rsidRPr="008406F6">
              <w:rPr>
                <w:noProof/>
                <w:webHidden/>
              </w:rPr>
            </w:r>
            <w:r w:rsidR="008406F6" w:rsidRPr="008406F6">
              <w:rPr>
                <w:noProof/>
                <w:webHidden/>
              </w:rPr>
              <w:fldChar w:fldCharType="separate"/>
            </w:r>
            <w:r w:rsidR="004554E1">
              <w:rPr>
                <w:noProof/>
                <w:webHidden/>
              </w:rPr>
              <w:t>13</w:t>
            </w:r>
            <w:r w:rsidR="008406F6" w:rsidRPr="008406F6">
              <w:rPr>
                <w:noProof/>
                <w:webHidden/>
              </w:rPr>
              <w:fldChar w:fldCharType="end"/>
            </w:r>
          </w:hyperlink>
        </w:p>
        <w:p w14:paraId="143D3C5E" w14:textId="13F3CC6D" w:rsidR="008406F6" w:rsidRPr="008406F6" w:rsidRDefault="0082022B" w:rsidP="008406F6">
          <w:pPr>
            <w:pStyle w:val="TDC3"/>
            <w:rPr>
              <w:rFonts w:asciiTheme="minorHAnsi" w:eastAsiaTheme="minorEastAsia" w:hAnsiTheme="minorHAnsi" w:cstheme="minorBidi"/>
              <w:noProof/>
              <w:szCs w:val="22"/>
              <w:lang w:eastAsia="es-MX"/>
            </w:rPr>
          </w:pPr>
          <w:hyperlink w:anchor="_Toc181264991" w:history="1">
            <w:r w:rsidR="008406F6" w:rsidRPr="008406F6">
              <w:rPr>
                <w:rStyle w:val="Hipervnculo"/>
                <w:noProof/>
                <w:color w:val="auto"/>
              </w:rPr>
              <w:t>c) Estudio de la controversia</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_Toc181264991 \h </w:instrText>
            </w:r>
            <w:r w:rsidR="008406F6" w:rsidRPr="008406F6">
              <w:rPr>
                <w:noProof/>
                <w:webHidden/>
              </w:rPr>
            </w:r>
            <w:r w:rsidR="008406F6" w:rsidRPr="008406F6">
              <w:rPr>
                <w:noProof/>
                <w:webHidden/>
              </w:rPr>
              <w:fldChar w:fldCharType="separate"/>
            </w:r>
            <w:r w:rsidR="004554E1">
              <w:rPr>
                <w:noProof/>
                <w:webHidden/>
              </w:rPr>
              <w:t>14</w:t>
            </w:r>
            <w:r w:rsidR="008406F6" w:rsidRPr="008406F6">
              <w:rPr>
                <w:noProof/>
                <w:webHidden/>
              </w:rPr>
              <w:fldChar w:fldCharType="end"/>
            </w:r>
          </w:hyperlink>
        </w:p>
        <w:p w14:paraId="0C418BF6" w14:textId="4648606C" w:rsidR="008406F6" w:rsidRPr="008406F6" w:rsidRDefault="0082022B" w:rsidP="008406F6">
          <w:pPr>
            <w:pStyle w:val="TDC3"/>
            <w:rPr>
              <w:rFonts w:asciiTheme="minorHAnsi" w:eastAsiaTheme="minorEastAsia" w:hAnsiTheme="minorHAnsi" w:cstheme="minorBidi"/>
              <w:noProof/>
              <w:szCs w:val="22"/>
              <w:lang w:eastAsia="es-MX"/>
            </w:rPr>
          </w:pPr>
          <w:hyperlink w:anchor="_Toc181264992" w:history="1">
            <w:r w:rsidR="008406F6" w:rsidRPr="008406F6">
              <w:rPr>
                <w:rStyle w:val="Hipervnculo"/>
                <w:noProof/>
                <w:color w:val="auto"/>
              </w:rPr>
              <w:t>d) Versión pública</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_Toc181264992 \h </w:instrText>
            </w:r>
            <w:r w:rsidR="008406F6" w:rsidRPr="008406F6">
              <w:rPr>
                <w:noProof/>
                <w:webHidden/>
              </w:rPr>
            </w:r>
            <w:r w:rsidR="008406F6" w:rsidRPr="008406F6">
              <w:rPr>
                <w:noProof/>
                <w:webHidden/>
              </w:rPr>
              <w:fldChar w:fldCharType="separate"/>
            </w:r>
            <w:r w:rsidR="004554E1">
              <w:rPr>
                <w:noProof/>
                <w:webHidden/>
              </w:rPr>
              <w:t>30</w:t>
            </w:r>
            <w:r w:rsidR="008406F6" w:rsidRPr="008406F6">
              <w:rPr>
                <w:noProof/>
                <w:webHidden/>
              </w:rPr>
              <w:fldChar w:fldCharType="end"/>
            </w:r>
          </w:hyperlink>
        </w:p>
        <w:p w14:paraId="49A31D7B" w14:textId="4DBEA07C" w:rsidR="008406F6" w:rsidRPr="008406F6" w:rsidRDefault="0082022B" w:rsidP="008406F6">
          <w:pPr>
            <w:pStyle w:val="TDC3"/>
            <w:rPr>
              <w:rFonts w:asciiTheme="minorHAnsi" w:eastAsiaTheme="minorEastAsia" w:hAnsiTheme="minorHAnsi" w:cstheme="minorBidi"/>
              <w:noProof/>
              <w:szCs w:val="22"/>
              <w:lang w:eastAsia="es-MX"/>
            </w:rPr>
          </w:pPr>
          <w:hyperlink w:anchor="_Toc181264993" w:history="1">
            <w:r w:rsidR="008406F6" w:rsidRPr="008406F6">
              <w:rPr>
                <w:rStyle w:val="Hipervnculo"/>
                <w:noProof/>
                <w:color w:val="auto"/>
              </w:rPr>
              <w:t>e) Conclusión</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_Toc181264993 \h </w:instrText>
            </w:r>
            <w:r w:rsidR="008406F6" w:rsidRPr="008406F6">
              <w:rPr>
                <w:noProof/>
                <w:webHidden/>
              </w:rPr>
            </w:r>
            <w:r w:rsidR="008406F6" w:rsidRPr="008406F6">
              <w:rPr>
                <w:noProof/>
                <w:webHidden/>
              </w:rPr>
              <w:fldChar w:fldCharType="separate"/>
            </w:r>
            <w:r w:rsidR="004554E1">
              <w:rPr>
                <w:noProof/>
                <w:webHidden/>
              </w:rPr>
              <w:t>42</w:t>
            </w:r>
            <w:r w:rsidR="008406F6" w:rsidRPr="008406F6">
              <w:rPr>
                <w:noProof/>
                <w:webHidden/>
              </w:rPr>
              <w:fldChar w:fldCharType="end"/>
            </w:r>
          </w:hyperlink>
        </w:p>
        <w:p w14:paraId="11AECB9B" w14:textId="50CA3B50" w:rsidR="008406F6" w:rsidRPr="008406F6" w:rsidRDefault="0082022B" w:rsidP="008406F6">
          <w:pPr>
            <w:pStyle w:val="TDC1"/>
            <w:tabs>
              <w:tab w:val="right" w:leader="dot" w:pos="9034"/>
            </w:tabs>
            <w:rPr>
              <w:rFonts w:asciiTheme="minorHAnsi" w:eastAsiaTheme="minorEastAsia" w:hAnsiTheme="minorHAnsi" w:cstheme="minorBidi"/>
              <w:noProof/>
              <w:szCs w:val="22"/>
              <w:lang w:eastAsia="es-MX"/>
            </w:rPr>
          </w:pPr>
          <w:hyperlink w:anchor="_Toc181264994" w:history="1">
            <w:r w:rsidR="008406F6" w:rsidRPr="008406F6">
              <w:rPr>
                <w:rStyle w:val="Hipervnculo"/>
                <w:noProof/>
                <w:color w:val="auto"/>
              </w:rPr>
              <w:t>RESUELVE</w:t>
            </w:r>
            <w:r w:rsidR="008406F6" w:rsidRPr="008406F6">
              <w:rPr>
                <w:noProof/>
                <w:webHidden/>
              </w:rPr>
              <w:tab/>
            </w:r>
            <w:r w:rsidR="008406F6" w:rsidRPr="008406F6">
              <w:rPr>
                <w:noProof/>
                <w:webHidden/>
              </w:rPr>
              <w:fldChar w:fldCharType="begin"/>
            </w:r>
            <w:r w:rsidR="008406F6" w:rsidRPr="008406F6">
              <w:rPr>
                <w:noProof/>
                <w:webHidden/>
              </w:rPr>
              <w:instrText xml:space="preserve"> PAGEREF _Toc181264994 \h </w:instrText>
            </w:r>
            <w:r w:rsidR="008406F6" w:rsidRPr="008406F6">
              <w:rPr>
                <w:noProof/>
                <w:webHidden/>
              </w:rPr>
            </w:r>
            <w:r w:rsidR="008406F6" w:rsidRPr="008406F6">
              <w:rPr>
                <w:noProof/>
                <w:webHidden/>
              </w:rPr>
              <w:fldChar w:fldCharType="separate"/>
            </w:r>
            <w:r w:rsidR="004554E1">
              <w:rPr>
                <w:noProof/>
                <w:webHidden/>
              </w:rPr>
              <w:t>42</w:t>
            </w:r>
            <w:r w:rsidR="008406F6" w:rsidRPr="008406F6">
              <w:rPr>
                <w:noProof/>
                <w:webHidden/>
              </w:rPr>
              <w:fldChar w:fldCharType="end"/>
            </w:r>
          </w:hyperlink>
        </w:p>
        <w:p w14:paraId="0C82FD7A" w14:textId="79C5BD91" w:rsidR="009B2945" w:rsidRPr="008406F6" w:rsidRDefault="00AE3DA7" w:rsidP="008406F6">
          <w:pPr>
            <w:spacing w:line="240" w:lineRule="auto"/>
            <w:rPr>
              <w:b/>
              <w:bCs/>
              <w:lang w:val="es-ES"/>
            </w:rPr>
          </w:pPr>
          <w:r w:rsidRPr="008406F6">
            <w:rPr>
              <w:b/>
              <w:bCs/>
              <w:sz w:val="16"/>
              <w:szCs w:val="16"/>
              <w:lang w:val="es-ES"/>
            </w:rPr>
            <w:fldChar w:fldCharType="end"/>
          </w:r>
        </w:p>
      </w:sdtContent>
    </w:sdt>
    <w:p w14:paraId="603A07E2" w14:textId="77777777" w:rsidR="00646436" w:rsidRPr="008406F6" w:rsidRDefault="00646436" w:rsidP="008406F6">
      <w:pPr>
        <w:rPr>
          <w:rFonts w:cs="Tahoma"/>
          <w:szCs w:val="22"/>
        </w:rPr>
        <w:sectPr w:rsidR="00646436" w:rsidRPr="008406F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0797154" w:rsidR="00775BFC" w:rsidRPr="008406F6" w:rsidRDefault="00775BFC" w:rsidP="008406F6">
      <w:r w:rsidRPr="008406F6">
        <w:lastRenderedPageBreak/>
        <w:t xml:space="preserve">Resolución del Pleno del Instituto de Transparencia, Acceso a la Información Pública y Protección de Datos Personales del Estado de México y Municipios, con domicilio en Metepec, Estado de México, de </w:t>
      </w:r>
      <w:r w:rsidR="001653BF" w:rsidRPr="008406F6">
        <w:rPr>
          <w:b/>
          <w:bCs/>
        </w:rPr>
        <w:t>seis de noviembre</w:t>
      </w:r>
      <w:r w:rsidR="00664733" w:rsidRPr="008406F6">
        <w:rPr>
          <w:b/>
          <w:bCs/>
        </w:rPr>
        <w:t xml:space="preserve"> de dos mil veinticuatro</w:t>
      </w:r>
      <w:r w:rsidR="00664733" w:rsidRPr="008406F6">
        <w:t>.</w:t>
      </w:r>
    </w:p>
    <w:p w14:paraId="0AF3AAC4" w14:textId="77777777" w:rsidR="00775BFC" w:rsidRPr="008406F6" w:rsidRDefault="00775BFC" w:rsidP="008406F6"/>
    <w:p w14:paraId="40EAE038" w14:textId="5D560B5A" w:rsidR="00775BFC" w:rsidRPr="008406F6" w:rsidRDefault="00775BFC" w:rsidP="008406F6">
      <w:r w:rsidRPr="008406F6">
        <w:rPr>
          <w:b/>
        </w:rPr>
        <w:t xml:space="preserve">VISTO </w:t>
      </w:r>
      <w:r w:rsidRPr="008406F6">
        <w:t xml:space="preserve">el expediente formado con motivo del Recurso de Revisión </w:t>
      </w:r>
      <w:r w:rsidR="0009232A" w:rsidRPr="008406F6">
        <w:rPr>
          <w:rFonts w:eastAsia="Calibri"/>
          <w:b/>
          <w:lang w:eastAsia="en-US"/>
        </w:rPr>
        <w:t xml:space="preserve">05422/INFOEM/IP/RR/2024 </w:t>
      </w:r>
      <w:r w:rsidR="004E6F66" w:rsidRPr="008406F6">
        <w:rPr>
          <w:rFonts w:eastAsia="Calibri"/>
          <w:b/>
          <w:lang w:eastAsia="en-US"/>
        </w:rPr>
        <w:t xml:space="preserve">y </w:t>
      </w:r>
      <w:r w:rsidR="0009232A" w:rsidRPr="008406F6">
        <w:rPr>
          <w:rFonts w:eastAsia="Calibri"/>
          <w:b/>
          <w:lang w:eastAsia="en-US"/>
        </w:rPr>
        <w:t>05423/INFOEM/IP/RR/2024</w:t>
      </w:r>
      <w:r w:rsidR="00664733" w:rsidRPr="008406F6">
        <w:rPr>
          <w:rFonts w:eastAsia="Calibri"/>
          <w:b/>
          <w:lang w:eastAsia="en-US"/>
        </w:rPr>
        <w:t xml:space="preserve"> </w:t>
      </w:r>
      <w:r w:rsidRPr="008406F6">
        <w:t xml:space="preserve">interpuesto </w:t>
      </w:r>
      <w:r w:rsidR="004E6F66" w:rsidRPr="008406F6">
        <w:t>de manera anónima</w:t>
      </w:r>
      <w:r w:rsidRPr="008406F6">
        <w:t xml:space="preserve">, a quien en lo subsecuente se le denominará </w:t>
      </w:r>
      <w:r w:rsidRPr="008406F6">
        <w:rPr>
          <w:b/>
          <w:bCs/>
        </w:rPr>
        <w:t>LA PARTE RECURRENTE</w:t>
      </w:r>
      <w:r w:rsidRPr="008406F6">
        <w:t xml:space="preserve">, en contra de la respuesta emitida por </w:t>
      </w:r>
      <w:r w:rsidR="0009232A" w:rsidRPr="008406F6">
        <w:t xml:space="preserve">la </w:t>
      </w:r>
      <w:r w:rsidR="0009232A" w:rsidRPr="008406F6">
        <w:rPr>
          <w:b/>
          <w:bCs/>
        </w:rPr>
        <w:t>Secretaría de la Contraloría</w:t>
      </w:r>
      <w:r w:rsidRPr="008406F6">
        <w:t xml:space="preserve">, en adelante </w:t>
      </w:r>
      <w:r w:rsidRPr="008406F6">
        <w:rPr>
          <w:b/>
          <w:bCs/>
        </w:rPr>
        <w:t>EL SUJETO OBLIGADO</w:t>
      </w:r>
      <w:r w:rsidRPr="008406F6">
        <w:rPr>
          <w:rFonts w:eastAsia="Calibri"/>
          <w:lang w:eastAsia="en-US"/>
        </w:rPr>
        <w:t xml:space="preserve">, </w:t>
      </w:r>
      <w:r w:rsidRPr="008406F6">
        <w:t>se emite la presente Resolución con base en los Antecedentes y Considerandos que se exponen a continuación:</w:t>
      </w:r>
    </w:p>
    <w:p w14:paraId="2116968C" w14:textId="77777777" w:rsidR="00775BFC" w:rsidRPr="008406F6" w:rsidRDefault="00775BFC" w:rsidP="008406F6"/>
    <w:p w14:paraId="7CE9E53D" w14:textId="29F78B13" w:rsidR="00E37A3F" w:rsidRPr="008406F6" w:rsidRDefault="00664420" w:rsidP="008406F6">
      <w:pPr>
        <w:pStyle w:val="Ttulo1"/>
      </w:pPr>
      <w:bookmarkStart w:id="2" w:name="_Toc181264967"/>
      <w:r w:rsidRPr="008406F6">
        <w:t>ANTECEDENTES</w:t>
      </w:r>
      <w:bookmarkEnd w:id="2"/>
    </w:p>
    <w:p w14:paraId="5CB5034E" w14:textId="77777777" w:rsidR="00AC2DB8" w:rsidRPr="008406F6" w:rsidRDefault="00AC2DB8" w:rsidP="008406F6"/>
    <w:p w14:paraId="09B2D38F" w14:textId="02C898A1" w:rsidR="00664420" w:rsidRPr="008406F6" w:rsidRDefault="00E37A3F" w:rsidP="008406F6">
      <w:pPr>
        <w:pStyle w:val="Ttulo2"/>
      </w:pPr>
      <w:bookmarkStart w:id="3" w:name="_Toc181264968"/>
      <w:r w:rsidRPr="008406F6">
        <w:t>DE LA</w:t>
      </w:r>
      <w:r w:rsidR="00664733" w:rsidRPr="008406F6">
        <w:t>S</w:t>
      </w:r>
      <w:r w:rsidRPr="008406F6">
        <w:t xml:space="preserve"> SOLICITUD</w:t>
      </w:r>
      <w:r w:rsidR="00664733" w:rsidRPr="008406F6">
        <w:t>ES</w:t>
      </w:r>
      <w:r w:rsidRPr="008406F6">
        <w:t xml:space="preserve"> DE INFORMACIÓN</w:t>
      </w:r>
      <w:bookmarkEnd w:id="3"/>
    </w:p>
    <w:p w14:paraId="7B7535DF" w14:textId="77777777" w:rsidR="00E37A3F" w:rsidRPr="008406F6" w:rsidRDefault="00E37A3F" w:rsidP="008406F6"/>
    <w:p w14:paraId="2C6AD1A5" w14:textId="31DCEC34" w:rsidR="00664420" w:rsidRPr="008406F6" w:rsidRDefault="00E37A3F" w:rsidP="008406F6">
      <w:pPr>
        <w:pStyle w:val="Ttulo3"/>
      </w:pPr>
      <w:bookmarkStart w:id="4" w:name="_Toc181264969"/>
      <w:r w:rsidRPr="008406F6">
        <w:t xml:space="preserve">a) </w:t>
      </w:r>
      <w:r w:rsidR="006B10B0" w:rsidRPr="008406F6">
        <w:t>S</w:t>
      </w:r>
      <w:r w:rsidR="00664420" w:rsidRPr="008406F6">
        <w:t>olicitud</w:t>
      </w:r>
      <w:r w:rsidR="00A97B5B" w:rsidRPr="008406F6">
        <w:t>es</w:t>
      </w:r>
      <w:r w:rsidR="00664420" w:rsidRPr="008406F6">
        <w:t xml:space="preserve"> de </w:t>
      </w:r>
      <w:r w:rsidR="006B10B0" w:rsidRPr="008406F6">
        <w:t>i</w:t>
      </w:r>
      <w:r w:rsidR="00664420" w:rsidRPr="008406F6">
        <w:t>nformación</w:t>
      </w:r>
      <w:bookmarkEnd w:id="4"/>
    </w:p>
    <w:p w14:paraId="3FF427FA" w14:textId="2F4FF2B5" w:rsidR="00862853" w:rsidRPr="008406F6" w:rsidRDefault="006B10B0" w:rsidP="008406F6">
      <w:pPr>
        <w:pStyle w:val="Prrafodelista"/>
        <w:tabs>
          <w:tab w:val="left" w:pos="0"/>
        </w:tabs>
        <w:ind w:left="0"/>
        <w:contextualSpacing w:val="0"/>
        <w:rPr>
          <w:rFonts w:cs="Tahoma"/>
        </w:rPr>
      </w:pPr>
      <w:r w:rsidRPr="008406F6">
        <w:rPr>
          <w:rFonts w:cs="Tahoma"/>
        </w:rPr>
        <w:t>El</w:t>
      </w:r>
      <w:r w:rsidR="00664420" w:rsidRPr="008406F6">
        <w:rPr>
          <w:rFonts w:cs="Tahoma"/>
        </w:rPr>
        <w:t xml:space="preserve"> </w:t>
      </w:r>
      <w:r w:rsidR="0009232A" w:rsidRPr="008406F6">
        <w:rPr>
          <w:rFonts w:cs="Tahoma"/>
          <w:b/>
          <w:bCs/>
        </w:rPr>
        <w:t>dos de septiembre</w:t>
      </w:r>
      <w:r w:rsidR="00A97B5B" w:rsidRPr="008406F6">
        <w:rPr>
          <w:rFonts w:cs="Tahoma"/>
          <w:b/>
          <w:bCs/>
        </w:rPr>
        <w:t xml:space="preserve"> </w:t>
      </w:r>
      <w:r w:rsidR="00664733" w:rsidRPr="008406F6">
        <w:rPr>
          <w:rFonts w:cs="Tahoma"/>
          <w:b/>
          <w:bCs/>
        </w:rPr>
        <w:t>de dos mil veinticuatro</w:t>
      </w:r>
      <w:r w:rsidR="00664420" w:rsidRPr="008406F6">
        <w:rPr>
          <w:rFonts w:cs="Tahoma"/>
        </w:rPr>
        <w:t xml:space="preserve">, </w:t>
      </w:r>
      <w:r w:rsidRPr="008406F6">
        <w:rPr>
          <w:b/>
          <w:bCs/>
        </w:rPr>
        <w:t>LA PARTE RECURRENTE</w:t>
      </w:r>
      <w:r w:rsidR="00664420" w:rsidRPr="008406F6">
        <w:rPr>
          <w:rFonts w:cs="Tahoma"/>
        </w:rPr>
        <w:t xml:space="preserve"> presentó </w:t>
      </w:r>
      <w:r w:rsidR="00664733" w:rsidRPr="008406F6">
        <w:rPr>
          <w:rFonts w:cs="Tahoma"/>
        </w:rPr>
        <w:t>diversas solicitudes</w:t>
      </w:r>
      <w:r w:rsidR="00664420" w:rsidRPr="008406F6">
        <w:rPr>
          <w:rFonts w:cs="Tahoma"/>
        </w:rPr>
        <w:t xml:space="preserve"> de acceso a la información pública </w:t>
      </w:r>
      <w:r w:rsidR="001F3515" w:rsidRPr="008406F6">
        <w:rPr>
          <w:rFonts w:cs="Tahoma"/>
        </w:rPr>
        <w:t xml:space="preserve">ante el </w:t>
      </w:r>
      <w:r w:rsidR="001F3515" w:rsidRPr="008406F6">
        <w:rPr>
          <w:rFonts w:cs="Tahoma"/>
          <w:b/>
          <w:bCs/>
        </w:rPr>
        <w:t>SUJETO OBLIGADO</w:t>
      </w:r>
      <w:r w:rsidR="001F3515" w:rsidRPr="008406F6">
        <w:rPr>
          <w:rFonts w:cs="Tahoma"/>
        </w:rPr>
        <w:t xml:space="preserve">, </w:t>
      </w:r>
      <w:r w:rsidR="00664420" w:rsidRPr="008406F6">
        <w:rPr>
          <w:rFonts w:cs="Tahoma"/>
        </w:rPr>
        <w:t>a través del Sistema de Acceso a la Información Mexiquense</w:t>
      </w:r>
      <w:r w:rsidRPr="008406F6">
        <w:rPr>
          <w:rFonts w:cs="Tahoma"/>
        </w:rPr>
        <w:t xml:space="preserve"> </w:t>
      </w:r>
      <w:r w:rsidR="009A2D78" w:rsidRPr="008406F6">
        <w:rPr>
          <w:rFonts w:cs="Tahoma"/>
        </w:rPr>
        <w:t>(</w:t>
      </w:r>
      <w:r w:rsidRPr="008406F6">
        <w:rPr>
          <w:rFonts w:cs="Tahoma"/>
        </w:rPr>
        <w:t>SAIMEX</w:t>
      </w:r>
      <w:r w:rsidR="009A2D78" w:rsidRPr="008406F6">
        <w:rPr>
          <w:rFonts w:cs="Tahoma"/>
        </w:rPr>
        <w:t>). Dicha</w:t>
      </w:r>
      <w:r w:rsidR="00664733" w:rsidRPr="008406F6">
        <w:rPr>
          <w:rFonts w:cs="Tahoma"/>
        </w:rPr>
        <w:t>s</w:t>
      </w:r>
      <w:r w:rsidR="009A2D78" w:rsidRPr="008406F6">
        <w:rPr>
          <w:rFonts w:cs="Tahoma"/>
        </w:rPr>
        <w:t xml:space="preserve"> solicitud</w:t>
      </w:r>
      <w:r w:rsidR="00664733" w:rsidRPr="008406F6">
        <w:rPr>
          <w:rFonts w:cs="Tahoma"/>
        </w:rPr>
        <w:t>es quedaron</w:t>
      </w:r>
      <w:r w:rsidRPr="008406F6">
        <w:rPr>
          <w:rFonts w:cs="Tahoma"/>
        </w:rPr>
        <w:t xml:space="preserve"> registrada</w:t>
      </w:r>
      <w:r w:rsidR="00664733" w:rsidRPr="008406F6">
        <w:rPr>
          <w:rFonts w:cs="Tahoma"/>
        </w:rPr>
        <w:t>s</w:t>
      </w:r>
      <w:r w:rsidRPr="008406F6">
        <w:rPr>
          <w:rFonts w:cs="Tahoma"/>
        </w:rPr>
        <w:t xml:space="preserve"> c</w:t>
      </w:r>
      <w:r w:rsidR="00664420" w:rsidRPr="008406F6">
        <w:rPr>
          <w:rFonts w:cs="Tahoma"/>
        </w:rPr>
        <w:t>on el número de folio</w:t>
      </w:r>
      <w:r w:rsidR="00664733" w:rsidRPr="008406F6">
        <w:rPr>
          <w:rFonts w:cs="Tahoma"/>
          <w:b/>
          <w:bCs/>
        </w:rPr>
        <w:t xml:space="preserve"> </w:t>
      </w:r>
      <w:r w:rsidR="0009232A" w:rsidRPr="008406F6">
        <w:rPr>
          <w:rFonts w:cs="Tahoma"/>
          <w:b/>
          <w:bCs/>
        </w:rPr>
        <w:t xml:space="preserve">00326/SECOGEM/IP/2024 </w:t>
      </w:r>
      <w:r w:rsidR="00664733" w:rsidRPr="008406F6">
        <w:rPr>
          <w:rFonts w:cs="Tahoma"/>
          <w:b/>
          <w:bCs/>
        </w:rPr>
        <w:t xml:space="preserve">y </w:t>
      </w:r>
      <w:r w:rsidR="0009232A" w:rsidRPr="008406F6">
        <w:rPr>
          <w:rFonts w:cs="Tahoma"/>
          <w:b/>
          <w:bCs/>
        </w:rPr>
        <w:t>00327/SECOGEM/IP/2024</w:t>
      </w:r>
      <w:r w:rsidR="00664733" w:rsidRPr="008406F6">
        <w:rPr>
          <w:rFonts w:cs="Tahoma"/>
          <w:b/>
          <w:bCs/>
        </w:rPr>
        <w:t xml:space="preserve">, </w:t>
      </w:r>
      <w:r w:rsidR="002A3601" w:rsidRPr="008406F6">
        <w:rPr>
          <w:rFonts w:cs="Tahoma"/>
        </w:rPr>
        <w:t xml:space="preserve"> y en ella </w:t>
      </w:r>
      <w:r w:rsidR="009A2D78" w:rsidRPr="008406F6">
        <w:rPr>
          <w:rFonts w:cs="Tahoma"/>
        </w:rPr>
        <w:t>se requirió la siguiente información:</w:t>
      </w:r>
    </w:p>
    <w:p w14:paraId="2AD9E6C5" w14:textId="77777777" w:rsidR="0009232A" w:rsidRPr="008406F6" w:rsidRDefault="0009232A" w:rsidP="008406F6">
      <w:pPr>
        <w:pStyle w:val="Prrafodelista"/>
        <w:tabs>
          <w:tab w:val="left" w:pos="0"/>
        </w:tabs>
        <w:ind w:left="0"/>
        <w:contextualSpacing w:val="0"/>
        <w:rPr>
          <w:rFonts w:cs="Tahoma"/>
        </w:rPr>
      </w:pPr>
    </w:p>
    <w:p w14:paraId="02EAC9AB" w14:textId="2D27DD99" w:rsidR="00862853" w:rsidRPr="008406F6" w:rsidRDefault="0009232A" w:rsidP="008406F6">
      <w:pPr>
        <w:tabs>
          <w:tab w:val="left" w:pos="4667"/>
        </w:tabs>
        <w:spacing w:line="240" w:lineRule="auto"/>
        <w:ind w:left="567" w:right="567"/>
        <w:rPr>
          <w:rFonts w:cs="Tahoma"/>
          <w:b/>
          <w:bCs/>
          <w:i/>
        </w:rPr>
      </w:pPr>
      <w:r w:rsidRPr="008406F6">
        <w:rPr>
          <w:rFonts w:cs="Tahoma"/>
          <w:b/>
          <w:bCs/>
          <w:i/>
        </w:rPr>
        <w:t>00326/SECOGEM/IP/2024</w:t>
      </w:r>
    </w:p>
    <w:p w14:paraId="64B27DE3" w14:textId="0D5A7F4E" w:rsidR="00664420" w:rsidRPr="008406F6" w:rsidRDefault="0009232A" w:rsidP="008406F6">
      <w:pPr>
        <w:tabs>
          <w:tab w:val="left" w:pos="4667"/>
        </w:tabs>
        <w:spacing w:line="240" w:lineRule="auto"/>
        <w:ind w:left="567" w:right="567"/>
        <w:rPr>
          <w:rFonts w:cs="Tahoma"/>
          <w:b/>
          <w:bCs/>
          <w:i/>
        </w:rPr>
      </w:pPr>
      <w:r w:rsidRPr="008406F6">
        <w:rPr>
          <w:rFonts w:eastAsiaTheme="majorEastAsia" w:cstheme="majorBidi"/>
          <w:i/>
          <w:kern w:val="28"/>
          <w:szCs w:val="56"/>
        </w:rPr>
        <w:t xml:space="preserve">Solicitud de Transparencia para la entrega de actas de entrega-recepción realizadas por la extinta Secretaría de Obra Pública y Desarrollo Urbano a la Secretaría de Infraestructura y la Secretaría del Agua Por medio de la presente, y conforme a lo establecido en la Ley de </w:t>
      </w:r>
      <w:r w:rsidRPr="008406F6">
        <w:rPr>
          <w:rFonts w:eastAsiaTheme="majorEastAsia" w:cstheme="majorBidi"/>
          <w:i/>
          <w:kern w:val="28"/>
          <w:szCs w:val="56"/>
        </w:rPr>
        <w:lastRenderedPageBreak/>
        <w:t>Transparencia y Acceso a la Información Pública del Estado de México, solicito respetuosamente se me proporcionen las actas de entrega-recepción que realizó la extinta Secretaría de Obra Pública y Desarrollo Urbano a las siguientes dependencias de acuerdo a sus respectivas competencias: 1. Secretaría de Infraestructura: Actas de entrega-recepción correspondientes a todas las obras públicas, proyectos de infraestructura y desarrollo urbano que se encontraban bajo la competencia de la extinta Secretaría de Obra Pública y Desarrollo Urbano. 2. Secretaría del Agua: Actas de entrega-recepción correspondientes a todos los proyectos, programas y obras relacionadas con el manejo, distribución y calidad del agua que eran responsabilidad de la extinta Secretaría de Obra Pública y Desarrollo Urbano. El objetivo de esta solicitud es obtener una visión clara y precisa de los procesos de entrega-recepción llevados a cabo entre estas dependencias, para asegurar la transparencia y la correcta transferencia de responsabilidades y activos. Agradezco de antemano su atención y pronta respuesta a esta solicitud. Quedo a su disposición para cualquier aclaración adicional que pudiera requerir</w:t>
      </w:r>
      <w:r w:rsidR="00A97B5B" w:rsidRPr="008406F6">
        <w:rPr>
          <w:rFonts w:eastAsiaTheme="majorEastAsia" w:cstheme="majorBidi"/>
          <w:i/>
          <w:kern w:val="28"/>
          <w:szCs w:val="56"/>
        </w:rPr>
        <w:t>.</w:t>
      </w:r>
    </w:p>
    <w:p w14:paraId="64FFF769" w14:textId="77777777" w:rsidR="00862853" w:rsidRPr="008406F6" w:rsidRDefault="00862853" w:rsidP="008406F6">
      <w:pPr>
        <w:tabs>
          <w:tab w:val="left" w:pos="4667"/>
        </w:tabs>
        <w:spacing w:line="240" w:lineRule="auto"/>
        <w:ind w:left="567" w:right="567"/>
        <w:rPr>
          <w:rFonts w:eastAsiaTheme="majorEastAsia" w:cstheme="majorBidi"/>
          <w:i/>
          <w:kern w:val="28"/>
          <w:szCs w:val="56"/>
        </w:rPr>
      </w:pPr>
    </w:p>
    <w:p w14:paraId="50B0F818" w14:textId="34EFAE16" w:rsidR="00862853" w:rsidRPr="008406F6" w:rsidRDefault="0009232A" w:rsidP="008406F6">
      <w:pPr>
        <w:tabs>
          <w:tab w:val="left" w:pos="4667"/>
        </w:tabs>
        <w:spacing w:line="240" w:lineRule="auto"/>
        <w:ind w:left="567" w:right="567"/>
        <w:rPr>
          <w:rFonts w:eastAsiaTheme="majorEastAsia" w:cstheme="majorBidi"/>
          <w:i/>
          <w:kern w:val="28"/>
          <w:szCs w:val="56"/>
        </w:rPr>
      </w:pPr>
      <w:r w:rsidRPr="008406F6">
        <w:rPr>
          <w:rFonts w:cs="Tahoma"/>
          <w:b/>
          <w:bCs/>
          <w:i/>
        </w:rPr>
        <w:t>00327/SECOGEM/IP/2024</w:t>
      </w:r>
    </w:p>
    <w:p w14:paraId="4AC37207" w14:textId="7B85DD53" w:rsidR="00862853" w:rsidRPr="008406F6" w:rsidRDefault="0009232A" w:rsidP="008406F6">
      <w:pPr>
        <w:tabs>
          <w:tab w:val="left" w:pos="4667"/>
        </w:tabs>
        <w:spacing w:line="240" w:lineRule="auto"/>
        <w:ind w:left="567" w:right="567"/>
        <w:rPr>
          <w:rFonts w:cs="Tahoma"/>
          <w:bCs/>
          <w:i/>
          <w:szCs w:val="22"/>
        </w:rPr>
      </w:pPr>
      <w:r w:rsidRPr="008406F6">
        <w:rPr>
          <w:rFonts w:cs="Tahoma"/>
          <w:bCs/>
          <w:i/>
          <w:szCs w:val="22"/>
        </w:rPr>
        <w:t>Solicitud de Transparencia para la entrega de actas de entrega-recepción realizadas por la extinta Secretaría de Obra Pública y Desarrollo Urbano a la Secretaría de Infraestructura y la Secretaría del Agua Por medio de la presente, y conforme a lo establecido en la Ley de Transparencia y Acceso a la Información Pública del Estado de México, solicito respetuosamente se me proporcionen las actas de entrega-recepción que realizó la extinta Secretaría de Obra Pública y Desarrollo Urbano a las siguientes dependencias de acuerdo a sus respectivas competencias: 1. Secretaría de Desarrollo Urbano e Infraestructura: Actas de entrega-recepción correspondientes a todas las obras públicas, proyectos de infraestructura y desarrollo urbano que se encontraban bajo la competencia de la extinta Secretaría de Obra Pública y Desarrollo Urbano. 2. Secretaría del Agua: Actas de entrega-recepción correspondientes a todos los proyectos, programas y obras relacionadas con el manejo, distribución y calidad del agua que eran responsabilidad de la extinta Secretaría de Obra Pública y Desarrollo Urbano. El objetivo de esta solicitud es obtener una visión clara y precisa de los procesos de entrega-recepción llevados a cabo entre estas dependencias, para asegurar la transparencia y la correcta transferencia de responsabilidades y activos. Agradezco de antemano su atención y pronta respuesta a esta solicitud. Quedo a su disposición para cualquier aclaración adicional que pudiera requerir</w:t>
      </w:r>
      <w:proofErr w:type="gramStart"/>
      <w:r w:rsidRPr="008406F6">
        <w:rPr>
          <w:rFonts w:cs="Tahoma"/>
          <w:bCs/>
          <w:i/>
          <w:szCs w:val="22"/>
        </w:rPr>
        <w:t>.</w:t>
      </w:r>
      <w:r w:rsidR="00A97B5B" w:rsidRPr="008406F6">
        <w:rPr>
          <w:rFonts w:cs="Tahoma"/>
          <w:bCs/>
          <w:i/>
          <w:szCs w:val="22"/>
        </w:rPr>
        <w:t>.</w:t>
      </w:r>
      <w:proofErr w:type="gramEnd"/>
    </w:p>
    <w:p w14:paraId="6C422602" w14:textId="77777777" w:rsidR="00862853" w:rsidRPr="008406F6" w:rsidRDefault="00862853" w:rsidP="008406F6">
      <w:pPr>
        <w:tabs>
          <w:tab w:val="left" w:pos="4667"/>
        </w:tabs>
        <w:ind w:right="567"/>
        <w:rPr>
          <w:rFonts w:cs="Tahoma"/>
          <w:bCs/>
          <w:i/>
          <w:szCs w:val="22"/>
        </w:rPr>
      </w:pPr>
    </w:p>
    <w:p w14:paraId="0BD6321D" w14:textId="56D9ABBC" w:rsidR="00664420" w:rsidRPr="008406F6" w:rsidRDefault="009A2D78" w:rsidP="008406F6">
      <w:pPr>
        <w:tabs>
          <w:tab w:val="left" w:pos="4667"/>
        </w:tabs>
        <w:ind w:left="567" w:right="567"/>
        <w:rPr>
          <w:rFonts w:cs="Tahoma"/>
          <w:bCs/>
          <w:szCs w:val="22"/>
        </w:rPr>
      </w:pPr>
      <w:r w:rsidRPr="008406F6">
        <w:rPr>
          <w:rFonts w:cs="Tahoma"/>
          <w:b/>
          <w:bCs/>
          <w:szCs w:val="22"/>
        </w:rPr>
        <w:t>Modalidad de entrega</w:t>
      </w:r>
      <w:r w:rsidRPr="008406F6">
        <w:rPr>
          <w:rFonts w:cs="Tahoma"/>
          <w:bCs/>
          <w:szCs w:val="22"/>
        </w:rPr>
        <w:t>: a</w:t>
      </w:r>
      <w:r w:rsidR="00664420" w:rsidRPr="008406F6">
        <w:rPr>
          <w:rFonts w:cs="Tahoma"/>
          <w:bCs/>
          <w:i/>
          <w:szCs w:val="22"/>
        </w:rPr>
        <w:t xml:space="preserve"> través del SAIMEX</w:t>
      </w:r>
      <w:r w:rsidRPr="008406F6">
        <w:rPr>
          <w:rFonts w:cs="Tahoma"/>
          <w:bCs/>
          <w:i/>
          <w:szCs w:val="22"/>
        </w:rPr>
        <w:t>.</w:t>
      </w:r>
    </w:p>
    <w:p w14:paraId="334D2860" w14:textId="77777777" w:rsidR="00664420" w:rsidRPr="008406F6" w:rsidRDefault="00664420" w:rsidP="008406F6">
      <w:pPr>
        <w:autoSpaceDE w:val="0"/>
        <w:autoSpaceDN w:val="0"/>
        <w:adjustRightInd w:val="0"/>
        <w:ind w:right="-28"/>
        <w:rPr>
          <w:rFonts w:cs="Tahoma"/>
          <w:bCs/>
          <w:i/>
          <w:szCs w:val="22"/>
        </w:rPr>
      </w:pPr>
    </w:p>
    <w:p w14:paraId="5AC1EE52" w14:textId="4D84356C" w:rsidR="00D036D3" w:rsidRPr="008406F6" w:rsidRDefault="00E37A3F" w:rsidP="008406F6">
      <w:pPr>
        <w:pStyle w:val="Ttulo3"/>
      </w:pPr>
      <w:bookmarkStart w:id="5" w:name="_Toc181264970"/>
      <w:r w:rsidRPr="008406F6">
        <w:lastRenderedPageBreak/>
        <w:t xml:space="preserve">b) </w:t>
      </w:r>
      <w:r w:rsidR="006A20A8" w:rsidRPr="008406F6">
        <w:t>Respuesta</w:t>
      </w:r>
      <w:bookmarkEnd w:id="5"/>
    </w:p>
    <w:p w14:paraId="7CEE6F8C" w14:textId="2B4DEDFB" w:rsidR="007D1C55" w:rsidRPr="008406F6" w:rsidRDefault="0009232A" w:rsidP="008406F6">
      <w:pPr>
        <w:tabs>
          <w:tab w:val="left" w:pos="4667"/>
        </w:tabs>
        <w:spacing w:line="240" w:lineRule="auto"/>
        <w:ind w:left="567" w:right="567"/>
        <w:rPr>
          <w:rFonts w:eastAsiaTheme="majorEastAsia" w:cstheme="majorBidi"/>
          <w:i/>
          <w:kern w:val="28"/>
          <w:szCs w:val="56"/>
        </w:rPr>
      </w:pPr>
      <w:r w:rsidRPr="008406F6">
        <w:t>E</w:t>
      </w:r>
      <w:r w:rsidR="00862853" w:rsidRPr="008406F6">
        <w:t>n fecha</w:t>
      </w:r>
      <w:r w:rsidR="00D036D3" w:rsidRPr="008406F6">
        <w:t xml:space="preserve"> </w:t>
      </w:r>
      <w:r w:rsidRPr="008406F6">
        <w:rPr>
          <w:rFonts w:eastAsia="Palatino Linotype" w:cs="Palatino Linotype"/>
          <w:b/>
        </w:rPr>
        <w:t>tres de septiembre</w:t>
      </w:r>
      <w:r w:rsidR="00862853" w:rsidRPr="008406F6">
        <w:rPr>
          <w:rFonts w:eastAsia="Palatino Linotype" w:cs="Palatino Linotype"/>
          <w:b/>
        </w:rPr>
        <w:t xml:space="preserve"> de dos mil veinticuatro</w:t>
      </w:r>
      <w:r w:rsidRPr="008406F6">
        <w:t xml:space="preserve"> </w:t>
      </w:r>
      <w:r w:rsidRPr="008406F6">
        <w:rPr>
          <w:b/>
        </w:rPr>
        <w:t>EL SUJETO OBLIGADO</w:t>
      </w:r>
      <w:r w:rsidR="006A20A8" w:rsidRPr="008406F6">
        <w:rPr>
          <w:bCs/>
        </w:rPr>
        <w:t>,</w:t>
      </w:r>
      <w:r w:rsidRPr="008406F6">
        <w:rPr>
          <w:b/>
        </w:rPr>
        <w:t xml:space="preserve"> </w:t>
      </w:r>
      <w:r w:rsidRPr="008406F6">
        <w:t>a través del encargado de la Unidad de Prevención de la Corrupción y Responsable de la Unidad de Transparencia</w:t>
      </w:r>
      <w:r w:rsidR="006A20A8" w:rsidRPr="008406F6">
        <w:t>,</w:t>
      </w:r>
      <w:r w:rsidRPr="008406F6">
        <w:t xml:space="preserve"> manifestó la incompetencia para dar atención a los requerimientos inmersos en las solicitudes de información</w:t>
      </w:r>
      <w:r w:rsidR="00D845D6" w:rsidRPr="008406F6">
        <w:t xml:space="preserve"> </w:t>
      </w:r>
      <w:r w:rsidR="00D845D6" w:rsidRPr="008406F6">
        <w:rPr>
          <w:rFonts w:cs="Tahoma"/>
          <w:b/>
          <w:bCs/>
          <w:i/>
        </w:rPr>
        <w:t xml:space="preserve">00326/SECOGEM/IP/2024 </w:t>
      </w:r>
      <w:r w:rsidR="00D845D6" w:rsidRPr="008406F6">
        <w:rPr>
          <w:rFonts w:cs="Tahoma"/>
          <w:i/>
        </w:rPr>
        <w:t xml:space="preserve">y </w:t>
      </w:r>
      <w:r w:rsidR="00D845D6" w:rsidRPr="008406F6">
        <w:rPr>
          <w:rFonts w:cs="Tahoma"/>
          <w:b/>
          <w:bCs/>
          <w:i/>
        </w:rPr>
        <w:t>00327/SECOGEM/IP/2024</w:t>
      </w:r>
      <w:r w:rsidR="00D845D6" w:rsidRPr="008406F6">
        <w:rPr>
          <w:rFonts w:eastAsiaTheme="majorEastAsia" w:cstheme="majorBidi"/>
          <w:i/>
          <w:kern w:val="28"/>
          <w:szCs w:val="56"/>
        </w:rPr>
        <w:t xml:space="preserve"> </w:t>
      </w:r>
      <w:r w:rsidR="002F1301" w:rsidRPr="008406F6">
        <w:t>orientando al particular a que promueva la solicitud de información respectiva ante la Secretaría del Agua del Estado de México y la Secretaría de Desarrollo Urbano e Infraestructura</w:t>
      </w:r>
      <w:r w:rsidR="007D1C55" w:rsidRPr="008406F6">
        <w:t>.</w:t>
      </w:r>
    </w:p>
    <w:p w14:paraId="4E767382" w14:textId="77777777" w:rsidR="00784235" w:rsidRPr="008406F6" w:rsidRDefault="00784235" w:rsidP="008406F6">
      <w:pPr>
        <w:autoSpaceDE w:val="0"/>
        <w:autoSpaceDN w:val="0"/>
        <w:adjustRightInd w:val="0"/>
        <w:ind w:right="-28"/>
        <w:rPr>
          <w:rFonts w:cs="Tahoma"/>
          <w:bCs/>
          <w:szCs w:val="22"/>
          <w:lang w:val="es-ES"/>
        </w:rPr>
      </w:pPr>
    </w:p>
    <w:p w14:paraId="5A5DAB9E" w14:textId="7F81AAA5" w:rsidR="00E37A3F" w:rsidRPr="008406F6" w:rsidRDefault="00E37A3F" w:rsidP="008406F6">
      <w:pPr>
        <w:pStyle w:val="Ttulo2"/>
        <w:jc w:val="left"/>
      </w:pPr>
      <w:bookmarkStart w:id="6" w:name="_Toc181264971"/>
      <w:r w:rsidRPr="008406F6">
        <w:t>D</w:t>
      </w:r>
      <w:r w:rsidR="00784235" w:rsidRPr="008406F6">
        <w:t>E LOS</w:t>
      </w:r>
      <w:r w:rsidRPr="008406F6">
        <w:t xml:space="preserve"> RECURSO</w:t>
      </w:r>
      <w:r w:rsidR="00784235" w:rsidRPr="008406F6">
        <w:t>S</w:t>
      </w:r>
      <w:r w:rsidRPr="008406F6">
        <w:t xml:space="preserve"> DE REVISIÓN</w:t>
      </w:r>
      <w:bookmarkEnd w:id="6"/>
    </w:p>
    <w:p w14:paraId="0B17CD08" w14:textId="77777777" w:rsidR="00664420" w:rsidRPr="008406F6" w:rsidRDefault="00664420" w:rsidP="008406F6">
      <w:pPr>
        <w:autoSpaceDE w:val="0"/>
        <w:autoSpaceDN w:val="0"/>
        <w:adjustRightInd w:val="0"/>
        <w:ind w:right="-28"/>
        <w:rPr>
          <w:rFonts w:cs="Tahoma"/>
          <w:bCs/>
          <w:szCs w:val="22"/>
          <w:lang w:val="es-ES"/>
        </w:rPr>
      </w:pPr>
    </w:p>
    <w:p w14:paraId="2B216813" w14:textId="44611952" w:rsidR="00664420" w:rsidRPr="008406F6" w:rsidRDefault="006E25BC" w:rsidP="008406F6">
      <w:pPr>
        <w:pStyle w:val="Ttulo3"/>
      </w:pPr>
      <w:bookmarkStart w:id="7" w:name="_Toc181264972"/>
      <w:r w:rsidRPr="008406F6">
        <w:rPr>
          <w:szCs w:val="32"/>
        </w:rPr>
        <w:t>a)</w:t>
      </w:r>
      <w:r w:rsidRPr="008406F6">
        <w:t xml:space="preserve"> </w:t>
      </w:r>
      <w:r w:rsidR="00784235" w:rsidRPr="008406F6">
        <w:t>Interposición de los</w:t>
      </w:r>
      <w:r w:rsidR="00664420" w:rsidRPr="008406F6">
        <w:t xml:space="preserve"> Recurso</w:t>
      </w:r>
      <w:r w:rsidR="00784235" w:rsidRPr="008406F6">
        <w:t>s</w:t>
      </w:r>
      <w:r w:rsidR="00664420" w:rsidRPr="008406F6">
        <w:t xml:space="preserve"> de Revisión</w:t>
      </w:r>
      <w:bookmarkEnd w:id="7"/>
    </w:p>
    <w:p w14:paraId="6279C622" w14:textId="406A0FD3" w:rsidR="00664420" w:rsidRPr="008406F6" w:rsidRDefault="00664420" w:rsidP="008406F6">
      <w:pPr>
        <w:autoSpaceDE w:val="0"/>
        <w:autoSpaceDN w:val="0"/>
        <w:adjustRightInd w:val="0"/>
        <w:ind w:right="-28"/>
        <w:rPr>
          <w:rFonts w:cs="Tahoma"/>
          <w:szCs w:val="22"/>
        </w:rPr>
      </w:pPr>
      <w:r w:rsidRPr="008406F6">
        <w:rPr>
          <w:rFonts w:cs="Tahoma"/>
          <w:szCs w:val="22"/>
        </w:rPr>
        <w:t xml:space="preserve">El </w:t>
      </w:r>
      <w:r w:rsidR="009D6765" w:rsidRPr="008406F6">
        <w:rPr>
          <w:rFonts w:cs="Tahoma"/>
          <w:b/>
          <w:bCs/>
          <w:szCs w:val="22"/>
        </w:rPr>
        <w:t>cuatro de septiembre</w:t>
      </w:r>
      <w:r w:rsidR="00784235" w:rsidRPr="008406F6">
        <w:rPr>
          <w:rFonts w:cs="Tahoma"/>
          <w:b/>
          <w:bCs/>
          <w:szCs w:val="22"/>
        </w:rPr>
        <w:t xml:space="preserve"> de dos mil veinticuatro</w:t>
      </w:r>
      <w:r w:rsidRPr="008406F6">
        <w:rPr>
          <w:rFonts w:cs="Tahoma"/>
          <w:szCs w:val="22"/>
        </w:rPr>
        <w:t xml:space="preserve"> </w:t>
      </w:r>
      <w:r w:rsidR="00F75D23" w:rsidRPr="008406F6">
        <w:rPr>
          <w:rFonts w:cs="Tahoma"/>
          <w:b/>
          <w:bCs/>
          <w:szCs w:val="22"/>
        </w:rPr>
        <w:t>LA PARTE RECURRENTE</w:t>
      </w:r>
      <w:r w:rsidR="00F75D23" w:rsidRPr="008406F6">
        <w:rPr>
          <w:rFonts w:cs="Tahoma"/>
          <w:szCs w:val="22"/>
        </w:rPr>
        <w:t xml:space="preserve"> interpuso </w:t>
      </w:r>
      <w:r w:rsidR="00784235" w:rsidRPr="008406F6">
        <w:rPr>
          <w:rFonts w:cs="Tahoma"/>
          <w:szCs w:val="22"/>
        </w:rPr>
        <w:t>los recursos</w:t>
      </w:r>
      <w:r w:rsidR="00F75D23" w:rsidRPr="008406F6">
        <w:rPr>
          <w:rFonts w:cs="Tahoma"/>
          <w:szCs w:val="22"/>
        </w:rPr>
        <w:t xml:space="preserve"> de revisión en contra de la</w:t>
      </w:r>
      <w:r w:rsidR="00784235" w:rsidRPr="008406F6">
        <w:rPr>
          <w:rFonts w:cs="Tahoma"/>
          <w:szCs w:val="22"/>
        </w:rPr>
        <w:t>s</w:t>
      </w:r>
      <w:r w:rsidR="00F75D23" w:rsidRPr="008406F6">
        <w:rPr>
          <w:rFonts w:cs="Tahoma"/>
          <w:szCs w:val="22"/>
        </w:rPr>
        <w:t xml:space="preserve"> respuesta</w:t>
      </w:r>
      <w:r w:rsidR="00784235" w:rsidRPr="008406F6">
        <w:rPr>
          <w:rFonts w:cs="Tahoma"/>
          <w:szCs w:val="22"/>
        </w:rPr>
        <w:t>s</w:t>
      </w:r>
      <w:r w:rsidR="00F75D23" w:rsidRPr="008406F6">
        <w:rPr>
          <w:rFonts w:cs="Tahoma"/>
          <w:szCs w:val="22"/>
        </w:rPr>
        <w:t xml:space="preserve"> emitida por el </w:t>
      </w:r>
      <w:r w:rsidR="00F75D23" w:rsidRPr="008406F6">
        <w:rPr>
          <w:rFonts w:cs="Tahoma"/>
          <w:b/>
          <w:bCs/>
          <w:szCs w:val="22"/>
        </w:rPr>
        <w:t>SUJETO OBLIGADO</w:t>
      </w:r>
      <w:r w:rsidR="00953430" w:rsidRPr="008406F6">
        <w:rPr>
          <w:rFonts w:cs="Tahoma"/>
          <w:szCs w:val="22"/>
        </w:rPr>
        <w:t>, mismo</w:t>
      </w:r>
      <w:r w:rsidR="00784235" w:rsidRPr="008406F6">
        <w:rPr>
          <w:rFonts w:cs="Tahoma"/>
          <w:szCs w:val="22"/>
        </w:rPr>
        <w:t>s</w:t>
      </w:r>
      <w:r w:rsidR="00953430" w:rsidRPr="008406F6">
        <w:rPr>
          <w:rFonts w:cs="Tahoma"/>
          <w:szCs w:val="22"/>
        </w:rPr>
        <w:t xml:space="preserve"> que fue</w:t>
      </w:r>
      <w:r w:rsidR="00784235" w:rsidRPr="008406F6">
        <w:rPr>
          <w:rFonts w:cs="Tahoma"/>
          <w:szCs w:val="22"/>
        </w:rPr>
        <w:t>ron</w:t>
      </w:r>
      <w:r w:rsidR="00953430" w:rsidRPr="008406F6">
        <w:rPr>
          <w:rFonts w:cs="Tahoma"/>
          <w:szCs w:val="22"/>
        </w:rPr>
        <w:t xml:space="preserve"> registrado</w:t>
      </w:r>
      <w:r w:rsidR="00784235" w:rsidRPr="008406F6">
        <w:rPr>
          <w:rFonts w:cs="Tahoma"/>
          <w:szCs w:val="22"/>
        </w:rPr>
        <w:t>s</w:t>
      </w:r>
      <w:r w:rsidR="00953430" w:rsidRPr="008406F6">
        <w:rPr>
          <w:rFonts w:cs="Tahoma"/>
          <w:szCs w:val="22"/>
        </w:rPr>
        <w:t xml:space="preserve"> en el SAIMEX con </w:t>
      </w:r>
      <w:r w:rsidR="00784235" w:rsidRPr="008406F6">
        <w:rPr>
          <w:rFonts w:cs="Tahoma"/>
          <w:szCs w:val="22"/>
        </w:rPr>
        <w:t>los</w:t>
      </w:r>
      <w:r w:rsidR="00953430" w:rsidRPr="008406F6">
        <w:rPr>
          <w:rFonts w:cs="Tahoma"/>
          <w:szCs w:val="22"/>
        </w:rPr>
        <w:t xml:space="preserve"> número</w:t>
      </w:r>
      <w:r w:rsidR="00784235" w:rsidRPr="008406F6">
        <w:rPr>
          <w:rFonts w:cs="Tahoma"/>
          <w:szCs w:val="22"/>
        </w:rPr>
        <w:t>s</w:t>
      </w:r>
      <w:r w:rsidR="00953430" w:rsidRPr="008406F6">
        <w:rPr>
          <w:rFonts w:cs="Tahoma"/>
          <w:szCs w:val="22"/>
        </w:rPr>
        <w:t xml:space="preserve"> de expediente </w:t>
      </w:r>
      <w:r w:rsidR="009D6765" w:rsidRPr="008406F6">
        <w:rPr>
          <w:rFonts w:eastAsia="Calibri"/>
          <w:b/>
          <w:lang w:eastAsia="en-US"/>
        </w:rPr>
        <w:t>05422</w:t>
      </w:r>
      <w:r w:rsidR="00F97C0F" w:rsidRPr="008406F6">
        <w:rPr>
          <w:rFonts w:eastAsia="Calibri"/>
          <w:b/>
          <w:lang w:eastAsia="en-US"/>
        </w:rPr>
        <w:t>/INFOEM/IP/RR/2024</w:t>
      </w:r>
      <w:r w:rsidR="009D6765" w:rsidRPr="008406F6">
        <w:rPr>
          <w:rFonts w:eastAsia="Calibri"/>
          <w:b/>
          <w:lang w:eastAsia="en-US"/>
        </w:rPr>
        <w:t xml:space="preserve"> y</w:t>
      </w:r>
      <w:r w:rsidR="00F97C0F" w:rsidRPr="008406F6">
        <w:rPr>
          <w:rFonts w:eastAsia="Calibri"/>
          <w:b/>
          <w:lang w:eastAsia="en-US"/>
        </w:rPr>
        <w:t xml:space="preserve"> </w:t>
      </w:r>
      <w:r w:rsidR="009D6765" w:rsidRPr="008406F6">
        <w:rPr>
          <w:rFonts w:eastAsia="Calibri"/>
          <w:b/>
          <w:lang w:eastAsia="en-US"/>
        </w:rPr>
        <w:t>05423/INFOEM/IP/RR/2024</w:t>
      </w:r>
      <w:r w:rsidR="00953430" w:rsidRPr="008406F6">
        <w:rPr>
          <w:rFonts w:cs="Tahoma"/>
          <w:szCs w:val="22"/>
        </w:rPr>
        <w:t xml:space="preserve"> y en </w:t>
      </w:r>
      <w:r w:rsidR="00784235" w:rsidRPr="008406F6">
        <w:rPr>
          <w:rFonts w:cs="Tahoma"/>
          <w:szCs w:val="22"/>
        </w:rPr>
        <w:t>los cuales</w:t>
      </w:r>
      <w:r w:rsidR="00953430" w:rsidRPr="008406F6">
        <w:rPr>
          <w:rFonts w:cs="Tahoma"/>
          <w:szCs w:val="22"/>
        </w:rPr>
        <w:t xml:space="preserve"> manifiesta lo siguiente</w:t>
      </w:r>
      <w:r w:rsidRPr="008406F6">
        <w:rPr>
          <w:rFonts w:cs="Tahoma"/>
          <w:szCs w:val="22"/>
        </w:rPr>
        <w:t>:</w:t>
      </w:r>
    </w:p>
    <w:p w14:paraId="74B30008" w14:textId="77777777" w:rsidR="00664420" w:rsidRPr="008406F6" w:rsidRDefault="00664420" w:rsidP="008406F6">
      <w:pPr>
        <w:tabs>
          <w:tab w:val="left" w:pos="4667"/>
        </w:tabs>
        <w:ind w:right="539"/>
        <w:rPr>
          <w:rFonts w:cs="Tahoma"/>
          <w:szCs w:val="22"/>
        </w:rPr>
      </w:pPr>
    </w:p>
    <w:p w14:paraId="18BF6011" w14:textId="30511DDA" w:rsidR="00784235" w:rsidRPr="008406F6" w:rsidRDefault="00784235" w:rsidP="008406F6">
      <w:pPr>
        <w:tabs>
          <w:tab w:val="left" w:pos="4667"/>
        </w:tabs>
        <w:ind w:right="539"/>
        <w:rPr>
          <w:rFonts w:cs="Tahoma"/>
          <w:b/>
          <w:szCs w:val="22"/>
          <w:u w:val="single"/>
        </w:rPr>
      </w:pPr>
      <w:r w:rsidRPr="008406F6">
        <w:rPr>
          <w:rFonts w:cs="Tahoma"/>
          <w:b/>
          <w:szCs w:val="22"/>
          <w:u w:val="single"/>
        </w:rPr>
        <w:t>Para todos los recursos de revisión promovidos:</w:t>
      </w:r>
    </w:p>
    <w:p w14:paraId="12153283" w14:textId="77777777" w:rsidR="00664420" w:rsidRPr="008406F6" w:rsidRDefault="00664420" w:rsidP="008406F6">
      <w:pPr>
        <w:tabs>
          <w:tab w:val="left" w:pos="4667"/>
        </w:tabs>
        <w:ind w:left="567" w:right="539"/>
        <w:rPr>
          <w:rFonts w:cs="Tahoma"/>
          <w:b/>
          <w:iCs/>
        </w:rPr>
      </w:pPr>
      <w:r w:rsidRPr="008406F6">
        <w:rPr>
          <w:rFonts w:cs="Tahoma"/>
          <w:b/>
          <w:iCs/>
        </w:rPr>
        <w:t>ACTO IMPUGNADO</w:t>
      </w:r>
      <w:r w:rsidRPr="008406F6">
        <w:rPr>
          <w:rFonts w:cs="Tahoma"/>
          <w:b/>
          <w:iCs/>
        </w:rPr>
        <w:tab/>
      </w:r>
    </w:p>
    <w:p w14:paraId="523F8BF4" w14:textId="5756C13F" w:rsidR="00664420" w:rsidRPr="008406F6" w:rsidRDefault="009D6765" w:rsidP="008406F6">
      <w:pPr>
        <w:tabs>
          <w:tab w:val="left" w:pos="4667"/>
        </w:tabs>
        <w:spacing w:line="240" w:lineRule="auto"/>
        <w:ind w:left="567" w:right="539"/>
        <w:rPr>
          <w:rFonts w:cs="Tahoma"/>
          <w:bCs/>
          <w:i/>
        </w:rPr>
      </w:pPr>
      <w:r w:rsidRPr="008406F6">
        <w:rPr>
          <w:rFonts w:cs="Tahoma"/>
          <w:bCs/>
          <w:i/>
        </w:rPr>
        <w:t xml:space="preserve">“no se me entrega la información que se requiere si bien también la puede tener otro sujeto obligado también es esa secretaria quien debe de contener la informan de las entregas recepciones tanto de las dependencias del gobierno estatal como de sus servidores públicos, y toda vez que la Secretaria del Agua contesta que </w:t>
      </w:r>
      <w:proofErr w:type="spellStart"/>
      <w:r w:rsidRPr="008406F6">
        <w:rPr>
          <w:rFonts w:cs="Tahoma"/>
          <w:bCs/>
          <w:i/>
        </w:rPr>
        <w:t>aun</w:t>
      </w:r>
      <w:proofErr w:type="spellEnd"/>
      <w:r w:rsidRPr="008406F6">
        <w:rPr>
          <w:rFonts w:cs="Tahoma"/>
          <w:bCs/>
          <w:i/>
        </w:rPr>
        <w:t xml:space="preserve"> no tiene personal nombrado </w:t>
      </w:r>
      <w:proofErr w:type="spellStart"/>
      <w:r w:rsidRPr="008406F6">
        <w:rPr>
          <w:rFonts w:cs="Tahoma"/>
          <w:bCs/>
          <w:i/>
        </w:rPr>
        <w:t>mas</w:t>
      </w:r>
      <w:proofErr w:type="spellEnd"/>
      <w:r w:rsidRPr="008406F6">
        <w:rPr>
          <w:rFonts w:cs="Tahoma"/>
          <w:bCs/>
          <w:i/>
        </w:rPr>
        <w:t xml:space="preserve"> que el secretario del Agua, son ustedes el Sujeto Obligado quién debe de contener la información,”</w:t>
      </w:r>
    </w:p>
    <w:p w14:paraId="6AE8EA9A" w14:textId="77777777" w:rsidR="00664420" w:rsidRPr="008406F6" w:rsidRDefault="00664420" w:rsidP="008406F6">
      <w:pPr>
        <w:tabs>
          <w:tab w:val="left" w:pos="4667"/>
        </w:tabs>
        <w:ind w:right="539"/>
        <w:rPr>
          <w:rFonts w:cs="Tahoma"/>
          <w:bCs/>
          <w:i/>
        </w:rPr>
      </w:pPr>
    </w:p>
    <w:p w14:paraId="6C9F7AB0" w14:textId="77777777" w:rsidR="001B236E" w:rsidRPr="008406F6" w:rsidRDefault="001B236E" w:rsidP="008406F6">
      <w:pPr>
        <w:tabs>
          <w:tab w:val="left" w:pos="4667"/>
        </w:tabs>
        <w:ind w:right="539"/>
        <w:rPr>
          <w:rFonts w:cs="Tahoma"/>
          <w:bCs/>
          <w:i/>
        </w:rPr>
      </w:pPr>
    </w:p>
    <w:p w14:paraId="5D225E3D" w14:textId="77777777" w:rsidR="001B236E" w:rsidRPr="008406F6" w:rsidRDefault="001B236E" w:rsidP="008406F6">
      <w:pPr>
        <w:tabs>
          <w:tab w:val="left" w:pos="4667"/>
        </w:tabs>
        <w:ind w:right="539"/>
        <w:rPr>
          <w:rFonts w:cs="Tahoma"/>
          <w:bCs/>
          <w:i/>
        </w:rPr>
      </w:pPr>
    </w:p>
    <w:p w14:paraId="047D036B" w14:textId="77777777" w:rsidR="00664420" w:rsidRPr="008406F6" w:rsidRDefault="00664420" w:rsidP="008406F6">
      <w:pPr>
        <w:tabs>
          <w:tab w:val="left" w:pos="4667"/>
        </w:tabs>
        <w:ind w:left="567" w:right="539"/>
        <w:rPr>
          <w:rFonts w:cs="Tahoma"/>
          <w:b/>
          <w:iCs/>
        </w:rPr>
      </w:pPr>
      <w:r w:rsidRPr="008406F6">
        <w:rPr>
          <w:rFonts w:cs="Tahoma"/>
          <w:b/>
          <w:iCs/>
        </w:rPr>
        <w:lastRenderedPageBreak/>
        <w:t>RAZONES O MOTIVOS DE LA INCONFORMIDAD</w:t>
      </w:r>
      <w:r w:rsidRPr="008406F6">
        <w:rPr>
          <w:rFonts w:cs="Tahoma"/>
          <w:b/>
          <w:iCs/>
        </w:rPr>
        <w:tab/>
      </w:r>
    </w:p>
    <w:p w14:paraId="1DAE2563" w14:textId="5DC1B9A7" w:rsidR="00953430" w:rsidRPr="008406F6" w:rsidRDefault="009D6765" w:rsidP="008406F6">
      <w:pPr>
        <w:tabs>
          <w:tab w:val="left" w:pos="4667"/>
        </w:tabs>
        <w:spacing w:line="240" w:lineRule="auto"/>
        <w:ind w:left="567" w:right="539"/>
        <w:rPr>
          <w:rFonts w:cs="Tahoma"/>
          <w:bCs/>
          <w:i/>
        </w:rPr>
      </w:pPr>
      <w:r w:rsidRPr="008406F6">
        <w:rPr>
          <w:rFonts w:cs="Tahoma"/>
          <w:bCs/>
          <w:i/>
        </w:rPr>
        <w:t xml:space="preserve">“no se me entrega la información que se requiere si bien también la puede tener otro sujeto obligado también es esa secretaria quien debe de contener la informan de las entregas recepciones tanto de las dependencias del gobierno estatal como de sus servidores públicos, y toda vez que la Secretaria del Agua contesta que </w:t>
      </w:r>
      <w:proofErr w:type="spellStart"/>
      <w:r w:rsidRPr="008406F6">
        <w:rPr>
          <w:rFonts w:cs="Tahoma"/>
          <w:bCs/>
          <w:i/>
        </w:rPr>
        <w:t>aun</w:t>
      </w:r>
      <w:proofErr w:type="spellEnd"/>
      <w:r w:rsidRPr="008406F6">
        <w:rPr>
          <w:rFonts w:cs="Tahoma"/>
          <w:bCs/>
          <w:i/>
        </w:rPr>
        <w:t xml:space="preserve"> no tiene personal nombrado </w:t>
      </w:r>
      <w:proofErr w:type="spellStart"/>
      <w:r w:rsidRPr="008406F6">
        <w:rPr>
          <w:rFonts w:cs="Tahoma"/>
          <w:bCs/>
          <w:i/>
        </w:rPr>
        <w:t>mas</w:t>
      </w:r>
      <w:proofErr w:type="spellEnd"/>
      <w:r w:rsidRPr="008406F6">
        <w:rPr>
          <w:rFonts w:cs="Tahoma"/>
          <w:bCs/>
          <w:i/>
        </w:rPr>
        <w:t xml:space="preserve"> que el secretario del Agua, son ustedes el Sujeto Obligado quién debe de contener la información,”</w:t>
      </w:r>
    </w:p>
    <w:p w14:paraId="48FE75EA" w14:textId="77777777" w:rsidR="00664420" w:rsidRPr="008406F6" w:rsidRDefault="00664420" w:rsidP="008406F6">
      <w:pPr>
        <w:tabs>
          <w:tab w:val="left" w:pos="4667"/>
        </w:tabs>
        <w:ind w:right="567"/>
        <w:rPr>
          <w:rFonts w:cs="Tahoma"/>
          <w:b/>
          <w:bCs/>
        </w:rPr>
      </w:pPr>
    </w:p>
    <w:p w14:paraId="6804DEF1" w14:textId="181ECDB1" w:rsidR="00664420" w:rsidRPr="008406F6" w:rsidRDefault="006E25BC" w:rsidP="008406F6">
      <w:pPr>
        <w:pStyle w:val="Ttulo3"/>
      </w:pPr>
      <w:bookmarkStart w:id="8" w:name="_Toc181264973"/>
      <w:r w:rsidRPr="008406F6">
        <w:t>b</w:t>
      </w:r>
      <w:r w:rsidR="00784235" w:rsidRPr="008406F6">
        <w:t>) Turno de los</w:t>
      </w:r>
      <w:r w:rsidR="00664420" w:rsidRPr="008406F6">
        <w:t xml:space="preserve"> Recurso</w:t>
      </w:r>
      <w:r w:rsidR="00784235" w:rsidRPr="008406F6">
        <w:t>s</w:t>
      </w:r>
      <w:r w:rsidR="00664420" w:rsidRPr="008406F6">
        <w:t xml:space="preserve"> de Revisión</w:t>
      </w:r>
      <w:bookmarkEnd w:id="8"/>
    </w:p>
    <w:p w14:paraId="1173671B" w14:textId="51420E6A" w:rsidR="00C72DAA" w:rsidRPr="008406F6" w:rsidRDefault="00C72DAA" w:rsidP="008406F6">
      <w:r w:rsidRPr="008406F6">
        <w:t>Con fundamento en el artículo 185, fracción I de la Ley de Transparencia y Acceso a la Información Pública del Estado de México y Municipios, el</w:t>
      </w:r>
      <w:r w:rsidRPr="008406F6">
        <w:rPr>
          <w:b/>
          <w:bCs/>
        </w:rPr>
        <w:t xml:space="preserve"> </w:t>
      </w:r>
      <w:r w:rsidR="009D6765" w:rsidRPr="008406F6">
        <w:rPr>
          <w:rFonts w:eastAsia="Palatino Linotype" w:cs="Palatino Linotype"/>
          <w:b/>
        </w:rPr>
        <w:t>cuatro de septiembre</w:t>
      </w:r>
      <w:r w:rsidR="00784235" w:rsidRPr="008406F6">
        <w:rPr>
          <w:rFonts w:eastAsia="Palatino Linotype" w:cs="Palatino Linotype"/>
          <w:b/>
        </w:rPr>
        <w:t xml:space="preserve"> de dos mil veinticuatro</w:t>
      </w:r>
      <w:r w:rsidRPr="008406F6">
        <w:t xml:space="preserve"> se </w:t>
      </w:r>
      <w:r w:rsidR="00784235" w:rsidRPr="008406F6">
        <w:t>turnaron los</w:t>
      </w:r>
      <w:r w:rsidRPr="008406F6">
        <w:t xml:space="preserve"> recurso</w:t>
      </w:r>
      <w:r w:rsidR="00784235" w:rsidRPr="008406F6">
        <w:t>s</w:t>
      </w:r>
      <w:r w:rsidRPr="008406F6">
        <w:t xml:space="preserve"> de revisión a través del</w:t>
      </w:r>
      <w:r w:rsidRPr="008406F6">
        <w:rPr>
          <w:rFonts w:eastAsia="Arial Unicode MS"/>
        </w:rPr>
        <w:t xml:space="preserve"> </w:t>
      </w:r>
      <w:r w:rsidRPr="008406F6">
        <w:rPr>
          <w:rFonts w:eastAsia="Arial Unicode MS"/>
          <w:bCs/>
        </w:rPr>
        <w:t>SAIMEX</w:t>
      </w:r>
      <w:r w:rsidRPr="008406F6">
        <w:t xml:space="preserve"> a la</w:t>
      </w:r>
      <w:r w:rsidR="009D6765" w:rsidRPr="008406F6">
        <w:t>s</w:t>
      </w:r>
      <w:r w:rsidRPr="008406F6">
        <w:t xml:space="preserve"> </w:t>
      </w:r>
      <w:r w:rsidRPr="008406F6">
        <w:rPr>
          <w:b/>
        </w:rPr>
        <w:t>Comisionada</w:t>
      </w:r>
      <w:r w:rsidR="009D6765" w:rsidRPr="008406F6">
        <w:rPr>
          <w:b/>
        </w:rPr>
        <w:t>s</w:t>
      </w:r>
      <w:r w:rsidRPr="008406F6">
        <w:rPr>
          <w:b/>
        </w:rPr>
        <w:t xml:space="preserve"> Sharon Cristina Morales Martínez</w:t>
      </w:r>
      <w:r w:rsidR="009D6765" w:rsidRPr="008406F6">
        <w:rPr>
          <w:b/>
        </w:rPr>
        <w:t xml:space="preserve"> y María del Rosario Mejía Ayala</w:t>
      </w:r>
      <w:r w:rsidRPr="008406F6">
        <w:rPr>
          <w:bCs/>
        </w:rPr>
        <w:t xml:space="preserve">, </w:t>
      </w:r>
      <w:r w:rsidRPr="008406F6">
        <w:t xml:space="preserve">a efecto de decretar su admisión o </w:t>
      </w:r>
      <w:proofErr w:type="spellStart"/>
      <w:r w:rsidRPr="008406F6">
        <w:t>desechamiento</w:t>
      </w:r>
      <w:proofErr w:type="spellEnd"/>
      <w:r w:rsidRPr="008406F6">
        <w:t xml:space="preserve">. </w:t>
      </w:r>
    </w:p>
    <w:p w14:paraId="18F305CB" w14:textId="77777777" w:rsidR="00664420" w:rsidRPr="008406F6" w:rsidRDefault="00664420" w:rsidP="008406F6">
      <w:pPr>
        <w:rPr>
          <w:rFonts w:eastAsia="Batang" w:cs="Tahoma"/>
          <w:bCs/>
          <w:szCs w:val="22"/>
        </w:rPr>
      </w:pPr>
    </w:p>
    <w:p w14:paraId="3E31EC2D" w14:textId="1FC48DC9" w:rsidR="00664420" w:rsidRPr="008406F6" w:rsidRDefault="006E25BC" w:rsidP="008406F6">
      <w:pPr>
        <w:pStyle w:val="Ttulo3"/>
      </w:pPr>
      <w:bookmarkStart w:id="9" w:name="_Toc181264974"/>
      <w:r w:rsidRPr="008406F6">
        <w:t>c</w:t>
      </w:r>
      <w:r w:rsidR="00784235" w:rsidRPr="008406F6">
        <w:t>) Admisión de los</w:t>
      </w:r>
      <w:r w:rsidR="00664420" w:rsidRPr="008406F6">
        <w:t xml:space="preserve"> Recurso</w:t>
      </w:r>
      <w:r w:rsidR="00784235" w:rsidRPr="008406F6">
        <w:t>s</w:t>
      </w:r>
      <w:r w:rsidR="00664420" w:rsidRPr="008406F6">
        <w:t xml:space="preserve"> de Revisión</w:t>
      </w:r>
      <w:bookmarkEnd w:id="9"/>
    </w:p>
    <w:p w14:paraId="240447D5" w14:textId="217B84A3" w:rsidR="000E09C4" w:rsidRPr="008406F6" w:rsidRDefault="000E09C4" w:rsidP="008406F6">
      <w:pPr>
        <w:rPr>
          <w:rFonts w:cs="Arial"/>
        </w:rPr>
      </w:pPr>
      <w:r w:rsidRPr="008406F6">
        <w:rPr>
          <w:rFonts w:cs="Arial"/>
        </w:rPr>
        <w:t xml:space="preserve">El </w:t>
      </w:r>
      <w:r w:rsidR="009D6765" w:rsidRPr="008406F6">
        <w:rPr>
          <w:rFonts w:eastAsia="Palatino Linotype" w:cs="Palatino Linotype"/>
          <w:b/>
        </w:rPr>
        <w:t>cinco y seis de septiembre</w:t>
      </w:r>
      <w:r w:rsidR="00D80A05" w:rsidRPr="008406F6">
        <w:rPr>
          <w:rFonts w:eastAsia="Palatino Linotype" w:cs="Palatino Linotype"/>
          <w:b/>
        </w:rPr>
        <w:t xml:space="preserve"> </w:t>
      </w:r>
      <w:r w:rsidR="00784235" w:rsidRPr="008406F6">
        <w:rPr>
          <w:rFonts w:eastAsia="Palatino Linotype" w:cs="Palatino Linotype"/>
          <w:b/>
        </w:rPr>
        <w:t>de dos mil veinticuatro</w:t>
      </w:r>
      <w:r w:rsidRPr="008406F6">
        <w:rPr>
          <w:rFonts w:cs="Arial"/>
        </w:rPr>
        <w:t xml:space="preserve"> se acordó la admisión a trámite </w:t>
      </w:r>
      <w:r w:rsidR="00784235" w:rsidRPr="008406F6">
        <w:rPr>
          <w:rFonts w:cs="Arial"/>
        </w:rPr>
        <w:t>los R</w:t>
      </w:r>
      <w:r w:rsidRPr="008406F6">
        <w:rPr>
          <w:rFonts w:cs="Arial"/>
        </w:rPr>
        <w:t>ecurso</w:t>
      </w:r>
      <w:r w:rsidR="00784235" w:rsidRPr="008406F6">
        <w:rPr>
          <w:rFonts w:cs="Arial"/>
        </w:rPr>
        <w:t>s</w:t>
      </w:r>
      <w:r w:rsidRPr="008406F6">
        <w:rPr>
          <w:rFonts w:cs="Arial"/>
        </w:rPr>
        <w:t xml:space="preserve"> de Revisión </w:t>
      </w:r>
      <w:r w:rsidR="00784235" w:rsidRPr="008406F6">
        <w:rPr>
          <w:rFonts w:cs="Arial"/>
        </w:rPr>
        <w:t xml:space="preserve">y se integraron </w:t>
      </w:r>
      <w:r w:rsidR="0008378A" w:rsidRPr="008406F6">
        <w:rPr>
          <w:rFonts w:cs="Arial"/>
        </w:rPr>
        <w:t>los expedientes</w:t>
      </w:r>
      <w:r w:rsidRPr="008406F6">
        <w:rPr>
          <w:rFonts w:cs="Arial"/>
        </w:rPr>
        <w:t xml:space="preserve"> respectivo</w:t>
      </w:r>
      <w:r w:rsidR="00784235" w:rsidRPr="008406F6">
        <w:rPr>
          <w:rFonts w:cs="Arial"/>
        </w:rPr>
        <w:t>s</w:t>
      </w:r>
      <w:r w:rsidRPr="008406F6">
        <w:rPr>
          <w:rFonts w:cs="Arial"/>
        </w:rPr>
        <w:t>, mismo</w:t>
      </w:r>
      <w:r w:rsidR="00784235" w:rsidRPr="008406F6">
        <w:rPr>
          <w:rFonts w:cs="Arial"/>
        </w:rPr>
        <w:t>s que se pusieron</w:t>
      </w:r>
      <w:r w:rsidRPr="008406F6">
        <w:rPr>
          <w:rFonts w:cs="Arial"/>
        </w:rPr>
        <w:t xml:space="preserve"> a disposición de las partes para que, en un plazo de siete días hábiles, manifestaran lo que a su derecho conviniera, conforme a lo dispuesto por el artículo 185</w:t>
      </w:r>
      <w:r w:rsidR="00865CF4" w:rsidRPr="008406F6">
        <w:rPr>
          <w:rFonts w:cs="Arial"/>
        </w:rPr>
        <w:t>, fracción II</w:t>
      </w:r>
      <w:r w:rsidRPr="008406F6">
        <w:rPr>
          <w:rFonts w:cs="Arial"/>
        </w:rPr>
        <w:t xml:space="preserve"> de la Ley de Transparencia y Acceso a la Información Pública del Estado de México y Municipios.</w:t>
      </w:r>
    </w:p>
    <w:p w14:paraId="34EC3F86" w14:textId="77777777" w:rsidR="00D2790D" w:rsidRPr="008406F6" w:rsidRDefault="00D2790D" w:rsidP="008406F6">
      <w:pPr>
        <w:rPr>
          <w:rFonts w:cs="Arial"/>
        </w:rPr>
      </w:pPr>
    </w:p>
    <w:p w14:paraId="55A7E595" w14:textId="79469ADA" w:rsidR="009D6765" w:rsidRPr="008406F6" w:rsidRDefault="009D6765" w:rsidP="008406F6">
      <w:pPr>
        <w:pStyle w:val="Ttulo3"/>
      </w:pPr>
      <w:bookmarkStart w:id="10" w:name="_Toc181264975"/>
      <w:r w:rsidRPr="008406F6">
        <w:t>d) Informe Justificado del Sujeto Obligado</w:t>
      </w:r>
      <w:bookmarkEnd w:id="10"/>
    </w:p>
    <w:p w14:paraId="79BAA260" w14:textId="002243B3" w:rsidR="009D6765" w:rsidRPr="008406F6" w:rsidRDefault="009D6765" w:rsidP="008406F6">
      <w:pPr>
        <w:rPr>
          <w:rFonts w:eastAsia="Calibri" w:cs="Tahoma"/>
          <w:szCs w:val="22"/>
          <w:lang w:eastAsia="en-US"/>
        </w:rPr>
      </w:pPr>
      <w:r w:rsidRPr="008406F6">
        <w:rPr>
          <w:rFonts w:cs="Tahoma"/>
          <w:bCs/>
          <w:szCs w:val="24"/>
        </w:rPr>
        <w:t xml:space="preserve">El </w:t>
      </w:r>
      <w:r w:rsidRPr="008406F6">
        <w:rPr>
          <w:rFonts w:cs="Tahoma"/>
          <w:b/>
          <w:szCs w:val="24"/>
        </w:rPr>
        <w:t>diecisiete y dieciocho de septiembre de dos mil veinticuatro EL SUJETO OBLIGADO</w:t>
      </w:r>
      <w:r w:rsidRPr="008406F6">
        <w:rPr>
          <w:rFonts w:cs="Tahoma"/>
          <w:bCs/>
          <w:szCs w:val="24"/>
        </w:rPr>
        <w:t xml:space="preserve"> rindió su informe justificado a través del SAIMEX, </w:t>
      </w:r>
      <w:r w:rsidRPr="008406F6">
        <w:rPr>
          <w:rFonts w:eastAsia="Calibri" w:cs="Tahoma"/>
          <w:szCs w:val="22"/>
          <w:lang w:eastAsia="en-US"/>
        </w:rPr>
        <w:t>en el cual expresó lo siguiente:</w:t>
      </w:r>
    </w:p>
    <w:p w14:paraId="1A9EBC92" w14:textId="77777777" w:rsidR="009D6765" w:rsidRPr="008406F6" w:rsidRDefault="009D6765" w:rsidP="008406F6">
      <w:pPr>
        <w:rPr>
          <w:rFonts w:cs="Arial"/>
        </w:rPr>
      </w:pPr>
    </w:p>
    <w:p w14:paraId="3D8BEBE4" w14:textId="51DD671C" w:rsidR="009D6765" w:rsidRPr="008406F6" w:rsidRDefault="009D6765" w:rsidP="008406F6">
      <w:pPr>
        <w:rPr>
          <w:rFonts w:cs="Arial"/>
        </w:rPr>
      </w:pPr>
      <w:r w:rsidRPr="008406F6">
        <w:rPr>
          <w:rFonts w:cs="Arial"/>
        </w:rPr>
        <w:lastRenderedPageBreak/>
        <w:t>Para ambos medios de impugnación se adjuntó la misma información consistente en:</w:t>
      </w:r>
    </w:p>
    <w:p w14:paraId="6358DEAA" w14:textId="77777777" w:rsidR="009D6765" w:rsidRPr="008406F6" w:rsidRDefault="009D6765" w:rsidP="008406F6">
      <w:pPr>
        <w:rPr>
          <w:rFonts w:cs="Arial"/>
        </w:rPr>
      </w:pPr>
    </w:p>
    <w:p w14:paraId="63630236" w14:textId="6DFD67B3" w:rsidR="009D6765" w:rsidRPr="008406F6" w:rsidRDefault="009D6765" w:rsidP="008406F6">
      <w:pPr>
        <w:pStyle w:val="Prrafodelista"/>
        <w:numPr>
          <w:ilvl w:val="0"/>
          <w:numId w:val="22"/>
        </w:numPr>
        <w:rPr>
          <w:rFonts w:cs="Arial"/>
        </w:rPr>
      </w:pPr>
      <w:r w:rsidRPr="008406F6">
        <w:rPr>
          <w:rFonts w:cs="Arial"/>
        </w:rPr>
        <w:t>Informe Justific</w:t>
      </w:r>
      <w:r w:rsidR="001653BF" w:rsidRPr="008406F6">
        <w:rPr>
          <w:rFonts w:cs="Arial"/>
        </w:rPr>
        <w:t>a</w:t>
      </w:r>
      <w:r w:rsidRPr="008406F6">
        <w:rPr>
          <w:rFonts w:cs="Arial"/>
        </w:rPr>
        <w:t xml:space="preserve">do RR 5422.pdf: </w:t>
      </w:r>
      <w:r w:rsidR="004E095F" w:rsidRPr="008406F6">
        <w:rPr>
          <w:rFonts w:cs="Arial"/>
        </w:rPr>
        <w:t xml:space="preserve">Consiste en el Informe Justificado emitido por </w:t>
      </w:r>
      <w:r w:rsidR="002F1301" w:rsidRPr="008406F6">
        <w:rPr>
          <w:rFonts w:cs="Arial"/>
        </w:rPr>
        <w:t xml:space="preserve">el encargado de la Unidad de Prevención de la Corrupción y Responsable de la Unidad de Transparencia, en donde medularmente expone que derivado de la interposición de los recursos de revisión y las razones o motivos de inconformidad, se solicitó al Titular del Órgano Interno de Control de la Secretaría de la Contraloría remitiera la información correspondiente para presentar el informe justificado respectivo, asimismo en atención a dicho requerimiento, el Titular remitió la información que obra en los archivos bajo su resguardo a través del oficio 21800004000000S-00355/2024; </w:t>
      </w:r>
      <w:r w:rsidR="00281545" w:rsidRPr="008406F6">
        <w:rPr>
          <w:rFonts w:cs="Arial"/>
        </w:rPr>
        <w:t>por otro lado se hace mención que conforme al Criterio Octavo emitido por este Órgano Garante se considera que, las dependencias y organismos auxiliares del poder Ejecutivo del Estado de México deberán dar atención a las solicitudes de información respectivas aun y cuando se encuentren adscritos jerárquicamente y funcionalmente a la Secretaría de la Contraloría, por ello se solicita sean confirmadas las respuestas a las solicitudes de información.</w:t>
      </w:r>
    </w:p>
    <w:p w14:paraId="65C5292A" w14:textId="477FC04D" w:rsidR="00281545" w:rsidRPr="008406F6" w:rsidRDefault="00281545" w:rsidP="008406F6">
      <w:pPr>
        <w:pStyle w:val="Prrafodelista"/>
        <w:numPr>
          <w:ilvl w:val="0"/>
          <w:numId w:val="22"/>
        </w:numPr>
        <w:rPr>
          <w:rFonts w:cs="Arial"/>
        </w:rPr>
      </w:pPr>
      <w:r w:rsidRPr="008406F6">
        <w:rPr>
          <w:rFonts w:cs="Arial"/>
        </w:rPr>
        <w:t xml:space="preserve">OFICIO RESPUESTA SPH OIC.pdf: Oficio emitido por el Titular del Órgano Interno de Control en donde refiere adjuntar la información correspondiente a la versión pública del Acta de Entrega y Recepción del Titular del Órgano Interno de Control en la Comisión del Agua del Estado de México, así como el Acta de Entrega y Recepción del Titular del Órgano Interno de Control de la extinta Secretaría de Obra Pública y Desarrollo Urbano. </w:t>
      </w:r>
    </w:p>
    <w:p w14:paraId="0B01259D" w14:textId="0F679728" w:rsidR="00281545" w:rsidRPr="008406F6" w:rsidRDefault="00281545" w:rsidP="008406F6">
      <w:pPr>
        <w:pStyle w:val="Prrafodelista"/>
        <w:numPr>
          <w:ilvl w:val="0"/>
          <w:numId w:val="22"/>
        </w:numPr>
        <w:rPr>
          <w:rFonts w:cs="Arial"/>
        </w:rPr>
      </w:pPr>
      <w:r w:rsidRPr="008406F6">
        <w:rPr>
          <w:rFonts w:cs="Arial"/>
        </w:rPr>
        <w:t xml:space="preserve">Actas de entrega - recepción.pdf: </w:t>
      </w:r>
      <w:r w:rsidR="00E212CE" w:rsidRPr="008406F6">
        <w:rPr>
          <w:rFonts w:cs="Arial"/>
        </w:rPr>
        <w:t xml:space="preserve">Contiene la digitalización del Acta Entrega y Recepción </w:t>
      </w:r>
      <w:r w:rsidR="00643826" w:rsidRPr="008406F6">
        <w:rPr>
          <w:rFonts w:cs="Arial"/>
        </w:rPr>
        <w:t xml:space="preserve">en versión pública </w:t>
      </w:r>
      <w:r w:rsidR="00E212CE" w:rsidRPr="008406F6">
        <w:rPr>
          <w:rFonts w:cs="Arial"/>
        </w:rPr>
        <w:t xml:space="preserve">del Titular del Órgano Interno de Control de la Secretaría </w:t>
      </w:r>
      <w:r w:rsidR="00E212CE" w:rsidRPr="008406F6">
        <w:rPr>
          <w:rFonts w:cs="Arial"/>
        </w:rPr>
        <w:lastRenderedPageBreak/>
        <w:t xml:space="preserve">de Obra pública y Desarrollo Urbano, así como del Titular del Órgano Interno de Control de la Comisión del Agua del Estado de México. </w:t>
      </w:r>
    </w:p>
    <w:p w14:paraId="141E80A6" w14:textId="2D50A3D8" w:rsidR="00643826" w:rsidRPr="008406F6" w:rsidRDefault="00643826" w:rsidP="008406F6">
      <w:pPr>
        <w:pStyle w:val="Prrafodelista"/>
        <w:numPr>
          <w:ilvl w:val="0"/>
          <w:numId w:val="22"/>
        </w:numPr>
        <w:rPr>
          <w:rFonts w:cs="Arial"/>
        </w:rPr>
      </w:pPr>
      <w:r w:rsidRPr="008406F6">
        <w:rPr>
          <w:rFonts w:cs="Arial"/>
        </w:rPr>
        <w:t xml:space="preserve">C.T. RESOLUCIÓN 00327-2024.pdf: Contiene una resolución en la que se aprueba la clasificación de la información contenida en las actas de entrega y recepción como confidencial, ello a través de los integrantes del Comité de Transparencia. </w:t>
      </w:r>
    </w:p>
    <w:p w14:paraId="43592173" w14:textId="4182307D" w:rsidR="00E212CE" w:rsidRPr="008406F6" w:rsidRDefault="00643826" w:rsidP="008406F6">
      <w:pPr>
        <w:pStyle w:val="Prrafodelista"/>
        <w:numPr>
          <w:ilvl w:val="0"/>
          <w:numId w:val="22"/>
        </w:numPr>
        <w:rPr>
          <w:rFonts w:cs="Arial"/>
        </w:rPr>
      </w:pPr>
      <w:r w:rsidRPr="008406F6">
        <w:rPr>
          <w:rFonts w:cs="Arial"/>
        </w:rPr>
        <w:t xml:space="preserve">Acta 15a Sesión Extraordinaria C.T. 2024.pdf: Contiene la digitalización de la Décima Quinta Sesión Extraordinaria del Comité de Transparencia en donde se aprueba el acuerdo referido en el punto inmediato anterior. </w:t>
      </w:r>
    </w:p>
    <w:p w14:paraId="3A8AFA63" w14:textId="77777777" w:rsidR="00643826" w:rsidRPr="008406F6" w:rsidRDefault="00643826" w:rsidP="008406F6">
      <w:pPr>
        <w:pStyle w:val="Prrafodelista"/>
        <w:rPr>
          <w:rFonts w:cs="Arial"/>
        </w:rPr>
      </w:pPr>
    </w:p>
    <w:p w14:paraId="5071F1B5" w14:textId="59E9722A" w:rsidR="009D6765" w:rsidRPr="008406F6" w:rsidRDefault="009D6765" w:rsidP="008406F6">
      <w:pPr>
        <w:pStyle w:val="Ttulo3"/>
        <w:rPr>
          <w:lang w:val="es-ES"/>
        </w:rPr>
      </w:pPr>
      <w:bookmarkStart w:id="11" w:name="_Toc181264976"/>
      <w:r w:rsidRPr="008406F6">
        <w:rPr>
          <w:rFonts w:eastAsia="Calibri"/>
          <w:bCs/>
          <w:lang w:eastAsia="en-US"/>
        </w:rPr>
        <w:t>e)</w:t>
      </w:r>
      <w:r w:rsidRPr="008406F6">
        <w:t xml:space="preserve"> </w:t>
      </w:r>
      <w:r w:rsidRPr="008406F6">
        <w:rPr>
          <w:lang w:val="es-ES"/>
        </w:rPr>
        <w:t>Manifestaciones de la Parte Recurrente</w:t>
      </w:r>
      <w:bookmarkEnd w:id="11"/>
    </w:p>
    <w:p w14:paraId="3E529714" w14:textId="77777777" w:rsidR="009D6765" w:rsidRPr="008406F6" w:rsidRDefault="009D6765" w:rsidP="008406F6">
      <w:pPr>
        <w:rPr>
          <w:rFonts w:eastAsia="Arial Unicode MS" w:cs="Arial"/>
        </w:rPr>
      </w:pPr>
      <w:r w:rsidRPr="008406F6">
        <w:rPr>
          <w:rFonts w:cs="Tahoma"/>
          <w:b/>
          <w:szCs w:val="24"/>
        </w:rPr>
        <w:t xml:space="preserve">LA PARTE RECURRENTE </w:t>
      </w:r>
      <w:r w:rsidRPr="008406F6">
        <w:rPr>
          <w:rFonts w:eastAsia="Arial Unicode MS" w:cs="Arial"/>
        </w:rPr>
        <w:t>no realizó manifestación alguna dentro del término legalmente concedido para tal efecto, ni presentó pruebas o alegatos.</w:t>
      </w:r>
    </w:p>
    <w:p w14:paraId="045F2097" w14:textId="77777777" w:rsidR="009D6765" w:rsidRPr="008406F6" w:rsidRDefault="009D6765" w:rsidP="008406F6">
      <w:pPr>
        <w:rPr>
          <w:rFonts w:cs="Arial"/>
        </w:rPr>
      </w:pPr>
    </w:p>
    <w:p w14:paraId="535A4241" w14:textId="4714796F" w:rsidR="00D2790D" w:rsidRPr="008406F6" w:rsidRDefault="009D6765" w:rsidP="008406F6">
      <w:pPr>
        <w:pStyle w:val="Ttulo3"/>
      </w:pPr>
      <w:bookmarkStart w:id="12" w:name="_Toc181264977"/>
      <w:r w:rsidRPr="008406F6">
        <w:t>f</w:t>
      </w:r>
      <w:r w:rsidR="00D2790D" w:rsidRPr="008406F6">
        <w:t>) Acumulación de los Recursos de Revisión</w:t>
      </w:r>
      <w:bookmarkEnd w:id="12"/>
    </w:p>
    <w:p w14:paraId="3B386B4C" w14:textId="0C52AA22" w:rsidR="003A40C1" w:rsidRPr="008406F6" w:rsidRDefault="00D2790D" w:rsidP="008406F6">
      <w:pPr>
        <w:ind w:left="-57"/>
        <w:rPr>
          <w:rFonts w:eastAsia="Calibri"/>
          <w:b/>
          <w:lang w:eastAsia="en-US"/>
        </w:rPr>
      </w:pPr>
      <w:r w:rsidRPr="008406F6">
        <w:rPr>
          <w:rFonts w:cs="Arial"/>
          <w:lang w:val="es-ES_tradnl"/>
        </w:rPr>
        <w:t xml:space="preserve">Por economía procesal y </w:t>
      </w:r>
      <w:r w:rsidRPr="008406F6">
        <w:rPr>
          <w:rFonts w:cs="Arial"/>
        </w:rPr>
        <w:t xml:space="preserve">con la finalidad de evitar resoluciones contradictorias, en </w:t>
      </w:r>
      <w:r w:rsidRPr="008406F6">
        <w:t xml:space="preserve">la </w:t>
      </w:r>
      <w:r w:rsidR="009D6765" w:rsidRPr="008406F6">
        <w:rPr>
          <w:b/>
        </w:rPr>
        <w:t>Trigésima Tercera Sesión Ordinaria</w:t>
      </w:r>
      <w:r w:rsidR="009D6765" w:rsidRPr="008406F6">
        <w:t xml:space="preserve"> celebrada el </w:t>
      </w:r>
      <w:r w:rsidR="009D6765" w:rsidRPr="008406F6">
        <w:rPr>
          <w:b/>
        </w:rPr>
        <w:t>diecinueve de septiembre de dos mil veinticuatro</w:t>
      </w:r>
      <w:r w:rsidRPr="008406F6">
        <w:t xml:space="preserve">, el Pleno de este Instituto </w:t>
      </w:r>
      <w:r w:rsidRPr="008406F6">
        <w:rPr>
          <w:rFonts w:cs="Arial"/>
        </w:rPr>
        <w:t xml:space="preserve">determinó </w:t>
      </w:r>
      <w:r w:rsidRPr="008406F6">
        <w:t>acumular los Recursos de Revisión</w:t>
      </w:r>
      <w:bookmarkStart w:id="13" w:name="_Hlk109159636"/>
      <w:r w:rsidRPr="008406F6">
        <w:rPr>
          <w:rFonts w:cs="Arial"/>
          <w:b/>
          <w:bCs/>
        </w:rPr>
        <w:t xml:space="preserve"> </w:t>
      </w:r>
      <w:bookmarkEnd w:id="13"/>
      <w:r w:rsidR="009D6765" w:rsidRPr="008406F6">
        <w:rPr>
          <w:rFonts w:eastAsia="Calibri"/>
          <w:b/>
          <w:lang w:eastAsia="en-US"/>
        </w:rPr>
        <w:t>05422</w:t>
      </w:r>
      <w:r w:rsidR="00D80A05" w:rsidRPr="008406F6">
        <w:rPr>
          <w:rFonts w:eastAsia="Calibri"/>
          <w:b/>
          <w:lang w:eastAsia="en-US"/>
        </w:rPr>
        <w:t>/INFOEM/IP/RR/2024</w:t>
      </w:r>
      <w:r w:rsidR="009D6765" w:rsidRPr="008406F6">
        <w:rPr>
          <w:rFonts w:eastAsia="Calibri"/>
          <w:b/>
          <w:lang w:eastAsia="en-US"/>
        </w:rPr>
        <w:t xml:space="preserve"> y 05423</w:t>
      </w:r>
      <w:r w:rsidR="00D80A05" w:rsidRPr="008406F6">
        <w:rPr>
          <w:rFonts w:eastAsia="Calibri"/>
          <w:b/>
          <w:lang w:eastAsia="en-US"/>
        </w:rPr>
        <w:t>/INFOEM/IP/RR/2024.</w:t>
      </w:r>
    </w:p>
    <w:p w14:paraId="5F764C85" w14:textId="77777777" w:rsidR="0053325B" w:rsidRPr="008406F6" w:rsidRDefault="0053325B" w:rsidP="008406F6">
      <w:pPr>
        <w:ind w:left="-57"/>
        <w:rPr>
          <w:rFonts w:eastAsia="Calibri"/>
          <w:b/>
          <w:lang w:eastAsia="en-US"/>
        </w:rPr>
      </w:pPr>
    </w:p>
    <w:p w14:paraId="52F69533" w14:textId="77777777" w:rsidR="0053325B" w:rsidRPr="008406F6" w:rsidRDefault="0053325B" w:rsidP="008406F6">
      <w:pPr>
        <w:pStyle w:val="Ttulo3"/>
        <w:rPr>
          <w:rFonts w:eastAsia="Calibri"/>
        </w:rPr>
      </w:pPr>
      <w:bookmarkStart w:id="14" w:name="_Toc165402868"/>
      <w:bookmarkStart w:id="15" w:name="_Toc180674456"/>
      <w:bookmarkStart w:id="16" w:name="_Toc181264978"/>
      <w:r w:rsidRPr="008406F6">
        <w:rPr>
          <w:rFonts w:eastAsia="Calibri"/>
        </w:rPr>
        <w:t>g) Ampliación de plazo para resolver el Recurso de Revisión</w:t>
      </w:r>
      <w:bookmarkEnd w:id="14"/>
      <w:bookmarkEnd w:id="15"/>
      <w:bookmarkEnd w:id="16"/>
    </w:p>
    <w:p w14:paraId="58626CD9" w14:textId="20D6B393" w:rsidR="0053325B" w:rsidRPr="008406F6" w:rsidRDefault="0053325B" w:rsidP="008406F6">
      <w:pPr>
        <w:ind w:left="-57"/>
        <w:rPr>
          <w:b/>
          <w:lang w:val="es-ES_tradnl"/>
        </w:rPr>
      </w:pPr>
      <w:r w:rsidRPr="008406F6">
        <w:rPr>
          <w:rFonts w:eastAsia="Calibri" w:cs="Tahoma"/>
          <w:szCs w:val="22"/>
        </w:rPr>
        <w:t xml:space="preserve">Con fundamento en lo dispuesto en el artículo 181, párrafo tercero, de la Ley de Transparencia y Acceso a la Información Pública del Estado de México y Municipios, </w:t>
      </w:r>
      <w:r w:rsidRPr="008406F6">
        <w:rPr>
          <w:rFonts w:eastAsia="Calibri" w:cs="Tahoma"/>
          <w:b/>
          <w:bCs/>
          <w:szCs w:val="22"/>
        </w:rPr>
        <w:t>el veintidós de octubre de dos mil veinticuatro</w:t>
      </w:r>
      <w:r w:rsidRPr="008406F6">
        <w:rPr>
          <w:rFonts w:eastAsia="Calibri" w:cs="Tahoma"/>
          <w:szCs w:val="22"/>
        </w:rPr>
        <w:t xml:space="preserve"> se acordó ampliar por un periodo razonable el plazo para resolver los Recursos de Revisión; acuerdo que fue notificado a las partes en la misma fecha.</w:t>
      </w:r>
    </w:p>
    <w:p w14:paraId="24F87764" w14:textId="77777777" w:rsidR="00664420" w:rsidRPr="008406F6" w:rsidRDefault="00664420" w:rsidP="008406F6">
      <w:pPr>
        <w:rPr>
          <w:rFonts w:cs="Tahoma"/>
          <w:bCs/>
          <w:szCs w:val="24"/>
        </w:rPr>
      </w:pPr>
    </w:p>
    <w:p w14:paraId="0E651988" w14:textId="38D5C229" w:rsidR="00664420" w:rsidRPr="008406F6" w:rsidRDefault="0053325B" w:rsidP="008406F6">
      <w:pPr>
        <w:pStyle w:val="Ttulo3"/>
      </w:pPr>
      <w:bookmarkStart w:id="17" w:name="_Toc181264979"/>
      <w:r w:rsidRPr="008406F6">
        <w:t>h</w:t>
      </w:r>
      <w:r w:rsidR="00664420" w:rsidRPr="008406F6">
        <w:t>) Cierre de instrucción</w:t>
      </w:r>
      <w:bookmarkEnd w:id="17"/>
    </w:p>
    <w:p w14:paraId="79AF95DC" w14:textId="72E54386" w:rsidR="00664420" w:rsidRPr="008406F6" w:rsidRDefault="00BF091A" w:rsidP="008406F6">
      <w:r w:rsidRPr="008406F6">
        <w:rPr>
          <w:rFonts w:cs="Tahoma"/>
          <w:szCs w:val="22"/>
        </w:rPr>
        <w:t>Al no existir diligencias pendientes por desahogar</w:t>
      </w:r>
      <w:r w:rsidRPr="008406F6">
        <w:rPr>
          <w:rFonts w:cs="Arial"/>
        </w:rPr>
        <w:t xml:space="preserve">, el </w:t>
      </w:r>
      <w:r w:rsidR="0053325B" w:rsidRPr="008406F6">
        <w:rPr>
          <w:rFonts w:cs="Arial"/>
          <w:b/>
        </w:rPr>
        <w:t>veintiocho</w:t>
      </w:r>
      <w:r w:rsidR="00643826" w:rsidRPr="008406F6">
        <w:rPr>
          <w:rFonts w:cs="Arial"/>
          <w:b/>
        </w:rPr>
        <w:t xml:space="preserve"> de octubre</w:t>
      </w:r>
      <w:r w:rsidR="00E53550" w:rsidRPr="008406F6">
        <w:rPr>
          <w:rFonts w:cs="Arial"/>
          <w:b/>
        </w:rPr>
        <w:t xml:space="preserve"> de dos mil veinticuatro</w:t>
      </w:r>
      <w:r w:rsidRPr="008406F6">
        <w:rPr>
          <w:rFonts w:cs="Arial"/>
        </w:rPr>
        <w:t xml:space="preserve"> la </w:t>
      </w:r>
      <w:r w:rsidRPr="008406F6">
        <w:rPr>
          <w:rFonts w:cs="Arial"/>
          <w:b/>
          <w:bCs/>
        </w:rPr>
        <w:t xml:space="preserve">Comisionada </w:t>
      </w:r>
      <w:r w:rsidRPr="008406F6">
        <w:rPr>
          <w:b/>
        </w:rPr>
        <w:t xml:space="preserve">Sharon Cristina Morales Martínez </w:t>
      </w:r>
      <w:r w:rsidRPr="008406F6">
        <w:rPr>
          <w:rFonts w:cs="Arial"/>
        </w:rPr>
        <w:t>acordó el cierre de instrucción</w:t>
      </w:r>
      <w:r w:rsidR="0011350D" w:rsidRPr="008406F6">
        <w:rPr>
          <w:rFonts w:cs="Arial"/>
        </w:rPr>
        <w:t xml:space="preserve"> y</w:t>
      </w:r>
      <w:r w:rsidRPr="008406F6">
        <w:rPr>
          <w:rFonts w:cs="Arial"/>
        </w:rPr>
        <w:t xml:space="preserve"> </w:t>
      </w:r>
      <w:r w:rsidR="0011350D" w:rsidRPr="008406F6">
        <w:rPr>
          <w:rFonts w:cs="Arial"/>
        </w:rPr>
        <w:t xml:space="preserve">la </w:t>
      </w:r>
      <w:r w:rsidRPr="008406F6">
        <w:rPr>
          <w:rFonts w:cs="Arial"/>
        </w:rPr>
        <w:t>remisión del expediente a efecto de ser resuelto, de conformidad con lo establecido en el artículo 185 fracciones VI y VIII de la Ley de Transparencia y Acceso a la Información Pública del Estado de México y Municipios</w:t>
      </w:r>
      <w:r w:rsidRPr="008406F6">
        <w:t>.</w:t>
      </w:r>
      <w:r w:rsidR="0011350D" w:rsidRPr="008406F6">
        <w:t xml:space="preserve"> Dicho acuerdo </w:t>
      </w:r>
      <w:r w:rsidR="00664420" w:rsidRPr="008406F6">
        <w:rPr>
          <w:rFonts w:cs="Tahoma"/>
          <w:szCs w:val="22"/>
        </w:rPr>
        <w:t xml:space="preserve">fue notificado a las partes el mismo día a través del </w:t>
      </w:r>
      <w:r w:rsidR="00664420" w:rsidRPr="008406F6">
        <w:rPr>
          <w:rFonts w:cs="Tahoma"/>
          <w:szCs w:val="22"/>
          <w:lang w:val="es-ES"/>
        </w:rPr>
        <w:t>SAIMEX</w:t>
      </w:r>
      <w:r w:rsidR="00664420" w:rsidRPr="008406F6">
        <w:rPr>
          <w:rFonts w:cs="Tahoma"/>
          <w:szCs w:val="22"/>
        </w:rPr>
        <w:t>.</w:t>
      </w:r>
    </w:p>
    <w:p w14:paraId="741683E3" w14:textId="77777777" w:rsidR="0011350D" w:rsidRPr="008406F6" w:rsidRDefault="0011350D" w:rsidP="008406F6">
      <w:pPr>
        <w:rPr>
          <w:rFonts w:cs="Tahoma"/>
          <w:szCs w:val="22"/>
        </w:rPr>
      </w:pPr>
    </w:p>
    <w:p w14:paraId="7A9629DE" w14:textId="77777777" w:rsidR="00664420" w:rsidRPr="008406F6" w:rsidRDefault="00664420" w:rsidP="008406F6">
      <w:pPr>
        <w:pStyle w:val="Ttulo1"/>
        <w:rPr>
          <w:rFonts w:eastAsiaTheme="minorHAnsi"/>
          <w:lang w:eastAsia="en-US"/>
        </w:rPr>
      </w:pPr>
      <w:bookmarkStart w:id="18" w:name="_Toc181264980"/>
      <w:r w:rsidRPr="008406F6">
        <w:rPr>
          <w:rFonts w:eastAsiaTheme="minorHAnsi"/>
          <w:lang w:eastAsia="en-US"/>
        </w:rPr>
        <w:t>CONSIDERANDOS</w:t>
      </w:r>
      <w:bookmarkEnd w:id="18"/>
    </w:p>
    <w:p w14:paraId="6DD1243B" w14:textId="77777777" w:rsidR="00664420" w:rsidRPr="008406F6" w:rsidRDefault="00664420" w:rsidP="008406F6">
      <w:pPr>
        <w:contextualSpacing/>
        <w:jc w:val="center"/>
        <w:rPr>
          <w:rFonts w:eastAsiaTheme="minorHAnsi" w:cs="Tahoma"/>
          <w:b/>
          <w:szCs w:val="22"/>
          <w:lang w:eastAsia="en-US"/>
        </w:rPr>
      </w:pPr>
    </w:p>
    <w:p w14:paraId="0B67CB92" w14:textId="2E307D3B" w:rsidR="00664420" w:rsidRPr="008406F6" w:rsidRDefault="00664420" w:rsidP="008406F6">
      <w:pPr>
        <w:pStyle w:val="Ttulo2"/>
        <w:rPr>
          <w:rFonts w:eastAsia="Batang"/>
        </w:rPr>
      </w:pPr>
      <w:bookmarkStart w:id="19" w:name="_Toc181264981"/>
      <w:r w:rsidRPr="008406F6">
        <w:rPr>
          <w:rFonts w:eastAsia="Batang"/>
        </w:rPr>
        <w:t xml:space="preserve">PRIMERO. </w:t>
      </w:r>
      <w:proofErr w:type="spellStart"/>
      <w:r w:rsidR="00BA55A8" w:rsidRPr="008406F6">
        <w:rPr>
          <w:rFonts w:eastAsia="Batang"/>
        </w:rPr>
        <w:t>Procedibilidad</w:t>
      </w:r>
      <w:bookmarkEnd w:id="19"/>
      <w:proofErr w:type="spellEnd"/>
    </w:p>
    <w:p w14:paraId="39C52BC1" w14:textId="56FCC20D" w:rsidR="00BA55A8" w:rsidRPr="008406F6" w:rsidRDefault="00BA55A8" w:rsidP="008406F6">
      <w:pPr>
        <w:pStyle w:val="Ttulo3"/>
      </w:pPr>
      <w:bookmarkStart w:id="20" w:name="_Toc181264982"/>
      <w:r w:rsidRPr="008406F6">
        <w:t>a) Competencia</w:t>
      </w:r>
      <w:r w:rsidR="00150C49" w:rsidRPr="008406F6">
        <w:t xml:space="preserve"> del Instituto</w:t>
      </w:r>
      <w:bookmarkEnd w:id="20"/>
    </w:p>
    <w:p w14:paraId="56E64942" w14:textId="6572EDF7" w:rsidR="0011350D" w:rsidRPr="008406F6" w:rsidRDefault="0011350D" w:rsidP="008406F6">
      <w:pPr>
        <w:rPr>
          <w:rFonts w:cs="Arial"/>
        </w:rPr>
      </w:pPr>
      <w:r w:rsidRPr="008406F6">
        <w:t xml:space="preserve">Este Instituto de Transparencia, Acceso a la Información Pública y Protección de Datos Personales del Estado de México y Municipios es competente para conocer y resolver </w:t>
      </w:r>
      <w:r w:rsidR="005F65B7" w:rsidRPr="008406F6">
        <w:t xml:space="preserve">el </w:t>
      </w:r>
      <w:r w:rsidRPr="008406F6">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406F6">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8406F6" w:rsidRDefault="00DB1C09" w:rsidP="008406F6">
      <w:pPr>
        <w:rPr>
          <w:rFonts w:cs="Arial"/>
        </w:rPr>
      </w:pPr>
    </w:p>
    <w:p w14:paraId="517A2DD6" w14:textId="4169BE4D" w:rsidR="00664420" w:rsidRPr="008406F6" w:rsidRDefault="00BA55A8" w:rsidP="008406F6">
      <w:pPr>
        <w:pStyle w:val="Ttulo3"/>
      </w:pPr>
      <w:bookmarkStart w:id="21" w:name="_Toc181264983"/>
      <w:r w:rsidRPr="008406F6">
        <w:lastRenderedPageBreak/>
        <w:t>b)</w:t>
      </w:r>
      <w:r w:rsidR="00664420" w:rsidRPr="008406F6">
        <w:t xml:space="preserve"> </w:t>
      </w:r>
      <w:r w:rsidR="00D91CB4" w:rsidRPr="008406F6">
        <w:t>Legitimidad</w:t>
      </w:r>
      <w:r w:rsidRPr="008406F6">
        <w:t xml:space="preserve"> de la parte recurrente</w:t>
      </w:r>
      <w:bookmarkEnd w:id="21"/>
    </w:p>
    <w:p w14:paraId="26FEA382" w14:textId="0B06695C" w:rsidR="00D91CB4" w:rsidRPr="008406F6" w:rsidRDefault="00D91CB4" w:rsidP="008406F6">
      <w:pPr>
        <w:rPr>
          <w:rFonts w:cs="Arial"/>
          <w:bCs/>
        </w:rPr>
      </w:pPr>
      <w:r w:rsidRPr="008406F6">
        <w:rPr>
          <w:rFonts w:cs="Arial"/>
          <w:bCs/>
        </w:rPr>
        <w:t>El recurso de revisión fue interpuesto por parte legítima, ya que se presentó por la misma persona que formuló la solicitud de acceso a la Información Pública,</w:t>
      </w:r>
      <w:r w:rsidRPr="008406F6">
        <w:rPr>
          <w:rFonts w:cs="Arial"/>
          <w:b/>
          <w:bCs/>
        </w:rPr>
        <w:t xml:space="preserve"> </w:t>
      </w:r>
      <w:r w:rsidRPr="008406F6">
        <w:rPr>
          <w:rFonts w:cs="Arial"/>
        </w:rPr>
        <w:t>debido a que los datos de acceso</w:t>
      </w:r>
      <w:r w:rsidRPr="008406F6">
        <w:rPr>
          <w:rFonts w:cs="Arial"/>
          <w:b/>
          <w:bCs/>
        </w:rPr>
        <w:t xml:space="preserve"> </w:t>
      </w:r>
      <w:r w:rsidRPr="008406F6">
        <w:rPr>
          <w:rFonts w:cs="Arial"/>
        </w:rPr>
        <w:t>SAIMEX</w:t>
      </w:r>
      <w:r w:rsidRPr="008406F6">
        <w:rPr>
          <w:rFonts w:eastAsia="Calibri" w:cs="Arial"/>
          <w:lang w:eastAsia="en-US"/>
        </w:rPr>
        <w:t xml:space="preserve"> son personales e irrepetibles.</w:t>
      </w:r>
    </w:p>
    <w:p w14:paraId="2C367810" w14:textId="77777777" w:rsidR="00D91CB4" w:rsidRPr="008406F6" w:rsidRDefault="00D91CB4" w:rsidP="008406F6"/>
    <w:p w14:paraId="496490FC" w14:textId="1A5F3FDB" w:rsidR="00D91CB4" w:rsidRPr="008406F6" w:rsidRDefault="00BA55A8" w:rsidP="008406F6">
      <w:pPr>
        <w:pStyle w:val="Ttulo3"/>
        <w:rPr>
          <w:rFonts w:eastAsia="Calibri"/>
          <w:lang w:eastAsia="es-ES_tradnl"/>
        </w:rPr>
      </w:pPr>
      <w:bookmarkStart w:id="22" w:name="_Toc181264984"/>
      <w:r w:rsidRPr="008406F6">
        <w:rPr>
          <w:rFonts w:eastAsia="Calibri"/>
          <w:lang w:eastAsia="es-ES_tradnl"/>
        </w:rPr>
        <w:t>c)</w:t>
      </w:r>
      <w:r w:rsidR="00664420" w:rsidRPr="008406F6">
        <w:rPr>
          <w:rFonts w:eastAsia="Calibri"/>
          <w:lang w:eastAsia="es-ES_tradnl"/>
        </w:rPr>
        <w:t xml:space="preserve"> </w:t>
      </w:r>
      <w:r w:rsidR="00D91CB4" w:rsidRPr="008406F6">
        <w:rPr>
          <w:rFonts w:eastAsia="Calibri"/>
          <w:lang w:eastAsia="es-ES_tradnl"/>
        </w:rPr>
        <w:t>Plazo para interponer el recurso</w:t>
      </w:r>
      <w:bookmarkEnd w:id="22"/>
    </w:p>
    <w:p w14:paraId="106D37EE" w14:textId="561273FD" w:rsidR="00D91CB4" w:rsidRPr="008406F6" w:rsidRDefault="00D91CB4" w:rsidP="008406F6">
      <w:pPr>
        <w:rPr>
          <w:rFonts w:eastAsiaTheme="minorEastAsia" w:cs="Arial"/>
          <w:lang w:val="es-ES_tradnl"/>
        </w:rPr>
      </w:pPr>
      <w:r w:rsidRPr="008406F6">
        <w:rPr>
          <w:rFonts w:cs="Arial"/>
          <w:b/>
        </w:rPr>
        <w:t>EL SUJETO OBLIGADO</w:t>
      </w:r>
      <w:r w:rsidRPr="008406F6">
        <w:rPr>
          <w:rFonts w:cs="Arial"/>
        </w:rPr>
        <w:t xml:space="preserve"> notificó la</w:t>
      </w:r>
      <w:r w:rsidR="001974BD" w:rsidRPr="008406F6">
        <w:rPr>
          <w:rFonts w:cs="Arial"/>
        </w:rPr>
        <w:t>s</w:t>
      </w:r>
      <w:r w:rsidRPr="008406F6">
        <w:rPr>
          <w:rFonts w:cs="Arial"/>
        </w:rPr>
        <w:t xml:space="preserve"> respuesta</w:t>
      </w:r>
      <w:r w:rsidR="001974BD" w:rsidRPr="008406F6">
        <w:rPr>
          <w:rFonts w:cs="Arial"/>
        </w:rPr>
        <w:t>s</w:t>
      </w:r>
      <w:r w:rsidRPr="008406F6">
        <w:rPr>
          <w:rFonts w:cs="Arial"/>
        </w:rPr>
        <w:t xml:space="preserve"> a la</w:t>
      </w:r>
      <w:r w:rsidR="001974BD" w:rsidRPr="008406F6">
        <w:rPr>
          <w:rFonts w:cs="Arial"/>
        </w:rPr>
        <w:t>s</w:t>
      </w:r>
      <w:r w:rsidRPr="008406F6">
        <w:rPr>
          <w:rFonts w:cs="Arial"/>
        </w:rPr>
        <w:t xml:space="preserve"> solicitud</w:t>
      </w:r>
      <w:r w:rsidR="001974BD" w:rsidRPr="008406F6">
        <w:rPr>
          <w:rFonts w:cs="Arial"/>
        </w:rPr>
        <w:t>es</w:t>
      </w:r>
      <w:r w:rsidRPr="008406F6">
        <w:rPr>
          <w:rFonts w:cs="Arial"/>
        </w:rPr>
        <w:t xml:space="preserve"> de acceso a la Información Pública el </w:t>
      </w:r>
      <w:r w:rsidR="00CC3075" w:rsidRPr="008406F6">
        <w:rPr>
          <w:rFonts w:eastAsia="Palatino Linotype" w:cs="Palatino Linotype"/>
          <w:b/>
        </w:rPr>
        <w:t>tres de septiembre</w:t>
      </w:r>
      <w:r w:rsidR="00060347" w:rsidRPr="008406F6">
        <w:rPr>
          <w:rFonts w:eastAsia="Palatino Linotype" w:cs="Palatino Linotype"/>
          <w:b/>
        </w:rPr>
        <w:t xml:space="preserve"> de dos mil veinticuatro</w:t>
      </w:r>
      <w:r w:rsidRPr="008406F6">
        <w:rPr>
          <w:rFonts w:cs="Arial"/>
        </w:rPr>
        <w:t xml:space="preserve"> </w:t>
      </w:r>
      <w:r w:rsidR="00A53315" w:rsidRPr="008406F6">
        <w:rPr>
          <w:rFonts w:cs="Arial"/>
        </w:rPr>
        <w:t xml:space="preserve">y el recurso </w:t>
      </w:r>
      <w:r w:rsidR="00A53315" w:rsidRPr="008406F6">
        <w:rPr>
          <w:rFonts w:eastAsia="Palatino Linotype" w:cs="Palatino Linotype"/>
        </w:rPr>
        <w:t xml:space="preserve">que nos ocupa se interpuso el </w:t>
      </w:r>
      <w:r w:rsidR="00CC3075" w:rsidRPr="008406F6">
        <w:rPr>
          <w:rFonts w:eastAsia="Palatino Linotype" w:cs="Palatino Linotype"/>
          <w:b/>
        </w:rPr>
        <w:t>cuatro de septiembre</w:t>
      </w:r>
      <w:r w:rsidR="00060347" w:rsidRPr="008406F6">
        <w:rPr>
          <w:rFonts w:eastAsia="Palatino Linotype" w:cs="Palatino Linotype"/>
          <w:b/>
        </w:rPr>
        <w:t xml:space="preserve"> de dos mil veinticuatro</w:t>
      </w:r>
      <w:r w:rsidR="00A53315" w:rsidRPr="008406F6">
        <w:rPr>
          <w:rFonts w:eastAsia="Palatino Linotype" w:cs="Palatino Linotype"/>
          <w:bCs/>
        </w:rPr>
        <w:t>;</w:t>
      </w:r>
      <w:r w:rsidR="00A53315" w:rsidRPr="008406F6">
        <w:rPr>
          <w:rFonts w:eastAsia="Palatino Linotype" w:cs="Palatino Linotype"/>
        </w:rPr>
        <w:t xml:space="preserve"> por lo tanto, éste se encuentra dentro del margen temporal previsto en el artículo 178 de la </w:t>
      </w:r>
      <w:r w:rsidR="00A53315" w:rsidRPr="008406F6">
        <w:rPr>
          <w:rFonts w:cs="Arial"/>
        </w:rPr>
        <w:t xml:space="preserve">Ley de Transparencia y Acceso a la Información Pública del Estado de México y Municipios </w:t>
      </w:r>
      <w:bookmarkStart w:id="23" w:name="_Hlk62134391"/>
      <w:r w:rsidR="00060347" w:rsidRPr="008406F6">
        <w:rPr>
          <w:rFonts w:eastAsiaTheme="minorEastAsia" w:cs="Arial"/>
          <w:lang w:val="es-ES_tradnl"/>
        </w:rPr>
        <w:t xml:space="preserve">y </w:t>
      </w:r>
      <w:r w:rsidRPr="008406F6">
        <w:rPr>
          <w:rFonts w:eastAsiaTheme="minorEastAsia" w:cs="Arial"/>
          <w:lang w:val="es-ES_tradnl"/>
        </w:rPr>
        <w:t xml:space="preserve">en términos del </w:t>
      </w:r>
      <w:bookmarkEnd w:id="23"/>
      <w:r w:rsidRPr="008406F6">
        <w:rPr>
          <w:rFonts w:eastAsiaTheme="minorEastAsia" w:cs="Arial"/>
          <w:lang w:val="es-ES_tradnl"/>
        </w:rPr>
        <w:t>Calendario oficia</w:t>
      </w:r>
      <w:r w:rsidR="00CB7E9A" w:rsidRPr="008406F6">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8406F6" w:rsidRDefault="00D91CB4" w:rsidP="008406F6">
      <w:pPr>
        <w:rPr>
          <w:rFonts w:eastAsia="Palatino Linotype" w:cs="Palatino Linotype"/>
        </w:rPr>
      </w:pPr>
    </w:p>
    <w:p w14:paraId="46C0EB3A" w14:textId="4631B2B9" w:rsidR="00A53315" w:rsidRPr="008406F6" w:rsidRDefault="00BA55A8" w:rsidP="008406F6">
      <w:pPr>
        <w:pStyle w:val="Ttulo3"/>
        <w:rPr>
          <w:rFonts w:eastAsia="Calibri"/>
          <w:lang w:eastAsia="es-ES_tradnl"/>
        </w:rPr>
      </w:pPr>
      <w:bookmarkStart w:id="24" w:name="_Toc181264985"/>
      <w:r w:rsidRPr="008406F6">
        <w:rPr>
          <w:rFonts w:eastAsia="Calibri"/>
          <w:lang w:eastAsia="es-ES_tradnl"/>
        </w:rPr>
        <w:t>d)</w:t>
      </w:r>
      <w:r w:rsidR="00486201" w:rsidRPr="008406F6">
        <w:rPr>
          <w:rFonts w:eastAsia="Calibri"/>
          <w:lang w:eastAsia="es-ES_tradnl"/>
        </w:rPr>
        <w:t xml:space="preserve"> Causal de procedencia</w:t>
      </w:r>
      <w:bookmarkEnd w:id="24"/>
    </w:p>
    <w:p w14:paraId="190404A6" w14:textId="08905B2A" w:rsidR="00BA55A8" w:rsidRPr="008406F6" w:rsidRDefault="00BA55A8" w:rsidP="008406F6">
      <w:r w:rsidRPr="008406F6">
        <w:rPr>
          <w:rFonts w:cs="Arial"/>
        </w:rPr>
        <w:t xml:space="preserve">Resulta procedente la interposición del recurso de revisión, ya que </w:t>
      </w:r>
      <w:r w:rsidRPr="008406F6">
        <w:rPr>
          <w:rFonts w:eastAsia="Calibri" w:cs="Tahoma"/>
          <w:szCs w:val="22"/>
          <w:lang w:eastAsia="es-MX"/>
        </w:rPr>
        <w:t xml:space="preserve">se actualiza la causal de procedencia señalada en el artículo 179, fracción </w:t>
      </w:r>
      <w:r w:rsidR="00CC3075" w:rsidRPr="008406F6">
        <w:rPr>
          <w:rFonts w:eastAsia="Calibri" w:cs="Tahoma"/>
          <w:szCs w:val="22"/>
          <w:lang w:eastAsia="es-MX"/>
        </w:rPr>
        <w:t>I</w:t>
      </w:r>
      <w:r w:rsidR="00486201" w:rsidRPr="008406F6">
        <w:rPr>
          <w:rFonts w:eastAsia="Calibri" w:cs="Tahoma"/>
          <w:szCs w:val="22"/>
          <w:lang w:eastAsia="es-MX"/>
        </w:rPr>
        <w:t>V</w:t>
      </w:r>
      <w:r w:rsidRPr="008406F6">
        <w:rPr>
          <w:rFonts w:cs="Arial"/>
        </w:rPr>
        <w:t xml:space="preserve"> de la </w:t>
      </w:r>
      <w:r w:rsidRPr="008406F6">
        <w:t>Ley de Transparencia y Acceso a la Información Pública del Estado de México y Municipios.</w:t>
      </w:r>
    </w:p>
    <w:p w14:paraId="0EFF7141" w14:textId="77777777" w:rsidR="00362A11" w:rsidRPr="008406F6" w:rsidRDefault="00362A11" w:rsidP="008406F6"/>
    <w:p w14:paraId="2284D7EB" w14:textId="3EE1D036" w:rsidR="00BA55A8" w:rsidRPr="008406F6" w:rsidRDefault="00362A11" w:rsidP="008406F6">
      <w:pPr>
        <w:pStyle w:val="Ttulo3"/>
      </w:pPr>
      <w:bookmarkStart w:id="25" w:name="_Toc181264986"/>
      <w:r w:rsidRPr="008406F6">
        <w:t>e) Requisitos formales para la interposición del recurso</w:t>
      </w:r>
      <w:bookmarkEnd w:id="25"/>
    </w:p>
    <w:p w14:paraId="6390674A" w14:textId="78A894DD" w:rsidR="00BA55A8" w:rsidRPr="008406F6" w:rsidRDefault="00BA55A8" w:rsidP="008406F6">
      <w:pPr>
        <w:rPr>
          <w:rFonts w:cs="Arial"/>
        </w:rPr>
      </w:pPr>
      <w:r w:rsidRPr="008406F6">
        <w:rPr>
          <w:rFonts w:cs="Arial"/>
          <w:b/>
          <w:bCs/>
        </w:rPr>
        <w:t xml:space="preserve">LA PARTE RECURRENTE </w:t>
      </w:r>
      <w:r w:rsidRPr="008406F6">
        <w:rPr>
          <w:rFonts w:cs="Arial"/>
        </w:rPr>
        <w:t>acreditó todos y cada uno de los elementos formales exigidos por el artículo 180 de la misma normatividad.</w:t>
      </w:r>
    </w:p>
    <w:p w14:paraId="61D887C7" w14:textId="77777777" w:rsidR="00486201" w:rsidRPr="008406F6" w:rsidRDefault="00486201" w:rsidP="008406F6">
      <w:pPr>
        <w:rPr>
          <w:rFonts w:cs="Arial"/>
        </w:rPr>
      </w:pPr>
    </w:p>
    <w:p w14:paraId="7281A438" w14:textId="77777777" w:rsidR="00486201" w:rsidRPr="008406F6" w:rsidRDefault="00486201" w:rsidP="008406F6">
      <w:pPr>
        <w:rPr>
          <w:rFonts w:cs="Arial"/>
          <w:sz w:val="24"/>
          <w:szCs w:val="24"/>
          <w:lang w:val="es-ES"/>
        </w:rPr>
      </w:pPr>
      <w:r w:rsidRPr="008406F6">
        <w:rPr>
          <w:sz w:val="24"/>
          <w:szCs w:val="24"/>
          <w:lang w:val="es-ES"/>
        </w:rPr>
        <w:lastRenderedPageBreak/>
        <w:t xml:space="preserve">Es importante mencionar que, de la revisión del expediente electrónico del </w:t>
      </w:r>
      <w:r w:rsidRPr="008406F6">
        <w:rPr>
          <w:bCs/>
          <w:sz w:val="24"/>
          <w:szCs w:val="24"/>
          <w:lang w:val="es-ES"/>
        </w:rPr>
        <w:t>SAIMEX,</w:t>
      </w:r>
      <w:r w:rsidRPr="008406F6">
        <w:rPr>
          <w:sz w:val="24"/>
          <w:szCs w:val="24"/>
          <w:lang w:val="es-ES"/>
        </w:rPr>
        <w:t xml:space="preserve"> se observa que </w:t>
      </w:r>
      <w:r w:rsidRPr="008406F6">
        <w:rPr>
          <w:b/>
          <w:bCs/>
          <w:sz w:val="24"/>
          <w:szCs w:val="24"/>
          <w:lang w:val="es-ES"/>
        </w:rPr>
        <w:t>LA PARTE RECURRENTE</w:t>
      </w:r>
      <w:r w:rsidRPr="008406F6">
        <w:rPr>
          <w:sz w:val="24"/>
          <w:szCs w:val="24"/>
          <w:lang w:val="es-ES"/>
        </w:rPr>
        <w:t xml:space="preserve"> no proporcionó su nombre para ser identificado, lo que en estricto sentido provoca que </w:t>
      </w:r>
      <w:r w:rsidRPr="008406F6">
        <w:rPr>
          <w:rFonts w:cs="Arial"/>
          <w:sz w:val="24"/>
          <w:szCs w:val="24"/>
          <w:lang w:val="es-ES"/>
        </w:rPr>
        <w:t>no</w:t>
      </w:r>
      <w:r w:rsidRPr="008406F6">
        <w:rPr>
          <w:sz w:val="24"/>
          <w:szCs w:val="24"/>
          <w:lang w:val="es-ES"/>
        </w:rPr>
        <w:t xml:space="preserve"> se colmen los requisitos establecidos en el artículo 180 de la Ley de Transparencia; sin embargo, el artículo 15 de </w:t>
      </w:r>
      <w:r w:rsidRPr="008406F6">
        <w:rPr>
          <w:rFonts w:cs="Arial"/>
          <w:sz w:val="24"/>
          <w:szCs w:val="24"/>
          <w:lang w:val="es-ES" w:eastAsia="es-MX"/>
        </w:rPr>
        <w:t xml:space="preserve">Ley de Transparencia y Acceso a la </w:t>
      </w:r>
      <w:r w:rsidRPr="008406F6">
        <w:rPr>
          <w:rFonts w:cs="Arial"/>
          <w:sz w:val="24"/>
          <w:szCs w:val="24"/>
          <w:lang w:val="es-ES"/>
        </w:rPr>
        <w:t>Información</w:t>
      </w:r>
      <w:r w:rsidRPr="008406F6">
        <w:rPr>
          <w:rFonts w:cs="Arial"/>
          <w:sz w:val="24"/>
          <w:szCs w:val="24"/>
          <w:lang w:val="es-ES" w:eastAsia="es-MX"/>
        </w:rPr>
        <w:t xml:space="preserve"> Pública del Estado de México y Municipios </w:t>
      </w:r>
      <w:r w:rsidRPr="008406F6">
        <w:rPr>
          <w:rFonts w:cs="Arial"/>
          <w:iCs/>
          <w:sz w:val="24"/>
          <w:szCs w:val="24"/>
          <w:lang w:val="es-ES"/>
        </w:rPr>
        <w:t xml:space="preserve">prevé que </w:t>
      </w:r>
      <w:r w:rsidRPr="008406F6">
        <w:rPr>
          <w:sz w:val="24"/>
          <w:szCs w:val="24"/>
          <w:lang w:val="es-ES"/>
        </w:rPr>
        <w:t xml:space="preserve">toda persona tendrá acceso a la información </w:t>
      </w:r>
      <w:r w:rsidRPr="008406F6">
        <w:rPr>
          <w:rFonts w:cs="Arial"/>
          <w:sz w:val="24"/>
          <w:szCs w:val="24"/>
          <w:lang w:val="es-ES"/>
        </w:rPr>
        <w:t xml:space="preserve">sin necesidad de acreditar interés alguno o justificar su utilización, de lo que se infiere que </w:t>
      </w:r>
      <w:r w:rsidRPr="008406F6">
        <w:rPr>
          <w:rFonts w:cs="Arial"/>
          <w:b/>
          <w:sz w:val="24"/>
          <w:szCs w:val="24"/>
          <w:u w:val="single"/>
          <w:lang w:val="es-ES"/>
        </w:rPr>
        <w:t xml:space="preserve">el nombre no es un requisito </w:t>
      </w:r>
      <w:r w:rsidRPr="008406F6">
        <w:rPr>
          <w:rFonts w:cs="Arial"/>
          <w:b/>
          <w:iCs/>
          <w:sz w:val="24"/>
          <w:szCs w:val="24"/>
          <w:u w:val="single"/>
          <w:lang w:val="es-ES"/>
        </w:rPr>
        <w:t>indispensable</w:t>
      </w:r>
      <w:r w:rsidRPr="008406F6">
        <w:rPr>
          <w:rFonts w:cs="Arial"/>
          <w:sz w:val="24"/>
          <w:szCs w:val="24"/>
          <w:lang w:val="es-ES"/>
        </w:rPr>
        <w:t xml:space="preserve"> para que las y los ciudadanos ejerzan el derecho de acceso a la información pública. </w:t>
      </w:r>
    </w:p>
    <w:p w14:paraId="7285FF10" w14:textId="77777777" w:rsidR="00486201" w:rsidRPr="008406F6" w:rsidRDefault="00486201" w:rsidP="008406F6">
      <w:pPr>
        <w:rPr>
          <w:rFonts w:cs="Arial"/>
          <w:sz w:val="24"/>
          <w:szCs w:val="24"/>
          <w:lang w:val="es-ES"/>
        </w:rPr>
      </w:pPr>
    </w:p>
    <w:p w14:paraId="1996F96F" w14:textId="77777777" w:rsidR="00486201" w:rsidRPr="008406F6" w:rsidRDefault="00486201" w:rsidP="008406F6">
      <w:pPr>
        <w:rPr>
          <w:sz w:val="24"/>
          <w:szCs w:val="24"/>
          <w:lang w:val="es-ES"/>
        </w:rPr>
      </w:pPr>
      <w:r w:rsidRPr="008406F6">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8406F6">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8406F6">
        <w:rPr>
          <w:b/>
          <w:bCs/>
          <w:sz w:val="24"/>
          <w:szCs w:val="24"/>
          <w:lang w:val="es-ES"/>
        </w:rPr>
        <w:t>LA PARTE RECURRENTE</w:t>
      </w:r>
      <w:r w:rsidRPr="008406F6">
        <w:rPr>
          <w:rFonts w:cs="Arial"/>
          <w:b/>
          <w:sz w:val="24"/>
          <w:szCs w:val="24"/>
          <w:lang w:val="es-ES"/>
        </w:rPr>
        <w:t>;</w:t>
      </w:r>
      <w:r w:rsidRPr="008406F6">
        <w:rPr>
          <w:sz w:val="24"/>
          <w:szCs w:val="24"/>
          <w:lang w:val="es-ES"/>
        </w:rPr>
        <w:t xml:space="preserve"> por lo que, en el presente caso, al haber sido presentado el recurso de revisión vía </w:t>
      </w:r>
      <w:r w:rsidRPr="008406F6">
        <w:rPr>
          <w:bCs/>
          <w:sz w:val="24"/>
          <w:szCs w:val="24"/>
          <w:lang w:val="es-ES"/>
        </w:rPr>
        <w:t>SAIMEX</w:t>
      </w:r>
      <w:r w:rsidRPr="008406F6">
        <w:rPr>
          <w:sz w:val="24"/>
          <w:szCs w:val="24"/>
          <w:lang w:val="es-ES"/>
        </w:rPr>
        <w:t>, dicho requisito resulta innecesario.</w:t>
      </w:r>
    </w:p>
    <w:p w14:paraId="7744E955" w14:textId="77777777" w:rsidR="00575400" w:rsidRPr="008406F6" w:rsidRDefault="00575400" w:rsidP="008406F6">
      <w:pPr>
        <w:rPr>
          <w:rFonts w:cs="Arial"/>
        </w:rPr>
      </w:pPr>
    </w:p>
    <w:p w14:paraId="1E55F6E2" w14:textId="685B7BAE" w:rsidR="00575400" w:rsidRPr="008406F6" w:rsidRDefault="00575400" w:rsidP="008406F6">
      <w:pPr>
        <w:pStyle w:val="Ttulo3"/>
      </w:pPr>
      <w:bookmarkStart w:id="26" w:name="_Toc181264987"/>
      <w:r w:rsidRPr="008406F6">
        <w:t>f) Acumulación de los Recursos de Revisión</w:t>
      </w:r>
      <w:bookmarkEnd w:id="26"/>
    </w:p>
    <w:p w14:paraId="48C8D8CC" w14:textId="2A52DCC5" w:rsidR="00575400" w:rsidRPr="008406F6" w:rsidRDefault="00575400" w:rsidP="008406F6">
      <w:pPr>
        <w:rPr>
          <w:rFonts w:cs="Arial"/>
          <w:b/>
          <w:bCs/>
        </w:rPr>
      </w:pPr>
      <w:r w:rsidRPr="008406F6">
        <w:rPr>
          <w:rFonts w:eastAsiaTheme="minorEastAsia"/>
          <w:lang w:val="es-ES_tradnl"/>
        </w:rPr>
        <w:t>De las constancias que obran en los expedientes acumulados, se advierte que los recursos de revisión</w:t>
      </w:r>
      <w:r w:rsidR="009D3B74" w:rsidRPr="008406F6">
        <w:rPr>
          <w:rFonts w:eastAsiaTheme="minorEastAsia" w:cstheme="minorBidi"/>
          <w:lang w:val="es-ES_tradnl"/>
        </w:rPr>
        <w:t xml:space="preserve"> </w:t>
      </w:r>
      <w:r w:rsidR="0042455D" w:rsidRPr="008406F6">
        <w:rPr>
          <w:rFonts w:eastAsia="Calibri"/>
          <w:b/>
          <w:lang w:eastAsia="en-US"/>
        </w:rPr>
        <w:t>05422</w:t>
      </w:r>
      <w:r w:rsidR="00486201" w:rsidRPr="008406F6">
        <w:rPr>
          <w:rFonts w:eastAsia="Calibri"/>
          <w:b/>
          <w:lang w:eastAsia="en-US"/>
        </w:rPr>
        <w:t>/INFOEM/IP/RR/2024</w:t>
      </w:r>
      <w:r w:rsidR="0042455D" w:rsidRPr="008406F6">
        <w:rPr>
          <w:rFonts w:eastAsia="Calibri"/>
          <w:b/>
          <w:lang w:eastAsia="en-US"/>
        </w:rPr>
        <w:t xml:space="preserve"> y 05423</w:t>
      </w:r>
      <w:r w:rsidR="00486201" w:rsidRPr="008406F6">
        <w:rPr>
          <w:rFonts w:eastAsia="Calibri"/>
          <w:b/>
          <w:lang w:eastAsia="en-US"/>
        </w:rPr>
        <w:t>/INFOEM/IP/RR/2024</w:t>
      </w:r>
      <w:r w:rsidRPr="008406F6">
        <w:rPr>
          <w:rFonts w:eastAsiaTheme="minorEastAsia"/>
          <w:b/>
          <w:bCs/>
          <w:lang w:val="es-ES_tradnl"/>
        </w:rPr>
        <w:t xml:space="preserve"> </w:t>
      </w:r>
      <w:r w:rsidRPr="008406F6">
        <w:rPr>
          <w:rFonts w:eastAsiaTheme="minorEastAsia"/>
          <w:lang w:val="es-ES_tradnl"/>
        </w:rPr>
        <w:t xml:space="preserve">fueron presentados por </w:t>
      </w:r>
      <w:r w:rsidR="00CD0B92" w:rsidRPr="008406F6">
        <w:rPr>
          <w:rFonts w:eastAsiaTheme="minorEastAsia"/>
          <w:lang w:val="es-ES_tradnl"/>
        </w:rPr>
        <w:t>la</w:t>
      </w:r>
      <w:r w:rsidRPr="008406F6">
        <w:rPr>
          <w:rFonts w:eastAsiaTheme="minorEastAsia"/>
          <w:lang w:val="es-ES_tradnl"/>
        </w:rPr>
        <w:t xml:space="preserve"> mism</w:t>
      </w:r>
      <w:r w:rsidR="00CD0B92" w:rsidRPr="008406F6">
        <w:rPr>
          <w:rFonts w:eastAsiaTheme="minorEastAsia"/>
          <w:lang w:val="es-ES_tradnl"/>
        </w:rPr>
        <w:t>a</w:t>
      </w:r>
      <w:r w:rsidRPr="008406F6">
        <w:rPr>
          <w:rFonts w:eastAsiaTheme="minorEastAsia"/>
          <w:lang w:val="es-ES_tradnl"/>
        </w:rPr>
        <w:t xml:space="preserve"> </w:t>
      </w:r>
      <w:r w:rsidR="00CD0B92" w:rsidRPr="008406F6">
        <w:rPr>
          <w:rFonts w:eastAsiaTheme="minorEastAsia"/>
          <w:b/>
          <w:lang w:val="es-ES_tradnl"/>
        </w:rPr>
        <w:t>PARTE RECURRENTE</w:t>
      </w:r>
      <w:r w:rsidRPr="008406F6">
        <w:rPr>
          <w:rFonts w:eastAsiaTheme="minorEastAsia"/>
          <w:lang w:val="es-ES_tradnl"/>
        </w:rPr>
        <w:t xml:space="preserve"> respecto de actos u omisiones</w:t>
      </w:r>
      <w:r w:rsidR="00CD0B92" w:rsidRPr="008406F6">
        <w:rPr>
          <w:rFonts w:eastAsiaTheme="minorEastAsia"/>
          <w:lang w:val="es-ES_tradnl"/>
        </w:rPr>
        <w:t xml:space="preserve"> similares, realizados por el</w:t>
      </w:r>
      <w:r w:rsidRPr="008406F6">
        <w:rPr>
          <w:rFonts w:eastAsiaTheme="minorEastAsia"/>
          <w:lang w:val="es-ES_tradnl"/>
        </w:rPr>
        <w:t xml:space="preserve"> mismo </w:t>
      </w:r>
      <w:r w:rsidRPr="008406F6">
        <w:rPr>
          <w:rFonts w:eastAsiaTheme="minorEastAsia"/>
          <w:b/>
          <w:lang w:val="es-ES_tradnl"/>
        </w:rPr>
        <w:t>SUJETO OBLIGADO</w:t>
      </w:r>
      <w:r w:rsidRPr="008406F6">
        <w:rPr>
          <w:rFonts w:eastAsiaTheme="minorEastAsia"/>
          <w:lang w:val="es-ES_tradnl"/>
        </w:rPr>
        <w:t>, razón por la cual</w:t>
      </w:r>
      <w:r w:rsidR="00CD0B92" w:rsidRPr="008406F6">
        <w:rPr>
          <w:rFonts w:eastAsiaTheme="minorEastAsia"/>
          <w:lang w:val="es-ES_tradnl"/>
        </w:rPr>
        <w:t xml:space="preserve">, con la finalidad de evitar la emisión de </w:t>
      </w:r>
      <w:r w:rsidR="00CD0B92" w:rsidRPr="008406F6">
        <w:rPr>
          <w:rFonts w:eastAsiaTheme="minorEastAsia"/>
          <w:lang w:val="es-ES_tradnl"/>
        </w:rPr>
        <w:lastRenderedPageBreak/>
        <w:t xml:space="preserve">resoluciones contradictorias, </w:t>
      </w:r>
      <w:r w:rsidRPr="008406F6">
        <w:rPr>
          <w:rFonts w:eastAsiaTheme="minorEastAsia"/>
          <w:lang w:val="es-ES_tradnl"/>
        </w:rPr>
        <w:t xml:space="preserve">este Órgano Garante realizó la acumulación respectiva, de conformidad con lo dispuesto en el artículo 18 del </w:t>
      </w:r>
      <w:r w:rsidRPr="008406F6">
        <w:rPr>
          <w:rFonts w:eastAsiaTheme="minorEastAsia"/>
          <w:lang w:val="es-ES"/>
        </w:rPr>
        <w:t xml:space="preserve">Código de Procedimientos Administrativos del Estado de México, de aplicación supletoria en términos del </w:t>
      </w:r>
      <w:r w:rsidRPr="008406F6">
        <w:rPr>
          <w:rFonts w:eastAsiaTheme="minorEastAsia"/>
          <w:lang w:val="es-ES_tradnl"/>
        </w:rPr>
        <w:t xml:space="preserve">artículo 195 de </w:t>
      </w:r>
      <w:r w:rsidRPr="008406F6">
        <w:rPr>
          <w:rFonts w:eastAsiaTheme="minorEastAsia" w:cstheme="minorBidi"/>
          <w:lang w:val="es-ES_tradnl"/>
        </w:rPr>
        <w:t>la Ley de Transparencia y Acceso a la Información Pública del Estado de México y Municipios en vigor</w:t>
      </w:r>
      <w:r w:rsidR="00CD0B92" w:rsidRPr="008406F6">
        <w:rPr>
          <w:rFonts w:eastAsiaTheme="minorEastAsia" w:cstheme="minorBidi"/>
          <w:lang w:val="es-ES_tradnl"/>
        </w:rPr>
        <w:t>.</w:t>
      </w:r>
    </w:p>
    <w:p w14:paraId="3A121826" w14:textId="77777777" w:rsidR="00C461EC" w:rsidRPr="008406F6" w:rsidRDefault="00C461EC" w:rsidP="008406F6">
      <w:pPr>
        <w:ind w:left="-57"/>
        <w:rPr>
          <w:bCs/>
          <w:lang w:val="es-ES_tradnl"/>
        </w:rPr>
      </w:pPr>
    </w:p>
    <w:p w14:paraId="457548E9" w14:textId="3F7AF03B" w:rsidR="00C71CEF" w:rsidRPr="008406F6" w:rsidRDefault="00C71CEF" w:rsidP="008406F6">
      <w:pPr>
        <w:pStyle w:val="Ttulo2"/>
      </w:pPr>
      <w:bookmarkStart w:id="27" w:name="_Toc181264988"/>
      <w:r w:rsidRPr="008406F6">
        <w:t>SEGUNDO. Estudio de Fondo</w:t>
      </w:r>
      <w:bookmarkEnd w:id="27"/>
    </w:p>
    <w:p w14:paraId="2A308F59" w14:textId="0FF373F0" w:rsidR="00C049E2" w:rsidRPr="008406F6" w:rsidRDefault="00C71CEF" w:rsidP="008406F6">
      <w:pPr>
        <w:pStyle w:val="Ttulo3"/>
      </w:pPr>
      <w:bookmarkStart w:id="28" w:name="_Toc181264989"/>
      <w:r w:rsidRPr="008406F6">
        <w:t>a</w:t>
      </w:r>
      <w:r w:rsidR="00C049E2" w:rsidRPr="008406F6">
        <w:t>) Mandato de transparencia y responsabilidad del Sujeto Obligado</w:t>
      </w:r>
      <w:bookmarkEnd w:id="28"/>
    </w:p>
    <w:p w14:paraId="6901A889" w14:textId="59EEDAE1" w:rsidR="00C049E2" w:rsidRPr="008406F6" w:rsidRDefault="00C049E2" w:rsidP="008406F6">
      <w:pPr>
        <w:rPr>
          <w:rFonts w:eastAsia="Palatino Linotype"/>
        </w:rPr>
      </w:pPr>
      <w:r w:rsidRPr="008406F6">
        <w:rPr>
          <w:rFonts w:eastAsia="Palatino Linotype"/>
        </w:rPr>
        <w:t xml:space="preserve">El </w:t>
      </w:r>
      <w:r w:rsidR="00717E59" w:rsidRPr="008406F6">
        <w:rPr>
          <w:rFonts w:eastAsia="Palatino Linotype"/>
        </w:rPr>
        <w:t>d</w:t>
      </w:r>
      <w:r w:rsidRPr="008406F6">
        <w:rPr>
          <w:rFonts w:eastAsia="Palatino Linotype"/>
        </w:rPr>
        <w:t xml:space="preserve">erecho de </w:t>
      </w:r>
      <w:r w:rsidR="00717E59" w:rsidRPr="008406F6">
        <w:rPr>
          <w:rFonts w:eastAsia="Palatino Linotype"/>
        </w:rPr>
        <w:t>a</w:t>
      </w:r>
      <w:r w:rsidRPr="008406F6">
        <w:rPr>
          <w:rFonts w:eastAsia="Palatino Linotype"/>
        </w:rPr>
        <w:t xml:space="preserve">cceso a la </w:t>
      </w:r>
      <w:r w:rsidR="00717E59" w:rsidRPr="008406F6">
        <w:rPr>
          <w:rFonts w:eastAsia="Palatino Linotype"/>
        </w:rPr>
        <w:t>i</w:t>
      </w:r>
      <w:r w:rsidRPr="008406F6">
        <w:rPr>
          <w:rFonts w:eastAsia="Palatino Linotype"/>
        </w:rPr>
        <w:t xml:space="preserve">nformación </w:t>
      </w:r>
      <w:r w:rsidR="00717E59" w:rsidRPr="008406F6">
        <w:rPr>
          <w:rFonts w:eastAsia="Palatino Linotype"/>
        </w:rPr>
        <w:t>p</w:t>
      </w:r>
      <w:r w:rsidRPr="008406F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406F6">
        <w:rPr>
          <w:rFonts w:eastAsia="Palatino Linotype"/>
        </w:rPr>
        <w:t>:</w:t>
      </w:r>
    </w:p>
    <w:p w14:paraId="7FAB8D32" w14:textId="77777777" w:rsidR="00C049E2" w:rsidRPr="008406F6" w:rsidRDefault="00C049E2" w:rsidP="008406F6">
      <w:pPr>
        <w:rPr>
          <w:rFonts w:eastAsia="Palatino Linotype"/>
        </w:rPr>
      </w:pPr>
    </w:p>
    <w:p w14:paraId="05320813" w14:textId="77777777" w:rsidR="00C049E2" w:rsidRPr="008406F6" w:rsidRDefault="00C049E2" w:rsidP="008406F6">
      <w:pPr>
        <w:spacing w:line="240" w:lineRule="auto"/>
        <w:ind w:left="567" w:right="539"/>
        <w:rPr>
          <w:rFonts w:eastAsia="Palatino Linotype"/>
          <w:b/>
          <w:i/>
        </w:rPr>
      </w:pPr>
      <w:r w:rsidRPr="008406F6">
        <w:rPr>
          <w:rFonts w:eastAsia="Palatino Linotype"/>
          <w:b/>
          <w:i/>
        </w:rPr>
        <w:t>Constitución Política de los Estados Unidos Mexicanos</w:t>
      </w:r>
    </w:p>
    <w:p w14:paraId="6B6C67B6" w14:textId="77777777" w:rsidR="00C049E2" w:rsidRPr="008406F6" w:rsidRDefault="00C049E2" w:rsidP="008406F6">
      <w:pPr>
        <w:spacing w:line="240" w:lineRule="auto"/>
        <w:ind w:left="567" w:right="539"/>
        <w:rPr>
          <w:rFonts w:eastAsia="Palatino Linotype"/>
          <w:b/>
          <w:i/>
        </w:rPr>
      </w:pPr>
      <w:r w:rsidRPr="008406F6">
        <w:rPr>
          <w:rFonts w:eastAsia="Palatino Linotype"/>
          <w:b/>
          <w:i/>
        </w:rPr>
        <w:t>“Artículo 6.</w:t>
      </w:r>
    </w:p>
    <w:p w14:paraId="38D3B4C4" w14:textId="77777777" w:rsidR="00C049E2" w:rsidRPr="008406F6" w:rsidRDefault="00C049E2" w:rsidP="008406F6">
      <w:pPr>
        <w:spacing w:line="240" w:lineRule="auto"/>
        <w:ind w:left="567" w:right="539"/>
        <w:rPr>
          <w:rFonts w:eastAsia="Palatino Linotype"/>
          <w:i/>
        </w:rPr>
      </w:pPr>
      <w:r w:rsidRPr="008406F6">
        <w:rPr>
          <w:rFonts w:eastAsia="Palatino Linotype"/>
          <w:i/>
        </w:rPr>
        <w:t>(…)</w:t>
      </w:r>
    </w:p>
    <w:p w14:paraId="2CCAA297" w14:textId="6602827B" w:rsidR="00C049E2" w:rsidRPr="008406F6" w:rsidRDefault="00C049E2" w:rsidP="008406F6">
      <w:pPr>
        <w:spacing w:line="240" w:lineRule="auto"/>
        <w:ind w:left="567" w:right="539"/>
        <w:rPr>
          <w:rFonts w:eastAsia="Palatino Linotype"/>
          <w:i/>
        </w:rPr>
      </w:pPr>
      <w:r w:rsidRPr="008406F6">
        <w:rPr>
          <w:rFonts w:eastAsia="Palatino Linotype"/>
          <w:i/>
        </w:rPr>
        <w:t>Para efectos de lo dispuesto en el presente artículo se observará lo siguiente:</w:t>
      </w:r>
    </w:p>
    <w:p w14:paraId="74CC3718" w14:textId="77777777" w:rsidR="00C049E2" w:rsidRPr="008406F6" w:rsidRDefault="00C049E2" w:rsidP="008406F6">
      <w:pPr>
        <w:spacing w:line="240" w:lineRule="auto"/>
        <w:ind w:left="567" w:right="539"/>
        <w:rPr>
          <w:rFonts w:eastAsia="Palatino Linotype"/>
          <w:b/>
          <w:i/>
        </w:rPr>
      </w:pPr>
      <w:r w:rsidRPr="008406F6">
        <w:rPr>
          <w:rFonts w:eastAsia="Palatino Linotype"/>
          <w:b/>
          <w:i/>
        </w:rPr>
        <w:t>A</w:t>
      </w:r>
      <w:r w:rsidRPr="008406F6">
        <w:rPr>
          <w:rFonts w:eastAsia="Palatino Linotype"/>
          <w:i/>
        </w:rPr>
        <w:t xml:space="preserve">. </w:t>
      </w:r>
      <w:r w:rsidRPr="008406F6">
        <w:rPr>
          <w:rFonts w:eastAsia="Palatino Linotype"/>
          <w:b/>
          <w:i/>
        </w:rPr>
        <w:t>Para el ejercicio del derecho de acceso a la información</w:t>
      </w:r>
      <w:r w:rsidRPr="008406F6">
        <w:rPr>
          <w:rFonts w:eastAsia="Palatino Linotype"/>
          <w:i/>
        </w:rPr>
        <w:t xml:space="preserve">, la Federación y </w:t>
      </w:r>
      <w:r w:rsidRPr="008406F6">
        <w:rPr>
          <w:rFonts w:eastAsia="Palatino Linotype"/>
          <w:b/>
          <w:i/>
        </w:rPr>
        <w:t>las entidades federativas, en el ámbito de sus respectivas competencias, se regirán por los siguientes principios y bases:</w:t>
      </w:r>
    </w:p>
    <w:p w14:paraId="596A956B" w14:textId="77777777" w:rsidR="00C049E2" w:rsidRPr="008406F6" w:rsidRDefault="00C049E2" w:rsidP="008406F6">
      <w:pPr>
        <w:spacing w:line="240" w:lineRule="auto"/>
        <w:ind w:left="567" w:right="539"/>
        <w:rPr>
          <w:rFonts w:eastAsia="Palatino Linotype"/>
          <w:i/>
        </w:rPr>
      </w:pPr>
      <w:r w:rsidRPr="008406F6">
        <w:rPr>
          <w:rFonts w:eastAsia="Palatino Linotype"/>
          <w:b/>
          <w:i/>
        </w:rPr>
        <w:t xml:space="preserve">I. </w:t>
      </w:r>
      <w:r w:rsidRPr="008406F6">
        <w:rPr>
          <w:rFonts w:eastAsia="Palatino Linotype"/>
          <w:b/>
          <w:i/>
        </w:rPr>
        <w:tab/>
        <w:t>Toda la información en posesión de cualquier</w:t>
      </w:r>
      <w:r w:rsidRPr="008406F6">
        <w:rPr>
          <w:rFonts w:eastAsia="Palatino Linotype"/>
          <w:i/>
        </w:rPr>
        <w:t xml:space="preserve"> </w:t>
      </w:r>
      <w:r w:rsidRPr="008406F6">
        <w:rPr>
          <w:rFonts w:eastAsia="Palatino Linotype"/>
          <w:b/>
          <w:i/>
        </w:rPr>
        <w:t>autoridad</w:t>
      </w:r>
      <w:r w:rsidRPr="008406F6">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406F6">
        <w:rPr>
          <w:rFonts w:eastAsia="Palatino Linotype"/>
          <w:b/>
          <w:i/>
        </w:rPr>
        <w:t>municipal</w:t>
      </w:r>
      <w:r w:rsidRPr="008406F6">
        <w:rPr>
          <w:rFonts w:eastAsia="Palatino Linotype"/>
          <w:i/>
        </w:rPr>
        <w:t xml:space="preserve">, </w:t>
      </w:r>
      <w:r w:rsidRPr="008406F6">
        <w:rPr>
          <w:rFonts w:eastAsia="Palatino Linotype"/>
          <w:b/>
          <w:i/>
        </w:rPr>
        <w:t>es pública</w:t>
      </w:r>
      <w:r w:rsidRPr="008406F6">
        <w:rPr>
          <w:rFonts w:eastAsia="Palatino Linotype"/>
          <w:i/>
        </w:rPr>
        <w:t xml:space="preserve"> y sólo podrá ser reservada temporalmente por razones de interés público y seguridad nacional, en los términos que fijen las leyes. </w:t>
      </w:r>
      <w:r w:rsidRPr="008406F6">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8406F6">
        <w:rPr>
          <w:rFonts w:eastAsia="Palatino Linotype"/>
          <w:i/>
        </w:rPr>
        <w:t>, la ley determinará los supuestos específicos bajo los cuales procederá la declaración de inexistencia de la información.”</w:t>
      </w:r>
    </w:p>
    <w:p w14:paraId="68F313E4" w14:textId="77777777" w:rsidR="00C049E2" w:rsidRPr="008406F6" w:rsidRDefault="00C049E2" w:rsidP="008406F6">
      <w:pPr>
        <w:spacing w:line="240" w:lineRule="auto"/>
        <w:ind w:left="567" w:right="539"/>
        <w:rPr>
          <w:rFonts w:eastAsia="Palatino Linotype"/>
          <w:b/>
          <w:i/>
        </w:rPr>
      </w:pPr>
    </w:p>
    <w:p w14:paraId="504F12DB" w14:textId="77777777" w:rsidR="00C049E2" w:rsidRPr="008406F6" w:rsidRDefault="00C049E2" w:rsidP="008406F6">
      <w:pPr>
        <w:spacing w:line="240" w:lineRule="auto"/>
        <w:ind w:left="567" w:right="539"/>
        <w:rPr>
          <w:rFonts w:eastAsia="Palatino Linotype"/>
          <w:b/>
          <w:i/>
        </w:rPr>
      </w:pPr>
      <w:r w:rsidRPr="008406F6">
        <w:rPr>
          <w:rFonts w:eastAsia="Palatino Linotype"/>
          <w:b/>
          <w:i/>
        </w:rPr>
        <w:t>Constitución Política del Estado Libre y Soberano de México</w:t>
      </w:r>
    </w:p>
    <w:p w14:paraId="04932D29" w14:textId="77777777" w:rsidR="00C049E2" w:rsidRPr="008406F6" w:rsidRDefault="00C049E2" w:rsidP="008406F6">
      <w:pPr>
        <w:spacing w:line="240" w:lineRule="auto"/>
        <w:ind w:left="567" w:right="539"/>
        <w:rPr>
          <w:rFonts w:eastAsia="Palatino Linotype"/>
          <w:i/>
        </w:rPr>
      </w:pPr>
      <w:r w:rsidRPr="008406F6">
        <w:rPr>
          <w:rFonts w:eastAsia="Palatino Linotype"/>
          <w:b/>
          <w:i/>
        </w:rPr>
        <w:t>“Artículo 5</w:t>
      </w:r>
      <w:r w:rsidRPr="008406F6">
        <w:rPr>
          <w:rFonts w:eastAsia="Palatino Linotype"/>
          <w:i/>
        </w:rPr>
        <w:t xml:space="preserve">.- </w:t>
      </w:r>
    </w:p>
    <w:p w14:paraId="1D3829F4" w14:textId="77777777" w:rsidR="00C049E2" w:rsidRPr="008406F6" w:rsidRDefault="00C049E2" w:rsidP="008406F6">
      <w:pPr>
        <w:spacing w:line="240" w:lineRule="auto"/>
        <w:ind w:left="567" w:right="539"/>
        <w:rPr>
          <w:rFonts w:eastAsia="Palatino Linotype"/>
          <w:i/>
        </w:rPr>
      </w:pPr>
      <w:r w:rsidRPr="008406F6">
        <w:rPr>
          <w:rFonts w:eastAsia="Palatino Linotype"/>
          <w:i/>
        </w:rPr>
        <w:t>(…)</w:t>
      </w:r>
    </w:p>
    <w:p w14:paraId="0EAE47FD" w14:textId="77777777" w:rsidR="00C049E2" w:rsidRPr="008406F6" w:rsidRDefault="00C049E2" w:rsidP="008406F6">
      <w:pPr>
        <w:spacing w:line="240" w:lineRule="auto"/>
        <w:ind w:left="567" w:right="539"/>
        <w:rPr>
          <w:rFonts w:eastAsia="Palatino Linotype"/>
          <w:i/>
        </w:rPr>
      </w:pPr>
      <w:r w:rsidRPr="008406F6">
        <w:rPr>
          <w:rFonts w:eastAsia="Palatino Linotype"/>
          <w:b/>
          <w:i/>
        </w:rPr>
        <w:lastRenderedPageBreak/>
        <w:t>El derecho a la información será garantizado por el Estado. La ley establecerá las previsiones que permitan asegurar la protección, el respeto y la difusión de este derecho</w:t>
      </w:r>
      <w:r w:rsidRPr="008406F6">
        <w:rPr>
          <w:rFonts w:eastAsia="Palatino Linotype"/>
          <w:i/>
        </w:rPr>
        <w:t>.</w:t>
      </w:r>
    </w:p>
    <w:p w14:paraId="4F0C804A" w14:textId="77777777" w:rsidR="00C049E2" w:rsidRPr="008406F6" w:rsidRDefault="00C049E2" w:rsidP="008406F6">
      <w:pPr>
        <w:spacing w:line="240" w:lineRule="auto"/>
        <w:ind w:left="567" w:right="539"/>
        <w:rPr>
          <w:rFonts w:eastAsia="Palatino Linotype"/>
          <w:i/>
        </w:rPr>
      </w:pPr>
      <w:r w:rsidRPr="008406F6">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406F6" w:rsidRDefault="00C049E2" w:rsidP="008406F6">
      <w:pPr>
        <w:spacing w:line="240" w:lineRule="auto"/>
        <w:ind w:left="567" w:right="539"/>
        <w:rPr>
          <w:rFonts w:eastAsia="Palatino Linotype"/>
          <w:i/>
        </w:rPr>
      </w:pPr>
      <w:r w:rsidRPr="008406F6">
        <w:rPr>
          <w:rFonts w:eastAsia="Palatino Linotype"/>
          <w:b/>
          <w:i/>
        </w:rPr>
        <w:t>Este derecho se regirá por los principios y bases siguientes</w:t>
      </w:r>
      <w:r w:rsidRPr="008406F6">
        <w:rPr>
          <w:rFonts w:eastAsia="Palatino Linotype"/>
          <w:i/>
        </w:rPr>
        <w:t>:</w:t>
      </w:r>
    </w:p>
    <w:p w14:paraId="4A3E8CBA" w14:textId="77777777" w:rsidR="00C049E2" w:rsidRPr="008406F6" w:rsidRDefault="00C049E2" w:rsidP="008406F6">
      <w:pPr>
        <w:spacing w:line="240" w:lineRule="auto"/>
        <w:ind w:left="567" w:right="539"/>
        <w:rPr>
          <w:rFonts w:eastAsia="Palatino Linotype"/>
          <w:i/>
        </w:rPr>
      </w:pPr>
      <w:r w:rsidRPr="008406F6">
        <w:rPr>
          <w:rFonts w:eastAsia="Palatino Linotype"/>
          <w:b/>
          <w:i/>
        </w:rPr>
        <w:t>I. Toda la información en posesión de cualquier autoridad, entidad, órgano y organismos de los</w:t>
      </w:r>
      <w:r w:rsidRPr="008406F6">
        <w:rPr>
          <w:rFonts w:eastAsia="Palatino Linotype"/>
          <w:i/>
        </w:rPr>
        <w:t xml:space="preserve"> Poderes Ejecutivo, Legislativo y Judicial, órganos autónomos, partidos políticos, fideicomisos y fondos públicos estatales y </w:t>
      </w:r>
      <w:r w:rsidRPr="008406F6">
        <w:rPr>
          <w:rFonts w:eastAsia="Palatino Linotype"/>
          <w:b/>
          <w:i/>
        </w:rPr>
        <w:t>municipales</w:t>
      </w:r>
      <w:r w:rsidRPr="008406F6">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406F6">
        <w:rPr>
          <w:rFonts w:eastAsia="Palatino Linotype"/>
          <w:b/>
          <w:i/>
        </w:rPr>
        <w:t>es pública</w:t>
      </w:r>
      <w:r w:rsidRPr="008406F6">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406F6">
        <w:rPr>
          <w:rFonts w:eastAsia="Palatino Linotype"/>
          <w:b/>
          <w:i/>
        </w:rPr>
        <w:t>En la interpretación de este derecho deberá prevalecer el principio de máxima publicidad</w:t>
      </w:r>
      <w:r w:rsidRPr="008406F6">
        <w:rPr>
          <w:rFonts w:eastAsia="Palatino Linotype"/>
          <w:i/>
        </w:rPr>
        <w:t xml:space="preserve">. </w:t>
      </w:r>
      <w:r w:rsidRPr="008406F6">
        <w:rPr>
          <w:rFonts w:eastAsia="Palatino Linotype"/>
          <w:b/>
          <w:i/>
        </w:rPr>
        <w:t>Los sujetos obligados deberán documentar todo acto que derive del ejercicio de sus facultades, competencias o funciones</w:t>
      </w:r>
      <w:r w:rsidRPr="008406F6">
        <w:rPr>
          <w:rFonts w:eastAsia="Palatino Linotype"/>
          <w:i/>
        </w:rPr>
        <w:t>, la ley determinará los supuestos específicos bajo los cuales procederá la declaración de inexistencia de la información.”</w:t>
      </w:r>
    </w:p>
    <w:p w14:paraId="5CA98E37" w14:textId="77777777" w:rsidR="00C049E2" w:rsidRPr="008406F6" w:rsidRDefault="00C049E2" w:rsidP="008406F6">
      <w:pPr>
        <w:rPr>
          <w:rFonts w:eastAsia="Palatino Linotype"/>
          <w:b/>
          <w:i/>
        </w:rPr>
      </w:pPr>
    </w:p>
    <w:p w14:paraId="6FC1BB3B" w14:textId="3BF4A33D" w:rsidR="00C049E2" w:rsidRPr="008406F6" w:rsidRDefault="00717E59" w:rsidP="008406F6">
      <w:pPr>
        <w:rPr>
          <w:rFonts w:eastAsia="Palatino Linotype"/>
          <w:i/>
        </w:rPr>
      </w:pPr>
      <w:r w:rsidRPr="008406F6">
        <w:rPr>
          <w:rFonts w:eastAsia="Palatino Linotype"/>
        </w:rPr>
        <w:t xml:space="preserve">Asimismo, </w:t>
      </w:r>
      <w:r w:rsidR="00C049E2" w:rsidRPr="008406F6">
        <w:rPr>
          <w:rFonts w:eastAsia="Palatino Linotype"/>
        </w:rPr>
        <w:t>el artículo 150 de la Ley de Transparencia y Acceso a la Información Pública del Estado de México y Municipios</w:t>
      </w:r>
      <w:r w:rsidR="00057B2D" w:rsidRPr="008406F6">
        <w:rPr>
          <w:rFonts w:eastAsia="Palatino Linotype"/>
        </w:rPr>
        <w:t xml:space="preserve"> </w:t>
      </w:r>
      <w:r w:rsidR="00E9335C" w:rsidRPr="008406F6">
        <w:rPr>
          <w:rFonts w:eastAsia="Palatino Linotype"/>
        </w:rPr>
        <w:t xml:space="preserve">indica </w:t>
      </w:r>
      <w:r w:rsidR="00057B2D" w:rsidRPr="008406F6">
        <w:rPr>
          <w:rFonts w:eastAsia="Palatino Linotype"/>
        </w:rPr>
        <w:t>que</w:t>
      </w:r>
      <w:r w:rsidR="00C049E2" w:rsidRPr="008406F6">
        <w:rPr>
          <w:rFonts w:eastAsia="Palatino Linotype"/>
        </w:rPr>
        <w:t xml:space="preserve"> la solicitud es la garantía primaria del Derecho de Acceso a la Información, además, establece que se regirá </w:t>
      </w:r>
      <w:r w:rsidR="00C049E2" w:rsidRPr="008406F6">
        <w:rPr>
          <w:rFonts w:eastAsia="Palatino Linotype"/>
          <w:i/>
        </w:rPr>
        <w:t>por los principios de simplicidad, rapidez</w:t>
      </w:r>
      <w:r w:rsidR="005F65B7" w:rsidRPr="008406F6">
        <w:rPr>
          <w:rFonts w:eastAsia="Palatino Linotype"/>
          <w:i/>
        </w:rPr>
        <w:t>,</w:t>
      </w:r>
      <w:r w:rsidR="00C049E2" w:rsidRPr="008406F6">
        <w:rPr>
          <w:rFonts w:eastAsia="Palatino Linotype"/>
          <w:i/>
        </w:rPr>
        <w:t xml:space="preserve"> gratuidad del procedimiento, auxilio y orientación a los particulare</w:t>
      </w:r>
      <w:r w:rsidR="001A58B3" w:rsidRPr="008406F6">
        <w:rPr>
          <w:rFonts w:eastAsia="Palatino Linotype"/>
          <w:i/>
        </w:rPr>
        <w:t>s.</w:t>
      </w:r>
    </w:p>
    <w:p w14:paraId="033466A6" w14:textId="77777777" w:rsidR="001A58B3" w:rsidRPr="008406F6" w:rsidRDefault="001A58B3" w:rsidP="008406F6">
      <w:pPr>
        <w:rPr>
          <w:rFonts w:eastAsia="Palatino Linotype"/>
          <w:i/>
        </w:rPr>
      </w:pPr>
    </w:p>
    <w:p w14:paraId="04ADA10B" w14:textId="574A944A" w:rsidR="001A58B3" w:rsidRPr="008406F6" w:rsidRDefault="00233F17" w:rsidP="008406F6">
      <w:pPr>
        <w:rPr>
          <w:rFonts w:eastAsia="Palatino Linotype" w:cs="Palatino Linotype"/>
          <w:i/>
          <w:szCs w:val="22"/>
        </w:rPr>
      </w:pPr>
      <w:r w:rsidRPr="008406F6">
        <w:rPr>
          <w:rFonts w:eastAsia="Palatino Linotype" w:cs="Palatino Linotype"/>
        </w:rPr>
        <w:t xml:space="preserve">Por su parte, el artículo 4 de </w:t>
      </w:r>
      <w:r w:rsidR="001A58B3" w:rsidRPr="008406F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406F6">
        <w:rPr>
          <w:rFonts w:eastAsia="Palatino Linotype" w:cs="Palatino Linotype"/>
        </w:rPr>
        <w:t>.</w:t>
      </w:r>
    </w:p>
    <w:p w14:paraId="1407DBB8" w14:textId="77777777" w:rsidR="001A58B3" w:rsidRPr="008406F6" w:rsidRDefault="001A58B3" w:rsidP="008406F6">
      <w:pPr>
        <w:rPr>
          <w:rFonts w:eastAsia="Palatino Linotype" w:cs="Palatino Linotype"/>
        </w:rPr>
      </w:pPr>
    </w:p>
    <w:p w14:paraId="7552AA79" w14:textId="7E89FC5C" w:rsidR="001A58B3" w:rsidRPr="008406F6" w:rsidRDefault="001A58B3" w:rsidP="008406F6">
      <w:pPr>
        <w:rPr>
          <w:rFonts w:eastAsia="Palatino Linotype" w:cs="Palatino Linotype"/>
        </w:rPr>
      </w:pPr>
      <w:r w:rsidRPr="008406F6">
        <w:rPr>
          <w:rFonts w:eastAsia="Palatino Linotype" w:cs="Palatino Linotype"/>
        </w:rPr>
        <w:lastRenderedPageBreak/>
        <w:t xml:space="preserve">Esto es, que los </w:t>
      </w:r>
      <w:r w:rsidR="00053A9E" w:rsidRPr="008406F6">
        <w:rPr>
          <w:rFonts w:eastAsia="Palatino Linotype" w:cs="Palatino Linotype"/>
          <w:b/>
        </w:rPr>
        <w:t>SUJETOS OBLIGADOS</w:t>
      </w:r>
      <w:r w:rsidR="00053A9E" w:rsidRPr="008406F6">
        <w:rPr>
          <w:rFonts w:eastAsia="Palatino Linotype" w:cs="Palatino Linotype"/>
        </w:rPr>
        <w:t xml:space="preserve"> </w:t>
      </w:r>
      <w:r w:rsidR="00FA5957" w:rsidRPr="008406F6">
        <w:rPr>
          <w:rFonts w:eastAsia="Palatino Linotype" w:cs="Palatino Linotype"/>
        </w:rPr>
        <w:t>deben</w:t>
      </w:r>
      <w:r w:rsidRPr="008406F6">
        <w:rPr>
          <w:rFonts w:eastAsia="Palatino Linotype" w:cs="Palatino Linotype"/>
        </w:rPr>
        <w:t xml:space="preserve"> atender las solicitudes de acceso a la información pública que se les </w:t>
      </w:r>
      <w:r w:rsidR="00FA5957" w:rsidRPr="008406F6">
        <w:rPr>
          <w:rFonts w:eastAsia="Palatino Linotype" w:cs="Palatino Linotype"/>
        </w:rPr>
        <w:t>sean realizadas,</w:t>
      </w:r>
      <w:r w:rsidRPr="008406F6">
        <w:rPr>
          <w:rFonts w:eastAsia="Palatino Linotype" w:cs="Palatino Linotype"/>
        </w:rPr>
        <w:t xml:space="preserve"> y proporcionar la información pública que obre en su poder</w:t>
      </w:r>
      <w:r w:rsidR="00FA5957" w:rsidRPr="008406F6">
        <w:rPr>
          <w:rFonts w:eastAsia="Palatino Linotype" w:cs="Palatino Linotype"/>
        </w:rPr>
        <w:t>,</w:t>
      </w:r>
      <w:r w:rsidRPr="008406F6">
        <w:rPr>
          <w:rFonts w:eastAsia="Palatino Linotype" w:cs="Palatino Linotype"/>
        </w:rPr>
        <w:t xml:space="preserve"> conforme </w:t>
      </w:r>
      <w:r w:rsidR="00FA5957" w:rsidRPr="008406F6">
        <w:rPr>
          <w:rFonts w:eastAsia="Palatino Linotype" w:cs="Palatino Linotype"/>
        </w:rPr>
        <w:t>a</w:t>
      </w:r>
      <w:r w:rsidRPr="008406F6">
        <w:rPr>
          <w:rFonts w:eastAsia="Palatino Linotype" w:cs="Palatino Linotype"/>
        </w:rPr>
        <w:t xml:space="preserve">l estado </w:t>
      </w:r>
      <w:r w:rsidR="00FA5957" w:rsidRPr="008406F6">
        <w:rPr>
          <w:rFonts w:eastAsia="Palatino Linotype" w:cs="Palatino Linotype"/>
        </w:rPr>
        <w:t xml:space="preserve">en </w:t>
      </w:r>
      <w:r w:rsidRPr="008406F6">
        <w:rPr>
          <w:rFonts w:eastAsia="Palatino Linotype" w:cs="Palatino Linotype"/>
        </w:rPr>
        <w:t>que se encuentr</w:t>
      </w:r>
      <w:r w:rsidR="00FA5957" w:rsidRPr="008406F6">
        <w:rPr>
          <w:rFonts w:eastAsia="Palatino Linotype" w:cs="Palatino Linotype"/>
        </w:rPr>
        <w:t>e, sin que sea necesario</w:t>
      </w:r>
      <w:r w:rsidRPr="008406F6">
        <w:rPr>
          <w:rFonts w:eastAsia="Palatino Linotype" w:cs="Palatino Linotype"/>
        </w:rPr>
        <w:t xml:space="preserve"> </w:t>
      </w:r>
      <w:r w:rsidR="00FA5957" w:rsidRPr="008406F6">
        <w:rPr>
          <w:rFonts w:eastAsia="Palatino Linotype" w:cs="Palatino Linotype"/>
        </w:rPr>
        <w:t>procesar</w:t>
      </w:r>
      <w:r w:rsidRPr="008406F6">
        <w:rPr>
          <w:rFonts w:eastAsia="Palatino Linotype" w:cs="Palatino Linotype"/>
        </w:rPr>
        <w:t xml:space="preserve"> la misma, ni presentarla conforme al interés del solicitante; </w:t>
      </w:r>
      <w:r w:rsidR="00FA5957" w:rsidRPr="008406F6">
        <w:rPr>
          <w:rFonts w:eastAsia="Palatino Linotype" w:cs="Palatino Linotype"/>
        </w:rPr>
        <w:t>tal y como</w:t>
      </w:r>
      <w:r w:rsidRPr="008406F6">
        <w:rPr>
          <w:rFonts w:eastAsia="Palatino Linotype" w:cs="Palatino Linotype"/>
        </w:rPr>
        <w:t xml:space="preserve"> lo establece el artículo 12 de la Ley de Transparencia y Acceso a la Información Pública del Estado de México y Municipios</w:t>
      </w:r>
      <w:r w:rsidR="00970EB3" w:rsidRPr="008406F6">
        <w:rPr>
          <w:rFonts w:eastAsia="Palatino Linotype" w:cs="Palatino Linotype"/>
        </w:rPr>
        <w:t>.</w:t>
      </w:r>
    </w:p>
    <w:p w14:paraId="73245195" w14:textId="77777777" w:rsidR="00970EB3" w:rsidRPr="008406F6" w:rsidRDefault="00970EB3" w:rsidP="008406F6">
      <w:pPr>
        <w:rPr>
          <w:rFonts w:eastAsia="Palatino Linotype" w:cs="Palatino Linotype"/>
        </w:rPr>
      </w:pPr>
    </w:p>
    <w:p w14:paraId="7F62D4DF" w14:textId="775730E1" w:rsidR="001A58B3" w:rsidRPr="008406F6" w:rsidRDefault="001A58B3" w:rsidP="008406F6">
      <w:pPr>
        <w:rPr>
          <w:rFonts w:eastAsia="Palatino Linotype" w:cs="Palatino Linotype"/>
        </w:rPr>
      </w:pPr>
      <w:r w:rsidRPr="008406F6">
        <w:rPr>
          <w:rFonts w:eastAsia="Palatino Linotype" w:cs="Palatino Linotype"/>
        </w:rPr>
        <w:t>Es decir, que todo sujeto obligado que genere, recopile, administre, procese, archive, posea o conserven, son responsables de la misma</w:t>
      </w:r>
      <w:r w:rsidR="00970EB3" w:rsidRPr="008406F6">
        <w:rPr>
          <w:rFonts w:eastAsia="Palatino Linotype" w:cs="Palatino Linotype"/>
        </w:rPr>
        <w:t>,</w:t>
      </w:r>
      <w:r w:rsidRPr="008406F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406F6">
        <w:rPr>
          <w:rFonts w:eastAsia="Palatino Linotype" w:cs="Palatino Linotype"/>
        </w:rPr>
        <w:t>o</w:t>
      </w:r>
      <w:r w:rsidRPr="008406F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406F6" w:rsidRDefault="001A58B3" w:rsidP="008406F6">
      <w:pPr>
        <w:rPr>
          <w:rFonts w:eastAsia="Palatino Linotype" w:cs="Palatino Linotype"/>
        </w:rPr>
      </w:pPr>
    </w:p>
    <w:p w14:paraId="04E42DFE" w14:textId="573F1198" w:rsidR="001A58B3" w:rsidRPr="008406F6" w:rsidRDefault="001A58B3" w:rsidP="008406F6">
      <w:pPr>
        <w:rPr>
          <w:rFonts w:eastAsia="Palatino Linotype" w:cs="Palatino Linotype"/>
        </w:rPr>
      </w:pPr>
      <w:r w:rsidRPr="008406F6">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406F6">
        <w:rPr>
          <w:rFonts w:eastAsia="Palatino Linotype" w:cs="Palatino Linotype"/>
        </w:rPr>
        <w:t>, s</w:t>
      </w:r>
      <w:r w:rsidRPr="008406F6">
        <w:rPr>
          <w:rFonts w:eastAsia="Palatino Linotype" w:cs="Palatino Linotype"/>
        </w:rPr>
        <w:t xml:space="preserve">iempre y cuando no se trate de información reservada o </w:t>
      </w:r>
      <w:r w:rsidR="00331F35" w:rsidRPr="008406F6">
        <w:rPr>
          <w:rFonts w:eastAsia="Palatino Linotype" w:cs="Palatino Linotype"/>
        </w:rPr>
        <w:t>confidencial.</w:t>
      </w:r>
    </w:p>
    <w:p w14:paraId="40C5219F" w14:textId="77777777" w:rsidR="001A58B3" w:rsidRPr="008406F6" w:rsidRDefault="001A58B3" w:rsidP="008406F6">
      <w:pPr>
        <w:rPr>
          <w:rFonts w:eastAsia="Palatino Linotype" w:cs="Palatino Linotype"/>
        </w:rPr>
      </w:pPr>
    </w:p>
    <w:p w14:paraId="2E629608" w14:textId="01727E15" w:rsidR="00C049E2" w:rsidRPr="008406F6" w:rsidRDefault="006067C7" w:rsidP="008406F6">
      <w:pPr>
        <w:rPr>
          <w:rFonts w:eastAsia="Palatino Linotype"/>
        </w:rPr>
      </w:pPr>
      <w:bookmarkStart w:id="29" w:name="_heading=h.2s8eyo1" w:colFirst="0" w:colLast="0"/>
      <w:bookmarkEnd w:id="29"/>
      <w:r w:rsidRPr="008406F6">
        <w:rPr>
          <w:rFonts w:eastAsia="Palatino Linotype"/>
        </w:rPr>
        <w:t>Con base en lo anterior</w:t>
      </w:r>
      <w:r w:rsidR="00B22A80" w:rsidRPr="008406F6">
        <w:rPr>
          <w:rFonts w:eastAsia="Palatino Linotype"/>
        </w:rPr>
        <w:t>, se considera que</w:t>
      </w:r>
      <w:r w:rsidR="00C049E2" w:rsidRPr="008406F6">
        <w:rPr>
          <w:rFonts w:eastAsia="Palatino Linotype"/>
        </w:rPr>
        <w:t xml:space="preserve"> </w:t>
      </w:r>
      <w:r w:rsidR="00B22A80" w:rsidRPr="008406F6">
        <w:rPr>
          <w:rFonts w:eastAsia="Palatino Linotype"/>
          <w:b/>
          <w:bCs/>
        </w:rPr>
        <w:t>EL</w:t>
      </w:r>
      <w:r w:rsidR="00C049E2" w:rsidRPr="008406F6">
        <w:rPr>
          <w:rFonts w:eastAsia="Palatino Linotype"/>
        </w:rPr>
        <w:t xml:space="preserve"> </w:t>
      </w:r>
      <w:r w:rsidR="00C049E2" w:rsidRPr="008406F6">
        <w:rPr>
          <w:rFonts w:eastAsia="Palatino Linotype"/>
          <w:b/>
        </w:rPr>
        <w:t>SUJETO OBLIGADO</w:t>
      </w:r>
      <w:r w:rsidR="00C049E2" w:rsidRPr="008406F6">
        <w:rPr>
          <w:rFonts w:eastAsia="Palatino Linotype"/>
        </w:rPr>
        <w:t xml:space="preserve"> </w:t>
      </w:r>
      <w:r w:rsidR="00B22A80" w:rsidRPr="008406F6">
        <w:rPr>
          <w:rFonts w:eastAsia="Palatino Linotype"/>
        </w:rPr>
        <w:t xml:space="preserve">se </w:t>
      </w:r>
      <w:r w:rsidR="00717E59" w:rsidRPr="008406F6">
        <w:rPr>
          <w:rFonts w:eastAsia="Palatino Linotype"/>
        </w:rPr>
        <w:t>encontraba</w:t>
      </w:r>
      <w:r w:rsidR="00B22A80" w:rsidRPr="008406F6">
        <w:rPr>
          <w:rFonts w:eastAsia="Palatino Linotype"/>
        </w:rPr>
        <w:t xml:space="preserve"> compelido a</w:t>
      </w:r>
      <w:r w:rsidR="00C049E2" w:rsidRPr="008406F6">
        <w:rPr>
          <w:rFonts w:eastAsia="Palatino Linotype"/>
        </w:rPr>
        <w:t xml:space="preserve"> atender la solicitud de acceso a la información </w:t>
      </w:r>
      <w:r w:rsidR="00B22A80" w:rsidRPr="008406F6">
        <w:rPr>
          <w:rFonts w:eastAsia="Palatino Linotype"/>
        </w:rPr>
        <w:t xml:space="preserve">realizada por </w:t>
      </w:r>
      <w:r w:rsidR="00B22A80" w:rsidRPr="008406F6">
        <w:rPr>
          <w:rFonts w:eastAsia="Palatino Linotype"/>
          <w:b/>
          <w:bCs/>
        </w:rPr>
        <w:t>LA PARTE RECURRENTE</w:t>
      </w:r>
      <w:r w:rsidR="00331F35" w:rsidRPr="008406F6">
        <w:rPr>
          <w:rFonts w:eastAsia="Palatino Linotype"/>
        </w:rPr>
        <w:t>.</w:t>
      </w:r>
    </w:p>
    <w:p w14:paraId="1611F147" w14:textId="77777777" w:rsidR="00BD5A7C" w:rsidRPr="008406F6" w:rsidRDefault="00BD5A7C" w:rsidP="008406F6">
      <w:pPr>
        <w:rPr>
          <w:rFonts w:eastAsia="Palatino Linotype"/>
        </w:rPr>
      </w:pPr>
    </w:p>
    <w:p w14:paraId="51A0E8B4" w14:textId="676DCA47" w:rsidR="00664420" w:rsidRPr="008406F6" w:rsidRDefault="00C71CEF" w:rsidP="008406F6">
      <w:pPr>
        <w:pStyle w:val="Ttulo3"/>
        <w:rPr>
          <w:rFonts w:eastAsia="Calibri"/>
          <w:lang w:eastAsia="es-ES_tradnl"/>
        </w:rPr>
      </w:pPr>
      <w:bookmarkStart w:id="30" w:name="_Toc181264990"/>
      <w:r w:rsidRPr="008406F6">
        <w:rPr>
          <w:rFonts w:eastAsia="Calibri"/>
          <w:lang w:eastAsia="es-ES_tradnl"/>
        </w:rPr>
        <w:lastRenderedPageBreak/>
        <w:t>b)</w:t>
      </w:r>
      <w:r w:rsidR="00A53315" w:rsidRPr="008406F6">
        <w:rPr>
          <w:rFonts w:eastAsia="Calibri"/>
          <w:lang w:eastAsia="es-ES_tradnl"/>
        </w:rPr>
        <w:t xml:space="preserve"> </w:t>
      </w:r>
      <w:r w:rsidR="00A21A20" w:rsidRPr="008406F6">
        <w:rPr>
          <w:rFonts w:eastAsia="Calibri"/>
          <w:lang w:eastAsia="es-ES_tradnl"/>
        </w:rPr>
        <w:t>Controversia a resolver</w:t>
      </w:r>
      <w:bookmarkEnd w:id="30"/>
    </w:p>
    <w:p w14:paraId="5DAE2A65" w14:textId="382C31A9" w:rsidR="00664420" w:rsidRPr="008406F6" w:rsidRDefault="00664420" w:rsidP="008406F6">
      <w:pPr>
        <w:rPr>
          <w:rFonts w:eastAsia="Calibri"/>
          <w:lang w:eastAsia="es-ES_tradnl"/>
        </w:rPr>
      </w:pPr>
      <w:r w:rsidRPr="008406F6">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406F6">
        <w:rPr>
          <w:rFonts w:eastAsia="Calibri"/>
          <w:b/>
          <w:bCs/>
          <w:lang w:eastAsia="es-ES_tradnl"/>
        </w:rPr>
        <w:t>LA PARTE RECURRENTE</w:t>
      </w:r>
      <w:r w:rsidRPr="008406F6">
        <w:rPr>
          <w:rFonts w:eastAsia="Calibri"/>
          <w:lang w:eastAsia="es-ES_tradnl"/>
        </w:rPr>
        <w:t xml:space="preserve"> solicitó lo siguiente:</w:t>
      </w:r>
    </w:p>
    <w:p w14:paraId="7D9D559B" w14:textId="77777777" w:rsidR="00664420" w:rsidRPr="008406F6" w:rsidRDefault="00664420" w:rsidP="008406F6">
      <w:pPr>
        <w:tabs>
          <w:tab w:val="left" w:pos="4962"/>
        </w:tabs>
        <w:contextualSpacing/>
        <w:rPr>
          <w:rFonts w:eastAsia="Calibri" w:cs="Tahoma"/>
          <w:iCs/>
          <w:szCs w:val="22"/>
          <w:lang w:eastAsia="es-ES_tradnl"/>
        </w:rPr>
      </w:pPr>
    </w:p>
    <w:p w14:paraId="239A448C" w14:textId="7044622F" w:rsidR="00E65D6E" w:rsidRPr="008406F6" w:rsidRDefault="00E65D6E" w:rsidP="008406F6">
      <w:pPr>
        <w:tabs>
          <w:tab w:val="left" w:pos="4962"/>
        </w:tabs>
        <w:contextualSpacing/>
        <w:rPr>
          <w:rFonts w:eastAsia="Calibri" w:cs="Tahoma"/>
          <w:iCs/>
          <w:szCs w:val="22"/>
          <w:lang w:eastAsia="es-ES_tradnl"/>
        </w:rPr>
      </w:pPr>
      <w:r w:rsidRPr="008406F6">
        <w:rPr>
          <w:rFonts w:cs="Tahoma"/>
          <w:bCs/>
          <w:iCs/>
          <w:szCs w:val="22"/>
        </w:rPr>
        <w:t>Actas de entrega-recepción que realizó la extinta Secretaría de Obra Pública y Desarrollo Urbano a:</w:t>
      </w:r>
    </w:p>
    <w:p w14:paraId="2E517346" w14:textId="77777777" w:rsidR="00FF5372" w:rsidRPr="008406F6" w:rsidRDefault="00FF5372" w:rsidP="008406F6">
      <w:pPr>
        <w:tabs>
          <w:tab w:val="left" w:pos="4962"/>
        </w:tabs>
        <w:rPr>
          <w:rFonts w:eastAsiaTheme="minorHAnsi" w:cs="Tahoma"/>
          <w:bCs/>
          <w:iCs/>
          <w:szCs w:val="22"/>
          <w:lang w:eastAsia="en-US"/>
        </w:rPr>
      </w:pPr>
    </w:p>
    <w:p w14:paraId="5392D661" w14:textId="77777777" w:rsidR="00E65D6E" w:rsidRPr="008406F6" w:rsidRDefault="00E65D6E" w:rsidP="008406F6">
      <w:pPr>
        <w:pStyle w:val="Prrafodelista"/>
        <w:tabs>
          <w:tab w:val="left" w:pos="4962"/>
        </w:tabs>
        <w:ind w:left="851"/>
        <w:rPr>
          <w:rFonts w:cs="Tahoma"/>
          <w:bCs/>
          <w:iCs/>
          <w:szCs w:val="22"/>
        </w:rPr>
      </w:pPr>
      <w:r w:rsidRPr="008406F6">
        <w:rPr>
          <w:rFonts w:cs="Tahoma"/>
          <w:bCs/>
          <w:iCs/>
          <w:szCs w:val="22"/>
        </w:rPr>
        <w:t xml:space="preserve">1. Secretaría de Infraestructura: Actas de entrega-recepción correspondientes a todas las obras públicas, proyectos de infraestructura y desarrollo urbano que se encontraban bajo la competencia de la extinta Secretaría de Obra Pública y Desarrollo Urbano. </w:t>
      </w:r>
    </w:p>
    <w:p w14:paraId="66E3FDF7" w14:textId="4337256C" w:rsidR="00E65D6E" w:rsidRPr="008406F6" w:rsidRDefault="00E65D6E" w:rsidP="008406F6">
      <w:pPr>
        <w:tabs>
          <w:tab w:val="left" w:pos="4962"/>
        </w:tabs>
        <w:ind w:left="851"/>
        <w:rPr>
          <w:rFonts w:eastAsiaTheme="minorHAnsi" w:cs="Tahoma"/>
          <w:bCs/>
          <w:iCs/>
          <w:szCs w:val="22"/>
          <w:lang w:eastAsia="en-US"/>
        </w:rPr>
      </w:pPr>
      <w:r w:rsidRPr="008406F6">
        <w:rPr>
          <w:rFonts w:cs="Tahoma"/>
          <w:bCs/>
          <w:iCs/>
          <w:szCs w:val="22"/>
        </w:rPr>
        <w:t>2. Secretaría del Agua: Actas de entrega-recepción correspondientes a todos los proyectos, programas y obras relacionadas con el manejo, distribución y calidad del agua que eran responsabilidad de la extinta Secretaría de Obra Pública y Desarrollo Urbano.</w:t>
      </w:r>
    </w:p>
    <w:p w14:paraId="3B96276E" w14:textId="77777777" w:rsidR="00E65D6E" w:rsidRPr="008406F6" w:rsidRDefault="00E65D6E" w:rsidP="008406F6">
      <w:pPr>
        <w:tabs>
          <w:tab w:val="left" w:pos="4962"/>
        </w:tabs>
        <w:rPr>
          <w:rFonts w:eastAsiaTheme="minorHAnsi" w:cs="Tahoma"/>
          <w:bCs/>
          <w:iCs/>
          <w:szCs w:val="22"/>
          <w:lang w:eastAsia="en-US"/>
        </w:rPr>
      </w:pPr>
    </w:p>
    <w:p w14:paraId="1CED052A" w14:textId="5F1A1079" w:rsidR="00664420" w:rsidRPr="008406F6" w:rsidRDefault="00664420" w:rsidP="008406F6">
      <w:pPr>
        <w:tabs>
          <w:tab w:val="left" w:pos="4962"/>
        </w:tabs>
        <w:rPr>
          <w:rFonts w:eastAsiaTheme="minorHAnsi" w:cs="Tahoma"/>
          <w:bCs/>
          <w:iCs/>
          <w:szCs w:val="22"/>
          <w:lang w:eastAsia="en-US"/>
        </w:rPr>
      </w:pPr>
      <w:r w:rsidRPr="008406F6">
        <w:rPr>
          <w:rFonts w:eastAsiaTheme="minorHAnsi" w:cs="Tahoma"/>
          <w:bCs/>
          <w:iCs/>
          <w:szCs w:val="22"/>
          <w:lang w:eastAsia="en-US"/>
        </w:rPr>
        <w:t xml:space="preserve">En respuesta, </w:t>
      </w:r>
      <w:r w:rsidR="005D5A50" w:rsidRPr="008406F6">
        <w:rPr>
          <w:rFonts w:eastAsiaTheme="minorHAnsi" w:cs="Tahoma"/>
          <w:b/>
          <w:iCs/>
          <w:szCs w:val="22"/>
          <w:lang w:eastAsia="en-US"/>
        </w:rPr>
        <w:t>EL SUJETO OBLIGADO</w:t>
      </w:r>
      <w:r w:rsidRPr="008406F6">
        <w:rPr>
          <w:rFonts w:eastAsiaTheme="minorHAnsi" w:cs="Tahoma"/>
          <w:bCs/>
          <w:iCs/>
          <w:szCs w:val="22"/>
          <w:lang w:eastAsia="en-US"/>
        </w:rPr>
        <w:t xml:space="preserve"> se pronunció por conducto de </w:t>
      </w:r>
      <w:r w:rsidR="009D3B74" w:rsidRPr="008406F6">
        <w:rPr>
          <w:rFonts w:cs="Tahoma"/>
          <w:bCs/>
          <w:szCs w:val="22"/>
          <w:lang w:val="es-ES"/>
        </w:rPr>
        <w:t xml:space="preserve">la </w:t>
      </w:r>
      <w:r w:rsidR="00FF5372" w:rsidRPr="008406F6">
        <w:rPr>
          <w:rFonts w:cs="Tahoma"/>
          <w:bCs/>
          <w:szCs w:val="22"/>
          <w:lang w:val="es-ES"/>
        </w:rPr>
        <w:t>Titular</w:t>
      </w:r>
      <w:r w:rsidR="00390220" w:rsidRPr="008406F6">
        <w:rPr>
          <w:rFonts w:cs="Tahoma"/>
          <w:bCs/>
          <w:szCs w:val="22"/>
          <w:lang w:val="es-ES"/>
        </w:rPr>
        <w:t xml:space="preserve"> de la Unidad de Transparencia mismo que medularmente manifestó la incompetencia para dar atención a los requerimientos inmersos en las solicitudes de información</w:t>
      </w:r>
      <w:r w:rsidR="009D3B74" w:rsidRPr="008406F6">
        <w:rPr>
          <w:rFonts w:eastAsiaTheme="minorHAnsi" w:cs="Tahoma"/>
          <w:bCs/>
          <w:iCs/>
          <w:szCs w:val="22"/>
          <w:lang w:eastAsia="en-US"/>
        </w:rPr>
        <w:t>.</w:t>
      </w:r>
      <w:r w:rsidR="00CF7586" w:rsidRPr="008406F6">
        <w:rPr>
          <w:rFonts w:eastAsiaTheme="minorHAnsi" w:cs="Tahoma"/>
          <w:bCs/>
          <w:iCs/>
          <w:szCs w:val="22"/>
          <w:lang w:eastAsia="en-US"/>
        </w:rPr>
        <w:t xml:space="preserve"> </w:t>
      </w:r>
    </w:p>
    <w:p w14:paraId="4BEBD880" w14:textId="77777777" w:rsidR="00664420" w:rsidRPr="008406F6" w:rsidRDefault="00664420" w:rsidP="008406F6">
      <w:pPr>
        <w:tabs>
          <w:tab w:val="left" w:pos="4962"/>
        </w:tabs>
        <w:contextualSpacing/>
        <w:rPr>
          <w:rFonts w:eastAsiaTheme="minorHAnsi" w:cs="Tahoma"/>
          <w:bCs/>
          <w:iCs/>
          <w:szCs w:val="22"/>
          <w:lang w:eastAsia="en-US"/>
        </w:rPr>
      </w:pPr>
    </w:p>
    <w:p w14:paraId="31DD81D7" w14:textId="79BB88D9" w:rsidR="00664420" w:rsidRPr="008406F6" w:rsidRDefault="00390220" w:rsidP="008406F6">
      <w:pPr>
        <w:tabs>
          <w:tab w:val="left" w:pos="4962"/>
        </w:tabs>
        <w:contextualSpacing/>
        <w:rPr>
          <w:rFonts w:eastAsiaTheme="minorHAnsi" w:cs="Tahoma"/>
          <w:bCs/>
          <w:iCs/>
          <w:szCs w:val="22"/>
          <w:lang w:eastAsia="en-US"/>
        </w:rPr>
      </w:pPr>
      <w:r w:rsidRPr="008406F6">
        <w:rPr>
          <w:rFonts w:eastAsiaTheme="minorHAnsi" w:cs="Tahoma"/>
          <w:bCs/>
          <w:iCs/>
          <w:szCs w:val="22"/>
          <w:lang w:eastAsia="en-US"/>
        </w:rPr>
        <w:t xml:space="preserve">Ahora bien, en la interposición del presente recurso </w:t>
      </w:r>
      <w:r w:rsidRPr="008406F6">
        <w:rPr>
          <w:rFonts w:eastAsiaTheme="minorHAnsi" w:cs="Tahoma"/>
          <w:b/>
          <w:iCs/>
          <w:szCs w:val="22"/>
          <w:lang w:eastAsia="en-US"/>
        </w:rPr>
        <w:t>LA PARTE RECURRENTE</w:t>
      </w:r>
      <w:r w:rsidRPr="008406F6">
        <w:rPr>
          <w:rFonts w:eastAsiaTheme="minorHAnsi" w:cs="Tahoma"/>
          <w:bCs/>
          <w:iCs/>
          <w:szCs w:val="22"/>
          <w:lang w:eastAsia="en-US"/>
        </w:rPr>
        <w:t xml:space="preserve"> se inconformó respecto de la negativa del </w:t>
      </w:r>
      <w:r w:rsidRPr="008406F6">
        <w:rPr>
          <w:rFonts w:eastAsiaTheme="minorHAnsi" w:cs="Tahoma"/>
          <w:b/>
          <w:bCs/>
          <w:iCs/>
          <w:szCs w:val="22"/>
          <w:lang w:eastAsia="en-US"/>
        </w:rPr>
        <w:t xml:space="preserve">SUJETO OBLIGADO </w:t>
      </w:r>
      <w:r w:rsidRPr="008406F6">
        <w:rPr>
          <w:rFonts w:eastAsiaTheme="minorHAnsi" w:cs="Tahoma"/>
          <w:bCs/>
          <w:iCs/>
          <w:szCs w:val="22"/>
          <w:lang w:eastAsia="en-US"/>
        </w:rPr>
        <w:t>de proporcionar lo solicitado</w:t>
      </w:r>
      <w:r w:rsidR="009D3B74" w:rsidRPr="008406F6">
        <w:rPr>
          <w:rFonts w:eastAsiaTheme="minorHAnsi" w:cs="Tahoma"/>
          <w:bCs/>
          <w:iCs/>
          <w:szCs w:val="22"/>
          <w:lang w:eastAsia="en-US"/>
        </w:rPr>
        <w:t>.</w:t>
      </w:r>
    </w:p>
    <w:p w14:paraId="0D74C3A2" w14:textId="77777777" w:rsidR="00390220" w:rsidRPr="008406F6" w:rsidRDefault="00390220" w:rsidP="008406F6">
      <w:pPr>
        <w:tabs>
          <w:tab w:val="left" w:pos="4962"/>
        </w:tabs>
        <w:contextualSpacing/>
        <w:rPr>
          <w:rFonts w:eastAsiaTheme="minorHAnsi" w:cs="Tahoma"/>
          <w:bCs/>
          <w:iCs/>
          <w:szCs w:val="22"/>
          <w:lang w:eastAsia="en-US"/>
        </w:rPr>
      </w:pPr>
    </w:p>
    <w:p w14:paraId="5381D380" w14:textId="0CDCCF23" w:rsidR="00390220" w:rsidRPr="008406F6" w:rsidRDefault="00390220" w:rsidP="008406F6">
      <w:pPr>
        <w:tabs>
          <w:tab w:val="left" w:pos="4962"/>
        </w:tabs>
        <w:contextualSpacing/>
        <w:rPr>
          <w:rFonts w:cs="Arial"/>
        </w:rPr>
      </w:pPr>
      <w:r w:rsidRPr="008406F6">
        <w:rPr>
          <w:szCs w:val="22"/>
          <w:lang w:val="es-ES"/>
        </w:rPr>
        <w:lastRenderedPageBreak/>
        <w:t xml:space="preserve">Abierta la etapa de instrucción, </w:t>
      </w:r>
      <w:r w:rsidRPr="008406F6">
        <w:rPr>
          <w:b/>
          <w:szCs w:val="22"/>
          <w:lang w:val="es-ES"/>
        </w:rPr>
        <w:t>EL SUJETO OBLIGADO</w:t>
      </w:r>
      <w:r w:rsidRPr="008406F6">
        <w:rPr>
          <w:szCs w:val="22"/>
          <w:lang w:val="es-ES"/>
        </w:rPr>
        <w:t xml:space="preserve"> rindió su Informe Justificado el cual es acompañado por el documento digital en donde se encuentran las actas de entrega y recepción </w:t>
      </w:r>
      <w:r w:rsidRPr="008406F6">
        <w:rPr>
          <w:rFonts w:cs="Arial"/>
        </w:rPr>
        <w:t>en versión pública del Titular del Órgano Interno de Control de la Secretaría de Obra pública y Desarrollo Urbano, así como del Titular del Órgano Interno de Control de la Comisión del Agua del Estado de México.</w:t>
      </w:r>
    </w:p>
    <w:p w14:paraId="0E032D36" w14:textId="77777777" w:rsidR="00390220" w:rsidRPr="008406F6" w:rsidRDefault="00390220" w:rsidP="008406F6">
      <w:pPr>
        <w:tabs>
          <w:tab w:val="left" w:pos="4962"/>
        </w:tabs>
        <w:contextualSpacing/>
        <w:rPr>
          <w:rFonts w:cs="Arial"/>
        </w:rPr>
      </w:pPr>
    </w:p>
    <w:p w14:paraId="2AEA2CA3" w14:textId="20A4363B" w:rsidR="00390220" w:rsidRPr="008406F6" w:rsidRDefault="00390220" w:rsidP="008406F6">
      <w:pPr>
        <w:tabs>
          <w:tab w:val="left" w:pos="4962"/>
        </w:tabs>
        <w:contextualSpacing/>
        <w:rPr>
          <w:rFonts w:eastAsia="Palatino Linotype" w:cs="Palatino Linotype"/>
          <w:b/>
          <w:szCs w:val="22"/>
        </w:rPr>
      </w:pPr>
      <w:r w:rsidRPr="008406F6">
        <w:rPr>
          <w:rFonts w:eastAsia="Palatino Linotype" w:cs="Palatino Linotype"/>
          <w:szCs w:val="22"/>
        </w:rPr>
        <w:t xml:space="preserve">Bajo las premisas anteriores, se concluye que la controversia a dilucidar en el presente medio de impugnación será </w:t>
      </w:r>
      <w:r w:rsidRPr="008406F6">
        <w:rPr>
          <w:rFonts w:eastAsia="Palatino Linotype" w:cs="Palatino Linotype"/>
          <w:b/>
          <w:szCs w:val="22"/>
        </w:rPr>
        <w:t xml:space="preserve">verificar si la información proporcionada en respuesta e informe justificado por EL SUJETO OBLIGADO es adecuada y suficiente para satisfacer el derecho de acceso a la información pública </w:t>
      </w:r>
      <w:r w:rsidRPr="008406F6">
        <w:rPr>
          <w:rFonts w:eastAsia="Palatino Linotype" w:cs="Palatino Linotype"/>
          <w:szCs w:val="22"/>
        </w:rPr>
        <w:t xml:space="preserve">de </w:t>
      </w:r>
      <w:r w:rsidRPr="008406F6">
        <w:rPr>
          <w:rFonts w:eastAsia="Palatino Linotype" w:cs="Palatino Linotype"/>
          <w:b/>
          <w:szCs w:val="22"/>
        </w:rPr>
        <w:t>LA PARTE RECURRENTE.</w:t>
      </w:r>
    </w:p>
    <w:p w14:paraId="42FA6D40" w14:textId="77777777" w:rsidR="009D3B74" w:rsidRPr="008406F6" w:rsidRDefault="009D3B74" w:rsidP="008406F6">
      <w:pPr>
        <w:tabs>
          <w:tab w:val="left" w:pos="4962"/>
        </w:tabs>
        <w:contextualSpacing/>
        <w:rPr>
          <w:rFonts w:eastAsiaTheme="minorHAnsi" w:cs="Tahoma"/>
          <w:bCs/>
          <w:iCs/>
          <w:szCs w:val="22"/>
          <w:lang w:eastAsia="en-US"/>
        </w:rPr>
      </w:pPr>
    </w:p>
    <w:p w14:paraId="414FD2D5" w14:textId="4408E416" w:rsidR="00664420" w:rsidRPr="008406F6" w:rsidRDefault="00A21A20" w:rsidP="008406F6">
      <w:pPr>
        <w:pStyle w:val="Ttulo3"/>
      </w:pPr>
      <w:bookmarkStart w:id="31" w:name="_Toc181264991"/>
      <w:r w:rsidRPr="008406F6">
        <w:t>c)</w:t>
      </w:r>
      <w:r w:rsidR="00664420" w:rsidRPr="008406F6">
        <w:t xml:space="preserve"> </w:t>
      </w:r>
      <w:r w:rsidRPr="008406F6">
        <w:t>Estudio de la controversia</w:t>
      </w:r>
      <w:bookmarkEnd w:id="31"/>
    </w:p>
    <w:p w14:paraId="76725E85" w14:textId="6F24E7D4" w:rsidR="00335CDF" w:rsidRPr="008406F6" w:rsidRDefault="00390220" w:rsidP="008406F6">
      <w:pPr>
        <w:contextualSpacing/>
        <w:rPr>
          <w:rFonts w:eastAsia="Palatino Linotype" w:cs="Palatino Linotype"/>
          <w:szCs w:val="22"/>
          <w:lang w:val="es-ES"/>
        </w:rPr>
      </w:pPr>
      <w:r w:rsidRPr="008406F6">
        <w:rPr>
          <w:rFonts w:eastAsia="Palatino Linotype" w:cs="Palatino Linotype"/>
          <w:szCs w:val="22"/>
          <w:lang w:val="es-ES"/>
        </w:rPr>
        <w:t xml:space="preserve">Por principio es importante enfatizar que el Derecho de Acceso a la Información Pública consiste en que la </w:t>
      </w:r>
      <w:r w:rsidRPr="008406F6">
        <w:rPr>
          <w:rFonts w:eastAsia="Palatino Linotype" w:cs="Palatino Linotype"/>
          <w:b/>
          <w:szCs w:val="22"/>
          <w:u w:val="single"/>
          <w:lang w:val="es-ES"/>
        </w:rPr>
        <w:t>información solicitada conste en un soporte documental</w:t>
      </w:r>
      <w:r w:rsidRPr="008406F6">
        <w:rPr>
          <w:rFonts w:eastAsia="Palatino Linotype" w:cs="Palatino Linotype"/>
          <w:szCs w:val="22"/>
          <w:lang w:val="es-ES"/>
        </w:rPr>
        <w:t xml:space="preserve"> en cualquiera de sus formas, a saber: expedientes, reportes, estudios, actas</w:t>
      </w:r>
      <w:r w:rsidRPr="008406F6">
        <w:rPr>
          <w:rFonts w:eastAsia="Palatino Linotype" w:cs="Palatino Linotype"/>
          <w:b/>
          <w:szCs w:val="22"/>
          <w:lang w:val="es-ES"/>
        </w:rPr>
        <w:t>,</w:t>
      </w:r>
      <w:r w:rsidRPr="008406F6">
        <w:rPr>
          <w:rFonts w:eastAsia="Palatino Linotype" w:cs="Palatino Linotype"/>
          <w:szCs w:val="22"/>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75DEA1FB" w14:textId="77777777" w:rsidR="00390220" w:rsidRPr="008406F6" w:rsidRDefault="00390220" w:rsidP="008406F6">
      <w:pPr>
        <w:contextualSpacing/>
        <w:rPr>
          <w:rFonts w:eastAsia="Palatino Linotype" w:cs="Palatino Linotype"/>
          <w:szCs w:val="22"/>
          <w:lang w:val="es-ES"/>
        </w:rPr>
      </w:pPr>
    </w:p>
    <w:p w14:paraId="74E29633" w14:textId="77777777" w:rsidR="00390220" w:rsidRPr="008406F6" w:rsidRDefault="00390220" w:rsidP="008406F6">
      <w:pPr>
        <w:pStyle w:val="Puesto"/>
        <w:ind w:left="851" w:right="822"/>
        <w:rPr>
          <w:rFonts w:eastAsia="Palatino Linotype"/>
          <w:szCs w:val="22"/>
          <w:lang w:val="es-ES"/>
        </w:rPr>
      </w:pPr>
      <w:r w:rsidRPr="008406F6">
        <w:rPr>
          <w:rFonts w:eastAsia="Palatino Linotype"/>
          <w:szCs w:val="22"/>
          <w:lang w:val="es-ES"/>
        </w:rPr>
        <w:t>“</w:t>
      </w:r>
      <w:r w:rsidRPr="008406F6">
        <w:rPr>
          <w:rFonts w:eastAsia="Palatino Linotype"/>
          <w:b/>
          <w:szCs w:val="22"/>
          <w:lang w:val="es-ES"/>
        </w:rPr>
        <w:t xml:space="preserve">Artículo 3. </w:t>
      </w:r>
      <w:r w:rsidRPr="008406F6">
        <w:rPr>
          <w:rFonts w:eastAsia="Palatino Linotype"/>
          <w:szCs w:val="22"/>
          <w:lang w:val="es-ES"/>
        </w:rPr>
        <w:t>Para los efectos de la presente Ley se entenderá por:</w:t>
      </w:r>
    </w:p>
    <w:p w14:paraId="33A92833" w14:textId="77777777" w:rsidR="00390220" w:rsidRPr="008406F6" w:rsidRDefault="00390220" w:rsidP="008406F6">
      <w:pPr>
        <w:pStyle w:val="Puesto"/>
        <w:ind w:left="851" w:right="822"/>
        <w:rPr>
          <w:rFonts w:eastAsia="Palatino Linotype"/>
          <w:szCs w:val="22"/>
          <w:lang w:val="es-ES"/>
        </w:rPr>
      </w:pPr>
      <w:r w:rsidRPr="008406F6">
        <w:rPr>
          <w:rFonts w:eastAsia="Palatino Linotype"/>
          <w:szCs w:val="22"/>
          <w:lang w:val="es-ES"/>
        </w:rPr>
        <w:t>…</w:t>
      </w:r>
    </w:p>
    <w:p w14:paraId="77003000" w14:textId="7B780829" w:rsidR="00390220" w:rsidRPr="008406F6" w:rsidRDefault="00390220" w:rsidP="008406F6">
      <w:pPr>
        <w:spacing w:line="240" w:lineRule="auto"/>
        <w:ind w:left="851" w:right="822"/>
        <w:contextualSpacing/>
        <w:rPr>
          <w:rFonts w:eastAsia="Calibri" w:cs="Tahoma"/>
          <w:b/>
          <w:bCs/>
          <w:szCs w:val="22"/>
        </w:rPr>
      </w:pPr>
      <w:r w:rsidRPr="008406F6">
        <w:rPr>
          <w:rFonts w:eastAsia="Palatino Linotype"/>
          <w:b/>
          <w:i/>
          <w:szCs w:val="22"/>
          <w:lang w:val="es-ES"/>
        </w:rPr>
        <w:t>XI. Documento:</w:t>
      </w:r>
      <w:r w:rsidRPr="008406F6">
        <w:rPr>
          <w:rFonts w:eastAsia="Palatino Linotype"/>
          <w:i/>
          <w:szCs w:val="22"/>
          <w:lang w:val="es-ES"/>
        </w:rPr>
        <w:t xml:space="preserve"> Los expedientes, reportes, estudios, actas, resoluciones,</w:t>
      </w:r>
      <w:r w:rsidRPr="008406F6">
        <w:rPr>
          <w:rFonts w:eastAsia="Palatino Linotype"/>
          <w:b/>
          <w:i/>
          <w:szCs w:val="22"/>
          <w:lang w:val="es-ES"/>
        </w:rPr>
        <w:t xml:space="preserve"> </w:t>
      </w:r>
      <w:r w:rsidRPr="008406F6">
        <w:rPr>
          <w:rFonts w:eastAsia="Palatino Linotype"/>
          <w:i/>
          <w:szCs w:val="22"/>
          <w:lang w:val="es-ES"/>
        </w:rPr>
        <w:t xml:space="preserve">oficios, correspondencia, acuerdos, directivas, directrices, circulares, contratos, convenios, </w:t>
      </w:r>
      <w:r w:rsidRPr="008406F6">
        <w:rPr>
          <w:rFonts w:eastAsia="Palatino Linotype"/>
          <w:i/>
          <w:szCs w:val="22"/>
          <w:lang w:val="es-ES"/>
        </w:rPr>
        <w:lastRenderedPageBreak/>
        <w:t>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8406F6">
        <w:rPr>
          <w:rFonts w:eastAsia="Palatino Linotype"/>
          <w:szCs w:val="22"/>
          <w:lang w:val="es-ES"/>
        </w:rPr>
        <w:t>;”</w:t>
      </w:r>
    </w:p>
    <w:p w14:paraId="47E14C9D" w14:textId="77777777" w:rsidR="00390220" w:rsidRPr="008406F6" w:rsidRDefault="00390220" w:rsidP="008406F6">
      <w:pPr>
        <w:contextualSpacing/>
        <w:rPr>
          <w:rFonts w:eastAsia="Calibri" w:cs="Tahoma"/>
          <w:b/>
          <w:bCs/>
          <w:szCs w:val="22"/>
        </w:rPr>
      </w:pPr>
    </w:p>
    <w:p w14:paraId="29450E09" w14:textId="35462FA5" w:rsidR="00390220" w:rsidRPr="008406F6" w:rsidRDefault="00390220" w:rsidP="008406F6">
      <w:pPr>
        <w:contextualSpacing/>
        <w:rPr>
          <w:rFonts w:eastAsia="Palatino Linotype" w:cs="Palatino Linotype"/>
          <w:szCs w:val="22"/>
          <w:lang w:val="es-ES"/>
        </w:rPr>
      </w:pPr>
      <w:r w:rsidRPr="008406F6">
        <w:rPr>
          <w:rFonts w:eastAsia="Palatino Linotype" w:cs="Palatino Linotype"/>
          <w:szCs w:val="22"/>
          <w:lang w:val="es-ES"/>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609EA91A" w14:textId="77777777" w:rsidR="00390220" w:rsidRPr="008406F6" w:rsidRDefault="00390220" w:rsidP="008406F6">
      <w:pPr>
        <w:contextualSpacing/>
        <w:rPr>
          <w:rFonts w:eastAsia="Palatino Linotype" w:cs="Palatino Linotype"/>
          <w:szCs w:val="22"/>
          <w:lang w:val="es-ES"/>
        </w:rPr>
      </w:pPr>
    </w:p>
    <w:p w14:paraId="2ED526F1" w14:textId="77777777" w:rsidR="00390220" w:rsidRPr="008406F6" w:rsidRDefault="00390220" w:rsidP="008406F6">
      <w:pPr>
        <w:pStyle w:val="Puesto"/>
        <w:ind w:left="851" w:right="822"/>
        <w:jc w:val="center"/>
        <w:rPr>
          <w:rFonts w:eastAsia="Palatino Linotype"/>
          <w:b/>
          <w:bCs/>
          <w:szCs w:val="22"/>
          <w:lang w:val="es-ES"/>
        </w:rPr>
      </w:pPr>
      <w:r w:rsidRPr="008406F6">
        <w:rPr>
          <w:rFonts w:eastAsia="Palatino Linotype"/>
          <w:szCs w:val="22"/>
          <w:lang w:val="es-ES"/>
        </w:rPr>
        <w:t>“</w:t>
      </w:r>
      <w:r w:rsidRPr="008406F6">
        <w:rPr>
          <w:rFonts w:eastAsia="Palatino Linotype"/>
          <w:b/>
          <w:bCs/>
          <w:szCs w:val="22"/>
          <w:lang w:val="es-ES"/>
        </w:rPr>
        <w:t>CRITERIO 0002-11</w:t>
      </w:r>
    </w:p>
    <w:p w14:paraId="4243BBF3" w14:textId="77777777" w:rsidR="00390220" w:rsidRPr="008406F6" w:rsidRDefault="00390220" w:rsidP="008406F6">
      <w:pPr>
        <w:pStyle w:val="Puesto"/>
        <w:ind w:left="851" w:right="822"/>
        <w:rPr>
          <w:rFonts w:eastAsia="Palatino Linotype"/>
          <w:szCs w:val="22"/>
          <w:lang w:val="es-ES"/>
        </w:rPr>
      </w:pPr>
      <w:r w:rsidRPr="008406F6">
        <w:rPr>
          <w:rFonts w:eastAsia="Palatino Linotype"/>
          <w:b/>
          <w:bCs/>
          <w:szCs w:val="22"/>
          <w:u w:val="single"/>
          <w:lang w:val="es-ES"/>
        </w:rPr>
        <w:t>INFORMACIÓN PÚBLICA, CONCEPTO DE, EN MATERIA DE TRANSPARENCIA. INTERPRETACIÓN SISTEMÁTICA DE LOS ARTÍCULOS 2°, FRACCIÓN V, XV, Y XVI, 3°, 4°, 11 Y 41.</w:t>
      </w:r>
      <w:r w:rsidRPr="008406F6">
        <w:rPr>
          <w:rFonts w:eastAsia="Palatino Linotype"/>
          <w:szCs w:val="22"/>
          <w:lang w:val="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B8E2F4C" w14:textId="77777777" w:rsidR="00390220" w:rsidRPr="008406F6" w:rsidRDefault="00390220" w:rsidP="008406F6">
      <w:pPr>
        <w:pStyle w:val="Puesto"/>
        <w:ind w:left="851" w:right="822"/>
        <w:rPr>
          <w:rFonts w:eastAsia="Palatino Linotype"/>
          <w:szCs w:val="22"/>
          <w:lang w:val="es-ES"/>
        </w:rPr>
      </w:pPr>
      <w:r w:rsidRPr="008406F6">
        <w:rPr>
          <w:rFonts w:eastAsia="Palatino Linotype"/>
          <w:szCs w:val="22"/>
          <w:lang w:val="es-ES"/>
        </w:rPr>
        <w:t>En consecuencia el acceso a la información se refiere a que se cumplan cualquiera de los siguientes tres supuestos:</w:t>
      </w:r>
    </w:p>
    <w:p w14:paraId="58B93E2A" w14:textId="77777777" w:rsidR="00390220" w:rsidRPr="008406F6" w:rsidRDefault="00390220" w:rsidP="008406F6">
      <w:pPr>
        <w:pStyle w:val="Puesto"/>
        <w:ind w:left="851" w:right="822"/>
        <w:rPr>
          <w:rFonts w:eastAsia="Palatino Linotype"/>
          <w:szCs w:val="22"/>
          <w:lang w:val="es-ES"/>
        </w:rPr>
      </w:pPr>
      <w:r w:rsidRPr="008406F6">
        <w:rPr>
          <w:rFonts w:eastAsia="Palatino Linotype"/>
          <w:szCs w:val="22"/>
          <w:lang w:val="es-ES"/>
        </w:rPr>
        <w:t xml:space="preserve">1) Que se trate de información </w:t>
      </w:r>
      <w:r w:rsidRPr="008406F6">
        <w:rPr>
          <w:rFonts w:eastAsia="Palatino Linotype"/>
          <w:szCs w:val="22"/>
          <w:u w:val="single"/>
          <w:lang w:val="es-ES"/>
        </w:rPr>
        <w:t>registrada en cualquier soporte documental</w:t>
      </w:r>
      <w:r w:rsidRPr="008406F6">
        <w:rPr>
          <w:rFonts w:eastAsia="Palatino Linotype"/>
          <w:szCs w:val="22"/>
          <w:lang w:val="es-ES"/>
        </w:rPr>
        <w:t>, que en ejercicio de las atribuciones conferidas, sea generada por los Sujetos Obligados;</w:t>
      </w:r>
    </w:p>
    <w:p w14:paraId="5592BD01" w14:textId="77777777" w:rsidR="00390220" w:rsidRPr="008406F6" w:rsidRDefault="00390220" w:rsidP="008406F6">
      <w:pPr>
        <w:pStyle w:val="Puesto"/>
        <w:ind w:left="851" w:right="822"/>
        <w:rPr>
          <w:rFonts w:eastAsia="Palatino Linotype"/>
          <w:szCs w:val="22"/>
          <w:lang w:val="es-ES"/>
        </w:rPr>
      </w:pPr>
      <w:r w:rsidRPr="008406F6">
        <w:rPr>
          <w:rFonts w:eastAsia="Palatino Linotype"/>
          <w:szCs w:val="22"/>
          <w:lang w:val="es-ES"/>
        </w:rPr>
        <w:t xml:space="preserve">2) Que se trate de información </w:t>
      </w:r>
      <w:r w:rsidRPr="008406F6">
        <w:rPr>
          <w:rFonts w:eastAsia="Palatino Linotype"/>
          <w:szCs w:val="22"/>
          <w:u w:val="single"/>
          <w:lang w:val="es-ES"/>
        </w:rPr>
        <w:t>registrada en cualquier soporte documental</w:t>
      </w:r>
      <w:r w:rsidRPr="008406F6">
        <w:rPr>
          <w:rFonts w:eastAsia="Palatino Linotype"/>
          <w:szCs w:val="22"/>
          <w:lang w:val="es-ES"/>
        </w:rPr>
        <w:t>, que en ejercicio de las atribuciones conferidas, sea administrada por los Sujetos Obligados, y</w:t>
      </w:r>
    </w:p>
    <w:p w14:paraId="41CA3452" w14:textId="7969B0D8" w:rsidR="00390220" w:rsidRPr="008406F6" w:rsidRDefault="00390220" w:rsidP="008406F6">
      <w:pPr>
        <w:spacing w:line="240" w:lineRule="auto"/>
        <w:ind w:left="851" w:right="822"/>
        <w:contextualSpacing/>
        <w:rPr>
          <w:rFonts w:eastAsia="Calibri" w:cs="Tahoma"/>
          <w:b/>
          <w:bCs/>
          <w:szCs w:val="22"/>
        </w:rPr>
      </w:pPr>
      <w:r w:rsidRPr="008406F6">
        <w:rPr>
          <w:rFonts w:eastAsia="Palatino Linotype"/>
          <w:i/>
          <w:szCs w:val="22"/>
          <w:lang w:val="es-ES"/>
        </w:rPr>
        <w:t xml:space="preserve">3) Que se trate de información </w:t>
      </w:r>
      <w:r w:rsidRPr="008406F6">
        <w:rPr>
          <w:rFonts w:eastAsia="Palatino Linotype"/>
          <w:i/>
          <w:szCs w:val="22"/>
          <w:u w:val="single"/>
          <w:lang w:val="es-ES"/>
        </w:rPr>
        <w:t>registrada en cualquier soporte documental</w:t>
      </w:r>
      <w:r w:rsidRPr="008406F6">
        <w:rPr>
          <w:rFonts w:eastAsia="Palatino Linotype"/>
          <w:i/>
          <w:szCs w:val="22"/>
          <w:lang w:val="es-ES"/>
        </w:rPr>
        <w:t>, que en ejercicio de las atribuciones conferidas, se encuentre en posesión de los Sujetos Obligados.” (Sic)</w:t>
      </w:r>
    </w:p>
    <w:p w14:paraId="69F8EA68" w14:textId="77777777" w:rsidR="00390220" w:rsidRPr="008406F6" w:rsidRDefault="00390220" w:rsidP="008406F6">
      <w:pPr>
        <w:contextualSpacing/>
        <w:rPr>
          <w:rFonts w:eastAsia="Calibri" w:cs="Tahoma"/>
          <w:b/>
          <w:bCs/>
          <w:szCs w:val="22"/>
        </w:rPr>
      </w:pPr>
    </w:p>
    <w:p w14:paraId="3AF59D7E" w14:textId="61DDA8DA" w:rsidR="00390220" w:rsidRPr="008406F6" w:rsidRDefault="00390220" w:rsidP="008406F6">
      <w:pPr>
        <w:contextualSpacing/>
        <w:rPr>
          <w:rFonts w:eastAsia="Palatino Linotype" w:cs="Palatino Linotype"/>
          <w:szCs w:val="22"/>
          <w:lang w:val="es-ES"/>
        </w:rPr>
      </w:pPr>
      <w:r w:rsidRPr="008406F6">
        <w:rPr>
          <w:rFonts w:eastAsia="Palatino Linotype" w:cs="Palatino Linotype"/>
          <w:szCs w:val="22"/>
          <w:lang w:val="es-ES"/>
        </w:rPr>
        <w:lastRenderedPageBreak/>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8406F6">
        <w:rPr>
          <w:rFonts w:eastAsia="Palatino Linotype" w:cs="Palatino Linotype"/>
          <w:b/>
          <w:szCs w:val="22"/>
          <w:lang w:val="es-ES"/>
        </w:rPr>
        <w:t>EL SUJETO OBLIGADO</w:t>
      </w:r>
      <w:r w:rsidRPr="008406F6">
        <w:rPr>
          <w:rFonts w:eastAsia="Palatino Linotype" w:cs="Palatino Linotype"/>
          <w:szCs w:val="22"/>
          <w:lang w:val="es-ES"/>
        </w:rPr>
        <w:t xml:space="preserve"> la generó o porque como parte del ejercicio de sus funciones la recibió y por consiguiente, la administra y posee.</w:t>
      </w:r>
    </w:p>
    <w:p w14:paraId="0FA3943B" w14:textId="77777777" w:rsidR="00390220" w:rsidRPr="008406F6" w:rsidRDefault="00390220" w:rsidP="008406F6">
      <w:pPr>
        <w:contextualSpacing/>
        <w:rPr>
          <w:rFonts w:eastAsia="Palatino Linotype" w:cs="Palatino Linotype"/>
          <w:szCs w:val="22"/>
          <w:lang w:val="es-ES"/>
        </w:rPr>
      </w:pPr>
    </w:p>
    <w:p w14:paraId="117A5787" w14:textId="2C89D578" w:rsidR="00390220" w:rsidRPr="008406F6" w:rsidRDefault="00390220" w:rsidP="008406F6">
      <w:pPr>
        <w:contextualSpacing/>
        <w:rPr>
          <w:rFonts w:eastAsia="Palatino Linotype" w:cs="Palatino Linotype"/>
          <w:szCs w:val="22"/>
        </w:rPr>
      </w:pPr>
      <w:r w:rsidRPr="008406F6">
        <w:rPr>
          <w:rFonts w:eastAsia="Palatino Linotype" w:cs="Palatino Linotype"/>
          <w:szCs w:val="22"/>
        </w:rPr>
        <w:t>Situación por la cual nos lleva a recordar que el artículo 12 de la Ley de Transparencia y Acceso a la Información Pública del Estado de México y Municipios, establece que los sujetos obligados únicamente están exigidos a entregar los documentos que obren en sus archivos en el estado en que estos se encuentren, lo que no comprende entregar la información conforme al interés del solicitante.</w:t>
      </w:r>
    </w:p>
    <w:p w14:paraId="3ECF395B" w14:textId="77777777" w:rsidR="00390220" w:rsidRPr="008406F6" w:rsidRDefault="00390220" w:rsidP="008406F6">
      <w:pPr>
        <w:contextualSpacing/>
        <w:rPr>
          <w:rFonts w:eastAsia="Palatino Linotype" w:cs="Palatino Linotype"/>
          <w:szCs w:val="22"/>
        </w:rPr>
      </w:pPr>
    </w:p>
    <w:p w14:paraId="261DCF1C" w14:textId="77777777" w:rsidR="00390220" w:rsidRPr="008406F6" w:rsidRDefault="00390220" w:rsidP="008406F6">
      <w:pPr>
        <w:rPr>
          <w:rFonts w:eastAsia="Palatino Linotype" w:cs="Palatino Linotype"/>
          <w:szCs w:val="22"/>
        </w:rPr>
      </w:pPr>
      <w:r w:rsidRPr="008406F6">
        <w:rPr>
          <w:rFonts w:eastAsia="Palatino Linotype" w:cs="Palatino Linotype"/>
          <w:szCs w:val="22"/>
        </w:rPr>
        <w:t xml:space="preserve">Robustece lo anterior, el Criterio 03/17 emitido por el Instituto Nacional de Transparencia, Acceso a la Información y Protección de Datos Personales, el cual establece lo siguiente: </w:t>
      </w:r>
    </w:p>
    <w:p w14:paraId="609F3D83" w14:textId="77777777" w:rsidR="00390220" w:rsidRPr="008406F6" w:rsidRDefault="00390220" w:rsidP="008406F6">
      <w:pPr>
        <w:rPr>
          <w:rFonts w:eastAsia="Palatino Linotype" w:cs="Palatino Linotype"/>
          <w:szCs w:val="22"/>
        </w:rPr>
      </w:pPr>
    </w:p>
    <w:p w14:paraId="2ED82CF4" w14:textId="5807AA59" w:rsidR="00390220" w:rsidRPr="008406F6" w:rsidRDefault="00390220" w:rsidP="008406F6">
      <w:pPr>
        <w:spacing w:line="240" w:lineRule="auto"/>
        <w:ind w:left="851" w:right="822"/>
        <w:contextualSpacing/>
        <w:rPr>
          <w:rFonts w:eastAsia="Calibri" w:cs="Tahoma"/>
          <w:b/>
          <w:bCs/>
          <w:i/>
          <w:szCs w:val="22"/>
        </w:rPr>
      </w:pPr>
      <w:r w:rsidRPr="008406F6">
        <w:rPr>
          <w:rFonts w:eastAsia="Palatino Linotype"/>
          <w:i/>
          <w:szCs w:val="22"/>
        </w:rPr>
        <w:t>“</w:t>
      </w:r>
      <w:r w:rsidRPr="008406F6">
        <w:rPr>
          <w:rFonts w:eastAsia="Palatino Linotype"/>
          <w:b/>
          <w:i/>
          <w:szCs w:val="22"/>
        </w:rPr>
        <w:t xml:space="preserve">No existe obligación de elaborar documentos ad hoc para atender las solicitudes de acceso a la información. </w:t>
      </w:r>
      <w:r w:rsidRPr="008406F6">
        <w:rPr>
          <w:rFonts w:eastAsia="Palatino Linotype"/>
          <w:i/>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4430B6EB" w14:textId="77777777" w:rsidR="00390220" w:rsidRPr="008406F6" w:rsidRDefault="00390220" w:rsidP="008406F6">
      <w:pPr>
        <w:contextualSpacing/>
        <w:rPr>
          <w:rFonts w:eastAsia="Calibri" w:cs="Tahoma"/>
          <w:b/>
          <w:bCs/>
          <w:szCs w:val="22"/>
        </w:rPr>
      </w:pPr>
    </w:p>
    <w:p w14:paraId="57B7C208" w14:textId="10BC021C" w:rsidR="00390220" w:rsidRPr="008406F6" w:rsidRDefault="0008713A" w:rsidP="008406F6">
      <w:pPr>
        <w:contextualSpacing/>
        <w:rPr>
          <w:szCs w:val="22"/>
        </w:rPr>
      </w:pPr>
      <w:r w:rsidRPr="008406F6">
        <w:rPr>
          <w:rFonts w:eastAsia="Calibri" w:cs="Tahoma"/>
          <w:bCs/>
          <w:szCs w:val="22"/>
        </w:rPr>
        <w:t xml:space="preserve">En otro sentido, es necesario precisar que respecto de los elementos establecidos en las solicitudes de información, es posible dilucidar que </w:t>
      </w:r>
      <w:r w:rsidRPr="008406F6">
        <w:rPr>
          <w:rFonts w:eastAsia="Calibri" w:cs="Tahoma"/>
          <w:b/>
          <w:bCs/>
          <w:szCs w:val="22"/>
        </w:rPr>
        <w:t xml:space="preserve">LA PARTE RECURRENTE </w:t>
      </w:r>
      <w:r w:rsidRPr="008406F6">
        <w:rPr>
          <w:rFonts w:eastAsia="Calibri" w:cs="Tahoma"/>
          <w:bCs/>
          <w:szCs w:val="22"/>
        </w:rPr>
        <w:t xml:space="preserve">ha solicitado </w:t>
      </w:r>
      <w:r w:rsidRPr="008406F6">
        <w:rPr>
          <w:szCs w:val="22"/>
        </w:rPr>
        <w:lastRenderedPageBreak/>
        <w:t>las actas de entrega y recepción que la extinta Secretaría de Obra Pública y Desarrollo Urbano realizó a la Secretaría de Infraestructura y</w:t>
      </w:r>
      <w:r w:rsidR="005F2E10" w:rsidRPr="008406F6">
        <w:rPr>
          <w:szCs w:val="22"/>
        </w:rPr>
        <w:t xml:space="preserve"> a</w:t>
      </w:r>
      <w:r w:rsidRPr="008406F6">
        <w:rPr>
          <w:szCs w:val="22"/>
        </w:rPr>
        <w:t xml:space="preserve"> la Secretaría del Agua. </w:t>
      </w:r>
    </w:p>
    <w:p w14:paraId="4CD4F90D" w14:textId="77777777" w:rsidR="0008713A" w:rsidRPr="008406F6" w:rsidRDefault="0008713A" w:rsidP="008406F6">
      <w:pPr>
        <w:contextualSpacing/>
        <w:rPr>
          <w:szCs w:val="22"/>
        </w:rPr>
      </w:pPr>
    </w:p>
    <w:p w14:paraId="21634F20" w14:textId="571F892A" w:rsidR="0008713A" w:rsidRPr="008406F6" w:rsidRDefault="0008713A" w:rsidP="008406F6">
      <w:pPr>
        <w:contextualSpacing/>
        <w:rPr>
          <w:szCs w:val="22"/>
        </w:rPr>
      </w:pPr>
      <w:r w:rsidRPr="008406F6">
        <w:rPr>
          <w:szCs w:val="22"/>
        </w:rPr>
        <w:t>En ese tenor, se trae a contexto el contenido del Decreto Número 191 de la H. “LX” Legislatura del Estado de México, publicado en el Periódico Oficial “Gaceta del Gobierno”, el 29 de septiembre de 2020, por el que se reformaron diversos ordenamientos jurídicos, entre los cuales se encontraba la Ley Orgánica de la Administración Pública del Estado de México, mediante dicho Decreto se creó la Secretaría de Desarrollo Urbano y Obra, integrada por las entonces Secretarías de Desarrollo Urbano y Metropolitano, y de Obra Pública. Es así, como la Secretaría de Desarrollo Urbano y Obra, fue la dependencia encargada del ordenamiento territorial de los asentamientos humanos, de regular el desarrollo urbano de los centros de población y la vivienda y, de coordinar y evaluar en el territorio estatal las acciones y programas orientados al desarrollo armónico y sustentable de las zonas metropolitanas, así como de ejecutar obras públicas de competencia, y de promover y ejecutar las acciones para el desarrollo de infraestructura en la entidad, tal y como se lee, del contenido del artículo 31 de dicha reforma, que es del tenor literal siguiente:</w:t>
      </w:r>
    </w:p>
    <w:p w14:paraId="6FDDEBBE" w14:textId="77777777" w:rsidR="0008713A" w:rsidRPr="008406F6" w:rsidRDefault="0008713A" w:rsidP="008406F6">
      <w:pPr>
        <w:contextualSpacing/>
        <w:rPr>
          <w:szCs w:val="22"/>
        </w:rPr>
      </w:pPr>
    </w:p>
    <w:p w14:paraId="5D885F10" w14:textId="77777777" w:rsidR="0008713A" w:rsidRPr="008406F6" w:rsidRDefault="0008713A" w:rsidP="008406F6">
      <w:pPr>
        <w:pStyle w:val="Puesto"/>
        <w:ind w:left="851"/>
      </w:pPr>
      <w:r w:rsidRPr="008406F6">
        <w:rPr>
          <w:b/>
          <w:bCs/>
        </w:rPr>
        <w:t>Artículo 31</w:t>
      </w:r>
      <w:r w:rsidRPr="008406F6">
        <w:t xml:space="preserve">.- La Secretaría de Desarrollo Urbano y Obra es la dependencia encargada del ordenamiento territorial de los asentamientos humanos, de regular el desarrollo urbano de los centros de población y la vivienda, y de coordinar y evaluar, en el ámbito del territorio estatal, las acciones y programas orientados al desarrollo armónico y sustentable de las zonas metropolitanas, así como de ejecutar obras públicas a su cargo, y de promover y ejecutar las acciones para el desarrollo de infraestructura en la Entidad. </w:t>
      </w:r>
    </w:p>
    <w:p w14:paraId="53B3DDA0" w14:textId="77777777" w:rsidR="0008713A" w:rsidRPr="008406F6" w:rsidRDefault="0008713A" w:rsidP="008406F6">
      <w:pPr>
        <w:pStyle w:val="Puesto"/>
        <w:ind w:left="851"/>
      </w:pPr>
      <w:r w:rsidRPr="008406F6">
        <w:t xml:space="preserve">… </w:t>
      </w:r>
    </w:p>
    <w:p w14:paraId="364A23C9" w14:textId="77777777" w:rsidR="0008713A" w:rsidRPr="008406F6" w:rsidRDefault="0008713A" w:rsidP="008406F6">
      <w:pPr>
        <w:pStyle w:val="Puesto"/>
        <w:ind w:left="851"/>
      </w:pPr>
      <w:r w:rsidRPr="008406F6">
        <w:t xml:space="preserve">I. Formular y conducir las políticas estatales de asentamientos humanos, ordenamiento territorial, desarrollo urbano, vivienda, obras públicas e infraestructura para el desarrollo; </w:t>
      </w:r>
    </w:p>
    <w:p w14:paraId="554B95A2" w14:textId="77777777" w:rsidR="0008713A" w:rsidRPr="008406F6" w:rsidRDefault="0008713A" w:rsidP="008406F6">
      <w:pPr>
        <w:pStyle w:val="Puesto"/>
        <w:ind w:left="851"/>
      </w:pPr>
      <w:r w:rsidRPr="008406F6">
        <w:lastRenderedPageBreak/>
        <w:t>II. Aplicar y vigilar el cumplimiento de las disposiciones legales en materia de ordenamiento territorial de los asentamientos humanos, del desarrollo urbano, vivienda y obra pública; I</w:t>
      </w:r>
    </w:p>
    <w:p w14:paraId="4FB849DB" w14:textId="77777777" w:rsidR="0008713A" w:rsidRPr="008406F6" w:rsidRDefault="0008713A" w:rsidP="008406F6">
      <w:pPr>
        <w:pStyle w:val="Puesto"/>
        <w:ind w:left="851"/>
      </w:pPr>
      <w:r w:rsidRPr="008406F6">
        <w:t xml:space="preserve">II. a VI. … </w:t>
      </w:r>
    </w:p>
    <w:p w14:paraId="6BF646E0" w14:textId="77777777" w:rsidR="0008713A" w:rsidRPr="008406F6" w:rsidRDefault="0008713A" w:rsidP="008406F6">
      <w:pPr>
        <w:pStyle w:val="Puesto"/>
        <w:ind w:left="851"/>
      </w:pPr>
      <w:r w:rsidRPr="008406F6">
        <w:t xml:space="preserve">VII. Vigilar el cumplimiento de las normas técnicas en materia de desarrollo urbano, vivienda y construcciones, así como que la ejecución de la obra pública adjudicada y los servicios relacionados con ésta, se sujeten a las condiciones contratadas; </w:t>
      </w:r>
    </w:p>
    <w:p w14:paraId="6209E3ED" w14:textId="77777777" w:rsidR="0008713A" w:rsidRPr="008406F6" w:rsidRDefault="0008713A" w:rsidP="008406F6">
      <w:pPr>
        <w:pStyle w:val="Puesto"/>
        <w:ind w:left="851"/>
      </w:pPr>
      <w:r w:rsidRPr="008406F6">
        <w:t xml:space="preserve">VIII. Proponer al Ejecutivo del Estado la celebración de convenios en materia de desarrollo urbano, vivienda, obra pública e infraestructura y participar en su ejecución; </w:t>
      </w:r>
    </w:p>
    <w:p w14:paraId="3079F24F" w14:textId="77777777" w:rsidR="0008713A" w:rsidRPr="008406F6" w:rsidRDefault="0008713A" w:rsidP="008406F6">
      <w:pPr>
        <w:pStyle w:val="Puesto"/>
        <w:ind w:left="851"/>
      </w:pPr>
      <w:r w:rsidRPr="008406F6">
        <w:t xml:space="preserve">IX. Promover el financiamiento y la construcción, instalación, conservación, mantenimiento o mejoramiento de obras de urbanización, infraestructura y equipamiento urbano; </w:t>
      </w:r>
    </w:p>
    <w:p w14:paraId="51519A2A" w14:textId="77777777" w:rsidR="0008713A" w:rsidRPr="008406F6" w:rsidRDefault="0008713A" w:rsidP="008406F6">
      <w:pPr>
        <w:pStyle w:val="Puesto"/>
        <w:ind w:left="851"/>
      </w:pPr>
      <w:r w:rsidRPr="008406F6">
        <w:t xml:space="preserve">X. a XII. … </w:t>
      </w:r>
    </w:p>
    <w:p w14:paraId="42941274" w14:textId="77777777" w:rsidR="0008713A" w:rsidRPr="008406F6" w:rsidRDefault="0008713A" w:rsidP="008406F6">
      <w:pPr>
        <w:pStyle w:val="Puesto"/>
        <w:ind w:left="851"/>
      </w:pPr>
      <w:r w:rsidRPr="008406F6">
        <w:t xml:space="preserve">XIII. Emitir autorizaciones para conjuntos urbanos, condominios, subdivisiones, fusiones, </w:t>
      </w:r>
      <w:proofErr w:type="spellStart"/>
      <w:r w:rsidRPr="008406F6">
        <w:t>relotificaciones</w:t>
      </w:r>
      <w:proofErr w:type="spellEnd"/>
      <w:r w:rsidRPr="008406F6">
        <w:t xml:space="preserve"> de predios y demás establecidas en los ordenamientos jurídicos aplicables, así como para el uso y disponibilidad del Agua por Zona o Región para que los municipios otorguen licencias de construcción de vivienda o industria; </w:t>
      </w:r>
    </w:p>
    <w:p w14:paraId="4594B3C6" w14:textId="77777777" w:rsidR="0008713A" w:rsidRPr="008406F6" w:rsidRDefault="0008713A" w:rsidP="008406F6">
      <w:pPr>
        <w:pStyle w:val="Puesto"/>
        <w:ind w:left="851"/>
      </w:pPr>
      <w:r w:rsidRPr="008406F6">
        <w:t xml:space="preserve">XIV. a XVI. … </w:t>
      </w:r>
    </w:p>
    <w:p w14:paraId="74C17F47" w14:textId="77777777" w:rsidR="0008713A" w:rsidRPr="008406F6" w:rsidRDefault="0008713A" w:rsidP="008406F6">
      <w:pPr>
        <w:pStyle w:val="Puesto"/>
        <w:ind w:left="851"/>
      </w:pPr>
      <w:r w:rsidRPr="008406F6">
        <w:t xml:space="preserve">XVII. Impulsar y promover trabajos de introducción de energía eléctrica en áreas urbanas y rurales, así como determinar la apertura o modificación de vías públicas; </w:t>
      </w:r>
    </w:p>
    <w:p w14:paraId="3E3CCA84" w14:textId="77777777" w:rsidR="0008713A" w:rsidRPr="008406F6" w:rsidRDefault="0008713A" w:rsidP="008406F6">
      <w:pPr>
        <w:pStyle w:val="Puesto"/>
        <w:ind w:left="851"/>
      </w:pPr>
      <w:r w:rsidRPr="008406F6">
        <w:t>XVIII</w:t>
      </w:r>
      <w:proofErr w:type="gramStart"/>
      <w:r w:rsidRPr="008406F6">
        <w:t>. …</w:t>
      </w:r>
      <w:proofErr w:type="gramEnd"/>
      <w:r w:rsidRPr="008406F6">
        <w:t xml:space="preserve"> </w:t>
      </w:r>
    </w:p>
    <w:p w14:paraId="3D321061" w14:textId="77777777" w:rsidR="0008713A" w:rsidRPr="008406F6" w:rsidRDefault="0008713A" w:rsidP="008406F6">
      <w:pPr>
        <w:pStyle w:val="Puesto"/>
        <w:ind w:left="851"/>
      </w:pPr>
      <w:r w:rsidRPr="008406F6">
        <w:t xml:space="preserve">XIX. Integrar el Programa General de Obras Públicas del Gobierno del Estado, con la Participación de las dependencias y organismos del Poder Ejecutivo, en congruencia con el Plan Estatal de Desarrollo y la política, objetivos y prioridades que establezca el Gobernador del Estado, y vigilar su ejecución; </w:t>
      </w:r>
    </w:p>
    <w:p w14:paraId="44AB3EB1" w14:textId="77777777" w:rsidR="0008713A" w:rsidRPr="008406F6" w:rsidRDefault="0008713A" w:rsidP="008406F6">
      <w:pPr>
        <w:pStyle w:val="Puesto"/>
        <w:ind w:left="851"/>
      </w:pPr>
      <w:r w:rsidRPr="008406F6">
        <w:t xml:space="preserve">XX. a XXX. … </w:t>
      </w:r>
    </w:p>
    <w:p w14:paraId="7890E3E4" w14:textId="77777777" w:rsidR="0008713A" w:rsidRPr="008406F6" w:rsidRDefault="0008713A" w:rsidP="008406F6">
      <w:pPr>
        <w:pStyle w:val="Puesto"/>
        <w:ind w:left="851"/>
      </w:pPr>
      <w:r w:rsidRPr="008406F6">
        <w:t xml:space="preserve">XXXI. Expedir la evaluación técnica de factibilidad de impacto urbano de conformidad a los ordenamientos jurídicos aplicables y emitir, a través de la Comisión del Agua del Estado de México, la evaluación técnica de factibilidad para la distribución de agua, así como la de agua, drenaje, alcantarillado y tratamiento de aguas residuales; </w:t>
      </w:r>
    </w:p>
    <w:p w14:paraId="698388A1" w14:textId="77777777" w:rsidR="0008713A" w:rsidRPr="008406F6" w:rsidRDefault="0008713A" w:rsidP="008406F6">
      <w:pPr>
        <w:pStyle w:val="Puesto"/>
        <w:ind w:left="851"/>
      </w:pPr>
      <w:r w:rsidRPr="008406F6">
        <w:t xml:space="preserve">XXXII. Promover la reestructura o revocación de concesiones cuando los estudios costo beneficio, financieros o sociales representen un ahorro financiero para el Estado, una mejora sustancial en el otorgamiento del servicio o un riesgo para el otorgamiento del servicio o cumplimiento del objetivo de la concesión. Los estudios referidos podrán ser realizados por instituciones públicas o privadas en términos de las disposiciones jurídicas aplicables; </w:t>
      </w:r>
    </w:p>
    <w:p w14:paraId="761D6A6B" w14:textId="77777777" w:rsidR="0008713A" w:rsidRPr="008406F6" w:rsidRDefault="0008713A" w:rsidP="008406F6">
      <w:pPr>
        <w:pStyle w:val="Puesto"/>
        <w:ind w:left="851"/>
      </w:pPr>
      <w:r w:rsidRPr="008406F6">
        <w:t xml:space="preserve">XXXIII. Dictar las normas generales y ejecutar las obras de reparación, adaptación y demolición de inmuebles propiedad del Gobierno del Estado que le sean asignadas; </w:t>
      </w:r>
    </w:p>
    <w:p w14:paraId="61887438" w14:textId="77777777" w:rsidR="0008713A" w:rsidRPr="008406F6" w:rsidRDefault="0008713A" w:rsidP="008406F6">
      <w:pPr>
        <w:pStyle w:val="Puesto"/>
        <w:ind w:left="851"/>
      </w:pPr>
      <w:r w:rsidRPr="008406F6">
        <w:lastRenderedPageBreak/>
        <w:t xml:space="preserve">XXXIV. Construir, mantener o modificar, en su caso, la obra pública que corresponda al desarrollo y equipamiento urbano y que no competa a otras autoridades; </w:t>
      </w:r>
    </w:p>
    <w:p w14:paraId="4ADF712B" w14:textId="77777777" w:rsidR="0008713A" w:rsidRPr="008406F6" w:rsidRDefault="0008713A" w:rsidP="008406F6">
      <w:pPr>
        <w:pStyle w:val="Puesto"/>
        <w:ind w:left="851"/>
      </w:pPr>
      <w:r w:rsidRPr="008406F6">
        <w:t xml:space="preserve">XXXV. Expedir en coordinación con las dependencias que corresponda, las bases a que deben sujetarse los concursos para la ejecución de las obras a su cargo, así como adjudicarlas, cancelarlas y vigilar el cumplimiento de los contratos que celebre; </w:t>
      </w:r>
    </w:p>
    <w:p w14:paraId="79055CE1" w14:textId="77777777" w:rsidR="0008713A" w:rsidRPr="008406F6" w:rsidRDefault="0008713A" w:rsidP="008406F6">
      <w:pPr>
        <w:pStyle w:val="Puesto"/>
        <w:ind w:left="851"/>
        <w:rPr>
          <w:szCs w:val="22"/>
        </w:rPr>
      </w:pPr>
      <w:r w:rsidRPr="008406F6">
        <w:t>XXXVI. Establecer lineamientos para la realización de estudios y proyectos de construcción de obras públicas;</w:t>
      </w:r>
      <w:r w:rsidRPr="008406F6">
        <w:rPr>
          <w:szCs w:val="22"/>
        </w:rPr>
        <w:t xml:space="preserve"> </w:t>
      </w:r>
    </w:p>
    <w:p w14:paraId="5DC910E8" w14:textId="77777777" w:rsidR="0008713A" w:rsidRPr="008406F6" w:rsidRDefault="0008713A" w:rsidP="008406F6">
      <w:pPr>
        <w:pStyle w:val="Puesto"/>
        <w:ind w:left="851"/>
      </w:pPr>
      <w:r w:rsidRPr="008406F6">
        <w:t xml:space="preserve">XXXVII. </w:t>
      </w:r>
      <w:r w:rsidRPr="008406F6">
        <w:rPr>
          <w:b/>
          <w:bCs/>
        </w:rPr>
        <w:t>Coordinar, formular u operar programas estatales de obras de abastecimiento de agua potable</w:t>
      </w:r>
      <w:r w:rsidRPr="008406F6">
        <w:t xml:space="preserve"> y de servicios de drenaje y alcantarillado y de las demás relacionadas con el desarrollo y equipamiento urbano, que no estén asignadas a otras autoridades; </w:t>
      </w:r>
    </w:p>
    <w:p w14:paraId="059A8726" w14:textId="77777777" w:rsidR="0008713A" w:rsidRPr="008406F6" w:rsidRDefault="0008713A" w:rsidP="008406F6">
      <w:pPr>
        <w:pStyle w:val="Puesto"/>
        <w:ind w:left="851"/>
      </w:pPr>
      <w:r w:rsidRPr="008406F6">
        <w:t xml:space="preserve">XXXVIII. </w:t>
      </w:r>
      <w:r w:rsidRPr="008406F6">
        <w:rPr>
          <w:b/>
          <w:bCs/>
        </w:rPr>
        <w:t>Supervisar la construcción, conservación, mantenimiento, operación y administración de las obras de agua potable</w:t>
      </w:r>
      <w:r w:rsidRPr="008406F6">
        <w:t xml:space="preserve"> y alcantarillado a su cargo; </w:t>
      </w:r>
    </w:p>
    <w:p w14:paraId="143F81BE" w14:textId="77777777" w:rsidR="0008713A" w:rsidRPr="008406F6" w:rsidRDefault="0008713A" w:rsidP="008406F6">
      <w:pPr>
        <w:pStyle w:val="Puesto"/>
        <w:ind w:left="851"/>
      </w:pPr>
      <w:r w:rsidRPr="008406F6">
        <w:t xml:space="preserve">XXXIX. </w:t>
      </w:r>
      <w:r w:rsidRPr="008406F6">
        <w:rPr>
          <w:b/>
          <w:bCs/>
        </w:rPr>
        <w:t>Controlar el inventario de disponibilidad de Agua Potable del Estado</w:t>
      </w:r>
      <w:r w:rsidRPr="008406F6">
        <w:t xml:space="preserve">; </w:t>
      </w:r>
    </w:p>
    <w:p w14:paraId="63610DB1" w14:textId="77777777" w:rsidR="0008713A" w:rsidRPr="008406F6" w:rsidRDefault="0008713A" w:rsidP="008406F6">
      <w:pPr>
        <w:pStyle w:val="Puesto"/>
        <w:ind w:left="851"/>
      </w:pPr>
      <w:r w:rsidRPr="008406F6">
        <w:t xml:space="preserve">XL. Administrar en conjunto con la Secretaría de Finanzas los fideicomisos de infraestructura del Gobierno del Estado de acuerdo con el Plan Anual y Sexenal de Obras; </w:t>
      </w:r>
    </w:p>
    <w:p w14:paraId="1D573DEF" w14:textId="77777777" w:rsidR="0008713A" w:rsidRPr="008406F6" w:rsidRDefault="0008713A" w:rsidP="008406F6">
      <w:pPr>
        <w:pStyle w:val="Puesto"/>
        <w:ind w:left="851"/>
      </w:pPr>
      <w:r w:rsidRPr="008406F6">
        <w:t xml:space="preserve">XLI. Dirigir, coordinar y supervisar a la Comisión de Factibilidad del Estado de México; </w:t>
      </w:r>
    </w:p>
    <w:p w14:paraId="36EFAC40" w14:textId="77777777" w:rsidR="0008713A" w:rsidRPr="008406F6" w:rsidRDefault="0008713A" w:rsidP="008406F6">
      <w:pPr>
        <w:pStyle w:val="Puesto"/>
        <w:ind w:left="851"/>
      </w:pPr>
      <w:r w:rsidRPr="008406F6">
        <w:t xml:space="preserve">XLII. Coordinar la política estatal de fortalecimiento institucional del desarrollo metropolitano en el Estado de México, de conformidad a las disposiciones jurídicas aplicables, y </w:t>
      </w:r>
    </w:p>
    <w:p w14:paraId="25D62222" w14:textId="23AFF675" w:rsidR="0008713A" w:rsidRPr="008406F6" w:rsidRDefault="0008713A" w:rsidP="008406F6">
      <w:pPr>
        <w:pStyle w:val="Puesto"/>
        <w:ind w:left="851"/>
      </w:pPr>
      <w:r w:rsidRPr="008406F6">
        <w:t>XLIII. Las demás que le señalen otras leyes reglamentos y disposiciones jurídicas aplicables.</w:t>
      </w:r>
    </w:p>
    <w:p w14:paraId="22E82D8C" w14:textId="77777777" w:rsidR="0008713A" w:rsidRPr="008406F6" w:rsidRDefault="0008713A" w:rsidP="008406F6">
      <w:pPr>
        <w:contextualSpacing/>
        <w:rPr>
          <w:szCs w:val="22"/>
        </w:rPr>
      </w:pPr>
    </w:p>
    <w:p w14:paraId="42AEDC55" w14:textId="77777777" w:rsidR="0008713A" w:rsidRPr="008406F6" w:rsidRDefault="0008713A" w:rsidP="008406F6">
      <w:pPr>
        <w:spacing w:before="120"/>
        <w:rPr>
          <w:szCs w:val="22"/>
        </w:rPr>
      </w:pPr>
      <w:r w:rsidRPr="008406F6">
        <w:rPr>
          <w:szCs w:val="22"/>
        </w:rPr>
        <w:t>Ámbito de competencia que se robustece con el contenido de la fracción XXXIII del artículo 7 del entonces reglamento interior de la Secretaría de Desarrollo Urbano y Obra Pública, que se cita:</w:t>
      </w:r>
    </w:p>
    <w:p w14:paraId="49477920" w14:textId="77777777" w:rsidR="0008713A" w:rsidRPr="008406F6" w:rsidRDefault="0008713A" w:rsidP="008406F6">
      <w:pPr>
        <w:pStyle w:val="Puesto"/>
      </w:pPr>
      <w:r w:rsidRPr="008406F6">
        <w:rPr>
          <w:szCs w:val="22"/>
        </w:rPr>
        <w:t xml:space="preserve"> </w:t>
      </w:r>
      <w:r w:rsidRPr="008406F6">
        <w:rPr>
          <w:b/>
          <w:bCs/>
        </w:rPr>
        <w:t>Artículo 7</w:t>
      </w:r>
      <w:r w:rsidRPr="008406F6">
        <w:t xml:space="preserve">. La </w:t>
      </w:r>
      <w:r w:rsidRPr="008406F6">
        <w:rPr>
          <w:b/>
          <w:bCs/>
        </w:rPr>
        <w:t>persona titular de la Secretaría</w:t>
      </w:r>
      <w:r w:rsidRPr="008406F6">
        <w:t xml:space="preserve"> tendrá las atribuciones siguientes:</w:t>
      </w:r>
    </w:p>
    <w:p w14:paraId="55FEAF11" w14:textId="77777777" w:rsidR="0008713A" w:rsidRPr="008406F6" w:rsidRDefault="0008713A" w:rsidP="008406F6">
      <w:pPr>
        <w:pStyle w:val="Puesto"/>
        <w:ind w:left="851" w:right="822"/>
      </w:pPr>
      <w:r w:rsidRPr="008406F6">
        <w:t>…</w:t>
      </w:r>
    </w:p>
    <w:p w14:paraId="268F1557" w14:textId="77777777" w:rsidR="0008713A" w:rsidRPr="008406F6" w:rsidRDefault="0008713A" w:rsidP="008406F6">
      <w:pPr>
        <w:pStyle w:val="Puesto"/>
        <w:ind w:left="851" w:right="822"/>
      </w:pPr>
      <w:r w:rsidRPr="008406F6">
        <w:t xml:space="preserve">XXXIII. </w:t>
      </w:r>
      <w:r w:rsidRPr="008406F6">
        <w:rPr>
          <w:b/>
          <w:bCs/>
          <w:u w:val="single"/>
        </w:rPr>
        <w:t>Coordinar y formular en el ámbito de su competencia, programas estatales de obras de abastecimiento de agua potable</w:t>
      </w:r>
      <w:r w:rsidRPr="008406F6">
        <w:t>, servicios de drenaje, alcantarillado y de las demás relacionadas con el desarrollo y equipamiento urbano, que no estén asignadas a otras autoridades;</w:t>
      </w:r>
    </w:p>
    <w:p w14:paraId="5A326F3D" w14:textId="77777777" w:rsidR="0008713A" w:rsidRPr="008406F6" w:rsidRDefault="0008713A" w:rsidP="008406F6">
      <w:pPr>
        <w:pStyle w:val="Puesto"/>
        <w:ind w:left="851" w:right="822"/>
      </w:pPr>
      <w:r w:rsidRPr="008406F6">
        <w:t xml:space="preserve">… </w:t>
      </w:r>
    </w:p>
    <w:p w14:paraId="5BE25FAF" w14:textId="77777777" w:rsidR="0008713A" w:rsidRPr="008406F6" w:rsidRDefault="0008713A" w:rsidP="008406F6">
      <w:pPr>
        <w:pStyle w:val="Puesto"/>
        <w:ind w:left="851" w:right="822"/>
        <w:jc w:val="right"/>
      </w:pPr>
    </w:p>
    <w:p w14:paraId="167DA554" w14:textId="77777777" w:rsidR="0008713A" w:rsidRPr="008406F6" w:rsidRDefault="0008713A" w:rsidP="008406F6">
      <w:pPr>
        <w:pStyle w:val="Puesto"/>
        <w:ind w:left="851" w:right="822"/>
        <w:jc w:val="right"/>
        <w:rPr>
          <w:b/>
          <w:bCs/>
        </w:rPr>
      </w:pPr>
      <w:r w:rsidRPr="008406F6">
        <w:rPr>
          <w:b/>
          <w:bCs/>
        </w:rPr>
        <w:lastRenderedPageBreak/>
        <w:t>Énfasis añadido</w:t>
      </w:r>
    </w:p>
    <w:p w14:paraId="69074547" w14:textId="77777777" w:rsidR="0008713A" w:rsidRPr="008406F6" w:rsidRDefault="0008713A" w:rsidP="008406F6">
      <w:pPr>
        <w:contextualSpacing/>
        <w:rPr>
          <w:szCs w:val="22"/>
        </w:rPr>
      </w:pPr>
    </w:p>
    <w:p w14:paraId="358044A7" w14:textId="77777777" w:rsidR="00650865" w:rsidRPr="008406F6" w:rsidRDefault="00650865" w:rsidP="008406F6">
      <w:pPr>
        <w:spacing w:before="120"/>
        <w:rPr>
          <w:szCs w:val="22"/>
        </w:rPr>
      </w:pPr>
      <w:r w:rsidRPr="008406F6">
        <w:rPr>
          <w:szCs w:val="22"/>
        </w:rPr>
        <w:t>Posteriormente, el 11 de septiembre de 2023 se publicó en el Periódico Oficial “Gaceta del Gobierno” el Decreto número 182 de la “LXI” Legislatura del Estado de México, por el que se expidió una nueva Ley Orgánica de la Administración Pública del Estado de México, en la que en la exposición de motivos se estableció en la parte aplicable al asunto que nos ocupa, lo siguiente:</w:t>
      </w:r>
    </w:p>
    <w:p w14:paraId="1A2A1A7A" w14:textId="77777777" w:rsidR="00650865" w:rsidRPr="008406F6" w:rsidRDefault="00650865" w:rsidP="008406F6">
      <w:pPr>
        <w:spacing w:before="120"/>
        <w:rPr>
          <w:szCs w:val="22"/>
        </w:rPr>
      </w:pPr>
    </w:p>
    <w:p w14:paraId="14D69E07" w14:textId="77777777" w:rsidR="00650865" w:rsidRPr="008406F6" w:rsidRDefault="00650865" w:rsidP="008406F6">
      <w:pPr>
        <w:pStyle w:val="Puesto"/>
        <w:ind w:left="851" w:right="822"/>
        <w:rPr>
          <w:b/>
          <w:bCs/>
          <w:u w:val="single"/>
        </w:rPr>
      </w:pPr>
      <w:r w:rsidRPr="008406F6">
        <w:t xml:space="preserve">“…En el caso de la </w:t>
      </w:r>
      <w:r w:rsidRPr="008406F6">
        <w:rPr>
          <w:b/>
          <w:bCs/>
        </w:rPr>
        <w:t>Secretaría de Desarrollo Urbano e infraestructura,</w:t>
      </w:r>
      <w:r w:rsidRPr="008406F6">
        <w:t xml:space="preserve"> se contempla un enfoque integral del territorio, </w:t>
      </w:r>
      <w:r w:rsidRPr="008406F6">
        <w:rPr>
          <w:b/>
          <w:bCs/>
        </w:rPr>
        <w:t>conservando las funciones de obra pública</w:t>
      </w:r>
      <w:r w:rsidRPr="008406F6">
        <w:t>, con la excepción de los casos de infraestructura educativa que llevará a cabo la Secretaría de Educación a través de la instancia correspondiente</w:t>
      </w:r>
      <w:r w:rsidRPr="008406F6">
        <w:rPr>
          <w:b/>
          <w:bCs/>
          <w:u w:val="single"/>
        </w:rPr>
        <w:t xml:space="preserve">, así como el caso de la Secretaría del Agua, en relación con la infraestructura hídrica. </w:t>
      </w:r>
    </w:p>
    <w:p w14:paraId="0879207A" w14:textId="77777777" w:rsidR="00650865" w:rsidRPr="008406F6" w:rsidRDefault="00650865" w:rsidP="008406F6">
      <w:pPr>
        <w:pStyle w:val="Puesto"/>
        <w:ind w:left="851" w:right="822"/>
      </w:pPr>
    </w:p>
    <w:p w14:paraId="29DFA90F" w14:textId="77777777" w:rsidR="00650865" w:rsidRPr="008406F6" w:rsidRDefault="00650865" w:rsidP="008406F6">
      <w:pPr>
        <w:pStyle w:val="Puesto"/>
        <w:ind w:left="851" w:right="822"/>
      </w:pPr>
      <w:r w:rsidRPr="008406F6">
        <w:t>…</w:t>
      </w:r>
    </w:p>
    <w:p w14:paraId="04657BE5" w14:textId="77777777" w:rsidR="00650865" w:rsidRPr="008406F6" w:rsidRDefault="00650865" w:rsidP="008406F6">
      <w:pPr>
        <w:pStyle w:val="Puesto"/>
      </w:pPr>
    </w:p>
    <w:p w14:paraId="40281A5E" w14:textId="444EB2B1" w:rsidR="0008713A" w:rsidRPr="008406F6" w:rsidRDefault="00650865" w:rsidP="008406F6">
      <w:pPr>
        <w:ind w:left="851" w:right="822"/>
        <w:contextualSpacing/>
        <w:rPr>
          <w:i/>
          <w:szCs w:val="22"/>
        </w:rPr>
      </w:pPr>
      <w:r w:rsidRPr="008406F6">
        <w:rPr>
          <w:i/>
        </w:rPr>
        <w:t xml:space="preserve">También es pertinente que, en la </w:t>
      </w:r>
      <w:r w:rsidRPr="008406F6">
        <w:rPr>
          <w:b/>
          <w:bCs/>
          <w:i/>
          <w:u w:val="single"/>
        </w:rPr>
        <w:t>Secretaría de Desarrollo Urbano e Infraestructura</w:t>
      </w:r>
      <w:r w:rsidRPr="008406F6">
        <w:rPr>
          <w:i/>
        </w:rPr>
        <w:t xml:space="preserve">, </w:t>
      </w:r>
      <w:r w:rsidRPr="008406F6">
        <w:rPr>
          <w:b/>
          <w:bCs/>
          <w:i/>
          <w:u w:val="single"/>
        </w:rPr>
        <w:t>contemple un enfoque integral del territorio, conservando las funciones de obra pública</w:t>
      </w:r>
      <w:r w:rsidRPr="008406F6">
        <w:rPr>
          <w:i/>
        </w:rPr>
        <w:t xml:space="preserve">, </w:t>
      </w:r>
      <w:r w:rsidRPr="008406F6">
        <w:rPr>
          <w:b/>
          <w:bCs/>
          <w:i/>
          <w:u w:val="single"/>
        </w:rPr>
        <w:t>con la excepción de</w:t>
      </w:r>
      <w:r w:rsidRPr="008406F6">
        <w:rPr>
          <w:i/>
        </w:rPr>
        <w:t xml:space="preserve"> los casos de infraestructura educativa que llevará a cabo la Secretaría de Educación, Ciencia, Tecnología e Innovación, </w:t>
      </w:r>
      <w:r w:rsidRPr="008406F6">
        <w:rPr>
          <w:b/>
          <w:bCs/>
          <w:i/>
          <w:u w:val="single"/>
        </w:rPr>
        <w:t>así como la Secretaría del Agua, en relación con la infraestructura hídrica.</w:t>
      </w:r>
    </w:p>
    <w:p w14:paraId="2FA9CFE9" w14:textId="77777777" w:rsidR="0008713A" w:rsidRPr="008406F6" w:rsidRDefault="0008713A" w:rsidP="008406F6">
      <w:pPr>
        <w:contextualSpacing/>
        <w:rPr>
          <w:szCs w:val="22"/>
        </w:rPr>
      </w:pPr>
    </w:p>
    <w:p w14:paraId="635F5133" w14:textId="28D7CFF6" w:rsidR="00650865" w:rsidRPr="008406F6" w:rsidRDefault="00650865" w:rsidP="008406F6">
      <w:pPr>
        <w:contextualSpacing/>
      </w:pPr>
      <w:r w:rsidRPr="008406F6">
        <w:rPr>
          <w:szCs w:val="22"/>
        </w:rPr>
        <w:t xml:space="preserve">Así, en esta nueva Ley Orgánica la entonces </w:t>
      </w:r>
      <w:r w:rsidRPr="008406F6">
        <w:rPr>
          <w:b/>
          <w:bCs/>
          <w:szCs w:val="22"/>
        </w:rPr>
        <w:t>Secretaría de Desarrollo Urbano y Obra Pública</w:t>
      </w:r>
      <w:r w:rsidRPr="008406F6">
        <w:rPr>
          <w:szCs w:val="22"/>
        </w:rPr>
        <w:t xml:space="preserve"> se convirtió en la </w:t>
      </w:r>
      <w:r w:rsidRPr="008406F6">
        <w:rPr>
          <w:b/>
          <w:bCs/>
          <w:i/>
          <w:iCs/>
          <w:szCs w:val="22"/>
        </w:rPr>
        <w:t>Secretaría de Desarrollo Urbano e Infraestructura</w:t>
      </w:r>
      <w:r w:rsidRPr="008406F6">
        <w:rPr>
          <w:szCs w:val="22"/>
        </w:rPr>
        <w:t xml:space="preserve">, la cual es la encargada del ordenamiento territorial de los asentamientos humanos, de regular el desarrollo urbano de los centros de población y la vivienda, y de coordinar y evaluar, en el ámbito del territorio estatal, las acciones y programas orientados al desarrollo armónico y sostenible de las zonas </w:t>
      </w:r>
      <w:r w:rsidRPr="008406F6">
        <w:rPr>
          <w:szCs w:val="22"/>
        </w:rPr>
        <w:lastRenderedPageBreak/>
        <w:t xml:space="preserve">metropolitanas, así como de ejecutar obras públicas a su cargo, y de promover y ejecutar las acciones para el desarrollo de infraestructura en la Entidad. De igual manera se previó la creación de la Secretaría del Agua, como </w:t>
      </w:r>
      <w:r w:rsidRPr="008406F6">
        <w:t>la dependencia encargada de planear, formular, conducir, coordinar, ejecutar, supervisar y evaluar las políticas, programas y acciones relacionadas con los recursos hídricos del Estado, así como los servicios y obras que se requieran para su explotación, uso, aprovechamiento, administración, control y suministro, al igual que su tratamiento, reúso y disposición final en el Estado.</w:t>
      </w:r>
    </w:p>
    <w:p w14:paraId="7A51EB54" w14:textId="77777777" w:rsidR="00650865" w:rsidRPr="008406F6" w:rsidRDefault="00650865" w:rsidP="008406F6">
      <w:pPr>
        <w:contextualSpacing/>
      </w:pPr>
    </w:p>
    <w:p w14:paraId="33BDE2FD" w14:textId="1D42DF65" w:rsidR="00650865" w:rsidRPr="008406F6" w:rsidRDefault="00650865" w:rsidP="008406F6">
      <w:pPr>
        <w:contextualSpacing/>
        <w:rPr>
          <w:szCs w:val="22"/>
        </w:rPr>
      </w:pPr>
      <w:r w:rsidRPr="008406F6">
        <w:rPr>
          <w:szCs w:val="22"/>
        </w:rPr>
        <w:t>Conforme a lo expuesto, se advierte que a la hoy Secretaría de Desarrollo Urbano e Infraestructura, así como a la Secretaría del Agua, con la expedición de la nueva Ley Orgánica de la Administración Pública del Estado de México, le fueron transferidas atribuciones, que conforme a la Ley Orgánica abrogada eran del ámbito de competencia de la entonces Secretaría de Obra y Desarrollo Urbano.</w:t>
      </w:r>
    </w:p>
    <w:p w14:paraId="5E068D65" w14:textId="77777777" w:rsidR="00650865" w:rsidRPr="008406F6" w:rsidRDefault="00650865" w:rsidP="008406F6">
      <w:pPr>
        <w:contextualSpacing/>
        <w:rPr>
          <w:szCs w:val="22"/>
        </w:rPr>
      </w:pPr>
    </w:p>
    <w:p w14:paraId="3C6B4F15" w14:textId="7BC5A7FA" w:rsidR="00650865" w:rsidRPr="008406F6" w:rsidRDefault="00650865" w:rsidP="008406F6">
      <w:pPr>
        <w:contextualSpacing/>
      </w:pPr>
      <w:r w:rsidRPr="008406F6">
        <w:rPr>
          <w:szCs w:val="22"/>
        </w:rPr>
        <w:t xml:space="preserve">En el mismo tenor, resulta relevante referir que, conforme al Artículo Séptimo Transitorio de la Nueva Ley Orgánica de la Administración Pública, que cuando en dicha </w:t>
      </w:r>
      <w:r w:rsidRPr="008406F6">
        <w:t>Ley se dé denominación nueva o distinta a alguna dependencia cuyas funciones estén establecidas por la Ley anterior y otras leyes especiales, dichas atribuciones se entenderán concedidas a la dependencia que determine esta Ley.</w:t>
      </w:r>
    </w:p>
    <w:p w14:paraId="68CA095E" w14:textId="77777777" w:rsidR="00650865" w:rsidRPr="008406F6" w:rsidRDefault="00650865" w:rsidP="008406F6">
      <w:pPr>
        <w:contextualSpacing/>
      </w:pPr>
    </w:p>
    <w:p w14:paraId="29D65C8D" w14:textId="39312F6F" w:rsidR="00650865" w:rsidRPr="008406F6" w:rsidRDefault="00650865" w:rsidP="008406F6">
      <w:pPr>
        <w:contextualSpacing/>
        <w:rPr>
          <w:noProof/>
        </w:rPr>
      </w:pPr>
      <w:r w:rsidRPr="008406F6">
        <w:rPr>
          <w:noProof/>
        </w:rPr>
        <w:t xml:space="preserve">Ahora bien en lo que corresponde a las actas de entrega recepción es conveniente referir lo dispuesto por el </w:t>
      </w:r>
      <w:r w:rsidRPr="008406F6">
        <w:rPr>
          <w:i/>
          <w:iCs/>
          <w:noProof/>
        </w:rPr>
        <w:t>Reglamento para los Procesos de Entrega y Recepción y de Rendición de Cuentas de la Administración Pública del Estado de México,</w:t>
      </w:r>
      <w:r w:rsidRPr="008406F6">
        <w:rPr>
          <w:rStyle w:val="Refdenotaalpie"/>
          <w:i/>
          <w:iCs/>
          <w:noProof/>
        </w:rPr>
        <w:footnoteReference w:id="1"/>
      </w:r>
      <w:r w:rsidRPr="008406F6">
        <w:rPr>
          <w:i/>
          <w:iCs/>
          <w:noProof/>
        </w:rPr>
        <w:t xml:space="preserve"> </w:t>
      </w:r>
      <w:r w:rsidRPr="008406F6">
        <w:rPr>
          <w:noProof/>
        </w:rPr>
        <w:t>que establece lo siguiente:</w:t>
      </w:r>
    </w:p>
    <w:p w14:paraId="1B93A62D" w14:textId="77777777" w:rsidR="00650865" w:rsidRPr="008406F6" w:rsidRDefault="00650865" w:rsidP="008406F6">
      <w:pPr>
        <w:contextualSpacing/>
        <w:rPr>
          <w:noProof/>
        </w:rPr>
      </w:pPr>
    </w:p>
    <w:p w14:paraId="5A7BEB08" w14:textId="77777777" w:rsidR="00650865" w:rsidRPr="008406F6" w:rsidRDefault="00650865" w:rsidP="008406F6">
      <w:pPr>
        <w:pStyle w:val="Puesto"/>
        <w:ind w:left="851" w:right="822"/>
      </w:pPr>
      <w:r w:rsidRPr="008406F6">
        <w:rPr>
          <w:b/>
          <w:bCs/>
        </w:rPr>
        <w:t>Artículo 1</w:t>
      </w:r>
      <w:r w:rsidRPr="008406F6">
        <w:t>. El presente Reglamento tiene por objeto regular los procesos de Entrega y Recepción de recursos, programas, proyectos, acciones, asuntos, compromisos e información a cargo de las personas servidoras públicas adscritas a las Unidades Administrativas de las Dependencias y Organismos Auxiliares, así como de la rendición de cuentas institucionales por el término del periodo constitucional de la gestión de gobierno de la persona titular del Poder Ejecutivo del Estado de México.</w:t>
      </w:r>
    </w:p>
    <w:p w14:paraId="5EF46BE5" w14:textId="77777777" w:rsidR="00650865" w:rsidRPr="008406F6" w:rsidRDefault="00650865" w:rsidP="008406F6">
      <w:pPr>
        <w:pStyle w:val="Puesto"/>
        <w:ind w:left="851" w:right="822"/>
      </w:pPr>
    </w:p>
    <w:p w14:paraId="61DC0FCC" w14:textId="77777777" w:rsidR="00650865" w:rsidRPr="008406F6" w:rsidRDefault="00650865" w:rsidP="008406F6">
      <w:pPr>
        <w:pStyle w:val="Puesto"/>
        <w:ind w:left="851" w:right="822"/>
      </w:pPr>
      <w:r w:rsidRPr="008406F6">
        <w:rPr>
          <w:b/>
          <w:bCs/>
        </w:rPr>
        <w:t>Artículo 3.</w:t>
      </w:r>
      <w:r w:rsidRPr="008406F6">
        <w:t xml:space="preserve"> Para efectos del presente Reglamento, se entiende por: </w:t>
      </w:r>
    </w:p>
    <w:p w14:paraId="5256FC9F" w14:textId="77777777" w:rsidR="00650865" w:rsidRPr="008406F6" w:rsidRDefault="00650865" w:rsidP="008406F6">
      <w:pPr>
        <w:pStyle w:val="Puesto"/>
        <w:ind w:left="851" w:right="822"/>
      </w:pPr>
    </w:p>
    <w:p w14:paraId="6E262EBC" w14:textId="77777777" w:rsidR="00650865" w:rsidRPr="008406F6" w:rsidRDefault="00650865" w:rsidP="008406F6">
      <w:pPr>
        <w:pStyle w:val="Puesto"/>
        <w:ind w:left="851" w:right="822"/>
      </w:pPr>
      <w:r w:rsidRPr="008406F6">
        <w:t xml:space="preserve">I. </w:t>
      </w:r>
      <w:r w:rsidRPr="008406F6">
        <w:rPr>
          <w:b/>
          <w:bCs/>
        </w:rPr>
        <w:t>Acta Administrativa:</w:t>
      </w:r>
      <w:r w:rsidRPr="008406F6">
        <w:t xml:space="preserve"> Al documento físico o electrónico que debe presentar la persona servidora pública que concluye un empleo, cargo o comisión, en el que consta la Entrega y Recepción de los Recursos asignados, los asuntos a su cargo y el estado que guardan; así como la información documental que tenga a su disposición, junto con sus anexos respectivos, a quien legalmente deba sustituirle o a quien la persona que sea su superior jerárquico designe como encargada o encargado, o responsable; con la intervención de la persona representante del Órgano Interno de Control y de los testigos de asistencia, para su validación;</w:t>
      </w:r>
    </w:p>
    <w:p w14:paraId="49DBCD5E" w14:textId="77777777" w:rsidR="00650865" w:rsidRPr="008406F6" w:rsidRDefault="00650865" w:rsidP="008406F6">
      <w:pPr>
        <w:pStyle w:val="Puesto"/>
        <w:ind w:left="851" w:right="822"/>
      </w:pPr>
      <w:r w:rsidRPr="008406F6">
        <w:t>…</w:t>
      </w:r>
    </w:p>
    <w:p w14:paraId="10627EB8" w14:textId="77777777" w:rsidR="00650865" w:rsidRPr="008406F6" w:rsidRDefault="00650865" w:rsidP="008406F6">
      <w:pPr>
        <w:pStyle w:val="Puesto"/>
        <w:ind w:left="851" w:right="822"/>
      </w:pPr>
    </w:p>
    <w:p w14:paraId="2DA41E14" w14:textId="77777777" w:rsidR="00650865" w:rsidRPr="008406F6" w:rsidRDefault="00650865" w:rsidP="008406F6">
      <w:pPr>
        <w:pStyle w:val="Puesto"/>
        <w:ind w:left="851" w:right="822"/>
      </w:pPr>
      <w:r w:rsidRPr="008406F6">
        <w:t xml:space="preserve">VII. </w:t>
      </w:r>
      <w:r w:rsidRPr="008406F6">
        <w:rPr>
          <w:b/>
          <w:bCs/>
        </w:rPr>
        <w:t>Dependencias</w:t>
      </w:r>
      <w:r w:rsidRPr="008406F6">
        <w:t>: A las Dependencias del Poder Ejecutivo del Estado de México previstas en la Ley Orgánica de la Administración Pública del Estado de México, y sus órganos desconcentrados;</w:t>
      </w:r>
    </w:p>
    <w:p w14:paraId="0C22B8D0" w14:textId="77777777" w:rsidR="00650865" w:rsidRPr="008406F6" w:rsidRDefault="00650865" w:rsidP="008406F6">
      <w:pPr>
        <w:pStyle w:val="Puesto"/>
        <w:ind w:left="851" w:right="822"/>
      </w:pPr>
    </w:p>
    <w:p w14:paraId="2B18CB58" w14:textId="77777777" w:rsidR="00650865" w:rsidRPr="008406F6" w:rsidRDefault="00650865" w:rsidP="008406F6">
      <w:pPr>
        <w:pStyle w:val="Puesto"/>
        <w:ind w:left="851" w:right="822"/>
      </w:pPr>
      <w:r w:rsidRPr="008406F6">
        <w:t>…</w:t>
      </w:r>
    </w:p>
    <w:p w14:paraId="6A822714" w14:textId="77777777" w:rsidR="00137410" w:rsidRPr="008406F6" w:rsidRDefault="00650865" w:rsidP="008406F6">
      <w:pPr>
        <w:pStyle w:val="Puesto"/>
        <w:ind w:left="851" w:right="822"/>
      </w:pPr>
      <w:r w:rsidRPr="008406F6">
        <w:t xml:space="preserve">IX. </w:t>
      </w:r>
      <w:r w:rsidRPr="008406F6">
        <w:rPr>
          <w:b/>
          <w:bCs/>
        </w:rPr>
        <w:t>Entrega y Recepción</w:t>
      </w:r>
      <w:r w:rsidRPr="008406F6">
        <w:t>: Al proceso administrativo por el que una persona servidora pública que concluye su empleo, cargo o comisión hace entrega y rinde cuentas de los Recursos asignados; de los programas, proyectos, asuntos y acciones a su cargo y del estado que guardan; así como de la información documental que tenga a su disposición de manera</w:t>
      </w:r>
      <w:r w:rsidR="00137410" w:rsidRPr="008406F6">
        <w:t xml:space="preserve"> </w:t>
      </w:r>
      <w:r w:rsidR="0024034E" w:rsidRPr="008406F6">
        <w:t xml:space="preserve">directa, a quien reciba legalmente para sustituirle o a la persona que su superior jerárquico designe como encargada o encargado, o responsable para tales efectos; </w:t>
      </w:r>
    </w:p>
    <w:p w14:paraId="1DAA8774" w14:textId="77777777" w:rsidR="00137410" w:rsidRPr="008406F6" w:rsidRDefault="00137410" w:rsidP="008406F6">
      <w:pPr>
        <w:pStyle w:val="Puesto"/>
        <w:ind w:left="851" w:right="822"/>
      </w:pPr>
    </w:p>
    <w:p w14:paraId="47772B5E" w14:textId="1E221C75" w:rsidR="0024034E" w:rsidRPr="008406F6" w:rsidRDefault="0024034E" w:rsidP="008406F6">
      <w:pPr>
        <w:pStyle w:val="Puesto"/>
        <w:ind w:left="851" w:right="822"/>
      </w:pPr>
      <w:r w:rsidRPr="008406F6">
        <w:t xml:space="preserve">X. </w:t>
      </w:r>
      <w:r w:rsidRPr="008406F6">
        <w:rPr>
          <w:b/>
          <w:bCs/>
        </w:rPr>
        <w:t>Entrega y Recepción Institucional</w:t>
      </w:r>
      <w:r w:rsidRPr="008406F6">
        <w:t xml:space="preserve">: Al proceso administrativo por el que las personas titulares de las Dependencias y Organismos Auxiliares salientes entregan un Informe de Rendición de Cuentas y, en su caso, Libros Blancos y Memorias Documentales sobre los resultados y situación que guardan los programas, </w:t>
      </w:r>
      <w:r w:rsidRPr="008406F6">
        <w:lastRenderedPageBreak/>
        <w:t>proyectos, acciones, compromisos, asuntos, y Recursos bajo su responsabilidad, a las personas servidoras públicas titulares entrantes de las Dependencias y Organismos Auxiliares, por el término del periodo constitucional de la gestión de la persona titular del Poder Ejecutivo del Estado de México;</w:t>
      </w:r>
    </w:p>
    <w:p w14:paraId="41C785FF" w14:textId="77777777" w:rsidR="0024034E" w:rsidRPr="008406F6" w:rsidRDefault="0024034E" w:rsidP="008406F6">
      <w:pPr>
        <w:pStyle w:val="Puesto"/>
        <w:rPr>
          <w:b/>
          <w:bCs/>
        </w:rPr>
      </w:pPr>
    </w:p>
    <w:p w14:paraId="1E6C611A" w14:textId="77777777" w:rsidR="0024034E" w:rsidRPr="008406F6" w:rsidRDefault="0024034E" w:rsidP="008406F6">
      <w:pPr>
        <w:pStyle w:val="Puesto"/>
      </w:pPr>
      <w:r w:rsidRPr="008406F6">
        <w:rPr>
          <w:b/>
          <w:bCs/>
        </w:rPr>
        <w:t>Artículo 5</w:t>
      </w:r>
      <w:r w:rsidRPr="008406F6">
        <w:t xml:space="preserve">. La Entrega y Recepción se realizará cuando una persona servidora pública se separe de su empleo, cargo o comisión, por cualquier motivo, incluyendo licencias, suplencias, encargos o el término del periodo constitucional de la gestión de gobierno de la persona titular del Poder Ejecutivo del Estado de México. </w:t>
      </w:r>
    </w:p>
    <w:p w14:paraId="3ED5F7A4" w14:textId="77777777" w:rsidR="0024034E" w:rsidRPr="008406F6" w:rsidRDefault="0024034E" w:rsidP="008406F6">
      <w:pPr>
        <w:pStyle w:val="Puesto"/>
      </w:pPr>
    </w:p>
    <w:p w14:paraId="318A1636" w14:textId="77777777" w:rsidR="0024034E" w:rsidRPr="008406F6" w:rsidRDefault="0024034E" w:rsidP="008406F6">
      <w:pPr>
        <w:pStyle w:val="Puesto"/>
      </w:pPr>
      <w:r w:rsidRPr="008406F6">
        <w:t>La Entrega y Recepción también deberá de llevarse a cabo en los casos de reestructuraciones organizacionales; descentralización o desconcentración de Unidades Administrativas; extinción, liquidación, disolución o fusión de Organismos Auxiliares; creación o supresión de Unidades Administrativas, Dependencias y Organismos Auxiliares, que impliquen la transferencia total o parcial de Recursos, programas, proyectos, asuntos, archivos, competencias o funciones, independientemente de que haya continuidad del personal del servicio público.</w:t>
      </w:r>
    </w:p>
    <w:p w14:paraId="1982E1F9" w14:textId="77777777" w:rsidR="0024034E" w:rsidRPr="008406F6" w:rsidRDefault="0024034E" w:rsidP="008406F6">
      <w:pPr>
        <w:pStyle w:val="Puesto"/>
        <w:rPr>
          <w:b/>
          <w:bCs/>
        </w:rPr>
      </w:pPr>
    </w:p>
    <w:p w14:paraId="4D23C474" w14:textId="77777777" w:rsidR="0024034E" w:rsidRPr="008406F6" w:rsidRDefault="0024034E" w:rsidP="008406F6">
      <w:pPr>
        <w:pStyle w:val="Puesto"/>
      </w:pPr>
      <w:r w:rsidRPr="008406F6">
        <w:rPr>
          <w:b/>
          <w:bCs/>
        </w:rPr>
        <w:t>Artículo 7</w:t>
      </w:r>
      <w:r w:rsidRPr="008406F6">
        <w:t xml:space="preserve">. </w:t>
      </w:r>
      <w:r w:rsidRPr="008406F6">
        <w:rPr>
          <w:b/>
          <w:bCs/>
          <w:u w:val="single"/>
        </w:rPr>
        <w:t>La Entrega y Recepción se efectuará en un plazo máximo de cinco días hábiles</w:t>
      </w:r>
      <w:r w:rsidRPr="008406F6">
        <w:t xml:space="preserve">, contados a partir de que surta efectos la separación del empleo, cargo o comisión y se dejará constancia mediante el Acta Administrativa correspondiente. </w:t>
      </w:r>
    </w:p>
    <w:p w14:paraId="70347C6A" w14:textId="77777777" w:rsidR="0024034E" w:rsidRPr="008406F6" w:rsidRDefault="0024034E" w:rsidP="008406F6">
      <w:pPr>
        <w:pStyle w:val="Puesto"/>
      </w:pPr>
    </w:p>
    <w:p w14:paraId="78C59962" w14:textId="2895EC64" w:rsidR="0024034E" w:rsidRPr="008406F6" w:rsidRDefault="0024034E" w:rsidP="008406F6">
      <w:pPr>
        <w:pStyle w:val="Puesto"/>
      </w:pPr>
      <w:r w:rsidRPr="008406F6">
        <w:rPr>
          <w:b/>
        </w:rPr>
        <w:t>En el caso de los procesos de Entrega y Recepción derivados de reestructuraciones organizacionales; descentralización o desconcentración de Unidades Administrativas; extinción, liquidación, disolución o fusión de Organismos Auxiliares; creación o supresión de Unidades Administrativas, Dependencias</w:t>
      </w:r>
      <w:r w:rsidRPr="008406F6">
        <w:t xml:space="preserve">, Órganos Administrativos Desconcentrados y Organismos Auxiliares; los Órganos Internos de Control y las Áreas de Administración </w:t>
      </w:r>
      <w:r w:rsidRPr="008406F6">
        <w:rPr>
          <w:b/>
        </w:rPr>
        <w:t>fijarán la fecha para su ejecución, la cual no será mayor a cinco días hábiles posteriores a la entrada en vigor del instrumento jurídico que contenga la modificación referida, mismo que podrá ser ampliado por el Órgano Interno de Control o la Contraloría, en caso de que así lo considere</w:t>
      </w:r>
      <w:r w:rsidRPr="008406F6">
        <w:t>.</w:t>
      </w:r>
    </w:p>
    <w:p w14:paraId="1D284875" w14:textId="77777777" w:rsidR="0008713A" w:rsidRPr="008406F6" w:rsidRDefault="0008713A" w:rsidP="008406F6">
      <w:pPr>
        <w:contextualSpacing/>
        <w:rPr>
          <w:szCs w:val="22"/>
        </w:rPr>
      </w:pPr>
    </w:p>
    <w:p w14:paraId="76898A9A" w14:textId="5D00FBB8" w:rsidR="00650865" w:rsidRPr="008406F6" w:rsidRDefault="0024034E" w:rsidP="008406F6">
      <w:pPr>
        <w:contextualSpacing/>
      </w:pPr>
      <w:r w:rsidRPr="008406F6">
        <w:t xml:space="preserve">De lo transcrito, se advierte que los procesos de entrega recepción, también están considerados derivados de creación o supresión de Unidades Administrativas, Dependencias, Órganos Administrativos Desconcentrados y Organismos Auxiliares; así como que los Órganos </w:t>
      </w:r>
      <w:r w:rsidRPr="008406F6">
        <w:lastRenderedPageBreak/>
        <w:t>Internos de Control y las Áreas de Administración fijarán la fecha para su ejecución, la cual no será mayor a cinco días hábiles posteriores a la entrada en vigor del instrumento jurídico que contenga la modificación referida.</w:t>
      </w:r>
    </w:p>
    <w:p w14:paraId="09C5A128" w14:textId="77777777" w:rsidR="0024034E" w:rsidRPr="008406F6" w:rsidRDefault="0024034E" w:rsidP="008406F6">
      <w:pPr>
        <w:contextualSpacing/>
      </w:pPr>
    </w:p>
    <w:p w14:paraId="7DC430CD" w14:textId="358EFB3F" w:rsidR="0024034E" w:rsidRPr="008406F6" w:rsidRDefault="0024034E" w:rsidP="008406F6">
      <w:pPr>
        <w:contextualSpacing/>
      </w:pPr>
      <w:r w:rsidRPr="008406F6">
        <w:t>Por consiguiente, este Órgano Autónomo bajo los principios de certeza, máxima publicidad, certeza y suplencia de la queja concluye, que la persona solicitante desea tener acceso a las actas de entrega recepción que la entonces Secretaría de Desarrollo Urbano y Obra transfirió tanto a la Secretaría de Desarrollo Urbano e Infraestructura, así como a la Secretaría del Agua, correspondientes a todas las obras públicas, proyectos de infraestructura y desarrollo urbano; y a todos los proyectos, programas y obras relacionadas con el manejo, distribución y calidad del agua, respectivamente.</w:t>
      </w:r>
    </w:p>
    <w:p w14:paraId="494981F8" w14:textId="77777777" w:rsidR="0024034E" w:rsidRPr="008406F6" w:rsidRDefault="0024034E" w:rsidP="008406F6">
      <w:pPr>
        <w:contextualSpacing/>
      </w:pPr>
    </w:p>
    <w:p w14:paraId="47BD8F2A" w14:textId="321B238A" w:rsidR="0024034E" w:rsidRPr="008406F6" w:rsidRDefault="0024034E" w:rsidP="008406F6">
      <w:pPr>
        <w:contextualSpacing/>
      </w:pPr>
      <w:r w:rsidRPr="008406F6">
        <w:rPr>
          <w:szCs w:val="22"/>
        </w:rPr>
        <w:t xml:space="preserve">Puntualizado lo anterior, por otro lado, </w:t>
      </w:r>
      <w:r w:rsidRPr="008406F6">
        <w:rPr>
          <w:rFonts w:eastAsia="Palatino Linotype"/>
        </w:rPr>
        <w:t xml:space="preserve">es necesario señalar que </w:t>
      </w:r>
      <w:r w:rsidRPr="008406F6">
        <w:t>de una revisión al expediente que nos ocupa dentro del Sistema de Acceso a la Información Mexiquense, se advierte del informe justificado que, el Encargado de la Unidad de Transparencia turnó  los requerimientos al Titular del Órgano Interno de Control, proporcionado información que no corresponde a lo solicitado</w:t>
      </w:r>
      <w:r w:rsidR="00C35623" w:rsidRPr="008406F6">
        <w:t xml:space="preserve">, sin embargo no se advierte que se haya llevado una adecuada búsqueda exhaustiva y razonable de la información, ya que no se visualiza el turno a dependencias administrativas varias que de acuerdo a sus facultades pueden poseer la información. </w:t>
      </w:r>
      <w:r w:rsidRPr="008406F6">
        <w:rPr>
          <w:szCs w:val="22"/>
        </w:rPr>
        <w:t xml:space="preserve">En ese orden de ideas, resulta conveniente invocar lo que estable la normatividad aplicable al </w:t>
      </w:r>
      <w:r w:rsidRPr="008406F6">
        <w:rPr>
          <w:b/>
          <w:szCs w:val="22"/>
        </w:rPr>
        <w:t xml:space="preserve">SUJETO OBLIGADO </w:t>
      </w:r>
    </w:p>
    <w:p w14:paraId="2D706B66" w14:textId="77777777" w:rsidR="0008713A" w:rsidRPr="008406F6" w:rsidRDefault="0008713A" w:rsidP="008406F6">
      <w:pPr>
        <w:contextualSpacing/>
        <w:rPr>
          <w:rFonts w:eastAsia="Calibri" w:cs="Tahoma"/>
          <w:bCs/>
          <w:szCs w:val="22"/>
        </w:rPr>
      </w:pPr>
    </w:p>
    <w:p w14:paraId="56FA756F" w14:textId="77777777" w:rsidR="00390220" w:rsidRPr="008406F6" w:rsidRDefault="00390220" w:rsidP="008406F6">
      <w:pPr>
        <w:contextualSpacing/>
        <w:rPr>
          <w:rFonts w:eastAsia="Calibri" w:cs="Tahoma"/>
          <w:b/>
          <w:bCs/>
          <w:szCs w:val="22"/>
        </w:rPr>
      </w:pPr>
    </w:p>
    <w:p w14:paraId="415C8368" w14:textId="77777777" w:rsidR="00C35623" w:rsidRPr="008406F6" w:rsidRDefault="00C35623" w:rsidP="008406F6">
      <w:pPr>
        <w:pStyle w:val="Puesto"/>
        <w:ind w:left="851" w:right="822"/>
        <w:jc w:val="center"/>
        <w:rPr>
          <w:b/>
          <w:bCs/>
        </w:rPr>
      </w:pPr>
      <w:r w:rsidRPr="008406F6">
        <w:rPr>
          <w:b/>
          <w:bCs/>
        </w:rPr>
        <w:t>Reglamento Interior de la Secretaría de la Contraloría</w:t>
      </w:r>
    </w:p>
    <w:p w14:paraId="152A07BF" w14:textId="77777777" w:rsidR="00C35623" w:rsidRPr="008406F6" w:rsidRDefault="00C35623" w:rsidP="008406F6">
      <w:pPr>
        <w:pStyle w:val="Puesto"/>
        <w:ind w:left="851" w:right="822"/>
      </w:pPr>
    </w:p>
    <w:p w14:paraId="0877F17F" w14:textId="77777777" w:rsidR="00C35623" w:rsidRPr="008406F6" w:rsidRDefault="00C35623" w:rsidP="008406F6">
      <w:pPr>
        <w:pStyle w:val="Puesto"/>
        <w:ind w:left="851" w:right="822"/>
      </w:pPr>
      <w:r w:rsidRPr="008406F6">
        <w:rPr>
          <w:b/>
          <w:bCs/>
        </w:rPr>
        <w:t>Artículo 43</w:t>
      </w:r>
      <w:r w:rsidRPr="008406F6">
        <w:t xml:space="preserve">. Corresponde a los órganos internos de control de las dependencias y organismos auxiliares las atribuciones siguientes: </w:t>
      </w:r>
    </w:p>
    <w:p w14:paraId="7C785712" w14:textId="77777777" w:rsidR="00C35623" w:rsidRPr="008406F6" w:rsidRDefault="00C35623" w:rsidP="008406F6">
      <w:pPr>
        <w:pStyle w:val="Puesto"/>
        <w:ind w:left="851" w:right="822"/>
      </w:pPr>
      <w:r w:rsidRPr="008406F6">
        <w:t>…</w:t>
      </w:r>
    </w:p>
    <w:p w14:paraId="356B44A1" w14:textId="77777777" w:rsidR="00C35623" w:rsidRPr="008406F6" w:rsidRDefault="00C35623" w:rsidP="008406F6">
      <w:pPr>
        <w:pStyle w:val="Puesto"/>
        <w:ind w:left="851" w:right="822"/>
      </w:pPr>
      <w:r w:rsidRPr="008406F6">
        <w:lastRenderedPageBreak/>
        <w:t>XXIII. Representar a la Secretaría, cuando así se le designe, en los procesos de entrega y recepción de las unidades administrativas de la Dependencia u Organismo Auxiliar, verificando su apego a la normatividad correspondiente;</w:t>
      </w:r>
    </w:p>
    <w:p w14:paraId="44E7B7C5" w14:textId="6F34A03D" w:rsidR="00390220" w:rsidRPr="008406F6" w:rsidRDefault="00C35623" w:rsidP="008406F6">
      <w:pPr>
        <w:pStyle w:val="Puesto"/>
        <w:ind w:left="851" w:right="822"/>
        <w:rPr>
          <w:rFonts w:eastAsia="Calibri" w:cs="Tahoma"/>
          <w:b/>
          <w:bCs/>
          <w:szCs w:val="22"/>
        </w:rPr>
      </w:pPr>
      <w:r w:rsidRPr="008406F6">
        <w:t>…</w:t>
      </w:r>
    </w:p>
    <w:p w14:paraId="39EE6A19" w14:textId="77777777" w:rsidR="00390220" w:rsidRPr="008406F6" w:rsidRDefault="00390220" w:rsidP="008406F6">
      <w:pPr>
        <w:ind w:left="851" w:right="822"/>
        <w:contextualSpacing/>
        <w:rPr>
          <w:rFonts w:eastAsia="Calibri" w:cs="Tahoma"/>
          <w:b/>
          <w:bCs/>
          <w:szCs w:val="22"/>
        </w:rPr>
      </w:pPr>
    </w:p>
    <w:p w14:paraId="286EAB39" w14:textId="77777777" w:rsidR="00C35623" w:rsidRPr="008406F6" w:rsidRDefault="00C35623" w:rsidP="008406F6">
      <w:pPr>
        <w:pStyle w:val="Puesto"/>
        <w:ind w:left="851" w:right="822"/>
        <w:jc w:val="center"/>
        <w:rPr>
          <w:b/>
          <w:bCs/>
        </w:rPr>
      </w:pPr>
      <w:r w:rsidRPr="008406F6">
        <w:rPr>
          <w:b/>
          <w:bCs/>
        </w:rPr>
        <w:t>Reglamento para los Procesos de Entrega y Recepción y de Rendición de Cuentas de la Administración Pública del Estado de México</w:t>
      </w:r>
    </w:p>
    <w:p w14:paraId="38AB6859" w14:textId="77777777" w:rsidR="00C35623" w:rsidRPr="008406F6" w:rsidRDefault="00C35623" w:rsidP="008406F6">
      <w:pPr>
        <w:pStyle w:val="Puesto"/>
        <w:ind w:left="851" w:right="822"/>
      </w:pPr>
    </w:p>
    <w:p w14:paraId="22CEF27B" w14:textId="77777777" w:rsidR="00C35623" w:rsidRPr="008406F6" w:rsidRDefault="00C35623" w:rsidP="008406F6">
      <w:pPr>
        <w:pStyle w:val="Puesto"/>
        <w:ind w:left="851" w:right="822"/>
      </w:pPr>
      <w:r w:rsidRPr="008406F6">
        <w:rPr>
          <w:b/>
          <w:bCs/>
        </w:rPr>
        <w:t>Artículo 8.</w:t>
      </w:r>
      <w:r w:rsidRPr="008406F6">
        <w:t xml:space="preserve"> En la Entrega y Recepción de Unidades Administrativas con nivel jerárquico de dirección general o superior, la persona titular del Órgano Interno de Control o de la Contraloría nombrará obligatoriamente a la persona representante que intervendrá en el acto; en la Entrega y Recepción de Unidades Administrativas de menor jerarquía, el nombramiento será potestativo. </w:t>
      </w:r>
    </w:p>
    <w:p w14:paraId="78390B7B" w14:textId="77777777" w:rsidR="00C35623" w:rsidRPr="008406F6" w:rsidRDefault="00C35623" w:rsidP="008406F6">
      <w:pPr>
        <w:pStyle w:val="Puesto"/>
        <w:ind w:left="851" w:right="822"/>
      </w:pPr>
    </w:p>
    <w:p w14:paraId="3F7A73BB" w14:textId="77777777" w:rsidR="00C35623" w:rsidRPr="008406F6" w:rsidRDefault="00C35623" w:rsidP="008406F6">
      <w:pPr>
        <w:pStyle w:val="Puesto"/>
        <w:ind w:left="851" w:right="822"/>
      </w:pPr>
      <w:r w:rsidRPr="008406F6">
        <w:rPr>
          <w:b/>
          <w:bCs/>
          <w:u w:val="single"/>
        </w:rPr>
        <w:t>La persona representante del Órgano Interno de Control o de la Contraloría participará en el acto de Entrega y Recepción, quien revisará el contenido y los anexos del Acta Administrativa, la cual firmará de manera autógrafa o electrónic</w:t>
      </w:r>
      <w:r w:rsidRPr="008406F6">
        <w:t xml:space="preserve">a, con la presencia de dos personas que funjan como testigos de asistencia, sin que ello implique validación o responsabilidad. </w:t>
      </w:r>
    </w:p>
    <w:p w14:paraId="57B6A520" w14:textId="77777777" w:rsidR="00C35623" w:rsidRPr="008406F6" w:rsidRDefault="00C35623" w:rsidP="008406F6">
      <w:pPr>
        <w:pStyle w:val="Puesto"/>
        <w:ind w:left="851" w:right="822"/>
      </w:pPr>
    </w:p>
    <w:p w14:paraId="14E98E73" w14:textId="77777777" w:rsidR="00C35623" w:rsidRPr="008406F6" w:rsidRDefault="00C35623" w:rsidP="008406F6">
      <w:pPr>
        <w:pStyle w:val="Puesto"/>
        <w:ind w:left="851" w:right="822"/>
        <w:rPr>
          <w:b/>
          <w:bCs/>
          <w:u w:val="single"/>
        </w:rPr>
      </w:pPr>
      <w:r w:rsidRPr="008406F6">
        <w:rPr>
          <w:b/>
          <w:bCs/>
        </w:rPr>
        <w:t>En los actos de Entrega y Recepción en que no participe el representante del Órgano Interno de Control o de la Contraloría</w:t>
      </w:r>
      <w:r w:rsidRPr="008406F6">
        <w:t xml:space="preserve">, la persona servidora pública que recibe remitirá a la persona titular del Órgano Interno de Control o de la Contraloría, </w:t>
      </w:r>
      <w:r w:rsidRPr="008406F6">
        <w:rPr>
          <w:b/>
          <w:bCs/>
          <w:u w:val="single"/>
        </w:rPr>
        <w:t xml:space="preserve">dentro de los cinco días hábiles siguientes al acto, una copia documental o electrónica del Acta Administrativa y sus anexos. </w:t>
      </w:r>
    </w:p>
    <w:p w14:paraId="5F0A92BD" w14:textId="77777777" w:rsidR="00C35623" w:rsidRPr="008406F6" w:rsidRDefault="00C35623" w:rsidP="008406F6">
      <w:pPr>
        <w:pStyle w:val="Puesto"/>
        <w:ind w:left="851" w:right="822"/>
      </w:pPr>
    </w:p>
    <w:p w14:paraId="33AC4902" w14:textId="77777777" w:rsidR="00C35623" w:rsidRPr="008406F6" w:rsidRDefault="00C35623" w:rsidP="008406F6">
      <w:pPr>
        <w:pStyle w:val="Puesto"/>
        <w:ind w:left="851" w:right="822"/>
        <w:jc w:val="center"/>
        <w:rPr>
          <w:b/>
          <w:bCs/>
        </w:rPr>
      </w:pPr>
      <w:r w:rsidRPr="008406F6">
        <w:rPr>
          <w:b/>
          <w:bCs/>
        </w:rPr>
        <w:t>Manual de Procedimientos para el Proceso de Entrega y Recepción de las Unidades Administrativas de la Administración Pública del Gobierno del Estado de México</w:t>
      </w:r>
    </w:p>
    <w:p w14:paraId="73799E3A" w14:textId="77777777" w:rsidR="00C35623" w:rsidRPr="008406F6" w:rsidRDefault="00C35623" w:rsidP="008406F6">
      <w:pPr>
        <w:pStyle w:val="Puesto"/>
        <w:ind w:left="851" w:right="822"/>
      </w:pPr>
    </w:p>
    <w:p w14:paraId="1BB8025F" w14:textId="77777777" w:rsidR="00C35623" w:rsidRPr="008406F6" w:rsidRDefault="00C35623" w:rsidP="008406F6">
      <w:pPr>
        <w:pStyle w:val="Puesto"/>
        <w:ind w:left="851" w:right="822"/>
      </w:pPr>
      <w:r w:rsidRPr="008406F6">
        <w:rPr>
          <w:b/>
          <w:bCs/>
        </w:rPr>
        <w:t>POLÍTICAS</w:t>
      </w:r>
      <w:r w:rsidRPr="008406F6">
        <w:t xml:space="preserve">: </w:t>
      </w:r>
    </w:p>
    <w:p w14:paraId="7D3FAE2E" w14:textId="77777777" w:rsidR="00C35623" w:rsidRPr="008406F6" w:rsidRDefault="00C35623" w:rsidP="008406F6">
      <w:pPr>
        <w:pStyle w:val="Puesto"/>
        <w:ind w:left="851" w:right="822"/>
      </w:pPr>
    </w:p>
    <w:p w14:paraId="0F0A1958" w14:textId="77777777" w:rsidR="00C35623" w:rsidRPr="008406F6" w:rsidRDefault="00C35623" w:rsidP="008406F6">
      <w:pPr>
        <w:pStyle w:val="Puesto"/>
        <w:numPr>
          <w:ilvl w:val="0"/>
          <w:numId w:val="23"/>
        </w:numPr>
        <w:ind w:left="851" w:right="822"/>
      </w:pPr>
      <w:r w:rsidRPr="008406F6">
        <w:rPr>
          <w:b/>
          <w:bCs/>
        </w:rPr>
        <w:t>La o el titular del Área de administración deberá convocar a la o al titular del Órgano Interno de Control</w:t>
      </w:r>
      <w:r w:rsidRPr="008406F6">
        <w:t xml:space="preserve"> o de la Dirección General de Control y Evaluación “A”, “B” o “C”, con al menos dos días hábiles previos al acto de Entrega y Recepción. </w:t>
      </w:r>
    </w:p>
    <w:p w14:paraId="117AF78C" w14:textId="77777777" w:rsidR="00C35623" w:rsidRPr="008406F6" w:rsidRDefault="00C35623" w:rsidP="008406F6">
      <w:pPr>
        <w:pStyle w:val="Puesto"/>
        <w:ind w:left="851" w:right="822"/>
      </w:pPr>
    </w:p>
    <w:p w14:paraId="357780A4" w14:textId="77777777" w:rsidR="00C35623" w:rsidRPr="008406F6" w:rsidRDefault="00C35623" w:rsidP="008406F6">
      <w:pPr>
        <w:pStyle w:val="Puesto"/>
        <w:numPr>
          <w:ilvl w:val="0"/>
          <w:numId w:val="23"/>
        </w:numPr>
        <w:ind w:left="851" w:right="822"/>
      </w:pPr>
      <w:r w:rsidRPr="008406F6">
        <w:lastRenderedPageBreak/>
        <w:t>En los actos de Entrega y Recepción en los que por cualquier motivo no se pueda hacer uso de la firma electrónica, las y los participantes deberán imprimir tres ejemplares del Acta administrativa y sus anexos y, en su caso, de las Actas circunstanciadas que se deriven de éste y firmarlas de forma autógrafa.</w:t>
      </w:r>
    </w:p>
    <w:p w14:paraId="448ED1B2" w14:textId="77777777" w:rsidR="00C35623" w:rsidRPr="008406F6" w:rsidRDefault="00C35623" w:rsidP="008406F6">
      <w:pPr>
        <w:pStyle w:val="Puesto"/>
        <w:ind w:left="851" w:right="822"/>
      </w:pPr>
    </w:p>
    <w:p w14:paraId="360F6365" w14:textId="77777777" w:rsidR="00C35623" w:rsidRPr="008406F6" w:rsidRDefault="00C35623" w:rsidP="008406F6">
      <w:pPr>
        <w:pStyle w:val="Puesto"/>
        <w:ind w:left="851" w:right="822"/>
        <w:rPr>
          <w:b/>
          <w:bCs/>
        </w:rPr>
      </w:pPr>
      <w:r w:rsidRPr="008406F6">
        <w:rPr>
          <w:b/>
          <w:bCs/>
        </w:rPr>
        <w:t xml:space="preserve">La Persona entrega deberá: </w:t>
      </w:r>
    </w:p>
    <w:p w14:paraId="0764E958" w14:textId="77777777" w:rsidR="00C35623" w:rsidRPr="008406F6" w:rsidRDefault="00C35623" w:rsidP="008406F6">
      <w:pPr>
        <w:ind w:left="851" w:right="822"/>
      </w:pPr>
    </w:p>
    <w:p w14:paraId="37A870D4" w14:textId="45588BAB" w:rsidR="00390220" w:rsidRPr="008406F6" w:rsidRDefault="00C35623" w:rsidP="008406F6">
      <w:pPr>
        <w:pStyle w:val="Puesto"/>
        <w:numPr>
          <w:ilvl w:val="0"/>
          <w:numId w:val="23"/>
        </w:numPr>
        <w:ind w:left="851" w:right="822"/>
        <w:rPr>
          <w:rFonts w:eastAsia="Calibri" w:cs="Tahoma"/>
          <w:b/>
          <w:bCs/>
          <w:szCs w:val="22"/>
        </w:rPr>
      </w:pPr>
      <w:r w:rsidRPr="008406F6">
        <w:t>Entregar</w:t>
      </w:r>
      <w:r w:rsidRPr="008406F6">
        <w:rPr>
          <w:b/>
          <w:bCs/>
          <w:u w:val="single"/>
        </w:rPr>
        <w:t xml:space="preserve"> un ejemplar del Acta administrativa y anexos al Órgano Interno de Control</w:t>
      </w:r>
      <w:r w:rsidRPr="008406F6">
        <w:t xml:space="preserve"> o a falta de este, a la Dirección General de Control y Evaluación “A”, “B” o “C”, y un ejemplar a la Persona que recibe.” Sic.</w:t>
      </w:r>
    </w:p>
    <w:p w14:paraId="24B809F1" w14:textId="77777777" w:rsidR="00390220" w:rsidRPr="008406F6" w:rsidRDefault="00390220" w:rsidP="008406F6">
      <w:pPr>
        <w:contextualSpacing/>
        <w:rPr>
          <w:rFonts w:eastAsia="Calibri" w:cs="Tahoma"/>
          <w:b/>
          <w:bCs/>
          <w:szCs w:val="22"/>
        </w:rPr>
      </w:pPr>
    </w:p>
    <w:p w14:paraId="4F20B2F7" w14:textId="2BAA199B" w:rsidR="00390220" w:rsidRPr="008406F6" w:rsidRDefault="00C35623" w:rsidP="008406F6">
      <w:pPr>
        <w:contextualSpacing/>
      </w:pPr>
      <w:r w:rsidRPr="008406F6">
        <w:t>Conforme a la normatividad aplicable en materia de procesos de entrega y recepción se advierte que de igual manera le corresponde al órgano interno de control representar e intervenir en los procesos de entrega y recepción, previa convocatoria que realice el titular del área de administración, en este caso, de la Coordinación Administrativa, asimismo, se prevé que la persona que entrega deberá entregar un ejemplar del Acta administrativa y anexos al Órgano Interno de Control.</w:t>
      </w:r>
    </w:p>
    <w:p w14:paraId="37A510F2" w14:textId="77777777" w:rsidR="00C35623" w:rsidRPr="008406F6" w:rsidRDefault="00C35623" w:rsidP="008406F6">
      <w:pPr>
        <w:contextualSpacing/>
      </w:pPr>
    </w:p>
    <w:p w14:paraId="4DD01D43" w14:textId="77777777" w:rsidR="00C35623" w:rsidRPr="008406F6" w:rsidRDefault="00C35623" w:rsidP="008406F6">
      <w:pPr>
        <w:ind w:right="-312"/>
        <w:rPr>
          <w:rFonts w:eastAsia="Palatino Linotype"/>
        </w:rPr>
      </w:pPr>
      <w:r w:rsidRPr="008406F6">
        <w:rPr>
          <w:rFonts w:eastAsia="Palatino Linotype"/>
        </w:rPr>
        <w:t>Por lo que, se concluye que la información que es del interés de</w:t>
      </w:r>
      <w:r w:rsidRPr="008406F6">
        <w:rPr>
          <w:rFonts w:eastAsia="Palatino Linotype"/>
          <w:b/>
          <w:bCs/>
        </w:rPr>
        <w:t xml:space="preserve"> LA PERSONA RECURRENTE</w:t>
      </w:r>
      <w:r w:rsidRPr="008406F6">
        <w:rPr>
          <w:rFonts w:eastAsia="Palatino Linotype"/>
        </w:rPr>
        <w:t xml:space="preserve"> corresponde con al ámbito de competencia del </w:t>
      </w:r>
      <w:r w:rsidRPr="008406F6">
        <w:rPr>
          <w:rFonts w:eastAsia="Palatino Linotype"/>
          <w:b/>
          <w:bCs/>
        </w:rPr>
        <w:t xml:space="preserve">SUJETO OBLIGADO, </w:t>
      </w:r>
      <w:r w:rsidRPr="008406F6">
        <w:rPr>
          <w:rFonts w:eastAsia="Palatino Linotype"/>
        </w:rPr>
        <w:t xml:space="preserve">por lo que se considera que la información peticionada por </w:t>
      </w:r>
      <w:r w:rsidRPr="008406F6">
        <w:rPr>
          <w:rFonts w:eastAsia="Palatino Linotype"/>
          <w:b/>
          <w:bCs/>
        </w:rPr>
        <w:t xml:space="preserve">LA PERSONA RECURRENTE </w:t>
      </w:r>
      <w:r w:rsidRPr="008406F6">
        <w:rPr>
          <w:rFonts w:eastAsia="Palatino Linotype"/>
        </w:rPr>
        <w:t xml:space="preserve">debe de obrar en los archivos del </w:t>
      </w:r>
      <w:r w:rsidRPr="008406F6">
        <w:rPr>
          <w:rFonts w:eastAsia="Palatino Linotype"/>
          <w:b/>
          <w:bCs/>
        </w:rPr>
        <w:t xml:space="preserve">SUJETO OBLIGADO, </w:t>
      </w:r>
      <w:r w:rsidRPr="008406F6">
        <w:rPr>
          <w:rFonts w:eastAsia="Palatino Linotype"/>
        </w:rPr>
        <w:t>en virtud de que los Sujetos Obligados se encuentran constreñidos a documentar todo acto que derive del ejercicio de sus facultades, competencias o funciones considerando su eventual publicación, en términos de los artículos 18 y 24 fracción XXII de la Ley de la Materia, que a la letra señalan lo siguiente:</w:t>
      </w:r>
    </w:p>
    <w:p w14:paraId="43FF7665" w14:textId="77777777" w:rsidR="00C35623" w:rsidRPr="008406F6" w:rsidRDefault="00C35623" w:rsidP="008406F6">
      <w:pPr>
        <w:ind w:right="-312"/>
        <w:rPr>
          <w:rFonts w:eastAsia="Palatino Linotype"/>
        </w:rPr>
      </w:pPr>
    </w:p>
    <w:p w14:paraId="3A6DDF7A" w14:textId="77777777" w:rsidR="00C35623" w:rsidRPr="008406F6" w:rsidRDefault="00C35623" w:rsidP="008406F6">
      <w:pPr>
        <w:pStyle w:val="Puesto"/>
        <w:ind w:right="539"/>
        <w:rPr>
          <w:rFonts w:eastAsia="Palatino Linotype"/>
        </w:rPr>
      </w:pPr>
      <w:r w:rsidRPr="008406F6">
        <w:rPr>
          <w:rFonts w:eastAsia="Palatino Linotype"/>
        </w:rPr>
        <w:t>“</w:t>
      </w:r>
      <w:r w:rsidRPr="008406F6">
        <w:rPr>
          <w:rFonts w:eastAsia="Palatino Linotype"/>
          <w:b/>
        </w:rPr>
        <w:t>Artículo 18.</w:t>
      </w:r>
      <w:r w:rsidRPr="008406F6">
        <w:rPr>
          <w:rFonts w:eastAsia="Palatino Linotype"/>
        </w:rPr>
        <w:t xml:space="preserve"> Los sujetos obligados </w:t>
      </w:r>
      <w:r w:rsidRPr="008406F6">
        <w:rPr>
          <w:rFonts w:eastAsia="Palatino Linotype"/>
          <w:b/>
        </w:rPr>
        <w:t>deberán documentar todo acto</w:t>
      </w:r>
      <w:r w:rsidRPr="008406F6">
        <w:rPr>
          <w:rFonts w:eastAsia="Palatino Linotype"/>
        </w:rPr>
        <w:t xml:space="preserve"> </w:t>
      </w:r>
      <w:r w:rsidRPr="008406F6">
        <w:rPr>
          <w:rFonts w:eastAsia="Palatino Linotype"/>
          <w:b/>
        </w:rPr>
        <w:t>que derive del ejercicio de sus facultades, competencias o funciones</w:t>
      </w:r>
      <w:r w:rsidRPr="008406F6">
        <w:rPr>
          <w:rFonts w:eastAsia="Palatino Linotype"/>
        </w:rPr>
        <w:t>, considerando desde su origen la eventual publicidad y reutilización de la información que generen.</w:t>
      </w:r>
    </w:p>
    <w:p w14:paraId="24231C8B" w14:textId="77777777" w:rsidR="00C35623" w:rsidRPr="008406F6" w:rsidRDefault="00C35623" w:rsidP="008406F6">
      <w:pPr>
        <w:pStyle w:val="Puesto"/>
        <w:ind w:right="539"/>
        <w:rPr>
          <w:rFonts w:eastAsia="Palatino Linotype"/>
        </w:rPr>
      </w:pPr>
      <w:r w:rsidRPr="008406F6">
        <w:rPr>
          <w:rFonts w:eastAsia="Palatino Linotype"/>
        </w:rPr>
        <w:lastRenderedPageBreak/>
        <w:t>(…)</w:t>
      </w:r>
    </w:p>
    <w:p w14:paraId="720AD670" w14:textId="77777777" w:rsidR="00C35623" w:rsidRPr="008406F6" w:rsidRDefault="00C35623" w:rsidP="008406F6">
      <w:pPr>
        <w:pStyle w:val="Puesto"/>
        <w:ind w:right="539"/>
        <w:rPr>
          <w:rFonts w:eastAsia="Palatino Linotype"/>
        </w:rPr>
      </w:pPr>
      <w:r w:rsidRPr="008406F6">
        <w:rPr>
          <w:rFonts w:eastAsia="Palatino Linotype"/>
          <w:b/>
        </w:rPr>
        <w:t>Artículo 24.</w:t>
      </w:r>
      <w:r w:rsidRPr="008406F6">
        <w:rPr>
          <w:rFonts w:eastAsia="Palatino Linotype"/>
        </w:rPr>
        <w:t xml:space="preserve"> Para el cumplimiento de los objetivos de esta Ley</w:t>
      </w:r>
      <w:r w:rsidRPr="008406F6">
        <w:rPr>
          <w:rFonts w:eastAsia="Palatino Linotype"/>
          <w:b/>
        </w:rPr>
        <w:t>, los sujetos obligados deberán cumplir con las siguientes obligaciones</w:t>
      </w:r>
      <w:r w:rsidRPr="008406F6">
        <w:rPr>
          <w:rFonts w:eastAsia="Palatino Linotype"/>
        </w:rPr>
        <w:t>, según corresponda, de acuerdo a su naturaleza:</w:t>
      </w:r>
    </w:p>
    <w:p w14:paraId="24D16DA4" w14:textId="77777777" w:rsidR="00C35623" w:rsidRPr="008406F6" w:rsidRDefault="00C35623" w:rsidP="008406F6">
      <w:pPr>
        <w:pStyle w:val="Puesto"/>
        <w:ind w:right="539"/>
        <w:rPr>
          <w:rFonts w:eastAsia="Palatino Linotype"/>
        </w:rPr>
      </w:pPr>
      <w:r w:rsidRPr="008406F6">
        <w:rPr>
          <w:rFonts w:eastAsia="Palatino Linotype"/>
        </w:rPr>
        <w:t>(…)</w:t>
      </w:r>
    </w:p>
    <w:p w14:paraId="1167F63C" w14:textId="77777777" w:rsidR="00C35623" w:rsidRPr="008406F6" w:rsidRDefault="00C35623" w:rsidP="008406F6">
      <w:pPr>
        <w:pStyle w:val="Puesto"/>
        <w:ind w:right="539"/>
        <w:rPr>
          <w:rFonts w:eastAsia="Palatino Linotype"/>
        </w:rPr>
      </w:pPr>
      <w:r w:rsidRPr="008406F6">
        <w:rPr>
          <w:rFonts w:eastAsia="Palatino Linotype"/>
          <w:b/>
        </w:rPr>
        <w:t>XXII.</w:t>
      </w:r>
      <w:r w:rsidRPr="008406F6">
        <w:rPr>
          <w:rFonts w:eastAsia="Palatino Linotype"/>
        </w:rPr>
        <w:t xml:space="preserve"> </w:t>
      </w:r>
      <w:r w:rsidRPr="008406F6">
        <w:rPr>
          <w:rFonts w:eastAsia="Palatino Linotype"/>
          <w:b/>
        </w:rPr>
        <w:t>Documentar todo acto que derive del ejercicio de sus facultades, competencias o funciones</w:t>
      </w:r>
      <w:r w:rsidRPr="008406F6">
        <w:rPr>
          <w:rFonts w:eastAsia="Palatino Linotype"/>
        </w:rPr>
        <w:t xml:space="preserve"> y abstenerse de destruirlos u ocultarlos, dentro de los que destacan los procesos deliberativos y de decisión definitiva;”</w:t>
      </w:r>
    </w:p>
    <w:p w14:paraId="7700594F" w14:textId="77777777" w:rsidR="00C35623" w:rsidRPr="008406F6" w:rsidRDefault="00C35623" w:rsidP="008406F6">
      <w:pPr>
        <w:contextualSpacing/>
      </w:pPr>
    </w:p>
    <w:p w14:paraId="5C5E247A" w14:textId="77777777" w:rsidR="00C35623" w:rsidRPr="008406F6" w:rsidRDefault="00C35623" w:rsidP="008406F6">
      <w:pPr>
        <w:contextualSpacing/>
        <w:rPr>
          <w:rFonts w:cs="Arial"/>
          <w:lang w:val="es-ES" w:eastAsia="es-MX"/>
        </w:rPr>
      </w:pPr>
      <w:r w:rsidRPr="008406F6">
        <w:t>A</w:t>
      </w:r>
      <w:proofErr w:type="spellStart"/>
      <w:r w:rsidRPr="008406F6">
        <w:rPr>
          <w:rFonts w:cs="Arial"/>
          <w:lang w:val="es-ES" w:eastAsia="es-MX"/>
        </w:rPr>
        <w:t>hora</w:t>
      </w:r>
      <w:proofErr w:type="spellEnd"/>
      <w:r w:rsidRPr="008406F6">
        <w:rPr>
          <w:rFonts w:cs="Arial"/>
          <w:lang w:val="es-ES" w:eastAsia="es-MX"/>
        </w:rPr>
        <w:t xml:space="preserve"> bien, es preciso señalar que de igual manera al momento de interponer la solicitud de acceso a la información la </w:t>
      </w:r>
      <w:r w:rsidRPr="008406F6">
        <w:rPr>
          <w:rFonts w:cs="Arial"/>
          <w:b/>
          <w:bCs/>
          <w:lang w:val="es-ES" w:eastAsia="es-MX"/>
        </w:rPr>
        <w:t xml:space="preserve">PERSONA RECURRENTE </w:t>
      </w:r>
      <w:r w:rsidRPr="008406F6">
        <w:rPr>
          <w:rFonts w:cs="Arial"/>
          <w:lang w:val="es-ES" w:eastAsia="es-MX"/>
        </w:rPr>
        <w:t>no señaló con precisión la temporalidad por la que requería la información, toda vez, que sólo se limitó a referir que requería las actas de entrega recepción.</w:t>
      </w:r>
    </w:p>
    <w:p w14:paraId="22AA3D81" w14:textId="77777777" w:rsidR="00C35623" w:rsidRPr="008406F6" w:rsidRDefault="00C35623" w:rsidP="008406F6">
      <w:pPr>
        <w:spacing w:before="100" w:beforeAutospacing="1" w:after="100" w:afterAutospacing="1"/>
      </w:pPr>
      <w:r w:rsidRPr="008406F6">
        <w:rPr>
          <w:rFonts w:cs="Arial"/>
          <w:lang w:val="es-ES" w:eastAsia="es-MX"/>
        </w:rPr>
        <w:t xml:space="preserve">En ese sentido, cabe precisar, que conforme a lo establecido en el artículo 7 del Reglamento para los Procesos de Entrega y Recepción y de Rendición de Cuentas de la Administración Pública del Estado de México, se cuenta con el plazo de </w:t>
      </w:r>
      <w:r w:rsidRPr="008406F6">
        <w:t>cinco días hábiles posteriores, contados a partir de que surta efectos la separación del empleo, cargo o comisión  o por la entrada en vigor del instrumento jurídico que contenga la modificación referida, mismo que podrá ser ampliado por el Órgano Interno de Control o la Contraloría, en caso de que así lo considere.</w:t>
      </w:r>
    </w:p>
    <w:p w14:paraId="780647E4" w14:textId="77777777" w:rsidR="00C35623" w:rsidRPr="008406F6" w:rsidRDefault="00C35623" w:rsidP="008406F6">
      <w:pPr>
        <w:spacing w:before="100" w:beforeAutospacing="1" w:after="100" w:afterAutospacing="1"/>
      </w:pPr>
      <w:r w:rsidRPr="008406F6">
        <w:t>Así, se tiene que, el inicio de la vigencia de la Nueva Ley Orgánica de la Administración Pública, conforme al transitorio primero, fue a partir del 16 de septiembre de 2023.</w:t>
      </w:r>
    </w:p>
    <w:p w14:paraId="2400E15A" w14:textId="456A95A8" w:rsidR="00C35623" w:rsidRPr="008406F6" w:rsidRDefault="00C35623" w:rsidP="008406F6">
      <w:pPr>
        <w:spacing w:before="100" w:beforeAutospacing="1" w:after="100" w:afterAutospacing="1"/>
        <w:rPr>
          <w:rFonts w:cs="Arial"/>
          <w:lang w:val="es-ES" w:eastAsia="es-MX"/>
        </w:rPr>
      </w:pPr>
      <w:r w:rsidRPr="008406F6">
        <w:t xml:space="preserve">Del mismo modo, se tiene que </w:t>
      </w:r>
      <w:r w:rsidRPr="008406F6">
        <w:rPr>
          <w:rFonts w:cs="Arial"/>
          <w:lang w:val="es-ES" w:eastAsia="es-MX"/>
        </w:rPr>
        <w:t xml:space="preserve">la persona titular del Poder Ejecutivo del Gobierno del Estado de México, tomó protesta a la persona titular de la Secretaría del Agua, el 16 de septiembre y </w:t>
      </w:r>
      <w:r w:rsidRPr="008406F6">
        <w:rPr>
          <w:rFonts w:cs="Arial"/>
          <w:lang w:val="es-ES" w:eastAsia="es-MX"/>
        </w:rPr>
        <w:lastRenderedPageBreak/>
        <w:t>al titular d</w:t>
      </w:r>
      <w:r w:rsidR="00E10AC4" w:rsidRPr="008406F6">
        <w:rPr>
          <w:rFonts w:cs="Arial"/>
          <w:lang w:val="es-ES" w:eastAsia="es-MX"/>
        </w:rPr>
        <w:t xml:space="preserve">e la Secretaría de Desarrollo Urbano e Infraestructura </w:t>
      </w:r>
      <w:r w:rsidRPr="008406F6">
        <w:rPr>
          <w:rFonts w:cs="Arial"/>
          <w:lang w:val="es-ES" w:eastAsia="es-MX"/>
        </w:rPr>
        <w:t>el día 19 de septiembre de 2023, como se lee en las notas periodísticas</w:t>
      </w:r>
      <w:r w:rsidRPr="008406F6">
        <w:rPr>
          <w:rStyle w:val="Refdenotaalpie"/>
          <w:rFonts w:cs="Arial"/>
          <w:lang w:val="es-ES" w:eastAsia="es-MX"/>
        </w:rPr>
        <w:footnoteReference w:id="2"/>
      </w:r>
      <w:r w:rsidRPr="008406F6">
        <w:rPr>
          <w:rFonts w:cs="Arial"/>
          <w:lang w:val="es-ES" w:eastAsia="es-MX"/>
        </w:rPr>
        <w:t xml:space="preserve"> siguientes:</w:t>
      </w:r>
    </w:p>
    <w:p w14:paraId="50D20659" w14:textId="77777777" w:rsidR="00C35623" w:rsidRPr="008406F6" w:rsidRDefault="00C35623" w:rsidP="008406F6">
      <w:pPr>
        <w:spacing w:before="100" w:beforeAutospacing="1" w:after="100" w:afterAutospacing="1"/>
        <w:rPr>
          <w:rFonts w:cs="Arial"/>
          <w:lang w:val="es-ES" w:eastAsia="es-MX"/>
        </w:rPr>
      </w:pPr>
      <w:r w:rsidRPr="008406F6">
        <w:rPr>
          <w:noProof/>
          <w:lang w:eastAsia="es-MX"/>
          <w14:ligatures w14:val="standardContextual"/>
        </w:rPr>
        <w:drawing>
          <wp:inline distT="0" distB="0" distL="0" distR="0" wp14:anchorId="20BE4F9B" wp14:editId="4000A74E">
            <wp:extent cx="5741307" cy="106547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85215" cy="1073623"/>
                    </a:xfrm>
                    <a:prstGeom prst="rect">
                      <a:avLst/>
                    </a:prstGeom>
                  </pic:spPr>
                </pic:pic>
              </a:graphicData>
            </a:graphic>
          </wp:inline>
        </w:drawing>
      </w:r>
    </w:p>
    <w:p w14:paraId="244A5734" w14:textId="77777777" w:rsidR="00C35623" w:rsidRPr="008406F6" w:rsidRDefault="00C35623" w:rsidP="008406F6">
      <w:pPr>
        <w:spacing w:before="100" w:beforeAutospacing="1" w:after="100" w:afterAutospacing="1"/>
        <w:rPr>
          <w:rFonts w:cs="Arial"/>
          <w:lang w:val="es-ES" w:eastAsia="es-MX"/>
        </w:rPr>
      </w:pPr>
      <w:r w:rsidRPr="008406F6">
        <w:rPr>
          <w:noProof/>
          <w:lang w:eastAsia="es-MX"/>
          <w14:ligatures w14:val="standardContextual"/>
        </w:rPr>
        <w:drawing>
          <wp:inline distT="0" distB="0" distL="0" distR="0" wp14:anchorId="741F2570" wp14:editId="69EC2C2D">
            <wp:extent cx="5738850" cy="78717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1681"/>
                    <a:stretch/>
                  </pic:blipFill>
                  <pic:spPr bwMode="auto">
                    <a:xfrm>
                      <a:off x="0" y="0"/>
                      <a:ext cx="5794549" cy="794819"/>
                    </a:xfrm>
                    <a:prstGeom prst="rect">
                      <a:avLst/>
                    </a:prstGeom>
                    <a:ln>
                      <a:noFill/>
                    </a:ln>
                    <a:extLst>
                      <a:ext uri="{53640926-AAD7-44D8-BBD7-CCE9431645EC}">
                        <a14:shadowObscured xmlns:a14="http://schemas.microsoft.com/office/drawing/2010/main"/>
                      </a:ext>
                    </a:extLst>
                  </pic:spPr>
                </pic:pic>
              </a:graphicData>
            </a:graphic>
          </wp:inline>
        </w:drawing>
      </w:r>
    </w:p>
    <w:p w14:paraId="53003BAF" w14:textId="77777777" w:rsidR="00C35623" w:rsidRPr="008406F6" w:rsidRDefault="00C35623" w:rsidP="008406F6">
      <w:pPr>
        <w:spacing w:before="100" w:beforeAutospacing="1" w:after="100" w:afterAutospacing="1"/>
        <w:rPr>
          <w:rFonts w:cs="Arial"/>
          <w:lang w:val="es-ES" w:eastAsia="es-MX"/>
        </w:rPr>
      </w:pPr>
      <w:r w:rsidRPr="008406F6">
        <w:rPr>
          <w:rFonts w:cs="Arial"/>
          <w:lang w:val="es-ES" w:eastAsia="es-MX"/>
        </w:rPr>
        <w:t>Delo que se infiere, que durante del periodo del 17 al 30 de septiembre de 2023, se llevaron a cabo las actas de entrega y recepción de las Secretarías de Estado referidas, en la solicitud de información.</w:t>
      </w:r>
    </w:p>
    <w:p w14:paraId="5287F23F" w14:textId="4AFE8197" w:rsidR="00C35623" w:rsidRPr="008406F6" w:rsidRDefault="00C35623" w:rsidP="008406F6">
      <w:pPr>
        <w:contextualSpacing/>
        <w:rPr>
          <w:rFonts w:eastAsia="Calibri" w:cs="Tahoma"/>
          <w:b/>
          <w:bCs/>
          <w:szCs w:val="22"/>
        </w:rPr>
      </w:pPr>
      <w:r w:rsidRPr="008406F6">
        <w:rPr>
          <w:rFonts w:cs="Arial"/>
          <w:lang w:val="es-ES" w:eastAsia="es-MX"/>
        </w:rPr>
        <w:t xml:space="preserve"> Por lo tanto, bajo los principios de certeza, eficacia y objetividad, establecidos en el artículo 9, de la Ley de Transparencia y Acceso a la Información Pública del Estado de México y Municipios, este Instituto como Órgano Garante determina que </w:t>
      </w:r>
      <w:r w:rsidRPr="008406F6">
        <w:rPr>
          <w:rFonts w:cs="Arial"/>
          <w:b/>
          <w:lang w:val="es-ES" w:eastAsia="es-MX"/>
        </w:rPr>
        <w:t xml:space="preserve">EL SUJETO OBLIGADO </w:t>
      </w:r>
      <w:r w:rsidRPr="008406F6">
        <w:rPr>
          <w:rFonts w:cs="Arial"/>
          <w:lang w:val="es-ES" w:eastAsia="es-MX"/>
        </w:rPr>
        <w:t xml:space="preserve">no atendió el derecho accionado por el particular, </w:t>
      </w:r>
      <w:r w:rsidRPr="008406F6">
        <w:rPr>
          <w:rFonts w:cs="Arial"/>
        </w:rPr>
        <w:t>en razón de lo anteriormente expuesto, y resulta factible ordenar la entrega de la información peticionada.</w:t>
      </w:r>
    </w:p>
    <w:p w14:paraId="673FF95A" w14:textId="77777777" w:rsidR="00390220" w:rsidRPr="008406F6" w:rsidRDefault="00390220" w:rsidP="008406F6">
      <w:pPr>
        <w:contextualSpacing/>
        <w:rPr>
          <w:rFonts w:eastAsia="Calibri" w:cs="Tahoma"/>
          <w:b/>
          <w:bCs/>
          <w:szCs w:val="22"/>
        </w:rPr>
      </w:pPr>
    </w:p>
    <w:p w14:paraId="66066626" w14:textId="27DA5128" w:rsidR="00C35623" w:rsidRPr="008406F6" w:rsidRDefault="00C35623" w:rsidP="008406F6">
      <w:pPr>
        <w:contextualSpacing/>
        <w:rPr>
          <w:rFonts w:eastAsia="Calibri" w:cs="Tahoma"/>
          <w:bCs/>
          <w:szCs w:val="22"/>
        </w:rPr>
      </w:pPr>
      <w:r w:rsidRPr="008406F6">
        <w:rPr>
          <w:rFonts w:eastAsia="Calibri" w:cs="Tahoma"/>
          <w:bCs/>
          <w:szCs w:val="22"/>
        </w:rPr>
        <w:lastRenderedPageBreak/>
        <w:t xml:space="preserve">Por otro lado, no pasa desapercibido de este Órgano Garante que, ante la declaración de incompetencia señalada en primera instancia, tenemos que a través del informe justificado modifica su respuesta primigenia al dejar de insistir en que no es la Entidad Gubernamental competente para dar atención a los requerimientos inmersos en las solicitudes </w:t>
      </w:r>
      <w:r w:rsidR="001367FE" w:rsidRPr="008406F6">
        <w:rPr>
          <w:rFonts w:eastAsia="Calibri" w:cs="Tahoma"/>
          <w:bCs/>
          <w:szCs w:val="22"/>
        </w:rPr>
        <w:t>de información</w:t>
      </w:r>
      <w:r w:rsidR="00137410" w:rsidRPr="008406F6">
        <w:rPr>
          <w:rFonts w:eastAsia="Calibri" w:cs="Tahoma"/>
          <w:bCs/>
          <w:szCs w:val="22"/>
        </w:rPr>
        <w:t>.</w:t>
      </w:r>
    </w:p>
    <w:p w14:paraId="184382F5" w14:textId="77777777" w:rsidR="001367FE" w:rsidRPr="008406F6" w:rsidRDefault="001367FE" w:rsidP="008406F6">
      <w:pPr>
        <w:contextualSpacing/>
        <w:rPr>
          <w:rFonts w:eastAsia="Calibri" w:cs="Tahoma"/>
          <w:bCs/>
          <w:szCs w:val="22"/>
        </w:rPr>
      </w:pPr>
    </w:p>
    <w:p w14:paraId="71039E42" w14:textId="579FAD11" w:rsidR="001367FE" w:rsidRPr="008406F6" w:rsidRDefault="001367FE" w:rsidP="008406F6">
      <w:pPr>
        <w:contextualSpacing/>
        <w:rPr>
          <w:rFonts w:eastAsia="Calibri" w:cs="Tahoma"/>
          <w:bCs/>
          <w:szCs w:val="22"/>
        </w:rPr>
      </w:pPr>
      <w:r w:rsidRPr="008406F6">
        <w:rPr>
          <w:rFonts w:eastAsia="Calibri" w:cs="Tahoma"/>
          <w:bCs/>
          <w:szCs w:val="22"/>
        </w:rPr>
        <w:t xml:space="preserve">Por otro lado, conforme a la normatividad anteriormente plasmada es posible dilucidar que ante todo acto de entrega y recepción deberá estar en vigilancia del Órgano Interno de Control de toda Entidad Gubernamental del Poder Ejecutivo Estatal y sus derivados, es por ello que conforme a lo establecido en el Reglamento Interior de la Secretaría de la Contraloría los órganos internos de control en las dependencias señaladas estarán coordinadas por la Dirección de Coordinación y Enlace de Órgano Interno de Control, unidad administrativa que se encuentra adscrita directamente a la Secretaría de la Contraloría, es decir el </w:t>
      </w:r>
      <w:r w:rsidRPr="008406F6">
        <w:rPr>
          <w:rFonts w:eastAsia="Calibri" w:cs="Tahoma"/>
          <w:b/>
          <w:bCs/>
          <w:szCs w:val="22"/>
        </w:rPr>
        <w:t xml:space="preserve">SUJETO OBLIGADO </w:t>
      </w:r>
      <w:r w:rsidRPr="008406F6">
        <w:rPr>
          <w:rFonts w:eastAsia="Calibri" w:cs="Tahoma"/>
          <w:bCs/>
          <w:szCs w:val="22"/>
        </w:rPr>
        <w:t>tiene acceso a las documentales que son generadas y administradas por los Órganos Internos de Control de toda dependencia. Sirve de sustento la siguiente transcripción:</w:t>
      </w:r>
    </w:p>
    <w:p w14:paraId="23BF4CE1" w14:textId="77777777" w:rsidR="001367FE" w:rsidRPr="008406F6" w:rsidRDefault="001367FE" w:rsidP="008406F6">
      <w:pPr>
        <w:contextualSpacing/>
        <w:rPr>
          <w:rFonts w:eastAsia="Calibri" w:cs="Tahoma"/>
          <w:bCs/>
          <w:szCs w:val="22"/>
        </w:rPr>
      </w:pPr>
    </w:p>
    <w:p w14:paraId="452B2B92" w14:textId="77777777" w:rsidR="001367FE" w:rsidRPr="008406F6" w:rsidRDefault="001367FE" w:rsidP="008406F6">
      <w:pPr>
        <w:ind w:left="567" w:right="539"/>
        <w:rPr>
          <w:rFonts w:eastAsiaTheme="majorEastAsia" w:cstheme="majorBidi"/>
          <w:i/>
          <w:kern w:val="28"/>
          <w:szCs w:val="56"/>
        </w:rPr>
      </w:pPr>
      <w:r w:rsidRPr="008406F6">
        <w:rPr>
          <w:rFonts w:eastAsiaTheme="majorEastAsia" w:cstheme="majorBidi"/>
          <w:b/>
          <w:i/>
          <w:kern w:val="28"/>
          <w:szCs w:val="56"/>
        </w:rPr>
        <w:t>Artículo 4.</w:t>
      </w:r>
      <w:r w:rsidRPr="008406F6">
        <w:rPr>
          <w:rFonts w:eastAsiaTheme="majorEastAsia" w:cstheme="majorBidi"/>
          <w:i/>
          <w:kern w:val="28"/>
          <w:szCs w:val="56"/>
        </w:rPr>
        <w:t xml:space="preserve"> Para el estudio, planeación y atención de los asuntos de su competencia, al frente de Secretaría estará una persona titular, quien se auxiliará de las unidades administrativas básicas siguientes:</w:t>
      </w:r>
    </w:p>
    <w:p w14:paraId="24334979" w14:textId="77777777" w:rsidR="001367FE" w:rsidRPr="008406F6" w:rsidRDefault="001367FE" w:rsidP="008406F6">
      <w:pPr>
        <w:ind w:left="567" w:right="539"/>
        <w:rPr>
          <w:rFonts w:eastAsiaTheme="majorEastAsia" w:cstheme="majorBidi"/>
          <w:i/>
          <w:kern w:val="28"/>
          <w:szCs w:val="56"/>
        </w:rPr>
      </w:pPr>
      <w:r w:rsidRPr="008406F6">
        <w:rPr>
          <w:rFonts w:eastAsiaTheme="majorEastAsia" w:cstheme="majorBidi"/>
          <w:i/>
          <w:kern w:val="28"/>
          <w:szCs w:val="56"/>
        </w:rPr>
        <w:t>…</w:t>
      </w:r>
    </w:p>
    <w:p w14:paraId="5E965ABB" w14:textId="77777777" w:rsidR="001367FE" w:rsidRPr="008406F6" w:rsidRDefault="001367FE" w:rsidP="008406F6">
      <w:pPr>
        <w:ind w:left="567" w:right="539"/>
        <w:rPr>
          <w:b/>
          <w:i/>
        </w:rPr>
      </w:pPr>
      <w:r w:rsidRPr="008406F6">
        <w:rPr>
          <w:b/>
          <w:i/>
        </w:rPr>
        <w:t>VIII. Dirección de Coordinación y Enlace de Órgano Interno de Control;</w:t>
      </w:r>
    </w:p>
    <w:p w14:paraId="4923A57B" w14:textId="77777777" w:rsidR="001367FE" w:rsidRPr="008406F6" w:rsidRDefault="001367FE" w:rsidP="008406F6">
      <w:pPr>
        <w:ind w:left="567" w:right="539"/>
        <w:rPr>
          <w:rFonts w:eastAsiaTheme="majorEastAsia" w:cstheme="majorBidi"/>
          <w:i/>
          <w:kern w:val="28"/>
          <w:szCs w:val="56"/>
        </w:rPr>
      </w:pPr>
      <w:r w:rsidRPr="008406F6">
        <w:rPr>
          <w:i/>
        </w:rPr>
        <w:t>…</w:t>
      </w:r>
    </w:p>
    <w:p w14:paraId="77902896" w14:textId="77777777" w:rsidR="001367FE" w:rsidRPr="008406F6" w:rsidRDefault="001367FE" w:rsidP="008406F6">
      <w:pPr>
        <w:ind w:left="567" w:right="539"/>
        <w:rPr>
          <w:i/>
        </w:rPr>
      </w:pPr>
      <w:r w:rsidRPr="008406F6">
        <w:rPr>
          <w:i/>
        </w:rPr>
        <w:t xml:space="preserve">I. </w:t>
      </w:r>
      <w:r w:rsidRPr="008406F6">
        <w:rPr>
          <w:b/>
          <w:i/>
          <w:u w:val="single"/>
        </w:rPr>
        <w:t>Coordinar a los órganos internos de control en las dependencias y organismos auxiliares, en el cumplimiento de sus facultades;</w:t>
      </w:r>
    </w:p>
    <w:p w14:paraId="7071F894" w14:textId="77777777" w:rsidR="001367FE" w:rsidRPr="008406F6" w:rsidRDefault="001367FE" w:rsidP="008406F6">
      <w:pPr>
        <w:ind w:left="567" w:right="539"/>
        <w:rPr>
          <w:i/>
        </w:rPr>
      </w:pPr>
      <w:r w:rsidRPr="008406F6">
        <w:rPr>
          <w:i/>
        </w:rPr>
        <w:lastRenderedPageBreak/>
        <w:t xml:space="preserve">VIII. Supervisar en el ámbito de su competencia, las actividades de los órganos internos de control, a fin de verificar que cumplan con las políticas, normas, lineamientos, procedimientos y demás disposiciones que al efecto se establezcan; </w:t>
      </w:r>
    </w:p>
    <w:p w14:paraId="7CF51632" w14:textId="5F5A29CB" w:rsidR="001367FE" w:rsidRPr="008406F6" w:rsidRDefault="001367FE" w:rsidP="008406F6">
      <w:pPr>
        <w:ind w:left="567" w:right="539"/>
        <w:rPr>
          <w:rFonts w:eastAsia="Calibri" w:cs="Tahoma"/>
          <w:bCs/>
          <w:szCs w:val="22"/>
        </w:rPr>
      </w:pPr>
      <w:proofErr w:type="gramStart"/>
      <w:r w:rsidRPr="008406F6">
        <w:rPr>
          <w:i/>
        </w:rPr>
        <w:t>por</w:t>
      </w:r>
      <w:proofErr w:type="gramEnd"/>
      <w:r w:rsidRPr="008406F6">
        <w:rPr>
          <w:i/>
        </w:rPr>
        <w:t xml:space="preserve"> los órganos internos de control en las dependencias y organismos auxiliares;</w:t>
      </w:r>
    </w:p>
    <w:p w14:paraId="36207F78" w14:textId="77777777" w:rsidR="001367FE" w:rsidRPr="008406F6" w:rsidRDefault="001367FE" w:rsidP="008406F6">
      <w:pPr>
        <w:contextualSpacing/>
        <w:rPr>
          <w:rFonts w:eastAsia="Calibri" w:cs="Tahoma"/>
          <w:bCs/>
          <w:szCs w:val="22"/>
        </w:rPr>
      </w:pPr>
    </w:p>
    <w:p w14:paraId="17C6F3CA" w14:textId="365BDD25" w:rsidR="001367FE" w:rsidRPr="008406F6" w:rsidRDefault="00A9743C" w:rsidP="008406F6">
      <w:pPr>
        <w:contextualSpacing/>
        <w:rPr>
          <w:rFonts w:eastAsia="Calibri" w:cs="Tahoma"/>
          <w:bCs/>
          <w:szCs w:val="22"/>
        </w:rPr>
      </w:pPr>
      <w:r w:rsidRPr="008406F6">
        <w:rPr>
          <w:rFonts w:eastAsia="Calibri" w:cs="Tahoma"/>
          <w:bCs/>
          <w:szCs w:val="22"/>
        </w:rPr>
        <w:t>Luego entonces al ser la Secretaría de la Contraloría la dependencia del Poder Ejecutivo que administra y coordina a los Órganos Internos de Control a todas luces es visible la competencia para conocer sobre los requerimientos inmersos en las solicitudes de información.</w:t>
      </w:r>
    </w:p>
    <w:p w14:paraId="604FC184" w14:textId="77777777" w:rsidR="00390220" w:rsidRPr="008406F6" w:rsidRDefault="00390220" w:rsidP="008406F6">
      <w:pPr>
        <w:contextualSpacing/>
        <w:rPr>
          <w:rFonts w:eastAsia="Calibri" w:cs="Tahoma"/>
          <w:b/>
          <w:bCs/>
          <w:szCs w:val="22"/>
        </w:rPr>
      </w:pPr>
    </w:p>
    <w:p w14:paraId="69031675" w14:textId="77777777" w:rsidR="00A9743C" w:rsidRPr="008406F6" w:rsidRDefault="00A9743C" w:rsidP="008406F6">
      <w:pPr>
        <w:pStyle w:val="Ttulo3"/>
        <w:rPr>
          <w:szCs w:val="22"/>
        </w:rPr>
      </w:pPr>
      <w:bookmarkStart w:id="32" w:name="_Toc172153688"/>
      <w:bookmarkStart w:id="33" w:name="_Toc178603938"/>
      <w:bookmarkStart w:id="34" w:name="_Toc179364845"/>
      <w:bookmarkStart w:id="35" w:name="_Toc181264992"/>
      <w:r w:rsidRPr="008406F6">
        <w:rPr>
          <w:szCs w:val="22"/>
        </w:rPr>
        <w:t>d) Versión pública</w:t>
      </w:r>
      <w:bookmarkEnd w:id="32"/>
      <w:bookmarkEnd w:id="33"/>
      <w:bookmarkEnd w:id="34"/>
      <w:bookmarkEnd w:id="35"/>
    </w:p>
    <w:p w14:paraId="36817600" w14:textId="77777777" w:rsidR="00A9743C" w:rsidRPr="008406F6" w:rsidRDefault="00A9743C" w:rsidP="008406F6">
      <w:pPr>
        <w:rPr>
          <w:szCs w:val="22"/>
        </w:rPr>
      </w:pPr>
      <w:r w:rsidRPr="008406F6">
        <w:rPr>
          <w:szCs w:val="22"/>
        </w:rPr>
        <w:t xml:space="preserve">Para el caso de que el o los documentos de los cuales se ordena su entrega contengan datos personales susceptibles de ser testados, deberán ser entregados en </w:t>
      </w:r>
      <w:r w:rsidRPr="008406F6">
        <w:rPr>
          <w:b/>
          <w:szCs w:val="22"/>
        </w:rPr>
        <w:t>versión pública</w:t>
      </w:r>
      <w:r w:rsidRPr="008406F6">
        <w:rPr>
          <w:szCs w:val="22"/>
        </w:rPr>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F989C45" w14:textId="77777777" w:rsidR="00A9743C" w:rsidRPr="008406F6" w:rsidRDefault="00A9743C" w:rsidP="008406F6">
      <w:pPr>
        <w:rPr>
          <w:szCs w:val="22"/>
        </w:rPr>
      </w:pPr>
    </w:p>
    <w:p w14:paraId="3CAFB45F" w14:textId="77777777" w:rsidR="00A9743C" w:rsidRPr="008406F6" w:rsidRDefault="00A9743C" w:rsidP="008406F6">
      <w:pPr>
        <w:rPr>
          <w:szCs w:val="22"/>
        </w:rPr>
      </w:pPr>
      <w:r w:rsidRPr="008406F6">
        <w:rPr>
          <w:szCs w:val="22"/>
        </w:rPr>
        <w:t>A este respecto, los artículos 3, fracciones IX, XX, XXI y XLV; 51 y 52 de la Ley de Transparencia y Acceso a la Información Pública del Estado de México y Municipios establecen:</w:t>
      </w:r>
    </w:p>
    <w:p w14:paraId="3BA767EB" w14:textId="77777777" w:rsidR="00A9743C" w:rsidRPr="008406F6" w:rsidRDefault="00A9743C" w:rsidP="008406F6">
      <w:pPr>
        <w:rPr>
          <w:szCs w:val="22"/>
        </w:rPr>
      </w:pPr>
    </w:p>
    <w:p w14:paraId="204A802F" w14:textId="77777777" w:rsidR="00A9743C" w:rsidRPr="008406F6" w:rsidRDefault="00A9743C" w:rsidP="008406F6">
      <w:pPr>
        <w:pStyle w:val="Puesto"/>
        <w:rPr>
          <w:szCs w:val="22"/>
        </w:rPr>
      </w:pPr>
      <w:r w:rsidRPr="008406F6">
        <w:rPr>
          <w:b/>
          <w:szCs w:val="22"/>
        </w:rPr>
        <w:t xml:space="preserve">“Artículo 3. </w:t>
      </w:r>
      <w:r w:rsidRPr="008406F6">
        <w:rPr>
          <w:szCs w:val="22"/>
        </w:rPr>
        <w:t xml:space="preserve">Para los efectos de la presente Ley se entenderá por: </w:t>
      </w:r>
    </w:p>
    <w:p w14:paraId="65244E6F" w14:textId="77777777" w:rsidR="00A9743C" w:rsidRPr="008406F6" w:rsidRDefault="00A9743C" w:rsidP="008406F6">
      <w:pPr>
        <w:pStyle w:val="Puesto"/>
        <w:rPr>
          <w:szCs w:val="22"/>
        </w:rPr>
      </w:pPr>
      <w:r w:rsidRPr="008406F6">
        <w:rPr>
          <w:b/>
          <w:szCs w:val="22"/>
        </w:rPr>
        <w:lastRenderedPageBreak/>
        <w:t>IX.</w:t>
      </w:r>
      <w:r w:rsidRPr="008406F6">
        <w:rPr>
          <w:szCs w:val="22"/>
        </w:rPr>
        <w:t xml:space="preserve"> </w:t>
      </w:r>
      <w:r w:rsidRPr="008406F6">
        <w:rPr>
          <w:b/>
          <w:szCs w:val="22"/>
        </w:rPr>
        <w:t xml:space="preserve">Datos personales: </w:t>
      </w:r>
      <w:r w:rsidRPr="008406F6">
        <w:rPr>
          <w:szCs w:val="22"/>
        </w:rPr>
        <w:t xml:space="preserve">La información concerniente a una persona, identificada o identificable según lo dispuesto por la Ley de Protección de Datos Personales del Estado de México; </w:t>
      </w:r>
    </w:p>
    <w:p w14:paraId="3CE1DD7A" w14:textId="77777777" w:rsidR="00A9743C" w:rsidRPr="008406F6" w:rsidRDefault="00A9743C" w:rsidP="008406F6">
      <w:pPr>
        <w:pStyle w:val="Puesto"/>
        <w:rPr>
          <w:szCs w:val="22"/>
        </w:rPr>
      </w:pPr>
    </w:p>
    <w:p w14:paraId="3FFA7367" w14:textId="77777777" w:rsidR="00A9743C" w:rsidRPr="008406F6" w:rsidRDefault="00A9743C" w:rsidP="008406F6">
      <w:pPr>
        <w:pStyle w:val="Puesto"/>
        <w:rPr>
          <w:szCs w:val="22"/>
        </w:rPr>
      </w:pPr>
      <w:r w:rsidRPr="008406F6">
        <w:rPr>
          <w:b/>
          <w:szCs w:val="22"/>
        </w:rPr>
        <w:t>XX.</w:t>
      </w:r>
      <w:r w:rsidRPr="008406F6">
        <w:rPr>
          <w:szCs w:val="22"/>
        </w:rPr>
        <w:t xml:space="preserve"> </w:t>
      </w:r>
      <w:r w:rsidRPr="008406F6">
        <w:rPr>
          <w:b/>
          <w:szCs w:val="22"/>
        </w:rPr>
        <w:t>Información clasificada:</w:t>
      </w:r>
      <w:r w:rsidRPr="008406F6">
        <w:rPr>
          <w:szCs w:val="22"/>
        </w:rPr>
        <w:t xml:space="preserve"> Aquella considerada por la presente Ley como reservada o confidencial; </w:t>
      </w:r>
    </w:p>
    <w:p w14:paraId="062A0758" w14:textId="77777777" w:rsidR="00A9743C" w:rsidRPr="008406F6" w:rsidRDefault="00A9743C" w:rsidP="008406F6">
      <w:pPr>
        <w:pStyle w:val="Puesto"/>
        <w:rPr>
          <w:szCs w:val="22"/>
        </w:rPr>
      </w:pPr>
    </w:p>
    <w:p w14:paraId="1568750B" w14:textId="77777777" w:rsidR="00A9743C" w:rsidRPr="008406F6" w:rsidRDefault="00A9743C" w:rsidP="008406F6">
      <w:pPr>
        <w:pStyle w:val="Puesto"/>
        <w:rPr>
          <w:szCs w:val="22"/>
        </w:rPr>
      </w:pPr>
      <w:r w:rsidRPr="008406F6">
        <w:rPr>
          <w:b/>
          <w:szCs w:val="22"/>
        </w:rPr>
        <w:t>XXI.</w:t>
      </w:r>
      <w:r w:rsidRPr="008406F6">
        <w:rPr>
          <w:szCs w:val="22"/>
        </w:rPr>
        <w:t xml:space="preserve"> </w:t>
      </w:r>
      <w:r w:rsidRPr="008406F6">
        <w:rPr>
          <w:b/>
          <w:szCs w:val="22"/>
        </w:rPr>
        <w:t>Información confidencial</w:t>
      </w:r>
      <w:r w:rsidRPr="008406F6">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35ED1B4" w14:textId="77777777" w:rsidR="00A9743C" w:rsidRPr="008406F6" w:rsidRDefault="00A9743C" w:rsidP="008406F6">
      <w:pPr>
        <w:pStyle w:val="Puesto"/>
        <w:rPr>
          <w:szCs w:val="22"/>
        </w:rPr>
      </w:pPr>
    </w:p>
    <w:p w14:paraId="479FD4C3" w14:textId="77777777" w:rsidR="00A9743C" w:rsidRPr="008406F6" w:rsidRDefault="00A9743C" w:rsidP="008406F6">
      <w:pPr>
        <w:pStyle w:val="Puesto"/>
        <w:rPr>
          <w:szCs w:val="22"/>
        </w:rPr>
      </w:pPr>
      <w:r w:rsidRPr="008406F6">
        <w:rPr>
          <w:b/>
          <w:szCs w:val="22"/>
        </w:rPr>
        <w:t>XLV. Versión pública:</w:t>
      </w:r>
      <w:r w:rsidRPr="008406F6">
        <w:rPr>
          <w:szCs w:val="22"/>
        </w:rPr>
        <w:t xml:space="preserve"> Documento en el que se elimine, suprime o borra la información clasificada como reservada o confidencial para permitir su acceso. </w:t>
      </w:r>
    </w:p>
    <w:p w14:paraId="59B205AB" w14:textId="77777777" w:rsidR="00A9743C" w:rsidRPr="008406F6" w:rsidRDefault="00A9743C" w:rsidP="008406F6">
      <w:pPr>
        <w:pStyle w:val="Puesto"/>
        <w:rPr>
          <w:szCs w:val="22"/>
        </w:rPr>
      </w:pPr>
    </w:p>
    <w:p w14:paraId="1D90603E" w14:textId="77777777" w:rsidR="00A9743C" w:rsidRPr="008406F6" w:rsidRDefault="00A9743C" w:rsidP="008406F6">
      <w:pPr>
        <w:pStyle w:val="Puesto"/>
        <w:rPr>
          <w:szCs w:val="22"/>
        </w:rPr>
      </w:pPr>
      <w:r w:rsidRPr="008406F6">
        <w:rPr>
          <w:b/>
          <w:szCs w:val="22"/>
        </w:rPr>
        <w:t>Artículo 51.</w:t>
      </w:r>
      <w:r w:rsidRPr="008406F6">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406F6">
        <w:rPr>
          <w:b/>
          <w:szCs w:val="22"/>
        </w:rPr>
        <w:t xml:space="preserve">y tendrá la responsabilidad de verificar en cada caso que la misma no sea confidencial o reservada. </w:t>
      </w:r>
      <w:r w:rsidRPr="008406F6">
        <w:rPr>
          <w:szCs w:val="22"/>
        </w:rPr>
        <w:t>Dicha Unidad contará con las facultades internas necesarias para gestionar la atención a las solicitudes de información en los términos de la Ley General y la presente Ley.</w:t>
      </w:r>
    </w:p>
    <w:p w14:paraId="46C8EC4F" w14:textId="77777777" w:rsidR="00A9743C" w:rsidRPr="008406F6" w:rsidRDefault="00A9743C" w:rsidP="008406F6">
      <w:pPr>
        <w:pStyle w:val="Puesto"/>
        <w:rPr>
          <w:szCs w:val="22"/>
        </w:rPr>
      </w:pPr>
    </w:p>
    <w:p w14:paraId="251E7EF9" w14:textId="77777777" w:rsidR="00A9743C" w:rsidRPr="008406F6" w:rsidRDefault="00A9743C" w:rsidP="008406F6">
      <w:pPr>
        <w:pStyle w:val="Puesto"/>
        <w:rPr>
          <w:szCs w:val="22"/>
        </w:rPr>
      </w:pPr>
      <w:r w:rsidRPr="008406F6">
        <w:rPr>
          <w:b/>
          <w:szCs w:val="22"/>
        </w:rPr>
        <w:t>Artículo 52.</w:t>
      </w:r>
      <w:r w:rsidRPr="008406F6">
        <w:rPr>
          <w:szCs w:val="22"/>
        </w:rPr>
        <w:t xml:space="preserve"> Las solicitudes de acceso a la información y las respuestas que se les dé, incluyendo, en su caso, </w:t>
      </w:r>
      <w:r w:rsidRPr="008406F6">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8406F6">
        <w:rPr>
          <w:szCs w:val="22"/>
        </w:rPr>
        <w:t>, siempre y cuando la resolución de referencia se someta a un proceso de disociación, es decir, no haga identificable al titular de tales datos personales.” (Énfasis añadido)</w:t>
      </w:r>
    </w:p>
    <w:p w14:paraId="1DF9DBFE" w14:textId="77777777" w:rsidR="00A9743C" w:rsidRPr="008406F6" w:rsidRDefault="00A9743C" w:rsidP="008406F6">
      <w:pPr>
        <w:rPr>
          <w:szCs w:val="22"/>
        </w:rPr>
      </w:pPr>
    </w:p>
    <w:p w14:paraId="15796855" w14:textId="77777777" w:rsidR="00A9743C" w:rsidRPr="008406F6" w:rsidRDefault="00A9743C" w:rsidP="008406F6">
      <w:pPr>
        <w:rPr>
          <w:szCs w:val="22"/>
        </w:rPr>
      </w:pPr>
      <w:r w:rsidRPr="008406F6">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w:t>
      </w:r>
      <w:r w:rsidRPr="008406F6">
        <w:rPr>
          <w:szCs w:val="22"/>
        </w:rPr>
        <w:lastRenderedPageBreak/>
        <w:t xml:space="preserve">dispuesto por el artículo 22, párrafo primero, relacionado con el 38 de la Ley de Protección de Datos Personales en Posesión de Sujetos Obligados del Estado de México y Municipios, los cuales se transcriben para mayor referencia: </w:t>
      </w:r>
    </w:p>
    <w:p w14:paraId="6DA43C2C" w14:textId="77777777" w:rsidR="00A9743C" w:rsidRPr="008406F6" w:rsidRDefault="00A9743C" w:rsidP="008406F6">
      <w:pPr>
        <w:rPr>
          <w:szCs w:val="22"/>
        </w:rPr>
      </w:pPr>
    </w:p>
    <w:p w14:paraId="50A56622" w14:textId="77777777" w:rsidR="00A9743C" w:rsidRPr="008406F6" w:rsidRDefault="00A9743C" w:rsidP="008406F6">
      <w:pPr>
        <w:pStyle w:val="Puesto"/>
        <w:rPr>
          <w:szCs w:val="22"/>
        </w:rPr>
      </w:pPr>
      <w:r w:rsidRPr="008406F6">
        <w:rPr>
          <w:b/>
          <w:szCs w:val="22"/>
        </w:rPr>
        <w:t>“Artículo 22.</w:t>
      </w:r>
      <w:r w:rsidRPr="008406F6">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744C13D2" w14:textId="77777777" w:rsidR="00A9743C" w:rsidRPr="008406F6" w:rsidRDefault="00A9743C" w:rsidP="008406F6">
      <w:pPr>
        <w:rPr>
          <w:szCs w:val="22"/>
        </w:rPr>
      </w:pPr>
    </w:p>
    <w:p w14:paraId="25A14797" w14:textId="77777777" w:rsidR="00A9743C" w:rsidRPr="008406F6" w:rsidRDefault="00A9743C" w:rsidP="008406F6">
      <w:pPr>
        <w:pStyle w:val="Puesto"/>
        <w:rPr>
          <w:szCs w:val="22"/>
        </w:rPr>
      </w:pPr>
      <w:r w:rsidRPr="008406F6">
        <w:rPr>
          <w:b/>
          <w:szCs w:val="22"/>
        </w:rPr>
        <w:t>Artículo 38.</w:t>
      </w:r>
      <w:r w:rsidRPr="008406F6">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406F6">
        <w:rPr>
          <w:b/>
          <w:szCs w:val="22"/>
        </w:rPr>
        <w:t>”</w:t>
      </w:r>
      <w:r w:rsidRPr="008406F6">
        <w:rPr>
          <w:szCs w:val="22"/>
        </w:rPr>
        <w:t xml:space="preserve"> </w:t>
      </w:r>
    </w:p>
    <w:p w14:paraId="37443FB3" w14:textId="77777777" w:rsidR="00A9743C" w:rsidRPr="008406F6" w:rsidRDefault="00A9743C" w:rsidP="008406F6">
      <w:pPr>
        <w:rPr>
          <w:i/>
          <w:szCs w:val="22"/>
        </w:rPr>
      </w:pPr>
    </w:p>
    <w:p w14:paraId="504C99AE" w14:textId="77777777" w:rsidR="00A9743C" w:rsidRPr="008406F6" w:rsidRDefault="00A9743C" w:rsidP="008406F6">
      <w:pPr>
        <w:rPr>
          <w:szCs w:val="22"/>
        </w:rPr>
      </w:pPr>
      <w:r w:rsidRPr="008406F6">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25B09861" w14:textId="77777777" w:rsidR="00A9743C" w:rsidRPr="008406F6" w:rsidRDefault="00A9743C" w:rsidP="008406F6">
      <w:pPr>
        <w:rPr>
          <w:szCs w:val="22"/>
        </w:rPr>
      </w:pPr>
    </w:p>
    <w:p w14:paraId="02D297DC" w14:textId="77777777" w:rsidR="00A9743C" w:rsidRPr="008406F6" w:rsidRDefault="00A9743C" w:rsidP="008406F6">
      <w:pPr>
        <w:rPr>
          <w:szCs w:val="22"/>
        </w:rPr>
      </w:pPr>
      <w:r w:rsidRPr="008406F6">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8406F6">
        <w:rPr>
          <w:b/>
          <w:szCs w:val="22"/>
        </w:rPr>
        <w:t>EL SUJETO OBLIGADO,</w:t>
      </w:r>
      <w:r w:rsidRPr="008406F6">
        <w:rPr>
          <w:szCs w:val="22"/>
        </w:rPr>
        <w:t xml:space="preserve"> por lo que, todo dato personal susceptible de clasificación debe ser protegido.</w:t>
      </w:r>
    </w:p>
    <w:p w14:paraId="6418857F" w14:textId="77777777" w:rsidR="00A9743C" w:rsidRPr="008406F6" w:rsidRDefault="00A9743C" w:rsidP="008406F6">
      <w:pPr>
        <w:rPr>
          <w:szCs w:val="22"/>
        </w:rPr>
      </w:pPr>
    </w:p>
    <w:p w14:paraId="1BC64A49" w14:textId="77777777" w:rsidR="00A9743C" w:rsidRPr="008406F6" w:rsidRDefault="00A9743C" w:rsidP="008406F6">
      <w:pPr>
        <w:rPr>
          <w:szCs w:val="22"/>
        </w:rPr>
      </w:pPr>
      <w:r w:rsidRPr="008406F6">
        <w:rPr>
          <w:szCs w:val="22"/>
        </w:rPr>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11C8147" w14:textId="77777777" w:rsidR="00A9743C" w:rsidRPr="008406F6" w:rsidRDefault="00A9743C" w:rsidP="008406F6">
      <w:pPr>
        <w:rPr>
          <w:szCs w:val="22"/>
        </w:rPr>
      </w:pPr>
    </w:p>
    <w:p w14:paraId="5D984174" w14:textId="77777777" w:rsidR="00A9743C" w:rsidRPr="008406F6" w:rsidRDefault="00A9743C" w:rsidP="008406F6">
      <w:pPr>
        <w:rPr>
          <w:szCs w:val="22"/>
        </w:rPr>
      </w:pPr>
      <w:r w:rsidRPr="008406F6">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513F5FA" w14:textId="77777777" w:rsidR="00A9743C" w:rsidRPr="008406F6" w:rsidRDefault="00A9743C" w:rsidP="008406F6">
      <w:pPr>
        <w:rPr>
          <w:szCs w:val="22"/>
        </w:rPr>
      </w:pPr>
    </w:p>
    <w:p w14:paraId="59D054CE" w14:textId="77777777" w:rsidR="00A9743C" w:rsidRPr="008406F6" w:rsidRDefault="00A9743C" w:rsidP="008406F6">
      <w:pPr>
        <w:pStyle w:val="Puesto"/>
        <w:rPr>
          <w:b/>
          <w:szCs w:val="22"/>
        </w:rPr>
      </w:pPr>
      <w:r w:rsidRPr="008406F6">
        <w:rPr>
          <w:b/>
          <w:szCs w:val="22"/>
        </w:rPr>
        <w:t>Ley de Transparencia y Acceso a la Información Pública del Estado de México y Municipios</w:t>
      </w:r>
    </w:p>
    <w:p w14:paraId="28524CA3" w14:textId="77777777" w:rsidR="00A9743C" w:rsidRPr="008406F6" w:rsidRDefault="00A9743C" w:rsidP="008406F6">
      <w:pPr>
        <w:rPr>
          <w:szCs w:val="22"/>
        </w:rPr>
      </w:pPr>
    </w:p>
    <w:p w14:paraId="7852CEF8" w14:textId="77777777" w:rsidR="00A9743C" w:rsidRPr="008406F6" w:rsidRDefault="00A9743C" w:rsidP="008406F6">
      <w:pPr>
        <w:pStyle w:val="Puesto"/>
        <w:rPr>
          <w:szCs w:val="22"/>
        </w:rPr>
      </w:pPr>
      <w:r w:rsidRPr="008406F6">
        <w:rPr>
          <w:b/>
          <w:szCs w:val="22"/>
        </w:rPr>
        <w:t xml:space="preserve">“Artículo 49. </w:t>
      </w:r>
      <w:r w:rsidRPr="008406F6">
        <w:rPr>
          <w:szCs w:val="22"/>
        </w:rPr>
        <w:t>Los Comités de Transparencia tendrán las siguientes atribuciones:</w:t>
      </w:r>
    </w:p>
    <w:p w14:paraId="1BDB046B" w14:textId="77777777" w:rsidR="00A9743C" w:rsidRPr="008406F6" w:rsidRDefault="00A9743C" w:rsidP="008406F6">
      <w:pPr>
        <w:pStyle w:val="Puesto"/>
        <w:rPr>
          <w:szCs w:val="22"/>
        </w:rPr>
      </w:pPr>
      <w:r w:rsidRPr="008406F6">
        <w:rPr>
          <w:b/>
          <w:szCs w:val="22"/>
        </w:rPr>
        <w:t>VIII.</w:t>
      </w:r>
      <w:r w:rsidRPr="008406F6">
        <w:rPr>
          <w:szCs w:val="22"/>
        </w:rPr>
        <w:t xml:space="preserve"> Aprobar, modificar o revocar la clasificación de la información;</w:t>
      </w:r>
    </w:p>
    <w:p w14:paraId="3C454E52" w14:textId="77777777" w:rsidR="00A9743C" w:rsidRPr="008406F6" w:rsidRDefault="00A9743C" w:rsidP="008406F6">
      <w:pPr>
        <w:pStyle w:val="Puesto"/>
        <w:rPr>
          <w:szCs w:val="22"/>
        </w:rPr>
      </w:pPr>
    </w:p>
    <w:p w14:paraId="49DA6446" w14:textId="77777777" w:rsidR="00A9743C" w:rsidRPr="008406F6" w:rsidRDefault="00A9743C" w:rsidP="008406F6">
      <w:pPr>
        <w:pStyle w:val="Puesto"/>
        <w:rPr>
          <w:szCs w:val="22"/>
        </w:rPr>
      </w:pPr>
      <w:r w:rsidRPr="008406F6">
        <w:rPr>
          <w:b/>
          <w:szCs w:val="22"/>
        </w:rPr>
        <w:t>Artículo 132.</w:t>
      </w:r>
      <w:r w:rsidRPr="008406F6">
        <w:rPr>
          <w:szCs w:val="22"/>
        </w:rPr>
        <w:t xml:space="preserve"> La clasificación de la información se llevará a cabo en el momento en que:</w:t>
      </w:r>
    </w:p>
    <w:p w14:paraId="5A45AC04" w14:textId="77777777" w:rsidR="00A9743C" w:rsidRPr="008406F6" w:rsidRDefault="00A9743C" w:rsidP="008406F6">
      <w:pPr>
        <w:pStyle w:val="Puesto"/>
        <w:rPr>
          <w:szCs w:val="22"/>
        </w:rPr>
      </w:pPr>
      <w:r w:rsidRPr="008406F6">
        <w:rPr>
          <w:b/>
          <w:szCs w:val="22"/>
        </w:rPr>
        <w:t>I.</w:t>
      </w:r>
      <w:r w:rsidRPr="008406F6">
        <w:rPr>
          <w:szCs w:val="22"/>
        </w:rPr>
        <w:t xml:space="preserve"> Se reciba una solicitud de acceso a la información;</w:t>
      </w:r>
    </w:p>
    <w:p w14:paraId="3DE50672" w14:textId="77777777" w:rsidR="00A9743C" w:rsidRPr="008406F6" w:rsidRDefault="00A9743C" w:rsidP="008406F6">
      <w:pPr>
        <w:pStyle w:val="Puesto"/>
        <w:rPr>
          <w:szCs w:val="22"/>
        </w:rPr>
      </w:pPr>
      <w:r w:rsidRPr="008406F6">
        <w:rPr>
          <w:b/>
          <w:szCs w:val="22"/>
        </w:rPr>
        <w:t>II.</w:t>
      </w:r>
      <w:r w:rsidRPr="008406F6">
        <w:rPr>
          <w:szCs w:val="22"/>
        </w:rPr>
        <w:t xml:space="preserve"> Se determine mediante resolución de autoridad competente; o</w:t>
      </w:r>
    </w:p>
    <w:p w14:paraId="163519F6" w14:textId="77777777" w:rsidR="00A9743C" w:rsidRPr="008406F6" w:rsidRDefault="00A9743C" w:rsidP="008406F6">
      <w:pPr>
        <w:pStyle w:val="Puesto"/>
        <w:rPr>
          <w:b/>
          <w:szCs w:val="22"/>
        </w:rPr>
      </w:pPr>
      <w:r w:rsidRPr="008406F6">
        <w:rPr>
          <w:b/>
          <w:szCs w:val="22"/>
        </w:rPr>
        <w:t>III.</w:t>
      </w:r>
      <w:r w:rsidRPr="008406F6">
        <w:rPr>
          <w:szCs w:val="22"/>
        </w:rPr>
        <w:t xml:space="preserve"> Se generen versiones públicas para dar cumplimiento a las obligaciones de transparencia previstas en esta Ley.</w:t>
      </w:r>
      <w:r w:rsidRPr="008406F6">
        <w:rPr>
          <w:b/>
          <w:szCs w:val="22"/>
        </w:rPr>
        <w:t>”</w:t>
      </w:r>
    </w:p>
    <w:p w14:paraId="0E319DFB" w14:textId="77777777" w:rsidR="00A9743C" w:rsidRPr="008406F6" w:rsidRDefault="00A9743C" w:rsidP="008406F6">
      <w:pPr>
        <w:pStyle w:val="Puesto"/>
        <w:rPr>
          <w:szCs w:val="22"/>
        </w:rPr>
      </w:pPr>
    </w:p>
    <w:p w14:paraId="20864EB9" w14:textId="77777777" w:rsidR="00A9743C" w:rsidRPr="008406F6" w:rsidRDefault="00A9743C" w:rsidP="008406F6">
      <w:pPr>
        <w:pStyle w:val="Puesto"/>
        <w:rPr>
          <w:szCs w:val="22"/>
        </w:rPr>
      </w:pPr>
      <w:r w:rsidRPr="008406F6">
        <w:rPr>
          <w:b/>
          <w:szCs w:val="22"/>
        </w:rPr>
        <w:t>“Segundo. -</w:t>
      </w:r>
      <w:r w:rsidRPr="008406F6">
        <w:rPr>
          <w:szCs w:val="22"/>
        </w:rPr>
        <w:t xml:space="preserve"> Para efectos de los presentes Lineamientos Generales, se entenderá por:</w:t>
      </w:r>
    </w:p>
    <w:p w14:paraId="5B86CCF2" w14:textId="77777777" w:rsidR="00A9743C" w:rsidRPr="008406F6" w:rsidRDefault="00A9743C" w:rsidP="008406F6">
      <w:pPr>
        <w:pStyle w:val="Puesto"/>
        <w:rPr>
          <w:szCs w:val="22"/>
        </w:rPr>
      </w:pPr>
      <w:r w:rsidRPr="008406F6">
        <w:rPr>
          <w:b/>
          <w:szCs w:val="22"/>
        </w:rPr>
        <w:t>XVIII.</w:t>
      </w:r>
      <w:r w:rsidRPr="008406F6">
        <w:rPr>
          <w:szCs w:val="22"/>
        </w:rPr>
        <w:t xml:space="preserve">  </w:t>
      </w:r>
      <w:r w:rsidRPr="008406F6">
        <w:rPr>
          <w:b/>
          <w:szCs w:val="22"/>
        </w:rPr>
        <w:t>Versión pública:</w:t>
      </w:r>
      <w:r w:rsidRPr="008406F6">
        <w:rPr>
          <w:szCs w:val="22"/>
        </w:rPr>
        <w:t xml:space="preserve"> El documento a partir del que se otorga acceso a la información, en el que se testan partes o secciones clasificadas, indicando el contenido de éstas de manera </w:t>
      </w:r>
      <w:r w:rsidRPr="008406F6">
        <w:rPr>
          <w:szCs w:val="22"/>
        </w:rPr>
        <w:lastRenderedPageBreak/>
        <w:t>genérica, fundando y motivando la reserva o confidencialidad, a través de la resolución que para tal efecto emita el Comité de Transparencia.</w:t>
      </w:r>
    </w:p>
    <w:p w14:paraId="5D715387" w14:textId="77777777" w:rsidR="00A9743C" w:rsidRPr="008406F6" w:rsidRDefault="00A9743C" w:rsidP="008406F6">
      <w:pPr>
        <w:pStyle w:val="Puesto"/>
        <w:rPr>
          <w:szCs w:val="22"/>
        </w:rPr>
      </w:pPr>
    </w:p>
    <w:p w14:paraId="5F9E464C" w14:textId="77777777" w:rsidR="00A9743C" w:rsidRPr="008406F6" w:rsidRDefault="00A9743C" w:rsidP="008406F6">
      <w:pPr>
        <w:pStyle w:val="Puesto"/>
        <w:rPr>
          <w:b/>
          <w:szCs w:val="22"/>
        </w:rPr>
      </w:pPr>
      <w:r w:rsidRPr="008406F6">
        <w:rPr>
          <w:b/>
          <w:szCs w:val="22"/>
        </w:rPr>
        <w:t>Lineamientos Generales en materia de Clasificación y Desclasificación de la Información</w:t>
      </w:r>
    </w:p>
    <w:p w14:paraId="55FBACCC" w14:textId="77777777" w:rsidR="00A9743C" w:rsidRPr="008406F6" w:rsidRDefault="00A9743C" w:rsidP="008406F6">
      <w:pPr>
        <w:pStyle w:val="Puesto"/>
        <w:rPr>
          <w:szCs w:val="22"/>
        </w:rPr>
      </w:pPr>
    </w:p>
    <w:p w14:paraId="3320EA1F" w14:textId="77777777" w:rsidR="00A9743C" w:rsidRPr="008406F6" w:rsidRDefault="00A9743C" w:rsidP="008406F6">
      <w:pPr>
        <w:pStyle w:val="Puesto"/>
        <w:rPr>
          <w:szCs w:val="22"/>
        </w:rPr>
      </w:pPr>
      <w:r w:rsidRPr="008406F6">
        <w:rPr>
          <w:b/>
          <w:szCs w:val="22"/>
        </w:rPr>
        <w:t>Cuarto.</w:t>
      </w:r>
      <w:r w:rsidRPr="008406F6">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0C28334" w14:textId="77777777" w:rsidR="00A9743C" w:rsidRPr="008406F6" w:rsidRDefault="00A9743C" w:rsidP="008406F6">
      <w:pPr>
        <w:pStyle w:val="Puesto"/>
        <w:rPr>
          <w:szCs w:val="22"/>
        </w:rPr>
      </w:pPr>
      <w:r w:rsidRPr="008406F6">
        <w:rPr>
          <w:szCs w:val="22"/>
        </w:rPr>
        <w:t>Los sujetos obligados deberán aplicar, de manera estricta, las excepciones al derecho de acceso a la información y sólo podrán invocarlas cuando acrediten su procedencia.</w:t>
      </w:r>
    </w:p>
    <w:p w14:paraId="11301080" w14:textId="77777777" w:rsidR="00A9743C" w:rsidRPr="008406F6" w:rsidRDefault="00A9743C" w:rsidP="008406F6">
      <w:pPr>
        <w:pStyle w:val="Puesto"/>
        <w:rPr>
          <w:szCs w:val="22"/>
        </w:rPr>
      </w:pPr>
    </w:p>
    <w:p w14:paraId="7BF5B139" w14:textId="77777777" w:rsidR="00A9743C" w:rsidRPr="008406F6" w:rsidRDefault="00A9743C" w:rsidP="008406F6">
      <w:pPr>
        <w:pStyle w:val="Puesto"/>
        <w:rPr>
          <w:szCs w:val="22"/>
        </w:rPr>
      </w:pPr>
      <w:r w:rsidRPr="008406F6">
        <w:rPr>
          <w:b/>
          <w:szCs w:val="22"/>
        </w:rPr>
        <w:t>Quinto.</w:t>
      </w:r>
      <w:r w:rsidRPr="008406F6">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B9CD6CA" w14:textId="77777777" w:rsidR="00A9743C" w:rsidRPr="008406F6" w:rsidRDefault="00A9743C" w:rsidP="008406F6">
      <w:pPr>
        <w:pStyle w:val="Puesto"/>
        <w:rPr>
          <w:szCs w:val="22"/>
        </w:rPr>
      </w:pPr>
    </w:p>
    <w:p w14:paraId="6AE8B941" w14:textId="77777777" w:rsidR="00A9743C" w:rsidRPr="008406F6" w:rsidRDefault="00A9743C" w:rsidP="008406F6">
      <w:pPr>
        <w:pStyle w:val="Puesto"/>
        <w:rPr>
          <w:szCs w:val="22"/>
        </w:rPr>
      </w:pPr>
      <w:r w:rsidRPr="008406F6">
        <w:rPr>
          <w:b/>
          <w:szCs w:val="22"/>
        </w:rPr>
        <w:t>Sexto.</w:t>
      </w:r>
      <w:r w:rsidRPr="008406F6">
        <w:rPr>
          <w:szCs w:val="22"/>
        </w:rPr>
        <w:t xml:space="preserve"> Se deroga.</w:t>
      </w:r>
    </w:p>
    <w:p w14:paraId="7D17E374" w14:textId="77777777" w:rsidR="00A9743C" w:rsidRPr="008406F6" w:rsidRDefault="00A9743C" w:rsidP="008406F6">
      <w:pPr>
        <w:pStyle w:val="Puesto"/>
        <w:rPr>
          <w:szCs w:val="22"/>
        </w:rPr>
      </w:pPr>
    </w:p>
    <w:p w14:paraId="187DC843" w14:textId="77777777" w:rsidR="00A9743C" w:rsidRPr="008406F6" w:rsidRDefault="00A9743C" w:rsidP="008406F6">
      <w:pPr>
        <w:pStyle w:val="Puesto"/>
        <w:rPr>
          <w:szCs w:val="22"/>
        </w:rPr>
      </w:pPr>
      <w:r w:rsidRPr="008406F6">
        <w:rPr>
          <w:b/>
          <w:szCs w:val="22"/>
        </w:rPr>
        <w:t>Séptimo.</w:t>
      </w:r>
      <w:r w:rsidRPr="008406F6">
        <w:rPr>
          <w:szCs w:val="22"/>
        </w:rPr>
        <w:t xml:space="preserve"> La clasificación de la información se llevará a cabo en el momento en que:</w:t>
      </w:r>
    </w:p>
    <w:p w14:paraId="2C787434" w14:textId="77777777" w:rsidR="00A9743C" w:rsidRPr="008406F6" w:rsidRDefault="00A9743C" w:rsidP="008406F6">
      <w:pPr>
        <w:pStyle w:val="Puesto"/>
        <w:rPr>
          <w:szCs w:val="22"/>
        </w:rPr>
      </w:pPr>
      <w:r w:rsidRPr="008406F6">
        <w:rPr>
          <w:b/>
          <w:szCs w:val="22"/>
        </w:rPr>
        <w:t>I.</w:t>
      </w:r>
      <w:r w:rsidRPr="008406F6">
        <w:rPr>
          <w:szCs w:val="22"/>
        </w:rPr>
        <w:t xml:space="preserve">        Se reciba una solicitud de acceso a la información;</w:t>
      </w:r>
    </w:p>
    <w:p w14:paraId="240EBBC5" w14:textId="77777777" w:rsidR="00A9743C" w:rsidRPr="008406F6" w:rsidRDefault="00A9743C" w:rsidP="008406F6">
      <w:pPr>
        <w:pStyle w:val="Puesto"/>
        <w:rPr>
          <w:szCs w:val="22"/>
        </w:rPr>
      </w:pPr>
      <w:r w:rsidRPr="008406F6">
        <w:rPr>
          <w:b/>
          <w:szCs w:val="22"/>
        </w:rPr>
        <w:t>II.</w:t>
      </w:r>
      <w:r w:rsidRPr="008406F6">
        <w:rPr>
          <w:szCs w:val="22"/>
        </w:rPr>
        <w:t xml:space="preserve">       Se determine mediante resolución del Comité de Transparencia, el órgano garante competente, o en cumplimiento a una sentencia del Poder Judicial; o</w:t>
      </w:r>
    </w:p>
    <w:p w14:paraId="644635FA" w14:textId="77777777" w:rsidR="00A9743C" w:rsidRPr="008406F6" w:rsidRDefault="00A9743C" w:rsidP="008406F6">
      <w:pPr>
        <w:pStyle w:val="Puesto"/>
        <w:rPr>
          <w:szCs w:val="22"/>
        </w:rPr>
      </w:pPr>
      <w:r w:rsidRPr="008406F6">
        <w:rPr>
          <w:b/>
          <w:szCs w:val="22"/>
        </w:rPr>
        <w:t>III.</w:t>
      </w:r>
      <w:r w:rsidRPr="008406F6">
        <w:rPr>
          <w:szCs w:val="22"/>
        </w:rPr>
        <w:t xml:space="preserve">      Se generen versiones públicas para dar cumplimiento a las obligaciones de transparencia previstas en la Ley General, la Ley Federal y las correspondientes de las entidades federativas.</w:t>
      </w:r>
    </w:p>
    <w:p w14:paraId="7491A79C" w14:textId="77777777" w:rsidR="00A9743C" w:rsidRPr="008406F6" w:rsidRDefault="00A9743C" w:rsidP="008406F6">
      <w:pPr>
        <w:pStyle w:val="Puesto"/>
        <w:rPr>
          <w:szCs w:val="22"/>
        </w:rPr>
      </w:pPr>
      <w:r w:rsidRPr="008406F6">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12D80C2D" w14:textId="77777777" w:rsidR="00A9743C" w:rsidRPr="008406F6" w:rsidRDefault="00A9743C" w:rsidP="008406F6">
      <w:pPr>
        <w:pStyle w:val="Puesto"/>
        <w:rPr>
          <w:szCs w:val="22"/>
        </w:rPr>
      </w:pPr>
    </w:p>
    <w:p w14:paraId="0557E19C" w14:textId="77777777" w:rsidR="00A9743C" w:rsidRPr="008406F6" w:rsidRDefault="00A9743C" w:rsidP="008406F6">
      <w:pPr>
        <w:pStyle w:val="Puesto"/>
        <w:rPr>
          <w:szCs w:val="22"/>
        </w:rPr>
      </w:pPr>
      <w:r w:rsidRPr="008406F6">
        <w:rPr>
          <w:b/>
          <w:szCs w:val="22"/>
        </w:rPr>
        <w:lastRenderedPageBreak/>
        <w:t>Octavo.</w:t>
      </w:r>
      <w:r w:rsidRPr="008406F6">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776C72F" w14:textId="77777777" w:rsidR="00A9743C" w:rsidRPr="008406F6" w:rsidRDefault="00A9743C" w:rsidP="008406F6">
      <w:pPr>
        <w:pStyle w:val="Puesto"/>
        <w:rPr>
          <w:szCs w:val="22"/>
        </w:rPr>
      </w:pPr>
      <w:r w:rsidRPr="008406F6">
        <w:rPr>
          <w:szCs w:val="22"/>
        </w:rPr>
        <w:t>Para motivar la clasificación se deberán señalar las razones o circunstancias especiales que lo llevaron a concluir que el caso particular se ajusta al supuesto previsto por la norma legal invocada como fundamento.</w:t>
      </w:r>
    </w:p>
    <w:p w14:paraId="42C421AD" w14:textId="77777777" w:rsidR="00A9743C" w:rsidRPr="008406F6" w:rsidRDefault="00A9743C" w:rsidP="008406F6">
      <w:pPr>
        <w:pStyle w:val="Puesto"/>
        <w:rPr>
          <w:szCs w:val="22"/>
        </w:rPr>
      </w:pPr>
      <w:r w:rsidRPr="008406F6">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94CCE40" w14:textId="77777777" w:rsidR="00A9743C" w:rsidRPr="008406F6" w:rsidRDefault="00A9743C" w:rsidP="008406F6">
      <w:pPr>
        <w:pStyle w:val="Puesto"/>
        <w:rPr>
          <w:szCs w:val="22"/>
        </w:rPr>
      </w:pPr>
    </w:p>
    <w:p w14:paraId="12915661" w14:textId="77777777" w:rsidR="00A9743C" w:rsidRPr="008406F6" w:rsidRDefault="00A9743C" w:rsidP="008406F6">
      <w:pPr>
        <w:pStyle w:val="Puesto"/>
        <w:rPr>
          <w:szCs w:val="22"/>
        </w:rPr>
      </w:pPr>
      <w:r w:rsidRPr="008406F6">
        <w:rPr>
          <w:b/>
          <w:szCs w:val="22"/>
        </w:rPr>
        <w:t>Noveno.</w:t>
      </w:r>
      <w:r w:rsidRPr="008406F6">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CAB74B8" w14:textId="77777777" w:rsidR="00A9743C" w:rsidRPr="008406F6" w:rsidRDefault="00A9743C" w:rsidP="008406F6">
      <w:pPr>
        <w:pStyle w:val="Puesto"/>
        <w:rPr>
          <w:szCs w:val="22"/>
        </w:rPr>
      </w:pPr>
    </w:p>
    <w:p w14:paraId="08A99A81" w14:textId="77777777" w:rsidR="00A9743C" w:rsidRPr="008406F6" w:rsidRDefault="00A9743C" w:rsidP="008406F6">
      <w:pPr>
        <w:pStyle w:val="Puesto"/>
        <w:rPr>
          <w:szCs w:val="22"/>
        </w:rPr>
      </w:pPr>
      <w:r w:rsidRPr="008406F6">
        <w:rPr>
          <w:b/>
          <w:szCs w:val="22"/>
        </w:rPr>
        <w:t>Décimo.</w:t>
      </w:r>
      <w:r w:rsidRPr="008406F6">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D98EA74" w14:textId="77777777" w:rsidR="00A9743C" w:rsidRPr="008406F6" w:rsidRDefault="00A9743C" w:rsidP="008406F6">
      <w:pPr>
        <w:pStyle w:val="Puesto"/>
        <w:rPr>
          <w:szCs w:val="22"/>
        </w:rPr>
      </w:pPr>
      <w:r w:rsidRPr="008406F6">
        <w:rPr>
          <w:szCs w:val="22"/>
        </w:rPr>
        <w:t>En ausencia de los titulares de las áreas, la información será clasificada o desclasificada por la persona que lo supla, en términos de la normativa que rija la actuación del sujeto obligado.</w:t>
      </w:r>
    </w:p>
    <w:p w14:paraId="1E6748B2" w14:textId="77777777" w:rsidR="00A9743C" w:rsidRPr="008406F6" w:rsidRDefault="00A9743C" w:rsidP="008406F6">
      <w:pPr>
        <w:pStyle w:val="Puesto"/>
        <w:rPr>
          <w:b/>
          <w:szCs w:val="22"/>
        </w:rPr>
      </w:pPr>
      <w:r w:rsidRPr="008406F6">
        <w:rPr>
          <w:b/>
          <w:szCs w:val="22"/>
        </w:rPr>
        <w:t>Décimo primero.</w:t>
      </w:r>
      <w:r w:rsidRPr="008406F6">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406F6">
        <w:rPr>
          <w:b/>
          <w:szCs w:val="22"/>
        </w:rPr>
        <w:t>”</w:t>
      </w:r>
    </w:p>
    <w:p w14:paraId="7B5CA582" w14:textId="77777777" w:rsidR="00A9743C" w:rsidRPr="008406F6" w:rsidRDefault="00A9743C" w:rsidP="008406F6">
      <w:pPr>
        <w:rPr>
          <w:szCs w:val="22"/>
        </w:rPr>
      </w:pPr>
    </w:p>
    <w:p w14:paraId="2C466C0E" w14:textId="77777777" w:rsidR="00A9743C" w:rsidRPr="008406F6" w:rsidRDefault="00A9743C" w:rsidP="008406F6">
      <w:pPr>
        <w:rPr>
          <w:szCs w:val="22"/>
        </w:rPr>
      </w:pPr>
      <w:r w:rsidRPr="008406F6">
        <w:rPr>
          <w:szCs w:val="22"/>
        </w:rPr>
        <w:t xml:space="preserve">Consecuentemente, se destaca que la versión pública que elabore </w:t>
      </w:r>
      <w:r w:rsidRPr="008406F6">
        <w:rPr>
          <w:b/>
          <w:szCs w:val="22"/>
        </w:rPr>
        <w:t>EL SUJETO OBLIGADO</w:t>
      </w:r>
      <w:r w:rsidRPr="008406F6">
        <w:rPr>
          <w:szCs w:val="22"/>
        </w:rPr>
        <w:t xml:space="preserve"> debe cumplir con las formalidades exigidas en la Ley, por lo que para tal efecto emitirá el </w:t>
      </w:r>
      <w:r w:rsidRPr="008406F6">
        <w:rPr>
          <w:b/>
          <w:szCs w:val="22"/>
        </w:rPr>
        <w:t>Acuerdo del Comité de Transparencia</w:t>
      </w:r>
      <w:r w:rsidRPr="008406F6">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w:t>
      </w:r>
      <w:r w:rsidRPr="008406F6">
        <w:rPr>
          <w:szCs w:val="22"/>
        </w:rPr>
        <w:lastRenderedPageBreak/>
        <w:t>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4AC2A6E" w14:textId="77777777" w:rsidR="00A9743C" w:rsidRPr="008406F6" w:rsidRDefault="00A9743C" w:rsidP="008406F6">
      <w:pPr>
        <w:rPr>
          <w:szCs w:val="22"/>
        </w:rPr>
      </w:pPr>
    </w:p>
    <w:p w14:paraId="7BE49387" w14:textId="77777777" w:rsidR="00A9743C" w:rsidRPr="008406F6" w:rsidRDefault="00A9743C" w:rsidP="008406F6">
      <w:pPr>
        <w:rPr>
          <w:szCs w:val="22"/>
        </w:rPr>
      </w:pPr>
      <w:r w:rsidRPr="008406F6">
        <w:rPr>
          <w:szCs w:val="22"/>
        </w:rPr>
        <w:t>Es importante señalar que, para el caso en concreto, se deben tomar en consideración los siguientes criterios respecto a la información que debe ser, o no, clasificada como confidencial:</w:t>
      </w:r>
    </w:p>
    <w:p w14:paraId="0AFC8C85" w14:textId="77777777" w:rsidR="00A9743C" w:rsidRPr="008406F6" w:rsidRDefault="00A9743C" w:rsidP="008406F6">
      <w:pPr>
        <w:rPr>
          <w:szCs w:val="22"/>
        </w:rPr>
      </w:pPr>
    </w:p>
    <w:p w14:paraId="15A78224" w14:textId="77777777" w:rsidR="00A9743C" w:rsidRPr="008406F6" w:rsidRDefault="00A9743C" w:rsidP="008406F6">
      <w:pPr>
        <w:autoSpaceDE w:val="0"/>
        <w:autoSpaceDN w:val="0"/>
        <w:adjustRightInd w:val="0"/>
        <w:ind w:right="-91"/>
        <w:rPr>
          <w:rFonts w:cs="Arial"/>
          <w:lang w:eastAsia="es-MX"/>
        </w:rPr>
      </w:pPr>
      <w:r w:rsidRPr="008406F6">
        <w:rPr>
          <w:rFonts w:cs="Arial"/>
        </w:rPr>
        <w:t>En cuanto al RFC de las personas físicas constituye un dato personal, ya que para su obtención es necesario acreditar ante la autoridad fiscal previamente la identidad de la persona, su fecha de nacimiento, entre otros aspectos.</w:t>
      </w:r>
    </w:p>
    <w:p w14:paraId="56385EEA" w14:textId="77777777" w:rsidR="00A9743C" w:rsidRPr="008406F6" w:rsidRDefault="00A9743C" w:rsidP="008406F6">
      <w:pPr>
        <w:autoSpaceDE w:val="0"/>
        <w:autoSpaceDN w:val="0"/>
        <w:adjustRightInd w:val="0"/>
        <w:ind w:right="-91"/>
        <w:rPr>
          <w:rFonts w:cs="Arial"/>
        </w:rPr>
      </w:pPr>
    </w:p>
    <w:p w14:paraId="4B9E2DEB" w14:textId="77777777" w:rsidR="00A9743C" w:rsidRPr="008406F6" w:rsidRDefault="00A9743C" w:rsidP="008406F6">
      <w:pPr>
        <w:ind w:right="-91"/>
        <w:rPr>
          <w:rFonts w:cs="Arial"/>
        </w:rPr>
      </w:pPr>
      <w:r w:rsidRPr="008406F6">
        <w:rPr>
          <w:rFonts w:cs="Arial"/>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0E547454" w14:textId="77777777" w:rsidR="00A9743C" w:rsidRPr="008406F6" w:rsidRDefault="00A9743C" w:rsidP="008406F6">
      <w:pPr>
        <w:ind w:right="-91"/>
        <w:rPr>
          <w:rFonts w:cs="Arial"/>
        </w:rPr>
      </w:pPr>
    </w:p>
    <w:p w14:paraId="58FF79D4" w14:textId="77777777" w:rsidR="00A9743C" w:rsidRPr="008406F6" w:rsidRDefault="00A9743C" w:rsidP="008406F6">
      <w:pPr>
        <w:ind w:right="-91"/>
        <w:rPr>
          <w:rFonts w:cs="Arial"/>
        </w:rPr>
      </w:pPr>
      <w:r w:rsidRPr="008406F6">
        <w:rPr>
          <w:rFonts w:cs="Arial"/>
        </w:rPr>
        <w:t xml:space="preserve">Lo anterior es compartido por el ahora </w:t>
      </w:r>
      <w:r w:rsidRPr="008406F6">
        <w:rPr>
          <w:rFonts w:cs="Arial"/>
          <w:b/>
          <w:bCs/>
        </w:rPr>
        <w:t>Instituto Nacional de Transparencia, Acceso a la Información y Protección de Datos Personales</w:t>
      </w:r>
      <w:r w:rsidRPr="008406F6">
        <w:rPr>
          <w:rFonts w:cs="Arial"/>
        </w:rPr>
        <w:t xml:space="preserve"> (INAI), conforme al criterio </w:t>
      </w:r>
      <w:r w:rsidRPr="008406F6">
        <w:rPr>
          <w:rFonts w:cs="Arial"/>
          <w:b/>
        </w:rPr>
        <w:t>19/17,</w:t>
      </w:r>
      <w:r w:rsidRPr="008406F6">
        <w:rPr>
          <w:rFonts w:cs="Arial"/>
        </w:rPr>
        <w:t xml:space="preserve"> el cual es del tenor literal siguiente:</w:t>
      </w:r>
    </w:p>
    <w:p w14:paraId="5BF1A683" w14:textId="77777777" w:rsidR="00A9743C" w:rsidRPr="008406F6" w:rsidRDefault="00A9743C" w:rsidP="008406F6">
      <w:pPr>
        <w:ind w:right="-91"/>
        <w:rPr>
          <w:rFonts w:cs="Arial"/>
        </w:rPr>
      </w:pPr>
    </w:p>
    <w:p w14:paraId="608DCA07" w14:textId="77777777" w:rsidR="00A9743C" w:rsidRPr="008406F6" w:rsidRDefault="00A9743C" w:rsidP="008406F6">
      <w:pPr>
        <w:pStyle w:val="Puesto"/>
      </w:pPr>
      <w:r w:rsidRPr="008406F6">
        <w:t>“</w:t>
      </w:r>
      <w:r w:rsidRPr="008406F6">
        <w:rPr>
          <w:b/>
          <w:bCs/>
        </w:rPr>
        <w:t>REGISTRO FEDERAL DE CONTRIBUYENTES (RFC) DE PERSONAS FÍSICAS</w:t>
      </w:r>
      <w:r w:rsidRPr="008406F6">
        <w:t>.</w:t>
      </w:r>
    </w:p>
    <w:p w14:paraId="3A8C5199" w14:textId="77777777" w:rsidR="00A9743C" w:rsidRPr="008406F6" w:rsidRDefault="00A9743C" w:rsidP="008406F6">
      <w:pPr>
        <w:pStyle w:val="Puesto"/>
      </w:pPr>
      <w:r w:rsidRPr="008406F6">
        <w:lastRenderedPageBreak/>
        <w:t>El RFC es una clave de carácter fiscal, única e irrepetible, que permite identificar al titular, su edad y fecha de nacimiento, por lo que es un dato personal de carácter confidencial.”</w:t>
      </w:r>
      <w:r w:rsidRPr="008406F6">
        <w:rPr>
          <w:rStyle w:val="Refdenotaalpie"/>
          <w:rFonts w:cs="Arial"/>
          <w:bCs/>
        </w:rPr>
        <w:footnoteReference w:id="3"/>
      </w:r>
    </w:p>
    <w:p w14:paraId="3423395E" w14:textId="77777777" w:rsidR="00A9743C" w:rsidRPr="008406F6" w:rsidRDefault="00A9743C" w:rsidP="008406F6">
      <w:pPr>
        <w:autoSpaceDE w:val="0"/>
        <w:autoSpaceDN w:val="0"/>
        <w:adjustRightInd w:val="0"/>
        <w:ind w:left="567" w:right="850"/>
        <w:rPr>
          <w:rFonts w:cs="Arial"/>
          <w:i/>
        </w:rPr>
      </w:pPr>
    </w:p>
    <w:p w14:paraId="465C9C5F" w14:textId="77777777" w:rsidR="00A9743C" w:rsidRPr="008406F6" w:rsidRDefault="00A9743C" w:rsidP="008406F6">
      <w:pPr>
        <w:rPr>
          <w:rFonts w:cs="Arial"/>
        </w:rPr>
      </w:pPr>
      <w:r w:rsidRPr="008406F6">
        <w:rPr>
          <w:rFonts w:cs="Arial"/>
        </w:rPr>
        <w:t xml:space="preserve">Así, el RFC se vincula al nombre de su titular, permite identificar la edad de la persona, su fecha de nacimiento, así como su </w:t>
      </w:r>
      <w:proofErr w:type="spellStart"/>
      <w:r w:rsidRPr="008406F6">
        <w:rPr>
          <w:rFonts w:cs="Arial"/>
        </w:rPr>
        <w:t>homoclave</w:t>
      </w:r>
      <w:proofErr w:type="spellEnd"/>
      <w:r w:rsidRPr="008406F6">
        <w:rPr>
          <w:rFonts w:cs="Arial"/>
        </w:rPr>
        <w:t>, la cual es única e irrepetible y determina justamente la identificación de dicha persona para efectos fiscales, por lo éste constituye un dato personal que concierne a una persona física identificada e identificable.</w:t>
      </w:r>
    </w:p>
    <w:p w14:paraId="69E7BE74" w14:textId="77777777" w:rsidR="00A9743C" w:rsidRPr="008406F6" w:rsidRDefault="00A9743C" w:rsidP="008406F6">
      <w:pPr>
        <w:rPr>
          <w:rFonts w:cs="Arial"/>
        </w:rPr>
      </w:pPr>
    </w:p>
    <w:p w14:paraId="7A824F17" w14:textId="77777777" w:rsidR="00A9743C" w:rsidRPr="008406F6" w:rsidRDefault="00A9743C" w:rsidP="008406F6">
      <w:pPr>
        <w:rPr>
          <w:rFonts w:cs="Arial"/>
        </w:rPr>
      </w:pPr>
      <w:r w:rsidRPr="008406F6">
        <w:rPr>
          <w:rFonts w:cs="Arial"/>
        </w:rPr>
        <w:t xml:space="preserve">No obstante, el RFC tratándose de proveedores o contratistas encuadra dentro de las fronteras conceptuales del interés general y el alcance público, al tratarse de un elemento que, en el caso en particular abona a la transparencia y rendición de cuentas. </w:t>
      </w:r>
    </w:p>
    <w:p w14:paraId="74211538" w14:textId="77777777" w:rsidR="00A9743C" w:rsidRPr="008406F6" w:rsidRDefault="00A9743C" w:rsidP="008406F6">
      <w:pPr>
        <w:rPr>
          <w:rFonts w:cs="Arial"/>
        </w:rPr>
      </w:pPr>
    </w:p>
    <w:p w14:paraId="34380CE4" w14:textId="77777777" w:rsidR="00A9743C" w:rsidRPr="008406F6" w:rsidRDefault="00A9743C" w:rsidP="008406F6">
      <w:pPr>
        <w:rPr>
          <w:rFonts w:cs="Arial"/>
        </w:rPr>
      </w:pPr>
      <w:r w:rsidRPr="008406F6">
        <w:rPr>
          <w:rFonts w:cs="Arial"/>
        </w:rPr>
        <w:t xml:space="preserve">Robustece lo anterior, el criterio </w:t>
      </w:r>
      <w:r w:rsidRPr="008406F6">
        <w:rPr>
          <w:rFonts w:cs="Arial"/>
          <w:b/>
          <w:bCs/>
        </w:rPr>
        <w:t xml:space="preserve">04/21 </w:t>
      </w:r>
      <w:r w:rsidRPr="008406F6">
        <w:rPr>
          <w:rFonts w:cs="Arial"/>
        </w:rPr>
        <w:t xml:space="preserve">emitido por el Órgano Garante Nacional, cuyo rubro y texto disponen a la literalidad lo siguiente: </w:t>
      </w:r>
    </w:p>
    <w:p w14:paraId="655350EE" w14:textId="77777777" w:rsidR="00A9743C" w:rsidRPr="008406F6" w:rsidRDefault="00A9743C" w:rsidP="008406F6">
      <w:pPr>
        <w:rPr>
          <w:rFonts w:cs="Arial"/>
        </w:rPr>
      </w:pPr>
    </w:p>
    <w:p w14:paraId="4854ACF4" w14:textId="77777777" w:rsidR="00A9743C" w:rsidRPr="008406F6" w:rsidRDefault="00A9743C" w:rsidP="008406F6">
      <w:pPr>
        <w:pStyle w:val="Citas"/>
        <w:spacing w:before="0" w:after="0" w:line="240" w:lineRule="auto"/>
        <w:ind w:right="899"/>
        <w:rPr>
          <w:b/>
        </w:rPr>
      </w:pPr>
      <w:r w:rsidRPr="008406F6">
        <w:rPr>
          <w:b/>
        </w:rPr>
        <w:t xml:space="preserve">“REGISTRO FEDERAL DE CONTRIBUYENTES (RFC) DE PERSONAS FÍSICAS PROVEEDORES O CONTRATISTAS. </w:t>
      </w:r>
    </w:p>
    <w:p w14:paraId="737BD518" w14:textId="77777777" w:rsidR="00A9743C" w:rsidRPr="008406F6" w:rsidRDefault="00A9743C" w:rsidP="008406F6">
      <w:pPr>
        <w:pStyle w:val="Citas"/>
        <w:spacing w:before="0" w:after="0" w:line="240" w:lineRule="auto"/>
        <w:ind w:right="899"/>
      </w:pPr>
      <w:r w:rsidRPr="008406F6">
        <w:t>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w:t>
      </w:r>
      <w:r w:rsidRPr="008406F6">
        <w:rPr>
          <w:rStyle w:val="Refdenotaalpie"/>
        </w:rPr>
        <w:footnoteReference w:id="4"/>
      </w:r>
      <w:r w:rsidRPr="008406F6">
        <w:t xml:space="preserve"> </w:t>
      </w:r>
    </w:p>
    <w:p w14:paraId="70AAEC5B" w14:textId="77777777" w:rsidR="00A9743C" w:rsidRPr="008406F6" w:rsidRDefault="00A9743C" w:rsidP="008406F6">
      <w:pPr>
        <w:pStyle w:val="Citas"/>
        <w:spacing w:before="0" w:after="0" w:line="240" w:lineRule="auto"/>
      </w:pPr>
    </w:p>
    <w:p w14:paraId="683A5BF6" w14:textId="77777777" w:rsidR="00A9743C" w:rsidRPr="008406F6" w:rsidRDefault="00A9743C" w:rsidP="008406F6">
      <w:pPr>
        <w:rPr>
          <w:rFonts w:eastAsia="Calibri" w:cs="Arial"/>
        </w:rPr>
      </w:pPr>
      <w:r w:rsidRPr="008406F6">
        <w:rPr>
          <w:rFonts w:cs="Arial"/>
        </w:rPr>
        <w:t xml:space="preserve">En cuanto a la Clave Única de Registro de Población (CURP), se </w:t>
      </w:r>
      <w:r w:rsidRPr="008406F6">
        <w:rPr>
          <w:rFonts w:eastAsia="Calibri" w:cs="Arial"/>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21E6E4C7" w14:textId="77777777" w:rsidR="00A9743C" w:rsidRPr="008406F6" w:rsidRDefault="00A9743C" w:rsidP="008406F6">
      <w:pPr>
        <w:rPr>
          <w:rFonts w:eastAsia="Calibri" w:cs="Arial"/>
        </w:rPr>
      </w:pPr>
    </w:p>
    <w:p w14:paraId="31E37C29" w14:textId="77777777" w:rsidR="00A9743C" w:rsidRPr="008406F6" w:rsidRDefault="00A9743C" w:rsidP="008406F6">
      <w:pPr>
        <w:ind w:right="-91"/>
        <w:rPr>
          <w:rFonts w:eastAsia="Palatino Linotype" w:cs="Arial"/>
        </w:rPr>
      </w:pPr>
      <w:r w:rsidRPr="008406F6">
        <w:rPr>
          <w:rFonts w:cs="Arial"/>
        </w:rPr>
        <w:t xml:space="preserve">Argumento que es compartido por el </w:t>
      </w:r>
      <w:r w:rsidRPr="008406F6">
        <w:rPr>
          <w:rStyle w:val="Textoennegrita"/>
          <w:rFonts w:eastAsiaTheme="majorEastAsia" w:cs="Arial"/>
        </w:rPr>
        <w:t xml:space="preserve">Instituto Nacional de Transparencia, Acceso a la Información y Protección de Datos Personales, conforme al </w:t>
      </w:r>
      <w:r w:rsidRPr="008406F6">
        <w:rPr>
          <w:rFonts w:cs="Arial"/>
        </w:rPr>
        <w:t xml:space="preserve">criterio número 18/17 el cual refiere: </w:t>
      </w:r>
    </w:p>
    <w:p w14:paraId="7F1F10E0" w14:textId="77777777" w:rsidR="00A9743C" w:rsidRPr="008406F6" w:rsidRDefault="00A9743C" w:rsidP="008406F6">
      <w:pPr>
        <w:pStyle w:val="Puesto"/>
      </w:pPr>
    </w:p>
    <w:p w14:paraId="65D7555D" w14:textId="77777777" w:rsidR="00A9743C" w:rsidRPr="008406F6" w:rsidRDefault="00A9743C" w:rsidP="008406F6">
      <w:pPr>
        <w:pStyle w:val="Puesto"/>
        <w:jc w:val="center"/>
        <w:rPr>
          <w:b/>
          <w:bCs/>
        </w:rPr>
      </w:pPr>
      <w:r w:rsidRPr="008406F6">
        <w:rPr>
          <w:bCs/>
        </w:rPr>
        <w:t>“</w:t>
      </w:r>
      <w:r w:rsidRPr="008406F6">
        <w:rPr>
          <w:b/>
          <w:bCs/>
        </w:rPr>
        <w:t>CLAVE ÚNICA DE REGISTRO DE POBLACIÓN (CURP).</w:t>
      </w:r>
    </w:p>
    <w:p w14:paraId="10F2B185" w14:textId="77777777" w:rsidR="00A9743C" w:rsidRPr="008406F6" w:rsidRDefault="00A9743C" w:rsidP="008406F6">
      <w:pPr>
        <w:pStyle w:val="Puesto"/>
      </w:pPr>
      <w:r w:rsidRPr="008406F6">
        <w:rPr>
          <w:bCs/>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r w:rsidRPr="008406F6">
        <w:rPr>
          <w:rStyle w:val="Refdenotaalpie"/>
          <w:rFonts w:cs="Arial"/>
          <w:bCs/>
        </w:rPr>
        <w:footnoteReference w:id="5"/>
      </w:r>
      <w:r w:rsidRPr="008406F6">
        <w:rPr>
          <w:bCs/>
        </w:rPr>
        <w:t xml:space="preserve">. </w:t>
      </w:r>
      <w:r w:rsidRPr="008406F6">
        <w:t xml:space="preserve"> </w:t>
      </w:r>
    </w:p>
    <w:p w14:paraId="499101E6" w14:textId="77777777" w:rsidR="00A9743C" w:rsidRPr="008406F6" w:rsidRDefault="00A9743C" w:rsidP="008406F6">
      <w:pPr>
        <w:ind w:right="51"/>
        <w:rPr>
          <w:rFonts w:cs="Arial"/>
        </w:rPr>
      </w:pPr>
    </w:p>
    <w:p w14:paraId="5B02B270" w14:textId="77777777" w:rsidR="00A9743C" w:rsidRPr="008406F6" w:rsidRDefault="00A9743C" w:rsidP="008406F6">
      <w:pPr>
        <w:ind w:right="51"/>
        <w:rPr>
          <w:rFonts w:cs="Arial"/>
        </w:rPr>
      </w:pPr>
      <w:r w:rsidRPr="008406F6">
        <w:rPr>
          <w:rFonts w:cs="Arial"/>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w:t>
      </w:r>
      <w:r w:rsidRPr="008406F6">
        <w:rPr>
          <w:rFonts w:cs="Arial"/>
        </w:rPr>
        <w:lastRenderedPageBreak/>
        <w:t xml:space="preserve">cabalmente las formalidades previstas en el artículo 137 de la Ley de Transparencia local, así como los numerales aplicables de los </w:t>
      </w:r>
      <w:r w:rsidRPr="008406F6">
        <w:rPr>
          <w:rFonts w:cs="Arial"/>
          <w:b/>
        </w:rPr>
        <w:t>Lineamientos Generales en Materia de Clasificación y Desclasificación de la Información, así como para la Elaboración de Versiones Públicas,</w:t>
      </w:r>
      <w:r w:rsidRPr="008406F6">
        <w:rPr>
          <w:rFonts w:cs="Arial"/>
        </w:rPr>
        <w:t xml:space="preserve"> publicados en el Diario Oficial de la Federación en fecha quince de abril de dos mil dieciséis, mediante Acuerdo del Consejo Nacional del Sistema Nacional de Transparencia, Acceso a la Información Pública y Protección de Datos Personales</w:t>
      </w:r>
      <w:r w:rsidRPr="008406F6">
        <w:rPr>
          <w:rFonts w:cs="Arial"/>
          <w:vertAlign w:val="superscript"/>
        </w:rPr>
        <w:footnoteReference w:id="6"/>
      </w:r>
      <w:r w:rsidRPr="008406F6">
        <w:rPr>
          <w:rFonts w:cs="Arial"/>
        </w:rPr>
        <w:t xml:space="preserve">. </w:t>
      </w:r>
    </w:p>
    <w:p w14:paraId="11846362" w14:textId="77777777" w:rsidR="00A9743C" w:rsidRPr="008406F6" w:rsidRDefault="00A9743C" w:rsidP="008406F6">
      <w:pPr>
        <w:rPr>
          <w:rFonts w:cs="Palatino Linotype"/>
          <w:b/>
        </w:rPr>
      </w:pPr>
    </w:p>
    <w:p w14:paraId="1EE56146" w14:textId="77777777" w:rsidR="00A9743C" w:rsidRPr="008406F6" w:rsidRDefault="00A9743C" w:rsidP="008406F6">
      <w:pPr>
        <w:rPr>
          <w:rFonts w:eastAsia="Calibri" w:cs="Tahoma"/>
          <w:b/>
          <w:bCs/>
          <w:lang w:eastAsia="en-US"/>
        </w:rPr>
      </w:pPr>
      <w:r w:rsidRPr="008406F6">
        <w:rPr>
          <w:rFonts w:eastAsia="Calibri" w:cs="Tahoma"/>
          <w:bCs/>
          <w:lang w:eastAsia="en-US"/>
        </w:rPr>
        <w:t xml:space="preserve">El  </w:t>
      </w:r>
      <w:r w:rsidRPr="008406F6">
        <w:rPr>
          <w:rFonts w:eastAsia="Calibri" w:cs="Tahoma"/>
          <w:b/>
          <w:bCs/>
          <w:lang w:eastAsia="en-US"/>
        </w:rPr>
        <w:t>Nombres de personas que no son servidores públicos</w:t>
      </w:r>
      <w:r w:rsidRPr="008406F6">
        <w:rPr>
          <w:rFonts w:eastAsia="Calibri" w:cs="Tahoma"/>
          <w:bCs/>
          <w:lang w:eastAsia="en-US"/>
        </w:rPr>
        <w:t xml:space="preserve">, 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8406F6">
        <w:rPr>
          <w:rFonts w:eastAsia="Calibri" w:cs="Tahoma"/>
          <w:bCs/>
          <w:i/>
          <w:lang w:eastAsia="en-US"/>
        </w:rPr>
        <w:t>per se</w:t>
      </w:r>
      <w:r w:rsidRPr="008406F6">
        <w:rPr>
          <w:rFonts w:eastAsia="Calibri" w:cs="Tahoma"/>
          <w:bCs/>
          <w:lang w:eastAsia="en-US"/>
        </w:rPr>
        <w:t xml:space="preserve"> es un elemento que hace a una persona física identificada o identificable, por lo que, </w:t>
      </w:r>
      <w:r w:rsidRPr="008406F6">
        <w:rPr>
          <w:rFonts w:eastAsia="Calibri" w:cs="Tahoma"/>
          <w:b/>
          <w:bCs/>
          <w:lang w:eastAsia="en-US"/>
        </w:rPr>
        <w:t>se considera un dato personal.</w:t>
      </w:r>
    </w:p>
    <w:p w14:paraId="60D17685" w14:textId="77777777" w:rsidR="00A9743C" w:rsidRPr="008406F6" w:rsidRDefault="00A9743C" w:rsidP="008406F6">
      <w:pPr>
        <w:rPr>
          <w:rFonts w:eastAsia="Calibri" w:cs="Tahoma"/>
          <w:b/>
          <w:bCs/>
          <w:lang w:eastAsia="en-US"/>
        </w:rPr>
      </w:pPr>
    </w:p>
    <w:p w14:paraId="6F73736B" w14:textId="5EBCC014" w:rsidR="00390220" w:rsidRPr="008406F6" w:rsidRDefault="00A9743C" w:rsidP="008406F6">
      <w:pPr>
        <w:contextualSpacing/>
        <w:rPr>
          <w:rFonts w:eastAsia="Calibri" w:cs="Tahoma"/>
          <w:bCs/>
          <w:lang w:val="es-ES" w:eastAsia="en-US"/>
        </w:rPr>
      </w:pPr>
      <w:r w:rsidRPr="008406F6">
        <w:rPr>
          <w:rFonts w:eastAsia="Calibri" w:cs="Tahoma"/>
          <w:bCs/>
          <w:lang w:eastAsia="en-US"/>
        </w:rPr>
        <w:t>Con base en lo anterior, procede su eliminación de las versiones públicas, pues</w:t>
      </w:r>
      <w:r w:rsidRPr="008406F6">
        <w:rPr>
          <w:rFonts w:eastAsia="Calibri" w:cs="Tahoma"/>
          <w:bCs/>
          <w:lang w:val="es-ES" w:eastAsia="en-US"/>
        </w:rPr>
        <w:t xml:space="preserve"> se considera un dato personal en términos del artículo 143, fracción I de la Ley de Transparencia y Acceso a la Información Pública del Estado de México y Municipios.</w:t>
      </w:r>
    </w:p>
    <w:p w14:paraId="6542C048" w14:textId="77777777" w:rsidR="005E5700" w:rsidRPr="008406F6" w:rsidRDefault="005E5700" w:rsidP="008406F6">
      <w:pPr>
        <w:contextualSpacing/>
        <w:rPr>
          <w:rFonts w:eastAsia="Calibri" w:cs="Tahoma"/>
          <w:b/>
          <w:bCs/>
          <w:szCs w:val="22"/>
        </w:rPr>
      </w:pPr>
    </w:p>
    <w:p w14:paraId="740DC086" w14:textId="6163DA21" w:rsidR="00C4363B" w:rsidRPr="008406F6" w:rsidRDefault="00C4363B" w:rsidP="008406F6">
      <w:r w:rsidRPr="008406F6">
        <w:rPr>
          <w:rFonts w:eastAsia="Calibri" w:cs="Tahoma"/>
          <w:bCs/>
          <w:szCs w:val="22"/>
        </w:rPr>
        <w:t xml:space="preserve">Por otra parte, no se omite comentar que existe la posibilidad de que </w:t>
      </w:r>
      <w:r w:rsidR="00DE1B03" w:rsidRPr="008406F6">
        <w:rPr>
          <w:rFonts w:eastAsia="Calibri" w:cs="Tahoma"/>
          <w:bCs/>
          <w:szCs w:val="22"/>
        </w:rPr>
        <w:t xml:space="preserve">las actas de entrega </w:t>
      </w:r>
      <w:r w:rsidRPr="008406F6">
        <w:rPr>
          <w:rFonts w:eastAsia="Calibri" w:cs="Tahoma"/>
          <w:bCs/>
          <w:szCs w:val="22"/>
        </w:rPr>
        <w:t>-</w:t>
      </w:r>
      <w:r w:rsidR="00DE1B03" w:rsidRPr="008406F6">
        <w:rPr>
          <w:rFonts w:eastAsia="Calibri" w:cs="Tahoma"/>
          <w:bCs/>
          <w:szCs w:val="22"/>
        </w:rPr>
        <w:t xml:space="preserve"> recepción </w:t>
      </w:r>
      <w:r w:rsidRPr="008406F6">
        <w:rPr>
          <w:rFonts w:eastAsia="Calibri" w:cs="Tahoma"/>
          <w:bCs/>
          <w:szCs w:val="22"/>
        </w:rPr>
        <w:t xml:space="preserve">de las cuales se ordena su entrega, </w:t>
      </w:r>
      <w:r w:rsidR="00865663" w:rsidRPr="008406F6">
        <w:rPr>
          <w:rFonts w:eastAsia="Calibri" w:cs="Tahoma"/>
          <w:bCs/>
          <w:szCs w:val="22"/>
        </w:rPr>
        <w:t xml:space="preserve">pudieran </w:t>
      </w:r>
      <w:r w:rsidRPr="008406F6">
        <w:rPr>
          <w:rFonts w:eastAsia="Calibri" w:cs="Tahoma"/>
          <w:bCs/>
          <w:szCs w:val="22"/>
        </w:rPr>
        <w:t xml:space="preserve">tener observaciones que </w:t>
      </w:r>
      <w:r w:rsidRPr="008406F6">
        <w:t xml:space="preserve">deriven en un procedimiento administrativo que se encuentre en trámite, </w:t>
      </w:r>
      <w:r w:rsidRPr="008406F6">
        <w:rPr>
          <w:b/>
        </w:rPr>
        <w:t xml:space="preserve">EL SUJETO OBLIGADO </w:t>
      </w:r>
      <w:r w:rsidRPr="008406F6">
        <w:t xml:space="preserve">deberá </w:t>
      </w:r>
      <w:r w:rsidRPr="008406F6">
        <w:lastRenderedPageBreak/>
        <w:t>de hacerlo del conocimiento de la particular, remitiendo el Acta de Comité de Transparencia donde funde y motive la reserva de la información.</w:t>
      </w:r>
    </w:p>
    <w:p w14:paraId="64C92C4F" w14:textId="77777777" w:rsidR="00566637" w:rsidRPr="008406F6" w:rsidRDefault="00566637" w:rsidP="008406F6"/>
    <w:p w14:paraId="14B5BF6C" w14:textId="1B7D5B38" w:rsidR="00566637" w:rsidRPr="008406F6" w:rsidRDefault="00566637" w:rsidP="008406F6">
      <w:pPr>
        <w:rPr>
          <w:rFonts w:cs="Arial"/>
        </w:rPr>
      </w:pPr>
      <w:r w:rsidRPr="008406F6">
        <w:rPr>
          <w:rFonts w:cs="Arial"/>
        </w:rPr>
        <w:t>Derivado de lo anterior, resulta señalar que el artículo 140, fracción VI, de la Ley de Transparencia y Acceso a la Información Pública del Estado de México y Municipios (homólogo al artículo 113, fracción IX de la Ley General de Transparencia y Acceso a la Información Pública; dispone lo siguiente:</w:t>
      </w:r>
    </w:p>
    <w:p w14:paraId="47D9C00C" w14:textId="77777777" w:rsidR="00566637" w:rsidRPr="008406F6" w:rsidRDefault="00566637" w:rsidP="008406F6">
      <w:pPr>
        <w:rPr>
          <w:rFonts w:cs="Arial"/>
        </w:rPr>
      </w:pPr>
    </w:p>
    <w:p w14:paraId="18D042A3" w14:textId="77777777" w:rsidR="00566637" w:rsidRPr="008406F6" w:rsidRDefault="00566637" w:rsidP="008406F6">
      <w:pPr>
        <w:spacing w:line="240" w:lineRule="auto"/>
        <w:ind w:left="851" w:right="822"/>
        <w:rPr>
          <w:i/>
          <w:iCs/>
        </w:rPr>
      </w:pPr>
      <w:r w:rsidRPr="008406F6">
        <w:rPr>
          <w:i/>
          <w:iCs/>
        </w:rPr>
        <w:t>“</w:t>
      </w:r>
      <w:r w:rsidRPr="008406F6">
        <w:rPr>
          <w:b/>
          <w:i/>
          <w:iCs/>
        </w:rPr>
        <w:t>Artículo 140.</w:t>
      </w:r>
      <w:r w:rsidRPr="008406F6">
        <w:rPr>
          <w:i/>
          <w:iCs/>
        </w:rPr>
        <w:t xml:space="preserve"> El acceso a la información pública será restringido excepcionalmente, cuando por razones de interés público, ésta sea clasificada como reservada, conforme a los criterios siguientes: </w:t>
      </w:r>
    </w:p>
    <w:p w14:paraId="08992050" w14:textId="77777777" w:rsidR="00566637" w:rsidRPr="008406F6" w:rsidRDefault="00566637" w:rsidP="008406F6">
      <w:pPr>
        <w:spacing w:line="240" w:lineRule="auto"/>
        <w:ind w:left="851" w:right="822"/>
        <w:rPr>
          <w:i/>
          <w:iCs/>
        </w:rPr>
      </w:pPr>
      <w:r w:rsidRPr="008406F6">
        <w:rPr>
          <w:i/>
          <w:iCs/>
        </w:rPr>
        <w:t xml:space="preserve">I a V… </w:t>
      </w:r>
    </w:p>
    <w:p w14:paraId="75796045" w14:textId="77777777" w:rsidR="00566637" w:rsidRPr="008406F6" w:rsidRDefault="00566637" w:rsidP="008406F6">
      <w:pPr>
        <w:spacing w:line="240" w:lineRule="auto"/>
        <w:ind w:left="851" w:right="822"/>
        <w:rPr>
          <w:i/>
          <w:iCs/>
        </w:rPr>
      </w:pPr>
      <w:r w:rsidRPr="008406F6">
        <w:rPr>
          <w:i/>
          <w:iCs/>
        </w:rPr>
        <w:t xml:space="preserve">VI. Pueda causar daño u obstruya la prevención o persecución de los delitos, altere el proceso de investigación de las carpetas de investigación, afecte o vulnere la conducción o los derechos del debido proceso en los procedimientos judiciales o administrativos, </w:t>
      </w:r>
      <w:r w:rsidRPr="008406F6">
        <w:rPr>
          <w:b/>
          <w:i/>
          <w:iCs/>
        </w:rPr>
        <w:t>incluidos los de quejas, denuncias, inconformidades, responsabilidades administrativas y resarcitorias en tanto no hayan quedado firmes</w:t>
      </w:r>
      <w:r w:rsidRPr="008406F6">
        <w:rPr>
          <w:i/>
          <w:iCs/>
        </w:rPr>
        <w:t xml:space="preserve"> o afecte la administración de justicia o la seguridad de un denunciante, querellante o testigo, así como sus familias, en los términos de las disposiciones jurídicas aplicables; </w:t>
      </w:r>
    </w:p>
    <w:p w14:paraId="4C6F34A5" w14:textId="77777777" w:rsidR="00566637" w:rsidRPr="008406F6" w:rsidRDefault="00566637" w:rsidP="008406F6">
      <w:pPr>
        <w:spacing w:line="240" w:lineRule="auto"/>
        <w:ind w:left="851" w:right="822"/>
        <w:rPr>
          <w:i/>
          <w:iCs/>
        </w:rPr>
      </w:pPr>
      <w:r w:rsidRPr="008406F6">
        <w:rPr>
          <w:i/>
          <w:iCs/>
        </w:rPr>
        <w:t>VII a XI…”</w:t>
      </w:r>
    </w:p>
    <w:p w14:paraId="07A96C45" w14:textId="61438843" w:rsidR="00566637" w:rsidRPr="008406F6" w:rsidRDefault="00566637" w:rsidP="008406F6">
      <w:pPr>
        <w:spacing w:line="240" w:lineRule="auto"/>
        <w:ind w:left="851" w:right="822"/>
      </w:pPr>
      <w:r w:rsidRPr="008406F6">
        <w:rPr>
          <w:i/>
          <w:iCs/>
        </w:rPr>
        <w:t>(Énfasis añadido)</w:t>
      </w:r>
    </w:p>
    <w:p w14:paraId="2982BE53" w14:textId="77777777" w:rsidR="00566637" w:rsidRPr="008406F6" w:rsidRDefault="00566637" w:rsidP="008406F6"/>
    <w:p w14:paraId="17CC4222" w14:textId="42B882D0" w:rsidR="00566637" w:rsidRPr="008406F6" w:rsidRDefault="00566637" w:rsidP="008406F6">
      <w:pPr>
        <w:rPr>
          <w:rFonts w:cs="Arial"/>
        </w:rPr>
      </w:pPr>
      <w:r w:rsidRPr="008406F6">
        <w:t xml:space="preserve">Lo anterior cobra relevancia, toda vez que existe la posibilidad en que los documentos de los cuales se ordenan su entrega pudieran encontrarse en un procedimiento de investigación en la cual se continua allegando de elementos </w:t>
      </w:r>
      <w:r w:rsidRPr="008406F6">
        <w:rPr>
          <w:rFonts w:cs="Tahoma"/>
          <w:bCs/>
          <w:szCs w:val="22"/>
        </w:rPr>
        <w:t xml:space="preserve">para determinar si existe alguna responsabilidad administrativa por parte de los servidores públicos respectivos, por ende tiene a lugar lo establecido en </w:t>
      </w:r>
      <w:r w:rsidRPr="008406F6">
        <w:rPr>
          <w:rFonts w:cs="Arial"/>
        </w:rPr>
        <w:t>los Lineamientos Generales en materia de clasificación y desclasificación de la información, así como para la elaboración de versiones públicas, se prevé lo siguiente:</w:t>
      </w:r>
    </w:p>
    <w:p w14:paraId="3B7F47F2" w14:textId="77777777" w:rsidR="00566637" w:rsidRPr="008406F6" w:rsidRDefault="00566637" w:rsidP="008406F6">
      <w:pPr>
        <w:rPr>
          <w:rFonts w:cs="Arial"/>
        </w:rPr>
      </w:pPr>
    </w:p>
    <w:p w14:paraId="315D894C" w14:textId="77777777" w:rsidR="00566637" w:rsidRPr="008406F6" w:rsidRDefault="00566637" w:rsidP="008406F6">
      <w:pPr>
        <w:spacing w:line="240" w:lineRule="auto"/>
        <w:ind w:left="851" w:right="822"/>
        <w:rPr>
          <w:i/>
          <w:iCs/>
        </w:rPr>
      </w:pPr>
      <w:r w:rsidRPr="008406F6">
        <w:rPr>
          <w:i/>
          <w:iCs/>
        </w:rPr>
        <w:lastRenderedPageBreak/>
        <w:t>“</w:t>
      </w:r>
      <w:r w:rsidRPr="008406F6">
        <w:rPr>
          <w:b/>
          <w:i/>
          <w:iCs/>
        </w:rPr>
        <w:t>Vigésimo octavo</w:t>
      </w:r>
      <w:r w:rsidRPr="008406F6">
        <w:rPr>
          <w:i/>
          <w:iCs/>
        </w:rPr>
        <w:t xml:space="preserve">.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 </w:t>
      </w:r>
    </w:p>
    <w:p w14:paraId="6C68F7CE" w14:textId="77777777" w:rsidR="00566637" w:rsidRPr="008406F6" w:rsidRDefault="00566637" w:rsidP="008406F6">
      <w:pPr>
        <w:spacing w:line="240" w:lineRule="auto"/>
        <w:ind w:left="851" w:right="822"/>
        <w:rPr>
          <w:b/>
          <w:i/>
          <w:iCs/>
        </w:rPr>
      </w:pPr>
      <w:r w:rsidRPr="008406F6">
        <w:rPr>
          <w:b/>
          <w:i/>
          <w:iCs/>
        </w:rPr>
        <w:t xml:space="preserve">I. La existencia de un procedimiento de responsabilidad administrativa en trámite, y </w:t>
      </w:r>
    </w:p>
    <w:p w14:paraId="11F799D1" w14:textId="77777777" w:rsidR="00566637" w:rsidRPr="008406F6" w:rsidRDefault="00566637" w:rsidP="008406F6">
      <w:pPr>
        <w:spacing w:line="240" w:lineRule="auto"/>
        <w:ind w:left="851" w:right="822"/>
        <w:rPr>
          <w:b/>
          <w:i/>
          <w:iCs/>
        </w:rPr>
      </w:pPr>
      <w:r w:rsidRPr="008406F6">
        <w:rPr>
          <w:b/>
          <w:i/>
          <w:iCs/>
        </w:rPr>
        <w:t>II. Que la información se refiera a actuaciones, diligencias y constancias propias del procedimiento de responsabilidad.”</w:t>
      </w:r>
    </w:p>
    <w:p w14:paraId="1CF7D559" w14:textId="62D4A3B1" w:rsidR="00566637" w:rsidRPr="008406F6" w:rsidRDefault="00566637" w:rsidP="008406F6">
      <w:pPr>
        <w:spacing w:line="240" w:lineRule="auto"/>
        <w:ind w:left="851" w:right="822"/>
      </w:pPr>
      <w:r w:rsidRPr="008406F6">
        <w:rPr>
          <w:i/>
          <w:iCs/>
        </w:rPr>
        <w:t>(Énfasis añadido)</w:t>
      </w:r>
    </w:p>
    <w:p w14:paraId="27CED7A8" w14:textId="160FB7E0" w:rsidR="00C4363B" w:rsidRPr="008406F6" w:rsidRDefault="00C4363B" w:rsidP="008406F6">
      <w:pPr>
        <w:contextualSpacing/>
        <w:rPr>
          <w:rFonts w:eastAsia="Calibri" w:cs="Tahoma"/>
          <w:bCs/>
          <w:szCs w:val="22"/>
        </w:rPr>
      </w:pPr>
    </w:p>
    <w:p w14:paraId="5C63959D" w14:textId="0DF0FC17" w:rsidR="00566637" w:rsidRPr="008406F6" w:rsidRDefault="00566637" w:rsidP="008406F6">
      <w:pPr>
        <w:tabs>
          <w:tab w:val="left" w:pos="8222"/>
        </w:tabs>
        <w:ind w:right="-28"/>
        <w:rPr>
          <w:rFonts w:cs="Tahoma"/>
          <w:bCs/>
          <w:szCs w:val="22"/>
        </w:rPr>
      </w:pPr>
      <w:r w:rsidRPr="008406F6">
        <w:rPr>
          <w:rFonts w:cs="Tahoma"/>
          <w:bCs/>
          <w:szCs w:val="22"/>
        </w:rPr>
        <w:t xml:space="preserve">De la normatividad citada, se desprende que el supuesto de clasificación invocado prevé que, como información reservada, </w:t>
      </w:r>
      <w:r w:rsidRPr="008406F6">
        <w:rPr>
          <w:rFonts w:cs="Tahoma"/>
          <w:b/>
          <w:bCs/>
          <w:szCs w:val="22"/>
        </w:rPr>
        <w:t>a aquella que vulnere la conducción de los procedimientos de responsabilidades administrativas en trámite, en tanto no hayan causado estado</w:t>
      </w:r>
    </w:p>
    <w:p w14:paraId="736F901C" w14:textId="77777777" w:rsidR="00566637" w:rsidRPr="008406F6" w:rsidRDefault="00566637" w:rsidP="008406F6">
      <w:pPr>
        <w:tabs>
          <w:tab w:val="left" w:pos="8222"/>
        </w:tabs>
        <w:ind w:right="-28"/>
        <w:rPr>
          <w:rFonts w:cs="Tahoma"/>
          <w:bCs/>
          <w:szCs w:val="22"/>
        </w:rPr>
      </w:pPr>
    </w:p>
    <w:p w14:paraId="1C1C7B05" w14:textId="77777777" w:rsidR="00865663" w:rsidRPr="008406F6" w:rsidRDefault="00865663" w:rsidP="008406F6">
      <w:pPr>
        <w:tabs>
          <w:tab w:val="left" w:pos="8222"/>
        </w:tabs>
        <w:ind w:right="-28"/>
        <w:rPr>
          <w:rFonts w:cs="Tahoma"/>
          <w:bCs/>
          <w:szCs w:val="22"/>
        </w:rPr>
      </w:pPr>
      <w:r w:rsidRPr="008406F6">
        <w:rPr>
          <w:rFonts w:cs="Tahoma"/>
          <w:bCs/>
          <w:szCs w:val="22"/>
        </w:rPr>
        <w:t xml:space="preserve">Sobre el particular, cabe traer a colación el artículo 141 de la Ley </w:t>
      </w:r>
      <w:r w:rsidRPr="008406F6">
        <w:rPr>
          <w:rFonts w:cs="Tahoma"/>
          <w:bCs/>
        </w:rPr>
        <w:t>de Transparencia y Acceso a la Información del Estado de México y Municipios</w:t>
      </w:r>
      <w:r w:rsidRPr="008406F6">
        <w:rPr>
          <w:rFonts w:cs="Tahoma"/>
          <w:bCs/>
          <w:szCs w:val="22"/>
        </w:rPr>
        <w:t>, que establece que las causales de reserva se deberán fundar y motivar, a través de la aplicación de la prueba de daño establecida en el artículo 129 de dicho ordenamiento, que se debe justificar de la siguiente manera:</w:t>
      </w:r>
    </w:p>
    <w:p w14:paraId="0BA83B8C" w14:textId="77777777" w:rsidR="00865663" w:rsidRPr="008406F6" w:rsidRDefault="00865663" w:rsidP="008406F6">
      <w:pPr>
        <w:tabs>
          <w:tab w:val="left" w:pos="8222"/>
        </w:tabs>
        <w:ind w:right="-28"/>
        <w:rPr>
          <w:rFonts w:cs="Tahoma"/>
          <w:bCs/>
          <w:szCs w:val="22"/>
        </w:rPr>
      </w:pPr>
    </w:p>
    <w:p w14:paraId="50011D56" w14:textId="77777777" w:rsidR="00865663" w:rsidRPr="008406F6" w:rsidRDefault="00865663" w:rsidP="008406F6">
      <w:pPr>
        <w:pStyle w:val="Prrafodelista"/>
        <w:numPr>
          <w:ilvl w:val="0"/>
          <w:numId w:val="24"/>
        </w:numPr>
        <w:tabs>
          <w:tab w:val="left" w:pos="8222"/>
        </w:tabs>
        <w:ind w:right="-28"/>
        <w:rPr>
          <w:rFonts w:cs="Tahoma"/>
          <w:bCs/>
          <w:szCs w:val="22"/>
        </w:rPr>
      </w:pPr>
      <w:r w:rsidRPr="008406F6">
        <w:rPr>
          <w:rFonts w:cs="Tahoma"/>
          <w:bCs/>
          <w:szCs w:val="22"/>
        </w:rPr>
        <w:t>La divulgación de la información representa un riesgo real, demostrable e identificable de perjuicio significativo al interés público o a la seguridad nacional.</w:t>
      </w:r>
    </w:p>
    <w:p w14:paraId="55CF3DEA" w14:textId="77777777" w:rsidR="00865663" w:rsidRPr="008406F6" w:rsidRDefault="00865663" w:rsidP="008406F6">
      <w:pPr>
        <w:pStyle w:val="Prrafodelista"/>
        <w:numPr>
          <w:ilvl w:val="0"/>
          <w:numId w:val="24"/>
        </w:numPr>
        <w:tabs>
          <w:tab w:val="left" w:pos="8222"/>
        </w:tabs>
        <w:ind w:right="-28"/>
        <w:rPr>
          <w:rFonts w:cs="Tahoma"/>
          <w:bCs/>
          <w:szCs w:val="22"/>
        </w:rPr>
      </w:pPr>
      <w:r w:rsidRPr="008406F6">
        <w:rPr>
          <w:rFonts w:cs="Tahoma"/>
          <w:bCs/>
          <w:szCs w:val="22"/>
        </w:rPr>
        <w:t>El riesgo de perjuicio supera el interés público general de que se difunda.</w:t>
      </w:r>
    </w:p>
    <w:p w14:paraId="0A871367" w14:textId="77777777" w:rsidR="00865663" w:rsidRPr="008406F6" w:rsidRDefault="00865663" w:rsidP="008406F6">
      <w:pPr>
        <w:pStyle w:val="Prrafodelista"/>
        <w:numPr>
          <w:ilvl w:val="0"/>
          <w:numId w:val="24"/>
        </w:numPr>
        <w:tabs>
          <w:tab w:val="left" w:pos="8222"/>
        </w:tabs>
        <w:ind w:right="-28"/>
        <w:rPr>
          <w:rFonts w:cs="Tahoma"/>
          <w:bCs/>
          <w:szCs w:val="22"/>
        </w:rPr>
      </w:pPr>
      <w:r w:rsidRPr="008406F6">
        <w:rPr>
          <w:rFonts w:cs="Tahoma"/>
          <w:bCs/>
          <w:szCs w:val="22"/>
        </w:rPr>
        <w:t>Que la limitación se adecua al principio de proporcionalidad y representa el medio menos restrictivo disponible para evitar el perjuicio.</w:t>
      </w:r>
    </w:p>
    <w:p w14:paraId="00749C2A" w14:textId="77777777" w:rsidR="00865663" w:rsidRPr="008406F6" w:rsidRDefault="00865663" w:rsidP="008406F6">
      <w:pPr>
        <w:ind w:right="-28"/>
        <w:contextualSpacing/>
        <w:rPr>
          <w:rFonts w:eastAsia="Calibri" w:cs="Tahoma"/>
          <w:bCs/>
          <w:szCs w:val="22"/>
        </w:rPr>
      </w:pPr>
    </w:p>
    <w:p w14:paraId="1497ACFC" w14:textId="4E63A098" w:rsidR="00865663" w:rsidRPr="008406F6" w:rsidRDefault="00865663" w:rsidP="008406F6">
      <w:pPr>
        <w:ind w:right="-28"/>
        <w:contextualSpacing/>
        <w:rPr>
          <w:rFonts w:eastAsia="Calibri" w:cs="Tahoma"/>
          <w:bCs/>
          <w:szCs w:val="22"/>
        </w:rPr>
      </w:pPr>
      <w:r w:rsidRPr="008406F6">
        <w:rPr>
          <w:rFonts w:eastAsia="Calibri" w:cs="Tahoma"/>
          <w:bCs/>
          <w:szCs w:val="22"/>
        </w:rPr>
        <w:t xml:space="preserve">Por lo anterior se considera que, para el caso en que la información requerida actualice el supuesto de clasificación anteriormente señalado, </w:t>
      </w:r>
      <w:r w:rsidRPr="008406F6">
        <w:rPr>
          <w:rFonts w:eastAsia="Calibri" w:cs="Tahoma"/>
          <w:b/>
          <w:bCs/>
          <w:szCs w:val="22"/>
        </w:rPr>
        <w:t xml:space="preserve">EL SUJETO OBLIGADO </w:t>
      </w:r>
      <w:r w:rsidRPr="008406F6">
        <w:rPr>
          <w:rFonts w:eastAsia="Calibri" w:cs="Tahoma"/>
          <w:bCs/>
          <w:szCs w:val="22"/>
        </w:rPr>
        <w:t xml:space="preserve">deberá emitir el </w:t>
      </w:r>
      <w:r w:rsidRPr="008406F6">
        <w:rPr>
          <w:rFonts w:eastAsia="Calibri" w:cs="Tahoma"/>
          <w:bCs/>
          <w:szCs w:val="22"/>
        </w:rPr>
        <w:lastRenderedPageBreak/>
        <w:t xml:space="preserve">acuerdo debidamente fundado y motivado que de sustento a la reserva de la información requerida. </w:t>
      </w:r>
    </w:p>
    <w:p w14:paraId="06BDA2C4" w14:textId="77777777" w:rsidR="00865663" w:rsidRPr="008406F6" w:rsidRDefault="00865663" w:rsidP="008406F6">
      <w:pPr>
        <w:contextualSpacing/>
        <w:rPr>
          <w:rFonts w:eastAsia="Calibri" w:cs="Tahoma"/>
          <w:bCs/>
          <w:szCs w:val="22"/>
        </w:rPr>
      </w:pPr>
    </w:p>
    <w:p w14:paraId="6CD05AC4" w14:textId="5B0EFCBF" w:rsidR="00BD5A7C" w:rsidRPr="008406F6" w:rsidRDefault="00A9743C" w:rsidP="008406F6">
      <w:pPr>
        <w:pStyle w:val="Ttulo3"/>
      </w:pPr>
      <w:bookmarkStart w:id="36" w:name="_Toc181264993"/>
      <w:r w:rsidRPr="008406F6">
        <w:t>e</w:t>
      </w:r>
      <w:r w:rsidR="00BD5A7C" w:rsidRPr="008406F6">
        <w:t>) Conclusión</w:t>
      </w:r>
      <w:bookmarkEnd w:id="36"/>
    </w:p>
    <w:p w14:paraId="77412692" w14:textId="07A92D29" w:rsidR="00703347" w:rsidRPr="008406F6" w:rsidRDefault="00A9743C" w:rsidP="008406F6">
      <w:pPr>
        <w:ind w:right="-93"/>
        <w:rPr>
          <w:rFonts w:cs="Tahoma"/>
          <w:bCs/>
          <w:szCs w:val="22"/>
        </w:rPr>
      </w:pPr>
      <w:bookmarkStart w:id="37" w:name="_Hlk165381027"/>
      <w:r w:rsidRPr="008406F6">
        <w:rPr>
          <w:rFonts w:eastAsia="Palatino Linotype" w:cs="Palatino Linotype"/>
        </w:rPr>
        <w:t xml:space="preserve">En razón de lo anteriormente expuesto, este Instituto estima que las razones o motivos de inconformidad hechos valer por </w:t>
      </w:r>
      <w:r w:rsidRPr="008406F6">
        <w:rPr>
          <w:rFonts w:eastAsiaTheme="minorHAnsi" w:cs="Tahoma"/>
          <w:b/>
          <w:iCs/>
          <w:szCs w:val="22"/>
          <w:lang w:eastAsia="en-US"/>
        </w:rPr>
        <w:t>LA PARTE RECURRENTE</w:t>
      </w:r>
      <w:r w:rsidRPr="008406F6">
        <w:rPr>
          <w:rFonts w:eastAsiaTheme="minorHAnsi" w:cs="Tahoma"/>
          <w:bCs/>
          <w:iCs/>
          <w:szCs w:val="22"/>
          <w:lang w:eastAsia="en-US"/>
        </w:rPr>
        <w:t xml:space="preserve"> </w:t>
      </w:r>
      <w:r w:rsidRPr="008406F6">
        <w:rPr>
          <w:rFonts w:eastAsia="Palatino Linotype" w:cs="Palatino Linotype"/>
        </w:rPr>
        <w:t xml:space="preserve">devienen </w:t>
      </w:r>
      <w:r w:rsidRPr="008406F6">
        <w:rPr>
          <w:rFonts w:eastAsia="Palatino Linotype" w:cs="Palatino Linotype"/>
          <w:b/>
        </w:rPr>
        <w:t>fundadas</w:t>
      </w:r>
      <w:r w:rsidRPr="008406F6">
        <w:rPr>
          <w:rFonts w:eastAsia="Palatino Linotype" w:cs="Palatino Linotype"/>
        </w:rPr>
        <w:t xml:space="preserve"> y suficientes para </w:t>
      </w:r>
      <w:r w:rsidRPr="008406F6">
        <w:rPr>
          <w:rFonts w:eastAsia="Palatino Linotype" w:cs="Palatino Linotype"/>
          <w:b/>
        </w:rPr>
        <w:t>REVOCAR</w:t>
      </w:r>
      <w:r w:rsidRPr="008406F6">
        <w:rPr>
          <w:rFonts w:eastAsia="Palatino Linotype" w:cs="Palatino Linotype"/>
        </w:rPr>
        <w:t xml:space="preserve"> la respuesta del </w:t>
      </w:r>
      <w:r w:rsidRPr="008406F6">
        <w:rPr>
          <w:rFonts w:eastAsia="Palatino Linotype" w:cs="Palatino Linotype"/>
          <w:b/>
        </w:rPr>
        <w:t>SUJETO OBLIGADO</w:t>
      </w:r>
      <w:r w:rsidRPr="008406F6">
        <w:rPr>
          <w:rFonts w:eastAsia="Palatino Linotype" w:cs="Palatino Linotype"/>
        </w:rPr>
        <w:t xml:space="preserve"> y ordenarle haga entrega de la información materia de la solicitud.</w:t>
      </w:r>
    </w:p>
    <w:p w14:paraId="1664AD31" w14:textId="77777777" w:rsidR="00703347" w:rsidRPr="008406F6" w:rsidRDefault="00703347" w:rsidP="008406F6">
      <w:pPr>
        <w:ind w:right="-93"/>
        <w:rPr>
          <w:rFonts w:cs="Tahoma"/>
          <w:bCs/>
          <w:szCs w:val="22"/>
        </w:rPr>
      </w:pPr>
    </w:p>
    <w:p w14:paraId="6C4C444E" w14:textId="4B57355A" w:rsidR="00BD5A7C" w:rsidRPr="008406F6" w:rsidRDefault="00703347" w:rsidP="008406F6">
      <w:pPr>
        <w:ind w:right="-93"/>
        <w:rPr>
          <w:rFonts w:cs="Tahoma"/>
          <w:bCs/>
          <w:szCs w:val="22"/>
        </w:rPr>
      </w:pPr>
      <w:r w:rsidRPr="008406F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7"/>
    <w:p w14:paraId="7C13D1A0" w14:textId="77777777" w:rsidR="00BD5A7C" w:rsidRPr="008406F6" w:rsidRDefault="00BD5A7C" w:rsidP="008406F6"/>
    <w:p w14:paraId="5C396097" w14:textId="684A0E4F" w:rsidR="00664420" w:rsidRPr="008406F6" w:rsidRDefault="00664420" w:rsidP="008406F6">
      <w:pPr>
        <w:pStyle w:val="Ttulo1"/>
      </w:pPr>
      <w:bookmarkStart w:id="38" w:name="_Toc181264994"/>
      <w:r w:rsidRPr="008406F6">
        <w:t>RESUELVE</w:t>
      </w:r>
      <w:bookmarkEnd w:id="38"/>
    </w:p>
    <w:p w14:paraId="203B7093" w14:textId="77777777" w:rsidR="00664420" w:rsidRPr="008406F6" w:rsidRDefault="00664420" w:rsidP="008406F6">
      <w:pPr>
        <w:ind w:right="113"/>
        <w:rPr>
          <w:rFonts w:cs="Arial"/>
          <w:b/>
          <w:szCs w:val="22"/>
        </w:rPr>
      </w:pPr>
    </w:p>
    <w:p w14:paraId="40DE562B" w14:textId="504AA4E2" w:rsidR="00FC3CE0" w:rsidRPr="008406F6" w:rsidRDefault="00FC3CE0" w:rsidP="008406F6">
      <w:pPr>
        <w:widowControl w:val="0"/>
        <w:rPr>
          <w:rFonts w:eastAsia="Calibri" w:cs="Tahoma"/>
          <w:bCs/>
          <w:szCs w:val="22"/>
          <w:lang w:eastAsia="en-US"/>
        </w:rPr>
      </w:pPr>
      <w:r w:rsidRPr="008406F6">
        <w:rPr>
          <w:b/>
          <w:bCs/>
        </w:rPr>
        <w:t>PRIMERO.</w:t>
      </w:r>
      <w:r w:rsidRPr="008406F6">
        <w:t xml:space="preserve"> </w:t>
      </w:r>
      <w:r w:rsidR="00703347" w:rsidRPr="008406F6">
        <w:rPr>
          <w:rFonts w:cs="Tahoma"/>
          <w:szCs w:val="22"/>
        </w:rPr>
        <w:t xml:space="preserve">Se </w:t>
      </w:r>
      <w:r w:rsidR="00A9743C" w:rsidRPr="008406F6">
        <w:rPr>
          <w:rFonts w:cs="Tahoma"/>
          <w:b/>
          <w:bCs/>
          <w:szCs w:val="22"/>
        </w:rPr>
        <w:t>REVOCAN</w:t>
      </w:r>
      <w:r w:rsidR="00703347" w:rsidRPr="008406F6">
        <w:rPr>
          <w:rFonts w:cs="Tahoma"/>
          <w:szCs w:val="22"/>
        </w:rPr>
        <w:t xml:space="preserve"> las respuestas entregadas por el </w:t>
      </w:r>
      <w:r w:rsidR="00703347" w:rsidRPr="008406F6">
        <w:rPr>
          <w:rFonts w:cs="Tahoma"/>
          <w:b/>
          <w:bCs/>
          <w:szCs w:val="22"/>
        </w:rPr>
        <w:t>SUJETO OBLIGADO</w:t>
      </w:r>
      <w:r w:rsidR="00703347" w:rsidRPr="008406F6">
        <w:rPr>
          <w:rFonts w:cs="Tahoma"/>
          <w:szCs w:val="22"/>
        </w:rPr>
        <w:t xml:space="preserve"> en las solicitudes de información </w:t>
      </w:r>
      <w:r w:rsidR="00A9743C" w:rsidRPr="008406F6">
        <w:rPr>
          <w:rFonts w:cs="Tahoma"/>
          <w:b/>
          <w:bCs/>
        </w:rPr>
        <w:t>00326/SECOGEM/IP/2024 y 00327/SECOGEM/IP/2024</w:t>
      </w:r>
      <w:r w:rsidR="00703347" w:rsidRPr="008406F6">
        <w:rPr>
          <w:rFonts w:cs="Tahoma"/>
          <w:b/>
          <w:bCs/>
        </w:rPr>
        <w:t>,</w:t>
      </w:r>
      <w:r w:rsidR="00703347" w:rsidRPr="008406F6">
        <w:rPr>
          <w:rFonts w:cs="Tahoma"/>
          <w:bCs/>
          <w:szCs w:val="22"/>
        </w:rPr>
        <w:t xml:space="preserve"> </w:t>
      </w:r>
      <w:r w:rsidR="00703347" w:rsidRPr="008406F6">
        <w:rPr>
          <w:rFonts w:eastAsia="Calibri" w:cs="Tahoma"/>
          <w:bCs/>
          <w:szCs w:val="22"/>
          <w:lang w:eastAsia="en-US"/>
        </w:rPr>
        <w:t xml:space="preserve">por resultar </w:t>
      </w:r>
      <w:r w:rsidR="00703347" w:rsidRPr="008406F6">
        <w:rPr>
          <w:rFonts w:eastAsia="Calibri" w:cs="Tahoma"/>
          <w:b/>
          <w:bCs/>
          <w:szCs w:val="22"/>
          <w:lang w:eastAsia="en-US"/>
        </w:rPr>
        <w:t>FUNDADAS</w:t>
      </w:r>
      <w:r w:rsidR="00703347" w:rsidRPr="008406F6">
        <w:rPr>
          <w:rFonts w:eastAsia="Calibri" w:cs="Tahoma"/>
          <w:bCs/>
          <w:szCs w:val="22"/>
          <w:lang w:eastAsia="en-US"/>
        </w:rPr>
        <w:t xml:space="preserve"> las razones o motivos de inconformidad hechos valer por </w:t>
      </w:r>
      <w:r w:rsidR="00703347" w:rsidRPr="008406F6">
        <w:rPr>
          <w:rFonts w:eastAsia="Calibri" w:cs="Tahoma"/>
          <w:b/>
          <w:szCs w:val="22"/>
          <w:lang w:eastAsia="en-US"/>
        </w:rPr>
        <w:t>LA PARTE RECURRENTE</w:t>
      </w:r>
      <w:r w:rsidR="00703347" w:rsidRPr="008406F6">
        <w:rPr>
          <w:rFonts w:eastAsia="Calibri" w:cs="Tahoma"/>
          <w:bCs/>
          <w:szCs w:val="22"/>
          <w:lang w:eastAsia="en-US"/>
        </w:rPr>
        <w:t xml:space="preserve"> en los Recursos de Revisión </w:t>
      </w:r>
      <w:r w:rsidR="00A9743C" w:rsidRPr="008406F6">
        <w:rPr>
          <w:rFonts w:eastAsia="Calibri"/>
          <w:b/>
          <w:lang w:eastAsia="en-US"/>
        </w:rPr>
        <w:t>05422</w:t>
      </w:r>
      <w:r w:rsidR="00EF5B43" w:rsidRPr="008406F6">
        <w:rPr>
          <w:rFonts w:eastAsia="Calibri"/>
          <w:b/>
          <w:lang w:eastAsia="en-US"/>
        </w:rPr>
        <w:t xml:space="preserve">/INFOEM/IP/RR/2024, </w:t>
      </w:r>
      <w:r w:rsidR="00E10AC4" w:rsidRPr="008406F6">
        <w:rPr>
          <w:rFonts w:eastAsia="Calibri"/>
          <w:b/>
          <w:lang w:eastAsia="en-US"/>
        </w:rPr>
        <w:t>y 05423</w:t>
      </w:r>
      <w:r w:rsidR="00EF5B43" w:rsidRPr="008406F6">
        <w:rPr>
          <w:rFonts w:eastAsia="Calibri"/>
          <w:b/>
          <w:lang w:eastAsia="en-US"/>
        </w:rPr>
        <w:t>/INFOEM/IP/RR/2024</w:t>
      </w:r>
      <w:r w:rsidR="00703347" w:rsidRPr="008406F6">
        <w:rPr>
          <w:rFonts w:eastAsiaTheme="minorHAnsi" w:cstheme="minorBidi"/>
          <w:szCs w:val="22"/>
          <w:lang w:eastAsia="en-US"/>
        </w:rPr>
        <w:t>,</w:t>
      </w:r>
      <w:r w:rsidR="00703347" w:rsidRPr="008406F6">
        <w:rPr>
          <w:rFonts w:cs="Tahoma"/>
          <w:b/>
          <w:szCs w:val="22"/>
        </w:rPr>
        <w:t xml:space="preserve"> </w:t>
      </w:r>
      <w:r w:rsidR="00703347" w:rsidRPr="008406F6">
        <w:rPr>
          <w:rFonts w:eastAsia="Calibri" w:cs="Tahoma"/>
          <w:bCs/>
          <w:szCs w:val="22"/>
          <w:lang w:eastAsia="en-US"/>
        </w:rPr>
        <w:t xml:space="preserve">en términos del considerando </w:t>
      </w:r>
      <w:r w:rsidR="00703347" w:rsidRPr="008406F6">
        <w:rPr>
          <w:rFonts w:eastAsia="Calibri" w:cs="Tahoma"/>
          <w:b/>
          <w:szCs w:val="22"/>
          <w:lang w:eastAsia="en-US"/>
        </w:rPr>
        <w:t>SEGUNDO</w:t>
      </w:r>
      <w:r w:rsidR="00703347" w:rsidRPr="008406F6">
        <w:rPr>
          <w:rFonts w:eastAsia="Calibri" w:cs="Tahoma"/>
          <w:bCs/>
          <w:szCs w:val="22"/>
          <w:lang w:eastAsia="en-US"/>
        </w:rPr>
        <w:t xml:space="preserve"> de la presente Resolución.</w:t>
      </w:r>
    </w:p>
    <w:p w14:paraId="78D4A482" w14:textId="77777777" w:rsidR="00FC3CE0" w:rsidRPr="008406F6" w:rsidRDefault="00FC3CE0" w:rsidP="008406F6">
      <w:pPr>
        <w:widowControl w:val="0"/>
        <w:rPr>
          <w:rFonts w:eastAsia="Calibri" w:cs="Tahoma"/>
          <w:bCs/>
          <w:szCs w:val="22"/>
          <w:lang w:eastAsia="en-US"/>
        </w:rPr>
      </w:pPr>
    </w:p>
    <w:p w14:paraId="5276157A" w14:textId="510AF680" w:rsidR="00703347" w:rsidRPr="008406F6" w:rsidRDefault="00FC3CE0" w:rsidP="008406F6">
      <w:pPr>
        <w:ind w:right="-93"/>
        <w:rPr>
          <w:rFonts w:eastAsia="Calibri" w:cs="Tahoma"/>
          <w:bCs/>
          <w:szCs w:val="22"/>
          <w:lang w:eastAsia="en-US"/>
        </w:rPr>
      </w:pPr>
      <w:r w:rsidRPr="008406F6">
        <w:rPr>
          <w:rFonts w:eastAsia="Calibri" w:cs="Tahoma"/>
          <w:b/>
          <w:bCs/>
          <w:szCs w:val="22"/>
          <w:lang w:eastAsia="en-US"/>
        </w:rPr>
        <w:lastRenderedPageBreak/>
        <w:t>SEGUNDO.</w:t>
      </w:r>
      <w:r w:rsidRPr="008406F6">
        <w:rPr>
          <w:rFonts w:eastAsia="Calibri" w:cs="Tahoma"/>
          <w:szCs w:val="22"/>
          <w:lang w:eastAsia="es-MX"/>
        </w:rPr>
        <w:t xml:space="preserve"> </w:t>
      </w:r>
      <w:r w:rsidR="00E10AC4" w:rsidRPr="008406F6">
        <w:rPr>
          <w:rFonts w:eastAsia="Calibri" w:cs="Tahoma"/>
          <w:szCs w:val="22"/>
          <w:lang w:eastAsia="es-MX"/>
        </w:rPr>
        <w:t xml:space="preserve">Se </w:t>
      </w:r>
      <w:r w:rsidR="00E10AC4" w:rsidRPr="008406F6">
        <w:rPr>
          <w:rFonts w:eastAsia="Calibri" w:cs="Tahoma"/>
          <w:b/>
          <w:szCs w:val="22"/>
          <w:lang w:eastAsia="es-MX"/>
        </w:rPr>
        <w:t xml:space="preserve">ORDENA </w:t>
      </w:r>
      <w:r w:rsidR="00E10AC4" w:rsidRPr="008406F6">
        <w:rPr>
          <w:rFonts w:eastAsia="Calibri" w:cs="Tahoma"/>
          <w:szCs w:val="22"/>
          <w:lang w:eastAsia="es-MX"/>
        </w:rPr>
        <w:t xml:space="preserve">al </w:t>
      </w:r>
      <w:r w:rsidR="00E10AC4" w:rsidRPr="008406F6">
        <w:rPr>
          <w:rFonts w:eastAsia="Calibri" w:cs="Tahoma"/>
          <w:b/>
          <w:bCs/>
          <w:szCs w:val="22"/>
          <w:lang w:eastAsia="es-MX"/>
        </w:rPr>
        <w:t>SUJETO OBLIGADO</w:t>
      </w:r>
      <w:r w:rsidR="00E10AC4" w:rsidRPr="008406F6">
        <w:rPr>
          <w:rFonts w:eastAsia="Calibri" w:cs="Tahoma"/>
          <w:szCs w:val="22"/>
          <w:lang w:eastAsia="es-MX"/>
        </w:rPr>
        <w:t xml:space="preserve">, </w:t>
      </w:r>
      <w:r w:rsidR="00E10AC4" w:rsidRPr="008406F6">
        <w:rPr>
          <w:rFonts w:eastAsia="Calibri" w:cs="Tahoma"/>
          <w:bCs/>
          <w:szCs w:val="22"/>
          <w:lang w:eastAsia="en-US"/>
        </w:rPr>
        <w:t xml:space="preserve">a efecto de que, entregue a través del </w:t>
      </w:r>
      <w:r w:rsidR="00E10AC4" w:rsidRPr="008406F6">
        <w:rPr>
          <w:rFonts w:eastAsia="Calibri" w:cs="Tahoma"/>
          <w:b/>
          <w:bCs/>
          <w:szCs w:val="22"/>
          <w:lang w:eastAsia="en-US"/>
        </w:rPr>
        <w:t>SAIMEX</w:t>
      </w:r>
      <w:r w:rsidR="00E10AC4" w:rsidRPr="008406F6">
        <w:rPr>
          <w:rFonts w:eastAsia="Calibri" w:cs="Tahoma"/>
          <w:bCs/>
          <w:szCs w:val="22"/>
          <w:lang w:eastAsia="en-US"/>
        </w:rPr>
        <w:t xml:space="preserve">, de ser procedente en </w:t>
      </w:r>
      <w:r w:rsidR="00E10AC4" w:rsidRPr="008406F6">
        <w:rPr>
          <w:rFonts w:eastAsia="Calibri" w:cs="Tahoma"/>
          <w:b/>
          <w:bCs/>
          <w:szCs w:val="22"/>
          <w:lang w:eastAsia="en-US"/>
        </w:rPr>
        <w:t>versión pública</w:t>
      </w:r>
      <w:r w:rsidR="00E10AC4" w:rsidRPr="008406F6">
        <w:rPr>
          <w:rFonts w:eastAsia="Calibri" w:cs="Tahoma"/>
          <w:bCs/>
          <w:szCs w:val="22"/>
          <w:lang w:eastAsia="en-US"/>
        </w:rPr>
        <w:t>, el soporte documental que dé cuenta de lo siguiente:</w:t>
      </w:r>
    </w:p>
    <w:p w14:paraId="2C9F5BDA" w14:textId="77777777" w:rsidR="00E10AC4" w:rsidRPr="008406F6" w:rsidRDefault="00E10AC4" w:rsidP="008406F6">
      <w:pPr>
        <w:ind w:right="-93"/>
        <w:rPr>
          <w:rFonts w:eastAsia="Calibri" w:cs="Tahoma"/>
          <w:bCs/>
          <w:szCs w:val="22"/>
          <w:lang w:eastAsia="en-US"/>
        </w:rPr>
      </w:pPr>
    </w:p>
    <w:p w14:paraId="76EB1A1B" w14:textId="201582F2" w:rsidR="00E10AC4" w:rsidRPr="008406F6" w:rsidRDefault="00E10AC4" w:rsidP="008406F6">
      <w:pPr>
        <w:pStyle w:val="Puesto"/>
        <w:ind w:left="1287"/>
      </w:pPr>
      <w:r w:rsidRPr="008406F6">
        <w:t xml:space="preserve">1. Actas de entrega y recepción realizadas entre la entonces Secretaría Desarrollo Urbano y Obra y </w:t>
      </w:r>
      <w:r w:rsidR="000E1F9A" w:rsidRPr="008406F6">
        <w:rPr>
          <w:b/>
          <w:bCs/>
        </w:rPr>
        <w:t>la Secretaría de Desarrollo Urbano e Infraestructura</w:t>
      </w:r>
      <w:r w:rsidRPr="008406F6">
        <w:t xml:space="preserve">, </w:t>
      </w:r>
      <w:r w:rsidR="000E1F9A" w:rsidRPr="008406F6">
        <w:t>en donde se contemplen</w:t>
      </w:r>
      <w:r w:rsidRPr="008406F6">
        <w:t xml:space="preserve"> todas las obras públicas, proyectos de infraestructura y desarrollo urbano, </w:t>
      </w:r>
      <w:r w:rsidR="00A72E2A" w:rsidRPr="008406F6">
        <w:t>al</w:t>
      </w:r>
      <w:r w:rsidRPr="008406F6">
        <w:t xml:space="preserve"> </w:t>
      </w:r>
      <w:r w:rsidR="00145917" w:rsidRPr="008406F6">
        <w:t xml:space="preserve">ejercicio fiscal </w:t>
      </w:r>
      <w:r w:rsidRPr="008406F6">
        <w:t xml:space="preserve">2023. </w:t>
      </w:r>
    </w:p>
    <w:p w14:paraId="345570AD" w14:textId="77777777" w:rsidR="00E10AC4" w:rsidRPr="008406F6" w:rsidRDefault="00E10AC4" w:rsidP="008406F6">
      <w:pPr>
        <w:pStyle w:val="Puesto"/>
        <w:ind w:left="1287"/>
      </w:pPr>
    </w:p>
    <w:p w14:paraId="4CD061DB" w14:textId="23BD41B0" w:rsidR="00E10AC4" w:rsidRPr="008406F6" w:rsidRDefault="00E10AC4" w:rsidP="008406F6">
      <w:pPr>
        <w:pStyle w:val="Puesto"/>
        <w:ind w:left="1287"/>
      </w:pPr>
      <w:r w:rsidRPr="008406F6">
        <w:t xml:space="preserve">2. Actas de entrega y recepción realizadas entre </w:t>
      </w:r>
      <w:r w:rsidR="000E1F9A" w:rsidRPr="008406F6">
        <w:rPr>
          <w:bCs/>
        </w:rPr>
        <w:t>la entonces Secretaría Desarrollo Urbano y Obra</w:t>
      </w:r>
      <w:r w:rsidRPr="008406F6">
        <w:rPr>
          <w:b/>
          <w:bCs/>
        </w:rPr>
        <w:t xml:space="preserve"> </w:t>
      </w:r>
      <w:r w:rsidRPr="008406F6">
        <w:t xml:space="preserve">y </w:t>
      </w:r>
      <w:r w:rsidRPr="008406F6">
        <w:rPr>
          <w:b/>
        </w:rPr>
        <w:t>la Secretaría del Ag</w:t>
      </w:r>
      <w:r w:rsidRPr="008406F6">
        <w:t xml:space="preserve">ua, </w:t>
      </w:r>
      <w:r w:rsidR="000E1F9A" w:rsidRPr="008406F6">
        <w:t xml:space="preserve">en donde se contemplen </w:t>
      </w:r>
      <w:r w:rsidRPr="008406F6">
        <w:t xml:space="preserve">todos los proyectos, programas y obras relacionadas con el manejo, distribución y calidad del agua, </w:t>
      </w:r>
      <w:r w:rsidR="00A72E2A" w:rsidRPr="008406F6">
        <w:t>al</w:t>
      </w:r>
      <w:r w:rsidRPr="008406F6">
        <w:t xml:space="preserve"> </w:t>
      </w:r>
      <w:r w:rsidR="00145917" w:rsidRPr="008406F6">
        <w:t xml:space="preserve">ejercicio fiscal </w:t>
      </w:r>
      <w:r w:rsidRPr="008406F6">
        <w:t xml:space="preserve">2023. </w:t>
      </w:r>
    </w:p>
    <w:p w14:paraId="7146F38F" w14:textId="77777777" w:rsidR="00E10AC4" w:rsidRPr="008406F6" w:rsidRDefault="00E10AC4" w:rsidP="008406F6">
      <w:pPr>
        <w:pStyle w:val="Puesto"/>
        <w:ind w:left="1287"/>
      </w:pPr>
    </w:p>
    <w:p w14:paraId="3129F4BF" w14:textId="77777777" w:rsidR="00E10AC4" w:rsidRPr="008406F6" w:rsidRDefault="00E10AC4" w:rsidP="008406F6">
      <w:pPr>
        <w:ind w:right="-93"/>
        <w:rPr>
          <w:rFonts w:eastAsia="Calibri" w:cs="Tahoma"/>
          <w:bCs/>
          <w:szCs w:val="22"/>
          <w:lang w:eastAsia="en-US"/>
        </w:rPr>
      </w:pPr>
    </w:p>
    <w:p w14:paraId="78937B61" w14:textId="49FAAF75" w:rsidR="00E10AC4" w:rsidRPr="008406F6" w:rsidRDefault="00E10AC4" w:rsidP="008406F6">
      <w:pPr>
        <w:ind w:right="-93"/>
        <w:rPr>
          <w:rFonts w:eastAsia="Calibri" w:cs="Tahoma"/>
          <w:bCs/>
          <w:szCs w:val="22"/>
          <w:lang w:eastAsia="en-US"/>
        </w:rPr>
      </w:pPr>
      <w:r w:rsidRPr="008406F6">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6F0B19D" w14:textId="77777777" w:rsidR="005E5700" w:rsidRPr="008406F6" w:rsidRDefault="005E5700" w:rsidP="008406F6">
      <w:pPr>
        <w:ind w:right="-93"/>
      </w:pPr>
    </w:p>
    <w:p w14:paraId="0B820921" w14:textId="07454898" w:rsidR="00FC3CE0" w:rsidRPr="008406F6" w:rsidRDefault="00FC3CE0" w:rsidP="008406F6">
      <w:r w:rsidRPr="008406F6">
        <w:rPr>
          <w:b/>
          <w:bCs/>
        </w:rPr>
        <w:t>TERCERO.</w:t>
      </w:r>
      <w:r w:rsidRPr="008406F6">
        <w:t xml:space="preserve"> </w:t>
      </w:r>
      <w:r w:rsidR="00E10AC4" w:rsidRPr="008406F6">
        <w:rPr>
          <w:szCs w:val="22"/>
        </w:rPr>
        <w:t>Notifíquese vía Sistema de Acceso a la Información Mexiquense (</w:t>
      </w:r>
      <w:r w:rsidR="00E10AC4" w:rsidRPr="008406F6">
        <w:rPr>
          <w:b/>
          <w:szCs w:val="22"/>
        </w:rPr>
        <w:t>SAIMEX</w:t>
      </w:r>
      <w:r w:rsidR="00E10AC4" w:rsidRPr="008406F6">
        <w:rPr>
          <w:szCs w:val="22"/>
        </w:rPr>
        <w:t xml:space="preserve">) la presente resolución al Titular de la Unidad de Transparencia del </w:t>
      </w:r>
      <w:r w:rsidR="00E10AC4" w:rsidRPr="008406F6">
        <w:rPr>
          <w:b/>
          <w:bCs/>
          <w:szCs w:val="22"/>
        </w:rPr>
        <w:t>SUJETO OBLIGADO</w:t>
      </w:r>
      <w:r w:rsidR="00E10AC4" w:rsidRPr="008406F6">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00E10AC4" w:rsidRPr="008406F6">
        <w:rPr>
          <w:b/>
          <w:bCs/>
          <w:szCs w:val="22"/>
        </w:rPr>
        <w:t>diez días hábiles</w:t>
      </w:r>
      <w:r w:rsidR="00E10AC4" w:rsidRPr="008406F6">
        <w:rPr>
          <w:szCs w:val="22"/>
        </w:rPr>
        <w:t xml:space="preserve">, e informe a este Instituto en un plazo de </w:t>
      </w:r>
      <w:r w:rsidR="00E10AC4" w:rsidRPr="008406F6">
        <w:rPr>
          <w:b/>
          <w:bCs/>
          <w:szCs w:val="22"/>
        </w:rPr>
        <w:t>tres días hábiles</w:t>
      </w:r>
      <w:r w:rsidR="00E10AC4" w:rsidRPr="008406F6">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w:t>
      </w:r>
      <w:r w:rsidR="00E10AC4" w:rsidRPr="008406F6">
        <w:rPr>
          <w:szCs w:val="22"/>
        </w:rPr>
        <w:lastRenderedPageBreak/>
        <w:t>artículos 198, 200, fracción III; 214, 215 y 216 de la Ley de Transparencia y Acceso a la Información Pública del Estado de México y Municipios.</w:t>
      </w:r>
    </w:p>
    <w:p w14:paraId="08F1E11D" w14:textId="77777777" w:rsidR="00703347" w:rsidRPr="008406F6" w:rsidRDefault="00703347" w:rsidP="008406F6"/>
    <w:p w14:paraId="16A4F4E2" w14:textId="71212262" w:rsidR="00FC3CE0" w:rsidRPr="008406F6" w:rsidRDefault="00FC3CE0" w:rsidP="008406F6">
      <w:pPr>
        <w:rPr>
          <w:szCs w:val="22"/>
        </w:rPr>
      </w:pPr>
      <w:r w:rsidRPr="008406F6">
        <w:rPr>
          <w:b/>
          <w:bCs/>
        </w:rPr>
        <w:t>CUARTO.</w:t>
      </w:r>
      <w:r w:rsidRPr="008406F6">
        <w:t xml:space="preserve"> </w:t>
      </w:r>
      <w:r w:rsidR="00E10AC4" w:rsidRPr="008406F6">
        <w:rPr>
          <w:szCs w:val="22"/>
        </w:rPr>
        <w:t xml:space="preserve">Notifíquese a </w:t>
      </w:r>
      <w:r w:rsidR="00E10AC4" w:rsidRPr="008406F6">
        <w:rPr>
          <w:b/>
          <w:bCs/>
          <w:szCs w:val="22"/>
        </w:rPr>
        <w:t>LA PARTE RECURRENTE</w:t>
      </w:r>
      <w:r w:rsidR="00E10AC4" w:rsidRPr="008406F6">
        <w:rPr>
          <w:szCs w:val="22"/>
        </w:rPr>
        <w:t xml:space="preserve"> la presente resolución vía Sistema de Acceso a la Información Mexiquense (</w:t>
      </w:r>
      <w:r w:rsidR="00E10AC4" w:rsidRPr="008406F6">
        <w:rPr>
          <w:b/>
          <w:szCs w:val="22"/>
        </w:rPr>
        <w:t>SAIMEX</w:t>
      </w:r>
      <w:r w:rsidR="00E10AC4" w:rsidRPr="008406F6">
        <w:rPr>
          <w:szCs w:val="22"/>
        </w:rPr>
        <w:t>).</w:t>
      </w:r>
    </w:p>
    <w:p w14:paraId="1F30FCD8" w14:textId="77777777" w:rsidR="00E10AC4" w:rsidRPr="008406F6" w:rsidRDefault="00E10AC4" w:rsidP="008406F6">
      <w:pPr>
        <w:rPr>
          <w:szCs w:val="22"/>
        </w:rPr>
      </w:pPr>
    </w:p>
    <w:p w14:paraId="33610875" w14:textId="77777777" w:rsidR="00E10AC4" w:rsidRPr="008406F6" w:rsidRDefault="00E10AC4" w:rsidP="008406F6">
      <w:pPr>
        <w:rPr>
          <w:szCs w:val="22"/>
        </w:rPr>
      </w:pPr>
      <w:r w:rsidRPr="008406F6">
        <w:rPr>
          <w:b/>
          <w:bCs/>
          <w:szCs w:val="22"/>
        </w:rPr>
        <w:t>QUINTO</w:t>
      </w:r>
      <w:r w:rsidRPr="008406F6">
        <w:rPr>
          <w:szCs w:val="22"/>
        </w:rPr>
        <w:t xml:space="preserve">. Hágase del conocimiento a </w:t>
      </w:r>
      <w:r w:rsidRPr="008406F6">
        <w:rPr>
          <w:b/>
          <w:bCs/>
          <w:szCs w:val="22"/>
        </w:rPr>
        <w:t>LA PARTE RECURRENTE</w:t>
      </w:r>
      <w:r w:rsidRPr="008406F6">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C8E31EB" w14:textId="77777777" w:rsidR="00E10AC4" w:rsidRPr="008406F6" w:rsidRDefault="00E10AC4" w:rsidP="008406F6">
      <w:pPr>
        <w:rPr>
          <w:szCs w:val="22"/>
        </w:rPr>
      </w:pPr>
    </w:p>
    <w:p w14:paraId="3560AC08" w14:textId="661DCDCC" w:rsidR="00E10AC4" w:rsidRPr="008406F6" w:rsidRDefault="00E10AC4" w:rsidP="008406F6">
      <w:r w:rsidRPr="008406F6">
        <w:rPr>
          <w:b/>
          <w:bCs/>
          <w:szCs w:val="22"/>
        </w:rPr>
        <w:t>SEXTO.</w:t>
      </w:r>
      <w:r w:rsidRPr="008406F6">
        <w:rPr>
          <w:szCs w:val="22"/>
        </w:rPr>
        <w:t xml:space="preserve"> De conformidad con el artículo 198 de la Ley de Transparencia y Acceso a la Información Pública del Estado de México y Municipios, el </w:t>
      </w:r>
      <w:r w:rsidRPr="008406F6">
        <w:rPr>
          <w:b/>
          <w:bCs/>
          <w:szCs w:val="22"/>
        </w:rPr>
        <w:t>SUJETO OBLIGADO</w:t>
      </w:r>
      <w:r w:rsidRPr="008406F6">
        <w:rPr>
          <w:szCs w:val="22"/>
        </w:rPr>
        <w:t xml:space="preserve"> podrá solicitar una ampliación de plazo de manera fundada y motivada, para el cumplimiento de la presente resolución.</w:t>
      </w:r>
    </w:p>
    <w:p w14:paraId="2BC8564F" w14:textId="77777777" w:rsidR="00FC3CE0" w:rsidRPr="008406F6" w:rsidRDefault="00FC3CE0" w:rsidP="004554E1">
      <w:pPr>
        <w:spacing w:line="240" w:lineRule="auto"/>
        <w:ind w:right="113"/>
        <w:rPr>
          <w:rFonts w:cs="Arial"/>
          <w:b/>
          <w:szCs w:val="22"/>
        </w:rPr>
      </w:pPr>
    </w:p>
    <w:p w14:paraId="719A5C63" w14:textId="2E856609" w:rsidR="00664420" w:rsidRPr="008406F6" w:rsidRDefault="00664420" w:rsidP="008406F6">
      <w:pPr>
        <w:rPr>
          <w:rFonts w:eastAsia="Palatino Linotype" w:cs="Palatino Linotype"/>
          <w:szCs w:val="22"/>
        </w:rPr>
      </w:pPr>
      <w:r w:rsidRPr="008406F6">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8406F6">
        <w:rPr>
          <w:rFonts w:eastAsia="Palatino Linotype" w:cs="Palatino Linotype"/>
          <w:szCs w:val="22"/>
        </w:rPr>
        <w:t>EMITIENDO VOTO PARTICULAR</w:t>
      </w:r>
      <w:r w:rsidR="008406F6" w:rsidRPr="008406F6">
        <w:rPr>
          <w:rFonts w:eastAsia="Palatino Linotype" w:cs="Palatino Linotype"/>
          <w:szCs w:val="22"/>
        </w:rPr>
        <w:t xml:space="preserve"> </w:t>
      </w:r>
      <w:r w:rsidRPr="008406F6">
        <w:rPr>
          <w:rFonts w:eastAsia="Palatino Linotype" w:cs="Palatino Linotype"/>
          <w:szCs w:val="22"/>
        </w:rPr>
        <w:t xml:space="preserve">Y GUADALUPE RAMÍREZ PEÑA, EN LA </w:t>
      </w:r>
      <w:r w:rsidR="00703347" w:rsidRPr="008406F6">
        <w:rPr>
          <w:rFonts w:eastAsia="Palatino Linotype" w:cs="Palatino Linotype"/>
          <w:szCs w:val="22"/>
        </w:rPr>
        <w:t>TRIG</w:t>
      </w:r>
      <w:r w:rsidR="00E10AC4" w:rsidRPr="008406F6">
        <w:rPr>
          <w:rFonts w:eastAsia="Palatino Linotype" w:cs="Palatino Linotype"/>
          <w:szCs w:val="22"/>
        </w:rPr>
        <w:t xml:space="preserve">ÉSIMA </w:t>
      </w:r>
      <w:r w:rsidR="001653BF" w:rsidRPr="008406F6">
        <w:rPr>
          <w:rFonts w:eastAsia="Palatino Linotype" w:cs="Palatino Linotype"/>
          <w:szCs w:val="22"/>
        </w:rPr>
        <w:t>OCTAVA</w:t>
      </w:r>
      <w:r w:rsidR="00EF5B43" w:rsidRPr="008406F6">
        <w:rPr>
          <w:rFonts w:eastAsia="Palatino Linotype" w:cs="Palatino Linotype"/>
          <w:szCs w:val="22"/>
        </w:rPr>
        <w:t xml:space="preserve"> </w:t>
      </w:r>
      <w:r w:rsidR="00703347" w:rsidRPr="008406F6">
        <w:rPr>
          <w:rFonts w:eastAsia="Palatino Linotype" w:cs="Palatino Linotype"/>
          <w:szCs w:val="22"/>
        </w:rPr>
        <w:t>ESIÓN ORDINARIA</w:t>
      </w:r>
      <w:r w:rsidRPr="008406F6">
        <w:rPr>
          <w:rFonts w:eastAsia="Palatino Linotype" w:cs="Palatino Linotype"/>
          <w:szCs w:val="22"/>
        </w:rPr>
        <w:t xml:space="preserve">, CELEBRADA EL </w:t>
      </w:r>
      <w:r w:rsidR="001653BF" w:rsidRPr="008406F6">
        <w:rPr>
          <w:rFonts w:eastAsia="Palatino Linotype" w:cs="Palatino Linotype"/>
          <w:szCs w:val="22"/>
        </w:rPr>
        <w:t>SEIS DE NOVIEMBRE</w:t>
      </w:r>
      <w:r w:rsidRPr="008406F6">
        <w:rPr>
          <w:rFonts w:eastAsia="Palatino Linotype" w:cs="Palatino Linotype"/>
          <w:szCs w:val="22"/>
        </w:rPr>
        <w:t xml:space="preserve"> DE DOS MIL </w:t>
      </w:r>
      <w:r w:rsidR="00703347" w:rsidRPr="008406F6">
        <w:rPr>
          <w:rFonts w:eastAsia="Palatino Linotype" w:cs="Palatino Linotype"/>
          <w:szCs w:val="22"/>
        </w:rPr>
        <w:t>VEINTICUATRO</w:t>
      </w:r>
      <w:r w:rsidRPr="008406F6">
        <w:rPr>
          <w:rFonts w:eastAsia="Palatino Linotype" w:cs="Palatino Linotype"/>
          <w:szCs w:val="22"/>
        </w:rPr>
        <w:t>, ANTE EL SECRETARIO TÉCNICO DEL PLENO, ALEXIS TAPIA RAMÍREZ.</w:t>
      </w:r>
      <w:bookmarkStart w:id="39" w:name="_GoBack"/>
      <w:bookmarkEnd w:id="39"/>
    </w:p>
    <w:p w14:paraId="4399A2F8" w14:textId="77777777" w:rsidR="00703347" w:rsidRPr="008406F6" w:rsidRDefault="00703347" w:rsidP="008406F6">
      <w:pPr>
        <w:rPr>
          <w:rFonts w:eastAsiaTheme="minorEastAsia"/>
          <w:sz w:val="20"/>
          <w:lang w:val="es-419"/>
        </w:rPr>
      </w:pPr>
      <w:r w:rsidRPr="008406F6">
        <w:rPr>
          <w:rFonts w:eastAsiaTheme="minorEastAsia"/>
          <w:sz w:val="20"/>
          <w:lang w:val="es-ES_tradnl"/>
        </w:rPr>
        <w:t>SCMM/AGZ/DEMF/</w:t>
      </w:r>
      <w:r w:rsidRPr="008406F6">
        <w:rPr>
          <w:rFonts w:eastAsiaTheme="minorEastAsia"/>
          <w:sz w:val="20"/>
          <w:lang w:val="es-419"/>
        </w:rPr>
        <w:t>CDFE</w:t>
      </w:r>
    </w:p>
    <w:p w14:paraId="49D72DA3" w14:textId="77777777" w:rsidR="00664420" w:rsidRPr="008406F6" w:rsidRDefault="00664420" w:rsidP="008406F6">
      <w:pPr>
        <w:ind w:right="-93"/>
        <w:rPr>
          <w:rFonts w:eastAsia="Calibri" w:cs="Tahoma"/>
          <w:bCs/>
          <w:szCs w:val="22"/>
          <w:lang w:eastAsia="en-US"/>
        </w:rPr>
      </w:pPr>
    </w:p>
    <w:p w14:paraId="5EFEA0CD" w14:textId="77777777" w:rsidR="00664420" w:rsidRPr="008406F6" w:rsidRDefault="00664420" w:rsidP="008406F6">
      <w:pPr>
        <w:ind w:right="-93"/>
        <w:rPr>
          <w:rFonts w:eastAsia="Calibri" w:cs="Tahoma"/>
          <w:szCs w:val="22"/>
          <w:lang w:val="es-ES"/>
        </w:rPr>
      </w:pPr>
    </w:p>
    <w:p w14:paraId="696BC976" w14:textId="77777777" w:rsidR="00664420" w:rsidRPr="008406F6" w:rsidRDefault="00664420" w:rsidP="008406F6">
      <w:pPr>
        <w:ind w:right="-93"/>
        <w:rPr>
          <w:rFonts w:eastAsia="Calibri" w:cs="Tahoma"/>
          <w:bCs/>
          <w:szCs w:val="22"/>
          <w:lang w:val="es-ES" w:eastAsia="en-US"/>
        </w:rPr>
      </w:pPr>
    </w:p>
    <w:p w14:paraId="671CB0C5" w14:textId="77777777" w:rsidR="00664420" w:rsidRPr="008406F6" w:rsidRDefault="00664420" w:rsidP="008406F6">
      <w:pPr>
        <w:ind w:right="-93"/>
        <w:rPr>
          <w:rFonts w:eastAsia="Calibri" w:cs="Tahoma"/>
          <w:bCs/>
          <w:szCs w:val="22"/>
          <w:lang w:val="es-ES_tradnl" w:eastAsia="en-US"/>
        </w:rPr>
      </w:pPr>
    </w:p>
    <w:p w14:paraId="52B66DE7" w14:textId="77777777" w:rsidR="00664420" w:rsidRPr="008406F6" w:rsidRDefault="00664420" w:rsidP="008406F6">
      <w:pPr>
        <w:ind w:right="-93"/>
        <w:rPr>
          <w:rFonts w:eastAsia="Calibri" w:cs="Tahoma"/>
          <w:bCs/>
          <w:szCs w:val="22"/>
          <w:lang w:val="es-ES_tradnl" w:eastAsia="en-US"/>
        </w:rPr>
      </w:pPr>
    </w:p>
    <w:p w14:paraId="3BA305D1" w14:textId="77777777" w:rsidR="00664420" w:rsidRPr="008406F6" w:rsidRDefault="00664420" w:rsidP="008406F6">
      <w:pPr>
        <w:ind w:right="-93"/>
        <w:rPr>
          <w:rFonts w:eastAsia="Calibri" w:cs="Tahoma"/>
          <w:bCs/>
          <w:szCs w:val="22"/>
          <w:lang w:val="es-ES_tradnl" w:eastAsia="en-US"/>
        </w:rPr>
      </w:pPr>
    </w:p>
    <w:p w14:paraId="78230707" w14:textId="77777777" w:rsidR="00664420" w:rsidRPr="008406F6" w:rsidRDefault="00664420" w:rsidP="008406F6">
      <w:pPr>
        <w:ind w:right="-93"/>
        <w:rPr>
          <w:rFonts w:eastAsia="Calibri" w:cs="Tahoma"/>
          <w:bCs/>
          <w:szCs w:val="22"/>
          <w:lang w:val="es-ES_tradnl" w:eastAsia="en-US"/>
        </w:rPr>
      </w:pPr>
    </w:p>
    <w:p w14:paraId="72D18B28" w14:textId="77777777" w:rsidR="00664420" w:rsidRPr="008406F6" w:rsidRDefault="00664420" w:rsidP="008406F6">
      <w:pPr>
        <w:ind w:right="-93"/>
        <w:rPr>
          <w:rFonts w:eastAsia="Calibri" w:cs="Tahoma"/>
          <w:bCs/>
          <w:szCs w:val="22"/>
          <w:lang w:val="es-ES_tradnl" w:eastAsia="en-US"/>
        </w:rPr>
      </w:pPr>
    </w:p>
    <w:p w14:paraId="6BD461DC" w14:textId="77777777" w:rsidR="00664420" w:rsidRPr="008406F6" w:rsidRDefault="00664420" w:rsidP="008406F6">
      <w:pPr>
        <w:tabs>
          <w:tab w:val="center" w:pos="4568"/>
        </w:tabs>
        <w:ind w:right="-93"/>
        <w:rPr>
          <w:rFonts w:eastAsia="Calibri" w:cs="Tahoma"/>
          <w:bCs/>
          <w:szCs w:val="22"/>
          <w:lang w:eastAsia="en-US"/>
        </w:rPr>
      </w:pPr>
    </w:p>
    <w:p w14:paraId="4DBB1727" w14:textId="77777777" w:rsidR="00664420" w:rsidRPr="008406F6" w:rsidRDefault="00664420" w:rsidP="008406F6">
      <w:pPr>
        <w:tabs>
          <w:tab w:val="center" w:pos="4568"/>
        </w:tabs>
        <w:ind w:right="-93"/>
        <w:rPr>
          <w:rFonts w:eastAsia="Calibri" w:cs="Tahoma"/>
          <w:bCs/>
          <w:szCs w:val="22"/>
          <w:lang w:eastAsia="en-US"/>
        </w:rPr>
      </w:pPr>
    </w:p>
    <w:p w14:paraId="1D74121B" w14:textId="77777777" w:rsidR="00664420" w:rsidRPr="008406F6" w:rsidRDefault="00664420" w:rsidP="008406F6">
      <w:pPr>
        <w:tabs>
          <w:tab w:val="center" w:pos="4568"/>
        </w:tabs>
        <w:ind w:right="-93"/>
        <w:rPr>
          <w:rFonts w:eastAsia="Calibri" w:cs="Tahoma"/>
          <w:bCs/>
          <w:szCs w:val="22"/>
          <w:lang w:eastAsia="en-US"/>
        </w:rPr>
      </w:pPr>
    </w:p>
    <w:p w14:paraId="08E74E9C" w14:textId="77777777" w:rsidR="00664420" w:rsidRPr="008406F6" w:rsidRDefault="00664420" w:rsidP="008406F6">
      <w:pPr>
        <w:tabs>
          <w:tab w:val="center" w:pos="4568"/>
        </w:tabs>
        <w:ind w:right="-93"/>
        <w:rPr>
          <w:rFonts w:eastAsia="Calibri" w:cs="Tahoma"/>
          <w:bCs/>
          <w:szCs w:val="22"/>
          <w:lang w:eastAsia="en-US"/>
        </w:rPr>
      </w:pPr>
    </w:p>
    <w:p w14:paraId="2CBF5E03" w14:textId="77777777" w:rsidR="00664420" w:rsidRPr="008406F6" w:rsidRDefault="00664420" w:rsidP="008406F6">
      <w:pPr>
        <w:tabs>
          <w:tab w:val="center" w:pos="4568"/>
        </w:tabs>
        <w:ind w:right="-93"/>
        <w:rPr>
          <w:rFonts w:eastAsia="Calibri" w:cs="Tahoma"/>
          <w:bCs/>
          <w:szCs w:val="22"/>
          <w:lang w:eastAsia="en-US"/>
        </w:rPr>
      </w:pPr>
    </w:p>
    <w:p w14:paraId="44865A6D" w14:textId="77777777" w:rsidR="00664420" w:rsidRPr="008406F6" w:rsidRDefault="00664420" w:rsidP="008406F6">
      <w:pPr>
        <w:tabs>
          <w:tab w:val="center" w:pos="4568"/>
        </w:tabs>
        <w:ind w:right="-93"/>
        <w:rPr>
          <w:rFonts w:eastAsia="Calibri" w:cs="Tahoma"/>
          <w:bCs/>
          <w:szCs w:val="22"/>
          <w:lang w:eastAsia="en-US"/>
        </w:rPr>
      </w:pPr>
    </w:p>
    <w:p w14:paraId="7147F06B" w14:textId="77777777" w:rsidR="00664420" w:rsidRPr="008406F6" w:rsidRDefault="00664420" w:rsidP="008406F6">
      <w:pPr>
        <w:tabs>
          <w:tab w:val="center" w:pos="4568"/>
        </w:tabs>
        <w:ind w:right="-93"/>
        <w:rPr>
          <w:rFonts w:eastAsia="Calibri" w:cs="Tahoma"/>
          <w:bCs/>
          <w:szCs w:val="22"/>
          <w:lang w:eastAsia="en-US"/>
        </w:rPr>
      </w:pPr>
    </w:p>
    <w:p w14:paraId="6FDF3D7E" w14:textId="77777777" w:rsidR="00664420" w:rsidRPr="008406F6" w:rsidRDefault="00664420" w:rsidP="008406F6">
      <w:pPr>
        <w:tabs>
          <w:tab w:val="center" w:pos="4568"/>
        </w:tabs>
        <w:ind w:right="-93"/>
        <w:rPr>
          <w:rFonts w:eastAsia="Calibri" w:cs="Tahoma"/>
          <w:bCs/>
          <w:szCs w:val="22"/>
          <w:lang w:eastAsia="en-US"/>
        </w:rPr>
      </w:pPr>
    </w:p>
    <w:p w14:paraId="6246F818" w14:textId="77777777" w:rsidR="00664420" w:rsidRPr="008406F6" w:rsidRDefault="00664420" w:rsidP="008406F6">
      <w:pPr>
        <w:tabs>
          <w:tab w:val="center" w:pos="4568"/>
        </w:tabs>
        <w:ind w:right="-93"/>
        <w:rPr>
          <w:rFonts w:eastAsia="Calibri" w:cs="Tahoma"/>
          <w:bCs/>
          <w:szCs w:val="22"/>
          <w:lang w:eastAsia="en-US"/>
        </w:rPr>
      </w:pPr>
    </w:p>
    <w:p w14:paraId="57A88B28" w14:textId="77777777" w:rsidR="00664420" w:rsidRPr="008406F6" w:rsidRDefault="00664420" w:rsidP="008406F6">
      <w:pPr>
        <w:tabs>
          <w:tab w:val="center" w:pos="4568"/>
        </w:tabs>
        <w:ind w:right="-93"/>
        <w:rPr>
          <w:rFonts w:eastAsia="Calibri" w:cs="Tahoma"/>
          <w:bCs/>
          <w:szCs w:val="22"/>
          <w:lang w:eastAsia="en-US"/>
        </w:rPr>
      </w:pPr>
    </w:p>
    <w:p w14:paraId="77EF6095" w14:textId="77777777" w:rsidR="00664420" w:rsidRPr="008406F6" w:rsidRDefault="00664420" w:rsidP="008406F6">
      <w:pPr>
        <w:tabs>
          <w:tab w:val="center" w:pos="4568"/>
        </w:tabs>
        <w:ind w:right="-93"/>
        <w:rPr>
          <w:rFonts w:eastAsia="Calibri" w:cs="Tahoma"/>
          <w:bCs/>
          <w:szCs w:val="22"/>
          <w:lang w:eastAsia="en-US"/>
        </w:rPr>
      </w:pPr>
    </w:p>
    <w:p w14:paraId="35593947" w14:textId="77777777" w:rsidR="00664420" w:rsidRPr="008406F6" w:rsidRDefault="00664420" w:rsidP="008406F6">
      <w:pPr>
        <w:tabs>
          <w:tab w:val="center" w:pos="4568"/>
        </w:tabs>
        <w:ind w:right="-93"/>
        <w:rPr>
          <w:rFonts w:eastAsia="Calibri" w:cs="Tahoma"/>
          <w:bCs/>
          <w:szCs w:val="22"/>
          <w:lang w:eastAsia="en-US"/>
        </w:rPr>
      </w:pPr>
    </w:p>
    <w:p w14:paraId="3AF72A17" w14:textId="77777777" w:rsidR="00664420" w:rsidRPr="008406F6" w:rsidRDefault="00664420" w:rsidP="008406F6">
      <w:pPr>
        <w:tabs>
          <w:tab w:val="center" w:pos="4568"/>
        </w:tabs>
        <w:ind w:right="-93"/>
        <w:rPr>
          <w:rFonts w:eastAsia="Calibri" w:cs="Tahoma"/>
          <w:bCs/>
          <w:szCs w:val="22"/>
          <w:lang w:eastAsia="en-US"/>
        </w:rPr>
      </w:pPr>
    </w:p>
    <w:p w14:paraId="37169144" w14:textId="77777777" w:rsidR="00664420" w:rsidRPr="008406F6" w:rsidRDefault="00664420" w:rsidP="008406F6">
      <w:pPr>
        <w:tabs>
          <w:tab w:val="center" w:pos="4568"/>
        </w:tabs>
        <w:ind w:right="-93"/>
        <w:rPr>
          <w:rFonts w:eastAsia="Calibri" w:cs="Tahoma"/>
          <w:bCs/>
          <w:szCs w:val="22"/>
          <w:lang w:eastAsia="en-US"/>
        </w:rPr>
      </w:pPr>
    </w:p>
    <w:p w14:paraId="77CFC088" w14:textId="77777777" w:rsidR="00664420" w:rsidRPr="008406F6" w:rsidRDefault="00664420" w:rsidP="008406F6">
      <w:pPr>
        <w:tabs>
          <w:tab w:val="center" w:pos="4568"/>
        </w:tabs>
        <w:ind w:right="-93"/>
        <w:rPr>
          <w:rFonts w:eastAsia="Calibri" w:cs="Tahoma"/>
          <w:bCs/>
          <w:szCs w:val="22"/>
          <w:lang w:eastAsia="en-US"/>
        </w:rPr>
      </w:pPr>
    </w:p>
    <w:p w14:paraId="781A11A5" w14:textId="77777777" w:rsidR="00664420" w:rsidRPr="008406F6" w:rsidRDefault="00664420" w:rsidP="008406F6">
      <w:pPr>
        <w:tabs>
          <w:tab w:val="center" w:pos="4568"/>
        </w:tabs>
        <w:ind w:right="-93"/>
        <w:rPr>
          <w:rFonts w:eastAsia="Calibri" w:cs="Tahoma"/>
          <w:bCs/>
          <w:szCs w:val="22"/>
          <w:lang w:eastAsia="en-US"/>
        </w:rPr>
      </w:pPr>
    </w:p>
    <w:p w14:paraId="5B4ADFF3" w14:textId="77777777" w:rsidR="00A131AC" w:rsidRPr="008406F6" w:rsidRDefault="00A131AC" w:rsidP="008406F6"/>
    <w:sectPr w:rsidR="00A131AC" w:rsidRPr="008406F6"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30033" w14:textId="77777777" w:rsidR="0082022B" w:rsidRDefault="0082022B" w:rsidP="00664420">
      <w:pPr>
        <w:spacing w:line="240" w:lineRule="auto"/>
      </w:pPr>
      <w:r>
        <w:separator/>
      </w:r>
    </w:p>
  </w:endnote>
  <w:endnote w:type="continuationSeparator" w:id="0">
    <w:p w14:paraId="5C3B92DD" w14:textId="77777777" w:rsidR="0082022B" w:rsidRDefault="0082022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C4363B" w:rsidRDefault="00C4363B">
    <w:pPr>
      <w:tabs>
        <w:tab w:val="center" w:pos="4550"/>
        <w:tab w:val="left" w:pos="5818"/>
      </w:tabs>
      <w:ind w:right="260"/>
      <w:jc w:val="right"/>
      <w:rPr>
        <w:color w:val="071320" w:themeColor="text2" w:themeShade="80"/>
        <w:sz w:val="24"/>
        <w:szCs w:val="24"/>
      </w:rPr>
    </w:pPr>
  </w:p>
  <w:p w14:paraId="1BCA7F23" w14:textId="77777777" w:rsidR="00C4363B" w:rsidRDefault="00C436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C4363B" w:rsidRDefault="00C4363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554E1" w:rsidRPr="004554E1">
      <w:rPr>
        <w:noProof/>
        <w:color w:val="0A1D30" w:themeColor="text2" w:themeShade="BF"/>
        <w:sz w:val="24"/>
        <w:szCs w:val="24"/>
        <w:lang w:val="es-ES"/>
      </w:rPr>
      <w:t>45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554E1" w:rsidRPr="004554E1">
      <w:rPr>
        <w:noProof/>
        <w:color w:val="0A1D30" w:themeColor="text2" w:themeShade="BF"/>
        <w:sz w:val="24"/>
        <w:szCs w:val="24"/>
        <w:lang w:val="es-ES"/>
      </w:rPr>
      <w:t>47</w:t>
    </w:r>
    <w:r>
      <w:rPr>
        <w:color w:val="0A1D30" w:themeColor="text2" w:themeShade="BF"/>
        <w:sz w:val="24"/>
        <w:szCs w:val="24"/>
      </w:rPr>
      <w:fldChar w:fldCharType="end"/>
    </w:r>
  </w:p>
  <w:p w14:paraId="310E15C0" w14:textId="77777777" w:rsidR="00C4363B" w:rsidRDefault="00C436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95C2D" w14:textId="77777777" w:rsidR="0082022B" w:rsidRDefault="0082022B" w:rsidP="00664420">
      <w:pPr>
        <w:spacing w:line="240" w:lineRule="auto"/>
      </w:pPr>
      <w:r>
        <w:separator/>
      </w:r>
    </w:p>
  </w:footnote>
  <w:footnote w:type="continuationSeparator" w:id="0">
    <w:p w14:paraId="71B52EDF" w14:textId="77777777" w:rsidR="0082022B" w:rsidRDefault="0082022B" w:rsidP="00664420">
      <w:pPr>
        <w:spacing w:line="240" w:lineRule="auto"/>
      </w:pPr>
      <w:r>
        <w:continuationSeparator/>
      </w:r>
    </w:p>
  </w:footnote>
  <w:footnote w:id="1">
    <w:p w14:paraId="2EF58247" w14:textId="77777777" w:rsidR="00C4363B" w:rsidRDefault="00C4363B" w:rsidP="00650865">
      <w:pPr>
        <w:pStyle w:val="Textonotapie"/>
      </w:pPr>
      <w:r>
        <w:rPr>
          <w:rStyle w:val="Refdenotaalpie"/>
        </w:rPr>
        <w:footnoteRef/>
      </w:r>
      <w:r>
        <w:t xml:space="preserve"> </w:t>
      </w:r>
      <w:hyperlink r:id="rId1" w:history="1">
        <w:r w:rsidRPr="00173FB9">
          <w:rPr>
            <w:rStyle w:val="Hipervnculo"/>
          </w:rPr>
          <w:t>https://legislacion.edomex.gob.mx/sites/legislacion.edomex.gob.mx/files/files/pdf/rgl/vig/rglvig740.pdf</w:t>
        </w:r>
      </w:hyperlink>
      <w:r>
        <w:t xml:space="preserve"> </w:t>
      </w:r>
    </w:p>
  </w:footnote>
  <w:footnote w:id="2">
    <w:p w14:paraId="2467A92B" w14:textId="77777777" w:rsidR="00C4363B" w:rsidRDefault="00C4363B" w:rsidP="00C35623">
      <w:pPr>
        <w:pStyle w:val="Textonotapie"/>
      </w:pPr>
      <w:r>
        <w:rPr>
          <w:rStyle w:val="Refdenotaalpie"/>
        </w:rPr>
        <w:footnoteRef/>
      </w:r>
      <w:r>
        <w:t xml:space="preserve"> </w:t>
      </w:r>
      <w:hyperlink r:id="rId2" w:history="1">
        <w:r>
          <w:rPr>
            <w:rStyle w:val="Hipervnculo"/>
            <w:rFonts w:eastAsiaTheme="majorEastAsia"/>
          </w:rPr>
          <w:t>Delfina Gómez toma protesta a los integrantes de su gabinete- Grupo Milenio</w:t>
        </w:r>
      </w:hyperlink>
      <w:r>
        <w:t xml:space="preserve"> </w:t>
      </w:r>
    </w:p>
    <w:p w14:paraId="37D1A2E6" w14:textId="77777777" w:rsidR="00C4363B" w:rsidRDefault="00C4363B" w:rsidP="00C35623">
      <w:pPr>
        <w:pStyle w:val="Textonotapie"/>
      </w:pPr>
    </w:p>
    <w:p w14:paraId="006327F4" w14:textId="77777777" w:rsidR="00C4363B" w:rsidRDefault="0082022B" w:rsidP="00C35623">
      <w:pPr>
        <w:pStyle w:val="Textonotapie"/>
      </w:pPr>
      <w:hyperlink r:id="rId3" w:history="1">
        <w:r w:rsidR="00C4363B">
          <w:rPr>
            <w:rStyle w:val="Hipervnculo"/>
            <w:rFonts w:eastAsiaTheme="majorEastAsia"/>
          </w:rPr>
          <w:t>La Gobernadora Delfina Gómez toma Protesta a titulares de Secretaría de Finanzas, de Desarrollo Urbano e Infraestructura y Oficial Mayor del Gobierno del Estado de México (eleconomista.com.mx)</w:t>
        </w:r>
      </w:hyperlink>
    </w:p>
  </w:footnote>
  <w:footnote w:id="3">
    <w:p w14:paraId="0A21B176" w14:textId="77777777" w:rsidR="00C4363B" w:rsidRDefault="00C4363B" w:rsidP="00A9743C">
      <w:pPr>
        <w:pStyle w:val="Textonotapie"/>
        <w:rPr>
          <w:rFonts w:eastAsiaTheme="minorHAnsi" w:cstheme="minorBidi"/>
          <w:sz w:val="18"/>
          <w:szCs w:val="18"/>
          <w:lang w:eastAsia="en-US"/>
        </w:rPr>
      </w:pPr>
      <w:r>
        <w:rPr>
          <w:rStyle w:val="Refdenotaalpie"/>
          <w:rFonts w:eastAsiaTheme="majorEastAsia"/>
          <w:sz w:val="18"/>
          <w:szCs w:val="18"/>
        </w:rPr>
        <w:footnoteRef/>
      </w:r>
      <w:r>
        <w:rPr>
          <w:sz w:val="18"/>
          <w:szCs w:val="18"/>
        </w:rPr>
        <w:t xml:space="preserve"> Resoluciones:</w:t>
      </w:r>
    </w:p>
    <w:p w14:paraId="49A1A873" w14:textId="77777777" w:rsidR="00C4363B" w:rsidRDefault="00C4363B" w:rsidP="00A9743C">
      <w:pPr>
        <w:pStyle w:val="Textonotapie"/>
        <w:rPr>
          <w:sz w:val="18"/>
          <w:szCs w:val="18"/>
        </w:rPr>
      </w:pPr>
      <w:r>
        <w:rPr>
          <w:sz w:val="18"/>
          <w:szCs w:val="18"/>
        </w:rPr>
        <w:t>RRA 0189/17. Morena. 08 de febrero de 2017. Por unanimidad. Comisionado Ponente Joel Salas Suárez.</w:t>
      </w:r>
    </w:p>
    <w:p w14:paraId="59C8208A" w14:textId="77777777" w:rsidR="00C4363B" w:rsidRDefault="00C4363B" w:rsidP="00A9743C">
      <w:pPr>
        <w:pStyle w:val="Textonotapie"/>
        <w:rPr>
          <w:sz w:val="18"/>
          <w:szCs w:val="18"/>
        </w:rPr>
      </w:pPr>
      <w:r>
        <w:rPr>
          <w:sz w:val="18"/>
          <w:szCs w:val="18"/>
        </w:rPr>
        <w:t xml:space="preserve">RRA 0677/17. Universidad Nacional Autónoma de México. 08 de marzo de 2017. Por unanimidad. Comisionado Ponente </w:t>
      </w:r>
      <w:proofErr w:type="spellStart"/>
      <w:r>
        <w:rPr>
          <w:sz w:val="18"/>
          <w:szCs w:val="18"/>
        </w:rPr>
        <w:t>Rosendoevgueni</w:t>
      </w:r>
      <w:proofErr w:type="spellEnd"/>
      <w:r>
        <w:rPr>
          <w:sz w:val="18"/>
          <w:szCs w:val="18"/>
        </w:rPr>
        <w:t xml:space="preserve"> Monterrey </w:t>
      </w:r>
      <w:proofErr w:type="spellStart"/>
      <w:r>
        <w:rPr>
          <w:sz w:val="18"/>
          <w:szCs w:val="18"/>
        </w:rPr>
        <w:t>Chepov</w:t>
      </w:r>
      <w:proofErr w:type="spellEnd"/>
      <w:r>
        <w:rPr>
          <w:sz w:val="18"/>
          <w:szCs w:val="18"/>
        </w:rPr>
        <w:t xml:space="preserve">. </w:t>
      </w:r>
    </w:p>
    <w:p w14:paraId="6D952306" w14:textId="77777777" w:rsidR="00C4363B" w:rsidRDefault="00C4363B" w:rsidP="00A9743C">
      <w:pPr>
        <w:pStyle w:val="Textonotapie"/>
        <w:rPr>
          <w:sz w:val="18"/>
          <w:szCs w:val="18"/>
        </w:rPr>
      </w:pPr>
      <w:r>
        <w:rPr>
          <w:sz w:val="18"/>
          <w:szCs w:val="18"/>
        </w:rPr>
        <w:t>RRA 1564/17. Tribunal Electoral del Poder Judicial de la Federación. 26 de abril de 2017. Por unanimidad. Comisionado Ponente Oscar Mauricio Guerra Ford.</w:t>
      </w:r>
    </w:p>
  </w:footnote>
  <w:footnote w:id="4">
    <w:p w14:paraId="0D6D95AB" w14:textId="77777777" w:rsidR="00C4363B" w:rsidRDefault="00C4363B" w:rsidP="00A9743C">
      <w:pPr>
        <w:pStyle w:val="Textonotapie"/>
        <w:rPr>
          <w:sz w:val="18"/>
          <w:szCs w:val="18"/>
        </w:rPr>
      </w:pPr>
      <w:r>
        <w:rPr>
          <w:rStyle w:val="Refdenotaalpie"/>
          <w:rFonts w:eastAsiaTheme="majorEastAsia"/>
          <w:sz w:val="18"/>
          <w:szCs w:val="18"/>
        </w:rPr>
        <w:footnoteRef/>
      </w:r>
      <w:r>
        <w:rPr>
          <w:sz w:val="18"/>
          <w:szCs w:val="18"/>
        </w:rPr>
        <w:t xml:space="preserve"> Precedentes:</w:t>
      </w:r>
    </w:p>
    <w:p w14:paraId="40137798" w14:textId="77777777" w:rsidR="00C4363B" w:rsidRDefault="00C4363B" w:rsidP="00A9743C">
      <w:pPr>
        <w:pStyle w:val="Textonotapie"/>
        <w:rPr>
          <w:sz w:val="18"/>
          <w:szCs w:val="18"/>
        </w:rPr>
      </w:pPr>
      <w:r>
        <w:rPr>
          <w:sz w:val="18"/>
          <w:szCs w:val="18"/>
        </w:rPr>
        <w:t>•</w:t>
      </w:r>
      <w:r>
        <w:rPr>
          <w:sz w:val="18"/>
          <w:szCs w:val="18"/>
        </w:rPr>
        <w:tab/>
        <w:t xml:space="preserve">Acceso a la información Pública. RRA 3639/19. Sesión del 10 de julio de 2019. Votación por mayoría. Con voto disidente del Comisionado Joel Salas Suárez. Instituto para la Protección del Ahorro Bancario. Comisionada Ponente María Patricia </w:t>
      </w:r>
      <w:proofErr w:type="spellStart"/>
      <w:r>
        <w:rPr>
          <w:sz w:val="18"/>
          <w:szCs w:val="18"/>
        </w:rPr>
        <w:t>Kurczyn</w:t>
      </w:r>
      <w:proofErr w:type="spellEnd"/>
      <w:r>
        <w:rPr>
          <w:sz w:val="18"/>
          <w:szCs w:val="18"/>
        </w:rPr>
        <w:t xml:space="preserve"> Villalobos.</w:t>
      </w:r>
    </w:p>
    <w:p w14:paraId="45DFDE15" w14:textId="77777777" w:rsidR="00C4363B" w:rsidRDefault="00C4363B" w:rsidP="00A9743C">
      <w:pPr>
        <w:pStyle w:val="Textonotapie"/>
        <w:rPr>
          <w:sz w:val="18"/>
          <w:szCs w:val="18"/>
        </w:rPr>
      </w:pPr>
      <w:r>
        <w:rPr>
          <w:sz w:val="18"/>
          <w:szCs w:val="18"/>
        </w:rPr>
        <w:t>•</w:t>
      </w:r>
      <w:r>
        <w:rPr>
          <w:sz w:val="18"/>
          <w:szCs w:val="18"/>
        </w:rPr>
        <w:tab/>
        <w:t>Acceso a la información Pública. RRA 7709/19. Sesión del 13 de agosto de 2019. Votación por unanimidad. Con voto particular de la Comisionada Josefina Román Vergara. Suprema Corte de Justicia de la Nación. Comisionada Ponente Josefina Román Vergara.</w:t>
      </w:r>
    </w:p>
    <w:p w14:paraId="385799A1" w14:textId="77777777" w:rsidR="00C4363B" w:rsidRDefault="00C4363B" w:rsidP="00A9743C">
      <w:pPr>
        <w:pStyle w:val="Textonotapie"/>
        <w:rPr>
          <w:rFonts w:asciiTheme="minorHAnsi" w:hAnsiTheme="minorHAnsi"/>
        </w:rPr>
      </w:pPr>
      <w:r>
        <w:rPr>
          <w:sz w:val="18"/>
          <w:szCs w:val="18"/>
        </w:rPr>
        <w:t>Acceso a la información Pública. RRA 5774/19. Sesión del 21 de agosto de 2019. Votación por mayoría. Con voto disidente del Comisionado Joel Salas Suárez. Secretaría de Marina. Comisionada Ponente Blanca Lilia Ibarra Cadena.”</w:t>
      </w:r>
    </w:p>
  </w:footnote>
  <w:footnote w:id="5">
    <w:p w14:paraId="13AD92B4" w14:textId="77777777" w:rsidR="00C4363B" w:rsidRDefault="00C4363B" w:rsidP="00A9743C">
      <w:pPr>
        <w:pStyle w:val="Textonotapie"/>
        <w:rPr>
          <w:sz w:val="18"/>
          <w:szCs w:val="18"/>
        </w:rPr>
      </w:pPr>
      <w:r>
        <w:rPr>
          <w:rStyle w:val="Refdenotaalpie"/>
          <w:rFonts w:eastAsiaTheme="majorEastAsia"/>
          <w:sz w:val="18"/>
          <w:szCs w:val="18"/>
        </w:rPr>
        <w:footnoteRef/>
      </w:r>
      <w:r>
        <w:rPr>
          <w:sz w:val="18"/>
          <w:szCs w:val="18"/>
        </w:rPr>
        <w:t xml:space="preserve"> Resoluciones:</w:t>
      </w:r>
    </w:p>
    <w:p w14:paraId="04E1B55F" w14:textId="77777777" w:rsidR="00C4363B" w:rsidRDefault="00C4363B" w:rsidP="00A9743C">
      <w:pPr>
        <w:pStyle w:val="Textonotapie"/>
        <w:rPr>
          <w:sz w:val="18"/>
          <w:szCs w:val="18"/>
        </w:rPr>
      </w:pPr>
      <w:r>
        <w:rPr>
          <w:sz w:val="18"/>
          <w:szCs w:val="18"/>
        </w:rPr>
        <w:t xml:space="preserve">RRA 3995/16. Secretaría de la Defensa Nacional. 1 de febrero de 2017. Por unanimidad. Comisionado Ponente </w:t>
      </w:r>
      <w:proofErr w:type="spellStart"/>
      <w:r>
        <w:rPr>
          <w:sz w:val="18"/>
          <w:szCs w:val="18"/>
        </w:rPr>
        <w:t>Rosendoevgueni</w:t>
      </w:r>
      <w:proofErr w:type="spellEnd"/>
      <w:r>
        <w:rPr>
          <w:sz w:val="18"/>
          <w:szCs w:val="18"/>
        </w:rPr>
        <w:t xml:space="preserve"> Monterrey </w:t>
      </w:r>
      <w:proofErr w:type="spellStart"/>
      <w:r>
        <w:rPr>
          <w:sz w:val="18"/>
          <w:szCs w:val="18"/>
        </w:rPr>
        <w:t>Chepov</w:t>
      </w:r>
      <w:proofErr w:type="spellEnd"/>
      <w:r>
        <w:rPr>
          <w:sz w:val="18"/>
          <w:szCs w:val="18"/>
        </w:rPr>
        <w:t>.</w:t>
      </w:r>
    </w:p>
    <w:p w14:paraId="61F7B6E8" w14:textId="77777777" w:rsidR="00C4363B" w:rsidRDefault="00C4363B" w:rsidP="00A9743C">
      <w:pPr>
        <w:pStyle w:val="Textonotapie"/>
        <w:rPr>
          <w:sz w:val="18"/>
          <w:szCs w:val="18"/>
        </w:rPr>
      </w:pPr>
      <w:r>
        <w:rPr>
          <w:sz w:val="18"/>
          <w:szCs w:val="18"/>
        </w:rPr>
        <w:t xml:space="preserve">RRA 0937/17. Senado de la República. 15 de marzo de 2017. Por unanimidad. Comisionada Ponente Ximena Puente de la Mora. </w:t>
      </w:r>
    </w:p>
    <w:p w14:paraId="7730C15D" w14:textId="77777777" w:rsidR="00C4363B" w:rsidRDefault="00C4363B" w:rsidP="00A9743C">
      <w:pPr>
        <w:pStyle w:val="Textonotapie"/>
        <w:rPr>
          <w:sz w:val="18"/>
          <w:szCs w:val="18"/>
        </w:rPr>
      </w:pPr>
      <w:r>
        <w:rPr>
          <w:sz w:val="18"/>
          <w:szCs w:val="18"/>
        </w:rPr>
        <w:t>RRA 0478/17. Secretaría de Relaciones Exteriores. 26 de abril de 2017. Por unanimidad. Comisionada Ponente Areli Cano Guadiana.”</w:t>
      </w:r>
    </w:p>
  </w:footnote>
  <w:footnote w:id="6">
    <w:p w14:paraId="2476F9E2" w14:textId="77777777" w:rsidR="00C4363B" w:rsidRDefault="00C4363B" w:rsidP="00A9743C">
      <w:pPr>
        <w:pStyle w:val="Textonotapie"/>
        <w:rPr>
          <w:rFonts w:eastAsia="Calibri"/>
          <w:sz w:val="16"/>
          <w:szCs w:val="16"/>
        </w:rPr>
      </w:pPr>
      <w:r>
        <w:rPr>
          <w:rStyle w:val="Refdenotaalpie"/>
          <w:rFonts w:eastAsiaTheme="majorEastAsia"/>
          <w:sz w:val="16"/>
          <w:szCs w:val="16"/>
        </w:rPr>
        <w:footnoteRef/>
      </w:r>
      <w:r>
        <w:rPr>
          <w:sz w:val="16"/>
          <w:szCs w:val="16"/>
        </w:rPr>
        <w:t xml:space="preserve"> Lineamientos expedidos el 15 de abril de 2016, por el Consejo Nacional del Sistema Nacional de Transparencia, Acceso a la Información Pública y Protección de Datos Personales, consultable en </w:t>
      </w:r>
      <w:hyperlink r:id="rId4" w:anchor="gsc.tab=0" w:history="1">
        <w:r>
          <w:rPr>
            <w:rStyle w:val="Hipervnculo"/>
            <w:rFonts w:eastAsiaTheme="majorEastAsia"/>
            <w:sz w:val="16"/>
            <w:szCs w:val="16"/>
          </w:rPr>
          <w:t>https://www.dof.gob.mx/nota_detalle.php?codigo=5433280&amp;fecha=15/04/2016#gsc.tab=0</w:t>
        </w:r>
      </w:hyperlink>
      <w:r>
        <w:rPr>
          <w:sz w:val="16"/>
          <w:szCs w:val="16"/>
        </w:rPr>
        <w:t xml:space="preserve">; modificados en cuanto a los artículos Sexagésimo segundo, Sexagésimo tercero y Quinto Transitorio el 29 de julio de 2016, visible </w:t>
      </w:r>
      <w:hyperlink r:id="rId5" w:anchor="gsc.tab=0" w:history="1">
        <w:r>
          <w:rPr>
            <w:rStyle w:val="Hipervnculo"/>
            <w:rFonts w:eastAsiaTheme="majorEastAsia"/>
            <w:sz w:val="16"/>
            <w:szCs w:val="16"/>
          </w:rPr>
          <w:t>https://www.dof.gob.mx/nota_detalle.php?codigo=5446230&amp;fecha=29/07/2016#gsc.tab=0</w:t>
        </w:r>
      </w:hyperlink>
      <w:r>
        <w:rPr>
          <w:sz w:val="16"/>
          <w:szCs w:val="16"/>
        </w:rPr>
        <w:t xml:space="preserve"> y, posteriormente el 18 de noviembre de 2022, se modificaron diversos numerales, entrando en vigor a partir del 17 de enero de 2023, consultable en </w:t>
      </w:r>
      <w:hyperlink r:id="rId6" w:anchor="gsc.tab=0" w:history="1">
        <w:r>
          <w:rPr>
            <w:rStyle w:val="Hipervnculo"/>
            <w:rFonts w:eastAsiaTheme="majorEastAsia"/>
            <w:sz w:val="16"/>
            <w:szCs w:val="16"/>
          </w:rPr>
          <w:t>https://www.dof.gob.mx/nota_detalle.php?codigo=5671860&amp;fecha=18/11/2022#gsc.tab=0</w:t>
        </w:r>
      </w:hyperlink>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C4363B" w:rsidRPr="00330DA7" w14:paraId="070A4B18" w14:textId="77777777" w:rsidTr="003F35FD">
      <w:trPr>
        <w:trHeight w:val="144"/>
        <w:jc w:val="right"/>
      </w:trPr>
      <w:tc>
        <w:tcPr>
          <w:tcW w:w="2727" w:type="dxa"/>
        </w:tcPr>
        <w:p w14:paraId="62B7493A" w14:textId="77777777" w:rsidR="00C4363B" w:rsidRPr="00330DA7" w:rsidRDefault="00C4363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2DA2766" w:rsidR="00C4363B" w:rsidRPr="00A90C72" w:rsidRDefault="00C4363B" w:rsidP="003F35FD">
          <w:pPr>
            <w:tabs>
              <w:tab w:val="right" w:pos="8838"/>
            </w:tabs>
            <w:ind w:left="-74" w:right="-105"/>
            <w:rPr>
              <w:rFonts w:eastAsia="Calibri" w:cs="Tahoma"/>
              <w:szCs w:val="22"/>
              <w:lang w:eastAsia="en-US"/>
            </w:rPr>
          </w:pPr>
          <w:r w:rsidRPr="0009232A">
            <w:rPr>
              <w:rFonts w:eastAsia="Calibri" w:cs="Tahoma"/>
              <w:szCs w:val="22"/>
              <w:lang w:eastAsia="en-US"/>
            </w:rPr>
            <w:t>05422/INFOEM/IP/RR/2024</w:t>
          </w:r>
          <w:r>
            <w:rPr>
              <w:rFonts w:eastAsia="Calibri" w:cs="Tahoma"/>
              <w:szCs w:val="22"/>
              <w:lang w:eastAsia="en-US"/>
            </w:rPr>
            <w:t xml:space="preserve"> y acumulado</w:t>
          </w:r>
        </w:p>
      </w:tc>
    </w:tr>
    <w:tr w:rsidR="00C4363B" w:rsidRPr="00330DA7" w14:paraId="4521E058" w14:textId="77777777" w:rsidTr="003F35FD">
      <w:trPr>
        <w:trHeight w:val="283"/>
        <w:jc w:val="right"/>
      </w:trPr>
      <w:tc>
        <w:tcPr>
          <w:tcW w:w="2727" w:type="dxa"/>
        </w:tcPr>
        <w:p w14:paraId="0B68C086" w14:textId="77777777" w:rsidR="00C4363B" w:rsidRPr="00330DA7" w:rsidRDefault="00C4363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628B02E" w:rsidR="00C4363B" w:rsidRPr="00952DD0" w:rsidRDefault="00C4363B" w:rsidP="003F35FD">
          <w:pPr>
            <w:tabs>
              <w:tab w:val="left" w:pos="2834"/>
              <w:tab w:val="right" w:pos="8838"/>
            </w:tabs>
            <w:ind w:left="-108" w:right="-105"/>
            <w:rPr>
              <w:rFonts w:eastAsia="Calibri" w:cs="Tahoma"/>
              <w:szCs w:val="22"/>
              <w:lang w:eastAsia="en-US"/>
            </w:rPr>
          </w:pPr>
          <w:r w:rsidRPr="0009232A">
            <w:rPr>
              <w:rFonts w:eastAsia="Calibri" w:cs="Tahoma"/>
              <w:szCs w:val="22"/>
              <w:lang w:eastAsia="en-US"/>
            </w:rPr>
            <w:t>Secretaría de la Contraloría</w:t>
          </w:r>
        </w:p>
      </w:tc>
    </w:tr>
    <w:tr w:rsidR="00C4363B" w:rsidRPr="00330DA7" w14:paraId="6331D9B6" w14:textId="77777777" w:rsidTr="003F35FD">
      <w:trPr>
        <w:trHeight w:val="283"/>
        <w:jc w:val="right"/>
      </w:trPr>
      <w:tc>
        <w:tcPr>
          <w:tcW w:w="2727" w:type="dxa"/>
        </w:tcPr>
        <w:p w14:paraId="3FA86BAE" w14:textId="29B1B6EF" w:rsidR="00C4363B" w:rsidRPr="00330DA7" w:rsidRDefault="00C4363B"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C4363B" w:rsidRPr="00EA66FC" w:rsidRDefault="00C4363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4363B" w:rsidRPr="00443C6B" w:rsidRDefault="00C4363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C4363B" w:rsidRPr="00330DA7" w14:paraId="29CFF901" w14:textId="77777777" w:rsidTr="00664733">
      <w:trPr>
        <w:trHeight w:val="1435"/>
      </w:trPr>
      <w:tc>
        <w:tcPr>
          <w:tcW w:w="283" w:type="dxa"/>
          <w:shd w:val="clear" w:color="auto" w:fill="auto"/>
        </w:tcPr>
        <w:p w14:paraId="046B9F8F" w14:textId="77777777" w:rsidR="00C4363B" w:rsidRPr="00330DA7" w:rsidRDefault="00C4363B" w:rsidP="0066473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4363B" w:rsidRPr="00330DA7" w14:paraId="04F272D2" w14:textId="77777777" w:rsidTr="00664733">
            <w:trPr>
              <w:trHeight w:val="144"/>
            </w:trPr>
            <w:tc>
              <w:tcPr>
                <w:tcW w:w="2727" w:type="dxa"/>
              </w:tcPr>
              <w:p w14:paraId="2FD4DBF6" w14:textId="77777777" w:rsidR="00C4363B" w:rsidRPr="00330DA7" w:rsidRDefault="00C4363B" w:rsidP="0066473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BC492E1" w:rsidR="00C4363B" w:rsidRPr="00A90C72" w:rsidRDefault="00C4363B" w:rsidP="00664733">
                <w:pPr>
                  <w:tabs>
                    <w:tab w:val="right" w:pos="8838"/>
                  </w:tabs>
                  <w:ind w:left="-74" w:right="-105"/>
                  <w:rPr>
                    <w:rFonts w:eastAsia="Calibri" w:cs="Tahoma"/>
                    <w:szCs w:val="22"/>
                    <w:lang w:eastAsia="en-US"/>
                  </w:rPr>
                </w:pPr>
                <w:r w:rsidRPr="0009232A">
                  <w:rPr>
                    <w:rFonts w:eastAsia="Calibri" w:cs="Tahoma"/>
                    <w:szCs w:val="22"/>
                    <w:lang w:eastAsia="en-US"/>
                  </w:rPr>
                  <w:t>05422/INFOEM/IP/RR/2024</w:t>
                </w:r>
                <w:r>
                  <w:rPr>
                    <w:rFonts w:eastAsia="Calibri" w:cs="Tahoma"/>
                    <w:szCs w:val="22"/>
                    <w:lang w:eastAsia="en-US"/>
                  </w:rPr>
                  <w:t xml:space="preserve"> y acumulado </w:t>
                </w:r>
              </w:p>
            </w:tc>
            <w:tc>
              <w:tcPr>
                <w:tcW w:w="3402" w:type="dxa"/>
              </w:tcPr>
              <w:p w14:paraId="71DEA1CF" w14:textId="77777777" w:rsidR="00C4363B" w:rsidRDefault="00C4363B" w:rsidP="00664733">
                <w:pPr>
                  <w:tabs>
                    <w:tab w:val="right" w:pos="8838"/>
                  </w:tabs>
                  <w:ind w:left="-74" w:right="-105"/>
                  <w:rPr>
                    <w:rFonts w:eastAsia="Calibri" w:cs="Tahoma"/>
                    <w:szCs w:val="22"/>
                    <w:lang w:eastAsia="en-US"/>
                  </w:rPr>
                </w:pPr>
              </w:p>
            </w:tc>
          </w:tr>
          <w:tr w:rsidR="00C4363B" w:rsidRPr="00330DA7" w14:paraId="05C58951" w14:textId="77777777" w:rsidTr="00664733">
            <w:trPr>
              <w:trHeight w:val="144"/>
            </w:trPr>
            <w:tc>
              <w:tcPr>
                <w:tcW w:w="2727" w:type="dxa"/>
              </w:tcPr>
              <w:p w14:paraId="642B9610" w14:textId="77777777" w:rsidR="00C4363B" w:rsidRPr="00330DA7" w:rsidRDefault="00C4363B" w:rsidP="0066473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7460D13" w:rsidR="00C4363B" w:rsidRPr="005F19B1" w:rsidRDefault="00C4363B" w:rsidP="00664733">
                <w:pPr>
                  <w:tabs>
                    <w:tab w:val="left" w:pos="3122"/>
                    <w:tab w:val="right" w:pos="8838"/>
                  </w:tabs>
                  <w:ind w:left="-105" w:right="-105"/>
                  <w:rPr>
                    <w:rFonts w:eastAsia="Calibri" w:cs="Tahoma"/>
                    <w:szCs w:val="22"/>
                    <w:lang w:eastAsia="en-US"/>
                  </w:rPr>
                </w:pPr>
              </w:p>
            </w:tc>
            <w:tc>
              <w:tcPr>
                <w:tcW w:w="3402" w:type="dxa"/>
              </w:tcPr>
              <w:p w14:paraId="73F47F53" w14:textId="77777777" w:rsidR="00C4363B" w:rsidRPr="005F19B1" w:rsidRDefault="00C4363B" w:rsidP="00664733">
                <w:pPr>
                  <w:tabs>
                    <w:tab w:val="left" w:pos="3122"/>
                    <w:tab w:val="right" w:pos="8838"/>
                  </w:tabs>
                  <w:ind w:left="-105" w:right="-105"/>
                  <w:rPr>
                    <w:rFonts w:eastAsia="Calibri" w:cs="Tahoma"/>
                    <w:szCs w:val="22"/>
                    <w:lang w:eastAsia="en-US"/>
                  </w:rPr>
                </w:pPr>
              </w:p>
            </w:tc>
          </w:tr>
          <w:bookmarkEnd w:id="1"/>
          <w:tr w:rsidR="00C4363B" w:rsidRPr="00330DA7" w14:paraId="00E6CDC1" w14:textId="77777777" w:rsidTr="00664733">
            <w:trPr>
              <w:trHeight w:val="283"/>
            </w:trPr>
            <w:tc>
              <w:tcPr>
                <w:tcW w:w="2727" w:type="dxa"/>
              </w:tcPr>
              <w:p w14:paraId="0631AD24" w14:textId="77777777" w:rsidR="00C4363B" w:rsidRPr="00330DA7" w:rsidRDefault="00C4363B" w:rsidP="0066473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B1CD454" w:rsidR="00C4363B" w:rsidRPr="00952DD0" w:rsidRDefault="00C4363B" w:rsidP="00664733">
                <w:pPr>
                  <w:tabs>
                    <w:tab w:val="left" w:pos="2834"/>
                    <w:tab w:val="right" w:pos="8838"/>
                  </w:tabs>
                  <w:ind w:left="-108" w:right="-105"/>
                  <w:rPr>
                    <w:rFonts w:eastAsia="Calibri" w:cs="Tahoma"/>
                    <w:szCs w:val="22"/>
                    <w:lang w:eastAsia="en-US"/>
                  </w:rPr>
                </w:pPr>
                <w:r w:rsidRPr="0009232A">
                  <w:rPr>
                    <w:rFonts w:eastAsia="Calibri" w:cs="Tahoma"/>
                    <w:szCs w:val="22"/>
                    <w:lang w:eastAsia="en-US"/>
                  </w:rPr>
                  <w:t>Secretaría de la Contraloría</w:t>
                </w:r>
              </w:p>
            </w:tc>
            <w:tc>
              <w:tcPr>
                <w:tcW w:w="3402" w:type="dxa"/>
              </w:tcPr>
              <w:p w14:paraId="3A7DA319" w14:textId="77777777" w:rsidR="00C4363B" w:rsidRPr="00A90C72" w:rsidRDefault="00C4363B" w:rsidP="00664733">
                <w:pPr>
                  <w:tabs>
                    <w:tab w:val="left" w:pos="2834"/>
                    <w:tab w:val="right" w:pos="8838"/>
                  </w:tabs>
                  <w:ind w:left="-108" w:right="-105"/>
                  <w:rPr>
                    <w:rFonts w:eastAsia="Calibri" w:cs="Tahoma"/>
                    <w:szCs w:val="22"/>
                    <w:lang w:eastAsia="en-US"/>
                  </w:rPr>
                </w:pPr>
              </w:p>
            </w:tc>
          </w:tr>
          <w:tr w:rsidR="00C4363B" w:rsidRPr="00330DA7" w14:paraId="0F6CD8D2" w14:textId="77777777" w:rsidTr="00664733">
            <w:trPr>
              <w:trHeight w:val="283"/>
            </w:trPr>
            <w:tc>
              <w:tcPr>
                <w:tcW w:w="2727" w:type="dxa"/>
              </w:tcPr>
              <w:p w14:paraId="31700628" w14:textId="66F30D43" w:rsidR="00C4363B" w:rsidRPr="00330DA7" w:rsidRDefault="00C4363B" w:rsidP="0066473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C4363B" w:rsidRPr="00EA66FC" w:rsidRDefault="00C4363B" w:rsidP="0066473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4363B" w:rsidRPr="00330DA7" w:rsidRDefault="00C4363B" w:rsidP="00664733">
                <w:pPr>
                  <w:tabs>
                    <w:tab w:val="right" w:pos="8838"/>
                  </w:tabs>
                  <w:ind w:left="-108" w:right="-105"/>
                  <w:rPr>
                    <w:rFonts w:eastAsia="Calibri" w:cs="Tahoma"/>
                    <w:szCs w:val="22"/>
                    <w:lang w:eastAsia="en-US"/>
                  </w:rPr>
                </w:pPr>
              </w:p>
            </w:tc>
          </w:tr>
        </w:tbl>
        <w:p w14:paraId="5DC6AC61" w14:textId="77777777" w:rsidR="00C4363B" w:rsidRPr="00330DA7" w:rsidRDefault="00C4363B" w:rsidP="00664733">
          <w:pPr>
            <w:tabs>
              <w:tab w:val="right" w:pos="8838"/>
            </w:tabs>
            <w:ind w:left="-28"/>
            <w:rPr>
              <w:rFonts w:ascii="Arial" w:eastAsia="Calibri" w:hAnsi="Arial" w:cs="Arial"/>
              <w:b/>
              <w:szCs w:val="22"/>
              <w:lang w:eastAsia="en-US"/>
            </w:rPr>
          </w:pPr>
        </w:p>
      </w:tc>
    </w:tr>
  </w:tbl>
  <w:p w14:paraId="2A906731" w14:textId="77777777" w:rsidR="00C4363B" w:rsidRPr="00765661" w:rsidRDefault="0082022B" w:rsidP="0066473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7E20"/>
    <w:multiLevelType w:val="hybridMultilevel"/>
    <w:tmpl w:val="393AD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61607C"/>
    <w:multiLevelType w:val="hybridMultilevel"/>
    <w:tmpl w:val="A6CAFD3E"/>
    <w:lvl w:ilvl="0" w:tplc="3128180A">
      <w:start w:val="23"/>
      <w:numFmt w:val="bullet"/>
      <w:lvlText w:val="-"/>
      <w:lvlJc w:val="left"/>
      <w:pPr>
        <w:ind w:left="927" w:hanging="360"/>
      </w:pPr>
      <w:rPr>
        <w:rFonts w:ascii="Palatino Linotype" w:eastAsiaTheme="majorEastAsia" w:hAnsi="Palatino Linotype" w:cstheme="maj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CF44779"/>
    <w:multiLevelType w:val="hybridMultilevel"/>
    <w:tmpl w:val="7ACC5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C90D3D"/>
    <w:multiLevelType w:val="hybridMultilevel"/>
    <w:tmpl w:val="28BAC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A31502"/>
    <w:multiLevelType w:val="hybridMultilevel"/>
    <w:tmpl w:val="601C7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182B0C"/>
    <w:multiLevelType w:val="hybridMultilevel"/>
    <w:tmpl w:val="5E126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E42464B"/>
    <w:multiLevelType w:val="hybridMultilevel"/>
    <w:tmpl w:val="FB466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4DB61B5"/>
    <w:multiLevelType w:val="hybridMultilevel"/>
    <w:tmpl w:val="D2CC6FB8"/>
    <w:lvl w:ilvl="0" w:tplc="6FFCACB2">
      <w:start w:val="1"/>
      <w:numFmt w:val="upperRoman"/>
      <w:lvlText w:val="%1."/>
      <w:lvlJc w:val="left"/>
      <w:pPr>
        <w:ind w:left="1080" w:hanging="720"/>
      </w:pPr>
      <w:rPr>
        <w:rFonts w:hint="default"/>
        <w:b/>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E601C56"/>
    <w:multiLevelType w:val="hybridMultilevel"/>
    <w:tmpl w:val="AD20406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7"/>
  </w:num>
  <w:num w:numId="3">
    <w:abstractNumId w:val="21"/>
  </w:num>
  <w:num w:numId="4">
    <w:abstractNumId w:val="5"/>
  </w:num>
  <w:num w:numId="5">
    <w:abstractNumId w:val="2"/>
  </w:num>
  <w:num w:numId="6">
    <w:abstractNumId w:val="22"/>
  </w:num>
  <w:num w:numId="7">
    <w:abstractNumId w:val="14"/>
  </w:num>
  <w:num w:numId="8">
    <w:abstractNumId w:val="4"/>
  </w:num>
  <w:num w:numId="9">
    <w:abstractNumId w:val="13"/>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3"/>
  </w:num>
  <w:num w:numId="15">
    <w:abstractNumId w:val="15"/>
  </w:num>
  <w:num w:numId="16">
    <w:abstractNumId w:val="20"/>
  </w:num>
  <w:num w:numId="17">
    <w:abstractNumId w:val="11"/>
  </w:num>
  <w:num w:numId="18">
    <w:abstractNumId w:val="0"/>
  </w:num>
  <w:num w:numId="19">
    <w:abstractNumId w:val="9"/>
  </w:num>
  <w:num w:numId="20">
    <w:abstractNumId w:val="18"/>
  </w:num>
  <w:num w:numId="21">
    <w:abstractNumId w:val="16"/>
  </w:num>
  <w:num w:numId="22">
    <w:abstractNumId w:val="10"/>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06346"/>
    <w:rsid w:val="0002171F"/>
    <w:rsid w:val="0002479C"/>
    <w:rsid w:val="000318BC"/>
    <w:rsid w:val="00053A9E"/>
    <w:rsid w:val="00057B2D"/>
    <w:rsid w:val="00060347"/>
    <w:rsid w:val="00062D2C"/>
    <w:rsid w:val="00080071"/>
    <w:rsid w:val="0008378A"/>
    <w:rsid w:val="0008713A"/>
    <w:rsid w:val="0009232A"/>
    <w:rsid w:val="000D0D67"/>
    <w:rsid w:val="000E09C4"/>
    <w:rsid w:val="000E1F9A"/>
    <w:rsid w:val="0011350D"/>
    <w:rsid w:val="001367FE"/>
    <w:rsid w:val="00137410"/>
    <w:rsid w:val="00141876"/>
    <w:rsid w:val="0014207B"/>
    <w:rsid w:val="00145917"/>
    <w:rsid w:val="00150C49"/>
    <w:rsid w:val="001653BF"/>
    <w:rsid w:val="00185B3C"/>
    <w:rsid w:val="001974BD"/>
    <w:rsid w:val="001A0A9C"/>
    <w:rsid w:val="001A58B3"/>
    <w:rsid w:val="001A7860"/>
    <w:rsid w:val="001B236E"/>
    <w:rsid w:val="001C7688"/>
    <w:rsid w:val="001F3515"/>
    <w:rsid w:val="0022088B"/>
    <w:rsid w:val="00233005"/>
    <w:rsid w:val="00233F17"/>
    <w:rsid w:val="0024034E"/>
    <w:rsid w:val="00260FBA"/>
    <w:rsid w:val="0027417A"/>
    <w:rsid w:val="00281545"/>
    <w:rsid w:val="002A3601"/>
    <w:rsid w:val="002B7C6F"/>
    <w:rsid w:val="002D111C"/>
    <w:rsid w:val="002E34E3"/>
    <w:rsid w:val="002F1301"/>
    <w:rsid w:val="00302476"/>
    <w:rsid w:val="00331F35"/>
    <w:rsid w:val="00335CDF"/>
    <w:rsid w:val="003617EC"/>
    <w:rsid w:val="003627EF"/>
    <w:rsid w:val="00362A11"/>
    <w:rsid w:val="00390220"/>
    <w:rsid w:val="003A40C1"/>
    <w:rsid w:val="003B4166"/>
    <w:rsid w:val="003B5D3E"/>
    <w:rsid w:val="003F35FD"/>
    <w:rsid w:val="0041385B"/>
    <w:rsid w:val="00420248"/>
    <w:rsid w:val="0042455D"/>
    <w:rsid w:val="00441BFA"/>
    <w:rsid w:val="004508AC"/>
    <w:rsid w:val="00451BA9"/>
    <w:rsid w:val="004547E2"/>
    <w:rsid w:val="00454FBD"/>
    <w:rsid w:val="004554E1"/>
    <w:rsid w:val="00460491"/>
    <w:rsid w:val="00486201"/>
    <w:rsid w:val="004D7CD8"/>
    <w:rsid w:val="004E095F"/>
    <w:rsid w:val="004E5068"/>
    <w:rsid w:val="004E6F66"/>
    <w:rsid w:val="004F7A00"/>
    <w:rsid w:val="00523F48"/>
    <w:rsid w:val="0053325B"/>
    <w:rsid w:val="005365FA"/>
    <w:rsid w:val="00566637"/>
    <w:rsid w:val="005723CB"/>
    <w:rsid w:val="00575400"/>
    <w:rsid w:val="005B18AF"/>
    <w:rsid w:val="005D00A2"/>
    <w:rsid w:val="005D5A50"/>
    <w:rsid w:val="005E2E91"/>
    <w:rsid w:val="005E5700"/>
    <w:rsid w:val="005F2E10"/>
    <w:rsid w:val="005F5301"/>
    <w:rsid w:val="005F65B7"/>
    <w:rsid w:val="006067C7"/>
    <w:rsid w:val="006159AD"/>
    <w:rsid w:val="006256E5"/>
    <w:rsid w:val="00643826"/>
    <w:rsid w:val="00646436"/>
    <w:rsid w:val="00650865"/>
    <w:rsid w:val="00664420"/>
    <w:rsid w:val="00664733"/>
    <w:rsid w:val="00697C2E"/>
    <w:rsid w:val="00697FF3"/>
    <w:rsid w:val="006A20A8"/>
    <w:rsid w:val="006A646A"/>
    <w:rsid w:val="006B10B0"/>
    <w:rsid w:val="006E25BC"/>
    <w:rsid w:val="006E2E18"/>
    <w:rsid w:val="006E6BBC"/>
    <w:rsid w:val="006F7768"/>
    <w:rsid w:val="00703347"/>
    <w:rsid w:val="00717E59"/>
    <w:rsid w:val="00742388"/>
    <w:rsid w:val="00775BFC"/>
    <w:rsid w:val="00784235"/>
    <w:rsid w:val="007A3459"/>
    <w:rsid w:val="007B6074"/>
    <w:rsid w:val="007D1C55"/>
    <w:rsid w:val="007D317F"/>
    <w:rsid w:val="007F5D06"/>
    <w:rsid w:val="008001A7"/>
    <w:rsid w:val="00805A6E"/>
    <w:rsid w:val="0082022B"/>
    <w:rsid w:val="00833778"/>
    <w:rsid w:val="0083669B"/>
    <w:rsid w:val="008406F6"/>
    <w:rsid w:val="00860496"/>
    <w:rsid w:val="00860D7F"/>
    <w:rsid w:val="00862853"/>
    <w:rsid w:val="00865663"/>
    <w:rsid w:val="00865CF4"/>
    <w:rsid w:val="00876DBC"/>
    <w:rsid w:val="008A6003"/>
    <w:rsid w:val="008A6F88"/>
    <w:rsid w:val="008B104A"/>
    <w:rsid w:val="008B1E16"/>
    <w:rsid w:val="008E1316"/>
    <w:rsid w:val="008E1B28"/>
    <w:rsid w:val="00910FD2"/>
    <w:rsid w:val="00931437"/>
    <w:rsid w:val="00953430"/>
    <w:rsid w:val="00960D82"/>
    <w:rsid w:val="00970EB3"/>
    <w:rsid w:val="009729DC"/>
    <w:rsid w:val="009803B0"/>
    <w:rsid w:val="009A2D78"/>
    <w:rsid w:val="009A7C10"/>
    <w:rsid w:val="009B2945"/>
    <w:rsid w:val="009D3B74"/>
    <w:rsid w:val="009D6765"/>
    <w:rsid w:val="009E2DEE"/>
    <w:rsid w:val="009F6BA1"/>
    <w:rsid w:val="009F797C"/>
    <w:rsid w:val="00A131AC"/>
    <w:rsid w:val="00A16D85"/>
    <w:rsid w:val="00A21A20"/>
    <w:rsid w:val="00A36A99"/>
    <w:rsid w:val="00A53315"/>
    <w:rsid w:val="00A70EF0"/>
    <w:rsid w:val="00A72E2A"/>
    <w:rsid w:val="00A9208D"/>
    <w:rsid w:val="00A96BFC"/>
    <w:rsid w:val="00A9743C"/>
    <w:rsid w:val="00A97B5B"/>
    <w:rsid w:val="00AA6EA9"/>
    <w:rsid w:val="00AC2DB8"/>
    <w:rsid w:val="00AC3AFD"/>
    <w:rsid w:val="00AC3CA0"/>
    <w:rsid w:val="00AD11D6"/>
    <w:rsid w:val="00AE3DA7"/>
    <w:rsid w:val="00AF03C4"/>
    <w:rsid w:val="00B14438"/>
    <w:rsid w:val="00B22A80"/>
    <w:rsid w:val="00BA3E36"/>
    <w:rsid w:val="00BA55A8"/>
    <w:rsid w:val="00BB2ABF"/>
    <w:rsid w:val="00BB64F4"/>
    <w:rsid w:val="00BC2815"/>
    <w:rsid w:val="00BC7DCE"/>
    <w:rsid w:val="00BD3F4F"/>
    <w:rsid w:val="00BD5A7C"/>
    <w:rsid w:val="00BE7A1B"/>
    <w:rsid w:val="00BF0221"/>
    <w:rsid w:val="00BF091A"/>
    <w:rsid w:val="00BF4EAD"/>
    <w:rsid w:val="00C049E2"/>
    <w:rsid w:val="00C35623"/>
    <w:rsid w:val="00C36795"/>
    <w:rsid w:val="00C4363B"/>
    <w:rsid w:val="00C461EC"/>
    <w:rsid w:val="00C507D4"/>
    <w:rsid w:val="00C6774B"/>
    <w:rsid w:val="00C7126F"/>
    <w:rsid w:val="00C71CEF"/>
    <w:rsid w:val="00C72DAA"/>
    <w:rsid w:val="00C80B14"/>
    <w:rsid w:val="00C92963"/>
    <w:rsid w:val="00CB7E9A"/>
    <w:rsid w:val="00CC3075"/>
    <w:rsid w:val="00CD0B92"/>
    <w:rsid w:val="00CE29D3"/>
    <w:rsid w:val="00CE302C"/>
    <w:rsid w:val="00CF2D8B"/>
    <w:rsid w:val="00CF7586"/>
    <w:rsid w:val="00D036D3"/>
    <w:rsid w:val="00D2790D"/>
    <w:rsid w:val="00D51ECD"/>
    <w:rsid w:val="00D6170E"/>
    <w:rsid w:val="00D70A4E"/>
    <w:rsid w:val="00D80A05"/>
    <w:rsid w:val="00D845D6"/>
    <w:rsid w:val="00D91CB4"/>
    <w:rsid w:val="00DB1C09"/>
    <w:rsid w:val="00DC57B6"/>
    <w:rsid w:val="00DE1133"/>
    <w:rsid w:val="00DE1B03"/>
    <w:rsid w:val="00E10AC4"/>
    <w:rsid w:val="00E16BF5"/>
    <w:rsid w:val="00E212CE"/>
    <w:rsid w:val="00E37A3F"/>
    <w:rsid w:val="00E37D3C"/>
    <w:rsid w:val="00E53550"/>
    <w:rsid w:val="00E62E6A"/>
    <w:rsid w:val="00E65D6E"/>
    <w:rsid w:val="00E67D65"/>
    <w:rsid w:val="00E83EF5"/>
    <w:rsid w:val="00E85047"/>
    <w:rsid w:val="00E9335C"/>
    <w:rsid w:val="00ED1C1E"/>
    <w:rsid w:val="00ED751D"/>
    <w:rsid w:val="00EE2AF2"/>
    <w:rsid w:val="00EF3107"/>
    <w:rsid w:val="00EF5B43"/>
    <w:rsid w:val="00F07EE6"/>
    <w:rsid w:val="00F23C62"/>
    <w:rsid w:val="00F33CC8"/>
    <w:rsid w:val="00F4481C"/>
    <w:rsid w:val="00F75D23"/>
    <w:rsid w:val="00F97C0F"/>
    <w:rsid w:val="00FA5957"/>
    <w:rsid w:val="00FC3CE0"/>
    <w:rsid w:val="00FD06A8"/>
    <w:rsid w:val="00FF53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50865"/>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50865"/>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50865"/>
    <w:rPr>
      <w:vertAlign w:val="superscript"/>
    </w:rPr>
  </w:style>
  <w:style w:type="paragraph" w:customStyle="1" w:styleId="Citas">
    <w:name w:val="Citas"/>
    <w:basedOn w:val="Normal"/>
    <w:qFormat/>
    <w:rsid w:val="00A9743C"/>
    <w:pPr>
      <w:spacing w:before="240" w:after="160"/>
      <w:ind w:left="851" w:right="851"/>
    </w:pPr>
    <w:rPr>
      <w:rFonts w:eastAsiaTheme="minorHAnsi" w:cs="Arial"/>
      <w:i/>
      <w:szCs w:val="22"/>
      <w:lang w:eastAsia="en-US"/>
    </w:rPr>
  </w:style>
  <w:style w:type="character" w:styleId="Textoennegrita">
    <w:name w:val="Strong"/>
    <w:uiPriority w:val="22"/>
    <w:qFormat/>
    <w:rsid w:val="00A97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43669">
      <w:bodyDiv w:val="1"/>
      <w:marLeft w:val="0"/>
      <w:marRight w:val="0"/>
      <w:marTop w:val="0"/>
      <w:marBottom w:val="0"/>
      <w:divBdr>
        <w:top w:val="none" w:sz="0" w:space="0" w:color="auto"/>
        <w:left w:val="none" w:sz="0" w:space="0" w:color="auto"/>
        <w:bottom w:val="none" w:sz="0" w:space="0" w:color="auto"/>
        <w:right w:val="none" w:sz="0" w:space="0" w:color="auto"/>
      </w:divBdr>
    </w:div>
    <w:div w:id="142552614">
      <w:bodyDiv w:val="1"/>
      <w:marLeft w:val="0"/>
      <w:marRight w:val="0"/>
      <w:marTop w:val="0"/>
      <w:marBottom w:val="0"/>
      <w:divBdr>
        <w:top w:val="none" w:sz="0" w:space="0" w:color="auto"/>
        <w:left w:val="none" w:sz="0" w:space="0" w:color="auto"/>
        <w:bottom w:val="none" w:sz="0" w:space="0" w:color="auto"/>
        <w:right w:val="none" w:sz="0" w:space="0" w:color="auto"/>
      </w:divBdr>
    </w:div>
    <w:div w:id="798492450">
      <w:bodyDiv w:val="1"/>
      <w:marLeft w:val="0"/>
      <w:marRight w:val="0"/>
      <w:marTop w:val="0"/>
      <w:marBottom w:val="0"/>
      <w:divBdr>
        <w:top w:val="none" w:sz="0" w:space="0" w:color="auto"/>
        <w:left w:val="none" w:sz="0" w:space="0" w:color="auto"/>
        <w:bottom w:val="none" w:sz="0" w:space="0" w:color="auto"/>
        <w:right w:val="none" w:sz="0" w:space="0" w:color="auto"/>
      </w:divBdr>
    </w:div>
    <w:div w:id="812016544">
      <w:bodyDiv w:val="1"/>
      <w:marLeft w:val="0"/>
      <w:marRight w:val="0"/>
      <w:marTop w:val="0"/>
      <w:marBottom w:val="0"/>
      <w:divBdr>
        <w:top w:val="none" w:sz="0" w:space="0" w:color="auto"/>
        <w:left w:val="none" w:sz="0" w:space="0" w:color="auto"/>
        <w:bottom w:val="none" w:sz="0" w:space="0" w:color="auto"/>
        <w:right w:val="none" w:sz="0" w:space="0" w:color="auto"/>
      </w:divBdr>
    </w:div>
    <w:div w:id="1125586014">
      <w:bodyDiv w:val="1"/>
      <w:marLeft w:val="0"/>
      <w:marRight w:val="0"/>
      <w:marTop w:val="0"/>
      <w:marBottom w:val="0"/>
      <w:divBdr>
        <w:top w:val="none" w:sz="0" w:space="0" w:color="auto"/>
        <w:left w:val="none" w:sz="0" w:space="0" w:color="auto"/>
        <w:bottom w:val="none" w:sz="0" w:space="0" w:color="auto"/>
        <w:right w:val="none" w:sz="0" w:space="0" w:color="auto"/>
      </w:divBdr>
    </w:div>
    <w:div w:id="1276139058">
      <w:bodyDiv w:val="1"/>
      <w:marLeft w:val="0"/>
      <w:marRight w:val="0"/>
      <w:marTop w:val="0"/>
      <w:marBottom w:val="0"/>
      <w:divBdr>
        <w:top w:val="none" w:sz="0" w:space="0" w:color="auto"/>
        <w:left w:val="none" w:sz="0" w:space="0" w:color="auto"/>
        <w:bottom w:val="none" w:sz="0" w:space="0" w:color="auto"/>
        <w:right w:val="none" w:sz="0" w:space="0" w:color="auto"/>
      </w:divBdr>
    </w:div>
    <w:div w:id="1630895962">
      <w:bodyDiv w:val="1"/>
      <w:marLeft w:val="0"/>
      <w:marRight w:val="0"/>
      <w:marTop w:val="0"/>
      <w:marBottom w:val="0"/>
      <w:divBdr>
        <w:top w:val="none" w:sz="0" w:space="0" w:color="auto"/>
        <w:left w:val="none" w:sz="0" w:space="0" w:color="auto"/>
        <w:bottom w:val="none" w:sz="0" w:space="0" w:color="auto"/>
        <w:right w:val="none" w:sz="0" w:space="0" w:color="auto"/>
      </w:divBdr>
    </w:div>
    <w:div w:id="1752267762">
      <w:bodyDiv w:val="1"/>
      <w:marLeft w:val="0"/>
      <w:marRight w:val="0"/>
      <w:marTop w:val="0"/>
      <w:marBottom w:val="0"/>
      <w:divBdr>
        <w:top w:val="none" w:sz="0" w:space="0" w:color="auto"/>
        <w:left w:val="none" w:sz="0" w:space="0" w:color="auto"/>
        <w:bottom w:val="none" w:sz="0" w:space="0" w:color="auto"/>
        <w:right w:val="none" w:sz="0" w:space="0" w:color="auto"/>
      </w:divBdr>
    </w:div>
    <w:div w:id="1909072149">
      <w:bodyDiv w:val="1"/>
      <w:marLeft w:val="0"/>
      <w:marRight w:val="0"/>
      <w:marTop w:val="0"/>
      <w:marBottom w:val="0"/>
      <w:divBdr>
        <w:top w:val="none" w:sz="0" w:space="0" w:color="auto"/>
        <w:left w:val="none" w:sz="0" w:space="0" w:color="auto"/>
        <w:bottom w:val="none" w:sz="0" w:space="0" w:color="auto"/>
        <w:right w:val="none" w:sz="0" w:space="0" w:color="auto"/>
      </w:divBdr>
    </w:div>
    <w:div w:id="1975675811">
      <w:bodyDiv w:val="1"/>
      <w:marLeft w:val="0"/>
      <w:marRight w:val="0"/>
      <w:marTop w:val="0"/>
      <w:marBottom w:val="0"/>
      <w:divBdr>
        <w:top w:val="none" w:sz="0" w:space="0" w:color="auto"/>
        <w:left w:val="none" w:sz="0" w:space="0" w:color="auto"/>
        <w:bottom w:val="none" w:sz="0" w:space="0" w:color="auto"/>
        <w:right w:val="none" w:sz="0" w:space="0" w:color="auto"/>
      </w:divBdr>
    </w:div>
    <w:div w:id="2014647825">
      <w:bodyDiv w:val="1"/>
      <w:marLeft w:val="0"/>
      <w:marRight w:val="0"/>
      <w:marTop w:val="0"/>
      <w:marBottom w:val="0"/>
      <w:divBdr>
        <w:top w:val="none" w:sz="0" w:space="0" w:color="auto"/>
        <w:left w:val="none" w:sz="0" w:space="0" w:color="auto"/>
        <w:bottom w:val="none" w:sz="0" w:space="0" w:color="auto"/>
        <w:right w:val="none" w:sz="0" w:space="0" w:color="auto"/>
      </w:divBdr>
    </w:div>
    <w:div w:id="208325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eleconomista.com.mx/politica/La-Gobernadora-Delfina-Gomez-toma-Protesta-a-titulares-de-Secretaria-de-Finanzas-de-Desarrollo-Urbano-e-Infraestructura-y-Oficial-Mayor-del-Gobierno-del-Estado-de-Mexico-20230919-0070.html" TargetMode="External"/><Relationship Id="rId2" Type="http://schemas.openxmlformats.org/officeDocument/2006/relationships/hyperlink" Target="https://www.milenio.com/politica/delfina-gomez-toma-protesta-integrantes-gabinete" TargetMode="External"/><Relationship Id="rId1" Type="http://schemas.openxmlformats.org/officeDocument/2006/relationships/hyperlink" Target="https://legislacion.edomex.gob.mx/sites/legislacion.edomex.gob.mx/files/files/pdf/rgl/vig/rglvig740.pdf" TargetMode="External"/><Relationship Id="rId6" Type="http://schemas.openxmlformats.org/officeDocument/2006/relationships/hyperlink" Target="https://www.dof.gob.mx/nota_detalle.php?codigo=5671860&amp;fecha=18/11/2022" TargetMode="External"/><Relationship Id="rId5" Type="http://schemas.openxmlformats.org/officeDocument/2006/relationships/hyperlink" Target="https://www.dof.gob.mx/nota_detalle.php?codigo=5446230&amp;fecha=29/07/2016" TargetMode="External"/><Relationship Id="rId4" Type="http://schemas.openxmlformats.org/officeDocument/2006/relationships/hyperlink" Target="https://www.dof.gob.mx/nota_detalle.php?codigo=5433280&amp;fecha=15/04/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FA05B9-F815-4789-BC48-5A91FDDA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12505</Words>
  <Characters>68783</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8</cp:revision>
  <cp:lastPrinted>2024-11-04T16:12:00Z</cp:lastPrinted>
  <dcterms:created xsi:type="dcterms:W3CDTF">2024-10-29T01:25:00Z</dcterms:created>
  <dcterms:modified xsi:type="dcterms:W3CDTF">2024-11-04T16:12:00Z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