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7B" w:rsidRPr="00C447C9" w:rsidRDefault="00FA7349">
      <w:pPr>
        <w:tabs>
          <w:tab w:val="left" w:pos="0"/>
        </w:tabs>
        <w:spacing w:line="360" w:lineRule="auto"/>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dieciocho (18) de diciembre de dos mil  veinticuatro. </w:t>
      </w:r>
    </w:p>
    <w:p w:rsidR="004E3F7B" w:rsidRPr="00C447C9" w:rsidRDefault="004E3F7B">
      <w:pPr>
        <w:tabs>
          <w:tab w:val="left" w:pos="0"/>
        </w:tabs>
        <w:spacing w:line="360" w:lineRule="auto"/>
        <w:jc w:val="both"/>
        <w:rPr>
          <w:rFonts w:ascii="Palatino Linotype" w:eastAsia="Palatino Linotype" w:hAnsi="Palatino Linotype" w:cs="Palatino Linotype"/>
          <w:sz w:val="22"/>
          <w:szCs w:val="22"/>
        </w:rPr>
      </w:pPr>
    </w:p>
    <w:p w:rsidR="004E3F7B" w:rsidRPr="00C447C9" w:rsidRDefault="00FA7349">
      <w:pPr>
        <w:spacing w:line="360" w:lineRule="auto"/>
        <w:jc w:val="both"/>
        <w:rPr>
          <w:rFonts w:ascii="Palatino Linotype" w:eastAsia="Palatino Linotype" w:hAnsi="Palatino Linotype" w:cs="Palatino Linotype"/>
          <w:sz w:val="22"/>
          <w:szCs w:val="22"/>
        </w:rPr>
      </w:pPr>
      <w:bookmarkStart w:id="0" w:name="_heading=h.26in1rg" w:colFirst="0" w:colLast="0"/>
      <w:bookmarkEnd w:id="0"/>
      <w:r w:rsidRPr="00C447C9">
        <w:rPr>
          <w:rFonts w:ascii="Palatino Linotype" w:eastAsia="Palatino Linotype" w:hAnsi="Palatino Linotype" w:cs="Palatino Linotype"/>
          <w:b/>
          <w:sz w:val="22"/>
          <w:szCs w:val="22"/>
        </w:rPr>
        <w:t>VISTOS</w:t>
      </w:r>
      <w:r w:rsidRPr="00C447C9">
        <w:rPr>
          <w:rFonts w:ascii="Palatino Linotype" w:eastAsia="Palatino Linotype" w:hAnsi="Palatino Linotype" w:cs="Palatino Linotype"/>
          <w:sz w:val="22"/>
          <w:szCs w:val="22"/>
        </w:rPr>
        <w:t xml:space="preserve"> los expedientes electrónicos formados con motivo de los recursos de revisión  </w:t>
      </w:r>
      <w:r w:rsidRPr="00C447C9">
        <w:rPr>
          <w:rFonts w:ascii="Palatino Linotype" w:eastAsia="Palatino Linotype" w:hAnsi="Palatino Linotype" w:cs="Palatino Linotype"/>
          <w:b/>
          <w:sz w:val="22"/>
          <w:szCs w:val="22"/>
        </w:rPr>
        <w:t xml:space="preserve">06233/INFOEM/IP/RR/2024, </w:t>
      </w:r>
      <w:r w:rsidRPr="00C447C9">
        <w:rPr>
          <w:rFonts w:ascii="Palatino Linotype" w:eastAsia="Palatino Linotype" w:hAnsi="Palatino Linotype" w:cs="Palatino Linotype"/>
          <w:b/>
          <w:color w:val="000000"/>
          <w:sz w:val="22"/>
          <w:szCs w:val="22"/>
        </w:rPr>
        <w:t>06593/INFOEM/IP/RR/2024, 06598/INFOEM/IP/RR/2024, 06613/INFOEM/IP/RR/2024 y  06623/INFOEM/IP/RR/2024</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promovidos por </w:t>
      </w:r>
      <w:r w:rsidRPr="00C447C9">
        <w:rPr>
          <w:rFonts w:ascii="Palatino Linotype" w:eastAsia="Palatino Linotype" w:hAnsi="Palatino Linotype" w:cs="Palatino Linotype"/>
          <w:b/>
          <w:sz w:val="22"/>
          <w:szCs w:val="22"/>
        </w:rPr>
        <w:t>un usuario que no proporcionó nombre para ser identificado</w:t>
      </w:r>
      <w:r w:rsidRPr="00C447C9">
        <w:rPr>
          <w:rFonts w:ascii="Palatino Linotype" w:eastAsia="Palatino Linotype" w:hAnsi="Palatino Linotype" w:cs="Palatino Linotype"/>
          <w:sz w:val="22"/>
          <w:szCs w:val="22"/>
        </w:rPr>
        <w:t xml:space="preserve">, quien en lo sucesivo se le identificara como </w:t>
      </w:r>
      <w:r w:rsidRPr="00C447C9">
        <w:rPr>
          <w:rFonts w:ascii="Palatino Linotype" w:eastAsia="Palatino Linotype" w:hAnsi="Palatino Linotype" w:cs="Palatino Linotype"/>
          <w:b/>
          <w:sz w:val="22"/>
          <w:szCs w:val="22"/>
        </w:rPr>
        <w:t>RECURRENTE</w:t>
      </w:r>
      <w:r w:rsidRPr="00C447C9">
        <w:rPr>
          <w:rFonts w:ascii="Palatino Linotype" w:eastAsia="Palatino Linotype" w:hAnsi="Palatino Linotype" w:cs="Palatino Linotype"/>
          <w:sz w:val="22"/>
          <w:szCs w:val="22"/>
        </w:rPr>
        <w:t xml:space="preserve">, en contra de la respuesta del </w:t>
      </w:r>
      <w:r w:rsidRPr="00C447C9">
        <w:rPr>
          <w:rFonts w:ascii="Palatino Linotype" w:eastAsia="Palatino Linotype" w:hAnsi="Palatino Linotype" w:cs="Palatino Linotype"/>
          <w:b/>
          <w:sz w:val="22"/>
          <w:szCs w:val="22"/>
        </w:rPr>
        <w:t xml:space="preserve">Ayuntamiento de Temamatla, </w:t>
      </w:r>
      <w:r w:rsidRPr="00C447C9">
        <w:rPr>
          <w:rFonts w:ascii="Palatino Linotype" w:eastAsia="Palatino Linotype" w:hAnsi="Palatino Linotype" w:cs="Palatino Linotype"/>
          <w:sz w:val="22"/>
          <w:szCs w:val="22"/>
        </w:rPr>
        <w:t>en lo sucesivo el</w:t>
      </w:r>
      <w:r w:rsidRPr="00C447C9">
        <w:rPr>
          <w:rFonts w:ascii="Palatino Linotype" w:eastAsia="Palatino Linotype" w:hAnsi="Palatino Linotype" w:cs="Palatino Linotype"/>
          <w:b/>
          <w:sz w:val="22"/>
          <w:szCs w:val="22"/>
        </w:rPr>
        <w:t xml:space="preserve"> SUJETO OBLIGADO, </w:t>
      </w:r>
      <w:r w:rsidRPr="00C447C9">
        <w:rPr>
          <w:rFonts w:ascii="Palatino Linotype" w:eastAsia="Palatino Linotype" w:hAnsi="Palatino Linotype" w:cs="Palatino Linotype"/>
          <w:sz w:val="22"/>
          <w:szCs w:val="22"/>
        </w:rPr>
        <w:t xml:space="preserve">se procede a dictar la presente resolución, con base en los siguientes: </w:t>
      </w:r>
    </w:p>
    <w:p w:rsidR="004E3F7B" w:rsidRPr="00C447C9" w:rsidRDefault="004E3F7B">
      <w:pPr>
        <w:spacing w:line="360" w:lineRule="auto"/>
        <w:jc w:val="both"/>
        <w:rPr>
          <w:rFonts w:ascii="Palatino Linotype" w:eastAsia="Palatino Linotype" w:hAnsi="Palatino Linotype" w:cs="Palatino Linotype"/>
          <w:sz w:val="22"/>
          <w:szCs w:val="22"/>
        </w:rPr>
      </w:pPr>
    </w:p>
    <w:p w:rsidR="004E3F7B" w:rsidRPr="00C447C9" w:rsidRDefault="00FA7349">
      <w:pPr>
        <w:keepNext/>
        <w:keepLines/>
        <w:tabs>
          <w:tab w:val="left" w:pos="0"/>
        </w:tabs>
        <w:spacing w:line="360" w:lineRule="auto"/>
        <w:jc w:val="center"/>
        <w:rPr>
          <w:rFonts w:ascii="Palatino Linotype" w:eastAsia="Palatino Linotype" w:hAnsi="Palatino Linotype" w:cs="Palatino Linotype"/>
          <w:b/>
          <w:sz w:val="22"/>
          <w:szCs w:val="22"/>
        </w:rPr>
      </w:pPr>
      <w:bookmarkStart w:id="1" w:name="_heading=h.gjdgxs" w:colFirst="0" w:colLast="0"/>
      <w:bookmarkEnd w:id="1"/>
      <w:r w:rsidRPr="00C447C9">
        <w:rPr>
          <w:rFonts w:ascii="Palatino Linotype" w:eastAsia="Palatino Linotype" w:hAnsi="Palatino Linotype" w:cs="Palatino Linotype"/>
          <w:b/>
          <w:sz w:val="22"/>
          <w:szCs w:val="22"/>
        </w:rPr>
        <w:t>ANTECEDENTES</w:t>
      </w:r>
    </w:p>
    <w:p w:rsidR="004E3F7B" w:rsidRPr="00C447C9" w:rsidRDefault="004E3F7B">
      <w:pPr>
        <w:keepNext/>
        <w:keepLines/>
        <w:tabs>
          <w:tab w:val="left" w:pos="0"/>
        </w:tabs>
        <w:spacing w:line="360" w:lineRule="auto"/>
        <w:jc w:val="center"/>
        <w:rPr>
          <w:rFonts w:ascii="Palatino Linotype" w:eastAsia="Palatino Linotype" w:hAnsi="Palatino Linotype" w:cs="Palatino Linotype"/>
          <w:b/>
          <w:sz w:val="22"/>
          <w:szCs w:val="22"/>
        </w:rPr>
      </w:pPr>
    </w:p>
    <w:p w:rsidR="004E3F7B" w:rsidRPr="00C447C9" w:rsidRDefault="00FA7349">
      <w:pPr>
        <w:numPr>
          <w:ilvl w:val="0"/>
          <w:numId w:val="2"/>
        </w:numPr>
        <w:tabs>
          <w:tab w:val="left" w:pos="0"/>
        </w:tabs>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El veinticinco (25) y veintisiete (27)  de septiembre dos mil veinticuatro, el</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solicitante</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presentó</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ante 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xml:space="preserve"> a través del Sistema de Acceso a la Información Mexiquense (SAIMEX), las solicitudes de información pública registradas de la siguiente manera: </w:t>
      </w:r>
    </w:p>
    <w:p w:rsidR="004E3F7B" w:rsidRPr="00C447C9" w:rsidRDefault="004E3F7B">
      <w:pPr>
        <w:tabs>
          <w:tab w:val="left" w:pos="0"/>
        </w:tabs>
        <w:spacing w:line="360" w:lineRule="auto"/>
        <w:jc w:val="both"/>
        <w:rPr>
          <w:rFonts w:ascii="Palatino Linotype" w:eastAsia="Palatino Linotype" w:hAnsi="Palatino Linotype" w:cs="Palatino Linotype"/>
          <w:sz w:val="22"/>
          <w:szCs w:val="22"/>
        </w:rPr>
      </w:pPr>
      <w:bookmarkStart w:id="2" w:name="_heading=h.lnxbz9" w:colFirst="0" w:colLast="0"/>
      <w:bookmarkEnd w:id="2"/>
    </w:p>
    <w:p w:rsidR="004E3F7B" w:rsidRPr="00C447C9" w:rsidRDefault="00FA7349">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color w:val="000000"/>
          <w:sz w:val="22"/>
          <w:szCs w:val="22"/>
        </w:rPr>
        <w:t xml:space="preserve">00375/TEMAMATL/IP/2024 -  06233/INFOEM/IP/RR/2024:  </w:t>
      </w:r>
      <w:r w:rsidRPr="00C447C9">
        <w:rPr>
          <w:rFonts w:ascii="Palatino Linotype" w:eastAsia="Palatino Linotype" w:hAnsi="Palatino Linotype" w:cs="Palatino Linotype"/>
          <w:i/>
          <w:color w:val="000000"/>
          <w:sz w:val="22"/>
          <w:szCs w:val="22"/>
        </w:rPr>
        <w:t>“Solicito la documental a través de la cual secretario de ayuntamiento a dado cuenta de manera mensual al cabildo del número y contenido de los expedientes pasados a comisión, mencionando los ya resueltos y los pendientes esto durante la administración 2022 2024” (Sic)</w:t>
      </w:r>
    </w:p>
    <w:p w:rsidR="004E3F7B" w:rsidRPr="00C447C9" w:rsidRDefault="004E3F7B">
      <w:pPr>
        <w:pBdr>
          <w:top w:val="nil"/>
          <w:left w:val="nil"/>
          <w:bottom w:val="nil"/>
          <w:right w:val="nil"/>
          <w:between w:val="nil"/>
        </w:pBdr>
        <w:tabs>
          <w:tab w:val="left" w:pos="284"/>
        </w:tabs>
        <w:spacing w:line="360" w:lineRule="auto"/>
        <w:ind w:left="720" w:right="822"/>
        <w:jc w:val="both"/>
        <w:rPr>
          <w:rFonts w:ascii="Palatino Linotype" w:eastAsia="Palatino Linotype" w:hAnsi="Palatino Linotype" w:cs="Palatino Linotype"/>
          <w:i/>
          <w:color w:val="000000"/>
          <w:sz w:val="22"/>
          <w:szCs w:val="22"/>
        </w:rPr>
      </w:pPr>
    </w:p>
    <w:p w:rsidR="004E3F7B" w:rsidRPr="00C447C9" w:rsidRDefault="00FA7349">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 xml:space="preserve">00311/TEMAMATL/IP/2024 - 06593/INFOEM/IP/RR/2024: </w:t>
      </w:r>
      <w:r w:rsidRPr="00C447C9">
        <w:rPr>
          <w:rFonts w:ascii="Palatino Linotype" w:eastAsia="Palatino Linotype" w:hAnsi="Palatino Linotype" w:cs="Palatino Linotype"/>
          <w:i/>
          <w:color w:val="000000"/>
          <w:sz w:val="22"/>
          <w:szCs w:val="22"/>
        </w:rPr>
        <w:t xml:space="preserve">“Cual a sido el monto mensual de gasto por concepto de renta de planta de luz, escenario, equipo de </w:t>
      </w:r>
      <w:r w:rsidRPr="00C447C9">
        <w:rPr>
          <w:rFonts w:ascii="Palatino Linotype" w:eastAsia="Palatino Linotype" w:hAnsi="Palatino Linotype" w:cs="Palatino Linotype"/>
          <w:i/>
          <w:color w:val="000000"/>
          <w:sz w:val="22"/>
          <w:szCs w:val="22"/>
        </w:rPr>
        <w:lastRenderedPageBreak/>
        <w:t>sonido, durante la administración 2022 2024, cual ha sido el proveedor o proveedores, requiero la información desglosada por mes , favor de adjuntar las pólizas de egresos por este concepto” (Sic)</w:t>
      </w:r>
    </w:p>
    <w:p w:rsidR="004E3F7B" w:rsidRPr="00C447C9" w:rsidRDefault="004E3F7B">
      <w:pPr>
        <w:tabs>
          <w:tab w:val="left" w:pos="284"/>
        </w:tabs>
        <w:spacing w:line="360" w:lineRule="auto"/>
        <w:ind w:right="822"/>
        <w:jc w:val="both"/>
        <w:rPr>
          <w:rFonts w:ascii="Palatino Linotype" w:eastAsia="Palatino Linotype" w:hAnsi="Palatino Linotype" w:cs="Palatino Linotype"/>
          <w:b/>
          <w:sz w:val="22"/>
          <w:szCs w:val="22"/>
        </w:rPr>
      </w:pPr>
    </w:p>
    <w:p w:rsidR="004E3F7B" w:rsidRPr="00C447C9" w:rsidRDefault="00FA7349">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 xml:space="preserve">00317/TEMAMATL/IP/2024 - 06598/INFOEM/IP/RR/2024:  </w:t>
      </w:r>
      <w:r w:rsidRPr="00C447C9">
        <w:rPr>
          <w:rFonts w:ascii="Palatino Linotype" w:eastAsia="Palatino Linotype" w:hAnsi="Palatino Linotype" w:cs="Palatino Linotype"/>
          <w:i/>
          <w:color w:val="000000"/>
          <w:sz w:val="22"/>
          <w:szCs w:val="22"/>
        </w:rPr>
        <w:t>“Cual a sido el monto mensual de gasto por concepto de viajes de trabajo o salidas de trabajo del presidente municipal, durante la administración 2022 2024, requiero la información desglosada por mes , favor de adjuntar las pólizas de egresos por este concepto” (Sic)</w:t>
      </w:r>
    </w:p>
    <w:p w:rsidR="004E3F7B" w:rsidRPr="00C447C9" w:rsidRDefault="004E3F7B">
      <w:pPr>
        <w:tabs>
          <w:tab w:val="left" w:pos="284"/>
        </w:tabs>
        <w:spacing w:line="360" w:lineRule="auto"/>
        <w:ind w:right="822"/>
        <w:jc w:val="both"/>
        <w:rPr>
          <w:rFonts w:ascii="Palatino Linotype" w:eastAsia="Palatino Linotype" w:hAnsi="Palatino Linotype" w:cs="Palatino Linotype"/>
          <w:b/>
          <w:sz w:val="22"/>
          <w:szCs w:val="22"/>
        </w:rPr>
      </w:pPr>
    </w:p>
    <w:p w:rsidR="004E3F7B" w:rsidRPr="00C447C9" w:rsidRDefault="00FA7349">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 xml:space="preserve">00299/TEMAMATL/IP/2024 -  06613/INFOEM/IP/RR/2024:  </w:t>
      </w:r>
      <w:r w:rsidRPr="00C447C9">
        <w:rPr>
          <w:rFonts w:ascii="Palatino Linotype" w:eastAsia="Palatino Linotype" w:hAnsi="Palatino Linotype" w:cs="Palatino Linotype"/>
          <w:i/>
          <w:color w:val="000000"/>
          <w:sz w:val="22"/>
          <w:szCs w:val="22"/>
        </w:rPr>
        <w:t>“Solicito el monto de ingreso por concepto de renta del auditorio municipal durante la administración 2022 2024, desglosado por mes y mediante que numeros de factura fueron ingresada esta recaudación a la tesorería municipa” (Sic)</w:t>
      </w:r>
    </w:p>
    <w:p w:rsidR="004E3F7B" w:rsidRPr="00C447C9" w:rsidRDefault="004E3F7B">
      <w:pPr>
        <w:tabs>
          <w:tab w:val="left" w:pos="284"/>
        </w:tabs>
        <w:spacing w:line="360" w:lineRule="auto"/>
        <w:ind w:right="822"/>
        <w:jc w:val="both"/>
        <w:rPr>
          <w:rFonts w:ascii="Palatino Linotype" w:eastAsia="Palatino Linotype" w:hAnsi="Palatino Linotype" w:cs="Palatino Linotype"/>
          <w:b/>
          <w:sz w:val="22"/>
          <w:szCs w:val="22"/>
        </w:rPr>
      </w:pPr>
    </w:p>
    <w:p w:rsidR="004E3F7B" w:rsidRPr="00C447C9" w:rsidRDefault="00FA7349">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 xml:space="preserve">00392/TEMAMATL/IP/2024 - 06623/INFOEM/IP/RR/2024:  </w:t>
      </w:r>
      <w:r w:rsidRPr="00C447C9">
        <w:rPr>
          <w:rFonts w:ascii="Palatino Linotype" w:eastAsia="Palatino Linotype" w:hAnsi="Palatino Linotype" w:cs="Palatino Linotype"/>
          <w:i/>
          <w:color w:val="000000"/>
          <w:sz w:val="22"/>
          <w:szCs w:val="22"/>
        </w:rPr>
        <w:t>“Todos los elementos de seguridad pública y protección civil cuentan con seguro de vida, hasta que fecha tienen cobertura ese convenio” (Sic)</w:t>
      </w:r>
    </w:p>
    <w:p w:rsidR="004E3F7B" w:rsidRPr="00C447C9" w:rsidRDefault="004E3F7B">
      <w:pPr>
        <w:tabs>
          <w:tab w:val="left" w:pos="284"/>
        </w:tabs>
        <w:spacing w:line="360" w:lineRule="auto"/>
        <w:ind w:right="822"/>
        <w:jc w:val="both"/>
        <w:rPr>
          <w:rFonts w:ascii="Palatino Linotype" w:eastAsia="Palatino Linotype" w:hAnsi="Palatino Linotype" w:cs="Palatino Linotype"/>
          <w:b/>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color w:val="000000"/>
          <w:sz w:val="22"/>
          <w:szCs w:val="22"/>
        </w:rPr>
        <w:t>Se hace constar que se señaló como modalidad de entrega de la información a través de SAIMEX.</w:t>
      </w:r>
      <w:r w:rsidRPr="00C447C9">
        <w:rPr>
          <w:rFonts w:ascii="Palatino Linotype" w:eastAsia="Palatino Linotype" w:hAnsi="Palatino Linotype" w:cs="Palatino Linotype"/>
          <w:b/>
          <w:color w:val="000000"/>
          <w:sz w:val="22"/>
          <w:szCs w:val="22"/>
        </w:rPr>
        <w:t xml:space="preserve">  </w:t>
      </w:r>
    </w:p>
    <w:p w:rsidR="004E3F7B" w:rsidRPr="00C447C9" w:rsidRDefault="004E3F7B">
      <w:pPr>
        <w:tabs>
          <w:tab w:val="left" w:pos="0"/>
        </w:tabs>
        <w:spacing w:line="360" w:lineRule="auto"/>
        <w:ind w:right="34"/>
        <w:jc w:val="both"/>
        <w:rPr>
          <w:rFonts w:ascii="Palatino Linotype" w:eastAsia="Palatino Linotype" w:hAnsi="Palatino Linotype" w:cs="Palatino Linotype"/>
          <w:b/>
          <w:sz w:val="22"/>
          <w:szCs w:val="22"/>
        </w:rPr>
      </w:pPr>
    </w:p>
    <w:p w:rsidR="004E3F7B" w:rsidRPr="00C447C9" w:rsidRDefault="00FA7349">
      <w:pPr>
        <w:numPr>
          <w:ilvl w:val="0"/>
          <w:numId w:val="2"/>
        </w:numPr>
        <w:tabs>
          <w:tab w:val="left" w:pos="0"/>
        </w:tabs>
        <w:spacing w:line="360" w:lineRule="auto"/>
        <w:ind w:left="0" w:right="34" w:firstLine="0"/>
        <w:jc w:val="both"/>
        <w:rPr>
          <w:rFonts w:ascii="Palatino Linotype" w:eastAsia="Palatino Linotype" w:hAnsi="Palatino Linotype" w:cs="Palatino Linotype"/>
          <w:b/>
          <w:sz w:val="22"/>
          <w:szCs w:val="22"/>
        </w:rPr>
      </w:pPr>
      <w:r w:rsidRPr="00C447C9">
        <w:rPr>
          <w:rFonts w:ascii="Palatino Linotype" w:eastAsia="Palatino Linotype" w:hAnsi="Palatino Linotype" w:cs="Palatino Linotype"/>
          <w:sz w:val="22"/>
          <w:szCs w:val="22"/>
        </w:rPr>
        <w:t>El  veintiséis (26) y treinta(30)   de septiembre de dos mil veinticuatro, se realizaron los  requerimientos al servidor público habilitado</w:t>
      </w:r>
      <w:r w:rsidRPr="00C447C9">
        <w:rPr>
          <w:rFonts w:ascii="Palatino Linotype" w:eastAsia="Palatino Linotype" w:hAnsi="Palatino Linotype" w:cs="Palatino Linotype"/>
          <w:b/>
          <w:sz w:val="22"/>
          <w:szCs w:val="22"/>
        </w:rPr>
        <w:t xml:space="preserv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tabs>
          <w:tab w:val="left" w:pos="0"/>
        </w:tabs>
        <w:spacing w:line="360" w:lineRule="auto"/>
        <w:ind w:left="0" w:right="34" w:firstLine="0"/>
        <w:jc w:val="both"/>
        <w:rPr>
          <w:rFonts w:ascii="Palatino Linotype" w:eastAsia="Palatino Linotype" w:hAnsi="Palatino Linotype" w:cs="Palatino Linotype"/>
          <w:b/>
          <w:sz w:val="22"/>
          <w:szCs w:val="22"/>
        </w:rPr>
      </w:pPr>
      <w:bookmarkStart w:id="3" w:name="_heading=h.30j0zll" w:colFirst="0" w:colLast="0"/>
      <w:bookmarkEnd w:id="3"/>
      <w:r w:rsidRPr="00C447C9">
        <w:rPr>
          <w:rFonts w:ascii="Palatino Linotype" w:eastAsia="Palatino Linotype" w:hAnsi="Palatino Linotype" w:cs="Palatino Linotype"/>
          <w:sz w:val="22"/>
          <w:szCs w:val="22"/>
        </w:rPr>
        <w:t xml:space="preserve">El diez (10), dieciséis (16), diecisiete (17)  y veintiuno (21) de octubre de dos mil veinticuatro, el </w:t>
      </w:r>
      <w:r w:rsidRPr="00C447C9">
        <w:rPr>
          <w:rFonts w:ascii="Palatino Linotype" w:eastAsia="Palatino Linotype" w:hAnsi="Palatino Linotype" w:cs="Palatino Linotype"/>
          <w:b/>
          <w:sz w:val="22"/>
          <w:szCs w:val="22"/>
        </w:rPr>
        <w:t xml:space="preserve">SUJETO OBLIGADO </w:t>
      </w:r>
      <w:r w:rsidRPr="00C447C9">
        <w:rPr>
          <w:rFonts w:ascii="Palatino Linotype" w:eastAsia="Palatino Linotype" w:hAnsi="Palatino Linotype" w:cs="Palatino Linotype"/>
          <w:sz w:val="22"/>
          <w:szCs w:val="22"/>
        </w:rPr>
        <w:t>dio respuesta a las solicitudes en el siguiente sentido:</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5"/>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Para todas las solicitudes respondió lo siguiente:</w:t>
      </w:r>
    </w:p>
    <w:p w:rsidR="004E3F7B" w:rsidRPr="00C447C9" w:rsidRDefault="004E3F7B">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b/>
          <w:color w:val="000000"/>
          <w:sz w:val="22"/>
          <w:szCs w:val="22"/>
        </w:rPr>
      </w:pPr>
    </w:p>
    <w:tbl>
      <w:tblPr>
        <w:tblStyle w:val="a7"/>
        <w:tblW w:w="8047" w:type="dxa"/>
        <w:jc w:val="center"/>
        <w:tblInd w:w="0" w:type="dxa"/>
        <w:tblLayout w:type="fixed"/>
        <w:tblLook w:val="0400" w:firstRow="0" w:lastRow="0" w:firstColumn="0" w:lastColumn="0" w:noHBand="0" w:noVBand="1"/>
      </w:tblPr>
      <w:tblGrid>
        <w:gridCol w:w="8047"/>
      </w:tblGrid>
      <w:tr w:rsidR="004E3F7B" w:rsidRPr="00C447C9">
        <w:trPr>
          <w:trHeight w:val="152"/>
          <w:jc w:val="center"/>
        </w:trPr>
        <w:tc>
          <w:tcPr>
            <w:tcW w:w="8047" w:type="dxa"/>
            <w:vAlign w:val="center"/>
          </w:tcPr>
          <w:p w:rsidR="004E3F7B" w:rsidRPr="00C447C9" w:rsidRDefault="00FA7349">
            <w:pPr>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E3F7B" w:rsidRPr="00C447C9">
        <w:trPr>
          <w:trHeight w:val="382"/>
          <w:jc w:val="center"/>
        </w:trPr>
        <w:tc>
          <w:tcPr>
            <w:tcW w:w="8047" w:type="dxa"/>
            <w:vAlign w:val="center"/>
          </w:tcPr>
          <w:p w:rsidR="004E3F7B" w:rsidRPr="00C447C9" w:rsidRDefault="004E3F7B">
            <w:pPr>
              <w:jc w:val="both"/>
              <w:rPr>
                <w:rFonts w:ascii="Palatino Linotype" w:eastAsia="Palatino Linotype" w:hAnsi="Palatino Linotype" w:cs="Palatino Linotype"/>
                <w:i/>
                <w:sz w:val="22"/>
                <w:szCs w:val="22"/>
              </w:rPr>
            </w:pPr>
          </w:p>
        </w:tc>
      </w:tr>
      <w:tr w:rsidR="004E3F7B" w:rsidRPr="00C447C9">
        <w:trPr>
          <w:trHeight w:val="152"/>
          <w:jc w:val="center"/>
        </w:trPr>
        <w:tc>
          <w:tcPr>
            <w:tcW w:w="8047" w:type="dxa"/>
            <w:vAlign w:val="center"/>
          </w:tcPr>
          <w:p w:rsidR="004E3F7B" w:rsidRPr="00C447C9" w:rsidRDefault="00FA7349">
            <w:pPr>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w:t>
            </w:r>
            <w:r w:rsidRPr="00C447C9">
              <w:rPr>
                <w:rFonts w:ascii="Palatino Linotype" w:eastAsia="Palatino Linotype" w:hAnsi="Palatino Linotype" w:cs="Palatino Linotype"/>
                <w:i/>
                <w:sz w:val="22"/>
                <w:szCs w:val="22"/>
              </w:rPr>
              <w:lastRenderedPageBreak/>
              <w:t>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tc>
      </w:tr>
      <w:tr w:rsidR="004E3F7B" w:rsidRPr="00C447C9">
        <w:trPr>
          <w:trHeight w:val="382"/>
          <w:jc w:val="center"/>
        </w:trPr>
        <w:tc>
          <w:tcPr>
            <w:tcW w:w="8047" w:type="dxa"/>
            <w:vAlign w:val="center"/>
          </w:tcPr>
          <w:p w:rsidR="004E3F7B" w:rsidRPr="00C447C9" w:rsidRDefault="004E3F7B">
            <w:pPr>
              <w:rPr>
                <w:rFonts w:ascii="Palatino Linotype" w:eastAsia="Palatino Linotype" w:hAnsi="Palatino Linotype" w:cs="Palatino Linotype"/>
                <w:i/>
                <w:sz w:val="22"/>
                <w:szCs w:val="22"/>
              </w:rPr>
            </w:pPr>
          </w:p>
        </w:tc>
      </w:tr>
      <w:tr w:rsidR="004E3F7B" w:rsidRPr="00C447C9">
        <w:trPr>
          <w:trHeight w:val="152"/>
          <w:jc w:val="center"/>
        </w:trPr>
        <w:tc>
          <w:tcPr>
            <w:tcW w:w="8047" w:type="dxa"/>
            <w:vAlign w:val="center"/>
          </w:tcPr>
          <w:p w:rsidR="004E3F7B" w:rsidRPr="00C447C9" w:rsidRDefault="004E3F7B">
            <w:pPr>
              <w:jc w:val="center"/>
              <w:rPr>
                <w:rFonts w:ascii="Palatino Linotype" w:eastAsia="Palatino Linotype" w:hAnsi="Palatino Linotype" w:cs="Palatino Linotype"/>
                <w:i/>
                <w:sz w:val="22"/>
                <w:szCs w:val="22"/>
              </w:rPr>
            </w:pPr>
          </w:p>
        </w:tc>
      </w:tr>
      <w:tr w:rsidR="004E3F7B" w:rsidRPr="00C447C9">
        <w:trPr>
          <w:trHeight w:val="152"/>
          <w:jc w:val="center"/>
        </w:trPr>
        <w:tc>
          <w:tcPr>
            <w:tcW w:w="8047" w:type="dxa"/>
            <w:vAlign w:val="center"/>
          </w:tcPr>
          <w:p w:rsidR="004E3F7B" w:rsidRPr="00C447C9" w:rsidRDefault="004E3F7B">
            <w:pPr>
              <w:rPr>
                <w:rFonts w:ascii="Palatino Linotype" w:eastAsia="Palatino Linotype" w:hAnsi="Palatino Linotype" w:cs="Palatino Linotype"/>
                <w:i/>
                <w:sz w:val="22"/>
                <w:szCs w:val="22"/>
              </w:rPr>
            </w:pPr>
          </w:p>
        </w:tc>
      </w:tr>
      <w:tr w:rsidR="004E3F7B" w:rsidRPr="00C447C9">
        <w:trPr>
          <w:trHeight w:val="152"/>
          <w:jc w:val="center"/>
        </w:trPr>
        <w:tc>
          <w:tcPr>
            <w:tcW w:w="8047" w:type="dxa"/>
            <w:vAlign w:val="center"/>
          </w:tcPr>
          <w:p w:rsidR="004E3F7B" w:rsidRPr="00C447C9" w:rsidRDefault="00FA7349">
            <w:pPr>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ATENTAMENTE</w:t>
            </w:r>
          </w:p>
        </w:tc>
      </w:tr>
      <w:tr w:rsidR="004E3F7B" w:rsidRPr="00C447C9">
        <w:trPr>
          <w:trHeight w:val="229"/>
          <w:jc w:val="center"/>
        </w:trPr>
        <w:tc>
          <w:tcPr>
            <w:tcW w:w="8047" w:type="dxa"/>
            <w:vAlign w:val="center"/>
          </w:tcPr>
          <w:p w:rsidR="004E3F7B" w:rsidRPr="00C447C9" w:rsidRDefault="004E3F7B">
            <w:pPr>
              <w:rPr>
                <w:rFonts w:ascii="Palatino Linotype" w:eastAsia="Palatino Linotype" w:hAnsi="Palatino Linotype" w:cs="Palatino Linotype"/>
                <w:i/>
                <w:sz w:val="22"/>
                <w:szCs w:val="22"/>
              </w:rPr>
            </w:pPr>
          </w:p>
        </w:tc>
      </w:tr>
      <w:tr w:rsidR="004E3F7B" w:rsidRPr="00C447C9">
        <w:trPr>
          <w:trHeight w:val="152"/>
          <w:jc w:val="center"/>
        </w:trPr>
        <w:tc>
          <w:tcPr>
            <w:tcW w:w="8047" w:type="dxa"/>
            <w:vAlign w:val="center"/>
          </w:tcPr>
          <w:p w:rsidR="004E3F7B" w:rsidRPr="00C447C9" w:rsidRDefault="00FA7349">
            <w:pPr>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Lic. Derecho Claudia Jimenéz Maldonado”</w:t>
            </w:r>
          </w:p>
        </w:tc>
      </w:tr>
    </w:tbl>
    <w:p w:rsidR="004E3F7B" w:rsidRPr="00C447C9" w:rsidRDefault="004E3F7B">
      <w:pPr>
        <w:tabs>
          <w:tab w:val="left" w:pos="0"/>
        </w:tabs>
        <w:spacing w:line="360" w:lineRule="auto"/>
        <w:ind w:right="34"/>
        <w:jc w:val="both"/>
        <w:rPr>
          <w:rFonts w:ascii="Palatino Linotype" w:eastAsia="Palatino Linotype" w:hAnsi="Palatino Linotype" w:cs="Palatino Linotype"/>
          <w:sz w:val="22"/>
          <w:szCs w:val="22"/>
        </w:rPr>
      </w:pPr>
    </w:p>
    <w:p w:rsidR="004E3F7B" w:rsidRPr="00C447C9" w:rsidRDefault="00FA7349">
      <w:pPr>
        <w:numPr>
          <w:ilvl w:val="0"/>
          <w:numId w:val="5"/>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A cada respuesta adjuntaron los siguientes archivos:</w:t>
      </w:r>
    </w:p>
    <w:p w:rsidR="004E3F7B" w:rsidRPr="00C447C9" w:rsidRDefault="004E3F7B">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color w:val="000000"/>
          <w:sz w:val="22"/>
          <w:szCs w:val="22"/>
        </w:rPr>
      </w:pPr>
    </w:p>
    <w:tbl>
      <w:tblPr>
        <w:tblStyle w:val="a8"/>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14"/>
        <w:gridCol w:w="5714"/>
      </w:tblGrid>
      <w:tr w:rsidR="004E3F7B" w:rsidRPr="00C447C9" w:rsidTr="004E3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center"/>
              <w:rPr>
                <w:rFonts w:ascii="Palatino Linotype" w:eastAsia="Palatino Linotype" w:hAnsi="Palatino Linotype" w:cs="Palatino Linotype"/>
                <w:sz w:val="22"/>
                <w:szCs w:val="22"/>
              </w:rPr>
            </w:pPr>
            <w:r w:rsidRPr="00C447C9">
              <w:rPr>
                <w:rFonts w:ascii="Palatino Linotype" w:eastAsia="Palatino Linotype" w:hAnsi="Palatino Linotype" w:cs="Palatino Linotype"/>
                <w:color w:val="000000"/>
                <w:sz w:val="22"/>
                <w:szCs w:val="22"/>
              </w:rPr>
              <w:t>NÚMERO DE SOLICITUD Y DE RECURSO DE REVISIÓN.</w:t>
            </w:r>
          </w:p>
          <w:p w:rsidR="004E3F7B" w:rsidRPr="00C447C9" w:rsidRDefault="004E3F7B">
            <w:pPr>
              <w:jc w:val="center"/>
              <w:rPr>
                <w:rFonts w:ascii="Palatino Linotype" w:eastAsia="Palatino Linotype" w:hAnsi="Palatino Linotype" w:cs="Palatino Linotype"/>
                <w:sz w:val="22"/>
                <w:szCs w:val="22"/>
              </w:rPr>
            </w:pPr>
          </w:p>
        </w:tc>
        <w:tc>
          <w:tcPr>
            <w:tcW w:w="5714" w:type="dxa"/>
          </w:tcPr>
          <w:p w:rsidR="004E3F7B" w:rsidRPr="00C447C9" w:rsidRDefault="00FA7349">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color w:val="000000"/>
                <w:sz w:val="22"/>
                <w:szCs w:val="22"/>
              </w:rPr>
              <w:t>ARCHIVOS ADJUNTOS A LA RESPUESTA.</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b w:val="0"/>
                <w:sz w:val="22"/>
                <w:szCs w:val="22"/>
              </w:rPr>
            </w:pPr>
            <w:r w:rsidRPr="00C447C9">
              <w:rPr>
                <w:rFonts w:ascii="Palatino Linotype" w:eastAsia="Palatino Linotype" w:hAnsi="Palatino Linotype" w:cs="Palatino Linotype"/>
                <w:sz w:val="22"/>
                <w:szCs w:val="22"/>
              </w:rPr>
              <w:t>00375/TEMAMATL/IP/2024 06233/INFOEM/IP/RR/2024</w:t>
            </w:r>
          </w:p>
          <w:p w:rsidR="004E3F7B" w:rsidRPr="00C447C9" w:rsidRDefault="004E3F7B">
            <w:pPr>
              <w:jc w:val="both"/>
              <w:rPr>
                <w:rFonts w:ascii="Palatino Linotype" w:eastAsia="Palatino Linotype" w:hAnsi="Palatino Linotype" w:cs="Palatino Linotype"/>
                <w:sz w:val="22"/>
                <w:szCs w:val="22"/>
              </w:rPr>
            </w:pPr>
          </w:p>
        </w:tc>
        <w:tc>
          <w:tcPr>
            <w:tcW w:w="5714" w:type="dxa"/>
          </w:tcPr>
          <w:p w:rsidR="004E3F7B" w:rsidRPr="00C447C9" w:rsidRDefault="00FA7349">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375(1).pdf</w:t>
            </w:r>
            <w:r w:rsidRPr="00C447C9">
              <w:rPr>
                <w:rFonts w:ascii="Palatino Linotype" w:eastAsia="Palatino Linotype" w:hAnsi="Palatino Linotype" w:cs="Palatino Linotype"/>
                <w:b/>
              </w:rPr>
              <w:t>:</w:t>
            </w:r>
            <w:r w:rsidRPr="00C447C9">
              <w:rPr>
                <w:rFonts w:ascii="Palatino Linotype" w:eastAsia="Palatino Linotype" w:hAnsi="Palatino Linotype" w:cs="Palatino Linotype"/>
              </w:rPr>
              <w:t xml:space="preserve"> oficio número </w:t>
            </w:r>
            <w:r w:rsidRPr="00C447C9">
              <w:rPr>
                <w:rFonts w:ascii="Palatino Linotype" w:eastAsia="Palatino Linotype" w:hAnsi="Palatino Linotype" w:cs="Palatino Linotype"/>
                <w:sz w:val="22"/>
                <w:szCs w:val="22"/>
              </w:rPr>
              <w:t xml:space="preserve">SA/OI/1080/2024 </w:t>
            </w:r>
            <w:r w:rsidRPr="00C447C9">
              <w:rPr>
                <w:rFonts w:ascii="Palatino Linotype" w:eastAsia="Palatino Linotype" w:hAnsi="Palatino Linotype" w:cs="Palatino Linotype"/>
              </w:rPr>
              <w:t xml:space="preserve">de fecha nueve de octubre de dos mil veinticuatro, suscrito por el Secretario del Ayuntamiento, en el cual </w:t>
            </w:r>
            <w:r w:rsidRPr="00C447C9">
              <w:rPr>
                <w:rFonts w:ascii="Palatino Linotype" w:eastAsia="Palatino Linotype" w:hAnsi="Palatino Linotype" w:cs="Palatino Linotype"/>
                <w:sz w:val="22"/>
                <w:szCs w:val="22"/>
              </w:rPr>
              <w:t>solicita se declare la inexistencia de la información solicitada a efecto de que sea aprobada por el Comité de Transparencia,  informa que esta Secretaría del Ayuntamiento no ha recibido asuntos para ser turnados a comisiones y no obran en los archivos de esta Secretaría del Ayuntamiento información relacionada con el tema referido.</w:t>
            </w:r>
          </w:p>
        </w:tc>
      </w:tr>
      <w:tr w:rsidR="004E3F7B" w:rsidRPr="00C447C9" w:rsidTr="004E3F7B">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b w:val="0"/>
                <w:sz w:val="22"/>
                <w:szCs w:val="22"/>
              </w:rPr>
            </w:pPr>
            <w:r w:rsidRPr="00C447C9">
              <w:rPr>
                <w:rFonts w:ascii="Palatino Linotype" w:eastAsia="Palatino Linotype" w:hAnsi="Palatino Linotype" w:cs="Palatino Linotype"/>
                <w:sz w:val="22"/>
                <w:szCs w:val="22"/>
              </w:rPr>
              <w:lastRenderedPageBreak/>
              <w:t>00311/TEMAMATL/IP/2024</w:t>
            </w:r>
          </w:p>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06593/INFOEM/IP/RR/2024</w:t>
            </w:r>
          </w:p>
        </w:tc>
        <w:tc>
          <w:tcPr>
            <w:tcW w:w="5714" w:type="dxa"/>
          </w:tcPr>
          <w:p w:rsidR="004E3F7B" w:rsidRPr="00C447C9" w:rsidRDefault="00FA7349">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C447C9">
              <w:rPr>
                <w:rFonts w:ascii="Palatino Linotype" w:eastAsia="Palatino Linotype" w:hAnsi="Palatino Linotype" w:cs="Palatino Linotype"/>
                <w:sz w:val="22"/>
                <w:szCs w:val="22"/>
              </w:rPr>
              <w:t xml:space="preserve">SOL_00311(1).pdf </w:t>
            </w:r>
            <w:r w:rsidRPr="00C447C9">
              <w:rPr>
                <w:rFonts w:ascii="Palatino Linotype" w:eastAsia="Palatino Linotype" w:hAnsi="Palatino Linotype" w:cs="Palatino Linotype"/>
                <w:b/>
              </w:rPr>
              <w:t>:</w:t>
            </w:r>
            <w:r w:rsidRPr="00C447C9">
              <w:rPr>
                <w:rFonts w:ascii="Palatino Linotype" w:eastAsia="Palatino Linotype" w:hAnsi="Palatino Linotype" w:cs="Palatino Linotype"/>
              </w:rPr>
              <w:t xml:space="preserve"> oficio número MT/TESORERIAMUNICIPAL/OI/407/2024 de fecha veintisiete de septiembre de dos mil veinticuatro, suscrito por la Tesorera Municipal</w:t>
            </w:r>
            <w:r w:rsidRPr="00C447C9">
              <w:t xml:space="preserve">, en la cual refiere </w:t>
            </w:r>
            <w:r w:rsidRPr="00C447C9">
              <w:rPr>
                <w:rFonts w:ascii="Palatino Linotype" w:eastAsia="Palatino Linotype" w:hAnsi="Palatino Linotype" w:cs="Palatino Linotype"/>
              </w:rPr>
              <w:t>que en la liga https://temamatla-digital.com/conac2024.php de la página oficial se encuentra la información solicitada en los estados comparativos de egresos.</w:t>
            </w:r>
          </w:p>
          <w:p w:rsidR="004E3F7B" w:rsidRPr="00C447C9" w:rsidRDefault="00FA7349">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rPr>
              <w:t>ACTA (1).pdf: Acta correspondiente a la Octogésima Tercera Sesión Ordinaria del Comité de Transparencia en el que se aprobó el cambio de modalidad a consulta directa derivado a la carga de trabajo de las áreas, la falta de capacidad técnica, humana, material, y las más de 1164 solicitudes que llegaron a las distintas áreas.</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00317/TEMAMATL/IP/2024</w:t>
            </w:r>
          </w:p>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06598/INFOEM/IP/RR/2024</w:t>
            </w:r>
          </w:p>
        </w:tc>
        <w:tc>
          <w:tcPr>
            <w:tcW w:w="5714" w:type="dxa"/>
          </w:tcPr>
          <w:p w:rsidR="004E3F7B" w:rsidRPr="00C447C9" w:rsidRDefault="00FA7349">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C447C9">
              <w:rPr>
                <w:rFonts w:ascii="Palatino Linotype" w:eastAsia="Palatino Linotype" w:hAnsi="Palatino Linotype" w:cs="Palatino Linotype"/>
                <w:sz w:val="22"/>
                <w:szCs w:val="22"/>
              </w:rPr>
              <w:t>SOL_00317 (1).pdf</w:t>
            </w:r>
            <w:r w:rsidRPr="00C447C9">
              <w:rPr>
                <w:rFonts w:ascii="Palatino Linotype" w:eastAsia="Palatino Linotype" w:hAnsi="Palatino Linotype" w:cs="Palatino Linotype"/>
                <w:b/>
              </w:rPr>
              <w:t>:</w:t>
            </w:r>
            <w:r w:rsidRPr="00C447C9">
              <w:rPr>
                <w:rFonts w:ascii="Palatino Linotype" w:eastAsia="Palatino Linotype" w:hAnsi="Palatino Linotype" w:cs="Palatino Linotype"/>
              </w:rPr>
              <w:t xml:space="preserve"> oficio número MT/TESORERIAMUNICIPAL/OI/404/2024 de fecha veintisiete de septiembre de dos mil veinticuatro, suscrito por la Tesorera Municipal</w:t>
            </w:r>
            <w:r w:rsidRPr="00C447C9">
              <w:t xml:space="preserve">, en la cual refiere </w:t>
            </w:r>
            <w:r w:rsidRPr="00C447C9">
              <w:rPr>
                <w:rFonts w:ascii="Palatino Linotype" w:eastAsia="Palatino Linotype" w:hAnsi="Palatino Linotype" w:cs="Palatino Linotype"/>
              </w:rPr>
              <w:t>que en la liga https://temamatla-digital.com/conac2024.php de la página oficial se encuentra la información solicitada en los estados comparativos de egresos.</w:t>
            </w:r>
          </w:p>
          <w:p w:rsidR="004E3F7B" w:rsidRPr="00C447C9" w:rsidRDefault="00FA7349">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rPr>
              <w:t>ACTA (1).pdf: Acta correspondiente a la Octogésima Tercera Sesión Ordinaria del Comité de Transparencia en el que se aprobó el cambio de modalidad a consulta directa derivado a la carga de trabajo de las áreas, la falta de capacidad técnica, humana, material, y las más de 1164 solicitudes que llegaron a las distintas áreas.</w:t>
            </w:r>
          </w:p>
        </w:tc>
      </w:tr>
      <w:tr w:rsidR="004E3F7B" w:rsidRPr="00C447C9" w:rsidTr="004E3F7B">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00299/TEMAMATL/IP/2024 06613/INFOEM/IP/RR/2024</w:t>
            </w:r>
          </w:p>
        </w:tc>
        <w:tc>
          <w:tcPr>
            <w:tcW w:w="5714" w:type="dxa"/>
          </w:tcPr>
          <w:p w:rsidR="004E3F7B" w:rsidRPr="00C447C9" w:rsidRDefault="00FA7349">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C447C9">
              <w:rPr>
                <w:rFonts w:ascii="Palatino Linotype" w:eastAsia="Palatino Linotype" w:hAnsi="Palatino Linotype" w:cs="Palatino Linotype"/>
                <w:b/>
              </w:rPr>
              <w:t>SOL_00583.pdf:</w:t>
            </w:r>
            <w:r w:rsidRPr="00C447C9">
              <w:rPr>
                <w:rFonts w:ascii="Palatino Linotype" w:eastAsia="Palatino Linotype" w:hAnsi="Palatino Linotype" w:cs="Palatino Linotype"/>
              </w:rPr>
              <w:t xml:space="preserve"> oficio número MT/TESORERIAMUNICIPAL/OI/447/2024 de fecha tres de octubre de dos mil veinticuatro, suscrito por la Tesorera Municipal, en el que, de forma medular, solicita el cambio de modalidad a consulta directa </w:t>
            </w:r>
            <w:r w:rsidRPr="00C447C9">
              <w:rPr>
                <w:rFonts w:ascii="Palatino Linotype" w:eastAsia="Palatino Linotype" w:hAnsi="Palatino Linotype" w:cs="Palatino Linotype"/>
              </w:rPr>
              <w:lastRenderedPageBreak/>
              <w:t>porque derivado de la cantidad, volumen, los recursos materiales y humanos con que cuenta son limitados, así como el cambio de administración, la entrega recepción y mesas de transición.</w:t>
            </w:r>
          </w:p>
          <w:p w:rsidR="004E3F7B" w:rsidRPr="00C447C9" w:rsidRDefault="002F7DC0">
            <w:pPr>
              <w:pBdr>
                <w:top w:val="nil"/>
                <w:left w:val="nil"/>
                <w:bottom w:val="nil"/>
                <w:right w:val="nil"/>
                <w:between w:val="nil"/>
              </w:pBd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hyperlink r:id="rId8">
              <w:r w:rsidR="00FA7349" w:rsidRPr="00C447C9">
                <w:t xml:space="preserve"> </w:t>
              </w:r>
            </w:hyperlink>
            <w:hyperlink r:id="rId9">
              <w:r w:rsidR="00FA7349" w:rsidRPr="00C447C9">
                <w:rPr>
                  <w:rFonts w:ascii="Palatino Linotype" w:eastAsia="Palatino Linotype" w:hAnsi="Palatino Linotype" w:cs="Palatino Linotype"/>
                  <w:b/>
                  <w:sz w:val="22"/>
                  <w:szCs w:val="22"/>
                  <w:u w:val="single"/>
                </w:rPr>
                <w:t>ACTA (1).pdf</w:t>
              </w:r>
            </w:hyperlink>
            <w:r w:rsidR="00FA7349" w:rsidRPr="00C447C9">
              <w:rPr>
                <w:rFonts w:ascii="Palatino Linotype" w:eastAsia="Palatino Linotype" w:hAnsi="Palatino Linotype" w:cs="Palatino Linotype"/>
                <w:sz w:val="22"/>
                <w:szCs w:val="22"/>
              </w:rPr>
              <w:t>: Acta correspondiente a la Octogésima Primera Sesión Ordinaria del Comité de Transparencia en el que se aprobó el cambio de modalidad a consulta directa derivado a la carga de trabajo de las áreas, la falta de capacidad técnica, humana, material, y las más de 600  solicitudes que llegaron a las distintas áreas.</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lastRenderedPageBreak/>
              <w:t>00392/TEMAMATL/IP/2024</w:t>
            </w:r>
          </w:p>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06233/INFOEM/IP/RR/2024</w:t>
            </w:r>
          </w:p>
        </w:tc>
        <w:tc>
          <w:tcPr>
            <w:tcW w:w="5714" w:type="dxa"/>
          </w:tcPr>
          <w:p w:rsidR="004E3F7B" w:rsidRPr="00C447C9" w:rsidRDefault="00FA7349">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C447C9">
              <w:rPr>
                <w:rFonts w:ascii="Palatino Linotype" w:eastAsia="Palatino Linotype" w:hAnsi="Palatino Linotype" w:cs="Palatino Linotype"/>
                <w:sz w:val="22"/>
                <w:szCs w:val="22"/>
              </w:rPr>
              <w:t>Imagen escaneada.pdf</w:t>
            </w:r>
            <w:r w:rsidRPr="00C447C9">
              <w:rPr>
                <w:rFonts w:ascii="Palatino Linotype" w:eastAsia="Palatino Linotype" w:hAnsi="Palatino Linotype" w:cs="Palatino Linotype"/>
                <w:b/>
              </w:rPr>
              <w:t>:</w:t>
            </w:r>
            <w:r w:rsidRPr="00C447C9">
              <w:rPr>
                <w:rFonts w:ascii="Palatino Linotype" w:eastAsia="Palatino Linotype" w:hAnsi="Palatino Linotype" w:cs="Palatino Linotype"/>
              </w:rPr>
              <w:t xml:space="preserve"> Oficio número ADMON/365/OI/03/10/2024 de fecha tres de octubre  de dos mil veinticuatro, suscrito por el Director de Administración por medio del cual propone la consulta directa de conformidad con el artículo 158 y 164 de la ley de transparencia y acceso a la información pública del Estado de México y municipios, derivado de los procesos de entrega de recepción, las mesas de transición, la falta de personal en manera, así como la capacidad técnica, tecnológica y de conformidad con el artículo 12 de la ley de transparencia y el acceso a la información pública del estado de México y municipios solicita al comité de transparencia el cambio de modalidad así mismo el artículo 161 de la citada ley se propone consulta directa.</w:t>
            </w:r>
          </w:p>
          <w:p w:rsidR="004E3F7B" w:rsidRPr="00C447C9" w:rsidRDefault="00FA734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rPr>
              <w:t>ACTA (1).pdf: Acta correspondiente a la Octogésima Cuarta Sesión Ordinaria del Comité de Transparencia en el que se aprobó el cambio de modalidad a consulta directa derivado a la carga de trabajo de las áreas, la falta de capacidad técnica, humana, material, y las más de 1164 solicitudes que llegaron a las distintas áreas.</w:t>
            </w:r>
          </w:p>
        </w:tc>
      </w:tr>
    </w:tbl>
    <w:p w:rsidR="004E3F7B" w:rsidRPr="00C447C9" w:rsidRDefault="004E3F7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color w:val="000000"/>
          <w:sz w:val="22"/>
          <w:szCs w:val="22"/>
        </w:rPr>
        <w:lastRenderedPageBreak/>
        <w:t>En lo sucesivo, el diez (10)  y veintitrés (23)  de octubre de dos mil veinticuatro</w:t>
      </w:r>
      <w:r w:rsidRPr="00C447C9">
        <w:rPr>
          <w:rFonts w:ascii="Palatino Linotype" w:eastAsia="Palatino Linotype" w:hAnsi="Palatino Linotype" w:cs="Palatino Linotype"/>
          <w:b/>
          <w:color w:val="000000"/>
          <w:sz w:val="22"/>
          <w:szCs w:val="22"/>
        </w:rPr>
        <w:t>,</w:t>
      </w:r>
      <w:r w:rsidRPr="00C447C9">
        <w:rPr>
          <w:rFonts w:ascii="Palatino Linotype" w:eastAsia="Palatino Linotype" w:hAnsi="Palatino Linotype" w:cs="Palatino Linotype"/>
          <w:color w:val="000000"/>
          <w:sz w:val="22"/>
          <w:szCs w:val="22"/>
        </w:rPr>
        <w:t xml:space="preserve"> </w:t>
      </w:r>
      <w:r w:rsidRPr="00C447C9">
        <w:rPr>
          <w:rFonts w:ascii="Palatino Linotype" w:eastAsia="Palatino Linotype" w:hAnsi="Palatino Linotype" w:cs="Palatino Linotype"/>
          <w:b/>
          <w:color w:val="000000"/>
          <w:sz w:val="22"/>
          <w:szCs w:val="22"/>
        </w:rPr>
        <w:t xml:space="preserve"> </w:t>
      </w:r>
      <w:r w:rsidRPr="00C447C9">
        <w:rPr>
          <w:rFonts w:ascii="Palatino Linotype" w:eastAsia="Palatino Linotype" w:hAnsi="Palatino Linotype" w:cs="Palatino Linotype"/>
          <w:color w:val="000000"/>
          <w:sz w:val="22"/>
          <w:szCs w:val="22"/>
        </w:rPr>
        <w:t>el solicitante interpuso el recurso de revisión, en el que señaló lo siguiente:</w:t>
      </w:r>
    </w:p>
    <w:p w:rsidR="004E3F7B" w:rsidRPr="00C447C9" w:rsidRDefault="004E3F7B">
      <w:pPr>
        <w:tabs>
          <w:tab w:val="left" w:pos="0"/>
        </w:tabs>
        <w:spacing w:line="360" w:lineRule="auto"/>
        <w:jc w:val="both"/>
        <w:rPr>
          <w:rFonts w:ascii="Palatino Linotype" w:eastAsia="Palatino Linotype" w:hAnsi="Palatino Linotype" w:cs="Palatino Linotype"/>
          <w:b/>
          <w:sz w:val="22"/>
          <w:szCs w:val="22"/>
        </w:rPr>
      </w:pPr>
    </w:p>
    <w:tbl>
      <w:tblPr>
        <w:tblStyle w:val="a9"/>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14"/>
        <w:gridCol w:w="5714"/>
      </w:tblGrid>
      <w:tr w:rsidR="004E3F7B" w:rsidRPr="00C447C9" w:rsidTr="004E3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center"/>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NÚMERO DE SOLICITUD Y DE RECURSO DE REVISIÓN.</w:t>
            </w:r>
          </w:p>
          <w:p w:rsidR="004E3F7B" w:rsidRPr="00C447C9" w:rsidRDefault="004E3F7B">
            <w:pPr>
              <w:jc w:val="center"/>
              <w:rPr>
                <w:rFonts w:ascii="Palatino Linotype" w:eastAsia="Palatino Linotype" w:hAnsi="Palatino Linotype" w:cs="Palatino Linotype"/>
                <w:sz w:val="22"/>
                <w:szCs w:val="22"/>
              </w:rPr>
            </w:pPr>
          </w:p>
        </w:tc>
        <w:tc>
          <w:tcPr>
            <w:tcW w:w="5714" w:type="dxa"/>
          </w:tcPr>
          <w:p w:rsidR="004E3F7B" w:rsidRPr="00C447C9" w:rsidRDefault="00FA7349">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ACTO IMPUGNADO Y RAZONES Y MOTIVOS DE INCONFORMIDAD</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00375/TEMAMATL/IP/2024 06233/INFOEM/IP/RR/2024</w:t>
            </w:r>
          </w:p>
          <w:p w:rsidR="004E3F7B" w:rsidRPr="00C447C9" w:rsidRDefault="004E3F7B">
            <w:pPr>
              <w:jc w:val="both"/>
              <w:rPr>
                <w:rFonts w:ascii="Palatino Linotype" w:eastAsia="Palatino Linotype" w:hAnsi="Palatino Linotype" w:cs="Palatino Linotype"/>
                <w:sz w:val="22"/>
                <w:szCs w:val="22"/>
              </w:rPr>
            </w:pPr>
          </w:p>
        </w:tc>
        <w:tc>
          <w:tcPr>
            <w:tcW w:w="5714" w:type="dxa"/>
          </w:tcPr>
          <w:p w:rsidR="004E3F7B" w:rsidRPr="00C447C9" w:rsidRDefault="00FA7349">
            <w:pPr>
              <w:numPr>
                <w:ilvl w:val="0"/>
                <w:numId w:val="8"/>
              </w:numPr>
              <w:pBdr>
                <w:top w:val="nil"/>
                <w:left w:val="nil"/>
                <w:bottom w:val="nil"/>
                <w:right w:val="nil"/>
                <w:between w:val="nil"/>
              </w:pBdr>
              <w:ind w:left="37" w:firstLine="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RESPUESTA A SOLICITUD</w:t>
            </w:r>
          </w:p>
          <w:p w:rsidR="004E3F7B" w:rsidRPr="00C447C9" w:rsidRDefault="00FA7349">
            <w:pPr>
              <w:pBdr>
                <w:top w:val="nil"/>
                <w:left w:val="nil"/>
                <w:bottom w:val="nil"/>
                <w:right w:val="nil"/>
                <w:between w:val="nil"/>
              </w:pBd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i/>
                <w:sz w:val="22"/>
                <w:szCs w:val="22"/>
              </w:rPr>
              <w:t xml:space="preserve">” (Sic) </w:t>
            </w:r>
          </w:p>
          <w:p w:rsidR="004E3F7B" w:rsidRPr="00C447C9" w:rsidRDefault="00FA7349">
            <w:pPr>
              <w:numPr>
                <w:ilvl w:val="0"/>
                <w:numId w:val="8"/>
              </w:numPr>
              <w:pBdr>
                <w:top w:val="nil"/>
                <w:left w:val="nil"/>
                <w:bottom w:val="nil"/>
                <w:right w:val="nil"/>
                <w:between w:val="nil"/>
              </w:pBdr>
              <w:ind w:left="0"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 xml:space="preserve">Razones o Motivos de inconformidad: </w:t>
            </w:r>
            <w:r w:rsidRPr="00C447C9">
              <w:rPr>
                <w:rFonts w:ascii="Palatino Linotype" w:eastAsia="Palatino Linotype" w:hAnsi="Palatino Linotype" w:cs="Palatino Linotype"/>
                <w:sz w:val="22"/>
                <w:szCs w:val="22"/>
              </w:rPr>
              <w:t>“EL SUJETO OBLIGADO REMITE UN OFICIO DONDE SE SOLICITA LA INEXISTENCIA DE LA INFORMACION A SU COMITE DE TRASPARENCIA DEL CUAL NO SE ANEXA EL ACTA, ASI MISMO SE MANIFIESTA LA INEXISTENCIA DE INFORMACION, SIENDO UNA DE LAS RESPONSABILIDADES DE LA SECRETARIA DE AYUNTAMIENTO ESTABLECIDAS EN EL ARTICULO 91 FRACCION III DE LA LEY ORGANICA MUNICIPAL DEL ESTADO DE MEXICO</w:t>
            </w:r>
            <w:r w:rsidRPr="00C447C9">
              <w:rPr>
                <w:rFonts w:ascii="Palatino Linotype" w:eastAsia="Palatino Linotype" w:hAnsi="Palatino Linotype" w:cs="Palatino Linotype"/>
                <w:i/>
                <w:sz w:val="22"/>
                <w:szCs w:val="22"/>
              </w:rPr>
              <w:t>” (sic)</w:t>
            </w:r>
          </w:p>
        </w:tc>
      </w:tr>
      <w:tr w:rsidR="004E3F7B" w:rsidRPr="00C447C9" w:rsidTr="004E3F7B">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00311/TEMAMATL/IP/2024</w:t>
            </w:r>
          </w:p>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06593/INFOEM/IP/RR/2024</w:t>
            </w:r>
          </w:p>
        </w:tc>
        <w:tc>
          <w:tcPr>
            <w:tcW w:w="5714" w:type="dxa"/>
          </w:tcPr>
          <w:p w:rsidR="004E3F7B" w:rsidRPr="00C447C9" w:rsidRDefault="00FA7349">
            <w:pPr>
              <w:numPr>
                <w:ilvl w:val="0"/>
                <w:numId w:val="8"/>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 xml:space="preserve">RESPUESTA A SOLICITUD” (Sic) </w:t>
            </w:r>
          </w:p>
          <w:p w:rsidR="004E3F7B" w:rsidRPr="00C447C9" w:rsidRDefault="00FA7349">
            <w:pPr>
              <w:numPr>
                <w:ilvl w:val="0"/>
                <w:numId w:val="8"/>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Razones o Motivos de inconformidad: “</w:t>
            </w:r>
            <w:r w:rsidRPr="00C447C9">
              <w:rPr>
                <w:rFonts w:ascii="Palatino Linotype" w:eastAsia="Palatino Linotype" w:hAnsi="Palatino Linotype" w:cs="Palatino Linotype"/>
                <w:i/>
                <w:sz w:val="22"/>
                <w:szCs w:val="22"/>
              </w:rPr>
              <w:t>EL SUJETO OBLIGADO REFIERE EN SU RESPUESTA UNA LIGA PARA LA CONSULTA DE LA INFORMACION SIN EMBARGO EN SU PLATAFORMA NO SE ENCUENTRA LA INFORMACION DE MANERA ESPECIFICA DE ACUERDO A MI SOLICITUD LA INFORMACION ES GLOBAL Y GENERALIZADA, NI TAMPOCO SE ENCUENTRAN LAS POLIZAS DE LA INFORMACION SOLICITADA” (sic)</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00317/TEMAMATL/IP/2024 06598/INFOEM/IP/RR/2024</w:t>
            </w:r>
          </w:p>
          <w:p w:rsidR="004E3F7B" w:rsidRPr="00C447C9" w:rsidRDefault="004E3F7B">
            <w:pPr>
              <w:jc w:val="both"/>
              <w:rPr>
                <w:rFonts w:ascii="Palatino Linotype" w:eastAsia="Palatino Linotype" w:hAnsi="Palatino Linotype" w:cs="Palatino Linotype"/>
                <w:sz w:val="22"/>
                <w:szCs w:val="22"/>
              </w:rPr>
            </w:pPr>
          </w:p>
        </w:tc>
        <w:tc>
          <w:tcPr>
            <w:tcW w:w="5714" w:type="dxa"/>
          </w:tcPr>
          <w:p w:rsidR="004E3F7B" w:rsidRPr="00C447C9" w:rsidRDefault="00FA7349">
            <w:pPr>
              <w:numPr>
                <w:ilvl w:val="0"/>
                <w:numId w:val="9"/>
              </w:numPr>
              <w:pBdr>
                <w:top w:val="nil"/>
                <w:left w:val="nil"/>
                <w:bottom w:val="nil"/>
                <w:right w:val="nil"/>
                <w:between w:val="nil"/>
              </w:pBd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 xml:space="preserve">RESPUESTA OTORGADA” (Sic) </w:t>
            </w:r>
          </w:p>
          <w:p w:rsidR="004E3F7B" w:rsidRPr="00C447C9" w:rsidRDefault="00FA7349">
            <w:pPr>
              <w:numPr>
                <w:ilvl w:val="0"/>
                <w:numId w:val="9"/>
              </w:numPr>
              <w:pBdr>
                <w:top w:val="nil"/>
                <w:left w:val="nil"/>
                <w:bottom w:val="nil"/>
                <w:right w:val="nil"/>
                <w:between w:val="nil"/>
              </w:pBd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Razones o Motivos de inconformidad: “e</w:t>
            </w:r>
            <w:r w:rsidRPr="00C447C9">
              <w:rPr>
                <w:rFonts w:ascii="Palatino Linotype" w:eastAsia="Palatino Linotype" w:hAnsi="Palatino Linotype" w:cs="Palatino Linotype"/>
                <w:i/>
                <w:sz w:val="22"/>
                <w:szCs w:val="22"/>
              </w:rPr>
              <w:t xml:space="preserve">L SUJETO OBLIGADO REFIERE EN SU RESPUESTA UNA LIGA PARA LA CONSULTA DE LA INFORMACION SIN EMBARGO EN SU PLATAFORMA </w:t>
            </w:r>
            <w:r w:rsidRPr="00C447C9">
              <w:rPr>
                <w:rFonts w:ascii="Palatino Linotype" w:eastAsia="Palatino Linotype" w:hAnsi="Palatino Linotype" w:cs="Palatino Linotype"/>
                <w:i/>
                <w:sz w:val="22"/>
                <w:szCs w:val="22"/>
              </w:rPr>
              <w:lastRenderedPageBreak/>
              <w:t>NO SE ENCUENTRA LA INFORMACION DE MANERA ESPECIFICA DEACUERDO A MI SOLICITUD LA INFORMACION ES GLOBAL Y GENERALIZADA, NI TAMPOCO SE ENCUENTRAN LAS POLIZAS DE LA INFORMACION SOLICITADA” (sic)</w:t>
            </w:r>
          </w:p>
        </w:tc>
      </w:tr>
      <w:tr w:rsidR="004E3F7B" w:rsidRPr="00C447C9" w:rsidTr="004E3F7B">
        <w:trPr>
          <w:trHeight w:val="7123"/>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lastRenderedPageBreak/>
              <w:t>0299/TEMAMATL/IP/2024 06613/INFOEM/IP/RR/2024</w:t>
            </w:r>
          </w:p>
        </w:tc>
        <w:tc>
          <w:tcPr>
            <w:tcW w:w="5714" w:type="dxa"/>
          </w:tcPr>
          <w:p w:rsidR="004E3F7B" w:rsidRPr="00C447C9" w:rsidRDefault="00FA7349">
            <w:pPr>
              <w:numPr>
                <w:ilvl w:val="0"/>
                <w:numId w:val="10"/>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 xml:space="preserve">RESPUESTA OTORGADA” (Sic) </w:t>
            </w:r>
          </w:p>
          <w:p w:rsidR="004E3F7B" w:rsidRPr="00C447C9" w:rsidRDefault="00FA7349">
            <w:pPr>
              <w:numPr>
                <w:ilvl w:val="0"/>
                <w:numId w:val="10"/>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Razones o Motivos de inconformidad: “</w:t>
            </w:r>
            <w:r w:rsidRPr="00C447C9">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299, 301, 316,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00392/TEMAMATL/IP/2024</w:t>
            </w:r>
          </w:p>
          <w:p w:rsidR="004E3F7B" w:rsidRPr="00C447C9" w:rsidRDefault="00FA7349">
            <w:pPr>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06623/INFOEM/IP/RR/2024</w:t>
            </w:r>
          </w:p>
        </w:tc>
        <w:tc>
          <w:tcPr>
            <w:tcW w:w="5714" w:type="dxa"/>
          </w:tcPr>
          <w:p w:rsidR="004E3F7B" w:rsidRPr="00C447C9" w:rsidRDefault="00FA7349">
            <w:pPr>
              <w:numPr>
                <w:ilvl w:val="0"/>
                <w:numId w:val="9"/>
              </w:numPr>
              <w:pBdr>
                <w:top w:val="nil"/>
                <w:left w:val="nil"/>
                <w:bottom w:val="nil"/>
                <w:right w:val="nil"/>
                <w:between w:val="nil"/>
              </w:pBd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 xml:space="preserve">RESPUESTA OTORGADA” (Sic) </w:t>
            </w:r>
          </w:p>
          <w:p w:rsidR="004E3F7B" w:rsidRPr="00C447C9" w:rsidRDefault="00FA7349">
            <w:pPr>
              <w:numPr>
                <w:ilvl w:val="0"/>
                <w:numId w:val="6"/>
              </w:numP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sz w:val="22"/>
                <w:szCs w:val="22"/>
              </w:rPr>
              <w:t>Razones o Motivos de inconformidad: “Acto impugnado:</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sz w:val="22"/>
                <w:szCs w:val="22"/>
              </w:rPr>
              <w:t>“</w:t>
            </w:r>
            <w:r w:rsidRPr="00C447C9">
              <w:rPr>
                <w:rFonts w:ascii="Palatino Linotype" w:eastAsia="Palatino Linotype" w:hAnsi="Palatino Linotype" w:cs="Palatino Linotype"/>
                <w:i/>
                <w:sz w:val="22"/>
                <w:szCs w:val="22"/>
              </w:rPr>
              <w:t xml:space="preserve">RESPUESTA OTORGADA” (Sic) </w:t>
            </w:r>
          </w:p>
          <w:p w:rsidR="004E3F7B" w:rsidRPr="00C447C9" w:rsidRDefault="00FA7349">
            <w:pPr>
              <w:pBdr>
                <w:top w:val="nil"/>
                <w:left w:val="nil"/>
                <w:bottom w:val="nil"/>
                <w:right w:val="nil"/>
                <w:between w:val="nil"/>
              </w:pBd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Razones o Motivos de inconformidad: “</w:t>
            </w:r>
            <w:r w:rsidRPr="00C447C9">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352, 261, 371, </w:t>
            </w:r>
            <w:r w:rsidRPr="00C447C9">
              <w:rPr>
                <w:rFonts w:ascii="Palatino Linotype" w:eastAsia="Palatino Linotype" w:hAnsi="Palatino Linotype" w:cs="Palatino Linotype"/>
                <w:i/>
                <w:sz w:val="22"/>
                <w:szCs w:val="22"/>
              </w:rPr>
              <w:lastRenderedPageBreak/>
              <w:t>370, 372, 392,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bl>
    <w:p w:rsidR="004E3F7B" w:rsidRPr="00C447C9" w:rsidRDefault="004E3F7B">
      <w:pPr>
        <w:tabs>
          <w:tab w:val="left" w:pos="851"/>
        </w:tabs>
        <w:spacing w:line="360" w:lineRule="auto"/>
        <w:ind w:right="567"/>
        <w:jc w:val="both"/>
        <w:rPr>
          <w:rFonts w:ascii="Palatino Linotype" w:eastAsia="Palatino Linotype" w:hAnsi="Palatino Linotype" w:cs="Palatino Linotype"/>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sz w:val="22"/>
          <w:szCs w:val="22"/>
        </w:rPr>
        <w:t>Se registraron  los  recursos de revisión bajo los números de expediente al rubro indicado, asimismo con fundamento en lo dispuesto por el artículo 185 fracción I de la Ley de Transparencia y Acceso a la Información Pública del Estado de México y Municipios se turnaron a la Comisionada con el objeto de su análisis.</w:t>
      </w:r>
    </w:p>
    <w:p w:rsidR="004E3F7B" w:rsidRPr="00C447C9" w:rsidRDefault="004E3F7B">
      <w:pPr>
        <w:spacing w:line="360" w:lineRule="auto"/>
        <w:jc w:val="both"/>
        <w:rPr>
          <w:rFonts w:ascii="Palatino Linotype" w:eastAsia="Palatino Linotype" w:hAnsi="Palatino Linotype" w:cs="Palatino Linotype"/>
          <w:i/>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  los acuerdos de admisión del diecisiete, veinticuatro, veintiocho, veintinueve,  treinta y uno  de octubre de dos mil veinticuatro, pusieron  a disposición de las partes el expediente electrónico vía Sistema de Acceso a la Información Mexiquense </w:t>
      </w:r>
      <w:r w:rsidRPr="00C447C9">
        <w:rPr>
          <w:rFonts w:ascii="Palatino Linotype" w:eastAsia="Palatino Linotype" w:hAnsi="Palatino Linotype" w:cs="Palatino Linotype"/>
          <w:b/>
          <w:sz w:val="22"/>
          <w:szCs w:val="22"/>
        </w:rPr>
        <w:t xml:space="preserve">(SAIMEX) </w:t>
      </w:r>
      <w:r w:rsidRPr="00C447C9">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xml:space="preserve"> presentara el Informe Justificado procedente.</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sz w:val="22"/>
          <w:szCs w:val="22"/>
        </w:rPr>
        <w:lastRenderedPageBreak/>
        <w:t xml:space="preserve">Posteriormente la Ponencia resolutora, al advertir la identidad de las partes y la conexidad de la causa, acordó la acumulación de los recursos de revisión </w:t>
      </w:r>
      <w:r w:rsidRPr="00C447C9">
        <w:rPr>
          <w:rFonts w:ascii="Palatino Linotype" w:eastAsia="Palatino Linotype" w:hAnsi="Palatino Linotype" w:cs="Palatino Linotype"/>
          <w:b/>
          <w:sz w:val="22"/>
          <w:szCs w:val="22"/>
        </w:rPr>
        <w:t xml:space="preserve">06233/INFOEM/IP/RR/2024, </w:t>
      </w:r>
      <w:r w:rsidRPr="00C447C9">
        <w:rPr>
          <w:rFonts w:ascii="Palatino Linotype" w:eastAsia="Palatino Linotype" w:hAnsi="Palatino Linotype" w:cs="Palatino Linotype"/>
          <w:b/>
          <w:color w:val="000000"/>
          <w:sz w:val="22"/>
          <w:szCs w:val="22"/>
        </w:rPr>
        <w:t xml:space="preserve">06593/INFOEM/IP/RR/2024, 06598/INFOEM/IP/RR/2024, 06613/INFOEM/IP/RR/2024 y  06623/INFOEM/IP/RR/2024 </w:t>
      </w:r>
      <w:r w:rsidRPr="00C447C9">
        <w:rPr>
          <w:rFonts w:ascii="Palatino Linotype" w:eastAsia="Palatino Linotype" w:hAnsi="Palatino Linotype" w:cs="Palatino Linotype"/>
          <w:sz w:val="22"/>
          <w:szCs w:val="22"/>
        </w:rPr>
        <w:t xml:space="preserve">con la finalidad de evitar que se dictasen resoluciones contradictorias, de conformidad con lo establecido en el artículo 195 de la Ley en la Materia y el artículo 18 del Código de Procedimientos Administrativos del Estado de México, aplicable de manera supletoria, acumulación que fue notificada al Recurrente el </w:t>
      </w:r>
      <w:r w:rsidRPr="00C447C9">
        <w:rPr>
          <w:rFonts w:ascii="Palatino Linotype" w:eastAsia="Palatino Linotype" w:hAnsi="Palatino Linotype" w:cs="Palatino Linotype"/>
          <w:color w:val="000000"/>
          <w:sz w:val="22"/>
          <w:szCs w:val="22"/>
        </w:rPr>
        <w:t>once (11) de diciembre de dos mil veinticuatro</w:t>
      </w:r>
      <w:r w:rsidRPr="00C447C9">
        <w:rPr>
          <w:rFonts w:ascii="Palatino Linotype" w:eastAsia="Palatino Linotype" w:hAnsi="Palatino Linotype" w:cs="Palatino Linotype"/>
          <w:sz w:val="22"/>
          <w:szCs w:val="22"/>
        </w:rPr>
        <w:t>.</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color w:val="000000"/>
          <w:sz w:val="22"/>
          <w:szCs w:val="22"/>
        </w:rPr>
        <w:t xml:space="preserve">De las constancias que obran en el expediente electrónico SAIMEX, se advierte que el particular no realizó manifestaciones, ni ofreció pruebas o alegatos que a su derecho conviniera; por su parte, el Sujeto Obligado remitió informe justificado solamente en el recurso </w:t>
      </w:r>
      <w:r w:rsidRPr="00C447C9">
        <w:rPr>
          <w:rFonts w:ascii="Palatino Linotype" w:eastAsia="Palatino Linotype" w:hAnsi="Palatino Linotype" w:cs="Palatino Linotype"/>
          <w:b/>
          <w:color w:val="000000"/>
          <w:sz w:val="22"/>
          <w:szCs w:val="22"/>
        </w:rPr>
        <w:t>06233/INFOEM/IP/RR/2024.</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El veintinueve (29) de noviembre de dos mil veinticuatro, se realizó un requerimiento de información adicional al Sujeto Obligado, a través de correo electrónico institucional, en el siguiente sentido:</w:t>
      </w:r>
    </w:p>
    <w:p w:rsidR="004E3F7B" w:rsidRPr="00C447C9" w:rsidRDefault="004E3F7B">
      <w:pPr>
        <w:rPr>
          <w:rFonts w:ascii="Palatino Linotype" w:eastAsia="Palatino Linotype" w:hAnsi="Palatino Linotype" w:cs="Palatino Linotype"/>
          <w:b/>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“Por tanto, con fundamento en el artículo 14, fracciones I,II,V y XVI, del Reglamento Interior del Instituto de Transparencia, Acceso a la Información Pública y Protección de Datos Personales del Estado de México y Municipios, publicado en la Gaceta de Gobierno el 17 de noviembre de 2020, con el objeto de contar con los elementos necesarios para la elaboración del proyecto de resolución correspondiente, se requiere informe lo siguiente.</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El cúmulo de información que representan los documentos, manifestando el  número de fojas; y</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El peso en Megabytes o Gigabytes;</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Mayores elementos que brinden certeza sobre la imposibilidad técnica administrativa o humana de manera excepcional con los respectivos medios de convicción;</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Realice el reporte de incidencias ante la Dirección de Informática, en el área de soporte técnico de este Instituto.</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FA7349">
      <w:pPr>
        <w:pBdr>
          <w:top w:val="nil"/>
          <w:left w:val="nil"/>
          <w:bottom w:val="nil"/>
          <w:right w:val="nil"/>
          <w:between w:val="nil"/>
        </w:pBdr>
        <w:ind w:left="720"/>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Acuerdo del Comité de Transparencia mediante el cual se apruebe ofrecer otros tipos de modalidad de consulta de información para el RECURRENTE.”</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i/>
          <w:sz w:val="22"/>
          <w:szCs w:val="22"/>
        </w:rPr>
      </w:pPr>
    </w:p>
    <w:p w:rsidR="004E3F7B" w:rsidRPr="00C447C9" w:rsidRDefault="004E3F7B">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EL Sujeto Obligado no dio respuesta al requerimiento.</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 El once  (11) de diciembre de dos mil veinticuatro, se notificó el acuerdo a través del cual se amplió el plazo para emitir resolución.</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b/>
          <w:sz w:val="22"/>
          <w:szCs w:val="22"/>
        </w:rPr>
      </w:pPr>
      <w:r w:rsidRPr="00C447C9">
        <w:rPr>
          <w:rFonts w:ascii="Palatino Linotype" w:eastAsia="Palatino Linotype" w:hAnsi="Palatino Linotype" w:cs="Palatino Linotype"/>
          <w:sz w:val="22"/>
          <w:szCs w:val="22"/>
        </w:rPr>
        <w:t>La Comisionada Ponente decretó el cierre de instrucción mediante acuerdos del doce (12)  y  diecisiete (17) de diciembre de dos mil veinticuatro, por lo que, ordenó turnar el expediente a resolución, misma que a continuación se pronuncia.</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4E3F7B" w:rsidRPr="00C447C9" w:rsidRDefault="004E3F7B">
      <w:pPr>
        <w:spacing w:line="360" w:lineRule="auto"/>
        <w:jc w:val="both"/>
        <w:rPr>
          <w:rFonts w:ascii="Palatino Linotype" w:eastAsia="Palatino Linotype" w:hAnsi="Palatino Linotype" w:cs="Palatino Linotype"/>
          <w:b/>
          <w:sz w:val="22"/>
          <w:szCs w:val="22"/>
        </w:rPr>
      </w:pPr>
    </w:p>
    <w:p w:rsidR="004E3F7B" w:rsidRPr="00C447C9" w:rsidRDefault="00FA7349">
      <w:pPr>
        <w:keepNext/>
        <w:keepLines/>
        <w:spacing w:line="360" w:lineRule="auto"/>
        <w:jc w:val="center"/>
        <w:rPr>
          <w:rFonts w:ascii="Palatino Linotype" w:eastAsia="Palatino Linotype" w:hAnsi="Palatino Linotype" w:cs="Palatino Linotype"/>
          <w:b/>
          <w:sz w:val="22"/>
          <w:szCs w:val="22"/>
        </w:rPr>
      </w:pPr>
      <w:bookmarkStart w:id="4" w:name="_heading=h.1fob9te" w:colFirst="0" w:colLast="0"/>
      <w:bookmarkEnd w:id="4"/>
      <w:r w:rsidRPr="00C447C9">
        <w:rPr>
          <w:rFonts w:ascii="Palatino Linotype" w:eastAsia="Palatino Linotype" w:hAnsi="Palatino Linotype" w:cs="Palatino Linotype"/>
          <w:b/>
          <w:sz w:val="22"/>
          <w:szCs w:val="22"/>
        </w:rPr>
        <w:t>CONSIDERANDO</w:t>
      </w:r>
    </w:p>
    <w:p w:rsidR="004E3F7B" w:rsidRPr="00C447C9" w:rsidRDefault="004E3F7B">
      <w:pPr>
        <w:keepNext/>
        <w:keepLines/>
        <w:spacing w:line="360" w:lineRule="auto"/>
        <w:jc w:val="center"/>
        <w:rPr>
          <w:rFonts w:ascii="Palatino Linotype" w:eastAsia="Palatino Linotype" w:hAnsi="Palatino Linotype" w:cs="Palatino Linotype"/>
          <w:b/>
          <w:sz w:val="22"/>
          <w:szCs w:val="22"/>
        </w:rPr>
      </w:pPr>
    </w:p>
    <w:p w:rsidR="004E3F7B" w:rsidRPr="00C447C9" w:rsidRDefault="00FA7349">
      <w:pPr>
        <w:keepNext/>
        <w:keepLines/>
        <w:spacing w:line="360" w:lineRule="auto"/>
        <w:rPr>
          <w:rFonts w:ascii="Palatino Linotype" w:eastAsia="Palatino Linotype" w:hAnsi="Palatino Linotype" w:cs="Palatino Linotype"/>
          <w:b/>
          <w:sz w:val="22"/>
          <w:szCs w:val="22"/>
        </w:rPr>
      </w:pPr>
      <w:bookmarkStart w:id="5" w:name="_heading=h.3znysh7" w:colFirst="0" w:colLast="0"/>
      <w:bookmarkEnd w:id="5"/>
      <w:r w:rsidRPr="00C447C9">
        <w:rPr>
          <w:rFonts w:ascii="Palatino Linotype" w:eastAsia="Palatino Linotype" w:hAnsi="Palatino Linotype" w:cs="Palatino Linotype"/>
          <w:b/>
          <w:sz w:val="22"/>
          <w:szCs w:val="22"/>
        </w:rPr>
        <w:t>PRIMERO. De la competencia.</w:t>
      </w:r>
    </w:p>
    <w:p w:rsidR="004E3F7B" w:rsidRPr="00C447C9" w:rsidRDefault="004E3F7B">
      <w:pPr>
        <w:spacing w:line="360" w:lineRule="auto"/>
        <w:jc w:val="both"/>
        <w:rPr>
          <w:rFonts w:ascii="Palatino Linotype" w:eastAsia="Palatino Linotype" w:hAnsi="Palatino Linotype" w:cs="Palatino Linotype"/>
          <w:b/>
          <w:sz w:val="22"/>
          <w:szCs w:val="22"/>
        </w:rPr>
      </w:pPr>
    </w:p>
    <w:p w:rsidR="004E3F7B" w:rsidRPr="00C447C9" w:rsidRDefault="00FA7349">
      <w:pPr>
        <w:numPr>
          <w:ilvl w:val="0"/>
          <w:numId w:val="2"/>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447C9">
        <w:rPr>
          <w:rFonts w:ascii="Palatino Linotype" w:eastAsia="Palatino Linotype" w:hAnsi="Palatino Linotype" w:cs="Palatino Linotype"/>
          <w:b/>
          <w:color w:val="000000"/>
          <w:sz w:val="22"/>
          <w:szCs w:val="22"/>
        </w:rPr>
        <w:t>Constitución Política de los Estados Unidos Mexicanos</w:t>
      </w:r>
      <w:r w:rsidRPr="00C447C9">
        <w:rPr>
          <w:rFonts w:ascii="Palatino Linotype" w:eastAsia="Palatino Linotype" w:hAnsi="Palatino Linotype" w:cs="Palatino Linotype"/>
          <w:color w:val="000000"/>
          <w:sz w:val="22"/>
          <w:szCs w:val="22"/>
        </w:rPr>
        <w:t xml:space="preserve">; 5, párrafos trigésimo segundo y trigésimo tercero, </w:t>
      </w:r>
      <w:r w:rsidRPr="00C447C9">
        <w:rPr>
          <w:rFonts w:ascii="Palatino Linotype" w:eastAsia="Palatino Linotype" w:hAnsi="Palatino Linotype" w:cs="Palatino Linotype"/>
          <w:color w:val="000000"/>
          <w:sz w:val="22"/>
          <w:szCs w:val="22"/>
        </w:rPr>
        <w:lastRenderedPageBreak/>
        <w:t xml:space="preserve">fracciones IV y V, de la </w:t>
      </w:r>
      <w:r w:rsidRPr="00C447C9">
        <w:rPr>
          <w:rFonts w:ascii="Palatino Linotype" w:eastAsia="Palatino Linotype" w:hAnsi="Palatino Linotype" w:cs="Palatino Linotype"/>
          <w:b/>
          <w:color w:val="000000"/>
          <w:sz w:val="22"/>
          <w:szCs w:val="22"/>
        </w:rPr>
        <w:t>Constitución Política del Estado Libre y Soberano de México</w:t>
      </w:r>
      <w:r w:rsidRPr="00C447C9">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C447C9">
        <w:rPr>
          <w:rFonts w:ascii="Palatino Linotype" w:eastAsia="Palatino Linotype" w:hAnsi="Palatino Linotype" w:cs="Palatino Linotype"/>
          <w:b/>
          <w:color w:val="000000"/>
          <w:sz w:val="22"/>
          <w:szCs w:val="22"/>
        </w:rPr>
        <w:t>Ley de Transparencia y Acceso a la Información Pública del Estado de México y Municipios</w:t>
      </w:r>
      <w:r w:rsidRPr="00C447C9">
        <w:rPr>
          <w:rFonts w:ascii="Palatino Linotype" w:eastAsia="Palatino Linotype" w:hAnsi="Palatino Linotype" w:cs="Palatino Linotype"/>
          <w:color w:val="000000"/>
          <w:sz w:val="22"/>
          <w:szCs w:val="22"/>
        </w:rPr>
        <w:t xml:space="preserve">; y 7, 9 fracciones I y XXIII, y 11 del </w:t>
      </w:r>
      <w:r w:rsidRPr="00C447C9">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rsidR="004E3F7B" w:rsidRPr="00C447C9" w:rsidRDefault="00FA7349">
      <w:pPr>
        <w:keepNext/>
        <w:keepLines/>
        <w:spacing w:line="360" w:lineRule="auto"/>
        <w:rPr>
          <w:rFonts w:ascii="Palatino Linotype" w:eastAsia="Palatino Linotype" w:hAnsi="Palatino Linotype" w:cs="Palatino Linotype"/>
          <w:b/>
          <w:sz w:val="22"/>
          <w:szCs w:val="22"/>
        </w:rPr>
      </w:pPr>
      <w:bookmarkStart w:id="6" w:name="_heading=h.2et92p0" w:colFirst="0" w:colLast="0"/>
      <w:bookmarkEnd w:id="6"/>
      <w:r w:rsidRPr="00C447C9">
        <w:rPr>
          <w:rFonts w:ascii="Palatino Linotype" w:eastAsia="Palatino Linotype" w:hAnsi="Palatino Linotype" w:cs="Palatino Linotype"/>
          <w:b/>
          <w:sz w:val="22"/>
          <w:szCs w:val="22"/>
        </w:rPr>
        <w:t>SEGUNDO. De la oportunidad y procedencia.</w:t>
      </w:r>
    </w:p>
    <w:p w:rsidR="004E3F7B" w:rsidRPr="00C447C9" w:rsidRDefault="004E3F7B">
      <w:pPr>
        <w:keepNext/>
        <w:keepLines/>
        <w:spacing w:line="360" w:lineRule="auto"/>
        <w:rPr>
          <w:rFonts w:ascii="Palatino Linotype" w:eastAsia="Palatino Linotype" w:hAnsi="Palatino Linotype" w:cs="Palatino Linotype"/>
          <w:b/>
          <w:sz w:val="22"/>
          <w:szCs w:val="22"/>
        </w:rPr>
      </w:pPr>
    </w:p>
    <w:p w:rsidR="004E3F7B" w:rsidRPr="00C447C9" w:rsidRDefault="00FA7349">
      <w:pPr>
        <w:numPr>
          <w:ilvl w:val="0"/>
          <w:numId w:val="2"/>
        </w:numPr>
        <w:spacing w:line="360" w:lineRule="auto"/>
        <w:ind w:left="0" w:right="48"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El medio de impugnación fue presentado a través del </w:t>
      </w:r>
      <w:r w:rsidRPr="00C447C9">
        <w:rPr>
          <w:rFonts w:ascii="Palatino Linotype" w:eastAsia="Palatino Linotype" w:hAnsi="Palatino Linotype" w:cs="Palatino Linotype"/>
          <w:b/>
          <w:sz w:val="22"/>
          <w:szCs w:val="22"/>
        </w:rPr>
        <w:t>SAIMEX,</w:t>
      </w:r>
      <w:r w:rsidRPr="00C447C9">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xml:space="preserve"> entregó respuesta el veintidós y veinticinco de octubre de dos mil veinticuatro, de tal forma que el plazo para interponer el recurso transcurrió del veintitrés y veintiocho de octubre al trece y veinte de noviembre de dos mil veinticuatro, de acuerdo al calendario oficial del Instituto de Transparencia del Estado de México y Municipios; en consecuencia, si el particular presentó sus inconformidades los días </w:t>
      </w:r>
      <w:r w:rsidRPr="00C447C9">
        <w:rPr>
          <w:rFonts w:ascii="Palatino Linotype" w:eastAsia="Palatino Linotype" w:hAnsi="Palatino Linotype" w:cs="Palatino Linotype"/>
          <w:color w:val="000000"/>
          <w:sz w:val="22"/>
          <w:szCs w:val="22"/>
        </w:rPr>
        <w:t>diez (10)  y veintitrés (23)  de octubre de dos mil veinticuatro</w:t>
      </w:r>
      <w:r w:rsidRPr="00C447C9">
        <w:rPr>
          <w:rFonts w:ascii="Palatino Linotype" w:eastAsia="Palatino Linotype" w:hAnsi="Palatino Linotype" w:cs="Palatino Linotype"/>
          <w:sz w:val="22"/>
          <w:szCs w:val="22"/>
        </w:rPr>
        <w:t xml:space="preserve">, se encuentra dentro de los márgenes temporales previstos en el artículo 178 de la </w:t>
      </w:r>
      <w:r w:rsidRPr="00C447C9">
        <w:rPr>
          <w:rFonts w:ascii="Palatino Linotype" w:eastAsia="Palatino Linotype" w:hAnsi="Palatino Linotype" w:cs="Palatino Linotype"/>
          <w:b/>
          <w:sz w:val="22"/>
          <w:szCs w:val="22"/>
        </w:rPr>
        <w:t xml:space="preserve">Ley de Transparencia y Acceso a la Información Pública del Estado de México y Municipios </w:t>
      </w:r>
      <w:r w:rsidRPr="00C447C9">
        <w:rPr>
          <w:rFonts w:ascii="Palatino Linotype" w:eastAsia="Palatino Linotype" w:hAnsi="Palatino Linotype" w:cs="Palatino Linotype"/>
          <w:sz w:val="22"/>
          <w:szCs w:val="22"/>
        </w:rPr>
        <w:t xml:space="preserve">vigente.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Por otra parte, de la revisión al expediente electrónico del </w:t>
      </w:r>
      <w:r w:rsidRPr="00C447C9">
        <w:rPr>
          <w:rFonts w:ascii="Palatino Linotype" w:eastAsia="Palatino Linotype" w:hAnsi="Palatino Linotype" w:cs="Palatino Linotype"/>
          <w:b/>
          <w:sz w:val="22"/>
          <w:szCs w:val="22"/>
        </w:rPr>
        <w:t>SAIMEX</w:t>
      </w:r>
      <w:r w:rsidRPr="00C447C9">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w:t>
      </w:r>
      <w:r w:rsidRPr="00C447C9">
        <w:rPr>
          <w:rFonts w:ascii="Palatino Linotype" w:eastAsia="Palatino Linotype" w:hAnsi="Palatino Linotype" w:cs="Palatino Linotype"/>
          <w:sz w:val="22"/>
          <w:szCs w:val="22"/>
        </w:rPr>
        <w:lastRenderedPageBreak/>
        <w:t>es requisito indispensable para la tramitación del acto procesal específico en materia de acceso a la información, ello en estricto apego al numeral 155 párrafo tercero de la Ley de la materia, en concatenación con el 180 del mismo ordenamiento.</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lastRenderedPageBreak/>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spacing w:line="360" w:lineRule="auto"/>
        <w:ind w:left="0" w:right="49" w:firstLine="0"/>
        <w:jc w:val="both"/>
        <w:rPr>
          <w:rFonts w:ascii="Palatino Linotype" w:eastAsia="Palatino Linotype" w:hAnsi="Palatino Linotype" w:cs="Palatino Linotype"/>
          <w:b/>
          <w:sz w:val="22"/>
          <w:szCs w:val="22"/>
        </w:rPr>
      </w:pPr>
      <w:r w:rsidRPr="00C447C9">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E3F7B" w:rsidRPr="00C447C9" w:rsidRDefault="004E3F7B">
      <w:pPr>
        <w:spacing w:line="360" w:lineRule="auto"/>
        <w:ind w:right="49"/>
        <w:jc w:val="both"/>
        <w:rPr>
          <w:rFonts w:ascii="Palatino Linotype" w:eastAsia="Palatino Linotype" w:hAnsi="Palatino Linotype" w:cs="Palatino Linotype"/>
          <w:b/>
          <w:sz w:val="22"/>
          <w:szCs w:val="22"/>
        </w:rPr>
      </w:pPr>
    </w:p>
    <w:p w:rsidR="004E3F7B" w:rsidRPr="00C447C9" w:rsidRDefault="00FA7349">
      <w:pPr>
        <w:keepNext/>
        <w:keepLines/>
        <w:spacing w:line="360" w:lineRule="auto"/>
        <w:ind w:right="48"/>
        <w:rPr>
          <w:rFonts w:ascii="Palatino Linotype" w:eastAsia="Palatino Linotype" w:hAnsi="Palatino Linotype" w:cs="Palatino Linotype"/>
          <w:b/>
          <w:sz w:val="22"/>
          <w:szCs w:val="22"/>
        </w:rPr>
      </w:pPr>
      <w:bookmarkStart w:id="7" w:name="_heading=h.tyjcwt" w:colFirst="0" w:colLast="0"/>
      <w:bookmarkEnd w:id="7"/>
      <w:r w:rsidRPr="00C447C9">
        <w:rPr>
          <w:rFonts w:ascii="Palatino Linotype" w:eastAsia="Palatino Linotype" w:hAnsi="Palatino Linotype" w:cs="Palatino Linotype"/>
          <w:b/>
          <w:sz w:val="22"/>
          <w:szCs w:val="22"/>
        </w:rPr>
        <w:t>TERCERO. Planteamiento de la Litis.</w:t>
      </w:r>
    </w:p>
    <w:p w:rsidR="004E3F7B" w:rsidRPr="00C447C9" w:rsidRDefault="004E3F7B">
      <w:pPr>
        <w:keepNext/>
        <w:keepLines/>
        <w:spacing w:line="360" w:lineRule="auto"/>
        <w:ind w:right="48"/>
        <w:rPr>
          <w:rFonts w:ascii="Palatino Linotype" w:eastAsia="Palatino Linotype" w:hAnsi="Palatino Linotype" w:cs="Palatino Linotype"/>
          <w:b/>
          <w:sz w:val="22"/>
          <w:szCs w:val="22"/>
        </w:rPr>
      </w:pPr>
    </w:p>
    <w:p w:rsidR="004E3F7B" w:rsidRPr="00C447C9" w:rsidRDefault="00FA7349">
      <w:pPr>
        <w:numPr>
          <w:ilvl w:val="0"/>
          <w:numId w:val="2"/>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El particular solicitó la siguiente información correspondiente a </w:t>
      </w:r>
      <w:r w:rsidRPr="00C447C9">
        <w:rPr>
          <w:rFonts w:ascii="Palatino Linotype" w:eastAsia="Palatino Linotype" w:hAnsi="Palatino Linotype" w:cs="Palatino Linotype"/>
          <w:sz w:val="22"/>
          <w:szCs w:val="22"/>
        </w:rPr>
        <w:t>la administración 2022-2024:</w:t>
      </w:r>
    </w:p>
    <w:p w:rsidR="004E3F7B" w:rsidRPr="00C447C9" w:rsidRDefault="004E3F7B">
      <w:pPr>
        <w:pBdr>
          <w:top w:val="nil"/>
          <w:left w:val="nil"/>
          <w:bottom w:val="nil"/>
          <w:right w:val="nil"/>
          <w:between w:val="nil"/>
        </w:pBdr>
        <w:spacing w:line="360" w:lineRule="auto"/>
        <w:ind w:left="360" w:right="48"/>
        <w:jc w:val="both"/>
        <w:rPr>
          <w:rFonts w:ascii="Palatino Linotype" w:eastAsia="Palatino Linotype" w:hAnsi="Palatino Linotype" w:cs="Palatino Linotype"/>
          <w:sz w:val="22"/>
          <w:szCs w:val="22"/>
        </w:rPr>
      </w:pPr>
    </w:p>
    <w:p w:rsidR="004E3F7B" w:rsidRPr="00C447C9" w:rsidRDefault="00FA7349">
      <w:pPr>
        <w:numPr>
          <w:ilvl w:val="0"/>
          <w:numId w:val="1"/>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Documental a través de la cual secretario de ayuntamiento a dado cuenta de manera mensual al cabildo del número y contenido de los expedientes pasados a comisión, mencionando los ya resueltos y los pendientes.</w:t>
      </w:r>
    </w:p>
    <w:p w:rsidR="004E3F7B" w:rsidRPr="00C447C9" w:rsidRDefault="00FA7349">
      <w:pPr>
        <w:numPr>
          <w:ilvl w:val="0"/>
          <w:numId w:val="1"/>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sz w:val="22"/>
          <w:szCs w:val="22"/>
        </w:rPr>
        <w:t>Mon</w:t>
      </w:r>
      <w:r w:rsidRPr="00C447C9">
        <w:rPr>
          <w:rFonts w:ascii="Palatino Linotype" w:eastAsia="Palatino Linotype" w:hAnsi="Palatino Linotype" w:cs="Palatino Linotype"/>
          <w:i/>
          <w:sz w:val="22"/>
          <w:szCs w:val="22"/>
        </w:rPr>
        <w:t>to mensual desglosado de gasto por concepto de renta de planta de luz, escenario, equipo de sonido, nombre del proveedor o proveedores, y pólizas de egresos por este concepto.</w:t>
      </w:r>
    </w:p>
    <w:p w:rsidR="004E3F7B" w:rsidRPr="00C447C9" w:rsidRDefault="00FA7349">
      <w:pPr>
        <w:numPr>
          <w:ilvl w:val="0"/>
          <w:numId w:val="1"/>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Monto mensual desglosado de gasto por concepto de viajes de trabajo o salidas de trabajo del presidente municipal, y  pólizas de egresos por este concepto.</w:t>
      </w:r>
    </w:p>
    <w:p w:rsidR="004E3F7B" w:rsidRPr="00C447C9" w:rsidRDefault="00FA7349">
      <w:pPr>
        <w:numPr>
          <w:ilvl w:val="0"/>
          <w:numId w:val="1"/>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sz w:val="22"/>
          <w:szCs w:val="22"/>
        </w:rPr>
        <w:t>M</w:t>
      </w:r>
      <w:r w:rsidRPr="00C447C9">
        <w:rPr>
          <w:rFonts w:ascii="Palatino Linotype" w:eastAsia="Palatino Linotype" w:hAnsi="Palatino Linotype" w:cs="Palatino Linotype"/>
          <w:i/>
          <w:sz w:val="22"/>
          <w:szCs w:val="22"/>
        </w:rPr>
        <w:t>onto de ingreso desglosado por mes por concepto de renta del auditorio municipal y números de factura proporcionada por el Ayuntamiento.</w:t>
      </w:r>
    </w:p>
    <w:p w:rsidR="004E3F7B" w:rsidRPr="00C447C9" w:rsidRDefault="00FA7349">
      <w:pPr>
        <w:numPr>
          <w:ilvl w:val="0"/>
          <w:numId w:val="1"/>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lastRenderedPageBreak/>
        <w:t>Fecha  de vigencia del seguro de vida de los elementos de seguridad pública y protección civil.</w:t>
      </w:r>
    </w:p>
    <w:p w:rsidR="004E3F7B" w:rsidRPr="00C447C9" w:rsidRDefault="004E3F7B">
      <w:pPr>
        <w:tabs>
          <w:tab w:val="left" w:pos="284"/>
        </w:tabs>
        <w:spacing w:line="360" w:lineRule="auto"/>
        <w:ind w:left="360" w:right="822"/>
        <w:jc w:val="both"/>
        <w:rPr>
          <w:rFonts w:ascii="Palatino Linotype" w:eastAsia="Palatino Linotype" w:hAnsi="Palatino Linotype" w:cs="Palatino Linotype"/>
          <w:i/>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34"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En respuesta,  </w:t>
      </w:r>
      <w:r w:rsidRPr="00C447C9">
        <w:rPr>
          <w:rFonts w:ascii="Palatino Linotype" w:eastAsia="Palatino Linotype" w:hAnsi="Palatino Linotype" w:cs="Palatino Linotype"/>
        </w:rPr>
        <w:t xml:space="preserve">el Secretario del Ayuntamiento, </w:t>
      </w:r>
      <w:r w:rsidRPr="00C447C9">
        <w:rPr>
          <w:rFonts w:ascii="Palatino Linotype" w:eastAsia="Palatino Linotype" w:hAnsi="Palatino Linotype" w:cs="Palatino Linotype"/>
          <w:sz w:val="22"/>
          <w:szCs w:val="22"/>
        </w:rPr>
        <w:t xml:space="preserve">solicita se declare la inexistencia de la información solicitada a efecto de que sea aprobada por el Comité de Transparencia,  informa que esta Secretaría del Ayuntamiento no ha recibido asuntos para ser turnados a comisiones y no obran en los archivos de esta Secretaría del Ayuntamiento información relacionada con el tema referido, </w:t>
      </w:r>
      <w:r w:rsidRPr="00C447C9">
        <w:rPr>
          <w:rFonts w:ascii="Palatino Linotype" w:eastAsia="Palatino Linotype" w:hAnsi="Palatino Linotype" w:cs="Palatino Linotype"/>
          <w:color w:val="000000"/>
          <w:sz w:val="22"/>
          <w:szCs w:val="22"/>
        </w:rPr>
        <w:t>sobre el resto de la información solicitada, el Sujeto Obligado realizó el cambio de modalidad en la entrega de la información a consulta directa derivado de la cantidad, volumen, los recursos materiales y humanos con que cuenta son limitados, así como el cambio de administración, la entrega recepción y mesas de transición.</w:t>
      </w:r>
    </w:p>
    <w:p w:rsidR="004E3F7B" w:rsidRPr="00C447C9" w:rsidRDefault="004E3F7B">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34"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Posteriormente, el particular interpuso recurso de revisión en el que señaló su inconformidad por la negativa y el cambio de modalidad en la entrega de la información. </w:t>
      </w:r>
    </w:p>
    <w:p w:rsidR="004E3F7B" w:rsidRPr="00C447C9" w:rsidRDefault="004E3F7B">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i/>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 la causal de procedencia prevista en el artículo 179, fracción I y VIII de la Ley de Transparencia y Acceso a la Información Pública del Estado de México y Municipios; que establece la negativa de la información y la notificación, entrega o puesta a disposición de información en una modalidad o formato distinto al solicitado.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pStyle w:val="Ttulo1"/>
        <w:spacing w:before="0" w:line="360" w:lineRule="auto"/>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CUARTO. Del estudio y resolución del recurso de revisión.</w:t>
      </w:r>
    </w:p>
    <w:p w:rsidR="004E3F7B" w:rsidRPr="00C447C9" w:rsidRDefault="004E3F7B">
      <w:pPr>
        <w:rPr>
          <w:rFonts w:ascii="Palatino Linotype" w:eastAsia="Palatino Linotype" w:hAnsi="Palatino Linotype" w:cs="Palatino Linotype"/>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w:t>
      </w:r>
      <w:r w:rsidRPr="00C447C9">
        <w:rPr>
          <w:rFonts w:ascii="Palatino Linotype" w:eastAsia="Palatino Linotype" w:hAnsi="Palatino Linotype" w:cs="Palatino Linotype"/>
          <w:color w:val="000000"/>
          <w:sz w:val="22"/>
          <w:szCs w:val="22"/>
        </w:rPr>
        <w:lastRenderedPageBreak/>
        <w:t>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color w:val="000000"/>
          <w:sz w:val="22"/>
          <w:szCs w:val="22"/>
        </w:rPr>
        <w:t>●</w:t>
      </w:r>
      <w:r w:rsidRPr="00C447C9">
        <w:rPr>
          <w:rFonts w:ascii="Palatino Linotype" w:eastAsia="Palatino Linotype" w:hAnsi="Palatino Linotype" w:cs="Palatino Linotype"/>
          <w:color w:val="000000"/>
          <w:sz w:val="22"/>
          <w:szCs w:val="22"/>
        </w:rPr>
        <w:tab/>
      </w:r>
      <w:r w:rsidRPr="00C447C9">
        <w:rPr>
          <w:rFonts w:ascii="Palatino Linotype" w:eastAsia="Palatino Linotype" w:hAnsi="Palatino Linotype" w:cs="Palatino Linotype"/>
          <w:b/>
          <w:color w:val="000000"/>
          <w:sz w:val="22"/>
          <w:szCs w:val="22"/>
        </w:rPr>
        <w:t>De los recursos de revisión  06593/INFOEM/IP/RR/2024, 06598/INFOEM/IP/RR/2024, 06613/INFOEM/IP/RR/2024 y  06623/INFOEM/IP/RR/2024.</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En el presente caso, se advierte que el particular requirió información referente al   </w:t>
      </w:r>
      <w:r w:rsidRPr="00C447C9">
        <w:rPr>
          <w:rFonts w:ascii="Palatino Linotype" w:eastAsia="Palatino Linotype" w:hAnsi="Palatino Linotype" w:cs="Palatino Linotype"/>
          <w:sz w:val="22"/>
          <w:szCs w:val="22"/>
        </w:rPr>
        <w:t xml:space="preserve">Monto mensual desglosado de gasto </w:t>
      </w:r>
      <w:r w:rsidRPr="00C447C9">
        <w:rPr>
          <w:rFonts w:ascii="Palatino Linotype" w:eastAsia="Palatino Linotype" w:hAnsi="Palatino Linotype" w:cs="Palatino Linotype"/>
          <w:color w:val="000000"/>
          <w:sz w:val="22"/>
          <w:szCs w:val="22"/>
        </w:rPr>
        <w:t xml:space="preserve"> ejercido por diversos conceptos durante la administración 2022-2024 y solicita se adjunten las pólizas de egresos, el </w:t>
      </w:r>
      <w:r w:rsidRPr="00C447C9">
        <w:rPr>
          <w:rFonts w:ascii="Palatino Linotype" w:eastAsia="Palatino Linotype" w:hAnsi="Palatino Linotype" w:cs="Palatino Linotype"/>
          <w:sz w:val="22"/>
          <w:szCs w:val="22"/>
        </w:rPr>
        <w:t>monto de ingreso desglosado por mes por concepto de renta del auditorio municipal y números de factura proporcionada por el Ayuntamiento y la fecha  de vigencia del seguro de vida contratado para  de los elementos de seguridad pública y protección civil.</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 En respuesta, el Sujeto Obligado señaló el cambio de modalidad para la entrega de la información a consulta directa derivado de la cantidad, volumen, los recursos materiales y humanos con que cuenta son limitados, así como el cambio de administración, la entrega recepción y mesas de transición.</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Precisado lo anterior, resulta conveniente traer a colación lo establecido en el artículo 31 de la Ley Orgánica Municipal del Estado de México:</w:t>
      </w:r>
    </w:p>
    <w:p w:rsidR="004E3F7B" w:rsidRPr="00C447C9" w:rsidRDefault="004E3F7B">
      <w:pPr>
        <w:pBdr>
          <w:top w:val="nil"/>
          <w:left w:val="nil"/>
          <w:bottom w:val="nil"/>
          <w:right w:val="nil"/>
          <w:between w:val="nil"/>
        </w:pBdr>
        <w:ind w:left="360"/>
        <w:rPr>
          <w:rFonts w:ascii="Palatino Linotype" w:eastAsia="Palatino Linotype" w:hAnsi="Palatino Linotype" w:cs="Palatino Linotype"/>
          <w:color w:val="000000"/>
          <w:sz w:val="22"/>
          <w:szCs w:val="22"/>
        </w:rPr>
      </w:pPr>
    </w:p>
    <w:p w:rsidR="004E3F7B" w:rsidRPr="00C447C9" w:rsidRDefault="00FA7349">
      <w:pPr>
        <w:ind w:left="1560" w:right="539"/>
        <w:jc w:val="both"/>
        <w:rPr>
          <w:rFonts w:ascii="Palatino Linotype" w:eastAsia="Palatino Linotype" w:hAnsi="Palatino Linotype" w:cs="Palatino Linotype"/>
          <w:i/>
        </w:rPr>
      </w:pPr>
      <w:r w:rsidRPr="00C447C9">
        <w:rPr>
          <w:rFonts w:ascii="Palatino Linotype" w:eastAsia="Palatino Linotype" w:hAnsi="Palatino Linotype" w:cs="Palatino Linotype"/>
        </w:rPr>
        <w:t>“</w:t>
      </w:r>
      <w:r w:rsidRPr="00C447C9">
        <w:rPr>
          <w:rFonts w:ascii="Palatino Linotype" w:eastAsia="Palatino Linotype" w:hAnsi="Palatino Linotype" w:cs="Palatino Linotype"/>
          <w:b/>
          <w:i/>
        </w:rPr>
        <w:t>Artículo 31</w:t>
      </w:r>
      <w:r w:rsidRPr="00C447C9">
        <w:rPr>
          <w:rFonts w:ascii="Palatino Linotype" w:eastAsia="Palatino Linotype" w:hAnsi="Palatino Linotype" w:cs="Palatino Linotype"/>
          <w:i/>
        </w:rPr>
        <w:t xml:space="preserve">.- </w:t>
      </w:r>
      <w:r w:rsidRPr="00C447C9">
        <w:rPr>
          <w:rFonts w:ascii="Palatino Linotype" w:eastAsia="Palatino Linotype" w:hAnsi="Palatino Linotype" w:cs="Palatino Linotype"/>
          <w:b/>
          <w:i/>
        </w:rPr>
        <w:t>Son atribuciones de los ayuntamientos</w:t>
      </w:r>
      <w:r w:rsidRPr="00C447C9">
        <w:rPr>
          <w:rFonts w:ascii="Palatino Linotype" w:eastAsia="Palatino Linotype" w:hAnsi="Palatino Linotype" w:cs="Palatino Linotype"/>
          <w:i/>
        </w:rPr>
        <w:t>:</w:t>
      </w:r>
    </w:p>
    <w:p w:rsidR="004E3F7B" w:rsidRPr="00C447C9" w:rsidRDefault="00FA7349">
      <w:pPr>
        <w:ind w:left="1560" w:right="539"/>
        <w:jc w:val="both"/>
        <w:rPr>
          <w:rFonts w:ascii="Palatino Linotype" w:eastAsia="Palatino Linotype" w:hAnsi="Palatino Linotype" w:cs="Palatino Linotype"/>
          <w:i/>
        </w:rPr>
      </w:pPr>
      <w:r w:rsidRPr="00C447C9">
        <w:rPr>
          <w:rFonts w:ascii="Palatino Linotype" w:eastAsia="Palatino Linotype" w:hAnsi="Palatino Linotype" w:cs="Palatino Linotype"/>
          <w:i/>
        </w:rPr>
        <w:t>(…)</w:t>
      </w:r>
    </w:p>
    <w:p w:rsidR="004E3F7B" w:rsidRPr="00C447C9" w:rsidRDefault="004E3F7B">
      <w:pPr>
        <w:ind w:left="1560" w:right="539"/>
        <w:jc w:val="both"/>
        <w:rPr>
          <w:rFonts w:ascii="Palatino Linotype" w:eastAsia="Palatino Linotype" w:hAnsi="Palatino Linotype" w:cs="Palatino Linotype"/>
          <w:i/>
        </w:rPr>
      </w:pPr>
    </w:p>
    <w:p w:rsidR="004E3F7B" w:rsidRPr="00C447C9" w:rsidRDefault="00FA7349">
      <w:pPr>
        <w:ind w:left="1560" w:right="539"/>
        <w:jc w:val="both"/>
        <w:rPr>
          <w:rFonts w:ascii="Palatino Linotype" w:eastAsia="Palatino Linotype" w:hAnsi="Palatino Linotype" w:cs="Palatino Linotype"/>
          <w:i/>
        </w:rPr>
      </w:pPr>
      <w:r w:rsidRPr="00C447C9">
        <w:rPr>
          <w:rFonts w:ascii="Palatino Linotype" w:eastAsia="Palatino Linotype" w:hAnsi="Palatino Linotype" w:cs="Palatino Linotype"/>
          <w:b/>
          <w:i/>
        </w:rPr>
        <w:lastRenderedPageBreak/>
        <w:t>XVIII</w:t>
      </w:r>
      <w:r w:rsidRPr="00C447C9">
        <w:rPr>
          <w:rFonts w:ascii="Palatino Linotype" w:eastAsia="Palatino Linotype" w:hAnsi="Palatino Linotype" w:cs="Palatino Linotype"/>
          <w:i/>
        </w:rPr>
        <w:t xml:space="preserve">. </w:t>
      </w:r>
      <w:r w:rsidRPr="00C447C9">
        <w:rPr>
          <w:rFonts w:ascii="Palatino Linotype" w:eastAsia="Palatino Linotype" w:hAnsi="Palatino Linotype" w:cs="Palatino Linotype"/>
          <w:b/>
          <w:i/>
        </w:rPr>
        <w:t>Administrar su hacienda en términos de ley</w:t>
      </w:r>
      <w:r w:rsidRPr="00C447C9">
        <w:rPr>
          <w:rFonts w:ascii="Palatino Linotype" w:eastAsia="Palatino Linotype" w:hAnsi="Palatino Linotype" w:cs="Palatino Linotype"/>
          <w:i/>
        </w:rPr>
        <w:t xml:space="preserve">, y controlar a través del presidente y síndico la </w:t>
      </w:r>
      <w:r w:rsidRPr="00C447C9">
        <w:rPr>
          <w:rFonts w:ascii="Palatino Linotype" w:eastAsia="Palatino Linotype" w:hAnsi="Palatino Linotype" w:cs="Palatino Linotype"/>
          <w:b/>
          <w:i/>
        </w:rPr>
        <w:t>aplicación del presupuesto de egresos</w:t>
      </w:r>
      <w:r w:rsidRPr="00C447C9">
        <w:rPr>
          <w:rFonts w:ascii="Palatino Linotype" w:eastAsia="Palatino Linotype" w:hAnsi="Palatino Linotype" w:cs="Palatino Linotype"/>
          <w:i/>
        </w:rPr>
        <w:t xml:space="preserve"> del municipio;</w:t>
      </w:r>
    </w:p>
    <w:p w:rsidR="004E3F7B" w:rsidRPr="00C447C9" w:rsidRDefault="00FA7349">
      <w:pPr>
        <w:pBdr>
          <w:top w:val="nil"/>
          <w:left w:val="nil"/>
          <w:bottom w:val="nil"/>
          <w:right w:val="nil"/>
          <w:between w:val="nil"/>
        </w:pBdr>
        <w:ind w:left="1560" w:right="539"/>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i/>
          <w:color w:val="000000"/>
          <w:sz w:val="22"/>
          <w:szCs w:val="22"/>
        </w:rPr>
        <w:t>(…)”</w:t>
      </w:r>
    </w:p>
    <w:p w:rsidR="004E3F7B" w:rsidRPr="00C447C9" w:rsidRDefault="004E3F7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Se observa que la unidad administrativa que se pronunció es la Tesorería Municipal, la cual de conformidad con el artículo 57 del Bando Municipal cuenta con la atribución de encargarse de la recaudación de los ingresos municipales y es responsable de realizar las erogaciones que haga el Ayuntamiento.</w:t>
      </w:r>
    </w:p>
    <w:p w:rsidR="004E3F7B" w:rsidRPr="00C447C9" w:rsidRDefault="004E3F7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Asimismo, la Ley Orgánica Municipal, señala que cuenta con las siguientes atribuciones:</w:t>
      </w:r>
    </w:p>
    <w:p w:rsidR="004E3F7B" w:rsidRPr="00C447C9" w:rsidRDefault="00FA7349">
      <w:pPr>
        <w:spacing w:before="240" w:after="240" w:line="276" w:lineRule="auto"/>
        <w:ind w:left="567" w:right="900"/>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i/>
          <w:sz w:val="22"/>
          <w:szCs w:val="22"/>
        </w:rPr>
        <w:t xml:space="preserve">“Artículo 93.- </w:t>
      </w:r>
      <w:r w:rsidRPr="00C447C9">
        <w:rPr>
          <w:rFonts w:ascii="Palatino Linotype" w:eastAsia="Palatino Linotype" w:hAnsi="Palatino Linotype" w:cs="Palatino Linotype"/>
          <w:b/>
          <w:i/>
          <w:sz w:val="22"/>
          <w:szCs w:val="22"/>
        </w:rPr>
        <w:t>La tesorería municipal es el órgano encargado de</w:t>
      </w:r>
      <w:r w:rsidRPr="00C447C9">
        <w:rPr>
          <w:rFonts w:ascii="Palatino Linotype" w:eastAsia="Palatino Linotype" w:hAnsi="Palatino Linotype" w:cs="Palatino Linotype"/>
          <w:i/>
          <w:sz w:val="22"/>
          <w:szCs w:val="22"/>
        </w:rPr>
        <w:t xml:space="preserve"> la recaudación de los ingresos municipales y responsable de </w:t>
      </w:r>
      <w:r w:rsidRPr="00C447C9">
        <w:rPr>
          <w:rFonts w:ascii="Palatino Linotype" w:eastAsia="Palatino Linotype" w:hAnsi="Palatino Linotype" w:cs="Palatino Linotype"/>
          <w:b/>
          <w:i/>
          <w:sz w:val="22"/>
          <w:szCs w:val="22"/>
        </w:rPr>
        <w:t>realizar las erogaciones que haga el ayuntamiento.</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Artículo 95.- Son atribuciones del tesorero municipal:</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i/>
        </w:rPr>
        <w:t xml:space="preserve"> </w:t>
      </w:r>
      <w:r w:rsidRPr="00C447C9">
        <w:rPr>
          <w:rFonts w:ascii="Palatino Linotype" w:eastAsia="Palatino Linotype" w:hAnsi="Palatino Linotype" w:cs="Palatino Linotype"/>
          <w:b/>
          <w:i/>
          <w:sz w:val="22"/>
          <w:szCs w:val="22"/>
        </w:rPr>
        <w:t>I. Administrar la hacienda pública municipal, de conformidad con las disposiciones legales aplicables</w:t>
      </w:r>
      <w:r w:rsidRPr="00C447C9">
        <w:rPr>
          <w:rFonts w:ascii="Palatino Linotype" w:eastAsia="Palatino Linotype" w:hAnsi="Palatino Linotype" w:cs="Palatino Linotype"/>
          <w:i/>
          <w:sz w:val="22"/>
          <w:szCs w:val="22"/>
        </w:rPr>
        <w:t>;</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IV. Llevar los registros contables, financieros y administrativos de los ingresos, egresos, e inventarios</w:t>
      </w:r>
      <w:r w:rsidRPr="00C447C9">
        <w:rPr>
          <w:rFonts w:ascii="Palatino Linotype" w:eastAsia="Palatino Linotype" w:hAnsi="Palatino Linotype" w:cs="Palatino Linotype"/>
          <w:i/>
          <w:sz w:val="22"/>
          <w:szCs w:val="22"/>
        </w:rPr>
        <w:t>;” (Énfasis añadido)</w:t>
      </w:r>
    </w:p>
    <w:p w:rsidR="004E3F7B" w:rsidRPr="00C447C9" w:rsidRDefault="004E3F7B">
      <w:pPr>
        <w:spacing w:before="240" w:after="240" w:line="276" w:lineRule="auto"/>
        <w:ind w:left="567" w:right="900"/>
        <w:jc w:val="both"/>
        <w:rPr>
          <w:rFonts w:ascii="Palatino Linotype" w:eastAsia="Palatino Linotype" w:hAnsi="Palatino Linotype" w:cs="Palatino Linotype"/>
          <w:i/>
          <w:sz w:val="22"/>
          <w:szCs w:val="22"/>
        </w:rPr>
      </w:pPr>
    </w:p>
    <w:p w:rsidR="004E3F7B" w:rsidRPr="00C447C9" w:rsidRDefault="00FA7349">
      <w:pPr>
        <w:numPr>
          <w:ilvl w:val="0"/>
          <w:numId w:val="2"/>
        </w:numPr>
        <w:spacing w:line="360" w:lineRule="auto"/>
        <w:ind w:left="0" w:firstLine="0"/>
        <w:jc w:val="both"/>
        <w:rPr>
          <w:sz w:val="22"/>
          <w:szCs w:val="22"/>
        </w:rPr>
      </w:pPr>
      <w:r w:rsidRPr="00C447C9">
        <w:rPr>
          <w:rFonts w:ascii="Arial" w:eastAsia="Arial" w:hAnsi="Arial" w:cs="Arial"/>
          <w:color w:val="333333"/>
          <w:sz w:val="21"/>
          <w:szCs w:val="21"/>
        </w:rPr>
        <w:t>Por lo que h</w:t>
      </w:r>
      <w:r w:rsidRPr="00C447C9">
        <w:rPr>
          <w:rFonts w:ascii="Palatino Linotype" w:eastAsia="Palatino Linotype" w:hAnsi="Palatino Linotype" w:cs="Palatino Linotype"/>
          <w:color w:val="333333"/>
          <w:sz w:val="22"/>
          <w:szCs w:val="22"/>
        </w:rPr>
        <w:t xml:space="preserve">ace a </w:t>
      </w:r>
      <w:r w:rsidRPr="00C447C9">
        <w:rPr>
          <w:rFonts w:ascii="Palatino Linotype" w:eastAsia="Palatino Linotype" w:hAnsi="Palatino Linotype" w:cs="Palatino Linotype"/>
          <w:sz w:val="22"/>
          <w:szCs w:val="22"/>
        </w:rPr>
        <w:t xml:space="preserve">la fecha  de vigencia del seguro de vida contratado para  de los elementos de seguridad pública y protección civil, quien proporcionó la respuesta fue el </w:t>
      </w:r>
      <w:r w:rsidRPr="00C447C9">
        <w:rPr>
          <w:rFonts w:ascii="Palatino Linotype" w:eastAsia="Palatino Linotype" w:hAnsi="Palatino Linotype" w:cs="Palatino Linotype"/>
          <w:sz w:val="22"/>
          <w:szCs w:val="22"/>
        </w:rPr>
        <w:lastRenderedPageBreak/>
        <w:t xml:space="preserve">Director de Administración, quien </w:t>
      </w:r>
      <w:r w:rsidRPr="00C447C9">
        <w:rPr>
          <w:rFonts w:ascii="Palatino Linotype" w:eastAsia="Palatino Linotype" w:hAnsi="Palatino Linotype" w:cs="Palatino Linotype"/>
          <w:color w:val="333333"/>
          <w:sz w:val="22"/>
          <w:szCs w:val="22"/>
        </w:rPr>
        <w:t>de conformidad con el Manual de Organización de la Dirección de Administración tiene las siguientes funciones:</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FUNCIONES:</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Integrar y mantener actualizado el catálogo de proveedores, de bienes y servicios del municipio,</w:t>
      </w:r>
    </w:p>
    <w:p w:rsidR="004E3F7B" w:rsidRPr="00C447C9" w:rsidRDefault="00FA7349">
      <w:pPr>
        <w:spacing w:before="240" w:after="240" w:line="276" w:lineRule="auto"/>
        <w:ind w:left="567" w:right="900"/>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i/>
          <w:sz w:val="22"/>
          <w:szCs w:val="22"/>
        </w:rPr>
        <w:t xml:space="preserve">* Programar en coordinación con las </w:t>
      </w:r>
      <w:r w:rsidRPr="00C447C9">
        <w:rPr>
          <w:rFonts w:ascii="Palatino Linotype" w:eastAsia="Palatino Linotype" w:hAnsi="Palatino Linotype" w:cs="Palatino Linotype"/>
          <w:b/>
          <w:i/>
          <w:sz w:val="22"/>
          <w:szCs w:val="22"/>
        </w:rPr>
        <w:t>áreas administrativas del Ayuntamiento, las adquisiciones de bienes considerando sus necesidades y los programas de trabajo autorizados;</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Promover políticas de ahorro en el consumo de bienes y servicios con la debida autorización del Presidente Municipal;</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Definir mecanismos de control para el uso correcto del parque vehicular del Ayuntamiento y la asignación del combustible;</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Supervisar que las actividades de adquisiciones, almacenamiento y surtimiento de materiales, papelería, equipo, etc., se realice en las mejores condiciones de oportunidad, calidad y precio;</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Integrar y mantener actualizada la información estadística sobre las adquisiciones, apoyos, patrimonio y demás aspectos de su competencia; y</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Las demás que le confieran a este manual y otros ordenamientos legales aplicables</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Coordinar con la Tesorería Municipal, la distribución oportuna de la nómina para el  pago al personal que labora en la Administración, apegándose a la normatividad en la materia y al presupuesto autorizado.</w:t>
      </w:r>
    </w:p>
    <w:p w:rsidR="004E3F7B" w:rsidRPr="00C447C9" w:rsidRDefault="00FA7349">
      <w:pPr>
        <w:spacing w:before="240" w:after="240" w:line="276" w:lineRule="auto"/>
        <w:ind w:left="567" w:right="90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Recibir, revisar, integrar, analizar y canalizar la documentación recibida, para debido control y trámite.</w:t>
      </w:r>
    </w:p>
    <w:p w:rsidR="004E3F7B" w:rsidRPr="00C447C9" w:rsidRDefault="004E3F7B">
      <w:pPr>
        <w:spacing w:before="240" w:after="240" w:line="276" w:lineRule="auto"/>
        <w:ind w:left="567" w:right="900"/>
        <w:jc w:val="both"/>
        <w:rPr>
          <w:rFonts w:ascii="Palatino Linotype" w:eastAsia="Palatino Linotype" w:hAnsi="Palatino Linotype" w:cs="Palatino Linotype"/>
          <w:i/>
          <w:sz w:val="22"/>
          <w:szCs w:val="22"/>
        </w:rPr>
      </w:pPr>
    </w:p>
    <w:p w:rsidR="004E3F7B" w:rsidRPr="00C447C9" w:rsidRDefault="00FA7349">
      <w:pPr>
        <w:numPr>
          <w:ilvl w:val="0"/>
          <w:numId w:val="2"/>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222222"/>
          <w:sz w:val="22"/>
          <w:szCs w:val="22"/>
        </w:rPr>
      </w:pPr>
      <w:r w:rsidRPr="00C447C9">
        <w:rPr>
          <w:rFonts w:ascii="Palatino Linotype" w:eastAsia="Palatino Linotype" w:hAnsi="Palatino Linotype" w:cs="Palatino Linotype"/>
          <w:color w:val="000000"/>
          <w:sz w:val="22"/>
          <w:szCs w:val="22"/>
        </w:rPr>
        <w:lastRenderedPageBreak/>
        <w:t>De lo anteriormente c</w:t>
      </w:r>
      <w:r w:rsidRPr="00C447C9">
        <w:rPr>
          <w:rFonts w:ascii="Palatino Linotype" w:eastAsia="Palatino Linotype" w:hAnsi="Palatino Linotype" w:cs="Palatino Linotype"/>
          <w:sz w:val="22"/>
          <w:szCs w:val="22"/>
        </w:rPr>
        <w:t xml:space="preserve"> observamos que </w:t>
      </w:r>
      <w:r w:rsidRPr="00C447C9">
        <w:rPr>
          <w:rFonts w:ascii="Palatino Linotype" w:eastAsia="Palatino Linotype" w:hAnsi="Palatino Linotype" w:cs="Palatino Linotype"/>
          <w:color w:val="222222"/>
          <w:sz w:val="22"/>
          <w:szCs w:val="22"/>
        </w:rPr>
        <w:t xml:space="preserve">la respuesta fue proporcionada por </w:t>
      </w:r>
      <w:r w:rsidRPr="00C447C9">
        <w:rPr>
          <w:rFonts w:ascii="Palatino Linotype" w:eastAsia="Palatino Linotype" w:hAnsi="Palatino Linotype" w:cs="Palatino Linotype"/>
          <w:sz w:val="22"/>
          <w:szCs w:val="22"/>
        </w:rPr>
        <w:t>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w:t>
      </w:r>
      <w:r w:rsidRPr="00C447C9">
        <w:rPr>
          <w:rFonts w:ascii="Palatino Linotype" w:eastAsia="Palatino Linotype" w:hAnsi="Palatino Linotype" w:cs="Palatino Linotype"/>
          <w:color w:val="000000"/>
          <w:sz w:val="22"/>
          <w:szCs w:val="22"/>
        </w:rPr>
        <w:t>itado, XXXIX del artículo tercero de la legislación local vigente en materia de transparencia: </w:t>
      </w:r>
    </w:p>
    <w:p w:rsidR="004E3F7B" w:rsidRPr="00C447C9" w:rsidRDefault="00FA7349">
      <w:pPr>
        <w:pBdr>
          <w:top w:val="nil"/>
          <w:left w:val="nil"/>
          <w:bottom w:val="nil"/>
          <w:right w:val="nil"/>
          <w:between w:val="nil"/>
        </w:pBdr>
        <w:ind w:left="864" w:right="864"/>
        <w:jc w:val="both"/>
        <w:rPr>
          <w:color w:val="000000"/>
        </w:rPr>
      </w:pPr>
      <w:r w:rsidRPr="00C447C9">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rsidR="004E3F7B" w:rsidRPr="00C447C9" w:rsidRDefault="004E3F7B"/>
    <w:p w:rsidR="004E3F7B" w:rsidRPr="00C447C9" w:rsidRDefault="004E3F7B"/>
    <w:p w:rsidR="004E3F7B" w:rsidRPr="00C447C9" w:rsidRDefault="00FA7349">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Por consiguiente, se tiene que el procedimiento de búsqueda de la información se ejecutó conforme a derecho.</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Acotado lo anterior, se debe recordar que la persona solicitante requirió la información descrita en la solicitud de acceso a la información pública de toda la administración pública municipal 2022-2024, sin embargo, las solicitudes se tuvieron por presentadas el </w:t>
      </w:r>
      <w:r w:rsidRPr="00C447C9">
        <w:rPr>
          <w:rFonts w:ascii="Palatino Linotype" w:eastAsia="Palatino Linotype" w:hAnsi="Palatino Linotype" w:cs="Palatino Linotype"/>
          <w:sz w:val="22"/>
          <w:szCs w:val="22"/>
        </w:rPr>
        <w:t>veintisiete (27)  de septiembre dos mil veinticuatro</w:t>
      </w:r>
      <w:r w:rsidRPr="00C447C9">
        <w:rPr>
          <w:rFonts w:ascii="Palatino Linotype" w:eastAsia="Palatino Linotype" w:hAnsi="Palatino Linotype" w:cs="Palatino Linotype"/>
          <w:color w:val="000000"/>
          <w:sz w:val="22"/>
          <w:szCs w:val="22"/>
        </w:rPr>
        <w:t>,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lastRenderedPageBreak/>
        <w:t>Lo anterior se robustece con la Tesis Aislada con número de registro 209001, de la Suprema Corte de Justicia de la Nación, emitida por los Tribunales Colegiados de Circuito, que a la letra señala:</w:t>
      </w:r>
    </w:p>
    <w:p w:rsidR="004E3F7B" w:rsidRPr="00C447C9" w:rsidRDefault="00FA7349">
      <w:pPr>
        <w:pBdr>
          <w:top w:val="nil"/>
          <w:left w:val="nil"/>
          <w:bottom w:val="nil"/>
          <w:right w:val="nil"/>
          <w:between w:val="nil"/>
        </w:pBdr>
        <w:ind w:left="851" w:right="900"/>
        <w:jc w:val="both"/>
        <w:rPr>
          <w:color w:val="000000"/>
        </w:rPr>
      </w:pPr>
      <w:r w:rsidRPr="00C447C9">
        <w:rPr>
          <w:rFonts w:ascii="Palatino Linotype" w:eastAsia="Palatino Linotype" w:hAnsi="Palatino Linotype" w:cs="Palatino Linotype"/>
          <w:b/>
          <w:i/>
          <w:color w:val="000000"/>
          <w:sz w:val="22"/>
          <w:szCs w:val="22"/>
        </w:rPr>
        <w:t xml:space="preserve">“ACTOS FUTUROS DE REALIZACION INCIERTA. NO PROCEDE EL JUICIO DE AMPARO CONTRA LOS. </w:t>
      </w:r>
      <w:r w:rsidRPr="00C447C9">
        <w:rPr>
          <w:rFonts w:ascii="Palatino Linotype" w:eastAsia="Palatino Linotype" w:hAnsi="Palatino Linotype" w:cs="Palatino Linotype"/>
          <w:i/>
          <w:color w:val="000000"/>
          <w:sz w:val="22"/>
          <w:szCs w:val="22"/>
        </w:rPr>
        <w:t>Contra actos futuros de realización incierta no procede el juicio de garantías.”</w:t>
      </w:r>
    </w:p>
    <w:p w:rsidR="004E3F7B" w:rsidRPr="00C447C9" w:rsidRDefault="00FA7349">
      <w:pPr>
        <w:numPr>
          <w:ilvl w:val="0"/>
          <w:numId w:val="2"/>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0"/>
          <w:szCs w:val="20"/>
        </w:rPr>
      </w:pPr>
      <w:r w:rsidRPr="00C447C9">
        <w:rPr>
          <w:rFonts w:ascii="Palatino Linotype" w:eastAsia="Palatino Linotype" w:hAnsi="Palatino Linotype" w:cs="Palatino Linotype"/>
          <w:color w:val="000000"/>
          <w:sz w:val="22"/>
          <w:szCs w:val="22"/>
        </w:rPr>
        <w:t xml:space="preserve">En ese sentido, no es procedente la exigencia de </w:t>
      </w:r>
      <w:r w:rsidRPr="00C447C9">
        <w:rPr>
          <w:rFonts w:ascii="Palatino Linotype" w:eastAsia="Palatino Linotype" w:hAnsi="Palatino Linotype" w:cs="Palatino Linotype"/>
          <w:b/>
          <w:color w:val="000000"/>
          <w:sz w:val="22"/>
          <w:szCs w:val="22"/>
        </w:rPr>
        <w:t>la parte</w:t>
      </w:r>
      <w:r w:rsidRPr="00C447C9">
        <w:rPr>
          <w:rFonts w:ascii="Palatino Linotype" w:eastAsia="Palatino Linotype" w:hAnsi="Palatino Linotype" w:cs="Palatino Linotype"/>
          <w:color w:val="000000"/>
          <w:sz w:val="22"/>
          <w:szCs w:val="22"/>
        </w:rPr>
        <w:t xml:space="preserve"> </w:t>
      </w:r>
      <w:r w:rsidRPr="00C447C9">
        <w:rPr>
          <w:rFonts w:ascii="Palatino Linotype" w:eastAsia="Palatino Linotype" w:hAnsi="Palatino Linotype" w:cs="Palatino Linotype"/>
          <w:b/>
          <w:color w:val="000000"/>
          <w:sz w:val="22"/>
          <w:szCs w:val="22"/>
        </w:rPr>
        <w:t>Recurrente</w:t>
      </w:r>
      <w:r w:rsidRPr="00C447C9">
        <w:rPr>
          <w:rFonts w:ascii="Palatino Linotype" w:eastAsia="Palatino Linotype" w:hAnsi="Palatino Linotype" w:cs="Palatino Linotype"/>
          <w:color w:val="000000"/>
          <w:sz w:val="22"/>
          <w:szCs w:val="22"/>
        </w:rPr>
        <w:t xml:space="preserve"> de que el </w:t>
      </w:r>
      <w:r w:rsidRPr="00C447C9">
        <w:rPr>
          <w:rFonts w:ascii="Palatino Linotype" w:eastAsia="Palatino Linotype" w:hAnsi="Palatino Linotype" w:cs="Palatino Linotype"/>
          <w:b/>
          <w:color w:val="000000"/>
          <w:sz w:val="22"/>
          <w:szCs w:val="22"/>
        </w:rPr>
        <w:t>Sujeto Obligado</w:t>
      </w:r>
      <w:r w:rsidRPr="00C447C9">
        <w:rPr>
          <w:rFonts w:ascii="Palatino Linotype" w:eastAsia="Palatino Linotype" w:hAnsi="Palatino Linotype" w:cs="Palatino Linotype"/>
          <w:color w:val="000000"/>
          <w:sz w:val="22"/>
          <w:szCs w:val="22"/>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w:t>
      </w:r>
      <w:r w:rsidRPr="00C447C9">
        <w:rPr>
          <w:rFonts w:ascii="Palatino Linotype" w:eastAsia="Palatino Linotype" w:hAnsi="Palatino Linotype" w:cs="Palatino Linotype"/>
          <w:b/>
          <w:color w:val="000000"/>
          <w:sz w:val="22"/>
          <w:szCs w:val="22"/>
        </w:rPr>
        <w:t>cuatro de octubre de dos mil veinticuatro</w:t>
      </w:r>
      <w:r w:rsidRPr="00C447C9">
        <w:rPr>
          <w:rFonts w:ascii="Palatino Linotype" w:eastAsia="Palatino Linotype" w:hAnsi="Palatino Linotype" w:cs="Palatino Linotype"/>
          <w:color w:val="000000"/>
          <w:sz w:val="22"/>
          <w:szCs w:val="22"/>
        </w:rPr>
        <w:t>.</w:t>
      </w: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También es necesario precisar que el Sujeto Obligado no negó contar con la información solicitada, por el contrario, asumió que contaba con la misma, tan es así que señaló el cambio de modalidad a consulta directa para la entrega de la información. </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bookmarkStart w:id="8" w:name="_heading=h.1t3h5sf" w:colFirst="0" w:colLast="0"/>
      <w:bookmarkEnd w:id="8"/>
      <w:r w:rsidRPr="00C447C9">
        <w:rPr>
          <w:rFonts w:ascii="Palatino Linotype" w:eastAsia="Palatino Linotype" w:hAnsi="Palatino Linotype" w:cs="Palatino Linotype"/>
          <w:color w:val="000000"/>
          <w:sz w:val="22"/>
          <w:szCs w:val="22"/>
        </w:rPr>
        <w:t xml:space="preserve">En efecto, el hecho de que </w:t>
      </w:r>
      <w:r w:rsidRPr="00C447C9">
        <w:rPr>
          <w:rFonts w:ascii="Palatino Linotype" w:eastAsia="Palatino Linotype" w:hAnsi="Palatino Linotype" w:cs="Palatino Linotype"/>
          <w:b/>
          <w:color w:val="000000"/>
          <w:sz w:val="22"/>
          <w:szCs w:val="22"/>
        </w:rPr>
        <w:t>EL SUJETO OBLIGADO</w:t>
      </w:r>
      <w:r w:rsidRPr="00C447C9">
        <w:rPr>
          <w:rFonts w:ascii="Palatino Linotype" w:eastAsia="Palatino Linotype" w:hAnsi="Palatino Linotype" w:cs="Palatino Linotype"/>
          <w:color w:val="000000"/>
          <w:sz w:val="22"/>
          <w:szCs w:val="22"/>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w:t>
      </w:r>
      <w:r w:rsidRPr="00C447C9">
        <w:rPr>
          <w:rFonts w:ascii="Palatino Linotype" w:eastAsia="Palatino Linotype" w:hAnsi="Palatino Linotype" w:cs="Palatino Linotype"/>
          <w:b/>
          <w:i/>
          <w:color w:val="000000"/>
          <w:sz w:val="22"/>
          <w:szCs w:val="22"/>
        </w:rPr>
        <w:t>Artículo 12.</w:t>
      </w:r>
      <w:r w:rsidRPr="00C447C9">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rsidR="004E3F7B" w:rsidRPr="00C447C9" w:rsidRDefault="004E3F7B">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Ahora bien, la Ley de Transparencia y Acceso a la Información Pública del Estado de México y Municipios establece en los artículos 155 fracción V, 158 y 164 lo siguiente:</w:t>
      </w:r>
    </w:p>
    <w:p w:rsidR="004E3F7B" w:rsidRPr="00C447C9" w:rsidRDefault="004E3F7B">
      <w:pPr>
        <w:pBdr>
          <w:top w:val="nil"/>
          <w:left w:val="nil"/>
          <w:bottom w:val="nil"/>
          <w:right w:val="nil"/>
          <w:between w:val="nil"/>
        </w:pBdr>
        <w:tabs>
          <w:tab w:val="left" w:pos="851"/>
        </w:tabs>
        <w:spacing w:line="360" w:lineRule="auto"/>
        <w:ind w:left="720" w:right="49"/>
        <w:jc w:val="both"/>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I. a IV. …</w:t>
      </w: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V. La modalidad en la que prefiere se otorgue el acceso a la información</w:t>
      </w:r>
      <w:r w:rsidRPr="00C447C9">
        <w:rPr>
          <w:rFonts w:ascii="Palatino Linotype" w:eastAsia="Palatino Linotype" w:hAnsi="Palatino Linotype" w:cs="Palatino Linotype"/>
          <w:i/>
          <w:color w:val="000000"/>
          <w:sz w:val="22"/>
          <w:szCs w:val="22"/>
        </w:rPr>
        <w:t>, la cual podrá ser verbal, siempre y cuando sea para fines de orientación, mediante consulta directa, mediante la expedición de copias simples o certificadas o la reproducción en cualquier otro medio, incluidos los electrónicos</w:t>
      </w: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w:t>
      </w:r>
    </w:p>
    <w:p w:rsidR="004E3F7B" w:rsidRPr="00C447C9" w:rsidRDefault="004E3F7B">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lastRenderedPageBreak/>
        <w:t>En todo caso, se facilitará su copia simple o certificada, así como su reproducción por cualquier medio disponible en las instalaciones del sujeto obligado o que, en su caso, aporte el solicitante</w:t>
      </w:r>
    </w:p>
    <w:p w:rsidR="004E3F7B" w:rsidRPr="00C447C9" w:rsidRDefault="004E3F7B">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rsidR="004E3F7B" w:rsidRPr="00C447C9" w:rsidRDefault="004E3F7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rsidR="004E3F7B" w:rsidRPr="00C447C9" w:rsidRDefault="004E3F7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El Sujeto Obligado manifestó que la información se encuentra disponible para su consulta en sus oficinas, lo que a todas luces se trata de un cambio de modalidad a consulta directa. Es necesario precisar que la Ley en la materia establece que, </w:t>
      </w:r>
      <w:r w:rsidRPr="00C447C9">
        <w:rPr>
          <w:rFonts w:ascii="Palatino Linotype" w:eastAsia="Palatino Linotype" w:hAnsi="Palatino Linotype" w:cs="Palatino Linotype"/>
          <w:i/>
          <w:color w:val="000000"/>
          <w:sz w:val="22"/>
          <w:szCs w:val="22"/>
        </w:rP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C447C9">
        <w:rPr>
          <w:rFonts w:ascii="Palatino Linotype" w:eastAsia="Palatino Linotype" w:hAnsi="Palatino Linotype" w:cs="Palatino Linotype"/>
          <w:b/>
          <w:i/>
          <w:color w:val="000000"/>
          <w:sz w:val="22"/>
          <w:szCs w:val="22"/>
        </w:rPr>
        <w:t>sobrepase las capacidades técnicas administrativas y humanas</w:t>
      </w:r>
      <w:r w:rsidRPr="00C447C9">
        <w:rPr>
          <w:rFonts w:ascii="Palatino Linotype" w:eastAsia="Palatino Linotype" w:hAnsi="Palatino Linotype" w:cs="Palatino Linotype"/>
          <w:i/>
          <w:color w:val="000000"/>
          <w:sz w:val="22"/>
          <w:szCs w:val="22"/>
        </w:rPr>
        <w:t xml:space="preserve"> del sujeto obligado para cumplir con la solicitud, en los plazos establecidos para dichos efectos, se podrá poner a disposición del solicitante los documentos en consulta directa, salvo la información clasificada.</w:t>
      </w:r>
    </w:p>
    <w:p w:rsidR="004E3F7B" w:rsidRPr="00C447C9" w:rsidRDefault="004E3F7B">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 Referente a la capacidad administrativa, ésta es definida como la habilidad institucional de un gobierno, para formular y realizar planes, políticas, programas, actividades, </w:t>
      </w:r>
      <w:r w:rsidRPr="00C447C9">
        <w:rPr>
          <w:rFonts w:ascii="Palatino Linotype" w:eastAsia="Palatino Linotype" w:hAnsi="Palatino Linotype" w:cs="Palatino Linotype"/>
          <w:color w:val="000000"/>
          <w:sz w:val="22"/>
          <w:szCs w:val="22"/>
        </w:rPr>
        <w:lastRenderedPageBreak/>
        <w:t xml:space="preserve">operaciones u otras medidas para cumplir con los propósitos de desarrollo. En palabras más simples, es la </w:t>
      </w:r>
      <w:r w:rsidRPr="00C447C9">
        <w:rPr>
          <w:rFonts w:ascii="Palatino Linotype" w:eastAsia="Palatino Linotype" w:hAnsi="Palatino Linotype" w:cs="Palatino Linotype"/>
          <w:b/>
          <w:color w:val="000000"/>
          <w:sz w:val="22"/>
          <w:szCs w:val="22"/>
        </w:rPr>
        <w:t>eficiencia organizacional para efectuar funciones esenciales</w:t>
      </w:r>
      <w:r w:rsidRPr="00C447C9">
        <w:rPr>
          <w:rFonts w:ascii="Palatino Linotype" w:eastAsia="Palatino Linotype" w:hAnsi="Palatino Linotype" w:cs="Palatino Linotype"/>
          <w:color w:val="000000"/>
          <w:sz w:val="22"/>
          <w:szCs w:val="22"/>
        </w:rPr>
        <w:t>.</w:t>
      </w:r>
    </w:p>
    <w:p w:rsidR="004E3F7B" w:rsidRPr="00C447C9" w:rsidRDefault="004E3F7B">
      <w:pPr>
        <w:pBdr>
          <w:top w:val="nil"/>
          <w:left w:val="nil"/>
          <w:bottom w:val="nil"/>
          <w:right w:val="nil"/>
          <w:between w:val="nil"/>
        </w:pBdr>
        <w:tabs>
          <w:tab w:val="left" w:pos="0"/>
          <w:tab w:val="left" w:pos="426"/>
        </w:tabs>
        <w:spacing w:line="360" w:lineRule="auto"/>
        <w:ind w:right="51"/>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Desde una perspectiva institucional, la </w:t>
      </w:r>
      <w:r w:rsidRPr="00C447C9">
        <w:rPr>
          <w:rFonts w:ascii="Palatino Linotype" w:eastAsia="Palatino Linotype" w:hAnsi="Palatino Linotype" w:cs="Palatino Linotype"/>
          <w:b/>
          <w:color w:val="000000"/>
          <w:sz w:val="22"/>
          <w:szCs w:val="22"/>
        </w:rPr>
        <w:t>capacidad administrativa</w:t>
      </w:r>
      <w:r w:rsidRPr="00C447C9">
        <w:rPr>
          <w:rFonts w:ascii="Palatino Linotype" w:eastAsia="Palatino Linotype" w:hAnsi="Palatino Linotype" w:cs="Palatino Linotype"/>
          <w:color w:val="000000"/>
          <w:sz w:val="22"/>
          <w:szCs w:val="22"/>
        </w:rPr>
        <w:t xml:space="preserve"> es entendida como “</w:t>
      </w:r>
      <w:r w:rsidRPr="00C447C9">
        <w:rPr>
          <w:rFonts w:ascii="Palatino Linotype" w:eastAsia="Palatino Linotype" w:hAnsi="Palatino Linotype" w:cs="Palatino Linotype"/>
          <w:i/>
          <w:color w:val="000000"/>
          <w:sz w:val="22"/>
          <w:szCs w:val="22"/>
        </w:rPr>
        <w:t xml:space="preserve">las habilidades técnico-burocráticas del aparato estatal requeridas para alcanzar sus objetos. En este componente se ubican el nivel micro y meso de la Capacidad Institucional. El </w:t>
      </w:r>
      <w:r w:rsidRPr="00C447C9">
        <w:rPr>
          <w:rFonts w:ascii="Palatino Linotype" w:eastAsia="Palatino Linotype" w:hAnsi="Palatino Linotype" w:cs="Palatino Linotype"/>
          <w:b/>
          <w:i/>
          <w:color w:val="000000"/>
          <w:sz w:val="22"/>
          <w:szCs w:val="22"/>
        </w:rPr>
        <w:t>primero</w:t>
      </w:r>
      <w:r w:rsidRPr="00C447C9">
        <w:rPr>
          <w:rFonts w:ascii="Palatino Linotype" w:eastAsia="Palatino Linotype" w:hAnsi="Palatino Linotype" w:cs="Palatino Linotype"/>
          <w:i/>
          <w:color w:val="000000"/>
          <w:sz w:val="22"/>
          <w:szCs w:val="22"/>
        </w:rPr>
        <w:t xml:space="preserve"> hace alusión al individuo, al </w:t>
      </w:r>
      <w:r w:rsidRPr="00C447C9">
        <w:rPr>
          <w:rFonts w:ascii="Palatino Linotype" w:eastAsia="Palatino Linotype" w:hAnsi="Palatino Linotype" w:cs="Palatino Linotype"/>
          <w:b/>
          <w:i/>
          <w:color w:val="000000"/>
          <w:sz w:val="22"/>
          <w:szCs w:val="22"/>
        </w:rPr>
        <w:t>recurso humano</w:t>
      </w:r>
      <w:r w:rsidRPr="00C447C9">
        <w:rPr>
          <w:rFonts w:ascii="Palatino Linotype" w:eastAsia="Palatino Linotype" w:hAnsi="Palatino Linotype" w:cs="Palatino Linotype"/>
          <w:i/>
          <w:color w:val="000000"/>
          <w:sz w:val="22"/>
          <w:szCs w:val="22"/>
        </w:rPr>
        <w:t xml:space="preserve">. En el segundo nivel, se ubica la </w:t>
      </w:r>
      <w:r w:rsidRPr="00C447C9">
        <w:rPr>
          <w:rFonts w:ascii="Palatino Linotype" w:eastAsia="Palatino Linotype" w:hAnsi="Palatino Linotype" w:cs="Palatino Linotype"/>
          <w:b/>
          <w:i/>
          <w:color w:val="000000"/>
          <w:sz w:val="22"/>
          <w:szCs w:val="22"/>
        </w:rPr>
        <w:t>capacidad de gestión</w:t>
      </w:r>
      <w:r w:rsidRPr="00C447C9">
        <w:rPr>
          <w:rFonts w:ascii="Palatino Linotype" w:eastAsia="Palatino Linotype" w:hAnsi="Palatino Linotype" w:cs="Palatino Linotype"/>
          <w:i/>
          <w:color w:val="000000"/>
          <w:sz w:val="22"/>
          <w:szCs w:val="22"/>
        </w:rPr>
        <w:t>, el cual se centra en el fortalecimiento organizacional como área de intervención para construir capacidad; cultura organizacional, sistemas de comunicación u organización</w:t>
      </w:r>
      <w:r w:rsidRPr="00C447C9">
        <w:rPr>
          <w:rFonts w:ascii="Palatino Linotype" w:eastAsia="Palatino Linotype" w:hAnsi="Palatino Linotype" w:cs="Palatino Linotype"/>
          <w:color w:val="000000"/>
          <w:sz w:val="22"/>
          <w:szCs w:val="22"/>
        </w:rPr>
        <w:t>”</w:t>
      </w:r>
      <w:r w:rsidRPr="00C447C9">
        <w:rPr>
          <w:rFonts w:ascii="Palatino Linotype" w:eastAsia="Palatino Linotype" w:hAnsi="Palatino Linotype" w:cs="Palatino Linotype"/>
          <w:i/>
          <w:color w:val="000000"/>
          <w:sz w:val="22"/>
          <w:szCs w:val="22"/>
          <w:vertAlign w:val="superscript"/>
        </w:rPr>
        <w:t xml:space="preserve"> </w:t>
      </w:r>
      <w:r w:rsidRPr="00C447C9">
        <w:rPr>
          <w:rFonts w:ascii="Century Gothic" w:eastAsia="Century Gothic" w:hAnsi="Century Gothic" w:cs="Century Gothic"/>
          <w:color w:val="000000"/>
          <w:sz w:val="22"/>
          <w:szCs w:val="22"/>
          <w:vertAlign w:val="superscript"/>
        </w:rPr>
        <w:footnoteReference w:id="1"/>
      </w:r>
      <w:r w:rsidRPr="00C447C9">
        <w:rPr>
          <w:rFonts w:ascii="Palatino Linotype" w:eastAsia="Palatino Linotype" w:hAnsi="Palatino Linotype" w:cs="Palatino Linotype"/>
          <w:color w:val="000000"/>
          <w:sz w:val="22"/>
          <w:szCs w:val="22"/>
        </w:rPr>
        <w:t xml:space="preserv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Ahora bien, respecto de las capacidades humanas, vale la pena precisar lo que se denomina por </w:t>
      </w:r>
      <w:r w:rsidRPr="00C447C9">
        <w:rPr>
          <w:rFonts w:ascii="Palatino Linotype" w:eastAsia="Palatino Linotype" w:hAnsi="Palatino Linotype" w:cs="Palatino Linotype"/>
          <w:b/>
          <w:i/>
          <w:color w:val="000000"/>
          <w:sz w:val="22"/>
          <w:szCs w:val="22"/>
        </w:rPr>
        <w:t>recursos humanos</w:t>
      </w:r>
      <w:r w:rsidRPr="00C447C9">
        <w:rPr>
          <w:rFonts w:ascii="Palatino Linotype" w:eastAsia="Palatino Linotype" w:hAnsi="Palatino Linotype" w:cs="Palatino Linotype"/>
          <w:color w:val="000000"/>
          <w:sz w:val="22"/>
          <w:szCs w:val="22"/>
        </w:rPr>
        <w:t xml:space="preserve">, lo cual podemos identificar como el conjunto de personas con las que cuenta una determinada organización, para desarrollar y ejecutar de manera </w:t>
      </w:r>
      <w:r w:rsidRPr="00C447C9">
        <w:rPr>
          <w:rFonts w:ascii="Palatino Linotype" w:eastAsia="Palatino Linotype" w:hAnsi="Palatino Linotype" w:cs="Palatino Linotype"/>
          <w:color w:val="000000"/>
          <w:sz w:val="22"/>
          <w:szCs w:val="22"/>
        </w:rPr>
        <w:lastRenderedPageBreak/>
        <w:t xml:space="preserve">correcta las acciones, actividades, labores y tareas que deben realizarse y que han sido solicitadas.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Es así que, el </w:t>
      </w:r>
      <w:r w:rsidRPr="00C447C9">
        <w:rPr>
          <w:rFonts w:ascii="Palatino Linotype" w:eastAsia="Palatino Linotype" w:hAnsi="Palatino Linotype" w:cs="Palatino Linotype"/>
          <w:b/>
          <w:color w:val="000000"/>
          <w:sz w:val="22"/>
          <w:szCs w:val="22"/>
        </w:rPr>
        <w:t>SUJETO OBLIGADO</w:t>
      </w:r>
      <w:r w:rsidRPr="00C447C9">
        <w:rPr>
          <w:rFonts w:ascii="Palatino Linotype" w:eastAsia="Palatino Linotype" w:hAnsi="Palatino Linotype" w:cs="Palatino Linotype"/>
          <w:color w:val="000000"/>
          <w:sz w:val="22"/>
          <w:szCs w:val="22"/>
        </w:rPr>
        <w:t xml:space="preserve"> pretendió realizar el cambio de modalidad ofreciendo consulta directa, por ello, es necesario traer a contexto el Criterio número 8/2013 del entonces Instituto Federal de Acceso a la Información, cuyo texto y sentido literal es el siguiente:</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i/>
          <w:sz w:val="22"/>
          <w:szCs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C447C9">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utilizar el medio de reproducción solicitado. </w:t>
      </w:r>
      <w:r w:rsidRPr="00C447C9">
        <w:rPr>
          <w:rFonts w:ascii="Palatino Linotype" w:eastAsia="Palatino Linotype" w:hAnsi="Palatino Linotype" w:cs="Palatino Linotype"/>
          <w:i/>
          <w:sz w:val="22"/>
          <w:szCs w:val="22"/>
          <w:u w:val="single"/>
        </w:rPr>
        <w:t xml:space="preserve">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w:t>
      </w:r>
      <w:r w:rsidRPr="00C447C9">
        <w:rPr>
          <w:rFonts w:ascii="Palatino Linotype" w:eastAsia="Palatino Linotype" w:hAnsi="Palatino Linotype" w:cs="Palatino Linotype"/>
          <w:i/>
          <w:sz w:val="22"/>
          <w:szCs w:val="22"/>
          <w:u w:val="single"/>
        </w:rPr>
        <w:lastRenderedPageBreak/>
        <w:t>derecho</w:t>
      </w:r>
      <w:r w:rsidRPr="00C447C9">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Resoluciones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RDA 2012/12. Interpuesto en contra de la Secretaría de Comunicaciones y Transportes. Comisionada Ponente Jacqueline Peschard Mariscal.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RDA 0973/12. Interpuesto en contra de la Secretaría de Educación Pública. Comisionada Ponente Sigrid Arzt Colunga.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RDA 0112/12. Interpuesto en contra de Petróleos Mexicanos. Comisionado Ponente Ángel Trinidad Zaldívar.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RDA 0085/12. Interpuesto en contra del Instituto Nacional de Ciencias Médicas y Nutrición Salvador Zubirán. Comisionada Ponente Sigrid Arzt Colunga. </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3068/11. Interpuesto en contra de la Presidencia de la República. Comisionada Ponente María Elena Pérez-Jaén Zermeño. “</w:t>
      </w:r>
    </w:p>
    <w:p w:rsidR="004E3F7B" w:rsidRPr="00C447C9" w:rsidRDefault="004E3F7B">
      <w:pPr>
        <w:spacing w:line="360" w:lineRule="auto"/>
        <w:ind w:left="567" w:right="567"/>
        <w:jc w:val="both"/>
        <w:rPr>
          <w:rFonts w:ascii="Palatino Linotype" w:eastAsia="Palatino Linotype" w:hAnsi="Palatino Linotype" w:cs="Palatino Linotype"/>
          <w:i/>
          <w:sz w:val="22"/>
          <w:szCs w:val="22"/>
        </w:rPr>
      </w:pP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Criterio 02/2004 INFORMACIÓN DISPERSA</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b/>
          <w:i/>
          <w:sz w:val="22"/>
          <w:szCs w:val="22"/>
        </w:rPr>
        <w:t xml:space="preserve">EN DIVERSOS DOCUMENTOS. PARA RESPETAR EL DERECHO DE ACCESO A LA INFORMACIÓN BASTA CON QUE SE PERMITA LA CONSULTA FÍSICA DE AQUÉLLOS, SALVO EN EL CASO DE QUE EL RESPECTIVO ÓRGANO DEL ESTADO TENGA LA </w:t>
      </w:r>
      <w:r w:rsidRPr="00C447C9">
        <w:rPr>
          <w:rFonts w:ascii="Palatino Linotype" w:eastAsia="Palatino Linotype" w:hAnsi="Palatino Linotype" w:cs="Palatino Linotype"/>
          <w:b/>
          <w:i/>
          <w:sz w:val="22"/>
          <w:szCs w:val="22"/>
        </w:rPr>
        <w:lastRenderedPageBreak/>
        <w:t>OBLIGACIÓN DE CONTAR CON UN DOCUMENTO QUE CONCENTRÉ AQUÉLLA.</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C447C9">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C447C9">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C447C9">
        <w:rPr>
          <w:rFonts w:ascii="Palatino Linotype" w:eastAsia="Palatino Linotype" w:hAnsi="Palatino Linotype" w:cs="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rsidR="004E3F7B" w:rsidRPr="00C447C9" w:rsidRDefault="00FA7349">
      <w:pPr>
        <w:spacing w:line="360" w:lineRule="auto"/>
        <w:ind w:left="567" w:right="567"/>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(Énfasis añadido)</w:t>
      </w:r>
    </w:p>
    <w:p w:rsidR="004E3F7B" w:rsidRPr="00C447C9" w:rsidRDefault="00FA7349">
      <w:pPr>
        <w:numPr>
          <w:ilvl w:val="0"/>
          <w:numId w:val="2"/>
        </w:numPr>
        <w:pBdr>
          <w:top w:val="nil"/>
          <w:left w:val="nil"/>
          <w:bottom w:val="nil"/>
          <w:right w:val="nil"/>
          <w:between w:val="nil"/>
        </w:pBdr>
        <w:tabs>
          <w:tab w:val="left" w:pos="0"/>
        </w:tabs>
        <w:spacing w:before="240" w:line="360" w:lineRule="auto"/>
        <w:ind w:left="0" w:right="49"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Los criterios refieren puntualmente que, cuando exista </w:t>
      </w:r>
      <w:r w:rsidRPr="00C447C9">
        <w:rPr>
          <w:rFonts w:ascii="Palatino Linotype" w:eastAsia="Palatino Linotype" w:hAnsi="Palatino Linotype" w:cs="Palatino Linotype"/>
          <w:b/>
          <w:color w:val="000000"/>
          <w:sz w:val="22"/>
          <w:szCs w:val="22"/>
        </w:rPr>
        <w:t xml:space="preserve">impedimento justificado </w:t>
      </w:r>
      <w:r w:rsidRPr="00C447C9">
        <w:rPr>
          <w:rFonts w:ascii="Palatino Linotype" w:eastAsia="Palatino Linotype" w:hAnsi="Palatino Linotype" w:cs="Palatino Linotype"/>
          <w:color w:val="000000"/>
          <w:sz w:val="22"/>
          <w:szCs w:val="22"/>
        </w:rPr>
        <w:t>para entregar la información solicitada, sólo entonces se procederá a ofrecer otras modalidades.</w:t>
      </w:r>
    </w:p>
    <w:p w:rsidR="004E3F7B" w:rsidRPr="00C447C9" w:rsidRDefault="004E3F7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Correlativo a lo anterior, los </w:t>
      </w:r>
      <w:r w:rsidRPr="00C447C9">
        <w:rPr>
          <w:rFonts w:ascii="Palatino Linotype" w:eastAsia="Palatino Linotype" w:hAnsi="Palatino Linotype" w:cs="Palatino Linotype"/>
          <w:i/>
          <w:color w:val="000000"/>
          <w:sz w:val="22"/>
          <w:szCs w:val="22"/>
        </w:rPr>
        <w:t>Lineamientos Generales en Materia de Clasificación y Desclasificación de la Información, así como para la Elaboración de Versiones Públicas</w:t>
      </w:r>
      <w:r w:rsidRPr="00C447C9">
        <w:rPr>
          <w:rFonts w:ascii="Palatino Linotype" w:eastAsia="Palatino Linotype" w:hAnsi="Palatino Linotype" w:cs="Palatino Linotype"/>
          <w:color w:val="000000"/>
          <w:sz w:val="22"/>
          <w:szCs w:val="22"/>
        </w:rPr>
        <w:t xml:space="preserve">, publicados </w:t>
      </w:r>
      <w:r w:rsidRPr="00C447C9">
        <w:rPr>
          <w:rFonts w:ascii="Palatino Linotype" w:eastAsia="Palatino Linotype" w:hAnsi="Palatino Linotype" w:cs="Palatino Linotype"/>
          <w:color w:val="000000"/>
          <w:sz w:val="22"/>
          <w:szCs w:val="22"/>
        </w:rPr>
        <w:lastRenderedPageBreak/>
        <w:t>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rsidR="004E3F7B" w:rsidRPr="00C447C9" w:rsidRDefault="004E3F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w:t>
      </w:r>
      <w:r w:rsidRPr="00C447C9">
        <w:rPr>
          <w:rFonts w:ascii="Palatino Linotype" w:eastAsia="Palatino Linotype" w:hAnsi="Palatino Linotype" w:cs="Palatino Linotype"/>
          <w:b/>
          <w:i/>
          <w:color w:val="000000"/>
          <w:sz w:val="22"/>
          <w:szCs w:val="22"/>
        </w:rPr>
        <w:t>Sexagésimo séptimo. </w:t>
      </w:r>
      <w:r w:rsidRPr="00C447C9">
        <w:rPr>
          <w:rFonts w:ascii="Palatino Linotype" w:eastAsia="Palatino Linotype" w:hAnsi="Palatino Linotype" w:cs="Palatino Linotype"/>
          <w:i/>
          <w:color w:val="000000"/>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Sexagésimo octavo. </w:t>
      </w:r>
      <w:r w:rsidRPr="00C447C9">
        <w:rPr>
          <w:rFonts w:ascii="Palatino Linotype" w:eastAsia="Palatino Linotype" w:hAnsi="Palatino Linotype" w:cs="Palatino Linotype"/>
          <w:i/>
          <w:color w:val="000000"/>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Sexagésimo noveno. </w:t>
      </w:r>
      <w:r w:rsidRPr="00C447C9">
        <w:rPr>
          <w:rFonts w:ascii="Palatino Linotype" w:eastAsia="Palatino Linotype" w:hAnsi="Palatino Linotype" w:cs="Palatino Linotype"/>
          <w:i/>
          <w:color w:val="000000"/>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Septuagésimo. </w:t>
      </w:r>
      <w:r w:rsidRPr="00C447C9">
        <w:rPr>
          <w:rFonts w:ascii="Palatino Linotype" w:eastAsia="Palatino Linotype" w:hAnsi="Palatino Linotype" w:cs="Palatino Linotype"/>
          <w:i/>
          <w:color w:val="000000"/>
          <w:sz w:val="22"/>
          <w:szCs w:val="22"/>
        </w:rPr>
        <w:t>Para el desahogo de las actuaciones tendientes a permitir la consulta directa, en los casos en que ésta resulte procedente, los sujetos obligados deberán observar lo siguiente:</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I.</w:t>
      </w:r>
      <w:r w:rsidRPr="00C447C9">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w:t>
      </w:r>
      <w:r w:rsidRPr="00C447C9">
        <w:rPr>
          <w:rFonts w:ascii="Palatino Linotype" w:eastAsia="Palatino Linotype" w:hAnsi="Palatino Linotype" w:cs="Palatino Linotype"/>
          <w:i/>
          <w:color w:val="000000"/>
          <w:sz w:val="22"/>
          <w:szCs w:val="22"/>
        </w:rPr>
        <w:lastRenderedPageBreak/>
        <w:t>solicitud también se deberá indicar esta situación al solicitante y los días, y horarios en que podrá llevarse a cabo.</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II.</w:t>
      </w:r>
      <w:r w:rsidRPr="00C447C9">
        <w:rPr>
          <w:rFonts w:ascii="Palatino Linotype" w:eastAsia="Palatino Linotype" w:hAnsi="Palatino Linotype" w:cs="Palatino Linotype"/>
          <w:i/>
          <w:color w:val="000000"/>
          <w:sz w:val="22"/>
          <w:szCs w:val="22"/>
        </w:rPr>
        <w:t> En su caso, la procedencia de los ajustes razonables solicitados y/o la procedencia de acceso en la lengua indígena requerida;</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III.</w:t>
      </w:r>
      <w:r w:rsidRPr="00C447C9">
        <w:rPr>
          <w:rFonts w:ascii="Palatino Linotype" w:eastAsia="Palatino Linotype" w:hAnsi="Palatino Linotype" w:cs="Palatino Linotype"/>
          <w:i/>
          <w:color w:val="000000"/>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IV.</w:t>
      </w:r>
      <w:r w:rsidRPr="00C447C9">
        <w:rPr>
          <w:rFonts w:ascii="Palatino Linotype" w:eastAsia="Palatino Linotype" w:hAnsi="Palatino Linotype" w:cs="Palatino Linotype"/>
          <w:i/>
          <w:color w:val="000000"/>
          <w:sz w:val="22"/>
          <w:szCs w:val="22"/>
        </w:rPr>
        <w:t xml:space="preserve"> Proporcionar al solicitante las facilidades y asistencia requerida para la consulta de los documentos;</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V.</w:t>
      </w:r>
      <w:r w:rsidRPr="00C447C9">
        <w:rPr>
          <w:rFonts w:ascii="Palatino Linotype" w:eastAsia="Palatino Linotype" w:hAnsi="Palatino Linotype" w:cs="Palatino Linotype"/>
          <w:i/>
          <w:color w:val="000000"/>
          <w:sz w:val="22"/>
          <w:szCs w:val="22"/>
        </w:rPr>
        <w:t> Abstenerse de requerir al solicitante que acredite interés alguno;</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VI.</w:t>
      </w:r>
      <w:r w:rsidRPr="00C447C9">
        <w:rPr>
          <w:rFonts w:ascii="Palatino Linotype" w:eastAsia="Palatino Linotype" w:hAnsi="Palatino Linotype" w:cs="Palatino Linotype"/>
          <w:i/>
          <w:color w:val="000000"/>
          <w:sz w:val="22"/>
          <w:szCs w:val="22"/>
        </w:rPr>
        <w:t> Adoptar las medidas técnicas, físicas, administrativas y demás que resulten necesarias para</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garantizar la integridad de la información a consultar, de conformidad con las características específicas del documento solicitado, tales como:</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a)</w:t>
      </w:r>
      <w:r w:rsidRPr="00C447C9">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b)</w:t>
      </w:r>
      <w:r w:rsidRPr="00C447C9">
        <w:rPr>
          <w:rFonts w:ascii="Palatino Linotype" w:eastAsia="Palatino Linotype" w:hAnsi="Palatino Linotype" w:cs="Palatino Linotype"/>
          <w:i/>
          <w:color w:val="000000"/>
          <w:sz w:val="22"/>
          <w:szCs w:val="22"/>
        </w:rPr>
        <w:t> Equipo y personal de vigilancia;</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c)</w:t>
      </w:r>
      <w:r w:rsidRPr="00C447C9">
        <w:rPr>
          <w:rFonts w:ascii="Palatino Linotype" w:eastAsia="Palatino Linotype" w:hAnsi="Palatino Linotype" w:cs="Palatino Linotype"/>
          <w:i/>
          <w:color w:val="000000"/>
          <w:sz w:val="22"/>
          <w:szCs w:val="22"/>
        </w:rPr>
        <w:t> Plan de acción contra robo o vandalismo;</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d)</w:t>
      </w:r>
      <w:r w:rsidRPr="00C447C9">
        <w:rPr>
          <w:rFonts w:ascii="Palatino Linotype" w:eastAsia="Palatino Linotype" w:hAnsi="Palatino Linotype" w:cs="Palatino Linotype"/>
          <w:i/>
          <w:color w:val="000000"/>
          <w:sz w:val="22"/>
          <w:szCs w:val="22"/>
        </w:rPr>
        <w:t> Extintores de fuego de gas inocuo;</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e)</w:t>
      </w:r>
      <w:r w:rsidRPr="00C447C9">
        <w:rPr>
          <w:rFonts w:ascii="Palatino Linotype" w:eastAsia="Palatino Linotype" w:hAnsi="Palatino Linotype" w:cs="Palatino Linotype"/>
          <w:i/>
          <w:color w:val="000000"/>
          <w:sz w:val="22"/>
          <w:szCs w:val="22"/>
        </w:rPr>
        <w:t> Registro e identificación del personal autorizado para el tratamiento de los documentos o expedientes a revisar;</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f)</w:t>
      </w:r>
      <w:r w:rsidRPr="00C447C9">
        <w:rPr>
          <w:rFonts w:ascii="Palatino Linotype" w:eastAsia="Palatino Linotype" w:hAnsi="Palatino Linotype" w:cs="Palatino Linotype"/>
          <w:i/>
          <w:color w:val="000000"/>
          <w:sz w:val="22"/>
          <w:szCs w:val="22"/>
        </w:rPr>
        <w:t> Registro e identificación de los particulares autorizados para llevar a cabo la consulta directa, y</w:t>
      </w:r>
    </w:p>
    <w:p w:rsidR="004E3F7B" w:rsidRPr="00C447C9" w:rsidRDefault="00FA7349">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g)</w:t>
      </w:r>
      <w:r w:rsidRPr="00C447C9">
        <w:rPr>
          <w:rFonts w:ascii="Palatino Linotype" w:eastAsia="Palatino Linotype" w:hAnsi="Palatino Linotype" w:cs="Palatino Linotype"/>
          <w:i/>
          <w:color w:val="000000"/>
          <w:sz w:val="22"/>
          <w:szCs w:val="22"/>
        </w:rPr>
        <w:t> Las demás que, a criterio de los sujetos obligados, resulten necesarias.</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VII. </w:t>
      </w:r>
      <w:r w:rsidRPr="00C447C9">
        <w:rPr>
          <w:rFonts w:ascii="Palatino Linotype" w:eastAsia="Palatino Linotype" w:hAnsi="Palatino Linotype" w:cs="Palatino Linotype"/>
          <w:i/>
          <w:color w:val="000000"/>
          <w:sz w:val="22"/>
          <w:szCs w:val="22"/>
        </w:rPr>
        <w:t>Hacer del conocimiento del solicitante, previo al acceso a la información, las reglas a que se sujetará la consulta para garantizar la integridad de los documentos, y</w:t>
      </w:r>
    </w:p>
    <w:p w:rsidR="004E3F7B" w:rsidRPr="00C447C9" w:rsidRDefault="00FA734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VIII.</w:t>
      </w:r>
      <w:r w:rsidRPr="00C447C9">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Septuagésimo primero. </w:t>
      </w:r>
      <w:r w:rsidRPr="00C447C9">
        <w:rPr>
          <w:rFonts w:ascii="Palatino Linotype" w:eastAsia="Palatino Linotype" w:hAnsi="Palatino Linotype" w:cs="Palatino Linotype"/>
          <w:i/>
          <w:color w:val="000000"/>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El solicitante deberá observar en todo momento las reglas que el sujeto obligado haya hecho de su conocimiento para efectos de la conservación de los documentos.</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Septuagésimo segundo. </w:t>
      </w:r>
      <w:r w:rsidRPr="00C447C9">
        <w:rPr>
          <w:rFonts w:ascii="Palatino Linotype" w:eastAsia="Palatino Linotype" w:hAnsi="Palatino Linotype" w:cs="Palatino Linotype"/>
          <w:i/>
          <w:color w:val="000000"/>
          <w:sz w:val="22"/>
          <w:szCs w:val="22"/>
        </w:rPr>
        <w:t>El solicitante deberá realizar la consulta de los documentos requeridos en el lugar, horarios y con la persona destinada para tal efecto.</w:t>
      </w: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rsidR="004E3F7B" w:rsidRPr="00C447C9" w:rsidRDefault="004E3F7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b/>
          <w:i/>
          <w:color w:val="000000"/>
          <w:sz w:val="22"/>
          <w:szCs w:val="22"/>
        </w:rPr>
        <w:t>Septuagésimo tercero. </w:t>
      </w:r>
      <w:r w:rsidRPr="00C447C9">
        <w:rPr>
          <w:rFonts w:ascii="Palatino Linotype" w:eastAsia="Palatino Linotype" w:hAnsi="Palatino Linotype" w:cs="Palatino Linotype"/>
          <w:i/>
          <w:color w:val="000000"/>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rsidR="004E3F7B" w:rsidRPr="00C447C9" w:rsidRDefault="00FA734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rsidR="004E3F7B" w:rsidRPr="00C447C9" w:rsidRDefault="004E3F7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i/>
          <w:color w:val="000000"/>
          <w:sz w:val="22"/>
          <w:szCs w:val="22"/>
        </w:rPr>
      </w:pPr>
      <w:r w:rsidRPr="00C447C9">
        <w:rPr>
          <w:rFonts w:ascii="Palatino Linotype" w:eastAsia="Palatino Linotype" w:hAnsi="Palatino Linotype" w:cs="Palatino Linotype"/>
          <w:color w:val="000000"/>
          <w:sz w:val="22"/>
          <w:szCs w:val="22"/>
        </w:rPr>
        <w:t>En ese contexto, se solicitó al área de Soporte Técnico indicara si existe reporte de incidencias por parte del Sujeto Obligado para justificar la necesidad de realizar un cambio de modalidad. El área referida respondió de la siguiente manera:</w:t>
      </w:r>
    </w:p>
    <w:p w:rsidR="004E3F7B" w:rsidRPr="00C447C9" w:rsidRDefault="004E3F7B">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spacing w:line="360" w:lineRule="auto"/>
        <w:ind w:right="-93"/>
        <w:jc w:val="center"/>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noProof/>
          <w:color w:val="000000"/>
          <w:sz w:val="22"/>
          <w:szCs w:val="22"/>
        </w:rPr>
        <w:drawing>
          <wp:inline distT="0" distB="0" distL="0" distR="0">
            <wp:extent cx="5766518" cy="1055191"/>
            <wp:effectExtent l="0" t="0" r="0" b="0"/>
            <wp:docPr id="12614340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6518" cy="1055191"/>
                    </a:xfrm>
                    <a:prstGeom prst="rect">
                      <a:avLst/>
                    </a:prstGeom>
                    <a:ln/>
                  </pic:spPr>
                </pic:pic>
              </a:graphicData>
            </a:graphic>
          </wp:inline>
        </w:drawing>
      </w:r>
    </w:p>
    <w:p w:rsidR="004E3F7B" w:rsidRPr="00C447C9" w:rsidRDefault="004E3F7B">
      <w:pPr>
        <w:pBdr>
          <w:top w:val="nil"/>
          <w:left w:val="nil"/>
          <w:bottom w:val="nil"/>
          <w:right w:val="nil"/>
          <w:between w:val="nil"/>
        </w:pBdr>
        <w:spacing w:line="360" w:lineRule="auto"/>
        <w:ind w:right="-93"/>
        <w:jc w:val="center"/>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En el mismo sentido, se realizó un requerimiento de información adicional al Sujeto Obligado, en el que se le solicitó se refiere el número de fojas y el peso que constituye la información solicitada, sin embargo, no se obtuvo respuesta por parte del Sujeto Obligado. </w:t>
      </w:r>
    </w:p>
    <w:p w:rsidR="004E3F7B" w:rsidRPr="00C447C9" w:rsidRDefault="00FA734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 </w:t>
      </w:r>
    </w:p>
    <w:p w:rsidR="004E3F7B" w:rsidRPr="00C447C9" w:rsidRDefault="00FA734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noProof/>
          <w:color w:val="000000"/>
          <w:sz w:val="22"/>
          <w:szCs w:val="22"/>
        </w:rPr>
        <w:drawing>
          <wp:inline distT="0" distB="0" distL="0" distR="0">
            <wp:extent cx="6239897" cy="1911785"/>
            <wp:effectExtent l="0" t="0" r="0" b="0"/>
            <wp:docPr id="12614340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19734" t="33048" r="4531" b="23781"/>
                    <a:stretch>
                      <a:fillRect/>
                    </a:stretch>
                  </pic:blipFill>
                  <pic:spPr>
                    <a:xfrm>
                      <a:off x="0" y="0"/>
                      <a:ext cx="6239897" cy="1911785"/>
                    </a:xfrm>
                    <a:prstGeom prst="rect">
                      <a:avLst/>
                    </a:prstGeom>
                    <a:ln/>
                  </pic:spPr>
                </pic:pic>
              </a:graphicData>
            </a:graphic>
          </wp:inline>
        </w:drawing>
      </w:r>
    </w:p>
    <w:p w:rsidR="004E3F7B" w:rsidRPr="00C447C9" w:rsidRDefault="004E3F7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De lo anterior, si bien es cierto, el Sujeto Obligado asumió contar con la información, también lo es que este Instituto debe garantizar el derecho de acceso a la información de los particulares, por lo que, tomando en consideración la información que fue solicitada, se determina que no existe una justificación que sustente la necesidad de realizar un cambio de modalidad, pues no hay impedimento técnico administrativo y humano para realizar el cambio de modalidad a consulta directa.</w:t>
      </w:r>
    </w:p>
    <w:p w:rsidR="004E3F7B" w:rsidRPr="00C447C9" w:rsidRDefault="004E3F7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sz w:val="22"/>
          <w:szCs w:val="22"/>
        </w:rPr>
        <w:t>Establecido lo anterior, los artículos 342, 343, 344 y 345 del Código Financiero del Estado de México y Municipios disponen el sistema y las políticas que deben seguirse para llevar el registro contable y presupuestal de las operaciones financieras, en los siguientes términos:</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color w:val="000000"/>
          <w:sz w:val="22"/>
          <w:szCs w:val="22"/>
        </w:rPr>
        <w:lastRenderedPageBreak/>
        <w:t>“</w:t>
      </w:r>
      <w:r w:rsidRPr="00C447C9">
        <w:rPr>
          <w:rFonts w:ascii="Palatino Linotype" w:eastAsia="Palatino Linotype" w:hAnsi="Palatino Linotype" w:cs="Palatino Linotype"/>
          <w:b/>
          <w:i/>
          <w:sz w:val="22"/>
          <w:szCs w:val="22"/>
        </w:rPr>
        <w:t>Artículo 342.-</w:t>
      </w:r>
      <w:r w:rsidRPr="00C447C9">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w:t>
      </w:r>
      <w:r w:rsidRPr="00C447C9">
        <w:rPr>
          <w:rFonts w:ascii="Palatino Linotype" w:eastAsia="Palatino Linotype" w:hAnsi="Palatino Linotype" w:cs="Palatino Linotype"/>
          <w:i/>
          <w:color w:val="000000"/>
          <w:sz w:val="22"/>
          <w:szCs w:val="22"/>
        </w:rPr>
        <w:t>planeación</w:t>
      </w:r>
      <w:r w:rsidRPr="00C447C9">
        <w:rPr>
          <w:rFonts w:ascii="Palatino Linotype" w:eastAsia="Palatino Linotype" w:hAnsi="Palatino Linotype" w:cs="Palatino Linotype"/>
          <w:i/>
          <w:sz w:val="22"/>
          <w:szCs w:val="22"/>
        </w:rPr>
        <w:t xml:space="preserve">, programación, presupuestación, evaluación y </w:t>
      </w:r>
      <w:r w:rsidRPr="00C447C9">
        <w:rPr>
          <w:rFonts w:ascii="Palatino Linotype" w:eastAsia="Palatino Linotype" w:hAnsi="Palatino Linotype" w:cs="Palatino Linotype"/>
          <w:i/>
          <w:color w:val="000000"/>
          <w:sz w:val="22"/>
          <w:szCs w:val="22"/>
        </w:rPr>
        <w:t>contabilidad</w:t>
      </w:r>
      <w:r w:rsidRPr="00C447C9">
        <w:rPr>
          <w:rFonts w:ascii="Palatino Linotype" w:eastAsia="Palatino Linotype" w:hAnsi="Palatino Linotype" w:cs="Palatino Linotype"/>
          <w:i/>
          <w:sz w:val="22"/>
          <w:szCs w:val="22"/>
        </w:rPr>
        <w:t xml:space="preserve"> gubernamental. </w:t>
      </w:r>
    </w:p>
    <w:p w:rsidR="004E3F7B" w:rsidRPr="00C447C9" w:rsidRDefault="00FA7349">
      <w:pPr>
        <w:spacing w:before="120" w:after="120" w:line="276" w:lineRule="auto"/>
        <w:ind w:left="567" w:right="850"/>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b/>
          <w:i/>
          <w:color w:val="000000"/>
          <w:sz w:val="22"/>
          <w:szCs w:val="22"/>
        </w:rPr>
        <w:t>…</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Artículo 343.-</w:t>
      </w:r>
      <w:r w:rsidRPr="00C447C9">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C447C9">
        <w:rPr>
          <w:rFonts w:ascii="Palatino Linotype" w:eastAsia="Palatino Linotype" w:hAnsi="Palatino Linotype" w:cs="Palatino Linotype"/>
          <w:i/>
          <w:sz w:val="22"/>
          <w:szCs w:val="22"/>
        </w:rPr>
        <w:t xml:space="preserve">en el caso de los Municipios se hará por la Tesorería. </w:t>
      </w:r>
    </w:p>
    <w:p w:rsidR="004E3F7B" w:rsidRPr="00C447C9" w:rsidRDefault="00FA7349">
      <w:pPr>
        <w:spacing w:before="120" w:after="120" w:line="276" w:lineRule="auto"/>
        <w:ind w:left="567" w:right="51"/>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Derogado. </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C447C9">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rsidR="004E3F7B" w:rsidRPr="00C447C9" w:rsidRDefault="00FA7349">
      <w:pPr>
        <w:spacing w:before="120" w:after="120" w:line="276" w:lineRule="auto"/>
        <w:ind w:left="567" w:right="51"/>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b/>
          <w:i/>
          <w:sz w:val="22"/>
          <w:szCs w:val="22"/>
        </w:rPr>
        <w:t>Artículo 345.-</w:t>
      </w:r>
      <w:r w:rsidRPr="00C447C9">
        <w:rPr>
          <w:rFonts w:ascii="Palatino Linotype" w:eastAsia="Palatino Linotype" w:hAnsi="Palatino Linotype" w:cs="Palatino Linotype"/>
          <w:i/>
          <w:sz w:val="22"/>
          <w:szCs w:val="22"/>
        </w:rPr>
        <w:t xml:space="preserve"> </w:t>
      </w:r>
      <w:r w:rsidRPr="00C447C9">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C447C9">
        <w:rPr>
          <w:rFonts w:ascii="Palatino Linotype" w:eastAsia="Palatino Linotype" w:hAnsi="Palatino Linotype" w:cs="Palatino Linotype"/>
          <w:i/>
          <w:sz w:val="22"/>
          <w:szCs w:val="22"/>
        </w:rPr>
        <w:t xml:space="preserve">, la remitirán en un plazo que no excederá de seis </w:t>
      </w:r>
      <w:r w:rsidRPr="00C447C9">
        <w:rPr>
          <w:rFonts w:ascii="Palatino Linotype" w:eastAsia="Palatino Linotype" w:hAnsi="Palatino Linotype" w:cs="Palatino Linotype"/>
          <w:i/>
          <w:sz w:val="22"/>
          <w:szCs w:val="22"/>
        </w:rPr>
        <w:lastRenderedPageBreak/>
        <w:t xml:space="preserve">meses al Archivo Contable Gubernamental. </w:t>
      </w:r>
      <w:r w:rsidRPr="00C447C9">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C447C9">
        <w:rPr>
          <w:rFonts w:ascii="Palatino Linotype" w:eastAsia="Palatino Linotype" w:hAnsi="Palatino Linotype" w:cs="Palatino Linotype"/>
          <w:i/>
          <w:sz w:val="22"/>
          <w:szCs w:val="22"/>
        </w:rPr>
        <w:t xml:space="preserve">. </w:t>
      </w:r>
    </w:p>
    <w:p w:rsidR="004E3F7B" w:rsidRPr="00C447C9" w:rsidRDefault="00FA7349">
      <w:pPr>
        <w:spacing w:before="120" w:after="120" w:line="276" w:lineRule="auto"/>
        <w:ind w:left="567" w:right="85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w:t>
      </w:r>
      <w:r w:rsidRPr="00C447C9">
        <w:rPr>
          <w:rFonts w:ascii="Palatino Linotype" w:eastAsia="Palatino Linotype" w:hAnsi="Palatino Linotype" w:cs="Palatino Linotype"/>
          <w:i/>
          <w:color w:val="000000"/>
          <w:sz w:val="22"/>
          <w:szCs w:val="22"/>
        </w:rPr>
        <w:t xml:space="preserve"> “</w:t>
      </w:r>
    </w:p>
    <w:p w:rsidR="004E3F7B" w:rsidRPr="00C447C9" w:rsidRDefault="00FA7349">
      <w:pPr>
        <w:numPr>
          <w:ilvl w:val="0"/>
          <w:numId w:val="2"/>
        </w:numPr>
        <w:pBdr>
          <w:top w:val="nil"/>
          <w:left w:val="nil"/>
          <w:bottom w:val="nil"/>
          <w:right w:val="nil"/>
          <w:between w:val="nil"/>
        </w:pBdr>
        <w:spacing w:before="240" w:line="360" w:lineRule="auto"/>
        <w:ind w:left="0" w:right="-232"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rsidR="004E3F7B" w:rsidRPr="00C447C9" w:rsidRDefault="004E3F7B">
      <w:pPr>
        <w:pBdr>
          <w:top w:val="nil"/>
          <w:left w:val="nil"/>
          <w:bottom w:val="nil"/>
          <w:right w:val="nil"/>
          <w:between w:val="nil"/>
        </w:pBdr>
        <w:spacing w:line="360" w:lineRule="auto"/>
        <w:ind w:right="-232"/>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after="240" w:line="360" w:lineRule="auto"/>
        <w:ind w:left="0" w:right="-232"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En ese sentido, debe decirse que las facturas emitidas en favor de los proveedores, contratistas o prestadores de servicios, la cual se encuentra definida en el Glosario de Términos Hacendarios que emite el Instituto Hacendario del Estado de México, como:</w:t>
      </w:r>
    </w:p>
    <w:p w:rsidR="004E3F7B" w:rsidRPr="00C447C9" w:rsidRDefault="00FA7349">
      <w:pPr>
        <w:spacing w:before="120" w:after="120" w:line="276" w:lineRule="auto"/>
        <w:ind w:left="567" w:right="902"/>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i/>
          <w:sz w:val="22"/>
          <w:szCs w:val="22"/>
        </w:rPr>
        <w:t>“</w:t>
      </w:r>
      <w:r w:rsidRPr="00C447C9">
        <w:rPr>
          <w:rFonts w:ascii="Palatino Linotype" w:eastAsia="Palatino Linotype" w:hAnsi="Palatino Linotype" w:cs="Palatino Linotype"/>
          <w:b/>
          <w:i/>
          <w:sz w:val="22"/>
          <w:szCs w:val="22"/>
        </w:rPr>
        <w:t>FACTURA</w:t>
      </w:r>
    </w:p>
    <w:p w:rsidR="004E3F7B" w:rsidRPr="00C447C9" w:rsidRDefault="00FA7349">
      <w:pPr>
        <w:spacing w:before="120" w:after="120" w:line="276" w:lineRule="auto"/>
        <w:ind w:left="567" w:right="90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Es el documento fiscal que emite la persona física o moral para comprobar la venta o adquisición de un bien y/o servicio.” </w:t>
      </w:r>
    </w:p>
    <w:p w:rsidR="004E3F7B" w:rsidRPr="00C447C9" w:rsidRDefault="00FA7349">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rsidR="004E3F7B" w:rsidRPr="00C447C9" w:rsidRDefault="004E3F7B">
      <w:pPr>
        <w:pBdr>
          <w:top w:val="nil"/>
          <w:left w:val="nil"/>
          <w:bottom w:val="nil"/>
          <w:right w:val="nil"/>
          <w:between w:val="nil"/>
        </w:pBdr>
        <w:spacing w:before="240" w:line="360" w:lineRule="auto"/>
        <w:ind w:left="360"/>
        <w:jc w:val="both"/>
        <w:rPr>
          <w:rFonts w:ascii="Palatino Linotype" w:eastAsia="Palatino Linotype" w:hAnsi="Palatino Linotype" w:cs="Palatino Linotype"/>
          <w:sz w:val="22"/>
          <w:szCs w:val="22"/>
        </w:rPr>
      </w:pPr>
    </w:p>
    <w:p w:rsidR="004E3F7B" w:rsidRPr="00C447C9" w:rsidRDefault="00FA7349">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lastRenderedPageBreak/>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rsidR="004E3F7B" w:rsidRPr="00C447C9" w:rsidRDefault="00FA7349">
      <w:pPr>
        <w:spacing w:before="120" w:after="120" w:line="276" w:lineRule="auto"/>
        <w:ind w:firstLine="708"/>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b/>
          <w:i/>
          <w:sz w:val="22"/>
          <w:szCs w:val="22"/>
        </w:rPr>
        <w:t xml:space="preserve">“REGISTRO CONTABLE </w:t>
      </w:r>
    </w:p>
    <w:p w:rsidR="004E3F7B" w:rsidRPr="00C447C9" w:rsidRDefault="00FA7349">
      <w:pPr>
        <w:spacing w:before="120" w:after="120" w:line="276" w:lineRule="auto"/>
        <w:ind w:left="851" w:right="89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rsidR="004E3F7B" w:rsidRPr="00C447C9" w:rsidRDefault="00FA7349">
      <w:pPr>
        <w:spacing w:before="120" w:after="120" w:line="276" w:lineRule="auto"/>
        <w:ind w:right="899" w:firstLine="708"/>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b/>
          <w:i/>
          <w:sz w:val="22"/>
          <w:szCs w:val="22"/>
        </w:rPr>
        <w:t>“REGISTRO PRESUPUESTARIO</w:t>
      </w:r>
    </w:p>
    <w:p w:rsidR="004E3F7B" w:rsidRPr="00C447C9" w:rsidRDefault="00FA7349">
      <w:pPr>
        <w:spacing w:before="120" w:after="120" w:line="276" w:lineRule="auto"/>
        <w:ind w:left="708" w:right="89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rsidR="004E3F7B" w:rsidRPr="00C447C9" w:rsidRDefault="00FA7349">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Por otra parte, se establece que el sistema de contabilidad sobre base acumulativa total se sustentará en los principios de contabilidad gubernamental.</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lastRenderedPageBreak/>
        <w:t xml:space="preserve">Correlativo a lo anterior, es preciso referir una definición de </w:t>
      </w:r>
      <w:r w:rsidRPr="00C447C9">
        <w:rPr>
          <w:rFonts w:ascii="Palatino Linotype" w:eastAsia="Palatino Linotype" w:hAnsi="Palatino Linotype" w:cs="Palatino Linotype"/>
          <w:i/>
          <w:color w:val="000000"/>
          <w:sz w:val="22"/>
          <w:szCs w:val="22"/>
        </w:rPr>
        <w:t>póliza contable</w:t>
      </w:r>
      <w:r w:rsidRPr="00C447C9">
        <w:rPr>
          <w:rFonts w:ascii="Palatino Linotype" w:eastAsia="Palatino Linotype" w:hAnsi="Palatino Linotype" w:cs="Palatino Linotype"/>
          <w:color w:val="000000"/>
          <w:sz w:val="22"/>
          <w:szCs w:val="22"/>
        </w:rPr>
        <w:t xml:space="preserve">, la cual, primeramente, no está definida en el Código Financiero del Estado de México y Municipios; no obstante, los ya mencionados Glosarios la definen como: </w:t>
      </w:r>
    </w:p>
    <w:p w:rsidR="004E3F7B" w:rsidRPr="00C447C9" w:rsidRDefault="00FA7349">
      <w:pPr>
        <w:spacing w:before="120" w:after="120" w:line="276" w:lineRule="auto"/>
        <w:ind w:left="851" w:right="899"/>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i/>
          <w:sz w:val="22"/>
          <w:szCs w:val="22"/>
        </w:rPr>
        <w:t>“</w:t>
      </w:r>
      <w:r w:rsidRPr="00C447C9">
        <w:rPr>
          <w:rFonts w:ascii="Palatino Linotype" w:eastAsia="Palatino Linotype" w:hAnsi="Palatino Linotype" w:cs="Palatino Linotype"/>
          <w:b/>
          <w:i/>
          <w:sz w:val="22"/>
          <w:szCs w:val="22"/>
        </w:rPr>
        <w:t>PÓLIZA CONTABLE</w:t>
      </w:r>
    </w:p>
    <w:p w:rsidR="004E3F7B" w:rsidRPr="00C447C9" w:rsidRDefault="00FA7349">
      <w:pPr>
        <w:spacing w:before="120" w:after="120" w:line="276" w:lineRule="auto"/>
        <w:ind w:left="851" w:right="89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rsidR="004E3F7B" w:rsidRPr="00C447C9" w:rsidRDefault="00FA7349">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Así, se advierte que la </w:t>
      </w:r>
      <w:r w:rsidRPr="00C447C9">
        <w:rPr>
          <w:rFonts w:ascii="Palatino Linotype" w:eastAsia="Palatino Linotype" w:hAnsi="Palatino Linotype" w:cs="Palatino Linotype"/>
          <w:i/>
          <w:color w:val="000000"/>
          <w:sz w:val="22"/>
          <w:szCs w:val="22"/>
        </w:rPr>
        <w:t>póliza contable</w:t>
      </w:r>
      <w:r w:rsidRPr="00C447C9">
        <w:rPr>
          <w:rFonts w:ascii="Palatino Linotype" w:eastAsia="Palatino Linotype" w:hAnsi="Palatino Linotype" w:cs="Palatino Linotype"/>
          <w:color w:val="000000"/>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En este sentido, existen diversos tipos de pólizas contables de acuerdo a las operaciones realizadas, dentro de las cuales, encontramos las llamadas </w:t>
      </w:r>
      <w:r w:rsidRPr="00C447C9">
        <w:rPr>
          <w:rFonts w:ascii="Palatino Linotype" w:eastAsia="Palatino Linotype" w:hAnsi="Palatino Linotype" w:cs="Palatino Linotype"/>
          <w:i/>
          <w:color w:val="000000"/>
          <w:sz w:val="22"/>
          <w:szCs w:val="22"/>
        </w:rPr>
        <w:t>pólizas de egresos</w:t>
      </w:r>
      <w:r w:rsidRPr="00C447C9">
        <w:rPr>
          <w:rFonts w:ascii="Palatino Linotype" w:eastAsia="Palatino Linotype" w:hAnsi="Palatino Linotype" w:cs="Palatino Linotype"/>
          <w:color w:val="000000"/>
          <w:sz w:val="22"/>
          <w:szCs w:val="22"/>
        </w:rPr>
        <w:t xml:space="preserve">, son aquellas en las cuales se anotan diariamente las operaciones que representan gastos, es decir, salidas de dinero para el </w:t>
      </w:r>
      <w:r w:rsidRPr="00C447C9">
        <w:rPr>
          <w:rFonts w:ascii="Palatino Linotype" w:eastAsia="Palatino Linotype" w:hAnsi="Palatino Linotype" w:cs="Palatino Linotype"/>
          <w:b/>
          <w:color w:val="000000"/>
          <w:sz w:val="22"/>
          <w:szCs w:val="22"/>
        </w:rPr>
        <w:t>Sujeto Obligado</w:t>
      </w:r>
      <w:r w:rsidRPr="00C447C9">
        <w:rPr>
          <w:rFonts w:ascii="Palatino Linotype" w:eastAsia="Palatino Linotype" w:hAnsi="Palatino Linotype" w:cs="Palatino Linotype"/>
          <w:color w:val="000000"/>
          <w:sz w:val="22"/>
          <w:szCs w:val="22"/>
        </w:rPr>
        <w:t xml:space="preserve">, las que, además, deben encontrarse acompañadas de las documentales que sirven de soporte de dicho movimiento.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A mayor abundamiento de lo anterior, los Lineamientos para la Integración del Informe Trimestral Municipal Ejercicio Fiscal 2024, contemplan a las pólizas de egresos de la siguiente manera:</w:t>
      </w:r>
    </w:p>
    <w:p w:rsidR="004E3F7B" w:rsidRPr="00C447C9" w:rsidRDefault="004E3F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4E3F7B" w:rsidRPr="00C447C9" w:rsidRDefault="00FA734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noProof/>
          <w:sz w:val="22"/>
          <w:szCs w:val="22"/>
        </w:rPr>
        <w:lastRenderedPageBreak/>
        <w:drawing>
          <wp:inline distT="0" distB="0" distL="0" distR="0">
            <wp:extent cx="5608686" cy="5649937"/>
            <wp:effectExtent l="0" t="0" r="0" b="0"/>
            <wp:docPr id="12614340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08686" cy="5649937"/>
                    </a:xfrm>
                    <a:prstGeom prst="rect">
                      <a:avLst/>
                    </a:prstGeom>
                    <a:ln/>
                  </pic:spPr>
                </pic:pic>
              </a:graphicData>
            </a:graphic>
          </wp:inline>
        </w:drawing>
      </w:r>
    </w:p>
    <w:p w:rsidR="004E3F7B" w:rsidRPr="00C447C9" w:rsidRDefault="004E3F7B">
      <w:pPr>
        <w:widowControl w:val="0"/>
        <w:spacing w:line="360" w:lineRule="auto"/>
        <w:jc w:val="both"/>
        <w:rPr>
          <w:rFonts w:ascii="Palatino Linotype" w:eastAsia="Palatino Linotype" w:hAnsi="Palatino Linotype" w:cs="Palatino Linotype"/>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Por lo expuesto a través de estas líneas argumentativas es que se determina que el </w:t>
      </w:r>
      <w:r w:rsidRPr="00C447C9">
        <w:rPr>
          <w:rFonts w:ascii="Palatino Linotype" w:eastAsia="Palatino Linotype" w:hAnsi="Palatino Linotype" w:cs="Palatino Linotype"/>
          <w:b/>
          <w:color w:val="000000"/>
          <w:sz w:val="22"/>
          <w:szCs w:val="22"/>
        </w:rPr>
        <w:t>Sujeto Obligado</w:t>
      </w:r>
      <w:r w:rsidRPr="00C447C9">
        <w:rPr>
          <w:rFonts w:ascii="Palatino Linotype" w:eastAsia="Palatino Linotype" w:hAnsi="Palatino Linotype" w:cs="Palatino Linotype"/>
          <w:color w:val="000000"/>
          <w:sz w:val="22"/>
          <w:szCs w:val="22"/>
        </w:rPr>
        <w:t xml:space="preserve"> no acreditó el respectivo cambio de modalidad de entrega de la información, por lo que se determina </w:t>
      </w:r>
      <w:r w:rsidRPr="00C447C9">
        <w:rPr>
          <w:rFonts w:ascii="Palatino Linotype" w:eastAsia="Palatino Linotype" w:hAnsi="Palatino Linotype" w:cs="Palatino Linotype"/>
          <w:b/>
          <w:color w:val="000000"/>
          <w:sz w:val="22"/>
          <w:szCs w:val="22"/>
        </w:rPr>
        <w:t>REVOCAR</w:t>
      </w:r>
      <w:r w:rsidRPr="00C447C9">
        <w:rPr>
          <w:rFonts w:ascii="Palatino Linotype" w:eastAsia="Palatino Linotype" w:hAnsi="Palatino Linotype" w:cs="Palatino Linotype"/>
          <w:color w:val="000000"/>
          <w:sz w:val="22"/>
          <w:szCs w:val="22"/>
        </w:rPr>
        <w:t xml:space="preserve"> las respuestas y ordenar la entrega de la información mediante el SAIMEX.</w:t>
      </w:r>
    </w:p>
    <w:p w:rsidR="004E3F7B" w:rsidRPr="00C447C9" w:rsidRDefault="004E3F7B">
      <w:pPr>
        <w:pBdr>
          <w:top w:val="nil"/>
          <w:left w:val="nil"/>
          <w:bottom w:val="nil"/>
          <w:right w:val="nil"/>
          <w:between w:val="nil"/>
        </w:pBdr>
        <w:rPr>
          <w:rFonts w:ascii="Palatino Linotype" w:eastAsia="Palatino Linotype" w:hAnsi="Palatino Linotype" w:cs="Palatino Linotype"/>
          <w:color w:val="000000"/>
          <w:sz w:val="22"/>
          <w:szCs w:val="22"/>
        </w:rPr>
      </w:pP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C447C9">
        <w:rPr>
          <w:rFonts w:ascii="Palatino Linotype" w:eastAsia="Palatino Linotype" w:hAnsi="Palatino Linotype" w:cs="Palatino Linotype"/>
          <w:b/>
          <w:color w:val="000000"/>
          <w:sz w:val="22"/>
          <w:szCs w:val="22"/>
        </w:rPr>
        <w:t>RECURRENTE</w:t>
      </w:r>
      <w:r w:rsidRPr="00C447C9">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C447C9">
        <w:rPr>
          <w:rFonts w:ascii="Palatino Linotype" w:eastAsia="Palatino Linotype" w:hAnsi="Palatino Linotype" w:cs="Palatino Linotype"/>
          <w:b/>
          <w:color w:val="000000"/>
          <w:sz w:val="22"/>
          <w:szCs w:val="22"/>
        </w:rPr>
        <w:t>REVOCAN</w:t>
      </w:r>
      <w:r w:rsidRPr="00C447C9">
        <w:rPr>
          <w:rFonts w:ascii="Palatino Linotype" w:eastAsia="Palatino Linotype" w:hAnsi="Palatino Linotype" w:cs="Palatino Linotype"/>
          <w:color w:val="000000"/>
          <w:sz w:val="22"/>
          <w:szCs w:val="22"/>
        </w:rPr>
        <w:t xml:space="preserve"> las respuesta a las solicitudes de información que dieron origen a los recursos </w:t>
      </w:r>
      <w:r w:rsidRPr="00C447C9">
        <w:rPr>
          <w:rFonts w:ascii="Palatino Linotype" w:eastAsia="Palatino Linotype" w:hAnsi="Palatino Linotype" w:cs="Palatino Linotype"/>
          <w:b/>
          <w:color w:val="000000"/>
          <w:sz w:val="22"/>
          <w:szCs w:val="22"/>
        </w:rPr>
        <w:t>06593/INFOEM/IP/RR/2024, 06598/INFOEM/IP/RR/2024, 06613/INFOEM/IP/RR/2024 y  06623/INFOEM/IP/RR/2024.</w:t>
      </w:r>
    </w:p>
    <w:p w:rsidR="004E3F7B" w:rsidRPr="00C447C9" w:rsidRDefault="004E3F7B">
      <w:pPr>
        <w:spacing w:line="360" w:lineRule="auto"/>
        <w:ind w:right="49"/>
        <w:jc w:val="both"/>
        <w:rPr>
          <w:rFonts w:ascii="Palatino Linotype" w:eastAsia="Palatino Linotype" w:hAnsi="Palatino Linotype" w:cs="Palatino Linotype"/>
          <w:b/>
          <w:sz w:val="22"/>
          <w:szCs w:val="22"/>
        </w:rPr>
      </w:pPr>
    </w:p>
    <w:p w:rsidR="004E3F7B" w:rsidRPr="00C447C9" w:rsidRDefault="00FA7349">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C447C9">
        <w:rPr>
          <w:rFonts w:ascii="Palatino Linotype" w:eastAsia="Palatino Linotype" w:hAnsi="Palatino Linotype" w:cs="Palatino Linotype"/>
          <w:b/>
          <w:color w:val="000000"/>
          <w:sz w:val="22"/>
          <w:szCs w:val="22"/>
        </w:rPr>
        <w:t xml:space="preserve">Del recurso de revisión </w:t>
      </w:r>
      <w:r w:rsidRPr="00C447C9">
        <w:rPr>
          <w:rFonts w:ascii="Palatino Linotype" w:eastAsia="Palatino Linotype" w:hAnsi="Palatino Linotype" w:cs="Palatino Linotype"/>
          <w:b/>
          <w:sz w:val="22"/>
          <w:szCs w:val="22"/>
        </w:rPr>
        <w:t>06233/INFOEM/IP/RR/2024</w:t>
      </w:r>
      <w:r w:rsidRPr="00C447C9">
        <w:rPr>
          <w:rFonts w:ascii="Palatino Linotype" w:eastAsia="Palatino Linotype" w:hAnsi="Palatino Linotype" w:cs="Palatino Linotype"/>
          <w:b/>
          <w:color w:val="000000"/>
          <w:sz w:val="22"/>
          <w:szCs w:val="22"/>
        </w:rPr>
        <w:t>.</w:t>
      </w:r>
    </w:p>
    <w:p w:rsidR="004E3F7B" w:rsidRPr="00C447C9" w:rsidRDefault="004E3F7B">
      <w:pPr>
        <w:spacing w:line="360" w:lineRule="auto"/>
        <w:ind w:right="49"/>
        <w:jc w:val="both"/>
        <w:rPr>
          <w:rFonts w:ascii="Palatino Linotype" w:eastAsia="Palatino Linotype" w:hAnsi="Palatino Linotype" w:cs="Palatino Linotype"/>
          <w:sz w:val="22"/>
          <w:szCs w:val="22"/>
        </w:rPr>
      </w:pPr>
    </w:p>
    <w:p w:rsidR="004E3F7B" w:rsidRPr="00C447C9" w:rsidRDefault="00FA7349">
      <w:pPr>
        <w:numPr>
          <w:ilvl w:val="0"/>
          <w:numId w:val="2"/>
        </w:numPr>
        <w:spacing w:line="360" w:lineRule="auto"/>
        <w:ind w:left="0" w:right="49"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Primeramente, es necesario señalar que el particular solicitó la documental a través de la cual el Secretario de Ayuntamiento ha dado cuenta de manera mensual al cabildo del número y contenido de los expedientes pasados a comisión, mencionando los ya resueltos y los pendientes esto durante la administración 2022 2024, en respuesta,  el Secretario del Ayuntamiento, solicita se declare la inexistencia de la información solicitada a efecto de que sea aprobada por el Comité de Transparencia,  informa que esta Secretaría del Ayuntamiento no ha recibido asuntos para ser turnados a comisiones y no obran en los archivos de esta Secretaría del Ayuntamiento información relacionada con el tema referido. </w:t>
      </w:r>
    </w:p>
    <w:p w:rsidR="004E3F7B" w:rsidRPr="00C447C9" w:rsidRDefault="004E3F7B">
      <w:pPr>
        <w:spacing w:line="360" w:lineRule="auto"/>
        <w:ind w:left="360" w:right="49"/>
        <w:jc w:val="both"/>
        <w:rPr>
          <w:rFonts w:ascii="Palatino Linotype" w:eastAsia="Palatino Linotype" w:hAnsi="Palatino Linotype" w:cs="Palatino Linotype"/>
          <w:sz w:val="22"/>
          <w:szCs w:val="22"/>
        </w:rPr>
      </w:pPr>
    </w:p>
    <w:p w:rsidR="004E3F7B" w:rsidRPr="00C447C9" w:rsidRDefault="00FA7349">
      <w:pPr>
        <w:numPr>
          <w:ilvl w:val="0"/>
          <w:numId w:val="2"/>
        </w:numPr>
        <w:spacing w:line="360" w:lineRule="auto"/>
        <w:ind w:left="0" w:right="49" w:firstLine="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De conformidad con el artículo 92 de  la  Ley Orgánica Municipal, la  Secretaría de Ayuntamiento tiene las siguientes atribuciones:</w:t>
      </w:r>
    </w:p>
    <w:p w:rsidR="004E3F7B" w:rsidRPr="00C447C9" w:rsidRDefault="004E3F7B">
      <w:pPr>
        <w:spacing w:line="360" w:lineRule="auto"/>
        <w:ind w:left="360" w:right="49"/>
        <w:jc w:val="both"/>
        <w:rPr>
          <w:rFonts w:ascii="Palatino Linotype" w:eastAsia="Palatino Linotype" w:hAnsi="Palatino Linotype" w:cs="Palatino Linotype"/>
          <w:sz w:val="22"/>
          <w:szCs w:val="22"/>
        </w:rPr>
      </w:pPr>
    </w:p>
    <w:p w:rsidR="004E3F7B" w:rsidRPr="00C447C9" w:rsidRDefault="004E3F7B">
      <w:pPr>
        <w:spacing w:line="360" w:lineRule="auto"/>
        <w:ind w:right="49"/>
        <w:jc w:val="both"/>
        <w:rPr>
          <w:rFonts w:ascii="Palatino Linotype" w:eastAsia="Palatino Linotype" w:hAnsi="Palatino Linotype" w:cs="Palatino Linotype"/>
          <w:sz w:val="22"/>
          <w:szCs w:val="22"/>
        </w:rPr>
      </w:pPr>
    </w:p>
    <w:p w:rsidR="004E3F7B" w:rsidRPr="00C447C9" w:rsidRDefault="004E3F7B">
      <w:pPr>
        <w:spacing w:line="360" w:lineRule="auto"/>
        <w:ind w:right="49"/>
        <w:jc w:val="both"/>
        <w:rPr>
          <w:rFonts w:ascii="Palatino Linotype" w:eastAsia="Palatino Linotype" w:hAnsi="Palatino Linotype" w:cs="Palatino Linotype"/>
          <w:sz w:val="22"/>
          <w:szCs w:val="22"/>
        </w:rPr>
      </w:pP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lastRenderedPageBreak/>
        <w:t>Artículo 91.- La Secretaría del Ayuntamiento estará a cargo de un Secretario, el que, sin ser  miembro del mismo, deberá ser nombrado por el propio Ayuntamiento a propuesta del  Presidente Municipal como lo marca el artículo 31 de la presente ley.</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Sus faltas temporales  serán cubiertas por quien designe el Ayuntamiento y sus atribuciones son las siguientes: </w:t>
      </w:r>
    </w:p>
    <w:p w:rsidR="004E3F7B" w:rsidRPr="00C447C9" w:rsidRDefault="004E3F7B">
      <w:pPr>
        <w:spacing w:line="360" w:lineRule="auto"/>
        <w:ind w:left="1417" w:right="49"/>
        <w:jc w:val="both"/>
        <w:rPr>
          <w:rFonts w:ascii="Palatino Linotype" w:eastAsia="Palatino Linotype" w:hAnsi="Palatino Linotype" w:cs="Palatino Linotype"/>
          <w:i/>
          <w:sz w:val="22"/>
          <w:szCs w:val="22"/>
        </w:rPr>
      </w:pP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I. Asistir a las sesiones del ayuntamiento y levantar las actas correspondientes;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II. Emitir los citatorios para la celebración de las sesiones de cabildo, convocadas legalmente; </w:t>
      </w:r>
    </w:p>
    <w:p w:rsidR="004E3F7B" w:rsidRPr="00C447C9" w:rsidRDefault="00FA7349">
      <w:pPr>
        <w:spacing w:line="360" w:lineRule="auto"/>
        <w:ind w:left="1417" w:right="49"/>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i/>
          <w:sz w:val="22"/>
          <w:szCs w:val="22"/>
        </w:rPr>
        <w:t xml:space="preserve">III. </w:t>
      </w:r>
      <w:r w:rsidRPr="00C447C9">
        <w:rPr>
          <w:rFonts w:ascii="Palatino Linotype" w:eastAsia="Palatino Linotype" w:hAnsi="Palatino Linotype" w:cs="Palatino Linotype"/>
          <w:b/>
          <w:i/>
          <w:sz w:val="22"/>
          <w:szCs w:val="22"/>
        </w:rPr>
        <w:t xml:space="preserve">Dar cuenta en la primera sesión de cada mes, del número y contenido de los expedientes  pasados a comisión, con mención de los que hayan sido resueltos y de los pendientes;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IV. Llevar y conservar los libros de actas de cabildo, obteniendo las firmas de los asistentes a  las sesiones;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V. Validar con su firma, los documentos oficiales emanados del ayuntamiento o de cualquiera de sus miembros;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VI. Tener a su cargo el archivo general del ayuntamiento;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VII. Controlar y distribuir la correspondencia oficial del ayuntamiento, dando cuenta diaria al presidente municipal para acordar su trámite;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VIII. Publicar los reglamentos, circulares y demás disposiciones municipales de observancia  general;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IX. Compilar leyes, decretos, reglamentos, periódicos oficiales del estado, circulares y órdenes relativas a los distintos sectores de la administración pública municipal;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lastRenderedPageBreak/>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rsidR="004E3F7B" w:rsidRPr="00C447C9" w:rsidRDefault="00FA7349">
      <w:pPr>
        <w:spacing w:line="360" w:lineRule="auto"/>
        <w:ind w:left="1417" w:right="49"/>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XII. Integrar un sistema de información que contenga datos de los aspectos socio-económicos  básicos del municipio;</w:t>
      </w:r>
    </w:p>
    <w:p w:rsidR="004E3F7B" w:rsidRPr="00C447C9" w:rsidRDefault="004E3F7B">
      <w:pPr>
        <w:spacing w:line="360" w:lineRule="auto"/>
        <w:ind w:left="1417" w:right="49"/>
        <w:jc w:val="both"/>
        <w:rPr>
          <w:rFonts w:ascii="Palatino Linotype" w:eastAsia="Palatino Linotype" w:hAnsi="Palatino Linotype" w:cs="Palatino Linotype"/>
          <w:sz w:val="22"/>
          <w:szCs w:val="22"/>
        </w:rPr>
      </w:pPr>
    </w:p>
    <w:p w:rsidR="004E3F7B" w:rsidRPr="00C447C9" w:rsidRDefault="00FA7349">
      <w:pPr>
        <w:numPr>
          <w:ilvl w:val="0"/>
          <w:numId w:val="2"/>
        </w:numPr>
        <w:spacing w:before="240" w:after="240" w:line="360" w:lineRule="auto"/>
        <w:ind w:left="0" w:firstLine="0"/>
        <w:jc w:val="both"/>
        <w:rPr>
          <w:color w:val="222222"/>
          <w:sz w:val="22"/>
          <w:szCs w:val="22"/>
        </w:rPr>
      </w:pPr>
      <w:r w:rsidRPr="00C447C9">
        <w:rPr>
          <w:rFonts w:ascii="Palatino Linotype" w:eastAsia="Palatino Linotype" w:hAnsi="Palatino Linotype" w:cs="Palatino Linotype"/>
          <w:sz w:val="22"/>
          <w:szCs w:val="22"/>
        </w:rPr>
        <w:t xml:space="preserve"> Por tanto, </w:t>
      </w:r>
      <w:r w:rsidRPr="00C447C9">
        <w:rPr>
          <w:rFonts w:ascii="Palatino Linotype" w:eastAsia="Palatino Linotype" w:hAnsi="Palatino Linotype" w:cs="Palatino Linotype"/>
          <w:color w:val="222222"/>
          <w:sz w:val="22"/>
          <w:szCs w:val="22"/>
        </w:rPr>
        <w:t xml:space="preserve">la respuesta fue proporcionada por </w:t>
      </w:r>
      <w:r w:rsidRPr="00C447C9">
        <w:rPr>
          <w:rFonts w:ascii="Palatino Linotype" w:eastAsia="Palatino Linotype" w:hAnsi="Palatino Linotype" w:cs="Palatino Linotype"/>
          <w:sz w:val="22"/>
          <w:szCs w:val="22"/>
        </w:rPr>
        <w:t>la Unidad Administrativa Competentes, siguiendo el procedimiento establecido por el artículo 162 de la Ley de Transparencia y Acceso a la Información Pública del Estado de México y Municipios, ya que turnó la solicitud al área en la que podría obrar la información, sin embargo   informa que esta Secretaría del Ayuntamiento no ha recibido asuntos para ser turnados a comisiones y no obran en los archivos de esta Secretaría del Ayuntamiento información relacionada con el tema referido.</w:t>
      </w: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sz w:val="22"/>
          <w:szCs w:val="22"/>
        </w:rPr>
        <w:lastRenderedPageBreak/>
        <w:t xml:space="preserve">A más de lo anterior, la respuesta corresponde a un sentido negativo, Por consiguiente toda vez que no posee, administra ni genera la información requerida por el particular, constituye un hecho negativo; entonces, si se considera el hecho negativo, es obvio que éste no puede fácticamente obrar en los archivos del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ya que no puede probarse por ser lógica y materialmente imposible.</w:t>
      </w: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4E3F7B" w:rsidRPr="00C447C9" w:rsidRDefault="00FA7349">
      <w:pPr>
        <w:spacing w:before="240" w:after="240" w:line="360" w:lineRule="auto"/>
        <w:ind w:left="860" w:right="560"/>
        <w:jc w:val="both"/>
        <w:rPr>
          <w:rFonts w:ascii="Palatino Linotype" w:eastAsia="Palatino Linotype" w:hAnsi="Palatino Linotype" w:cs="Palatino Linotype"/>
          <w:b/>
          <w:i/>
          <w:sz w:val="22"/>
          <w:szCs w:val="22"/>
        </w:rPr>
      </w:pPr>
      <w:r w:rsidRPr="00C447C9">
        <w:rPr>
          <w:rFonts w:ascii="Palatino Linotype" w:eastAsia="Palatino Linotype" w:hAnsi="Palatino Linotype" w:cs="Palatino Linotype"/>
          <w:b/>
          <w:i/>
          <w:sz w:val="22"/>
          <w:szCs w:val="22"/>
        </w:rPr>
        <w:t>HECHOS NEGATIVOS, NO SON SUSCEPTIBLES DE DEMOSTRACIÓN.</w:t>
      </w:r>
    </w:p>
    <w:p w:rsidR="004E3F7B" w:rsidRPr="00C447C9" w:rsidRDefault="00FA7349">
      <w:pPr>
        <w:spacing w:before="240" w:after="240" w:line="360" w:lineRule="auto"/>
        <w:ind w:left="860" w:right="560"/>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rsidR="004E3F7B" w:rsidRPr="00C447C9" w:rsidRDefault="00FA7349">
      <w:pPr>
        <w:spacing w:before="240" w:after="240" w:line="360" w:lineRule="auto"/>
        <w:ind w:left="860" w:right="560"/>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i/>
          <w:sz w:val="22"/>
          <w:szCs w:val="22"/>
        </w:rPr>
        <w:t>Amparo en revisión 2022/61. José García Florín (Menor). 9 de octubre de 1961. Cinco votos. Ponente: José Rivera Pérez Campos.”</w:t>
      </w: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sz w:val="22"/>
          <w:szCs w:val="22"/>
        </w:rPr>
        <w:t xml:space="preserve">Además, y de conformidad con lo establecido en el artículo 12 de la </w:t>
      </w:r>
      <w:r w:rsidRPr="00C447C9">
        <w:rPr>
          <w:rFonts w:ascii="Palatino Linotype" w:eastAsia="Palatino Linotype" w:hAnsi="Palatino Linotype" w:cs="Palatino Linotype"/>
          <w:b/>
          <w:sz w:val="22"/>
          <w:szCs w:val="22"/>
        </w:rPr>
        <w:t>Ley de Transparencia y Acceso a la Información Pública del Estado de México y Municipios</w:t>
      </w:r>
      <w:r w:rsidRPr="00C447C9">
        <w:rPr>
          <w:rFonts w:ascii="Palatino Linotype" w:eastAsia="Palatino Linotype" w:hAnsi="Palatino Linotype" w:cs="Palatino Linotype"/>
          <w:sz w:val="22"/>
          <w:szCs w:val="22"/>
        </w:rPr>
        <w:t xml:space="preserve">, anteriormente invocado, 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xml:space="preserve"> únicamente proporcionará la información </w:t>
      </w:r>
      <w:r w:rsidRPr="00C447C9">
        <w:rPr>
          <w:rFonts w:ascii="Palatino Linotype" w:eastAsia="Palatino Linotype" w:hAnsi="Palatino Linotype" w:cs="Palatino Linotype"/>
          <w:sz w:val="22"/>
          <w:szCs w:val="22"/>
        </w:rPr>
        <w:lastRenderedPageBreak/>
        <w:t>que obra en sus archivos, lo que a</w:t>
      </w:r>
      <w:r w:rsidRPr="00C447C9">
        <w:rPr>
          <w:rFonts w:ascii="Palatino Linotype" w:eastAsia="Palatino Linotype" w:hAnsi="Palatino Linotype" w:cs="Palatino Linotype"/>
          <w:i/>
          <w:sz w:val="22"/>
          <w:szCs w:val="22"/>
        </w:rPr>
        <w:t xml:space="preserve"> contrario sensu</w:t>
      </w:r>
      <w:r w:rsidRPr="00C447C9">
        <w:rPr>
          <w:rFonts w:ascii="Palatino Linotype" w:eastAsia="Palatino Linotype" w:hAnsi="Palatino Linotype" w:cs="Palatino Linotype"/>
          <w:sz w:val="22"/>
          <w:szCs w:val="22"/>
        </w:rPr>
        <w:t xml:space="preserve"> significa que no se está obligado a proporcionar lo que no obre en sus archivos.</w:t>
      </w: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rPr>
        <w:t>D</w:t>
      </w:r>
      <w:r w:rsidRPr="00C447C9">
        <w:rPr>
          <w:rFonts w:ascii="Palatino Linotype" w:eastAsia="Palatino Linotype" w:hAnsi="Palatino Linotype" w:cs="Palatino Linotype"/>
          <w:sz w:val="22"/>
          <w:szCs w:val="22"/>
        </w:rPr>
        <w:t>e igual forma, es aplicable el criterio 7/2017, emitido en la Segunda Época por el Instituto Nacional de Transparencia, Acceso a la Información y Protección de Datos Personales (INAI), el cual señala lo siguiente:</w:t>
      </w:r>
    </w:p>
    <w:p w:rsidR="004E3F7B" w:rsidRPr="00C447C9" w:rsidRDefault="004E3F7B">
      <w:pPr>
        <w:tabs>
          <w:tab w:val="left" w:pos="426"/>
        </w:tabs>
        <w:spacing w:line="276" w:lineRule="auto"/>
        <w:ind w:right="51"/>
        <w:jc w:val="both"/>
        <w:rPr>
          <w:rFonts w:ascii="Palatino Linotype" w:eastAsia="Palatino Linotype" w:hAnsi="Palatino Linotype" w:cs="Palatino Linotype"/>
        </w:rPr>
      </w:pPr>
    </w:p>
    <w:p w:rsidR="004E3F7B" w:rsidRPr="00C447C9" w:rsidRDefault="00FA7349">
      <w:pPr>
        <w:tabs>
          <w:tab w:val="left" w:pos="426"/>
          <w:tab w:val="left" w:pos="567"/>
        </w:tabs>
        <w:spacing w:line="276" w:lineRule="auto"/>
        <w:ind w:left="567" w:right="565"/>
        <w:jc w:val="both"/>
        <w:rPr>
          <w:rFonts w:ascii="Palatino Linotype" w:eastAsia="Palatino Linotype" w:hAnsi="Palatino Linotype" w:cs="Palatino Linotype"/>
          <w:i/>
        </w:rPr>
      </w:pPr>
      <w:r w:rsidRPr="00C447C9">
        <w:rPr>
          <w:rFonts w:ascii="Palatino Linotype" w:eastAsia="Palatino Linotype" w:hAnsi="Palatino Linotype" w:cs="Palatino Linotype"/>
          <w:i/>
          <w:sz w:val="22"/>
          <w:szCs w:val="22"/>
        </w:rPr>
        <w:t>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C447C9">
        <w:rPr>
          <w:rFonts w:ascii="Palatino Linotype" w:eastAsia="Palatino Linotype" w:hAnsi="Palatino Linotype" w:cs="Palatino Linotype"/>
          <w:i/>
        </w:rPr>
        <w:t xml:space="preserve">. </w:t>
      </w:r>
    </w:p>
    <w:p w:rsidR="004E3F7B" w:rsidRPr="00C447C9" w:rsidRDefault="004E3F7B">
      <w:pPr>
        <w:tabs>
          <w:tab w:val="left" w:pos="426"/>
        </w:tabs>
        <w:spacing w:line="360" w:lineRule="auto"/>
        <w:ind w:right="51"/>
        <w:jc w:val="both"/>
        <w:rPr>
          <w:rFonts w:ascii="Palatino Linotype" w:eastAsia="Palatino Linotype" w:hAnsi="Palatino Linotype" w:cs="Palatino Linotype"/>
        </w:rPr>
      </w:pPr>
    </w:p>
    <w:p w:rsidR="004E3F7B" w:rsidRPr="00C447C9" w:rsidRDefault="00FA7349">
      <w:pPr>
        <w:numPr>
          <w:ilvl w:val="0"/>
          <w:numId w:val="2"/>
        </w:numPr>
        <w:spacing w:before="240" w:after="240" w:line="360" w:lineRule="auto"/>
        <w:ind w:left="0" w:firstLine="0"/>
        <w:jc w:val="both"/>
        <w:rPr>
          <w:color w:val="222222"/>
          <w:sz w:val="20"/>
          <w:szCs w:val="20"/>
        </w:rPr>
      </w:pPr>
      <w:r w:rsidRPr="00C447C9">
        <w:rPr>
          <w:rFonts w:ascii="Palatino Linotype" w:eastAsia="Palatino Linotype" w:hAnsi="Palatino Linotype" w:cs="Palatino Linotype"/>
          <w:sz w:val="22"/>
          <w:szCs w:val="22"/>
        </w:rPr>
        <w:t xml:space="preserve">Ahora bien respecto de la respuesta emitida,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C447C9">
        <w:rPr>
          <w:rFonts w:ascii="Palatino Linotype" w:eastAsia="Palatino Linotype" w:hAnsi="Palatino Linotype" w:cs="Palatino Linotype"/>
          <w:i/>
          <w:sz w:val="22"/>
          <w:szCs w:val="22"/>
        </w:rPr>
        <w:t>máxime</w:t>
      </w:r>
      <w:r w:rsidRPr="00C447C9">
        <w:rPr>
          <w:rFonts w:ascii="Palatino Linotype" w:eastAsia="Palatino Linotype" w:hAnsi="Palatino Linotype" w:cs="Palatino Linotype"/>
          <w:sz w:val="22"/>
          <w:szCs w:val="22"/>
        </w:rPr>
        <w:t xml:space="preserve"> que </w:t>
      </w:r>
      <w:r w:rsidRPr="00C447C9">
        <w:rPr>
          <w:rFonts w:ascii="Palatino Linotype" w:eastAsia="Palatino Linotype" w:hAnsi="Palatino Linotype" w:cs="Palatino Linotype"/>
          <w:b/>
          <w:sz w:val="22"/>
          <w:szCs w:val="22"/>
          <w:u w:val="single"/>
        </w:rPr>
        <w:t>al momento que ponen a disposición ésta, la misma tiene el carácter oficial y se presume veraz, tan es así que la misma queda registrada en el Sistema de Acceso a la Información Mexiquense (SAIMEX).</w:t>
      </w:r>
    </w:p>
    <w:p w:rsidR="004E3F7B" w:rsidRPr="00C447C9" w:rsidRDefault="00FA7349">
      <w:pPr>
        <w:numPr>
          <w:ilvl w:val="0"/>
          <w:numId w:val="2"/>
        </w:numPr>
        <w:spacing w:before="240" w:after="240" w:line="360" w:lineRule="auto"/>
        <w:ind w:left="0" w:firstLine="0"/>
        <w:jc w:val="both"/>
        <w:rPr>
          <w:color w:val="222222"/>
          <w:sz w:val="22"/>
          <w:szCs w:val="22"/>
        </w:rPr>
      </w:pPr>
      <w:r w:rsidRPr="00C447C9">
        <w:rPr>
          <w:rFonts w:ascii="Palatino Linotype" w:eastAsia="Palatino Linotype" w:hAnsi="Palatino Linotype" w:cs="Palatino Linotype"/>
          <w:sz w:val="22"/>
          <w:szCs w:val="22"/>
        </w:rPr>
        <w:lastRenderedPageBreak/>
        <w:t xml:space="preserve">En consecuencia, este Órgano Garante determina que se atendió cabalmente el derecho de acceso a la información ejercido por el </w:t>
      </w:r>
      <w:r w:rsidRPr="00C447C9">
        <w:rPr>
          <w:rFonts w:ascii="Palatino Linotype" w:eastAsia="Palatino Linotype" w:hAnsi="Palatino Linotype" w:cs="Palatino Linotype"/>
          <w:b/>
          <w:sz w:val="22"/>
          <w:szCs w:val="22"/>
        </w:rPr>
        <w:t>RECURRENTE</w:t>
      </w:r>
      <w:r w:rsidRPr="00C447C9">
        <w:rPr>
          <w:rFonts w:ascii="Palatino Linotype" w:eastAsia="Palatino Linotype" w:hAnsi="Palatino Linotype" w:cs="Palatino Linotype"/>
          <w:sz w:val="22"/>
          <w:szCs w:val="22"/>
        </w:rPr>
        <w:t xml:space="preserve">, debido a que 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xml:space="preserve"> dio atención a lo requerido por medio del Servidor Público Habilitado correspondiente.</w:t>
      </w:r>
    </w:p>
    <w:p w:rsidR="004E3F7B" w:rsidRPr="00C447C9" w:rsidRDefault="00FA7349">
      <w:pPr>
        <w:numPr>
          <w:ilvl w:val="0"/>
          <w:numId w:val="2"/>
        </w:numPr>
        <w:spacing w:before="240" w:after="240" w:line="360" w:lineRule="auto"/>
        <w:ind w:left="0" w:firstLine="0"/>
        <w:jc w:val="both"/>
        <w:rPr>
          <w:color w:val="222222"/>
          <w:sz w:val="22"/>
          <w:szCs w:val="22"/>
        </w:rPr>
      </w:pPr>
      <w:r w:rsidRPr="00C447C9">
        <w:rPr>
          <w:rFonts w:ascii="Palatino Linotype" w:eastAsia="Palatino Linotype" w:hAnsi="Palatino Linotype" w:cs="Palatino Linotype"/>
          <w:sz w:val="22"/>
          <w:szCs w:val="22"/>
        </w:rPr>
        <w:t xml:space="preserve">De lo anterior y en relación a lo señalado por el SUJETO OBLIGADO, estableciendo que </w:t>
      </w:r>
      <w:r w:rsidRPr="00C447C9">
        <w:rPr>
          <w:rFonts w:ascii="Palatino Linotype" w:eastAsia="Palatino Linotype" w:hAnsi="Palatino Linotype" w:cs="Palatino Linotype"/>
          <w:b/>
          <w:sz w:val="22"/>
          <w:szCs w:val="22"/>
        </w:rPr>
        <w:t>en los archivos no se encontró la información solicitada, por no haberse generado, poseído o administrado, se trata de un hecho negativo</w:t>
      </w:r>
      <w:r w:rsidRPr="00C447C9">
        <w:rPr>
          <w:rFonts w:ascii="Palatino Linotype" w:eastAsia="Palatino Linotype" w:hAnsi="Palatino Linotype" w:cs="Palatino Linotype"/>
          <w:sz w:val="22"/>
          <w:szCs w:val="22"/>
        </w:rPr>
        <w:t xml:space="preserve">; en este sentido, se obvia que no puede fácticamente obrar en los archivos del </w:t>
      </w:r>
      <w:r w:rsidRPr="00C447C9">
        <w:rPr>
          <w:rFonts w:ascii="Palatino Linotype" w:eastAsia="Palatino Linotype" w:hAnsi="Palatino Linotype" w:cs="Palatino Linotype"/>
          <w:b/>
          <w:sz w:val="22"/>
          <w:szCs w:val="22"/>
        </w:rPr>
        <w:t>SUJETO OBLIGADO</w:t>
      </w:r>
      <w:r w:rsidRPr="00C447C9">
        <w:rPr>
          <w:rFonts w:ascii="Palatino Linotype" w:eastAsia="Palatino Linotype" w:hAnsi="Palatino Linotype" w:cs="Palatino Linotype"/>
          <w:sz w:val="22"/>
          <w:szCs w:val="22"/>
        </w:rPr>
        <w:t>, ya que no puede probarse por ser lógica y materialmente imposible, y al no haber existido, no cuenta con la misma.</w:t>
      </w:r>
    </w:p>
    <w:p w:rsidR="004E3F7B" w:rsidRPr="00C447C9" w:rsidRDefault="00FA7349">
      <w:pPr>
        <w:numPr>
          <w:ilvl w:val="0"/>
          <w:numId w:val="2"/>
        </w:numPr>
        <w:spacing w:before="240" w:after="240" w:line="360" w:lineRule="auto"/>
        <w:ind w:left="0" w:firstLine="0"/>
        <w:jc w:val="both"/>
        <w:rPr>
          <w:color w:val="222222"/>
          <w:sz w:val="22"/>
          <w:szCs w:val="22"/>
        </w:rPr>
      </w:pPr>
      <w:r w:rsidRPr="00C447C9">
        <w:rPr>
          <w:rFonts w:ascii="Palatino Linotype" w:eastAsia="Palatino Linotype" w:hAnsi="Palatino Linotype" w:cs="Palatino Linotype"/>
          <w:b/>
          <w:sz w:val="22"/>
          <w:szCs w:val="22"/>
          <w:u w:val="single"/>
        </w:rPr>
        <w:t>E</w:t>
      </w:r>
      <w:r w:rsidRPr="00C447C9">
        <w:rPr>
          <w:rFonts w:ascii="Palatino Linotype" w:eastAsia="Palatino Linotype" w:hAnsi="Palatino Linotype" w:cs="Palatino Linotype"/>
          <w:sz w:val="22"/>
          <w:szCs w:val="22"/>
        </w:rPr>
        <w:t>n consecuencia, al no existir más requerimientos, es que resulta idóneo</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CONFIRMAR la respuesta del Sujeto Obligado. </w:t>
      </w:r>
    </w:p>
    <w:p w:rsidR="004E3F7B" w:rsidRPr="00C447C9" w:rsidRDefault="004E3F7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E3F7B" w:rsidRPr="00C447C9" w:rsidRDefault="00FA734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9" w:name="_heading=h.2s8eyo1" w:colFirst="0" w:colLast="0"/>
      <w:bookmarkEnd w:id="9"/>
      <w:r w:rsidRPr="00C447C9">
        <w:rPr>
          <w:rFonts w:ascii="Palatino Linotype" w:eastAsia="Palatino Linotype" w:hAnsi="Palatino Linotype" w:cs="Palatino Linotype"/>
          <w:b/>
          <w:color w:val="000000"/>
          <w:sz w:val="22"/>
          <w:szCs w:val="22"/>
        </w:rPr>
        <w:t>QUINTO. De la versión pública.</w:t>
      </w:r>
    </w:p>
    <w:p w:rsidR="004E3F7B" w:rsidRPr="00C447C9" w:rsidRDefault="004E3F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Debe destacarse que, debido a la naturaleza de la información solicitada</w:t>
      </w:r>
      <w:r w:rsidRPr="00C447C9">
        <w:rPr>
          <w:rFonts w:ascii="Palatino Linotype" w:eastAsia="Palatino Linotype" w:hAnsi="Palatino Linotype" w:cs="Palatino Linotype"/>
          <w:b/>
          <w:color w:val="000000"/>
          <w:sz w:val="22"/>
          <w:szCs w:val="22"/>
        </w:rPr>
        <w:t xml:space="preserve"> </w:t>
      </w:r>
      <w:r w:rsidRPr="00C447C9">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4E3F7B" w:rsidRPr="00C447C9" w:rsidRDefault="004E3F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4E3F7B" w:rsidRPr="00C447C9" w:rsidRDefault="00FA7349">
      <w:pPr>
        <w:numPr>
          <w:ilvl w:val="0"/>
          <w:numId w:val="2"/>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4E3F7B" w:rsidRPr="00C447C9" w:rsidRDefault="004E3F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Style w:val="aa"/>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38"/>
        <w:gridCol w:w="6990"/>
      </w:tblGrid>
      <w:tr w:rsidR="004E3F7B" w:rsidRPr="00C447C9" w:rsidTr="004E3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E3F7B" w:rsidRPr="00C447C9" w:rsidRDefault="00FA7349">
            <w:pPr>
              <w:spacing w:line="360" w:lineRule="auto"/>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a) Requisitos previos.</w:t>
            </w:r>
          </w:p>
        </w:tc>
        <w:tc>
          <w:tcPr>
            <w:tcW w:w="6990" w:type="dxa"/>
          </w:tcPr>
          <w:p w:rsidR="004E3F7B" w:rsidRPr="00C447C9" w:rsidRDefault="00FA7349">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E3F7B" w:rsidRPr="00C447C9" w:rsidRDefault="00FA7349">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Al hacerlo tienen que precisar de qué información se trata, señalando el supuesto de clasificación (confidencialidad o reserva).</w:t>
            </w:r>
          </w:p>
          <w:p w:rsidR="004E3F7B" w:rsidRPr="00C447C9" w:rsidRDefault="00FA7349">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Además, se debe señalar el procedimiento, de los tres que establecen los artículos 132 y 106 de la Ley Estatal y General, respectivamente.</w:t>
            </w:r>
          </w:p>
          <w:p w:rsidR="004E3F7B" w:rsidRPr="00C447C9" w:rsidRDefault="00FA7349">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 xml:space="preserve">El último de estos requisitos previos consiste en que no se pueden emitir acuerdos de carácter general ni particular, esto es, </w:t>
            </w:r>
            <w:r w:rsidRPr="00C447C9">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C447C9">
              <w:rPr>
                <w:rFonts w:ascii="Palatino Linotype" w:eastAsia="Palatino Linotype" w:hAnsi="Palatino Linotype" w:cs="Palatino Linotype"/>
                <w:b w:val="0"/>
                <w:sz w:val="22"/>
                <w:szCs w:val="22"/>
              </w:rPr>
              <w:t>sin individualizar su análisis y tampoco se puede hacer un acuerdo por cada dato que se vaya a clasificar dentro de un documento con diez datos, por ejemplo, susceptibles de ser clasificados.</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E3F7B" w:rsidRPr="00C447C9" w:rsidRDefault="00FA7349">
            <w:pPr>
              <w:spacing w:line="360" w:lineRule="auto"/>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b) Supuestos de clasificación.</w:t>
            </w:r>
          </w:p>
        </w:tc>
        <w:tc>
          <w:tcPr>
            <w:tcW w:w="6990" w:type="dxa"/>
          </w:tcPr>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C447C9">
              <w:rPr>
                <w:rFonts w:ascii="Palatino Linotype" w:eastAsia="Palatino Linotype" w:hAnsi="Palatino Linotype" w:cs="Palatino Linotype"/>
                <w:sz w:val="22"/>
                <w:szCs w:val="22"/>
              </w:rPr>
              <w:lastRenderedPageBreak/>
              <w:t>manera restrictiva y limitada, por lo que debe acreditarse que se cumple con esta condición y no se pueden ampliar las excepciones o supuestos de clasificación aduciendo analogía o mayoría de razón.</w:t>
            </w:r>
          </w:p>
          <w:p w:rsidR="004E3F7B" w:rsidRPr="00C447C9" w:rsidRDefault="00FA7349">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E3F7B" w:rsidRPr="00C447C9" w:rsidTr="004E3F7B">
        <w:tc>
          <w:tcPr>
            <w:cnfStyle w:val="001000000000" w:firstRow="0" w:lastRow="0" w:firstColumn="1" w:lastColumn="0" w:oddVBand="0" w:evenVBand="0" w:oddHBand="0" w:evenHBand="0" w:firstRowFirstColumn="0" w:firstRowLastColumn="0" w:lastRowFirstColumn="0" w:lastRowLastColumn="0"/>
            <w:tcW w:w="1838" w:type="dxa"/>
          </w:tcPr>
          <w:p w:rsidR="004E3F7B" w:rsidRPr="00C447C9" w:rsidRDefault="00FA7349">
            <w:pPr>
              <w:spacing w:line="360" w:lineRule="auto"/>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lastRenderedPageBreak/>
              <w:t>c) Formalidades para emitir el acuerdo de clasificación.</w:t>
            </w:r>
          </w:p>
        </w:tc>
        <w:tc>
          <w:tcPr>
            <w:tcW w:w="6990" w:type="dxa"/>
          </w:tcPr>
          <w:p w:rsidR="004E3F7B" w:rsidRPr="00C447C9" w:rsidRDefault="00FA7349">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4E3F7B" w:rsidRPr="00C447C9" w:rsidRDefault="00FA7349">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Es necesario que </w:t>
            </w:r>
            <w:r w:rsidRPr="00C447C9">
              <w:rPr>
                <w:rFonts w:ascii="Palatino Linotype" w:eastAsia="Palatino Linotype" w:hAnsi="Palatino Linotype" w:cs="Palatino Linotype"/>
                <w:sz w:val="22"/>
                <w:szCs w:val="22"/>
                <w:u w:val="single"/>
              </w:rPr>
              <w:t>el acto reúna con los requisitos elementales</w:t>
            </w:r>
            <w:r w:rsidRPr="00C447C9">
              <w:rPr>
                <w:rFonts w:ascii="Palatino Linotype" w:eastAsia="Palatino Linotype" w:hAnsi="Palatino Linotype" w:cs="Palatino Linotype"/>
                <w:sz w:val="22"/>
                <w:szCs w:val="22"/>
              </w:rPr>
              <w:t>, entre ellos, que la autoridad que va a emitir el acto de autoridad sea la legalmente facultada para ello.</w:t>
            </w:r>
          </w:p>
          <w:p w:rsidR="004E3F7B" w:rsidRPr="00C447C9" w:rsidRDefault="00FA7349">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E3F7B" w:rsidRPr="00C447C9" w:rsidTr="004E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E3F7B" w:rsidRPr="00C447C9" w:rsidRDefault="004E3F7B">
            <w:pPr>
              <w:spacing w:line="360" w:lineRule="auto"/>
              <w:rPr>
                <w:rFonts w:ascii="Palatino Linotype" w:eastAsia="Palatino Linotype" w:hAnsi="Palatino Linotype" w:cs="Palatino Linotype"/>
                <w:sz w:val="22"/>
                <w:szCs w:val="22"/>
              </w:rPr>
            </w:pPr>
          </w:p>
          <w:p w:rsidR="004E3F7B" w:rsidRPr="00C447C9" w:rsidRDefault="00FA7349">
            <w:pPr>
              <w:spacing w:line="360" w:lineRule="auto"/>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t xml:space="preserve">d) Requisitos de fondo del </w:t>
            </w:r>
            <w:r w:rsidRPr="00C447C9">
              <w:rPr>
                <w:rFonts w:ascii="Palatino Linotype" w:eastAsia="Palatino Linotype" w:hAnsi="Palatino Linotype" w:cs="Palatino Linotype"/>
                <w:b w:val="0"/>
                <w:sz w:val="22"/>
                <w:szCs w:val="22"/>
              </w:rPr>
              <w:lastRenderedPageBreak/>
              <w:t xml:space="preserve">acuerdo de clasificación. </w:t>
            </w:r>
          </w:p>
        </w:tc>
        <w:tc>
          <w:tcPr>
            <w:tcW w:w="6990" w:type="dxa"/>
          </w:tcPr>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estricta correspondencia entre un elemento y otro. Ahora, en esta </w:t>
            </w:r>
            <w:r w:rsidRPr="00C447C9">
              <w:rPr>
                <w:rFonts w:ascii="Palatino Linotype" w:eastAsia="Palatino Linotype" w:hAnsi="Palatino Linotype" w:cs="Palatino Linotype"/>
                <w:sz w:val="22"/>
                <w:szCs w:val="22"/>
              </w:rPr>
              <w:lastRenderedPageBreak/>
              <w:t xml:space="preserve">parte del procedimiento, que se desahoga en sede del Comité de Transparencia, la ley señala que la carga de la prueba, para justificar las restricciones, corresponde a los Sujetos Obligados, por lo que deberán fundar y motivar debidamente la clasificación. </w:t>
            </w:r>
          </w:p>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4E3F7B" w:rsidRPr="00C447C9" w:rsidRDefault="00FA7349">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Ahora bien, </w:t>
            </w:r>
            <w:r w:rsidRPr="00C447C9">
              <w:rPr>
                <w:rFonts w:ascii="Palatino Linotype" w:eastAsia="Palatino Linotype" w:hAnsi="Palatino Linotype" w:cs="Palatino Linotype"/>
                <w:sz w:val="22"/>
                <w:szCs w:val="22"/>
                <w:u w:val="single"/>
              </w:rPr>
              <w:t>para cada caso además de fundar y motivar</w:t>
            </w:r>
            <w:r w:rsidRPr="00C447C9">
              <w:rPr>
                <w:rFonts w:ascii="Palatino Linotype" w:eastAsia="Palatino Linotype" w:hAnsi="Palatino Linotype" w:cs="Palatino Linotype"/>
                <w:sz w:val="22"/>
                <w:szCs w:val="22"/>
              </w:rPr>
              <w:t xml:space="preserve">, se debe identificar con claridad que datos contenidos en las documentales que son susceptibles de suprimirse, por ejemplo; Clave Única de Registro de Población (CURP), Registro Federal de Contribuyentes (R.F.C.), </w:t>
            </w:r>
            <w:r w:rsidRPr="00C447C9">
              <w:rPr>
                <w:rFonts w:ascii="Palatino Linotype" w:eastAsia="Palatino Linotype" w:hAnsi="Palatino Linotype" w:cs="Palatino Linotype"/>
                <w:sz w:val="22"/>
                <w:szCs w:val="22"/>
              </w:rPr>
              <w:lastRenderedPageBreak/>
              <w:t>claves de seguros, préstamos o descuentos personales, secretos bancario, fiduciario, industrial, comercial, fiscal, bursátil y postal, cuya titularidad corresponda a particulares, entre otros.</w:t>
            </w:r>
          </w:p>
        </w:tc>
      </w:tr>
      <w:tr w:rsidR="004E3F7B" w:rsidRPr="00C447C9" w:rsidTr="004E3F7B">
        <w:trPr>
          <w:trHeight w:val="352"/>
        </w:trPr>
        <w:tc>
          <w:tcPr>
            <w:cnfStyle w:val="001000000000" w:firstRow="0" w:lastRow="0" w:firstColumn="1" w:lastColumn="0" w:oddVBand="0" w:evenVBand="0" w:oddHBand="0" w:evenHBand="0" w:firstRowFirstColumn="0" w:firstRowLastColumn="0" w:lastRowFirstColumn="0" w:lastRowLastColumn="0"/>
            <w:tcW w:w="1838" w:type="dxa"/>
          </w:tcPr>
          <w:p w:rsidR="004E3F7B" w:rsidRPr="00C447C9" w:rsidRDefault="00FA7349">
            <w:pPr>
              <w:spacing w:line="360" w:lineRule="auto"/>
              <w:ind w:right="49"/>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rsidR="004E3F7B" w:rsidRPr="00C447C9" w:rsidRDefault="004E3F7B">
            <w:pPr>
              <w:spacing w:line="360" w:lineRule="auto"/>
              <w:rPr>
                <w:rFonts w:ascii="Palatino Linotype" w:eastAsia="Palatino Linotype" w:hAnsi="Palatino Linotype" w:cs="Palatino Linotype"/>
                <w:sz w:val="22"/>
                <w:szCs w:val="22"/>
              </w:rPr>
            </w:pPr>
          </w:p>
        </w:tc>
        <w:tc>
          <w:tcPr>
            <w:tcW w:w="6990" w:type="dxa"/>
          </w:tcPr>
          <w:p w:rsidR="004E3F7B" w:rsidRPr="00C447C9" w:rsidRDefault="00FA7349">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4E3F7B" w:rsidRPr="00C447C9" w:rsidRDefault="00FA7349">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E3F7B" w:rsidRPr="00C447C9" w:rsidRDefault="00FA7349">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E3F7B" w:rsidRPr="00C447C9" w:rsidRDefault="004E3F7B">
      <w:pPr>
        <w:spacing w:line="360" w:lineRule="auto"/>
        <w:ind w:right="49"/>
        <w:jc w:val="both"/>
        <w:rPr>
          <w:rFonts w:ascii="Palatino Linotype" w:eastAsia="Palatino Linotype" w:hAnsi="Palatino Linotype" w:cs="Palatino Linotype"/>
          <w:sz w:val="22"/>
          <w:szCs w:val="22"/>
        </w:rPr>
      </w:pPr>
    </w:p>
    <w:p w:rsidR="004E3F7B" w:rsidRPr="00C447C9" w:rsidRDefault="00FA734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447C9">
        <w:rPr>
          <w:rFonts w:ascii="Palatino Linotype" w:eastAsia="Palatino Linotype" w:hAnsi="Palatino Linotype" w:cs="Palatino Linotype"/>
          <w:color w:val="000000"/>
          <w:sz w:val="22"/>
          <w:szCs w:val="22"/>
        </w:rPr>
        <w:t xml:space="preserve">Por lo anteriormente expuesto y fundado, este </w:t>
      </w:r>
      <w:r w:rsidRPr="00C447C9">
        <w:rPr>
          <w:rFonts w:ascii="Palatino Linotype" w:eastAsia="Palatino Linotype" w:hAnsi="Palatino Linotype" w:cs="Palatino Linotype"/>
          <w:b/>
          <w:color w:val="000000"/>
          <w:sz w:val="22"/>
          <w:szCs w:val="22"/>
        </w:rPr>
        <w:t>ÓRGANO GARANTE</w:t>
      </w:r>
      <w:r w:rsidRPr="00C447C9">
        <w:rPr>
          <w:rFonts w:ascii="Palatino Linotype" w:eastAsia="Palatino Linotype" w:hAnsi="Palatino Linotype" w:cs="Palatino Linotype"/>
          <w:color w:val="000000"/>
          <w:sz w:val="22"/>
          <w:szCs w:val="22"/>
        </w:rPr>
        <w:t xml:space="preserve"> emite los siguientes:</w:t>
      </w:r>
    </w:p>
    <w:p w:rsidR="004E3F7B" w:rsidRPr="00C447C9" w:rsidRDefault="00FA7349">
      <w:pPr>
        <w:keepNext/>
        <w:keepLines/>
        <w:spacing w:line="360" w:lineRule="auto"/>
        <w:jc w:val="center"/>
        <w:rPr>
          <w:rFonts w:ascii="Palatino Linotype" w:eastAsia="Palatino Linotype" w:hAnsi="Palatino Linotype" w:cs="Palatino Linotype"/>
          <w:b/>
          <w:color w:val="000000"/>
          <w:sz w:val="22"/>
          <w:szCs w:val="22"/>
        </w:rPr>
      </w:pPr>
      <w:bookmarkStart w:id="10" w:name="_heading=h.17dp8vu" w:colFirst="0" w:colLast="0"/>
      <w:bookmarkEnd w:id="10"/>
      <w:r w:rsidRPr="00C447C9">
        <w:rPr>
          <w:rFonts w:ascii="Palatino Linotype" w:eastAsia="Palatino Linotype" w:hAnsi="Palatino Linotype" w:cs="Palatino Linotype"/>
          <w:b/>
          <w:color w:val="000000"/>
          <w:sz w:val="22"/>
          <w:szCs w:val="22"/>
        </w:rPr>
        <w:t>R E S O L U T I V O S</w:t>
      </w:r>
    </w:p>
    <w:p w:rsidR="004E3F7B" w:rsidRPr="00C447C9" w:rsidRDefault="004E3F7B">
      <w:pPr>
        <w:keepNext/>
        <w:keepLines/>
        <w:spacing w:line="360" w:lineRule="auto"/>
        <w:jc w:val="center"/>
        <w:rPr>
          <w:rFonts w:ascii="Palatino Linotype" w:eastAsia="Palatino Linotype" w:hAnsi="Palatino Linotype" w:cs="Palatino Linotype"/>
          <w:b/>
          <w:color w:val="000000"/>
          <w:sz w:val="22"/>
          <w:szCs w:val="22"/>
        </w:rPr>
      </w:pPr>
    </w:p>
    <w:p w:rsidR="004E3F7B" w:rsidRPr="00C447C9" w:rsidRDefault="00FA7349">
      <w:pPr>
        <w:spacing w:line="360" w:lineRule="auto"/>
        <w:ind w:right="48"/>
        <w:jc w:val="both"/>
        <w:rPr>
          <w:rFonts w:ascii="Palatino Linotype" w:eastAsia="Palatino Linotype" w:hAnsi="Palatino Linotype" w:cs="Palatino Linotype"/>
          <w:sz w:val="22"/>
          <w:szCs w:val="22"/>
        </w:rPr>
      </w:pPr>
      <w:bookmarkStart w:id="11" w:name="_heading=h.3rdcrjn" w:colFirst="0" w:colLast="0"/>
      <w:bookmarkEnd w:id="11"/>
      <w:r w:rsidRPr="00C447C9">
        <w:rPr>
          <w:rFonts w:ascii="Palatino Linotype" w:eastAsia="Palatino Linotype" w:hAnsi="Palatino Linotype" w:cs="Palatino Linotype"/>
          <w:b/>
          <w:sz w:val="22"/>
          <w:szCs w:val="22"/>
        </w:rPr>
        <w:t xml:space="preserve">PRIMERO. </w:t>
      </w:r>
      <w:r w:rsidRPr="00C447C9">
        <w:rPr>
          <w:rFonts w:ascii="Palatino Linotype" w:eastAsia="Palatino Linotype" w:hAnsi="Palatino Linotype" w:cs="Palatino Linotype"/>
          <w:sz w:val="22"/>
          <w:szCs w:val="22"/>
        </w:rPr>
        <w:t>Resultan infundadas las</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razones o motivos de inconformidad hechos valer en el recurso de revisión </w:t>
      </w:r>
      <w:r w:rsidRPr="00C447C9">
        <w:rPr>
          <w:rFonts w:ascii="Palatino Linotype" w:eastAsia="Palatino Linotype" w:hAnsi="Palatino Linotype" w:cs="Palatino Linotype"/>
          <w:b/>
          <w:sz w:val="22"/>
          <w:szCs w:val="22"/>
        </w:rPr>
        <w:t xml:space="preserve">06233/INFOEM/IP/RR/2024 </w:t>
      </w:r>
      <w:r w:rsidRPr="00C447C9">
        <w:rPr>
          <w:rFonts w:ascii="Palatino Linotype" w:eastAsia="Palatino Linotype" w:hAnsi="Palatino Linotype" w:cs="Palatino Linotype"/>
          <w:sz w:val="22"/>
          <w:szCs w:val="22"/>
        </w:rPr>
        <w:t>en términos del</w:t>
      </w:r>
      <w:r w:rsidRPr="00C447C9">
        <w:rPr>
          <w:rFonts w:ascii="Palatino Linotype" w:eastAsia="Palatino Linotype" w:hAnsi="Palatino Linotype" w:cs="Palatino Linotype"/>
          <w:b/>
          <w:sz w:val="22"/>
          <w:szCs w:val="22"/>
        </w:rPr>
        <w:t xml:space="preserve"> Considerando</w:t>
      </w:r>
      <w:r w:rsidRPr="00C447C9">
        <w:rPr>
          <w:rFonts w:ascii="Palatino Linotype" w:eastAsia="Palatino Linotype" w:hAnsi="Palatino Linotype" w:cs="Palatino Linotype"/>
          <w:sz w:val="22"/>
          <w:szCs w:val="22"/>
        </w:rPr>
        <w:t xml:space="preserve"> </w:t>
      </w:r>
      <w:r w:rsidRPr="00C447C9">
        <w:rPr>
          <w:rFonts w:ascii="Palatino Linotype" w:eastAsia="Palatino Linotype" w:hAnsi="Palatino Linotype" w:cs="Palatino Linotype"/>
          <w:b/>
          <w:sz w:val="22"/>
          <w:szCs w:val="22"/>
        </w:rPr>
        <w:t>CUARTO</w:t>
      </w:r>
      <w:r w:rsidRPr="00C447C9">
        <w:rPr>
          <w:rFonts w:ascii="Palatino Linotype" w:eastAsia="Palatino Linotype" w:hAnsi="Palatino Linotype" w:cs="Palatino Linotype"/>
          <w:sz w:val="22"/>
          <w:szCs w:val="22"/>
        </w:rPr>
        <w:t xml:space="preserve"> de la presente resolución.</w:t>
      </w:r>
    </w:p>
    <w:p w:rsidR="004E3F7B" w:rsidRPr="00C447C9" w:rsidRDefault="004E3F7B">
      <w:pPr>
        <w:spacing w:line="360" w:lineRule="auto"/>
        <w:jc w:val="both"/>
        <w:rPr>
          <w:rFonts w:ascii="Palatino Linotype" w:eastAsia="Palatino Linotype" w:hAnsi="Palatino Linotype" w:cs="Palatino Linotype"/>
          <w:b/>
          <w:sz w:val="22"/>
          <w:szCs w:val="22"/>
        </w:rPr>
      </w:pPr>
    </w:p>
    <w:p w:rsidR="004E3F7B" w:rsidRPr="00C447C9" w:rsidRDefault="00FA7349">
      <w:pPr>
        <w:spacing w:line="360" w:lineRule="auto"/>
        <w:jc w:val="both"/>
        <w:rPr>
          <w:rFonts w:ascii="Palatino Linotype" w:eastAsia="Palatino Linotype" w:hAnsi="Palatino Linotype" w:cs="Palatino Linotype"/>
          <w:b/>
          <w:sz w:val="22"/>
          <w:szCs w:val="22"/>
        </w:rPr>
      </w:pPr>
      <w:bookmarkStart w:id="12" w:name="_heading=h.3dy6vkm" w:colFirst="0" w:colLast="0"/>
      <w:bookmarkEnd w:id="12"/>
      <w:r w:rsidRPr="00C447C9">
        <w:rPr>
          <w:rFonts w:ascii="Palatino Linotype" w:eastAsia="Palatino Linotype" w:hAnsi="Palatino Linotype" w:cs="Palatino Linotype"/>
          <w:b/>
          <w:sz w:val="22"/>
          <w:szCs w:val="22"/>
        </w:rPr>
        <w:t xml:space="preserve">SEGUNDO. </w:t>
      </w:r>
      <w:r w:rsidRPr="00C447C9">
        <w:rPr>
          <w:rFonts w:ascii="Palatino Linotype" w:eastAsia="Palatino Linotype" w:hAnsi="Palatino Linotype" w:cs="Palatino Linotype"/>
          <w:sz w:val="22"/>
          <w:szCs w:val="22"/>
        </w:rPr>
        <w:t xml:space="preserve">Se </w:t>
      </w:r>
      <w:r w:rsidRPr="00C447C9">
        <w:rPr>
          <w:rFonts w:ascii="Palatino Linotype" w:eastAsia="Palatino Linotype" w:hAnsi="Palatino Linotype" w:cs="Palatino Linotype"/>
          <w:b/>
          <w:sz w:val="22"/>
          <w:szCs w:val="22"/>
        </w:rPr>
        <w:t>CONFIRMA</w:t>
      </w:r>
      <w:r w:rsidRPr="00C447C9">
        <w:rPr>
          <w:rFonts w:ascii="Palatino Linotype" w:eastAsia="Palatino Linotype" w:hAnsi="Palatino Linotype" w:cs="Palatino Linotype"/>
          <w:sz w:val="22"/>
          <w:szCs w:val="22"/>
        </w:rPr>
        <w:t xml:space="preserve"> la respuesta emitida  por el </w:t>
      </w:r>
      <w:r w:rsidRPr="00C447C9">
        <w:rPr>
          <w:rFonts w:ascii="Palatino Linotype" w:eastAsia="Palatino Linotype" w:hAnsi="Palatino Linotype" w:cs="Palatino Linotype"/>
          <w:b/>
          <w:sz w:val="22"/>
          <w:szCs w:val="22"/>
        </w:rPr>
        <w:t>Ayuntamiento de Temamatla</w:t>
      </w:r>
      <w:r w:rsidRPr="00C447C9">
        <w:rPr>
          <w:rFonts w:ascii="Palatino Linotype" w:eastAsia="Palatino Linotype" w:hAnsi="Palatino Linotype" w:cs="Palatino Linotype"/>
          <w:sz w:val="22"/>
          <w:szCs w:val="22"/>
        </w:rPr>
        <w:t xml:space="preserve"> a la solicitud </w:t>
      </w:r>
      <w:r w:rsidRPr="00C447C9">
        <w:rPr>
          <w:rFonts w:ascii="Palatino Linotype" w:eastAsia="Palatino Linotype" w:hAnsi="Palatino Linotype" w:cs="Palatino Linotype"/>
          <w:b/>
          <w:sz w:val="22"/>
          <w:szCs w:val="22"/>
        </w:rPr>
        <w:t>00375/TEMAMATL/IP/2024</w:t>
      </w:r>
      <w:r w:rsidRPr="00C447C9">
        <w:rPr>
          <w:rFonts w:ascii="Palatino Linotype" w:eastAsia="Palatino Linotype" w:hAnsi="Palatino Linotype" w:cs="Palatino Linotype"/>
          <w:sz w:val="22"/>
          <w:szCs w:val="22"/>
        </w:rPr>
        <w:t>.</w:t>
      </w:r>
    </w:p>
    <w:p w:rsidR="004E3F7B" w:rsidRPr="00C447C9" w:rsidRDefault="004E3F7B">
      <w:pPr>
        <w:spacing w:line="360" w:lineRule="auto"/>
        <w:ind w:right="48"/>
        <w:jc w:val="both"/>
        <w:rPr>
          <w:rFonts w:ascii="Palatino Linotype" w:eastAsia="Palatino Linotype" w:hAnsi="Palatino Linotype" w:cs="Palatino Linotype"/>
          <w:sz w:val="22"/>
          <w:szCs w:val="22"/>
        </w:rPr>
      </w:pPr>
      <w:bookmarkStart w:id="13" w:name="_heading=h.oxq4lim0pwzh" w:colFirst="0" w:colLast="0"/>
      <w:bookmarkEnd w:id="13"/>
    </w:p>
    <w:p w:rsidR="004E3F7B" w:rsidRPr="00C447C9" w:rsidRDefault="00FA7349">
      <w:pPr>
        <w:spacing w:line="360" w:lineRule="auto"/>
        <w:ind w:right="48"/>
        <w:jc w:val="both"/>
        <w:rPr>
          <w:rFonts w:ascii="Palatino Linotype" w:eastAsia="Palatino Linotype" w:hAnsi="Palatino Linotype" w:cs="Palatino Linotype"/>
          <w:sz w:val="22"/>
          <w:szCs w:val="22"/>
        </w:rPr>
      </w:pPr>
      <w:bookmarkStart w:id="14" w:name="_heading=h.tv07ibvxwz3u" w:colFirst="0" w:colLast="0"/>
      <w:bookmarkEnd w:id="14"/>
      <w:r w:rsidRPr="00C447C9">
        <w:rPr>
          <w:rFonts w:ascii="Palatino Linotype" w:eastAsia="Palatino Linotype" w:hAnsi="Palatino Linotype" w:cs="Palatino Linotype"/>
          <w:b/>
          <w:sz w:val="22"/>
          <w:szCs w:val="22"/>
        </w:rPr>
        <w:t xml:space="preserve">TERCERO. </w:t>
      </w:r>
      <w:r w:rsidRPr="00C447C9">
        <w:rPr>
          <w:rFonts w:ascii="Palatino Linotype" w:eastAsia="Palatino Linotype" w:hAnsi="Palatino Linotype" w:cs="Palatino Linotype"/>
          <w:sz w:val="22"/>
          <w:szCs w:val="22"/>
        </w:rPr>
        <w:t>Resultan fundadas las</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razones o motivos de inconformidad hechos valer en los recursos de revisión </w:t>
      </w:r>
      <w:r w:rsidRPr="00C447C9">
        <w:rPr>
          <w:rFonts w:ascii="Palatino Linotype" w:eastAsia="Palatino Linotype" w:hAnsi="Palatino Linotype" w:cs="Palatino Linotype"/>
          <w:b/>
          <w:color w:val="000000"/>
          <w:sz w:val="22"/>
          <w:szCs w:val="22"/>
        </w:rPr>
        <w:t>06593/INFOEM/IP/RR/2024, 06598/INFOEM/IP/RR/2024, 06613/INFOEM/IP/RR/2024 y  06623/INFOEM/IP/RR/2024</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sz w:val="22"/>
          <w:szCs w:val="22"/>
        </w:rPr>
        <w:t xml:space="preserve">en términos de los </w:t>
      </w:r>
      <w:r w:rsidRPr="00C447C9">
        <w:rPr>
          <w:rFonts w:ascii="Palatino Linotype" w:eastAsia="Palatino Linotype" w:hAnsi="Palatino Linotype" w:cs="Palatino Linotype"/>
          <w:b/>
          <w:sz w:val="22"/>
          <w:szCs w:val="22"/>
        </w:rPr>
        <w:t>Considerandos</w:t>
      </w:r>
      <w:r w:rsidRPr="00C447C9">
        <w:rPr>
          <w:rFonts w:ascii="Palatino Linotype" w:eastAsia="Palatino Linotype" w:hAnsi="Palatino Linotype" w:cs="Palatino Linotype"/>
          <w:sz w:val="22"/>
          <w:szCs w:val="22"/>
        </w:rPr>
        <w:t xml:space="preserve"> </w:t>
      </w:r>
      <w:r w:rsidRPr="00C447C9">
        <w:rPr>
          <w:rFonts w:ascii="Palatino Linotype" w:eastAsia="Palatino Linotype" w:hAnsi="Palatino Linotype" w:cs="Palatino Linotype"/>
          <w:b/>
          <w:sz w:val="22"/>
          <w:szCs w:val="22"/>
        </w:rPr>
        <w:t>CUARTO y QUINTO de</w:t>
      </w:r>
      <w:r w:rsidRPr="00C447C9">
        <w:rPr>
          <w:rFonts w:ascii="Palatino Linotype" w:eastAsia="Palatino Linotype" w:hAnsi="Palatino Linotype" w:cs="Palatino Linotype"/>
          <w:sz w:val="22"/>
          <w:szCs w:val="22"/>
        </w:rPr>
        <w:t xml:space="preserve"> la presente resolución.</w:t>
      </w:r>
    </w:p>
    <w:p w:rsidR="004E3F7B" w:rsidRPr="00C447C9" w:rsidRDefault="004E3F7B">
      <w:pPr>
        <w:spacing w:line="360" w:lineRule="auto"/>
        <w:ind w:right="48"/>
        <w:jc w:val="both"/>
        <w:rPr>
          <w:rFonts w:ascii="Palatino Linotype" w:eastAsia="Palatino Linotype" w:hAnsi="Palatino Linotype" w:cs="Palatino Linotype"/>
          <w:sz w:val="22"/>
          <w:szCs w:val="22"/>
        </w:rPr>
      </w:pPr>
    </w:p>
    <w:p w:rsidR="004E3F7B" w:rsidRPr="00C447C9" w:rsidRDefault="00FA7349">
      <w:pPr>
        <w:spacing w:line="360" w:lineRule="auto"/>
        <w:ind w:right="48"/>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CUARTO.</w:t>
      </w:r>
      <w:r w:rsidRPr="00C447C9">
        <w:rPr>
          <w:rFonts w:ascii="Palatino Linotype" w:eastAsia="Palatino Linotype" w:hAnsi="Palatino Linotype" w:cs="Palatino Linotype"/>
          <w:sz w:val="22"/>
          <w:szCs w:val="22"/>
        </w:rPr>
        <w:t xml:space="preserve"> Se</w:t>
      </w:r>
      <w:r w:rsidRPr="00C447C9">
        <w:rPr>
          <w:rFonts w:ascii="Palatino Linotype" w:eastAsia="Palatino Linotype" w:hAnsi="Palatino Linotype" w:cs="Palatino Linotype"/>
          <w:b/>
          <w:sz w:val="22"/>
          <w:szCs w:val="22"/>
        </w:rPr>
        <w:t xml:space="preserve"> REVOCAN </w:t>
      </w:r>
      <w:r w:rsidRPr="00C447C9">
        <w:rPr>
          <w:rFonts w:ascii="Palatino Linotype" w:eastAsia="Palatino Linotype" w:hAnsi="Palatino Linotype" w:cs="Palatino Linotype"/>
          <w:sz w:val="22"/>
          <w:szCs w:val="22"/>
        </w:rPr>
        <w:t>las respuestas emitidas a las solicitudes</w:t>
      </w:r>
      <w:r w:rsidRPr="00C447C9">
        <w:rPr>
          <w:rFonts w:ascii="Palatino Linotype" w:eastAsia="Palatino Linotype" w:hAnsi="Palatino Linotype" w:cs="Palatino Linotype"/>
          <w:b/>
          <w:sz w:val="22"/>
          <w:szCs w:val="22"/>
        </w:rPr>
        <w:t xml:space="preserve"> </w:t>
      </w:r>
      <w:r w:rsidRPr="00C447C9">
        <w:rPr>
          <w:rFonts w:ascii="Palatino Linotype" w:eastAsia="Palatino Linotype" w:hAnsi="Palatino Linotype" w:cs="Palatino Linotype"/>
          <w:b/>
          <w:color w:val="000000"/>
          <w:sz w:val="22"/>
          <w:szCs w:val="22"/>
        </w:rPr>
        <w:t xml:space="preserve">00299/TEMAMATL/IP/2024, 00311/TEMAMATL/IP/2024, 00317/TEMAMATL/IP/2024 y 00392/TEMAMATL/IP/2024 </w:t>
      </w:r>
      <w:r w:rsidRPr="00C447C9">
        <w:rPr>
          <w:rFonts w:ascii="Palatino Linotype" w:eastAsia="Palatino Linotype" w:hAnsi="Palatino Linotype" w:cs="Palatino Linotype"/>
          <w:color w:val="000000"/>
          <w:sz w:val="22"/>
          <w:szCs w:val="22"/>
        </w:rPr>
        <w:t xml:space="preserve">emitidas </w:t>
      </w:r>
      <w:r w:rsidRPr="00C447C9">
        <w:rPr>
          <w:rFonts w:ascii="Palatino Linotype" w:eastAsia="Palatino Linotype" w:hAnsi="Palatino Linotype" w:cs="Palatino Linotype"/>
          <w:sz w:val="22"/>
          <w:szCs w:val="22"/>
        </w:rPr>
        <w:t xml:space="preserve">por el </w:t>
      </w:r>
      <w:r w:rsidRPr="00C447C9">
        <w:rPr>
          <w:rFonts w:ascii="Palatino Linotype" w:eastAsia="Palatino Linotype" w:hAnsi="Palatino Linotype" w:cs="Palatino Linotype"/>
          <w:b/>
          <w:sz w:val="22"/>
          <w:szCs w:val="22"/>
        </w:rPr>
        <w:t xml:space="preserve">Ayuntamiento de Temamatla </w:t>
      </w:r>
      <w:r w:rsidRPr="00C447C9">
        <w:rPr>
          <w:rFonts w:ascii="Palatino Linotype" w:eastAsia="Palatino Linotype" w:hAnsi="Palatino Linotype" w:cs="Palatino Linotype"/>
          <w:sz w:val="22"/>
          <w:szCs w:val="22"/>
        </w:rPr>
        <w:t>y se</w:t>
      </w:r>
      <w:r w:rsidRPr="00C447C9">
        <w:rPr>
          <w:rFonts w:ascii="Palatino Linotype" w:eastAsia="Palatino Linotype" w:hAnsi="Palatino Linotype" w:cs="Palatino Linotype"/>
          <w:b/>
          <w:sz w:val="22"/>
          <w:szCs w:val="22"/>
        </w:rPr>
        <w:t xml:space="preserve"> ORDENA </w:t>
      </w:r>
      <w:r w:rsidRPr="00C447C9">
        <w:rPr>
          <w:rFonts w:ascii="Palatino Linotype" w:eastAsia="Palatino Linotype" w:hAnsi="Palatino Linotype" w:cs="Palatino Linotype"/>
          <w:sz w:val="22"/>
          <w:szCs w:val="22"/>
        </w:rPr>
        <w:t xml:space="preserve">entregar vía Sistema de Acceso a la Información Mexiquense (SAIMEX), de ser procedente en versión pública, </w:t>
      </w:r>
      <w:r w:rsidRPr="00C447C9">
        <w:rPr>
          <w:rFonts w:ascii="Palatino Linotype" w:eastAsia="Palatino Linotype" w:hAnsi="Palatino Linotype" w:cs="Palatino Linotype"/>
          <w:b/>
          <w:sz w:val="22"/>
          <w:szCs w:val="22"/>
          <w:u w:val="single"/>
        </w:rPr>
        <w:t>del primero de enero de dos mil veintidós al veintisiete (27)  de septiembre dos mil veinticuatro,</w:t>
      </w:r>
      <w:r w:rsidRPr="00C447C9">
        <w:rPr>
          <w:rFonts w:ascii="Palatino Linotype" w:eastAsia="Palatino Linotype" w:hAnsi="Palatino Linotype" w:cs="Palatino Linotype"/>
          <w:sz w:val="22"/>
          <w:szCs w:val="22"/>
        </w:rPr>
        <w:t xml:space="preserve"> los documentos donde conste la  siguiente información: </w:t>
      </w:r>
    </w:p>
    <w:p w:rsidR="004E3F7B" w:rsidRPr="00C447C9" w:rsidRDefault="004E3F7B">
      <w:pPr>
        <w:spacing w:line="360" w:lineRule="auto"/>
        <w:ind w:right="48"/>
        <w:jc w:val="both"/>
        <w:rPr>
          <w:rFonts w:ascii="Palatino Linotype" w:eastAsia="Palatino Linotype" w:hAnsi="Palatino Linotype" w:cs="Palatino Linotype"/>
          <w:b/>
          <w:sz w:val="22"/>
          <w:szCs w:val="22"/>
        </w:rPr>
      </w:pPr>
    </w:p>
    <w:p w:rsidR="004E3F7B" w:rsidRPr="00C447C9" w:rsidRDefault="00FA7349">
      <w:pPr>
        <w:numPr>
          <w:ilvl w:val="0"/>
          <w:numId w:val="7"/>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sz w:val="22"/>
          <w:szCs w:val="22"/>
        </w:rPr>
        <w:t>Mon</w:t>
      </w:r>
      <w:r w:rsidRPr="00C447C9">
        <w:rPr>
          <w:rFonts w:ascii="Palatino Linotype" w:eastAsia="Palatino Linotype" w:hAnsi="Palatino Linotype" w:cs="Palatino Linotype"/>
          <w:i/>
          <w:sz w:val="22"/>
          <w:szCs w:val="22"/>
        </w:rPr>
        <w:t>to mensual desglosado de gasto por concepto de renta de planta de luz, escenario, equipo de sonido, nombre del proveedor o proveedores, y pólizas de egresos por este concepto.</w:t>
      </w:r>
    </w:p>
    <w:p w:rsidR="004E3F7B" w:rsidRPr="00C447C9" w:rsidRDefault="00FA7349">
      <w:pPr>
        <w:numPr>
          <w:ilvl w:val="0"/>
          <w:numId w:val="7"/>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Monto mensual desglosado de gasto por concepto de viajes de trabajo o salidas de trabajo del presidente municipal, y  pólizas de egresos por este concepto.</w:t>
      </w:r>
    </w:p>
    <w:p w:rsidR="004E3F7B" w:rsidRPr="00C447C9" w:rsidRDefault="00FA7349">
      <w:pPr>
        <w:numPr>
          <w:ilvl w:val="0"/>
          <w:numId w:val="7"/>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sz w:val="22"/>
          <w:szCs w:val="22"/>
        </w:rPr>
        <w:t>M</w:t>
      </w:r>
      <w:r w:rsidRPr="00C447C9">
        <w:rPr>
          <w:rFonts w:ascii="Palatino Linotype" w:eastAsia="Palatino Linotype" w:hAnsi="Palatino Linotype" w:cs="Palatino Linotype"/>
          <w:i/>
          <w:sz w:val="22"/>
          <w:szCs w:val="22"/>
        </w:rPr>
        <w:t>onto de ingreso desglosado por mes por concepto de renta del auditorio municipal y números de factura proporcionada por el Ayuntamiento.</w:t>
      </w:r>
    </w:p>
    <w:p w:rsidR="004E3F7B" w:rsidRPr="00C447C9" w:rsidRDefault="00FA7349">
      <w:pPr>
        <w:numPr>
          <w:ilvl w:val="0"/>
          <w:numId w:val="7"/>
        </w:numPr>
        <w:tabs>
          <w:tab w:val="left" w:pos="284"/>
        </w:tabs>
        <w:spacing w:line="360" w:lineRule="auto"/>
        <w:ind w:right="822"/>
        <w:jc w:val="both"/>
        <w:rPr>
          <w:rFonts w:ascii="Palatino Linotype" w:eastAsia="Palatino Linotype" w:hAnsi="Palatino Linotype" w:cs="Palatino Linotype"/>
          <w:i/>
          <w:sz w:val="22"/>
          <w:szCs w:val="22"/>
        </w:rPr>
      </w:pPr>
      <w:r w:rsidRPr="00C447C9">
        <w:rPr>
          <w:rFonts w:ascii="Palatino Linotype" w:eastAsia="Palatino Linotype" w:hAnsi="Palatino Linotype" w:cs="Palatino Linotype"/>
          <w:i/>
          <w:sz w:val="22"/>
          <w:szCs w:val="22"/>
        </w:rPr>
        <w:t>Fecha  de vigencia del seguro de vida de los elementos de seguridad pública y protección civil.</w:t>
      </w:r>
    </w:p>
    <w:p w:rsidR="004E3F7B" w:rsidRPr="00C447C9" w:rsidRDefault="004E3F7B">
      <w:pPr>
        <w:tabs>
          <w:tab w:val="left" w:pos="0"/>
        </w:tabs>
        <w:spacing w:line="360" w:lineRule="auto"/>
        <w:jc w:val="both"/>
        <w:rPr>
          <w:rFonts w:ascii="Palatino Linotype" w:eastAsia="Palatino Linotype" w:hAnsi="Palatino Linotype" w:cs="Palatino Linotype"/>
          <w:sz w:val="22"/>
          <w:szCs w:val="22"/>
        </w:rPr>
      </w:pPr>
    </w:p>
    <w:p w:rsidR="004E3F7B" w:rsidRPr="00C447C9" w:rsidRDefault="00FA7349">
      <w:pPr>
        <w:tabs>
          <w:tab w:val="left" w:pos="8080"/>
        </w:tabs>
        <w:spacing w:line="360" w:lineRule="auto"/>
        <w:ind w:right="48"/>
        <w:jc w:val="both"/>
        <w:rPr>
          <w:rFonts w:ascii="Palatino Linotype" w:eastAsia="Palatino Linotype" w:hAnsi="Palatino Linotype" w:cs="Palatino Linotype"/>
          <w:b/>
          <w:sz w:val="22"/>
          <w:szCs w:val="22"/>
        </w:rPr>
      </w:pPr>
      <w:r w:rsidRPr="00C447C9">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w:t>
      </w:r>
      <w:r w:rsidRPr="00C447C9">
        <w:rPr>
          <w:rFonts w:ascii="Palatino Linotype" w:eastAsia="Palatino Linotype" w:hAnsi="Palatino Linotype" w:cs="Palatino Linotype"/>
          <w:b/>
          <w:sz w:val="22"/>
          <w:szCs w:val="22"/>
        </w:rPr>
        <w:t>el RECURRENTE.</w:t>
      </w:r>
    </w:p>
    <w:p w:rsidR="004E3F7B" w:rsidRPr="00C447C9" w:rsidRDefault="004E3F7B">
      <w:pPr>
        <w:tabs>
          <w:tab w:val="left" w:pos="8080"/>
        </w:tabs>
        <w:spacing w:line="360" w:lineRule="auto"/>
        <w:ind w:right="48"/>
        <w:jc w:val="both"/>
        <w:rPr>
          <w:rFonts w:ascii="Palatino Linotype" w:eastAsia="Palatino Linotype" w:hAnsi="Palatino Linotype" w:cs="Palatino Linotype"/>
          <w:b/>
          <w:sz w:val="22"/>
          <w:szCs w:val="22"/>
        </w:rPr>
      </w:pPr>
    </w:p>
    <w:p w:rsidR="004E3F7B" w:rsidRPr="00C447C9" w:rsidRDefault="00FA7349">
      <w:pPr>
        <w:tabs>
          <w:tab w:val="left" w:pos="8080"/>
        </w:tabs>
        <w:spacing w:line="360" w:lineRule="auto"/>
        <w:ind w:right="48"/>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sz w:val="22"/>
          <w:szCs w:val="22"/>
        </w:rPr>
        <w:t>En el supuesto en el que en algún periodo de los que se ordena la entrega de información, no haya erogado recursos o recibido ingresos por los conceptos referidos, bastará con que así lo haga del conocimiento de la parte Recurrente, en términos del artículo 19, párrafo segundo de la Ley de Transparencia y Acceso a la Información Pública del Estado de México y Municipios.</w:t>
      </w:r>
    </w:p>
    <w:p w:rsidR="004E3F7B" w:rsidRPr="00C447C9" w:rsidRDefault="004E3F7B">
      <w:pPr>
        <w:tabs>
          <w:tab w:val="left" w:pos="8080"/>
        </w:tabs>
        <w:spacing w:line="360" w:lineRule="auto"/>
        <w:ind w:right="48"/>
        <w:jc w:val="both"/>
        <w:rPr>
          <w:rFonts w:ascii="Palatino Linotype" w:eastAsia="Palatino Linotype" w:hAnsi="Palatino Linotype" w:cs="Palatino Linotype"/>
          <w:sz w:val="22"/>
          <w:szCs w:val="22"/>
        </w:rPr>
      </w:pPr>
    </w:p>
    <w:p w:rsidR="004E3F7B" w:rsidRPr="00C447C9" w:rsidRDefault="00FA7349">
      <w:pPr>
        <w:tabs>
          <w:tab w:val="left" w:pos="8080"/>
        </w:tabs>
        <w:spacing w:line="360" w:lineRule="auto"/>
        <w:ind w:right="48"/>
        <w:jc w:val="both"/>
        <w:rPr>
          <w:rFonts w:ascii="Palatino Linotype" w:eastAsia="Palatino Linotype" w:hAnsi="Palatino Linotype" w:cs="Palatino Linotype"/>
          <w:color w:val="222222"/>
          <w:sz w:val="22"/>
          <w:szCs w:val="22"/>
        </w:rPr>
      </w:pPr>
      <w:r w:rsidRPr="00C447C9">
        <w:rPr>
          <w:rFonts w:ascii="Palatino Linotype" w:eastAsia="Palatino Linotype" w:hAnsi="Palatino Linotype" w:cs="Palatino Linotype"/>
          <w:b/>
          <w:sz w:val="22"/>
          <w:szCs w:val="22"/>
        </w:rPr>
        <w:t xml:space="preserve">QUINTO. Notifíquese </w:t>
      </w:r>
      <w:r w:rsidRPr="00C447C9">
        <w:rPr>
          <w:rFonts w:ascii="Palatino Linotype" w:eastAsia="Palatino Linotype" w:hAnsi="Palatino Linotype" w:cs="Palatino Linotype"/>
          <w:sz w:val="22"/>
          <w:szCs w:val="22"/>
        </w:rPr>
        <w:t xml:space="preserve">vía </w:t>
      </w:r>
      <w:r w:rsidRPr="00C447C9">
        <w:rPr>
          <w:rFonts w:ascii="Palatino Linotype" w:eastAsia="Palatino Linotype" w:hAnsi="Palatino Linotype" w:cs="Palatino Linotype"/>
          <w:b/>
          <w:sz w:val="22"/>
          <w:szCs w:val="22"/>
        </w:rPr>
        <w:t>SAIMEX,</w:t>
      </w:r>
      <w:r w:rsidRPr="00C447C9">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E3F7B" w:rsidRPr="00C447C9" w:rsidRDefault="004E3F7B">
      <w:pPr>
        <w:tabs>
          <w:tab w:val="left" w:pos="8080"/>
        </w:tabs>
        <w:spacing w:line="360" w:lineRule="auto"/>
        <w:ind w:right="48"/>
        <w:jc w:val="both"/>
        <w:rPr>
          <w:rFonts w:ascii="Palatino Linotype" w:eastAsia="Palatino Linotype" w:hAnsi="Palatino Linotype" w:cs="Palatino Linotype"/>
          <w:color w:val="222222"/>
          <w:sz w:val="22"/>
          <w:szCs w:val="22"/>
        </w:rPr>
      </w:pPr>
    </w:p>
    <w:p w:rsidR="004E3F7B" w:rsidRPr="00C447C9" w:rsidRDefault="00FA7349">
      <w:pPr>
        <w:shd w:val="clear" w:color="auto" w:fill="FFFFFF"/>
        <w:spacing w:line="360" w:lineRule="auto"/>
        <w:ind w:right="48"/>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SEXTO. Notifíquese al RECURRENTE</w:t>
      </w:r>
      <w:r w:rsidRPr="00C447C9">
        <w:rPr>
          <w:rFonts w:ascii="Palatino Linotype" w:eastAsia="Palatino Linotype" w:hAnsi="Palatino Linotype" w:cs="Palatino Linotype"/>
          <w:sz w:val="22"/>
          <w:szCs w:val="22"/>
        </w:rPr>
        <w:t xml:space="preserve"> la presente resolución vía SAIMEX.</w:t>
      </w:r>
    </w:p>
    <w:p w:rsidR="004E3F7B" w:rsidRPr="00C447C9" w:rsidRDefault="004E3F7B">
      <w:pPr>
        <w:shd w:val="clear" w:color="auto" w:fill="FFFFFF"/>
        <w:spacing w:line="360" w:lineRule="auto"/>
        <w:ind w:right="48"/>
        <w:jc w:val="both"/>
        <w:rPr>
          <w:rFonts w:ascii="Palatino Linotype" w:eastAsia="Palatino Linotype" w:hAnsi="Palatino Linotype" w:cs="Palatino Linotype"/>
          <w:b/>
          <w:color w:val="FF0000"/>
          <w:sz w:val="22"/>
          <w:szCs w:val="22"/>
        </w:rPr>
      </w:pPr>
    </w:p>
    <w:p w:rsidR="004E3F7B" w:rsidRPr="00C447C9" w:rsidRDefault="00FA7349">
      <w:pPr>
        <w:spacing w:line="360" w:lineRule="auto"/>
        <w:ind w:right="48"/>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SÉPTIMO.</w:t>
      </w:r>
      <w:r w:rsidRPr="00C447C9">
        <w:rPr>
          <w:rFonts w:ascii="Palatino Linotype" w:eastAsia="Palatino Linotype" w:hAnsi="Palatino Linotype" w:cs="Palatino Linotype"/>
          <w:sz w:val="22"/>
          <w:szCs w:val="22"/>
        </w:rPr>
        <w:t xml:space="preserve"> Se hace del conocimiento del </w:t>
      </w:r>
      <w:r w:rsidRPr="00C447C9">
        <w:rPr>
          <w:rFonts w:ascii="Palatino Linotype" w:eastAsia="Palatino Linotype" w:hAnsi="Palatino Linotype" w:cs="Palatino Linotype"/>
          <w:b/>
          <w:sz w:val="22"/>
          <w:szCs w:val="22"/>
        </w:rPr>
        <w:t>RECURRENTE</w:t>
      </w:r>
      <w:r w:rsidRPr="00C447C9">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4E3F7B" w:rsidRPr="00C447C9" w:rsidRDefault="004E3F7B">
      <w:pPr>
        <w:spacing w:line="360" w:lineRule="auto"/>
        <w:ind w:right="48"/>
        <w:jc w:val="both"/>
        <w:rPr>
          <w:rFonts w:ascii="Palatino Linotype" w:eastAsia="Palatino Linotype" w:hAnsi="Palatino Linotype" w:cs="Palatino Linotype"/>
          <w:color w:val="000000"/>
          <w:sz w:val="22"/>
          <w:szCs w:val="22"/>
        </w:rPr>
      </w:pPr>
    </w:p>
    <w:p w:rsidR="004E3F7B" w:rsidRPr="00C447C9" w:rsidRDefault="00FA7349">
      <w:pPr>
        <w:spacing w:line="360" w:lineRule="auto"/>
        <w:ind w:right="48"/>
        <w:jc w:val="both"/>
        <w:rPr>
          <w:rFonts w:ascii="Palatino Linotype" w:eastAsia="Palatino Linotype" w:hAnsi="Palatino Linotype" w:cs="Palatino Linotype"/>
          <w:sz w:val="22"/>
          <w:szCs w:val="22"/>
        </w:rPr>
      </w:pPr>
      <w:r w:rsidRPr="00C447C9">
        <w:rPr>
          <w:rFonts w:ascii="Palatino Linotype" w:eastAsia="Palatino Linotype" w:hAnsi="Palatino Linotype" w:cs="Palatino Linotype"/>
          <w:b/>
          <w:sz w:val="22"/>
          <w:szCs w:val="22"/>
        </w:rPr>
        <w:t>OCTAVO</w:t>
      </w:r>
      <w:r w:rsidRPr="00C447C9">
        <w:rPr>
          <w:rFonts w:ascii="Palatino Linotype" w:eastAsia="Palatino Linotype" w:hAnsi="Palatino Linotype" w:cs="Palatino Linotype"/>
          <w:b/>
          <w:color w:val="000000"/>
          <w:sz w:val="22"/>
          <w:szCs w:val="22"/>
        </w:rPr>
        <w:t xml:space="preserve">. </w:t>
      </w:r>
      <w:r w:rsidRPr="00C447C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E3F7B" w:rsidRPr="00C447C9" w:rsidRDefault="004E3F7B">
      <w:pPr>
        <w:shd w:val="clear" w:color="auto" w:fill="FFFFFF"/>
        <w:spacing w:line="360" w:lineRule="auto"/>
        <w:jc w:val="both"/>
        <w:rPr>
          <w:rFonts w:ascii="Palatino Linotype" w:eastAsia="Palatino Linotype" w:hAnsi="Palatino Linotype" w:cs="Palatino Linotype"/>
          <w:sz w:val="22"/>
          <w:szCs w:val="22"/>
        </w:rPr>
      </w:pPr>
    </w:p>
    <w:p w:rsidR="006E5408" w:rsidRPr="003C7186" w:rsidRDefault="006E5408" w:rsidP="006E5408">
      <w:pPr>
        <w:spacing w:line="360" w:lineRule="auto"/>
        <w:ind w:left="-142" w:right="-234" w:firstLine="1"/>
        <w:jc w:val="both"/>
        <w:rPr>
          <w:rFonts w:ascii="Palatino Linotype" w:hAnsi="Palatino Linotype"/>
        </w:rPr>
      </w:pPr>
      <w:r w:rsidRPr="00C447C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5" w:name="_GoBack"/>
      <w:bookmarkEnd w:id="15"/>
      <w:r w:rsidRPr="003C7186">
        <w:rPr>
          <w:rFonts w:ascii="Palatino Linotype" w:hAnsi="Palatino Linotype"/>
        </w:rPr>
        <w:t xml:space="preserve"> </w:t>
      </w:r>
    </w:p>
    <w:p w:rsidR="004E3F7B" w:rsidRDefault="004E3F7B">
      <w:pPr>
        <w:spacing w:line="360" w:lineRule="auto"/>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p w:rsidR="004E3F7B" w:rsidRDefault="004E3F7B">
      <w:pPr>
        <w:rPr>
          <w:rFonts w:ascii="Palatino Linotype" w:eastAsia="Palatino Linotype" w:hAnsi="Palatino Linotype" w:cs="Palatino Linotype"/>
          <w:sz w:val="22"/>
          <w:szCs w:val="22"/>
        </w:rPr>
      </w:pPr>
    </w:p>
    <w:sectPr w:rsidR="004E3F7B">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C0" w:rsidRDefault="002F7DC0">
      <w:r>
        <w:separator/>
      </w:r>
    </w:p>
  </w:endnote>
  <w:endnote w:type="continuationSeparator" w:id="0">
    <w:p w:rsidR="002F7DC0" w:rsidRDefault="002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7B" w:rsidRDefault="00FA73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447C9">
      <w:rPr>
        <w:b/>
        <w:noProof/>
        <w:color w:val="000000"/>
      </w:rPr>
      <w:t>47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447C9">
      <w:rPr>
        <w:b/>
        <w:noProof/>
        <w:color w:val="000000"/>
      </w:rPr>
      <w:t>49</w:t>
    </w:r>
    <w:r>
      <w:rPr>
        <w:b/>
        <w:color w:val="000000"/>
      </w:rPr>
      <w:fldChar w:fldCharType="end"/>
    </w:r>
  </w:p>
  <w:p w:rsidR="004E3F7B" w:rsidRDefault="004E3F7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7B" w:rsidRDefault="00FA73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447C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447C9">
      <w:rPr>
        <w:b/>
        <w:noProof/>
        <w:color w:val="000000"/>
      </w:rPr>
      <w:t>49</w:t>
    </w:r>
    <w:r>
      <w:rPr>
        <w:b/>
        <w:color w:val="000000"/>
      </w:rPr>
      <w:fldChar w:fldCharType="end"/>
    </w:r>
  </w:p>
  <w:p w:rsidR="004E3F7B" w:rsidRDefault="004E3F7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C0" w:rsidRDefault="002F7DC0">
      <w:r>
        <w:separator/>
      </w:r>
    </w:p>
  </w:footnote>
  <w:footnote w:type="continuationSeparator" w:id="0">
    <w:p w:rsidR="002F7DC0" w:rsidRDefault="002F7DC0">
      <w:r>
        <w:continuationSeparator/>
      </w:r>
    </w:p>
  </w:footnote>
  <w:footnote w:id="1">
    <w:p w:rsidR="004E3F7B" w:rsidRDefault="00FA734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7B" w:rsidRDefault="002F7DC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7B" w:rsidRDefault="004E3F7B">
    <w:pPr>
      <w:widowControl w:val="0"/>
      <w:pBdr>
        <w:top w:val="nil"/>
        <w:left w:val="nil"/>
        <w:bottom w:val="nil"/>
        <w:right w:val="nil"/>
        <w:between w:val="nil"/>
      </w:pBdr>
      <w:spacing w:line="276" w:lineRule="auto"/>
      <w:rPr>
        <w:color w:val="000000"/>
      </w:rPr>
    </w:pPr>
  </w:p>
  <w:tbl>
    <w:tblPr>
      <w:tblStyle w:val="ab"/>
      <w:tblW w:w="9214" w:type="dxa"/>
      <w:tblInd w:w="0" w:type="dxa"/>
      <w:tblLayout w:type="fixed"/>
      <w:tblLook w:val="0400" w:firstRow="0" w:lastRow="0" w:firstColumn="0" w:lastColumn="0" w:noHBand="0" w:noVBand="1"/>
    </w:tblPr>
    <w:tblGrid>
      <w:gridCol w:w="2268"/>
      <w:gridCol w:w="6946"/>
    </w:tblGrid>
    <w:tr w:rsidR="004E3F7B">
      <w:trPr>
        <w:trHeight w:val="1435"/>
      </w:trPr>
      <w:tc>
        <w:tcPr>
          <w:tcW w:w="2268" w:type="dxa"/>
          <w:shd w:val="clear" w:color="auto" w:fill="auto"/>
        </w:tcPr>
        <w:p w:rsidR="004E3F7B" w:rsidRDefault="004E3F7B">
          <w:pPr>
            <w:tabs>
              <w:tab w:val="right" w:pos="4273"/>
            </w:tabs>
            <w:rPr>
              <w:rFonts w:ascii="Garamond" w:eastAsia="Garamond" w:hAnsi="Garamond" w:cs="Garamond"/>
              <w:sz w:val="16"/>
              <w:szCs w:val="16"/>
            </w:rPr>
          </w:pPr>
        </w:p>
      </w:tc>
      <w:tc>
        <w:tcPr>
          <w:tcW w:w="6946" w:type="dxa"/>
          <w:shd w:val="clear" w:color="auto" w:fill="auto"/>
        </w:tcPr>
        <w:p w:rsidR="004E3F7B" w:rsidRDefault="004E3F7B"/>
        <w:tbl>
          <w:tblPr>
            <w:tblStyle w:val="ac"/>
            <w:tblW w:w="6662" w:type="dxa"/>
            <w:tblInd w:w="40" w:type="dxa"/>
            <w:tblLayout w:type="fixed"/>
            <w:tblLook w:val="0400" w:firstRow="0" w:lastRow="0" w:firstColumn="0" w:lastColumn="0" w:noHBand="0" w:noVBand="1"/>
          </w:tblPr>
          <w:tblGrid>
            <w:gridCol w:w="2551"/>
            <w:gridCol w:w="4111"/>
          </w:tblGrid>
          <w:tr w:rsidR="004E3F7B">
            <w:trPr>
              <w:trHeight w:val="150"/>
            </w:trPr>
            <w:tc>
              <w:tcPr>
                <w:tcW w:w="2551" w:type="dxa"/>
                <w:shd w:val="clear" w:color="auto" w:fill="auto"/>
              </w:tcPr>
              <w:p w:rsidR="004E3F7B" w:rsidRDefault="00FA73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4E3F7B" w:rsidRDefault="00FA7349">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06233/INFOEM/IP/RR/2024 y Acumulados</w:t>
                </w:r>
              </w:p>
            </w:tc>
          </w:tr>
          <w:tr w:rsidR="004E3F7B">
            <w:trPr>
              <w:trHeight w:val="295"/>
            </w:trPr>
            <w:tc>
              <w:tcPr>
                <w:tcW w:w="2551" w:type="dxa"/>
                <w:shd w:val="clear" w:color="auto" w:fill="auto"/>
              </w:tcPr>
              <w:p w:rsidR="004E3F7B" w:rsidRDefault="00FA73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4E3F7B" w:rsidRDefault="00FA7349">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Temamatla</w:t>
                </w:r>
              </w:p>
            </w:tc>
          </w:tr>
          <w:tr w:rsidR="004E3F7B">
            <w:trPr>
              <w:trHeight w:val="295"/>
            </w:trPr>
            <w:tc>
              <w:tcPr>
                <w:tcW w:w="2551" w:type="dxa"/>
                <w:shd w:val="clear" w:color="auto" w:fill="auto"/>
              </w:tcPr>
              <w:p w:rsidR="004E3F7B" w:rsidRDefault="00FA73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4E3F7B" w:rsidRDefault="00FA7349">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4E3F7B" w:rsidRDefault="004E3F7B">
                <w:pPr>
                  <w:tabs>
                    <w:tab w:val="right" w:pos="8838"/>
                  </w:tabs>
                  <w:ind w:left="-108" w:right="171"/>
                  <w:jc w:val="both"/>
                  <w:rPr>
                    <w:rFonts w:ascii="Palatino Linotype" w:eastAsia="Palatino Linotype" w:hAnsi="Palatino Linotype" w:cs="Palatino Linotype"/>
                    <w:b/>
                    <w:sz w:val="22"/>
                    <w:szCs w:val="22"/>
                  </w:rPr>
                </w:pPr>
              </w:p>
            </w:tc>
          </w:tr>
        </w:tbl>
        <w:p w:rsidR="004E3F7B" w:rsidRDefault="004E3F7B">
          <w:pPr>
            <w:tabs>
              <w:tab w:val="right" w:pos="8838"/>
            </w:tabs>
            <w:ind w:left="-28"/>
            <w:jc w:val="both"/>
            <w:rPr>
              <w:rFonts w:ascii="Arial" w:eastAsia="Arial" w:hAnsi="Arial" w:cs="Arial"/>
              <w:b/>
              <w:sz w:val="22"/>
              <w:szCs w:val="22"/>
            </w:rPr>
          </w:pPr>
        </w:p>
      </w:tc>
    </w:tr>
  </w:tbl>
  <w:p w:rsidR="004E3F7B" w:rsidRDefault="002F7DC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7B" w:rsidRDefault="004E3F7B">
    <w:pPr>
      <w:widowControl w:val="0"/>
      <w:pBdr>
        <w:top w:val="nil"/>
        <w:left w:val="nil"/>
        <w:bottom w:val="nil"/>
        <w:right w:val="nil"/>
        <w:between w:val="nil"/>
      </w:pBdr>
      <w:spacing w:line="276" w:lineRule="auto"/>
      <w:rPr>
        <w:color w:val="000000"/>
        <w:sz w:val="14"/>
        <w:szCs w:val="14"/>
      </w:rPr>
    </w:pPr>
  </w:p>
  <w:tbl>
    <w:tblPr>
      <w:tblStyle w:val="ad"/>
      <w:tblW w:w="9072" w:type="dxa"/>
      <w:tblInd w:w="0" w:type="dxa"/>
      <w:tblLayout w:type="fixed"/>
      <w:tblLook w:val="0400" w:firstRow="0" w:lastRow="0" w:firstColumn="0" w:lastColumn="0" w:noHBand="0" w:noVBand="1"/>
    </w:tblPr>
    <w:tblGrid>
      <w:gridCol w:w="2268"/>
      <w:gridCol w:w="6804"/>
    </w:tblGrid>
    <w:tr w:rsidR="004E3F7B">
      <w:trPr>
        <w:trHeight w:val="1435"/>
      </w:trPr>
      <w:tc>
        <w:tcPr>
          <w:tcW w:w="2268" w:type="dxa"/>
          <w:shd w:val="clear" w:color="auto" w:fill="auto"/>
        </w:tcPr>
        <w:p w:rsidR="004E3F7B" w:rsidRDefault="004E3F7B">
          <w:pPr>
            <w:tabs>
              <w:tab w:val="right" w:pos="4273"/>
            </w:tabs>
            <w:rPr>
              <w:rFonts w:ascii="Garamond" w:eastAsia="Garamond" w:hAnsi="Garamond" w:cs="Garamond"/>
              <w:sz w:val="22"/>
              <w:szCs w:val="22"/>
            </w:rPr>
          </w:pPr>
        </w:p>
      </w:tc>
      <w:tc>
        <w:tcPr>
          <w:tcW w:w="6804" w:type="dxa"/>
          <w:shd w:val="clear" w:color="auto" w:fill="auto"/>
        </w:tcPr>
        <w:p w:rsidR="004E3F7B" w:rsidRDefault="004E3F7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6662" w:type="dxa"/>
            <w:tblInd w:w="40" w:type="dxa"/>
            <w:tblLayout w:type="fixed"/>
            <w:tblLook w:val="0400" w:firstRow="0" w:lastRow="0" w:firstColumn="0" w:lastColumn="0" w:noHBand="0" w:noVBand="1"/>
          </w:tblPr>
          <w:tblGrid>
            <w:gridCol w:w="2444"/>
            <w:gridCol w:w="4218"/>
          </w:tblGrid>
          <w:tr w:rsidR="004E3F7B">
            <w:trPr>
              <w:trHeight w:val="144"/>
            </w:trPr>
            <w:tc>
              <w:tcPr>
                <w:tcW w:w="2444" w:type="dxa"/>
                <w:shd w:val="clear" w:color="auto" w:fill="auto"/>
              </w:tcPr>
              <w:p w:rsidR="004E3F7B" w:rsidRDefault="00FA7349">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4E3F7B" w:rsidRDefault="00FA7349">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06233/INFOEM/IP/RR/2024 y Acumulados</w:t>
                </w:r>
              </w:p>
            </w:tc>
          </w:tr>
          <w:tr w:rsidR="004E3F7B">
            <w:trPr>
              <w:trHeight w:val="144"/>
            </w:trPr>
            <w:tc>
              <w:tcPr>
                <w:tcW w:w="2444" w:type="dxa"/>
                <w:shd w:val="clear" w:color="auto" w:fill="auto"/>
              </w:tcPr>
              <w:p w:rsidR="004E3F7B" w:rsidRDefault="00FA73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4E3F7B" w:rsidRDefault="004E3F7B">
                <w:pPr>
                  <w:tabs>
                    <w:tab w:val="left" w:pos="3122"/>
                    <w:tab w:val="right" w:pos="8838"/>
                  </w:tabs>
                  <w:ind w:left="-74" w:right="-105"/>
                  <w:jc w:val="both"/>
                  <w:rPr>
                    <w:rFonts w:ascii="Palatino Linotype" w:eastAsia="Palatino Linotype" w:hAnsi="Palatino Linotype" w:cs="Palatino Linotype"/>
                    <w:sz w:val="22"/>
                    <w:szCs w:val="22"/>
                  </w:rPr>
                </w:pPr>
              </w:p>
            </w:tc>
          </w:tr>
          <w:tr w:rsidR="004E3F7B">
            <w:trPr>
              <w:trHeight w:val="283"/>
            </w:trPr>
            <w:tc>
              <w:tcPr>
                <w:tcW w:w="2444" w:type="dxa"/>
                <w:shd w:val="clear" w:color="auto" w:fill="auto"/>
              </w:tcPr>
              <w:p w:rsidR="004E3F7B" w:rsidRDefault="00FA73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4E3F7B" w:rsidRDefault="00FA7349">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Temamatla</w:t>
                </w:r>
              </w:p>
            </w:tc>
          </w:tr>
          <w:tr w:rsidR="004E3F7B">
            <w:trPr>
              <w:trHeight w:val="283"/>
            </w:trPr>
            <w:tc>
              <w:tcPr>
                <w:tcW w:w="2444" w:type="dxa"/>
                <w:shd w:val="clear" w:color="auto" w:fill="auto"/>
              </w:tcPr>
              <w:p w:rsidR="004E3F7B" w:rsidRDefault="00FA73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4E3F7B" w:rsidRDefault="00FA7349">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4E3F7B" w:rsidRDefault="004E3F7B">
                <w:pPr>
                  <w:tabs>
                    <w:tab w:val="right" w:pos="8838"/>
                  </w:tabs>
                  <w:ind w:left="-74" w:right="-105"/>
                  <w:jc w:val="both"/>
                  <w:rPr>
                    <w:rFonts w:ascii="Palatino Linotype" w:eastAsia="Palatino Linotype" w:hAnsi="Palatino Linotype" w:cs="Palatino Linotype"/>
                    <w:b/>
                    <w:sz w:val="22"/>
                    <w:szCs w:val="22"/>
                  </w:rPr>
                </w:pPr>
              </w:p>
            </w:tc>
          </w:tr>
        </w:tbl>
        <w:p w:rsidR="004E3F7B" w:rsidRDefault="004E3F7B">
          <w:pPr>
            <w:tabs>
              <w:tab w:val="right" w:pos="8838"/>
            </w:tabs>
            <w:ind w:left="-28"/>
            <w:jc w:val="both"/>
            <w:rPr>
              <w:rFonts w:ascii="Arial" w:eastAsia="Arial" w:hAnsi="Arial" w:cs="Arial"/>
              <w:b/>
              <w:sz w:val="22"/>
              <w:szCs w:val="22"/>
            </w:rPr>
          </w:pPr>
        </w:p>
      </w:tc>
    </w:tr>
  </w:tbl>
  <w:p w:rsidR="004E3F7B" w:rsidRDefault="002F7DC0">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A1C"/>
    <w:multiLevelType w:val="multilevel"/>
    <w:tmpl w:val="B6D6E600"/>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1" w15:restartNumberingAfterBreak="0">
    <w:nsid w:val="18C60F35"/>
    <w:multiLevelType w:val="multilevel"/>
    <w:tmpl w:val="0B284A58"/>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2" w15:restartNumberingAfterBreak="0">
    <w:nsid w:val="1B152466"/>
    <w:multiLevelType w:val="multilevel"/>
    <w:tmpl w:val="0DC49C7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3" w15:restartNumberingAfterBreak="0">
    <w:nsid w:val="210C798F"/>
    <w:multiLevelType w:val="multilevel"/>
    <w:tmpl w:val="55062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234AE1"/>
    <w:multiLevelType w:val="multilevel"/>
    <w:tmpl w:val="B64E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5696E"/>
    <w:multiLevelType w:val="multilevel"/>
    <w:tmpl w:val="DE4A3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933681"/>
    <w:multiLevelType w:val="multilevel"/>
    <w:tmpl w:val="53C66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A06E5B"/>
    <w:multiLevelType w:val="multilevel"/>
    <w:tmpl w:val="C08E809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C30429"/>
    <w:multiLevelType w:val="multilevel"/>
    <w:tmpl w:val="B5168D74"/>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9" w15:restartNumberingAfterBreak="0">
    <w:nsid w:val="7CBB5728"/>
    <w:multiLevelType w:val="multilevel"/>
    <w:tmpl w:val="A43AB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5"/>
  </w:num>
  <w:num w:numId="4">
    <w:abstractNumId w:val="9"/>
  </w:num>
  <w:num w:numId="5">
    <w:abstractNumId w:val="6"/>
  </w:num>
  <w:num w:numId="6">
    <w:abstractNumId w:val="0"/>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7B"/>
    <w:rsid w:val="002F7DC0"/>
    <w:rsid w:val="004E3F7B"/>
    <w:rsid w:val="006E5408"/>
    <w:rsid w:val="007B3C9E"/>
    <w:rsid w:val="00C447C9"/>
    <w:rsid w:val="00EB78E3"/>
    <w:rsid w:val="00FA7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90CFFF-98F1-4FE5-98AF-2532B54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6F"/>
  </w:style>
  <w:style w:type="paragraph" w:styleId="Ttulo1">
    <w:name w:val="heading 1"/>
    <w:basedOn w:val="Normal"/>
    <w:next w:val="Normal"/>
    <w:link w:val="Ttulo1Car"/>
    <w:uiPriority w:val="9"/>
    <w:qFormat/>
    <w:rsid w:val="00DA42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A425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DA425F"/>
    <w:pPr>
      <w:tabs>
        <w:tab w:val="center" w:pos="4419"/>
        <w:tab w:val="right" w:pos="8838"/>
      </w:tabs>
    </w:pPr>
  </w:style>
  <w:style w:type="character" w:customStyle="1" w:styleId="EncabezadoCar">
    <w:name w:val="Encabezado Car"/>
    <w:basedOn w:val="Fuentedeprrafopredeter"/>
    <w:link w:val="Encabezado"/>
    <w:uiPriority w:val="99"/>
    <w:rsid w:val="00DA425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A425F"/>
    <w:pPr>
      <w:tabs>
        <w:tab w:val="center" w:pos="4419"/>
        <w:tab w:val="right" w:pos="8838"/>
      </w:tabs>
    </w:pPr>
  </w:style>
  <w:style w:type="character" w:customStyle="1" w:styleId="PiedepginaCar">
    <w:name w:val="Pie de página Car"/>
    <w:basedOn w:val="Fuentedeprrafopredeter"/>
    <w:link w:val="Piedepgina"/>
    <w:uiPriority w:val="99"/>
    <w:rsid w:val="00DA425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A425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A425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A425F"/>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A425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A425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A425F"/>
    <w:rPr>
      <w:vertAlign w:val="superscript"/>
    </w:rPr>
  </w:style>
  <w:style w:type="paragraph" w:customStyle="1" w:styleId="Default">
    <w:name w:val="Default"/>
    <w:rsid w:val="00DA425F"/>
    <w:pPr>
      <w:autoSpaceDE w:val="0"/>
      <w:autoSpaceDN w:val="0"/>
      <w:adjustRightInd w:val="0"/>
    </w:pPr>
    <w:rPr>
      <w:rFonts w:ascii="Arial" w:hAnsi="Arial" w:cs="Arial"/>
      <w:color w:val="000000"/>
    </w:rPr>
  </w:style>
  <w:style w:type="table" w:styleId="Tabladecuadrcula6concolores">
    <w:name w:val="Grid Table 6 Colorful"/>
    <w:basedOn w:val="Tablanormal"/>
    <w:uiPriority w:val="51"/>
    <w:rsid w:val="00DA425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ngradetextonormal">
    <w:name w:val="Body Text Indent"/>
    <w:basedOn w:val="Normal"/>
    <w:link w:val="SangradetextonormalCar"/>
    <w:uiPriority w:val="99"/>
    <w:semiHidden/>
    <w:unhideWhenUsed/>
    <w:rsid w:val="00DA425F"/>
    <w:pPr>
      <w:spacing w:after="120"/>
      <w:ind w:left="283"/>
    </w:pPr>
  </w:style>
  <w:style w:type="character" w:customStyle="1" w:styleId="SangradetextonormalCar">
    <w:name w:val="Sangría de texto normal Car"/>
    <w:basedOn w:val="Fuentedeprrafopredeter"/>
    <w:link w:val="Sangradetextonormal"/>
    <w:uiPriority w:val="99"/>
    <w:semiHidden/>
    <w:rsid w:val="00DA425F"/>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A42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A425F"/>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A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25F"/>
    <w:pPr>
      <w:spacing w:before="100" w:beforeAutospacing="1" w:after="100" w:afterAutospacing="1"/>
    </w:pPr>
  </w:style>
  <w:style w:type="character" w:customStyle="1" w:styleId="c1">
    <w:name w:val="c1"/>
    <w:basedOn w:val="Fuentedeprrafopredeter"/>
    <w:rsid w:val="00DA425F"/>
  </w:style>
  <w:style w:type="table" w:styleId="Tabladecuadrcula4-nfasis3">
    <w:name w:val="Grid Table 4 Accent 3"/>
    <w:basedOn w:val="Tablanormal"/>
    <w:uiPriority w:val="49"/>
    <w:rsid w:val="00D0088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256424.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imex.org.mx/saimex/solicitud/downloadAttach/2256424.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DK5zjBbBFA/dFg/OVoxIcaOOQ==">CgMxLjAyCWguMjZpbjFyZzIIaC5namRneHMyCGgubG54Yno5MgloLjMwajB6bGwyCWguMWZvYjl0ZTIJaC4zem55c2g3MgloLjJldDkycDAyCGgudHlqY3d0MgloLjNkeTZ2a20yCWguMXQzaDVzZjIJaC4yczhleW8xMgloLjE3ZHA4dnUyCWguM3JkY3JqbjIJaC4zZHk2dmttMg5oLm94cTRsaW0wcHd6aDIOaC50djA3aWJ2eHd6M3U4AHIhMTB6X19RMVFIOHVHMUtCbW5Db0VYanNYcURQejE1LX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11787</Words>
  <Characters>64833</Characters>
  <Application>Microsoft Office Word</Application>
  <DocSecurity>0</DocSecurity>
  <Lines>540</Lines>
  <Paragraphs>152</Paragraphs>
  <ScaleCrop>false</ScaleCrop>
  <Company>HP Inc.</Company>
  <LinksUpToDate>false</LinksUpToDate>
  <CharactersWithSpaces>76468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4</cp:revision>
  <dcterms:created xsi:type="dcterms:W3CDTF">2024-12-11T23:20:00Z</dcterms:created>
  <dcterms:modified xsi:type="dcterms:W3CDTF">2025-01-24T00:36:00Z</dcterms:modified>
</cp:coreProperties>
</file>