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77D4E" w14:textId="77777777" w:rsidR="003126B4" w:rsidRDefault="003126B4" w:rsidP="003126B4">
      <w:pPr>
        <w:spacing w:line="360" w:lineRule="auto"/>
        <w:ind w:right="-28"/>
        <w:contextualSpacing/>
        <w:jc w:val="both"/>
        <w:rPr>
          <w:rFonts w:ascii="Palatino Linotype" w:hAnsi="Palatino Linotype" w:cs="Tahoma"/>
          <w:bCs/>
          <w:sz w:val="22"/>
          <w:szCs w:val="22"/>
        </w:rPr>
      </w:pPr>
    </w:p>
    <w:p w14:paraId="1FDEE278" w14:textId="77777777" w:rsidR="003126B4" w:rsidRPr="00222027" w:rsidRDefault="003126B4" w:rsidP="003126B4">
      <w:pPr>
        <w:spacing w:line="360" w:lineRule="auto"/>
        <w:ind w:right="-28"/>
        <w:contextualSpacing/>
        <w:jc w:val="both"/>
        <w:rPr>
          <w:rFonts w:ascii="Palatino Linotype" w:hAnsi="Palatino Linotype"/>
          <w:noProof/>
          <w:sz w:val="22"/>
          <w:szCs w:val="22"/>
          <w:lang w:val="es-ES"/>
        </w:rPr>
      </w:pPr>
      <w:r w:rsidRPr="00222027">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veintisiete de noviembre de dos mil veinticuatro.</w:t>
      </w:r>
    </w:p>
    <w:p w14:paraId="44A2D3DC" w14:textId="77777777" w:rsidR="003126B4" w:rsidRPr="00222027" w:rsidRDefault="003126B4" w:rsidP="003126B4">
      <w:pPr>
        <w:spacing w:line="360" w:lineRule="auto"/>
        <w:ind w:right="-28"/>
        <w:contextualSpacing/>
        <w:jc w:val="both"/>
        <w:rPr>
          <w:rFonts w:ascii="Palatino Linotype" w:hAnsi="Palatino Linotype"/>
          <w:noProof/>
          <w:sz w:val="22"/>
          <w:szCs w:val="22"/>
          <w:lang w:val="es-ES"/>
        </w:rPr>
      </w:pPr>
    </w:p>
    <w:p w14:paraId="35A67697" w14:textId="77777777" w:rsidR="003126B4" w:rsidRPr="00222027" w:rsidRDefault="003126B4" w:rsidP="003126B4">
      <w:pPr>
        <w:spacing w:line="360" w:lineRule="auto"/>
        <w:ind w:right="-28"/>
        <w:contextualSpacing/>
        <w:jc w:val="both"/>
        <w:rPr>
          <w:rFonts w:ascii="Palatino Linotype" w:hAnsi="Palatino Linotype" w:cs="Tahoma"/>
          <w:bCs/>
          <w:sz w:val="22"/>
          <w:szCs w:val="22"/>
        </w:rPr>
      </w:pPr>
      <w:r w:rsidRPr="00222027">
        <w:rPr>
          <w:rFonts w:ascii="Palatino Linotype" w:hAnsi="Palatino Linotype" w:cs="Tahoma"/>
          <w:b/>
          <w:bCs/>
          <w:sz w:val="22"/>
          <w:szCs w:val="22"/>
        </w:rPr>
        <w:t xml:space="preserve">VISTO </w:t>
      </w:r>
      <w:r w:rsidRPr="00222027">
        <w:rPr>
          <w:rFonts w:ascii="Palatino Linotype" w:hAnsi="Palatino Linotype" w:cs="Tahoma"/>
          <w:bCs/>
          <w:sz w:val="22"/>
          <w:szCs w:val="22"/>
        </w:rPr>
        <w:t xml:space="preserve">el expediente conformado con motivo del Recurso de Revisión </w:t>
      </w:r>
      <w:r w:rsidRPr="00D01868">
        <w:rPr>
          <w:rFonts w:ascii="Palatino Linotype" w:hAnsi="Palatino Linotype" w:cs="Tahoma"/>
          <w:b/>
          <w:color w:val="0D0D0D" w:themeColor="text1" w:themeTint="F2"/>
          <w:sz w:val="22"/>
          <w:szCs w:val="22"/>
        </w:rPr>
        <w:t>06786/INFOEM/IP/RR/2024</w:t>
      </w:r>
      <w:r w:rsidRPr="00222027">
        <w:rPr>
          <w:rFonts w:ascii="Palatino Linotype" w:hAnsi="Palatino Linotype" w:cs="Tahoma"/>
          <w:sz w:val="22"/>
          <w:szCs w:val="22"/>
        </w:rPr>
        <w:t xml:space="preserve">, interpuesto por el Recurrente o Particular, en contra de la respuesta del Sujeto Obligado, </w:t>
      </w:r>
      <w:r w:rsidRPr="00D01868">
        <w:rPr>
          <w:rFonts w:ascii="Palatino Linotype" w:hAnsi="Palatino Linotype"/>
          <w:b/>
          <w:sz w:val="22"/>
          <w:szCs w:val="22"/>
        </w:rPr>
        <w:t>Ayuntamiento de Temamatla</w:t>
      </w:r>
      <w:r w:rsidRPr="00222027">
        <w:rPr>
          <w:rFonts w:ascii="Palatino Linotype" w:hAnsi="Palatino Linotype" w:cs="Tahoma"/>
          <w:sz w:val="22"/>
          <w:szCs w:val="22"/>
        </w:rPr>
        <w:t>, a la solicitud de acceso a la información pública</w:t>
      </w:r>
      <w:r w:rsidRPr="00222027">
        <w:rPr>
          <w:rFonts w:ascii="Palatino Linotype" w:hAnsi="Palatino Linotype" w:cs="Tahoma"/>
          <w:bCs/>
          <w:sz w:val="22"/>
          <w:szCs w:val="22"/>
        </w:rPr>
        <w:t xml:space="preserve"> con número de folio </w:t>
      </w:r>
      <w:r w:rsidRPr="00222027">
        <w:rPr>
          <w:rFonts w:ascii="Palatino Linotype" w:hAnsi="Palatino Linotype"/>
          <w:sz w:val="22"/>
          <w:szCs w:val="22"/>
        </w:rPr>
        <w:t>00</w:t>
      </w:r>
      <w:r w:rsidR="00867406" w:rsidRPr="00222027">
        <w:rPr>
          <w:rFonts w:ascii="Palatino Linotype" w:hAnsi="Palatino Linotype"/>
          <w:sz w:val="22"/>
          <w:szCs w:val="22"/>
        </w:rPr>
        <w:t>592</w:t>
      </w:r>
      <w:r w:rsidRPr="00222027">
        <w:rPr>
          <w:rFonts w:ascii="Palatino Linotype" w:hAnsi="Palatino Linotype"/>
          <w:sz w:val="22"/>
          <w:szCs w:val="22"/>
        </w:rPr>
        <w:t>/TEMAMATL/IP/2024</w:t>
      </w:r>
      <w:r w:rsidRPr="00222027">
        <w:rPr>
          <w:rFonts w:ascii="Palatino Linotype" w:hAnsi="Palatino Linotype" w:cs="Tahoma"/>
          <w:bCs/>
          <w:sz w:val="22"/>
          <w:szCs w:val="22"/>
        </w:rPr>
        <w:t>, se emite la presente Resolución, con base en los Antecedentes y Considerandos que se exponen a continuación:</w:t>
      </w:r>
    </w:p>
    <w:p w14:paraId="4E204643" w14:textId="77777777" w:rsidR="003126B4" w:rsidRPr="00222027" w:rsidRDefault="003126B4" w:rsidP="003126B4">
      <w:pPr>
        <w:spacing w:line="360" w:lineRule="auto"/>
        <w:ind w:right="-28"/>
        <w:contextualSpacing/>
        <w:jc w:val="both"/>
        <w:rPr>
          <w:rFonts w:ascii="Palatino Linotype" w:hAnsi="Palatino Linotype" w:cs="Tahoma"/>
          <w:b/>
          <w:bCs/>
          <w:color w:val="0D0D0D" w:themeColor="text1" w:themeTint="F2"/>
          <w:sz w:val="22"/>
          <w:szCs w:val="22"/>
        </w:rPr>
      </w:pPr>
    </w:p>
    <w:p w14:paraId="47345626" w14:textId="77777777" w:rsidR="003126B4" w:rsidRPr="00222027" w:rsidRDefault="003126B4" w:rsidP="003126B4">
      <w:pPr>
        <w:tabs>
          <w:tab w:val="center" w:pos="4522"/>
          <w:tab w:val="left" w:pos="7245"/>
          <w:tab w:val="right" w:pos="9044"/>
        </w:tabs>
        <w:spacing w:line="360" w:lineRule="auto"/>
        <w:ind w:right="-28"/>
        <w:contextualSpacing/>
        <w:jc w:val="center"/>
        <w:rPr>
          <w:rFonts w:ascii="Palatino Linotype" w:hAnsi="Palatino Linotype" w:cs="Tahoma"/>
          <w:b/>
          <w:sz w:val="22"/>
          <w:szCs w:val="22"/>
        </w:rPr>
      </w:pPr>
      <w:r w:rsidRPr="00222027">
        <w:rPr>
          <w:rFonts w:ascii="Palatino Linotype" w:hAnsi="Palatino Linotype" w:cs="Tahoma"/>
          <w:b/>
          <w:sz w:val="22"/>
          <w:szCs w:val="22"/>
        </w:rPr>
        <w:t>A N T E C E D E N T E S</w:t>
      </w:r>
    </w:p>
    <w:p w14:paraId="3DD9D987" w14:textId="77777777" w:rsidR="003126B4" w:rsidRPr="00222027" w:rsidRDefault="003126B4" w:rsidP="003126B4">
      <w:pPr>
        <w:tabs>
          <w:tab w:val="center" w:pos="4522"/>
          <w:tab w:val="left" w:pos="7245"/>
          <w:tab w:val="right" w:pos="9044"/>
        </w:tabs>
        <w:spacing w:line="360" w:lineRule="auto"/>
        <w:ind w:right="-28"/>
        <w:contextualSpacing/>
        <w:rPr>
          <w:rFonts w:ascii="Palatino Linotype" w:hAnsi="Palatino Linotype" w:cs="Tahoma"/>
          <w:b/>
          <w:sz w:val="22"/>
          <w:szCs w:val="22"/>
        </w:rPr>
      </w:pPr>
    </w:p>
    <w:p w14:paraId="697AF532" w14:textId="77777777" w:rsidR="003126B4" w:rsidRPr="00222027" w:rsidRDefault="003126B4" w:rsidP="003126B4">
      <w:pPr>
        <w:pStyle w:val="Prrafodelista"/>
        <w:tabs>
          <w:tab w:val="left" w:pos="567"/>
        </w:tabs>
        <w:spacing w:line="360" w:lineRule="auto"/>
        <w:ind w:left="0" w:right="-28"/>
        <w:jc w:val="both"/>
        <w:rPr>
          <w:rFonts w:ascii="Palatino Linotype" w:hAnsi="Palatino Linotype" w:cs="Tahoma"/>
          <w:b/>
          <w:szCs w:val="22"/>
        </w:rPr>
      </w:pPr>
      <w:r w:rsidRPr="00222027">
        <w:rPr>
          <w:rFonts w:ascii="Palatino Linotype" w:hAnsi="Palatino Linotype" w:cs="Tahoma"/>
          <w:b/>
          <w:szCs w:val="22"/>
        </w:rPr>
        <w:t>I. Presentación de la solicitud de información</w:t>
      </w:r>
    </w:p>
    <w:p w14:paraId="2D1D613F" w14:textId="77777777" w:rsidR="003126B4" w:rsidRPr="00222027" w:rsidRDefault="003126B4" w:rsidP="003126B4">
      <w:pPr>
        <w:pStyle w:val="Prrafodelista"/>
        <w:tabs>
          <w:tab w:val="left" w:pos="1050"/>
        </w:tabs>
        <w:spacing w:line="360" w:lineRule="auto"/>
        <w:ind w:left="0" w:right="-28"/>
        <w:jc w:val="both"/>
        <w:rPr>
          <w:rFonts w:ascii="Palatino Linotype" w:hAnsi="Palatino Linotype" w:cs="Tahoma"/>
          <w:szCs w:val="22"/>
        </w:rPr>
      </w:pPr>
    </w:p>
    <w:p w14:paraId="5B287ECF"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lang w:val="es-ES"/>
        </w:rPr>
      </w:pPr>
      <w:r w:rsidRPr="00222027">
        <w:rPr>
          <w:rFonts w:ascii="Palatino Linotype" w:hAnsi="Palatino Linotype" w:cs="Tahoma"/>
          <w:sz w:val="22"/>
          <w:szCs w:val="22"/>
        </w:rPr>
        <w:t xml:space="preserve">Con fecha </w:t>
      </w:r>
      <w:r w:rsidR="00867406" w:rsidRPr="00222027">
        <w:rPr>
          <w:rFonts w:ascii="Palatino Linotype" w:hAnsi="Palatino Linotype" w:cs="Tahoma"/>
          <w:sz w:val="22"/>
          <w:szCs w:val="22"/>
        </w:rPr>
        <w:t>cuatro</w:t>
      </w:r>
      <w:r w:rsidRPr="00222027">
        <w:rPr>
          <w:rFonts w:ascii="Palatino Linotype" w:hAnsi="Palatino Linotype" w:cs="Tahoma"/>
          <w:sz w:val="22"/>
          <w:szCs w:val="22"/>
        </w:rPr>
        <w:t xml:space="preserve"> de octubre de dos mil veinticuatro, el Particular presentó una solicitud de acceso a la información pública, a través del Sistema de Acceso a la Información Mexiquense (SAIMEX), ante el </w:t>
      </w:r>
      <w:r w:rsidRPr="00222027">
        <w:rPr>
          <w:rFonts w:ascii="Palatino Linotype" w:hAnsi="Palatino Linotype"/>
          <w:sz w:val="22"/>
          <w:szCs w:val="22"/>
        </w:rPr>
        <w:t>Ayuntamiento de Temamatla</w:t>
      </w:r>
      <w:r w:rsidRPr="00222027">
        <w:rPr>
          <w:rFonts w:ascii="Palatino Linotype" w:hAnsi="Palatino Linotype" w:cs="Tahoma"/>
          <w:b/>
          <w:bCs/>
          <w:sz w:val="22"/>
          <w:szCs w:val="22"/>
        </w:rPr>
        <w:t xml:space="preserve">, </w:t>
      </w:r>
      <w:r w:rsidRPr="00222027">
        <w:rPr>
          <w:rFonts w:ascii="Palatino Linotype" w:hAnsi="Palatino Linotype" w:cs="Tahoma"/>
          <w:sz w:val="22"/>
          <w:szCs w:val="22"/>
          <w:lang w:val="es-ES"/>
        </w:rPr>
        <w:t>mediante la cual requirió lo siguiente:</w:t>
      </w:r>
    </w:p>
    <w:p w14:paraId="3B95ABA2" w14:textId="77777777" w:rsidR="003126B4" w:rsidRPr="00222027" w:rsidRDefault="003126B4" w:rsidP="003126B4">
      <w:pPr>
        <w:tabs>
          <w:tab w:val="left" w:pos="4667"/>
        </w:tabs>
        <w:spacing w:line="360" w:lineRule="auto"/>
        <w:ind w:right="567"/>
        <w:contextualSpacing/>
        <w:jc w:val="both"/>
        <w:rPr>
          <w:rFonts w:ascii="Palatino Linotype" w:hAnsi="Palatino Linotype" w:cs="Tahoma"/>
          <w:b/>
          <w:bCs/>
          <w:i/>
        </w:rPr>
      </w:pPr>
    </w:p>
    <w:p w14:paraId="77E636EC"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
          <w:bCs/>
          <w:i/>
        </w:rPr>
      </w:pPr>
      <w:bookmarkStart w:id="0" w:name="_Hlk182343885"/>
      <w:r w:rsidRPr="00222027">
        <w:rPr>
          <w:rFonts w:ascii="Palatino Linotype" w:hAnsi="Palatino Linotype" w:cs="Tahoma"/>
          <w:b/>
          <w:bCs/>
          <w:i/>
        </w:rPr>
        <w:t>“DESCRIPCIÓN CLARA Y PRECISA DE LA INFORMACIÓN SOLICITADA:</w:t>
      </w:r>
    </w:p>
    <w:p w14:paraId="0A82D6B8" w14:textId="4FD56871" w:rsidR="003126B4" w:rsidRPr="00222027" w:rsidRDefault="00867406" w:rsidP="003126B4">
      <w:pPr>
        <w:widowControl w:val="0"/>
        <w:tabs>
          <w:tab w:val="left" w:pos="4667"/>
        </w:tabs>
        <w:spacing w:line="360" w:lineRule="auto"/>
        <w:ind w:left="567" w:right="567"/>
        <w:contextualSpacing/>
        <w:jc w:val="both"/>
        <w:rPr>
          <w:rFonts w:ascii="Palatino Linotype" w:hAnsi="Palatino Linotype"/>
          <w:i/>
          <w:lang w:eastAsia="es-MX"/>
        </w:rPr>
      </w:pPr>
      <w:r w:rsidRPr="00222027">
        <w:rPr>
          <w:rFonts w:ascii="Palatino Linotype" w:hAnsi="Palatino Linotype"/>
          <w:i/>
          <w:color w:val="000000"/>
        </w:rPr>
        <w:t xml:space="preserve">Solicito el monto del gasto ejercido por concepto de la publicación </w:t>
      </w:r>
      <w:proofErr w:type="spellStart"/>
      <w:r w:rsidRPr="00222027">
        <w:rPr>
          <w:rFonts w:ascii="Palatino Linotype" w:hAnsi="Palatino Linotype"/>
          <w:i/>
          <w:color w:val="000000"/>
        </w:rPr>
        <w:t>del.bando</w:t>
      </w:r>
      <w:proofErr w:type="spellEnd"/>
      <w:r w:rsidRPr="00222027">
        <w:rPr>
          <w:rFonts w:ascii="Palatino Linotype" w:hAnsi="Palatino Linotype"/>
          <w:i/>
          <w:color w:val="000000"/>
        </w:rPr>
        <w:t xml:space="preserve"> municipal en los años 2022,2023 y 2024, adjuntar pólizas de egresos , facturas y respaldos documentales del gasto</w:t>
      </w:r>
      <w:r w:rsidR="003126B4" w:rsidRPr="00222027">
        <w:rPr>
          <w:rFonts w:ascii="Palatino Linotype" w:hAnsi="Palatino Linotype"/>
          <w:i/>
          <w:color w:val="000000"/>
        </w:rPr>
        <w:t>.</w:t>
      </w:r>
      <w:r w:rsidR="003126B4" w:rsidRPr="00222027">
        <w:rPr>
          <w:rFonts w:ascii="Palatino Linotype" w:hAnsi="Palatino Linotype" w:cs="Tahoma"/>
          <w:bCs/>
          <w:i/>
        </w:rPr>
        <w:t>” (Sic)</w:t>
      </w:r>
    </w:p>
    <w:bookmarkEnd w:id="0"/>
    <w:p w14:paraId="5873FA34"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Cs/>
          <w:i/>
        </w:rPr>
      </w:pPr>
    </w:p>
    <w:p w14:paraId="745280EB" w14:textId="77777777" w:rsidR="003126B4" w:rsidRPr="00222027" w:rsidRDefault="003126B4" w:rsidP="003126B4">
      <w:pPr>
        <w:tabs>
          <w:tab w:val="left" w:pos="4667"/>
        </w:tabs>
        <w:spacing w:line="360" w:lineRule="auto"/>
        <w:ind w:left="567"/>
        <w:contextualSpacing/>
        <w:jc w:val="both"/>
        <w:rPr>
          <w:rFonts w:ascii="Palatino Linotype" w:hAnsi="Palatino Linotype" w:cs="Tahoma"/>
          <w:b/>
          <w:bCs/>
          <w:i/>
        </w:rPr>
      </w:pPr>
      <w:r w:rsidRPr="00222027">
        <w:rPr>
          <w:rFonts w:ascii="Palatino Linotype" w:hAnsi="Palatino Linotype" w:cs="Tahoma"/>
          <w:b/>
          <w:bCs/>
          <w:i/>
        </w:rPr>
        <w:t xml:space="preserve">“Modalidad de Entrega: </w:t>
      </w:r>
    </w:p>
    <w:p w14:paraId="1C28A405" w14:textId="77777777" w:rsidR="003126B4" w:rsidRPr="00222027" w:rsidRDefault="003126B4" w:rsidP="003126B4">
      <w:pPr>
        <w:tabs>
          <w:tab w:val="left" w:pos="567"/>
        </w:tabs>
        <w:spacing w:line="360" w:lineRule="auto"/>
        <w:ind w:left="567" w:right="-28"/>
        <w:contextualSpacing/>
        <w:jc w:val="both"/>
        <w:rPr>
          <w:rFonts w:ascii="Palatino Linotype" w:hAnsi="Palatino Linotype" w:cs="Tahoma"/>
          <w:bCs/>
          <w:i/>
        </w:rPr>
      </w:pPr>
      <w:r w:rsidRPr="00222027" w:rsidDel="006544EC">
        <w:rPr>
          <w:rFonts w:ascii="Palatino Linotype" w:hAnsi="Palatino Linotype" w:cs="Tahoma"/>
          <w:b/>
          <w:bCs/>
          <w:i/>
        </w:rPr>
        <w:t xml:space="preserve"> </w:t>
      </w:r>
      <w:r w:rsidRPr="00222027">
        <w:rPr>
          <w:rFonts w:ascii="Palatino Linotype" w:hAnsi="Palatino Linotype" w:cs="Tahoma"/>
          <w:bCs/>
          <w:i/>
        </w:rPr>
        <w:t xml:space="preserve">A través de SAIMEX” </w:t>
      </w:r>
    </w:p>
    <w:p w14:paraId="5E2915FA" w14:textId="77777777" w:rsidR="00867406" w:rsidRPr="00222027" w:rsidRDefault="00867406" w:rsidP="00F508BA">
      <w:pPr>
        <w:tabs>
          <w:tab w:val="left" w:pos="567"/>
        </w:tabs>
        <w:spacing w:line="360" w:lineRule="auto"/>
        <w:ind w:right="-28"/>
        <w:contextualSpacing/>
        <w:jc w:val="both"/>
        <w:rPr>
          <w:rFonts w:ascii="Palatino Linotype" w:hAnsi="Palatino Linotype" w:cs="Tahoma"/>
          <w:i/>
        </w:rPr>
      </w:pPr>
    </w:p>
    <w:p w14:paraId="693D0091" w14:textId="77777777" w:rsidR="003126B4" w:rsidRPr="00222027" w:rsidRDefault="003126B4" w:rsidP="003126B4">
      <w:pPr>
        <w:spacing w:line="360" w:lineRule="auto"/>
        <w:contextualSpacing/>
        <w:rPr>
          <w:rFonts w:ascii="Palatino Linotype" w:hAnsi="Palatino Linotype" w:cs="Tahoma"/>
          <w:b/>
          <w:sz w:val="22"/>
          <w:szCs w:val="22"/>
        </w:rPr>
      </w:pPr>
      <w:bookmarkStart w:id="1" w:name="_Hlk16082333"/>
      <w:r w:rsidRPr="00222027">
        <w:rPr>
          <w:rFonts w:ascii="Palatino Linotype" w:eastAsia="Calibri" w:hAnsi="Palatino Linotype" w:cs="Tahoma"/>
          <w:b/>
          <w:bCs/>
          <w:sz w:val="22"/>
          <w:szCs w:val="22"/>
        </w:rPr>
        <w:t xml:space="preserve">II. </w:t>
      </w:r>
      <w:r w:rsidRPr="00222027">
        <w:rPr>
          <w:rFonts w:ascii="Palatino Linotype" w:hAnsi="Palatino Linotype" w:cs="Tahoma"/>
          <w:b/>
          <w:sz w:val="22"/>
          <w:szCs w:val="22"/>
        </w:rPr>
        <w:t>Respuesta</w:t>
      </w:r>
      <w:r w:rsidRPr="00222027">
        <w:rPr>
          <w:rFonts w:ascii="Palatino Linotype" w:hAnsi="Palatino Linotype" w:cs="Tahoma"/>
          <w:b/>
          <w:bCs/>
          <w:sz w:val="22"/>
          <w:szCs w:val="22"/>
        </w:rPr>
        <w:t xml:space="preserve"> del Sujeto Obligado</w:t>
      </w:r>
    </w:p>
    <w:p w14:paraId="644BB854" w14:textId="77777777" w:rsidR="003126B4" w:rsidRPr="00222027" w:rsidRDefault="003126B4" w:rsidP="003126B4">
      <w:pPr>
        <w:tabs>
          <w:tab w:val="left" w:pos="4667"/>
        </w:tabs>
        <w:spacing w:line="360" w:lineRule="auto"/>
        <w:ind w:right="567"/>
        <w:contextualSpacing/>
        <w:jc w:val="both"/>
        <w:rPr>
          <w:rFonts w:ascii="Palatino Linotype" w:hAnsi="Palatino Linotype" w:cs="Tahoma"/>
          <w:b/>
          <w:bCs/>
          <w:sz w:val="22"/>
          <w:szCs w:val="24"/>
        </w:rPr>
      </w:pPr>
    </w:p>
    <w:bookmarkEnd w:id="1"/>
    <w:p w14:paraId="47EB5FCF" w14:textId="2F183C7E"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rPr>
      </w:pPr>
      <w:r w:rsidRPr="00222027">
        <w:rPr>
          <w:rFonts w:ascii="Palatino Linotype" w:hAnsi="Palatino Linotype" w:cs="Tahoma"/>
          <w:bCs/>
          <w:sz w:val="22"/>
          <w:szCs w:val="22"/>
        </w:rPr>
        <w:lastRenderedPageBreak/>
        <w:t>Con fecha veinti</w:t>
      </w:r>
      <w:r w:rsidR="00867406" w:rsidRPr="00222027">
        <w:rPr>
          <w:rFonts w:ascii="Palatino Linotype" w:hAnsi="Palatino Linotype" w:cs="Tahoma"/>
          <w:bCs/>
          <w:sz w:val="22"/>
          <w:szCs w:val="22"/>
        </w:rPr>
        <w:t>dós</w:t>
      </w:r>
      <w:r w:rsidRPr="00222027">
        <w:rPr>
          <w:rFonts w:ascii="Palatino Linotype" w:hAnsi="Palatino Linotype" w:cs="Tahoma"/>
          <w:bCs/>
          <w:sz w:val="22"/>
          <w:szCs w:val="22"/>
        </w:rPr>
        <w:t xml:space="preserve"> de octubre de dos mil veinticuatro, el</w:t>
      </w:r>
      <w:r w:rsidRPr="00222027">
        <w:rPr>
          <w:rFonts w:ascii="Palatino Linotype" w:hAnsi="Palatino Linotype" w:cs="Tahoma"/>
          <w:b/>
          <w:sz w:val="22"/>
          <w:szCs w:val="22"/>
        </w:rPr>
        <w:t xml:space="preserve"> </w:t>
      </w:r>
      <w:r w:rsidRPr="00222027">
        <w:rPr>
          <w:rFonts w:ascii="Palatino Linotype" w:hAnsi="Palatino Linotype" w:cs="Tahoma"/>
          <w:sz w:val="22"/>
          <w:szCs w:val="22"/>
        </w:rPr>
        <w:t>Sujeto Obligado dio respuesta a la solicitud de acceso a la información a través del Sistema de Acceso a la Información Mexiquense (SAIMEX), por medio del Oficio número</w:t>
      </w:r>
      <w:r w:rsidR="00867406" w:rsidRPr="00222027">
        <w:rPr>
          <w:rFonts w:ascii="Palatino Linotype" w:hAnsi="Palatino Linotype" w:cs="Tahoma"/>
          <w:sz w:val="22"/>
          <w:szCs w:val="22"/>
        </w:rPr>
        <w:t xml:space="preserve"> MT/TESORERIAMPAL/OI/497</w:t>
      </w:r>
      <w:r w:rsidRPr="00222027">
        <w:rPr>
          <w:rFonts w:ascii="Palatino Linotype" w:hAnsi="Palatino Linotype" w:cs="Tahoma"/>
          <w:sz w:val="22"/>
          <w:szCs w:val="22"/>
        </w:rPr>
        <w:t xml:space="preserve">/2024, del </w:t>
      </w:r>
      <w:r w:rsidR="00F508BA" w:rsidRPr="00222027">
        <w:rPr>
          <w:rFonts w:ascii="Palatino Linotype" w:hAnsi="Palatino Linotype" w:cs="Tahoma"/>
          <w:sz w:val="22"/>
          <w:szCs w:val="22"/>
        </w:rPr>
        <w:t>d</w:t>
      </w:r>
      <w:r w:rsidR="00C81465" w:rsidRPr="00222027">
        <w:rPr>
          <w:rFonts w:ascii="Palatino Linotype" w:hAnsi="Palatino Linotype" w:cs="Tahoma"/>
          <w:sz w:val="22"/>
          <w:szCs w:val="22"/>
        </w:rPr>
        <w:t>ieci</w:t>
      </w:r>
      <w:r w:rsidRPr="00222027">
        <w:rPr>
          <w:rFonts w:ascii="Palatino Linotype" w:hAnsi="Palatino Linotype" w:cs="Tahoma"/>
          <w:sz w:val="22"/>
          <w:szCs w:val="22"/>
        </w:rPr>
        <w:t>siete de octubre de dos mil veinticuatro, suscrito por la Tesorera Municipal, dirigido a la Titular de la Unidad de Transparencia y Acceso a la Información Pública, a través del cual manifiesta y expone esencialmente lo siguiente:</w:t>
      </w:r>
    </w:p>
    <w:p w14:paraId="2BC75441" w14:textId="77777777" w:rsidR="003126B4" w:rsidRPr="00222027" w:rsidRDefault="003126B4" w:rsidP="003126B4">
      <w:pPr>
        <w:spacing w:line="360" w:lineRule="auto"/>
        <w:contextualSpacing/>
      </w:pPr>
    </w:p>
    <w:p w14:paraId="18F8031A" w14:textId="77777777" w:rsidR="003126B4" w:rsidRPr="00222027" w:rsidRDefault="003126B4" w:rsidP="003126B4">
      <w:pPr>
        <w:spacing w:line="360" w:lineRule="auto"/>
        <w:ind w:left="567" w:right="567"/>
        <w:contextualSpacing/>
        <w:jc w:val="both"/>
        <w:rPr>
          <w:rFonts w:ascii="Palatino Linotype" w:hAnsi="Palatino Linotype"/>
          <w:i/>
          <w:iCs/>
        </w:rPr>
      </w:pPr>
      <w:r w:rsidRPr="00222027">
        <w:rPr>
          <w:rFonts w:ascii="Palatino Linotype" w:hAnsi="Palatino Linotype"/>
          <w:i/>
          <w:iCs/>
        </w:rPr>
        <w:t>“…</w:t>
      </w:r>
    </w:p>
    <w:p w14:paraId="7D9BCCD7" w14:textId="77777777" w:rsidR="003126B4" w:rsidRPr="00222027" w:rsidRDefault="003126B4" w:rsidP="003126B4">
      <w:pPr>
        <w:spacing w:line="360" w:lineRule="auto"/>
        <w:ind w:left="567" w:right="567"/>
        <w:contextualSpacing/>
        <w:jc w:val="both"/>
        <w:rPr>
          <w:rFonts w:ascii="Palatino Linotype" w:hAnsi="Palatino Linotype"/>
          <w:i/>
          <w:iCs/>
        </w:rPr>
      </w:pPr>
      <w:r w:rsidRPr="00222027">
        <w:rPr>
          <w:rFonts w:ascii="Palatino Linotype" w:hAnsi="Palatino Linotype"/>
          <w:b/>
          <w:bCs/>
          <w:i/>
          <w:iCs/>
        </w:rPr>
        <w:t xml:space="preserve">Esta dirección propone la consulta directa derivado de la cantidad, volumen, los recursos materiales y humanos con que cuenta esta dirección son limitados, así como el cambio de administración, la entrega recepción y mesas de transición, por tal motivo, se invoca el numeral </w:t>
      </w:r>
      <w:r w:rsidRPr="00222027">
        <w:rPr>
          <w:rFonts w:ascii="Palatino Linotype" w:hAnsi="Palatino Linotype"/>
          <w:i/>
          <w:iCs/>
        </w:rPr>
        <w:t xml:space="preserve">12 segundo párrafo donde se indica… </w:t>
      </w:r>
    </w:p>
    <w:p w14:paraId="5D0E507C" w14:textId="77777777" w:rsidR="003126B4" w:rsidRPr="00222027" w:rsidRDefault="003126B4" w:rsidP="003126B4">
      <w:pPr>
        <w:spacing w:line="360" w:lineRule="auto"/>
        <w:ind w:left="567" w:right="567"/>
        <w:contextualSpacing/>
        <w:jc w:val="both"/>
        <w:rPr>
          <w:rFonts w:ascii="Palatino Linotype" w:hAnsi="Palatino Linotype"/>
          <w:i/>
          <w:iCs/>
        </w:rPr>
      </w:pPr>
    </w:p>
    <w:p w14:paraId="093292F8" w14:textId="77777777" w:rsidR="003126B4" w:rsidRPr="00222027" w:rsidRDefault="003126B4" w:rsidP="003126B4">
      <w:pPr>
        <w:spacing w:line="360" w:lineRule="auto"/>
        <w:ind w:left="567" w:right="567"/>
        <w:contextualSpacing/>
        <w:jc w:val="both"/>
        <w:rPr>
          <w:rFonts w:ascii="Palatino Linotype" w:hAnsi="Palatino Linotype"/>
          <w:i/>
          <w:iCs/>
        </w:rPr>
      </w:pPr>
      <w:r w:rsidRPr="00222027">
        <w:rPr>
          <w:rFonts w:ascii="Palatino Linotype" w:hAnsi="Palatino Linotype"/>
          <w:i/>
          <w:iCs/>
        </w:rPr>
        <w:t>En este sentido y de conformidad con el artículo 158 de la Ley de Transparencia y acceso a la información pública del estado de México y Municipios, para el caso de ser aprobado por el Comité de Transparencia el cambio de modalidad. Se propone las siguientes reglas de operación de conformidad con los Lineamientos Generales en Materia de Clasificación y Desclasificación de la Información, así como para la elaboración de Versiones Públicas.</w:t>
      </w:r>
    </w:p>
    <w:p w14:paraId="743CF979" w14:textId="77777777" w:rsidR="003126B4" w:rsidRPr="00222027" w:rsidRDefault="003126B4" w:rsidP="003126B4">
      <w:pPr>
        <w:spacing w:line="360" w:lineRule="auto"/>
        <w:ind w:left="567" w:right="567"/>
        <w:contextualSpacing/>
        <w:jc w:val="both"/>
        <w:rPr>
          <w:rFonts w:ascii="Palatino Linotype" w:hAnsi="Palatino Linotype"/>
          <w:i/>
          <w:iCs/>
        </w:rPr>
      </w:pPr>
      <w:r w:rsidRPr="00222027">
        <w:rPr>
          <w:rFonts w:ascii="Palatino Linotype" w:hAnsi="Palatino Linotype"/>
          <w:i/>
          <w:iCs/>
        </w:rPr>
        <w:t>…”</w:t>
      </w:r>
    </w:p>
    <w:p w14:paraId="623B9ECD"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b/>
          <w:sz w:val="22"/>
          <w:szCs w:val="22"/>
        </w:rPr>
      </w:pPr>
    </w:p>
    <w:p w14:paraId="24480474"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rPr>
      </w:pPr>
      <w:r w:rsidRPr="00222027">
        <w:rPr>
          <w:rFonts w:ascii="Palatino Linotype" w:hAnsi="Palatino Linotype" w:cs="Tahoma"/>
          <w:sz w:val="22"/>
          <w:szCs w:val="22"/>
        </w:rPr>
        <w:t xml:space="preserve">ii) Acta de la </w:t>
      </w:r>
      <w:r w:rsidR="00277764" w:rsidRPr="00222027">
        <w:rPr>
          <w:rFonts w:ascii="Palatino Linotype" w:hAnsi="Palatino Linotype" w:cs="Tahoma"/>
          <w:sz w:val="22"/>
          <w:szCs w:val="22"/>
        </w:rPr>
        <w:t>Octogésima</w:t>
      </w:r>
      <w:r w:rsidRPr="00222027">
        <w:rPr>
          <w:rFonts w:ascii="Palatino Linotype" w:hAnsi="Palatino Linotype" w:cs="Tahoma"/>
          <w:sz w:val="22"/>
          <w:szCs w:val="22"/>
        </w:rPr>
        <w:t xml:space="preserve"> </w:t>
      </w:r>
      <w:r w:rsidR="00F508BA" w:rsidRPr="00222027">
        <w:rPr>
          <w:rFonts w:ascii="Palatino Linotype" w:hAnsi="Palatino Linotype" w:cs="Tahoma"/>
          <w:sz w:val="22"/>
          <w:szCs w:val="22"/>
        </w:rPr>
        <w:t>Cuar</w:t>
      </w:r>
      <w:r w:rsidRPr="00222027">
        <w:rPr>
          <w:rFonts w:ascii="Palatino Linotype" w:hAnsi="Palatino Linotype" w:cs="Tahoma"/>
          <w:sz w:val="22"/>
          <w:szCs w:val="22"/>
        </w:rPr>
        <w:t xml:space="preserve">ta Sesión Ordinaria del Comité de Transparencia del Ayuntamiento de Temamatla 2022-2024, </w:t>
      </w:r>
      <w:r w:rsidR="00F508BA" w:rsidRPr="00222027">
        <w:rPr>
          <w:rFonts w:ascii="Palatino Linotype" w:hAnsi="Palatino Linotype" w:cs="Tahoma"/>
          <w:sz w:val="22"/>
          <w:szCs w:val="22"/>
        </w:rPr>
        <w:t>del veintiuno</w:t>
      </w:r>
      <w:r w:rsidRPr="00222027">
        <w:rPr>
          <w:rFonts w:ascii="Palatino Linotype" w:hAnsi="Palatino Linotype" w:cs="Tahoma"/>
          <w:sz w:val="22"/>
          <w:szCs w:val="22"/>
        </w:rPr>
        <w:t xml:space="preserve"> de octubre de dos mil veinticuatro, por la que se aprueba la consulta directa de la información solicitada.</w:t>
      </w:r>
    </w:p>
    <w:p w14:paraId="79DF91C8"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bCs/>
          <w:i/>
        </w:rPr>
      </w:pPr>
    </w:p>
    <w:p w14:paraId="10E895FA"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b/>
          <w:sz w:val="22"/>
          <w:szCs w:val="22"/>
        </w:rPr>
      </w:pPr>
      <w:r w:rsidRPr="00222027">
        <w:rPr>
          <w:rFonts w:ascii="Palatino Linotype" w:hAnsi="Palatino Linotype" w:cs="Tahoma"/>
          <w:b/>
          <w:sz w:val="22"/>
          <w:szCs w:val="22"/>
        </w:rPr>
        <w:t>III. Interposición del Recurso de Revisión</w:t>
      </w:r>
    </w:p>
    <w:p w14:paraId="45CE5616"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sz w:val="22"/>
          <w:szCs w:val="22"/>
        </w:rPr>
      </w:pPr>
    </w:p>
    <w:p w14:paraId="17C961A9" w14:textId="77777777" w:rsidR="003126B4" w:rsidRPr="00222027" w:rsidRDefault="003126B4" w:rsidP="003126B4">
      <w:pPr>
        <w:spacing w:line="360" w:lineRule="auto"/>
        <w:contextualSpacing/>
        <w:jc w:val="both"/>
        <w:rPr>
          <w:rFonts w:ascii="Palatino Linotype" w:hAnsi="Palatino Linotype" w:cs="Tahoma"/>
          <w:bCs/>
          <w:sz w:val="22"/>
          <w:szCs w:val="22"/>
          <w:lang w:val="es-ES"/>
        </w:rPr>
      </w:pPr>
      <w:r w:rsidRPr="00222027">
        <w:rPr>
          <w:rFonts w:ascii="Palatino Linotype" w:hAnsi="Palatino Linotype" w:cs="Tahoma"/>
          <w:bCs/>
          <w:sz w:val="22"/>
          <w:szCs w:val="22"/>
          <w:lang w:val="es-ES"/>
        </w:rPr>
        <w:t xml:space="preserve">Con fecha </w:t>
      </w:r>
      <w:r w:rsidR="00F508BA" w:rsidRPr="00222027">
        <w:rPr>
          <w:rFonts w:ascii="Palatino Linotype" w:hAnsi="Palatino Linotype" w:cs="Tahoma"/>
          <w:bCs/>
          <w:sz w:val="22"/>
          <w:szCs w:val="22"/>
          <w:lang w:val="es-ES"/>
        </w:rPr>
        <w:t>veintinueve</w:t>
      </w:r>
      <w:r w:rsidRPr="00222027">
        <w:rPr>
          <w:rFonts w:ascii="Palatino Linotype" w:hAnsi="Palatino Linotype" w:cs="Tahoma"/>
          <w:bCs/>
          <w:sz w:val="22"/>
          <w:szCs w:val="22"/>
          <w:lang w:val="es-ES"/>
        </w:rPr>
        <w:t xml:space="preserve"> de octubre de dos mil veinticuatro </w:t>
      </w:r>
      <w:r w:rsidRPr="00222027">
        <w:rPr>
          <w:rFonts w:ascii="Palatino Linotype" w:hAnsi="Palatino Linotype" w:cs="Tahoma"/>
          <w:bCs/>
          <w:sz w:val="22"/>
          <w:szCs w:val="22"/>
        </w:rPr>
        <w:t xml:space="preserve">se recibió en este Instituto, a través del </w:t>
      </w:r>
      <w:r w:rsidRPr="00222027">
        <w:rPr>
          <w:rFonts w:ascii="Palatino Linotype" w:hAnsi="Palatino Linotype" w:cs="Tahoma"/>
          <w:bCs/>
          <w:sz w:val="22"/>
          <w:szCs w:val="22"/>
          <w:lang w:val="es-ES"/>
        </w:rPr>
        <w:t>Sistema de Acceso a la Información Mexiquense (SAIMEX)</w:t>
      </w:r>
      <w:r w:rsidRPr="00222027">
        <w:rPr>
          <w:rFonts w:ascii="Palatino Linotype" w:hAnsi="Palatino Linotype" w:cs="Tahoma"/>
          <w:bCs/>
          <w:sz w:val="22"/>
          <w:szCs w:val="22"/>
        </w:rPr>
        <w:t xml:space="preserve">, el Recurso de Revisión </w:t>
      </w:r>
      <w:r w:rsidRPr="00222027">
        <w:rPr>
          <w:rFonts w:ascii="Palatino Linotype" w:hAnsi="Palatino Linotype" w:cs="Tahoma"/>
          <w:bCs/>
          <w:sz w:val="22"/>
          <w:szCs w:val="22"/>
        </w:rPr>
        <w:lastRenderedPageBreak/>
        <w:t>interpuesto por la parte Recurrente, en contra de la respuesta del Sujeto Obligado, en los siguientes términos:</w:t>
      </w:r>
    </w:p>
    <w:p w14:paraId="23B457CE"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i/>
          <w:iCs/>
          <w:lang w:val="es-ES"/>
        </w:rPr>
      </w:pPr>
    </w:p>
    <w:p w14:paraId="58993148"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
          <w:bCs/>
          <w:i/>
          <w:iCs/>
        </w:rPr>
      </w:pPr>
      <w:r w:rsidRPr="00222027">
        <w:rPr>
          <w:rFonts w:ascii="Palatino Linotype" w:hAnsi="Palatino Linotype" w:cs="Tahoma"/>
          <w:b/>
          <w:bCs/>
          <w:i/>
          <w:iCs/>
        </w:rPr>
        <w:t>“ACTO IMPUGNADO</w:t>
      </w:r>
    </w:p>
    <w:p w14:paraId="080480E2"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Cs/>
          <w:i/>
          <w:iCs/>
        </w:rPr>
      </w:pPr>
      <w:r w:rsidRPr="00222027">
        <w:rPr>
          <w:rFonts w:ascii="Palatino Linotype" w:hAnsi="Palatino Linotype"/>
          <w:i/>
          <w:iCs/>
        </w:rPr>
        <w:t>RESPUESTA OTORGADA</w:t>
      </w:r>
      <w:r w:rsidRPr="00222027">
        <w:rPr>
          <w:rFonts w:ascii="Palatino Linotype" w:hAnsi="Palatino Linotype" w:cs="Tahoma"/>
          <w:bCs/>
          <w:i/>
          <w:iCs/>
        </w:rPr>
        <w:t>” (Sic.)</w:t>
      </w:r>
    </w:p>
    <w:p w14:paraId="2FD11CE5"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Cs/>
          <w:i/>
          <w:iCs/>
        </w:rPr>
      </w:pPr>
    </w:p>
    <w:p w14:paraId="044E38EA" w14:textId="77777777" w:rsidR="003126B4" w:rsidRPr="00222027" w:rsidRDefault="003126B4" w:rsidP="003126B4">
      <w:pPr>
        <w:tabs>
          <w:tab w:val="left" w:pos="4667"/>
        </w:tabs>
        <w:spacing w:line="360" w:lineRule="auto"/>
        <w:ind w:left="567" w:right="567"/>
        <w:contextualSpacing/>
        <w:jc w:val="both"/>
        <w:rPr>
          <w:rFonts w:ascii="Palatino Linotype" w:hAnsi="Palatino Linotype" w:cs="Tahoma"/>
          <w:b/>
          <w:bCs/>
          <w:i/>
          <w:iCs/>
        </w:rPr>
      </w:pPr>
      <w:r w:rsidRPr="00222027">
        <w:rPr>
          <w:rFonts w:ascii="Palatino Linotype" w:hAnsi="Palatino Linotype" w:cs="Tahoma"/>
          <w:b/>
          <w:bCs/>
          <w:i/>
          <w:iCs/>
        </w:rPr>
        <w:t>“RAZONES O MOTIVOS DE LA INCONFORMIDAD</w:t>
      </w:r>
    </w:p>
    <w:p w14:paraId="47EA1391" w14:textId="77777777" w:rsidR="003126B4" w:rsidRPr="00222027" w:rsidRDefault="00F508BA" w:rsidP="00EC204A">
      <w:pPr>
        <w:spacing w:line="360" w:lineRule="auto"/>
        <w:ind w:left="567" w:right="567"/>
        <w:contextualSpacing/>
        <w:jc w:val="both"/>
        <w:rPr>
          <w:rFonts w:ascii="Palatino Linotype" w:hAnsi="Palatino Linotype" w:cs="Tahoma"/>
          <w:i/>
          <w:iCs/>
        </w:rPr>
      </w:pPr>
      <w:r w:rsidRPr="00222027">
        <w:rPr>
          <w:rFonts w:ascii="Palatino Linotype" w:hAnsi="Palatino Linotype"/>
          <w:i/>
          <w:color w:val="000000"/>
        </w:rPr>
        <w:t>EL SUJETO OBLIGADO MANIFIESTA QUE LA ENTREGA DE INFORMACION SERA MEDIANTE CONSULTA DIRECTA EN UNA FECHA Y UN HORARIO IGUAL AL ESTABLECIDO EN LAS SOLICITUDES 516,517,518,520,521,555,571,574,575,580,581,582,583,584,585,586,587,588,589,591,592,594,595,596,599,600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r w:rsidR="003126B4" w:rsidRPr="00222027">
        <w:rPr>
          <w:rFonts w:ascii="Palatino Linotype" w:hAnsi="Palatino Linotype"/>
          <w:i/>
          <w:iCs/>
          <w:lang w:eastAsia="es-MX"/>
        </w:rPr>
        <w:t>.</w:t>
      </w:r>
      <w:r w:rsidR="003126B4" w:rsidRPr="00222027">
        <w:rPr>
          <w:rFonts w:ascii="Palatino Linotype" w:hAnsi="Palatino Linotype" w:cs="Tahoma"/>
          <w:i/>
          <w:iCs/>
        </w:rPr>
        <w:t>” (Sic)</w:t>
      </w:r>
    </w:p>
    <w:p w14:paraId="79FD821B"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sz w:val="22"/>
          <w:szCs w:val="22"/>
        </w:rPr>
      </w:pPr>
    </w:p>
    <w:p w14:paraId="0D753D3F" w14:textId="77777777" w:rsidR="003126B4" w:rsidRPr="00222027" w:rsidRDefault="003126B4" w:rsidP="003126B4">
      <w:pPr>
        <w:spacing w:line="360" w:lineRule="auto"/>
        <w:ind w:right="-28"/>
        <w:contextualSpacing/>
        <w:jc w:val="both"/>
        <w:rPr>
          <w:rFonts w:ascii="Palatino Linotype" w:eastAsia="Batang" w:hAnsi="Palatino Linotype" w:cs="Tahoma"/>
          <w:b/>
          <w:bCs/>
          <w:sz w:val="22"/>
          <w:szCs w:val="22"/>
        </w:rPr>
      </w:pPr>
      <w:r w:rsidRPr="00222027">
        <w:rPr>
          <w:rFonts w:ascii="Palatino Linotype" w:hAnsi="Palatino Linotype" w:cs="Tahoma"/>
          <w:b/>
          <w:sz w:val="22"/>
          <w:szCs w:val="22"/>
        </w:rPr>
        <w:t xml:space="preserve">IV. </w:t>
      </w:r>
      <w:r w:rsidRPr="00222027">
        <w:rPr>
          <w:rFonts w:ascii="Palatino Linotype" w:eastAsia="Batang" w:hAnsi="Palatino Linotype" w:cs="Tahoma"/>
          <w:b/>
          <w:bCs/>
          <w:sz w:val="22"/>
          <w:szCs w:val="22"/>
        </w:rPr>
        <w:t xml:space="preserve">Trámite del </w:t>
      </w:r>
      <w:r w:rsidRPr="00222027">
        <w:rPr>
          <w:rFonts w:ascii="Palatino Linotype" w:hAnsi="Palatino Linotype" w:cs="Tahoma"/>
          <w:b/>
          <w:sz w:val="22"/>
          <w:szCs w:val="22"/>
        </w:rPr>
        <w:t xml:space="preserve">Recurso de Revisión </w:t>
      </w:r>
      <w:r w:rsidRPr="00222027">
        <w:rPr>
          <w:rFonts w:ascii="Palatino Linotype" w:eastAsia="Batang" w:hAnsi="Palatino Linotype" w:cs="Tahoma"/>
          <w:b/>
          <w:bCs/>
          <w:sz w:val="22"/>
          <w:szCs w:val="22"/>
        </w:rPr>
        <w:t>ante el Instituto</w:t>
      </w:r>
    </w:p>
    <w:p w14:paraId="65BB620A" w14:textId="77777777" w:rsidR="003126B4" w:rsidRPr="00222027" w:rsidRDefault="003126B4" w:rsidP="003126B4">
      <w:pPr>
        <w:spacing w:line="360" w:lineRule="auto"/>
        <w:ind w:right="-28"/>
        <w:contextualSpacing/>
        <w:jc w:val="both"/>
        <w:rPr>
          <w:rFonts w:ascii="Palatino Linotype" w:eastAsia="Batang" w:hAnsi="Palatino Linotype" w:cs="Tahoma"/>
          <w:b/>
          <w:bCs/>
          <w:sz w:val="22"/>
          <w:szCs w:val="22"/>
        </w:rPr>
      </w:pPr>
    </w:p>
    <w:p w14:paraId="60AD16C3" w14:textId="6C5D2B74" w:rsidR="003126B4" w:rsidRPr="00222027" w:rsidRDefault="003126B4" w:rsidP="003126B4">
      <w:pPr>
        <w:spacing w:line="360" w:lineRule="auto"/>
        <w:ind w:right="-28"/>
        <w:contextualSpacing/>
        <w:jc w:val="both"/>
        <w:rPr>
          <w:rFonts w:ascii="Palatino Linotype" w:eastAsia="Calibri" w:hAnsi="Palatino Linotype" w:cs="Tahoma"/>
          <w:bCs/>
          <w:sz w:val="22"/>
          <w:szCs w:val="22"/>
          <w:lang w:eastAsia="en-US"/>
        </w:rPr>
      </w:pPr>
      <w:r w:rsidRPr="00222027">
        <w:rPr>
          <w:rFonts w:ascii="Palatino Linotype" w:eastAsia="Batang" w:hAnsi="Palatino Linotype" w:cs="Tahoma"/>
          <w:b/>
          <w:bCs/>
          <w:sz w:val="22"/>
          <w:szCs w:val="22"/>
        </w:rPr>
        <w:t xml:space="preserve">a) Turno del </w:t>
      </w:r>
      <w:r w:rsidRPr="00222027">
        <w:rPr>
          <w:rFonts w:ascii="Palatino Linotype" w:hAnsi="Palatino Linotype" w:cs="Tahoma"/>
          <w:b/>
          <w:sz w:val="22"/>
          <w:szCs w:val="22"/>
        </w:rPr>
        <w:t>Recurso de Revisión</w:t>
      </w:r>
      <w:r w:rsidRPr="00222027">
        <w:rPr>
          <w:rFonts w:ascii="Palatino Linotype" w:eastAsia="Batang" w:hAnsi="Palatino Linotype" w:cs="Tahoma"/>
          <w:b/>
          <w:bCs/>
          <w:sz w:val="22"/>
          <w:szCs w:val="22"/>
        </w:rPr>
        <w:t xml:space="preserve">. </w:t>
      </w:r>
      <w:r w:rsidRPr="00222027">
        <w:rPr>
          <w:rFonts w:ascii="Palatino Linotype" w:eastAsia="Batang" w:hAnsi="Palatino Linotype" w:cs="Tahoma"/>
          <w:bCs/>
          <w:sz w:val="22"/>
          <w:szCs w:val="22"/>
        </w:rPr>
        <w:t xml:space="preserve">El </w:t>
      </w:r>
      <w:r w:rsidR="00331F1B" w:rsidRPr="00222027">
        <w:rPr>
          <w:rFonts w:ascii="Palatino Linotype" w:eastAsia="Batang" w:hAnsi="Palatino Linotype" w:cs="Tahoma"/>
          <w:bCs/>
          <w:sz w:val="22"/>
          <w:szCs w:val="22"/>
        </w:rPr>
        <w:t>veintinueve</w:t>
      </w:r>
      <w:r w:rsidRPr="00222027">
        <w:rPr>
          <w:rFonts w:ascii="Palatino Linotype" w:eastAsia="Batang" w:hAnsi="Palatino Linotype" w:cs="Tahoma"/>
          <w:bCs/>
          <w:sz w:val="22"/>
          <w:szCs w:val="22"/>
        </w:rPr>
        <w:t xml:space="preserve"> de octubre </w:t>
      </w:r>
      <w:r w:rsidRPr="00222027">
        <w:rPr>
          <w:rFonts w:ascii="Palatino Linotype" w:hAnsi="Palatino Linotype" w:cs="Tahoma"/>
          <w:sz w:val="22"/>
          <w:szCs w:val="22"/>
        </w:rPr>
        <w:t>de dos mil veinticuatro</w:t>
      </w:r>
      <w:r w:rsidRPr="00222027">
        <w:rPr>
          <w:rFonts w:ascii="Palatino Linotype" w:eastAsia="Batang" w:hAnsi="Palatino Linotype" w:cs="Tahoma"/>
          <w:bCs/>
          <w:sz w:val="22"/>
          <w:szCs w:val="22"/>
        </w:rPr>
        <w:t xml:space="preserve">, </w:t>
      </w:r>
      <w:r w:rsidRPr="00222027">
        <w:rPr>
          <w:rFonts w:ascii="Palatino Linotype" w:eastAsia="Calibri" w:hAnsi="Palatino Linotype" w:cs="Tahoma"/>
          <w:bCs/>
          <w:sz w:val="22"/>
          <w:szCs w:val="22"/>
          <w:lang w:eastAsia="en-US"/>
        </w:rPr>
        <w:t xml:space="preserve">el Sistema de Acceso a la Información Mexiquense (SAIMEX), asignó el número de expediente </w:t>
      </w:r>
      <w:r w:rsidRPr="00222027">
        <w:rPr>
          <w:rFonts w:ascii="Palatino Linotype" w:eastAsia="Calibri" w:hAnsi="Palatino Linotype" w:cs="Tahoma"/>
          <w:b/>
          <w:bCs/>
          <w:sz w:val="22"/>
          <w:szCs w:val="22"/>
          <w:lang w:eastAsia="en-US"/>
        </w:rPr>
        <w:t>06</w:t>
      </w:r>
      <w:r w:rsidR="00EC204A" w:rsidRPr="00222027">
        <w:rPr>
          <w:rFonts w:ascii="Palatino Linotype" w:eastAsia="Calibri" w:hAnsi="Palatino Linotype" w:cs="Tahoma"/>
          <w:b/>
          <w:bCs/>
          <w:sz w:val="22"/>
          <w:szCs w:val="22"/>
          <w:lang w:eastAsia="en-US"/>
        </w:rPr>
        <w:t>78</w:t>
      </w:r>
      <w:r w:rsidRPr="00222027">
        <w:rPr>
          <w:rFonts w:ascii="Palatino Linotype" w:eastAsia="Calibri" w:hAnsi="Palatino Linotype" w:cs="Tahoma"/>
          <w:b/>
          <w:bCs/>
          <w:sz w:val="22"/>
          <w:szCs w:val="22"/>
          <w:lang w:eastAsia="en-US"/>
        </w:rPr>
        <w:t xml:space="preserve">6/INFOEM/IP/RR/2024, </w:t>
      </w:r>
      <w:r w:rsidRPr="00222027">
        <w:rPr>
          <w:rFonts w:ascii="Palatino Linotype" w:eastAsia="Calibri" w:hAnsi="Palatino Linotype" w:cs="Tahoma"/>
          <w:bCs/>
          <w:sz w:val="22"/>
          <w:szCs w:val="22"/>
          <w:lang w:eastAsia="en-US"/>
        </w:rPr>
        <w:t xml:space="preserve">al Recurso de Revisión y lo turnó al Comisionado Ponente </w:t>
      </w:r>
      <w:r w:rsidRPr="00222027">
        <w:rPr>
          <w:rFonts w:ascii="Palatino Linotype" w:eastAsia="Calibri" w:hAnsi="Palatino Linotype" w:cs="Tahoma"/>
          <w:b/>
          <w:bCs/>
          <w:sz w:val="22"/>
          <w:szCs w:val="22"/>
          <w:lang w:eastAsia="en-US"/>
        </w:rPr>
        <w:t>Luis Gustavo Parra Noriega</w:t>
      </w:r>
      <w:r w:rsidRPr="00222027">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6B4F1DB7" w14:textId="77777777" w:rsidR="003126B4" w:rsidRPr="00222027" w:rsidRDefault="003126B4" w:rsidP="003126B4">
      <w:pPr>
        <w:spacing w:line="360" w:lineRule="auto"/>
        <w:ind w:right="-28"/>
        <w:contextualSpacing/>
        <w:jc w:val="both"/>
        <w:rPr>
          <w:rFonts w:ascii="Palatino Linotype" w:eastAsia="Batang" w:hAnsi="Palatino Linotype" w:cs="Tahoma"/>
          <w:b/>
          <w:bCs/>
          <w:sz w:val="22"/>
          <w:szCs w:val="22"/>
        </w:rPr>
      </w:pPr>
    </w:p>
    <w:p w14:paraId="5533DE61" w14:textId="77777777" w:rsidR="003126B4" w:rsidRPr="00222027" w:rsidRDefault="003126B4" w:rsidP="003126B4">
      <w:pPr>
        <w:spacing w:line="360" w:lineRule="auto"/>
        <w:contextualSpacing/>
        <w:jc w:val="both"/>
        <w:rPr>
          <w:rFonts w:ascii="Palatino Linotype" w:hAnsi="Palatino Linotype" w:cs="Tahoma"/>
          <w:bCs/>
          <w:sz w:val="22"/>
          <w:szCs w:val="22"/>
        </w:rPr>
      </w:pPr>
      <w:r w:rsidRPr="00222027">
        <w:rPr>
          <w:rFonts w:ascii="Palatino Linotype" w:eastAsia="Batang" w:hAnsi="Palatino Linotype" w:cs="Tahoma"/>
          <w:b/>
          <w:bCs/>
          <w:sz w:val="22"/>
          <w:szCs w:val="22"/>
        </w:rPr>
        <w:lastRenderedPageBreak/>
        <w:t xml:space="preserve">b) Admisión del </w:t>
      </w:r>
      <w:r w:rsidRPr="00222027">
        <w:rPr>
          <w:rFonts w:ascii="Palatino Linotype" w:hAnsi="Palatino Linotype" w:cs="Tahoma"/>
          <w:b/>
          <w:sz w:val="22"/>
          <w:szCs w:val="22"/>
        </w:rPr>
        <w:t>Recurso de Revisión</w:t>
      </w:r>
      <w:r w:rsidRPr="00222027">
        <w:rPr>
          <w:rFonts w:ascii="Palatino Linotype" w:eastAsia="Batang" w:hAnsi="Palatino Linotype" w:cs="Tahoma"/>
          <w:b/>
          <w:bCs/>
          <w:sz w:val="22"/>
          <w:szCs w:val="22"/>
          <w:lang w:val="es-ES_tradnl"/>
        </w:rPr>
        <w:t xml:space="preserve">. </w:t>
      </w:r>
      <w:r w:rsidRPr="00222027">
        <w:rPr>
          <w:rFonts w:ascii="Palatino Linotype" w:eastAsia="Batang" w:hAnsi="Palatino Linotype" w:cs="Tahoma"/>
          <w:bCs/>
          <w:sz w:val="22"/>
          <w:szCs w:val="22"/>
          <w:lang w:val="es-ES_tradnl"/>
        </w:rPr>
        <w:t>El c</w:t>
      </w:r>
      <w:r w:rsidR="00EC204A" w:rsidRPr="00222027">
        <w:rPr>
          <w:rFonts w:ascii="Palatino Linotype" w:eastAsia="Batang" w:hAnsi="Palatino Linotype" w:cs="Tahoma"/>
          <w:bCs/>
          <w:sz w:val="22"/>
          <w:szCs w:val="22"/>
          <w:lang w:val="es-ES_tradnl"/>
        </w:rPr>
        <w:t>uatro</w:t>
      </w:r>
      <w:r w:rsidRPr="00222027">
        <w:rPr>
          <w:rFonts w:ascii="Palatino Linotype" w:eastAsia="Batang" w:hAnsi="Palatino Linotype" w:cs="Tahoma"/>
          <w:bCs/>
          <w:sz w:val="22"/>
          <w:szCs w:val="22"/>
          <w:lang w:val="es-ES_tradnl"/>
        </w:rPr>
        <w:t xml:space="preserve"> de noviembre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41E71477" w14:textId="77777777" w:rsidR="003126B4" w:rsidRPr="00222027" w:rsidRDefault="003126B4" w:rsidP="003126B4">
      <w:pPr>
        <w:spacing w:line="360" w:lineRule="auto"/>
        <w:contextualSpacing/>
        <w:jc w:val="both"/>
        <w:rPr>
          <w:rFonts w:ascii="Palatino Linotype" w:hAnsi="Palatino Linotype" w:cs="Tahoma"/>
          <w:bCs/>
          <w:sz w:val="22"/>
          <w:szCs w:val="22"/>
        </w:rPr>
      </w:pPr>
    </w:p>
    <w:p w14:paraId="59090247"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bCs/>
          <w:sz w:val="22"/>
          <w:szCs w:val="22"/>
        </w:rPr>
      </w:pPr>
      <w:r w:rsidRPr="00222027">
        <w:rPr>
          <w:rFonts w:ascii="Palatino Linotype" w:eastAsia="Batang" w:hAnsi="Palatino Linotype" w:cs="Tahoma"/>
          <w:b/>
          <w:bCs/>
          <w:sz w:val="22"/>
          <w:szCs w:val="22"/>
        </w:rPr>
        <w:t xml:space="preserve">c) Informe Justificado o Manifestaciones. </w:t>
      </w:r>
      <w:r w:rsidRPr="00222027">
        <w:rPr>
          <w:rFonts w:ascii="Palatino Linotype" w:hAnsi="Palatino Linotype" w:cs="Tahoma"/>
          <w:bCs/>
          <w:sz w:val="22"/>
          <w:szCs w:val="22"/>
        </w:rPr>
        <w:t>Las partes fueron omisas en realizar manifestaciones o alegatos.</w:t>
      </w:r>
    </w:p>
    <w:p w14:paraId="49A950F5"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bCs/>
          <w:sz w:val="22"/>
          <w:szCs w:val="22"/>
        </w:rPr>
      </w:pPr>
    </w:p>
    <w:p w14:paraId="7F93A7CF" w14:textId="3F08D732" w:rsidR="003126B4" w:rsidRPr="00222027" w:rsidRDefault="003126B4" w:rsidP="003126B4">
      <w:pPr>
        <w:autoSpaceDE w:val="0"/>
        <w:autoSpaceDN w:val="0"/>
        <w:adjustRightInd w:val="0"/>
        <w:spacing w:line="360" w:lineRule="auto"/>
        <w:contextualSpacing/>
        <w:jc w:val="both"/>
        <w:rPr>
          <w:rFonts w:ascii="Palatino Linotype" w:hAnsi="Palatino Linotype" w:cs="Tahoma"/>
          <w:b/>
          <w:bCs/>
          <w:sz w:val="22"/>
          <w:szCs w:val="22"/>
        </w:rPr>
      </w:pPr>
      <w:r w:rsidRPr="00222027">
        <w:rPr>
          <w:rFonts w:ascii="Palatino Linotype" w:hAnsi="Palatino Linotype" w:cs="Tahoma"/>
          <w:b/>
          <w:bCs/>
          <w:sz w:val="22"/>
          <w:szCs w:val="22"/>
        </w:rPr>
        <w:t xml:space="preserve">d) </w:t>
      </w:r>
      <w:r w:rsidRPr="00222027">
        <w:rPr>
          <w:rFonts w:ascii="Palatino Linotype" w:hAnsi="Palatino Linotype" w:cs="Tahoma"/>
          <w:b/>
          <w:sz w:val="22"/>
          <w:szCs w:val="22"/>
        </w:rPr>
        <w:t xml:space="preserve">Cierre de instrucción. </w:t>
      </w:r>
      <w:r w:rsidR="00887EBF" w:rsidRPr="00222027">
        <w:rPr>
          <w:rFonts w:ascii="Palatino Linotype" w:hAnsi="Palatino Linotype" w:cs="Tahoma"/>
          <w:sz w:val="22"/>
          <w:szCs w:val="22"/>
        </w:rPr>
        <w:t xml:space="preserve">El </w:t>
      </w:r>
      <w:r w:rsidR="00331F1B" w:rsidRPr="00222027">
        <w:rPr>
          <w:rFonts w:ascii="Palatino Linotype" w:hAnsi="Palatino Linotype" w:cs="Tahoma"/>
          <w:sz w:val="22"/>
          <w:szCs w:val="22"/>
        </w:rPr>
        <w:t xml:space="preserve">veinte </w:t>
      </w:r>
      <w:r w:rsidRPr="00222027">
        <w:rPr>
          <w:rFonts w:ascii="Palatino Linotype" w:hAnsi="Palatino Linotype" w:cs="Tahoma"/>
          <w:sz w:val="22"/>
          <w:szCs w:val="22"/>
        </w:rPr>
        <w:t xml:space="preserve">de noviembre de dos mil veinticuatro,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Pr="00222027">
        <w:rPr>
          <w:rFonts w:ascii="Palatino Linotype" w:hAnsi="Palatino Linotype" w:cs="Tahoma"/>
          <w:sz w:val="22"/>
          <w:szCs w:val="22"/>
          <w:lang w:val="es-ES"/>
        </w:rPr>
        <w:t>Sistema de Acceso a la Información Mexiquense (SAIMEX)</w:t>
      </w:r>
      <w:r w:rsidRPr="00222027">
        <w:rPr>
          <w:rFonts w:ascii="Palatino Linotype" w:hAnsi="Palatino Linotype" w:cs="Tahoma"/>
          <w:sz w:val="22"/>
          <w:szCs w:val="22"/>
        </w:rPr>
        <w:t>.</w:t>
      </w:r>
    </w:p>
    <w:p w14:paraId="5E99A41D" w14:textId="77777777" w:rsidR="003126B4" w:rsidRPr="00222027" w:rsidRDefault="003126B4" w:rsidP="003126B4">
      <w:pPr>
        <w:spacing w:line="360" w:lineRule="auto"/>
        <w:ind w:right="-28"/>
        <w:contextualSpacing/>
        <w:jc w:val="both"/>
        <w:rPr>
          <w:rFonts w:ascii="Palatino Linotype" w:hAnsi="Palatino Linotype" w:cs="Tahoma"/>
          <w:sz w:val="22"/>
          <w:szCs w:val="22"/>
          <w:lang w:val="es-ES"/>
        </w:rPr>
      </w:pPr>
    </w:p>
    <w:p w14:paraId="4739C660" w14:textId="77777777" w:rsidR="003126B4" w:rsidRPr="00222027" w:rsidRDefault="003126B4" w:rsidP="003126B4">
      <w:pPr>
        <w:spacing w:line="360" w:lineRule="auto"/>
        <w:ind w:right="-28"/>
        <w:contextualSpacing/>
        <w:jc w:val="both"/>
        <w:rPr>
          <w:rFonts w:ascii="Palatino Linotype" w:hAnsi="Palatino Linotype" w:cs="Tahoma"/>
          <w:color w:val="000000"/>
          <w:sz w:val="22"/>
          <w:szCs w:val="22"/>
        </w:rPr>
      </w:pPr>
      <w:r w:rsidRPr="00222027">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0E7C228D" w14:textId="77777777" w:rsidR="003126B4" w:rsidRPr="00222027" w:rsidRDefault="003126B4" w:rsidP="003126B4">
      <w:pPr>
        <w:spacing w:line="360" w:lineRule="auto"/>
        <w:ind w:right="-28"/>
        <w:contextualSpacing/>
        <w:jc w:val="both"/>
        <w:rPr>
          <w:rFonts w:ascii="Palatino Linotype" w:hAnsi="Palatino Linotype" w:cs="Tahoma"/>
          <w:color w:val="000000"/>
          <w:sz w:val="22"/>
          <w:szCs w:val="22"/>
        </w:rPr>
      </w:pPr>
    </w:p>
    <w:p w14:paraId="4B462E40" w14:textId="77777777" w:rsidR="003126B4" w:rsidRPr="00222027" w:rsidRDefault="003126B4" w:rsidP="003126B4">
      <w:pPr>
        <w:spacing w:line="360" w:lineRule="auto"/>
        <w:ind w:right="-28"/>
        <w:contextualSpacing/>
        <w:jc w:val="center"/>
        <w:rPr>
          <w:rFonts w:ascii="Palatino Linotype" w:hAnsi="Palatino Linotype" w:cs="Tahoma"/>
          <w:b/>
          <w:sz w:val="22"/>
          <w:szCs w:val="22"/>
          <w:lang w:val="es-ES"/>
        </w:rPr>
      </w:pPr>
      <w:r w:rsidRPr="00222027">
        <w:rPr>
          <w:rFonts w:ascii="Palatino Linotype" w:hAnsi="Palatino Linotype" w:cs="Tahoma"/>
          <w:b/>
          <w:sz w:val="22"/>
          <w:szCs w:val="22"/>
          <w:lang w:val="es-ES"/>
        </w:rPr>
        <w:t>C O N S I D E R A N D O S</w:t>
      </w:r>
    </w:p>
    <w:p w14:paraId="5E691B79" w14:textId="77777777" w:rsidR="003126B4" w:rsidRPr="00222027" w:rsidRDefault="003126B4" w:rsidP="003126B4">
      <w:pPr>
        <w:spacing w:line="360" w:lineRule="auto"/>
        <w:ind w:right="-28"/>
        <w:contextualSpacing/>
        <w:jc w:val="center"/>
        <w:rPr>
          <w:rFonts w:ascii="Palatino Linotype" w:hAnsi="Palatino Linotype" w:cs="Tahoma"/>
          <w:b/>
          <w:sz w:val="22"/>
          <w:szCs w:val="22"/>
          <w:lang w:val="es-ES"/>
        </w:rPr>
      </w:pPr>
    </w:p>
    <w:p w14:paraId="014FE314"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b/>
          <w:sz w:val="22"/>
          <w:szCs w:val="22"/>
          <w:lang w:val="es-ES"/>
        </w:rPr>
      </w:pPr>
      <w:r w:rsidRPr="00222027">
        <w:rPr>
          <w:rFonts w:ascii="Palatino Linotype" w:eastAsia="Calibri" w:hAnsi="Palatino Linotype" w:cs="Tahoma"/>
          <w:b/>
          <w:color w:val="000000"/>
          <w:sz w:val="22"/>
          <w:szCs w:val="22"/>
          <w:lang w:val="es-ES" w:eastAsia="es-MX"/>
        </w:rPr>
        <w:t>PRIMERO</w:t>
      </w:r>
      <w:r w:rsidRPr="00222027">
        <w:rPr>
          <w:rFonts w:ascii="Palatino Linotype" w:eastAsia="Calibri" w:hAnsi="Palatino Linotype" w:cs="Tahoma"/>
          <w:color w:val="000000"/>
          <w:sz w:val="22"/>
          <w:szCs w:val="22"/>
          <w:lang w:val="es-ES" w:eastAsia="es-MX"/>
        </w:rPr>
        <w:t xml:space="preserve">. </w:t>
      </w:r>
      <w:r w:rsidRPr="00222027">
        <w:rPr>
          <w:rFonts w:ascii="Palatino Linotype" w:hAnsi="Palatino Linotype" w:cs="Tahoma"/>
          <w:b/>
          <w:sz w:val="22"/>
          <w:szCs w:val="22"/>
          <w:lang w:val="es-ES"/>
        </w:rPr>
        <w:t>Competencia</w:t>
      </w:r>
    </w:p>
    <w:p w14:paraId="70C71BE1"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218567A0" w14:textId="77777777" w:rsidR="003126B4" w:rsidRPr="00222027" w:rsidRDefault="003126B4" w:rsidP="003126B4">
      <w:pPr>
        <w:spacing w:line="360" w:lineRule="auto"/>
        <w:ind w:right="-28"/>
        <w:contextualSpacing/>
        <w:jc w:val="both"/>
        <w:rPr>
          <w:rFonts w:ascii="Palatino Linotype" w:hAnsi="Palatino Linotype" w:cs="Tahoma"/>
          <w:color w:val="000000"/>
          <w:sz w:val="22"/>
          <w:szCs w:val="22"/>
        </w:rPr>
      </w:pPr>
      <w:r w:rsidRPr="00222027">
        <w:rPr>
          <w:rFonts w:ascii="Palatino Linotype" w:hAnsi="Palatino Linotype" w:cs="Tahoma"/>
          <w:color w:val="000000"/>
          <w:sz w:val="22"/>
          <w:szCs w:val="22"/>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222027">
        <w:rPr>
          <w:color w:val="000000"/>
        </w:rPr>
        <w:t xml:space="preserve"> 7°, </w:t>
      </w:r>
      <w:r w:rsidRPr="00222027">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15E51EE6" w14:textId="77777777" w:rsidR="003126B4" w:rsidRPr="00222027" w:rsidRDefault="003126B4" w:rsidP="003126B4">
      <w:pPr>
        <w:spacing w:line="360" w:lineRule="auto"/>
        <w:ind w:right="-28"/>
        <w:contextualSpacing/>
        <w:jc w:val="both"/>
        <w:rPr>
          <w:rFonts w:ascii="Palatino Linotype" w:hAnsi="Palatino Linotype" w:cs="Tahoma"/>
          <w:color w:val="000000"/>
          <w:sz w:val="22"/>
          <w:szCs w:val="22"/>
        </w:rPr>
      </w:pPr>
    </w:p>
    <w:p w14:paraId="11DF12C2" w14:textId="77777777" w:rsidR="003126B4" w:rsidRPr="00222027" w:rsidRDefault="003126B4" w:rsidP="003126B4">
      <w:pPr>
        <w:autoSpaceDE w:val="0"/>
        <w:autoSpaceDN w:val="0"/>
        <w:adjustRightInd w:val="0"/>
        <w:spacing w:line="360" w:lineRule="auto"/>
        <w:ind w:right="-28"/>
        <w:contextualSpacing/>
        <w:jc w:val="both"/>
        <w:rPr>
          <w:rFonts w:ascii="Palatino Linotype" w:eastAsia="Calibri" w:hAnsi="Palatino Linotype" w:cs="Tahoma"/>
          <w:b/>
          <w:color w:val="000000"/>
          <w:sz w:val="22"/>
          <w:szCs w:val="22"/>
          <w:lang w:val="es-ES" w:eastAsia="es-MX"/>
        </w:rPr>
      </w:pPr>
      <w:r w:rsidRPr="00222027">
        <w:rPr>
          <w:rFonts w:ascii="Palatino Linotype" w:eastAsia="Calibri" w:hAnsi="Palatino Linotype" w:cs="Tahoma"/>
          <w:b/>
          <w:color w:val="000000"/>
          <w:sz w:val="22"/>
          <w:szCs w:val="22"/>
          <w:lang w:val="es-ES" w:eastAsia="es-MX"/>
        </w:rPr>
        <w:t>SEGUNDO. Causales de improcedencia y sobreseimiento</w:t>
      </w:r>
    </w:p>
    <w:p w14:paraId="35DF4E9B"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lang w:val="es-ES"/>
        </w:rPr>
      </w:pPr>
    </w:p>
    <w:p w14:paraId="52D757A4"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lang w:val="es-ES"/>
        </w:rPr>
      </w:pPr>
      <w:r w:rsidRPr="00222027">
        <w:rPr>
          <w:rFonts w:ascii="Palatino Linotype" w:hAnsi="Palatino Linotype" w:cs="Tahoma"/>
          <w:sz w:val="22"/>
          <w:szCs w:val="22"/>
          <w:lang w:val="es-ES"/>
        </w:rPr>
        <w:t xml:space="preserve">De las constancias que forma parte del Recurso de Revisión que se analiza, se advierte que previo al estudio del fondo de la </w:t>
      </w:r>
      <w:r w:rsidRPr="00222027">
        <w:rPr>
          <w:rFonts w:ascii="Palatino Linotype" w:hAnsi="Palatino Linotype" w:cs="Tahoma"/>
          <w:i/>
          <w:sz w:val="22"/>
          <w:szCs w:val="22"/>
          <w:lang w:val="es-ES"/>
        </w:rPr>
        <w:t>litis</w:t>
      </w:r>
      <w:r w:rsidRPr="00222027">
        <w:rPr>
          <w:rFonts w:ascii="Palatino Linotype" w:hAnsi="Palatino Linotype" w:cs="Tahoma"/>
          <w:sz w:val="22"/>
          <w:szCs w:val="22"/>
          <w:lang w:val="es-ES"/>
        </w:rPr>
        <w:t>, es necesario estudiar las causales de improcedencia, para determinar lo que en Derecho proceda.</w:t>
      </w:r>
    </w:p>
    <w:p w14:paraId="2A4A056C" w14:textId="77777777" w:rsidR="003126B4" w:rsidRPr="00222027" w:rsidRDefault="003126B4" w:rsidP="003126B4">
      <w:pPr>
        <w:autoSpaceDE w:val="0"/>
        <w:autoSpaceDN w:val="0"/>
        <w:adjustRightInd w:val="0"/>
        <w:spacing w:line="360" w:lineRule="auto"/>
        <w:contextualSpacing/>
        <w:jc w:val="both"/>
        <w:rPr>
          <w:rFonts w:ascii="Palatino Linotype" w:hAnsi="Palatino Linotype" w:cs="Tahoma"/>
          <w:sz w:val="22"/>
          <w:szCs w:val="22"/>
        </w:rPr>
      </w:pPr>
    </w:p>
    <w:p w14:paraId="74BEC7B7" w14:textId="77777777" w:rsidR="003126B4" w:rsidRPr="00222027" w:rsidRDefault="003126B4" w:rsidP="003126B4">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222027">
        <w:rPr>
          <w:rFonts w:ascii="Palatino Linotype" w:eastAsia="Calibri" w:hAnsi="Palatino Linotype" w:cs="Tahoma"/>
          <w:b/>
          <w:color w:val="000000"/>
          <w:sz w:val="22"/>
          <w:szCs w:val="22"/>
          <w:lang w:val="es-ES" w:eastAsia="es-MX"/>
        </w:rPr>
        <w:t>Causales de improcedencia</w:t>
      </w:r>
    </w:p>
    <w:p w14:paraId="56009C42" w14:textId="77777777" w:rsidR="003126B4" w:rsidRPr="00222027" w:rsidRDefault="003126B4" w:rsidP="003126B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07775A7" w14:textId="77777777" w:rsidR="003126B4" w:rsidRPr="00222027" w:rsidRDefault="003126B4" w:rsidP="003126B4">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222027">
        <w:rPr>
          <w:rFonts w:ascii="Palatino Linotype" w:eastAsia="Calibri" w:hAnsi="Palatino Linotype" w:cs="Tahoma"/>
          <w:color w:val="000000"/>
          <w:sz w:val="22"/>
          <w:szCs w:val="22"/>
          <w:lang w:val="es-ES" w:eastAsia="es-MX"/>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sidRPr="00222027">
        <w:rPr>
          <w:rFonts w:ascii="Palatino Linotype" w:eastAsia="Calibri" w:hAnsi="Palatino Linotype" w:cs="Tahoma"/>
          <w:color w:val="000000"/>
          <w:sz w:val="22"/>
          <w:szCs w:val="22"/>
          <w:lang w:val="es-ES" w:eastAsia="es-MX"/>
        </w:rPr>
        <w:lastRenderedPageBreak/>
        <w:t>supuestos establecidos en el artículo 191 de la Ley de Transparencia y Acceso a la Información Pública del Estado de México y Municipios, por ser improcedente.</w:t>
      </w:r>
    </w:p>
    <w:p w14:paraId="31E9742A" w14:textId="77777777" w:rsidR="003126B4" w:rsidRPr="00222027" w:rsidRDefault="003126B4" w:rsidP="003126B4">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641A49B2" w14:textId="77777777" w:rsidR="003126B4" w:rsidRPr="00222027" w:rsidRDefault="003126B4" w:rsidP="003126B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222027">
        <w:rPr>
          <w:rFonts w:ascii="Palatino Linotype" w:hAnsi="Palatino Linotype" w:cs="Tahoma"/>
          <w:sz w:val="22"/>
          <w:szCs w:val="24"/>
        </w:rPr>
        <w:t>En el presente caso, </w:t>
      </w:r>
      <w:r w:rsidRPr="00222027">
        <w:rPr>
          <w:rFonts w:ascii="Palatino Linotype" w:hAnsi="Palatino Linotype" w:cs="Tahoma"/>
          <w:b/>
          <w:bCs/>
          <w:sz w:val="22"/>
          <w:szCs w:val="24"/>
        </w:rPr>
        <w:t>no se actualiza ninguna de las causales de improcedencia</w:t>
      </w:r>
      <w:r w:rsidRPr="00222027">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222027">
        <w:rPr>
          <w:rFonts w:ascii="Palatino Linotype" w:hAnsi="Palatino Linotype" w:cs="Tahoma"/>
          <w:sz w:val="22"/>
          <w:szCs w:val="22"/>
          <w:lang w:val="es-ES"/>
        </w:rPr>
        <w:t xml:space="preserve">además de que </w:t>
      </w:r>
      <w:r w:rsidRPr="00222027">
        <w:rPr>
          <w:rFonts w:ascii="Palatino Linotype" w:eastAsia="Calibri" w:hAnsi="Palatino Linotype" w:cs="Tahoma"/>
          <w:color w:val="000000"/>
          <w:sz w:val="22"/>
          <w:szCs w:val="22"/>
          <w:lang w:val="es-ES" w:eastAsia="es-MX"/>
        </w:rPr>
        <w:t>el medio de impugnación fue presentado en tiempo.</w:t>
      </w:r>
    </w:p>
    <w:p w14:paraId="5F8A14B8" w14:textId="77777777" w:rsidR="003126B4" w:rsidRPr="00222027" w:rsidRDefault="003126B4" w:rsidP="003126B4">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4F49B5A1" w14:textId="77777777" w:rsidR="003126B4" w:rsidRPr="00222027" w:rsidRDefault="003126B4" w:rsidP="003126B4">
      <w:pPr>
        <w:widowControl w:val="0"/>
        <w:spacing w:line="360" w:lineRule="auto"/>
        <w:contextualSpacing/>
        <w:jc w:val="both"/>
        <w:rPr>
          <w:rFonts w:ascii="Palatino Linotype" w:hAnsi="Palatino Linotype"/>
          <w:color w:val="222222"/>
        </w:rPr>
      </w:pPr>
      <w:r w:rsidRPr="00222027">
        <w:rPr>
          <w:rFonts w:ascii="Palatino Linotype" w:hAnsi="Palatino Linotype" w:cs="Tahoma"/>
          <w:sz w:val="22"/>
          <w:szCs w:val="22"/>
        </w:rPr>
        <w:t xml:space="preserve">Asimismo, se actualiza la causal de procedencia del Recurso de Revisión señalada en el artículo 179, fracción VIII, de la Ley en cita, </w:t>
      </w:r>
      <w:r w:rsidRPr="00222027">
        <w:rPr>
          <w:rFonts w:ascii="Palatino Linotype" w:eastAsia="Calibri" w:hAnsi="Palatino Linotype" w:cs="Tahoma"/>
          <w:color w:val="000000"/>
          <w:sz w:val="22"/>
          <w:szCs w:val="22"/>
          <w:lang w:eastAsia="es-MX"/>
        </w:rPr>
        <w:t xml:space="preserve">pues el Recurrente se inconformó con </w:t>
      </w:r>
      <w:r w:rsidRPr="00222027">
        <w:rPr>
          <w:rFonts w:ascii="Palatino Linotype" w:hAnsi="Palatino Linotype" w:cs="Tahoma"/>
          <w:sz w:val="22"/>
          <w:szCs w:val="22"/>
        </w:rPr>
        <w:t>la entrega o puesta a disposición de la información en un formato distinto a lo solicitado.</w:t>
      </w:r>
    </w:p>
    <w:p w14:paraId="59C9B2B6" w14:textId="77777777" w:rsidR="003126B4" w:rsidRPr="00222027" w:rsidRDefault="003126B4" w:rsidP="003126B4">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29D9C610" w14:textId="77777777" w:rsidR="003126B4" w:rsidRPr="00222027" w:rsidRDefault="003126B4" w:rsidP="003126B4">
      <w:pPr>
        <w:spacing w:line="360" w:lineRule="auto"/>
        <w:contextualSpacing/>
        <w:jc w:val="both"/>
        <w:rPr>
          <w:rFonts w:ascii="Palatino Linotype" w:hAnsi="Palatino Linotype" w:cs="Tahoma"/>
          <w:sz w:val="22"/>
          <w:szCs w:val="22"/>
        </w:rPr>
      </w:pPr>
      <w:r w:rsidRPr="00222027">
        <w:rPr>
          <w:rFonts w:ascii="Palatino Linotype" w:hAnsi="Palatino Linotype" w:cs="Tahoma"/>
          <w:b/>
          <w:bCs/>
          <w:sz w:val="22"/>
          <w:szCs w:val="22"/>
        </w:rPr>
        <w:t>Causales de sobreseimiento.</w:t>
      </w:r>
    </w:p>
    <w:p w14:paraId="22901467" w14:textId="77777777" w:rsidR="003126B4" w:rsidRPr="00222027" w:rsidRDefault="003126B4" w:rsidP="003126B4">
      <w:pPr>
        <w:spacing w:line="360" w:lineRule="auto"/>
        <w:contextualSpacing/>
        <w:jc w:val="both"/>
        <w:rPr>
          <w:rFonts w:ascii="Palatino Linotype" w:hAnsi="Palatino Linotype" w:cs="Tahoma"/>
          <w:sz w:val="22"/>
          <w:szCs w:val="22"/>
        </w:rPr>
      </w:pPr>
    </w:p>
    <w:p w14:paraId="0C6B7CED" w14:textId="77777777" w:rsidR="003126B4" w:rsidRPr="00222027" w:rsidRDefault="003126B4" w:rsidP="003126B4">
      <w:pPr>
        <w:spacing w:line="360" w:lineRule="auto"/>
        <w:contextualSpacing/>
        <w:jc w:val="both"/>
        <w:rPr>
          <w:rFonts w:ascii="Palatino Linotype" w:hAnsi="Palatino Linotype" w:cs="Tahoma"/>
          <w:sz w:val="22"/>
          <w:szCs w:val="22"/>
        </w:rPr>
      </w:pPr>
      <w:r w:rsidRPr="00222027">
        <w:rPr>
          <w:rFonts w:ascii="Palatino Linotype" w:hAnsi="Palatino Linotype" w:cs="Tahoma"/>
          <w:sz w:val="22"/>
          <w:szCs w:val="22"/>
        </w:rPr>
        <w:t>Por ser de previo y especial pronunciamiento, este Instituto analiza si se actualiza alguna causal de sobreseimiento.</w:t>
      </w:r>
    </w:p>
    <w:p w14:paraId="12A44AD8" w14:textId="77777777" w:rsidR="003126B4" w:rsidRPr="00222027" w:rsidRDefault="003126B4" w:rsidP="003126B4">
      <w:pPr>
        <w:spacing w:line="360" w:lineRule="auto"/>
        <w:contextualSpacing/>
        <w:jc w:val="both"/>
        <w:rPr>
          <w:rFonts w:ascii="Palatino Linotype" w:hAnsi="Palatino Linotype" w:cs="Tahoma"/>
          <w:sz w:val="22"/>
          <w:szCs w:val="22"/>
        </w:rPr>
      </w:pPr>
    </w:p>
    <w:p w14:paraId="43D80388" w14:textId="77777777" w:rsidR="003126B4" w:rsidRPr="00222027" w:rsidRDefault="003126B4" w:rsidP="003126B4">
      <w:pPr>
        <w:spacing w:line="360" w:lineRule="auto"/>
        <w:contextualSpacing/>
        <w:jc w:val="both"/>
        <w:rPr>
          <w:rFonts w:ascii="Palatino Linotype" w:hAnsi="Palatino Linotype" w:cs="Tahoma"/>
          <w:sz w:val="22"/>
          <w:szCs w:val="22"/>
        </w:rPr>
      </w:pPr>
      <w:r w:rsidRPr="00222027">
        <w:rPr>
          <w:rFonts w:ascii="Palatino Linotype" w:hAnsi="Palatino Linotype" w:cs="Tahoma"/>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sidRPr="00222027">
        <w:rPr>
          <w:rFonts w:ascii="Palatino Linotype" w:hAnsi="Palatino Linotype" w:cs="Tahoma"/>
          <w:sz w:val="22"/>
          <w:szCs w:val="22"/>
        </w:rPr>
        <w:lastRenderedPageBreak/>
        <w:t>fallecido, sobreviniera alguna causal de improcedencia, que el Sujeto Obligado hubiese modificado o revocado el acto impugnado o bien, haya quedado sin materia.</w:t>
      </w:r>
    </w:p>
    <w:p w14:paraId="510C41AF" w14:textId="77777777" w:rsidR="003126B4" w:rsidRPr="00222027" w:rsidRDefault="003126B4" w:rsidP="003126B4">
      <w:pPr>
        <w:spacing w:line="360" w:lineRule="auto"/>
        <w:contextualSpacing/>
        <w:jc w:val="both"/>
        <w:rPr>
          <w:rFonts w:ascii="Palatino Linotype" w:hAnsi="Palatino Linotype" w:cs="Tahoma"/>
          <w:sz w:val="22"/>
          <w:szCs w:val="22"/>
        </w:rPr>
      </w:pPr>
    </w:p>
    <w:p w14:paraId="5E40C923" w14:textId="77777777" w:rsidR="003126B4" w:rsidRPr="00222027" w:rsidRDefault="003126B4" w:rsidP="003126B4">
      <w:pPr>
        <w:tabs>
          <w:tab w:val="left" w:pos="4962"/>
        </w:tabs>
        <w:spacing w:line="360" w:lineRule="auto"/>
        <w:contextualSpacing/>
        <w:jc w:val="both"/>
        <w:rPr>
          <w:rFonts w:ascii="Palatino Linotype" w:hAnsi="Palatino Linotype" w:cs="Tahoma"/>
          <w:sz w:val="22"/>
          <w:szCs w:val="22"/>
        </w:rPr>
      </w:pPr>
      <w:r w:rsidRPr="00222027">
        <w:rPr>
          <w:rFonts w:ascii="Palatino Linotype" w:hAnsi="Palatino Linotype" w:cs="Tahoma"/>
          <w:bCs/>
          <w:sz w:val="22"/>
          <w:szCs w:val="22"/>
        </w:rPr>
        <w:t xml:space="preserve">Por tales motivos, </w:t>
      </w:r>
      <w:r w:rsidRPr="00222027">
        <w:rPr>
          <w:rFonts w:ascii="Palatino Linotype" w:hAnsi="Palatino Linotype" w:cs="Tahoma"/>
          <w:sz w:val="22"/>
          <w:szCs w:val="22"/>
        </w:rPr>
        <w:t xml:space="preserve">se considera procedente entrar al fondo del presente asunto. </w:t>
      </w:r>
    </w:p>
    <w:p w14:paraId="76713980" w14:textId="77777777" w:rsidR="00887EBF" w:rsidRPr="00222027" w:rsidRDefault="00887EBF" w:rsidP="003126B4">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p>
    <w:p w14:paraId="70B7D204"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b/>
          <w:iCs/>
          <w:sz w:val="22"/>
          <w:szCs w:val="22"/>
          <w:lang w:val="es-ES" w:eastAsia="es-ES_tradnl"/>
        </w:rPr>
      </w:pPr>
      <w:r w:rsidRPr="00222027">
        <w:rPr>
          <w:rFonts w:ascii="Palatino Linotype" w:eastAsia="Calibri" w:hAnsi="Palatino Linotype" w:cs="Tahoma"/>
          <w:b/>
          <w:iCs/>
          <w:sz w:val="22"/>
          <w:szCs w:val="22"/>
          <w:lang w:val="es-ES" w:eastAsia="es-ES_tradnl"/>
        </w:rPr>
        <w:t>TERCERO. Determinación de la Controversia</w:t>
      </w:r>
    </w:p>
    <w:p w14:paraId="5700E0A8"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sz w:val="22"/>
          <w:szCs w:val="22"/>
          <w:lang w:val="es-ES" w:eastAsia="es-ES_tradnl"/>
        </w:rPr>
      </w:pPr>
    </w:p>
    <w:p w14:paraId="57B77AF3"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222027">
        <w:rPr>
          <w:rFonts w:ascii="Palatino Linotype" w:eastAsia="Calibri" w:hAnsi="Palatino Linotype" w:cs="Tahoma"/>
          <w:sz w:val="22"/>
          <w:szCs w:val="22"/>
          <w:lang w:val="es-ES" w:eastAsia="es-ES_tradnl"/>
        </w:rPr>
        <w:t xml:space="preserve">Una vez realizado el estudio de las constancias que integran el expediente en que se actúa, se desprende que </w:t>
      </w:r>
      <w:r w:rsidRPr="00222027">
        <w:rPr>
          <w:rFonts w:ascii="Palatino Linotype" w:eastAsia="Calibri" w:hAnsi="Palatino Linotype" w:cs="Tahoma"/>
          <w:bCs/>
          <w:sz w:val="22"/>
          <w:szCs w:val="22"/>
          <w:lang w:eastAsia="en-US"/>
        </w:rPr>
        <w:t xml:space="preserve">el Particular </w:t>
      </w:r>
      <w:r w:rsidRPr="00222027">
        <w:rPr>
          <w:rFonts w:ascii="Palatino Linotype" w:eastAsia="Calibri" w:hAnsi="Palatino Linotype" w:cs="Tahoma"/>
          <w:iCs/>
          <w:sz w:val="22"/>
          <w:szCs w:val="22"/>
          <w:lang w:val="es-ES" w:eastAsia="es-ES_tradnl"/>
        </w:rPr>
        <w:t xml:space="preserve">solicitó, respecto de la </w:t>
      </w:r>
      <w:r w:rsidR="00D96A08" w:rsidRPr="00222027">
        <w:rPr>
          <w:rFonts w:ascii="Palatino Linotype" w:eastAsia="Calibri" w:hAnsi="Palatino Linotype" w:cs="Tahoma"/>
          <w:iCs/>
          <w:sz w:val="22"/>
          <w:szCs w:val="22"/>
          <w:lang w:val="es-ES" w:eastAsia="es-ES_tradnl"/>
        </w:rPr>
        <w:t>publicación del Bando</w:t>
      </w:r>
      <w:r w:rsidRPr="00222027">
        <w:rPr>
          <w:rFonts w:ascii="Palatino Linotype" w:eastAsia="Calibri" w:hAnsi="Palatino Linotype" w:cs="Tahoma"/>
          <w:iCs/>
          <w:sz w:val="22"/>
          <w:szCs w:val="22"/>
          <w:lang w:val="es-ES" w:eastAsia="es-ES_tradnl"/>
        </w:rPr>
        <w:t xml:space="preserve"> Municipal de</w:t>
      </w:r>
      <w:r w:rsidR="00D96A08" w:rsidRPr="00222027">
        <w:rPr>
          <w:rFonts w:ascii="Palatino Linotype" w:eastAsia="Calibri" w:hAnsi="Palatino Linotype" w:cs="Tahoma"/>
          <w:iCs/>
          <w:sz w:val="22"/>
          <w:szCs w:val="22"/>
          <w:lang w:val="es-ES" w:eastAsia="es-ES_tradnl"/>
        </w:rPr>
        <w:t xml:space="preserve"> los ejercicios fiscales dos mil veintidós, dos mil veintitrés y dos mil veinticuatro</w:t>
      </w:r>
      <w:r w:rsidRPr="00222027">
        <w:rPr>
          <w:rFonts w:ascii="Palatino Linotype" w:eastAsia="Calibri" w:hAnsi="Palatino Linotype" w:cs="Tahoma"/>
          <w:iCs/>
          <w:sz w:val="22"/>
          <w:szCs w:val="22"/>
          <w:lang w:val="es-ES" w:eastAsia="es-ES_tradnl"/>
        </w:rPr>
        <w:t>, lo siguiente:</w:t>
      </w:r>
    </w:p>
    <w:p w14:paraId="34F4A806"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8DECFAA" w14:textId="77777777" w:rsidR="003126B4" w:rsidRPr="00222027" w:rsidRDefault="003126B4" w:rsidP="003126B4">
      <w:pPr>
        <w:pStyle w:val="Prrafodelista"/>
        <w:numPr>
          <w:ilvl w:val="0"/>
          <w:numId w:val="1"/>
        </w:numPr>
        <w:tabs>
          <w:tab w:val="left" w:pos="4962"/>
        </w:tabs>
        <w:spacing w:line="360" w:lineRule="auto"/>
        <w:ind w:right="-28"/>
        <w:jc w:val="both"/>
        <w:rPr>
          <w:rFonts w:ascii="Palatino Linotype" w:eastAsia="Calibri" w:hAnsi="Palatino Linotype" w:cs="Tahoma"/>
          <w:iCs/>
          <w:szCs w:val="22"/>
          <w:lang w:val="es-ES" w:eastAsia="es-ES_tradnl"/>
        </w:rPr>
      </w:pPr>
      <w:r w:rsidRPr="00222027">
        <w:rPr>
          <w:rFonts w:ascii="Palatino Linotype" w:eastAsia="Calibri" w:hAnsi="Palatino Linotype" w:cs="Tahoma"/>
          <w:iCs/>
          <w:szCs w:val="22"/>
          <w:lang w:val="es-ES" w:eastAsia="es-ES_tradnl"/>
        </w:rPr>
        <w:t xml:space="preserve">Monto erogado; </w:t>
      </w:r>
    </w:p>
    <w:p w14:paraId="06D16C4D" w14:textId="77777777" w:rsidR="003126B4" w:rsidRPr="00222027" w:rsidRDefault="003126B4" w:rsidP="003126B4">
      <w:pPr>
        <w:pStyle w:val="Prrafodelista"/>
        <w:numPr>
          <w:ilvl w:val="0"/>
          <w:numId w:val="1"/>
        </w:numPr>
        <w:tabs>
          <w:tab w:val="left" w:pos="4962"/>
        </w:tabs>
        <w:spacing w:line="360" w:lineRule="auto"/>
        <w:ind w:right="-28"/>
        <w:jc w:val="both"/>
        <w:rPr>
          <w:rFonts w:ascii="Palatino Linotype" w:eastAsia="Calibri" w:hAnsi="Palatino Linotype" w:cs="Tahoma"/>
          <w:iCs/>
          <w:szCs w:val="22"/>
          <w:lang w:val="es-ES" w:eastAsia="es-ES_tradnl"/>
        </w:rPr>
      </w:pPr>
      <w:r w:rsidRPr="00222027">
        <w:rPr>
          <w:rFonts w:ascii="Palatino Linotype" w:eastAsia="Calibri" w:hAnsi="Palatino Linotype" w:cs="Tahoma"/>
          <w:iCs/>
          <w:szCs w:val="22"/>
          <w:lang w:val="es-ES" w:eastAsia="es-ES_tradnl"/>
        </w:rPr>
        <w:t xml:space="preserve">Pólizas de egresos, con sus respectivas facturas. </w:t>
      </w:r>
    </w:p>
    <w:p w14:paraId="2B347AA6" w14:textId="77777777" w:rsidR="003126B4" w:rsidRPr="00222027" w:rsidRDefault="003126B4" w:rsidP="003126B4">
      <w:pPr>
        <w:pStyle w:val="Prrafodelista"/>
        <w:tabs>
          <w:tab w:val="left" w:pos="4962"/>
        </w:tabs>
        <w:spacing w:line="360" w:lineRule="auto"/>
        <w:ind w:left="1080" w:right="-28"/>
        <w:jc w:val="both"/>
        <w:rPr>
          <w:rFonts w:ascii="Palatino Linotype" w:eastAsia="Calibri" w:hAnsi="Palatino Linotype" w:cs="Tahoma"/>
          <w:iCs/>
          <w:szCs w:val="22"/>
          <w:lang w:val="es-ES" w:eastAsia="es-ES_tradnl"/>
        </w:rPr>
      </w:pPr>
    </w:p>
    <w:p w14:paraId="17520062" w14:textId="77777777" w:rsidR="003126B4" w:rsidRPr="00222027" w:rsidRDefault="003126B4" w:rsidP="003126B4">
      <w:pPr>
        <w:tabs>
          <w:tab w:val="left" w:pos="4667"/>
        </w:tabs>
        <w:spacing w:line="360" w:lineRule="auto"/>
        <w:contextualSpacing/>
        <w:jc w:val="both"/>
        <w:rPr>
          <w:rFonts w:ascii="Palatino Linotype" w:eastAsiaTheme="minorHAnsi" w:hAnsi="Palatino Linotype" w:cs="Tahoma"/>
          <w:iCs/>
          <w:color w:val="000000" w:themeColor="text1"/>
          <w:sz w:val="22"/>
          <w:szCs w:val="22"/>
          <w:lang w:val="es-ES" w:eastAsia="en-US"/>
        </w:rPr>
      </w:pPr>
      <w:r w:rsidRPr="00222027">
        <w:rPr>
          <w:rFonts w:ascii="Palatino Linotype" w:eastAsia="Calibri" w:hAnsi="Palatino Linotype" w:cs="Tahoma"/>
          <w:iCs/>
          <w:sz w:val="22"/>
          <w:szCs w:val="22"/>
          <w:lang w:val="es-ES" w:eastAsia="es-ES_tradnl"/>
        </w:rPr>
        <w:t>En respuesta, el Sujeto Obligado, a través de la Tesorería Municipal, propuso el cambio de modalidad de entrega de la información a consulta directa derivado de la entrega recepción y del cambio de administración</w:t>
      </w:r>
      <w:r w:rsidRPr="00222027">
        <w:rPr>
          <w:rFonts w:ascii="Palatino Linotype" w:hAnsi="Palatino Linotype" w:cs="Tahoma"/>
          <w:bCs/>
          <w:iCs/>
          <w:sz w:val="22"/>
          <w:szCs w:val="22"/>
          <w:lang w:val="es-ES"/>
        </w:rPr>
        <w:t xml:space="preserve">; </w:t>
      </w:r>
      <w:r w:rsidRPr="00222027">
        <w:rPr>
          <w:rFonts w:ascii="Palatino Linotype" w:hAnsi="Palatino Linotype"/>
          <w:iCs/>
          <w:sz w:val="22"/>
          <w:szCs w:val="22"/>
        </w:rPr>
        <w:t>ante dicha circunstancia, la parte Recurrente se inconformó del cambio de modalidad propuesto</w:t>
      </w:r>
      <w:r w:rsidRPr="00222027">
        <w:rPr>
          <w:rFonts w:ascii="Palatino Linotype" w:eastAsiaTheme="minorHAnsi" w:hAnsi="Palatino Linotype" w:cs="Tahoma"/>
          <w:bCs/>
          <w:iCs/>
          <w:color w:val="000000" w:themeColor="text1"/>
          <w:sz w:val="22"/>
          <w:szCs w:val="22"/>
          <w:lang w:val="es-ES" w:eastAsia="en-US"/>
        </w:rPr>
        <w:t>, lo cual actualiza el supuesto previsto en el artículo 179, fracción VIII, de la Ley de Transparencia y Acceso a la Información Pública del Estado de México y Municipios</w:t>
      </w:r>
      <w:r w:rsidRPr="00222027">
        <w:rPr>
          <w:rFonts w:ascii="Palatino Linotype" w:eastAsia="Calibri" w:hAnsi="Palatino Linotype" w:cs="Tahoma"/>
          <w:bCs/>
          <w:iCs/>
          <w:color w:val="000000"/>
          <w:sz w:val="22"/>
          <w:szCs w:val="22"/>
          <w:lang w:val="es-ES_tradnl" w:eastAsia="en-US"/>
        </w:rPr>
        <w:t xml:space="preserve">. </w:t>
      </w:r>
      <w:r w:rsidRPr="00222027">
        <w:rPr>
          <w:rFonts w:ascii="Palatino Linotype" w:eastAsiaTheme="minorHAnsi" w:hAnsi="Palatino Linotype" w:cs="Tahoma"/>
          <w:iCs/>
          <w:color w:val="000000" w:themeColor="text1"/>
          <w:sz w:val="22"/>
          <w:szCs w:val="22"/>
          <w:lang w:val="es-ES" w:eastAsia="en-US"/>
        </w:rPr>
        <w:t xml:space="preserve">Así las cosas, una vez admitido y notificado el Recurso de Revisión a las partes, estas fueron omisas en realizar manifestaciones o alegatos. </w:t>
      </w:r>
    </w:p>
    <w:p w14:paraId="3FE56D6B" w14:textId="77777777" w:rsidR="003126B4" w:rsidRPr="00222027" w:rsidRDefault="003126B4" w:rsidP="003126B4">
      <w:pPr>
        <w:pStyle w:val="Prrafodelista"/>
        <w:tabs>
          <w:tab w:val="left" w:pos="4962"/>
        </w:tabs>
        <w:spacing w:line="360" w:lineRule="auto"/>
        <w:ind w:left="0" w:right="-28"/>
        <w:jc w:val="both"/>
        <w:rPr>
          <w:rFonts w:ascii="Palatino Linotype" w:eastAsia="Calibri" w:hAnsi="Palatino Linotype" w:cs="Tahoma"/>
          <w:iCs/>
          <w:szCs w:val="22"/>
          <w:lang w:val="es-ES" w:eastAsia="es-ES_tradnl"/>
        </w:rPr>
      </w:pPr>
    </w:p>
    <w:p w14:paraId="5FA37617" w14:textId="77777777" w:rsidR="003126B4" w:rsidRPr="00222027" w:rsidRDefault="003126B4" w:rsidP="003126B4">
      <w:pPr>
        <w:tabs>
          <w:tab w:val="left" w:pos="4667"/>
        </w:tabs>
        <w:spacing w:line="360" w:lineRule="auto"/>
        <w:contextualSpacing/>
        <w:jc w:val="both"/>
        <w:rPr>
          <w:rFonts w:ascii="Palatino Linotype" w:hAnsi="Palatino Linotype" w:cs="Tahoma"/>
          <w:bCs/>
          <w:iCs/>
          <w:sz w:val="22"/>
          <w:szCs w:val="22"/>
          <w:lang w:val="es-ES"/>
        </w:rPr>
      </w:pPr>
      <w:r w:rsidRPr="00222027">
        <w:rPr>
          <w:rFonts w:ascii="Palatino Linotype" w:hAnsi="Palatino Linotype" w:cs="Tahoma"/>
          <w:iCs/>
          <w:sz w:val="22"/>
          <w:szCs w:val="22"/>
        </w:rPr>
        <w:t xml:space="preserve">Lo anterior, se desprende de las documentales que obran en el expediente de referencia, materia de la presente resolución, consistentes en: la solicitud de acceso a la información; la respuesta proporcionada por el Sujeto Obligado, y el escrito recursal; </w:t>
      </w:r>
      <w:r w:rsidRPr="00222027">
        <w:rPr>
          <w:rFonts w:ascii="Palatino Linotype" w:hAnsi="Palatino Linotype" w:cs="Tahoma"/>
          <w:bCs/>
          <w:sz w:val="22"/>
          <w:szCs w:val="22"/>
        </w:rPr>
        <w:t xml:space="preserve">instrumentales que se toman en cuenta a efecto de resolver el presente medio de impugnación, conforme a lo </w:t>
      </w:r>
      <w:r w:rsidRPr="00222027">
        <w:rPr>
          <w:rFonts w:ascii="Palatino Linotype" w:hAnsi="Palatino Linotype" w:cs="Tahoma"/>
          <w:bCs/>
          <w:sz w:val="22"/>
          <w:szCs w:val="22"/>
        </w:rPr>
        <w:lastRenderedPageBreak/>
        <w:t xml:space="preserve">dispuesto por el artículo 185, fracción IV, de la Ley de Transparencia y Acceso a la Información Pública del Estado de México y Municipios. </w:t>
      </w:r>
    </w:p>
    <w:p w14:paraId="1CF6307E"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BAF06F9" w14:textId="77777777" w:rsidR="003126B4" w:rsidRPr="00222027" w:rsidRDefault="003126B4" w:rsidP="003126B4">
      <w:pPr>
        <w:spacing w:line="360" w:lineRule="auto"/>
        <w:ind w:right="-28"/>
        <w:contextualSpacing/>
        <w:jc w:val="both"/>
        <w:rPr>
          <w:rFonts w:ascii="Palatino Linotype" w:hAnsi="Palatino Linotype" w:cs="Tahoma"/>
          <w:b/>
          <w:sz w:val="22"/>
          <w:szCs w:val="22"/>
        </w:rPr>
      </w:pPr>
      <w:r w:rsidRPr="00222027">
        <w:rPr>
          <w:rFonts w:ascii="Palatino Linotype" w:hAnsi="Palatino Linotype" w:cs="Tahoma"/>
          <w:b/>
          <w:sz w:val="22"/>
          <w:szCs w:val="22"/>
          <w:lang w:val="es-ES"/>
        </w:rPr>
        <w:t xml:space="preserve">CUARTO. </w:t>
      </w:r>
      <w:r w:rsidRPr="00222027">
        <w:rPr>
          <w:rFonts w:ascii="Palatino Linotype" w:hAnsi="Palatino Linotype" w:cs="Tahoma"/>
          <w:b/>
          <w:sz w:val="22"/>
          <w:szCs w:val="22"/>
        </w:rPr>
        <w:t>Marco normativo aplicable en materia de transparencia y acceso a la información pública</w:t>
      </w:r>
    </w:p>
    <w:p w14:paraId="74AB56F2"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6C336F9B"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C4D8A84"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15C7B183"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8F1B3FA"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5B9238F0"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39F3518"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5DC48E64"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589786C4"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4819F162"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264E10D3"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1BE8286D"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346392CC"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p>
    <w:p w14:paraId="6B037499" w14:textId="77777777" w:rsidR="003126B4" w:rsidRPr="00222027" w:rsidRDefault="003126B4" w:rsidP="003126B4">
      <w:pPr>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E9CFF46" w14:textId="77777777" w:rsidR="003126B4" w:rsidRPr="00222027" w:rsidRDefault="003126B4" w:rsidP="003126B4">
      <w:pPr>
        <w:spacing w:line="360" w:lineRule="auto"/>
        <w:ind w:right="-28"/>
        <w:contextualSpacing/>
        <w:jc w:val="both"/>
        <w:rPr>
          <w:rFonts w:ascii="Palatino Linotype" w:hAnsi="Palatino Linotype" w:cs="Tahoma"/>
          <w:b/>
          <w:sz w:val="22"/>
          <w:szCs w:val="22"/>
        </w:rPr>
      </w:pPr>
    </w:p>
    <w:p w14:paraId="67FA1DA2" w14:textId="77777777" w:rsidR="003126B4" w:rsidRPr="00222027" w:rsidRDefault="003126B4" w:rsidP="003126B4">
      <w:pPr>
        <w:spacing w:line="360" w:lineRule="auto"/>
        <w:ind w:right="-28"/>
        <w:contextualSpacing/>
        <w:jc w:val="both"/>
        <w:rPr>
          <w:rFonts w:ascii="Palatino Linotype" w:hAnsi="Palatino Linotype" w:cs="Tahoma"/>
          <w:b/>
          <w:sz w:val="22"/>
          <w:szCs w:val="22"/>
        </w:rPr>
      </w:pPr>
      <w:r w:rsidRPr="00222027">
        <w:rPr>
          <w:rFonts w:ascii="Palatino Linotype" w:hAnsi="Palatino Linotype" w:cs="Tahoma"/>
          <w:b/>
          <w:sz w:val="22"/>
          <w:szCs w:val="22"/>
        </w:rPr>
        <w:t>QUINTO. Estudio de Fondo</w:t>
      </w:r>
    </w:p>
    <w:p w14:paraId="014FBDC7"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eastAsia="es-ES_tradnl"/>
        </w:rPr>
      </w:pPr>
    </w:p>
    <w:p w14:paraId="6B301A50" w14:textId="77777777" w:rsidR="003126B4" w:rsidRPr="00222027" w:rsidRDefault="003126B4" w:rsidP="003126B4">
      <w:pPr>
        <w:tabs>
          <w:tab w:val="left" w:pos="4962"/>
        </w:tabs>
        <w:spacing w:line="360" w:lineRule="auto"/>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Expuestas las posturas de las partes, se procede a realizar el análisis del agravio hecho valer por el ahora Recurrente, concerniente a la entrega o puesta a disposición de la información en un formato distinto al solicitado, para lo cual resulta necesario contextualizar la solicitud de información.</w:t>
      </w:r>
    </w:p>
    <w:p w14:paraId="2F6E508C" w14:textId="77777777" w:rsidR="003126B4" w:rsidRPr="00222027" w:rsidRDefault="003126B4" w:rsidP="003126B4">
      <w:pPr>
        <w:spacing w:line="360" w:lineRule="auto"/>
        <w:ind w:right="-28"/>
        <w:contextualSpacing/>
        <w:jc w:val="both"/>
        <w:rPr>
          <w:rFonts w:ascii="Palatino Linotype" w:eastAsia="Calibri" w:hAnsi="Palatino Linotype" w:cs="Tahoma"/>
          <w:bCs/>
          <w:sz w:val="22"/>
          <w:szCs w:val="22"/>
        </w:rPr>
      </w:pPr>
    </w:p>
    <w:p w14:paraId="3614D603" w14:textId="77777777" w:rsidR="003126B4" w:rsidRPr="00222027" w:rsidRDefault="003126B4" w:rsidP="003126B4">
      <w:pPr>
        <w:tabs>
          <w:tab w:val="left" w:pos="4962"/>
        </w:tabs>
        <w:spacing w:line="360" w:lineRule="auto"/>
        <w:contextualSpacing/>
        <w:jc w:val="both"/>
        <w:rPr>
          <w:rFonts w:ascii="Palatino Linotype" w:hAnsi="Palatino Linotype" w:cs="Tahoma"/>
          <w:bCs/>
          <w:iCs/>
          <w:sz w:val="22"/>
          <w:szCs w:val="22"/>
        </w:rPr>
      </w:pPr>
      <w:r w:rsidRPr="00222027">
        <w:rPr>
          <w:rFonts w:ascii="Palatino Linotype" w:hAnsi="Palatino Linotype"/>
          <w:color w:val="000000"/>
          <w:sz w:val="22"/>
          <w:szCs w:val="22"/>
          <w:shd w:val="clear" w:color="auto" w:fill="FFFFFF"/>
        </w:rPr>
        <w:t>A</w:t>
      </w:r>
      <w:r w:rsidRPr="00222027">
        <w:rPr>
          <w:rFonts w:ascii="Palatino Linotype" w:hAnsi="Palatino Linotype" w:cs="Tahoma"/>
          <w:bCs/>
          <w:iCs/>
          <w:sz w:val="22"/>
          <w:szCs w:val="22"/>
        </w:rPr>
        <w:t xml:space="preserve">l respecto, 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14:paraId="5863120C" w14:textId="77777777" w:rsidR="003126B4" w:rsidRPr="00222027" w:rsidRDefault="003126B4" w:rsidP="003126B4">
      <w:pPr>
        <w:tabs>
          <w:tab w:val="left" w:pos="4962"/>
        </w:tabs>
        <w:spacing w:line="360" w:lineRule="auto"/>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 xml:space="preserve"> </w:t>
      </w:r>
    </w:p>
    <w:p w14:paraId="6BB831D8" w14:textId="77777777" w:rsidR="003126B4" w:rsidRPr="00222027" w:rsidRDefault="003126B4" w:rsidP="003126B4">
      <w:pPr>
        <w:tabs>
          <w:tab w:val="left" w:pos="4962"/>
        </w:tabs>
        <w:spacing w:line="360" w:lineRule="auto"/>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 xml:space="preserve">En ese contexto, los Sujetos Obligados deben generar pólizas contables que corresponden a un documento en el que se asientan las operaciones desarrolladas, por el municipio y toda la información necesaria para su identificación, de conformidad con la Guía Técnica 8 “La </w:t>
      </w:r>
      <w:r w:rsidRPr="00222027">
        <w:rPr>
          <w:rFonts w:ascii="Palatino Linotype" w:hAnsi="Palatino Linotype" w:cs="Tahoma"/>
          <w:bCs/>
          <w:iCs/>
          <w:sz w:val="22"/>
          <w:szCs w:val="22"/>
        </w:rPr>
        <w:lastRenderedPageBreak/>
        <w:t>Contabilidad y la Cuenta Pública Municipal”; además, dichas pólizas se dividen en las siguientes:</w:t>
      </w:r>
    </w:p>
    <w:p w14:paraId="145D235B" w14:textId="77777777" w:rsidR="003126B4" w:rsidRPr="00222027" w:rsidRDefault="003126B4" w:rsidP="003126B4">
      <w:pPr>
        <w:spacing w:line="360" w:lineRule="auto"/>
        <w:contextualSpacing/>
        <w:jc w:val="both"/>
        <w:rPr>
          <w:rFonts w:ascii="Palatino Linotype" w:hAnsi="Palatino Linotype"/>
          <w:bCs/>
          <w:color w:val="000000"/>
          <w:sz w:val="22"/>
          <w:szCs w:val="22"/>
          <w:shd w:val="clear" w:color="auto" w:fill="FFFFFF"/>
        </w:rPr>
      </w:pPr>
      <w:r w:rsidRPr="00222027">
        <w:rPr>
          <w:rFonts w:ascii="Palatino Linotype" w:hAnsi="Palatino Linotype"/>
          <w:bCs/>
          <w:color w:val="000000"/>
          <w:sz w:val="22"/>
          <w:szCs w:val="22"/>
          <w:shd w:val="clear" w:color="auto" w:fill="FFFFFF"/>
        </w:rPr>
        <w:t xml:space="preserve"> </w:t>
      </w:r>
    </w:p>
    <w:p w14:paraId="54222583" w14:textId="77777777" w:rsidR="003126B4" w:rsidRPr="00222027" w:rsidRDefault="003126B4" w:rsidP="003126B4">
      <w:pPr>
        <w:numPr>
          <w:ilvl w:val="0"/>
          <w:numId w:val="2"/>
        </w:numPr>
        <w:spacing w:line="360" w:lineRule="auto"/>
        <w:contextualSpacing/>
        <w:jc w:val="both"/>
        <w:rPr>
          <w:rFonts w:ascii="Palatino Linotype" w:hAnsi="Palatino Linotype"/>
          <w:b/>
          <w:bCs/>
          <w:color w:val="000000"/>
          <w:sz w:val="22"/>
          <w:szCs w:val="22"/>
          <w:shd w:val="clear" w:color="auto" w:fill="FFFFFF"/>
        </w:rPr>
      </w:pPr>
      <w:r w:rsidRPr="00222027">
        <w:rPr>
          <w:rFonts w:ascii="Palatino Linotype" w:hAnsi="Palatino Linotype"/>
          <w:b/>
          <w:bCs/>
          <w:color w:val="000000"/>
          <w:sz w:val="22"/>
          <w:szCs w:val="22"/>
          <w:shd w:val="clear" w:color="auto" w:fill="FFFFFF"/>
        </w:rPr>
        <w:t xml:space="preserve">Póliza de Egresos: </w:t>
      </w:r>
      <w:r w:rsidRPr="00222027">
        <w:rPr>
          <w:rFonts w:ascii="Palatino Linotype" w:hAnsi="Palatino Linotype"/>
          <w:bCs/>
          <w:color w:val="000000"/>
          <w:sz w:val="22"/>
          <w:szCs w:val="22"/>
          <w:shd w:val="clear" w:color="auto" w:fill="FFFFFF"/>
        </w:rPr>
        <w:t>Corresponde a aquella donde se anotan las operaciones que implique egresos, es decir, la salida de dinero, en efectivo o transferencia, para el municipio.</w:t>
      </w:r>
    </w:p>
    <w:p w14:paraId="3D05E90F" w14:textId="77777777" w:rsidR="003126B4" w:rsidRPr="00222027" w:rsidRDefault="003126B4" w:rsidP="003126B4">
      <w:pPr>
        <w:spacing w:line="360" w:lineRule="auto"/>
        <w:contextualSpacing/>
        <w:jc w:val="both"/>
        <w:rPr>
          <w:rFonts w:ascii="Palatino Linotype" w:hAnsi="Palatino Linotype"/>
          <w:b/>
          <w:bCs/>
          <w:color w:val="000000"/>
          <w:sz w:val="22"/>
          <w:szCs w:val="22"/>
          <w:shd w:val="clear" w:color="auto" w:fill="FFFFFF"/>
        </w:rPr>
      </w:pPr>
      <w:r w:rsidRPr="00222027">
        <w:rPr>
          <w:rFonts w:ascii="Palatino Linotype" w:hAnsi="Palatino Linotype"/>
          <w:b/>
          <w:bCs/>
          <w:color w:val="000000"/>
          <w:sz w:val="22"/>
          <w:szCs w:val="22"/>
          <w:shd w:val="clear" w:color="auto" w:fill="FFFFFF"/>
        </w:rPr>
        <w:t xml:space="preserve"> </w:t>
      </w:r>
    </w:p>
    <w:p w14:paraId="26CAAF74" w14:textId="77777777" w:rsidR="003126B4" w:rsidRPr="00222027" w:rsidRDefault="003126B4" w:rsidP="003126B4">
      <w:pPr>
        <w:numPr>
          <w:ilvl w:val="0"/>
          <w:numId w:val="2"/>
        </w:numPr>
        <w:spacing w:line="360" w:lineRule="auto"/>
        <w:contextualSpacing/>
        <w:jc w:val="both"/>
        <w:rPr>
          <w:rFonts w:ascii="Palatino Linotype" w:hAnsi="Palatino Linotype"/>
          <w:b/>
          <w:bCs/>
          <w:color w:val="000000"/>
          <w:sz w:val="22"/>
          <w:szCs w:val="22"/>
          <w:shd w:val="clear" w:color="auto" w:fill="FFFFFF"/>
        </w:rPr>
      </w:pPr>
      <w:r w:rsidRPr="00222027">
        <w:rPr>
          <w:rFonts w:ascii="Palatino Linotype" w:hAnsi="Palatino Linotype"/>
          <w:b/>
          <w:bCs/>
          <w:color w:val="000000"/>
          <w:sz w:val="22"/>
          <w:szCs w:val="22"/>
          <w:shd w:val="clear" w:color="auto" w:fill="FFFFFF"/>
        </w:rPr>
        <w:t xml:space="preserve">Póliza Cheque: </w:t>
      </w:r>
      <w:r w:rsidRPr="00222027">
        <w:rPr>
          <w:rFonts w:ascii="Palatino Linotype" w:hAnsi="Palatino Linotype"/>
          <w:bCs/>
          <w:color w:val="000000"/>
          <w:sz w:val="22"/>
          <w:szCs w:val="22"/>
          <w:shd w:val="clear" w:color="auto" w:fill="FFFFFF"/>
        </w:rPr>
        <w:t>Es la que se elabora cuando la operación implique una salida de dinero del municipio, a través de un cheque.</w:t>
      </w:r>
    </w:p>
    <w:p w14:paraId="48B9C829" w14:textId="77777777" w:rsidR="003126B4" w:rsidRPr="00222027" w:rsidRDefault="003126B4" w:rsidP="003126B4">
      <w:pPr>
        <w:spacing w:line="360" w:lineRule="auto"/>
        <w:contextualSpacing/>
        <w:jc w:val="both"/>
        <w:rPr>
          <w:rFonts w:ascii="Palatino Linotype" w:hAnsi="Palatino Linotype"/>
          <w:color w:val="000000"/>
          <w:sz w:val="22"/>
          <w:szCs w:val="22"/>
          <w:shd w:val="clear" w:color="auto" w:fill="FFFFFF"/>
        </w:rPr>
      </w:pPr>
      <w:r w:rsidRPr="00222027">
        <w:rPr>
          <w:rFonts w:ascii="Palatino Linotype" w:hAnsi="Palatino Linotype"/>
          <w:color w:val="000000"/>
          <w:sz w:val="22"/>
          <w:szCs w:val="22"/>
          <w:shd w:val="clear" w:color="auto" w:fill="FFFFFF"/>
        </w:rPr>
        <w:t xml:space="preserve"> </w:t>
      </w:r>
    </w:p>
    <w:p w14:paraId="1A40B0A0"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r w:rsidRPr="00222027">
        <w:rPr>
          <w:rFonts w:ascii="Palatino Linotype" w:eastAsia="Calibri" w:hAnsi="Palatino Linotype" w:cs="Tahoma"/>
          <w:bCs/>
          <w:sz w:val="22"/>
          <w:szCs w:val="22"/>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 en el Módulo 1, se advierte que se encuentran Póliza de Egresos y Póliza Cheque, con los documentos comprobatorios.</w:t>
      </w:r>
    </w:p>
    <w:p w14:paraId="3EC4BAE6"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1C42DC0E"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r w:rsidRPr="00222027">
        <w:rPr>
          <w:rFonts w:ascii="Palatino Linotype" w:eastAsia="Calibri" w:hAnsi="Palatino Linotype" w:cs="Tahoma"/>
          <w:bCs/>
          <w:sz w:val="22"/>
          <w:szCs w:val="22"/>
        </w:rPr>
        <w:t xml:space="preserve">Además, se precisa que dichos documentos deberán contener las imágenes de la documentación comprobatoria y justificativa de los egresos y de las respectivas pólizas, los cuales incluyen los Comprobantes Fiscales Digitales por Internet, facturas o recibos. </w:t>
      </w:r>
    </w:p>
    <w:p w14:paraId="4C00B809"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52A11EE4" w14:textId="77777777" w:rsidR="003126B4" w:rsidRPr="00222027" w:rsidRDefault="003126B4" w:rsidP="003126B4">
      <w:pPr>
        <w:spacing w:line="360" w:lineRule="auto"/>
        <w:contextualSpacing/>
        <w:jc w:val="both"/>
        <w:rPr>
          <w:rFonts w:ascii="Palatino Linotype" w:eastAsia="Calibri" w:hAnsi="Palatino Linotype" w:cs="Tahoma"/>
          <w:sz w:val="22"/>
          <w:szCs w:val="22"/>
        </w:rPr>
      </w:pPr>
      <w:r w:rsidRPr="00222027">
        <w:rPr>
          <w:rFonts w:ascii="Palatino Linotype" w:eastAsia="Calibri" w:hAnsi="Palatino Linotype" w:cs="Tahoma"/>
          <w:sz w:val="22"/>
          <w:szCs w:val="22"/>
        </w:rPr>
        <w:t>Ahora bien, la Resolución Miscelánea Fiscal para el 2024,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29FB24FF" w14:textId="77777777" w:rsidR="003126B4" w:rsidRPr="00222027" w:rsidRDefault="003126B4" w:rsidP="003126B4">
      <w:pPr>
        <w:tabs>
          <w:tab w:val="left" w:pos="4962"/>
        </w:tabs>
        <w:spacing w:line="360" w:lineRule="auto"/>
        <w:contextualSpacing/>
        <w:jc w:val="both"/>
        <w:rPr>
          <w:rFonts w:ascii="Palatino Linotype" w:hAnsi="Palatino Linotype" w:cs="Tahoma"/>
          <w:sz w:val="22"/>
          <w:szCs w:val="22"/>
          <w:lang w:val="es-ES"/>
        </w:rPr>
      </w:pPr>
      <w:r w:rsidRPr="00222027">
        <w:rPr>
          <w:rFonts w:ascii="Palatino Linotype" w:hAnsi="Palatino Linotype" w:cs="Tahoma"/>
          <w:bCs/>
          <w:iCs/>
          <w:sz w:val="22"/>
          <w:szCs w:val="22"/>
          <w:lang w:val="es-ES"/>
        </w:rPr>
        <w:lastRenderedPageBreak/>
        <w:t xml:space="preserve">En este contexto, </w:t>
      </w:r>
      <w:r w:rsidR="00C44502" w:rsidRPr="00222027">
        <w:rPr>
          <w:rFonts w:ascii="Palatino Linotype" w:hAnsi="Palatino Linotype" w:cs="Tahoma"/>
          <w:bCs/>
          <w:iCs/>
          <w:sz w:val="22"/>
          <w:szCs w:val="22"/>
          <w:lang w:val="es-ES"/>
        </w:rPr>
        <w:t>el artículo 124 de la Constitución Política del Estado de México establece, que los ayuntamientos expedirán el bando municipal, que será publicado y promulgado el cinco de febrero de cada año, y todas las normas necesarias para su organización y funcionamiento, conforme a las previsiones de la Constitución General de la República, de la propia constitución, la Ley Orgánica Municipal, y las normas aplicables.</w:t>
      </w:r>
    </w:p>
    <w:p w14:paraId="22C708AE" w14:textId="77777777" w:rsidR="003126B4" w:rsidRPr="00222027" w:rsidRDefault="003126B4" w:rsidP="003126B4">
      <w:pPr>
        <w:tabs>
          <w:tab w:val="left" w:pos="4962"/>
        </w:tabs>
        <w:spacing w:line="360" w:lineRule="auto"/>
        <w:contextualSpacing/>
        <w:jc w:val="both"/>
        <w:rPr>
          <w:rFonts w:ascii="Palatino Linotype" w:eastAsia="Calibri" w:hAnsi="Palatino Linotype" w:cs="Tahoma"/>
          <w:bCs/>
          <w:sz w:val="22"/>
          <w:szCs w:val="22"/>
        </w:rPr>
      </w:pPr>
    </w:p>
    <w:p w14:paraId="48A4BDF9" w14:textId="77AFA316" w:rsidR="003126B4" w:rsidRPr="00222027" w:rsidRDefault="003126B4" w:rsidP="003126B4">
      <w:pPr>
        <w:tabs>
          <w:tab w:val="left" w:pos="4962"/>
        </w:tabs>
        <w:spacing w:line="360" w:lineRule="auto"/>
        <w:contextualSpacing/>
        <w:jc w:val="both"/>
        <w:rPr>
          <w:rFonts w:ascii="Palatino Linotype" w:eastAsia="Calibri" w:hAnsi="Palatino Linotype" w:cs="Tahoma"/>
          <w:bCs/>
          <w:sz w:val="22"/>
          <w:szCs w:val="22"/>
          <w:lang w:val="es-ES"/>
        </w:rPr>
      </w:pPr>
      <w:r w:rsidRPr="00222027">
        <w:rPr>
          <w:rFonts w:ascii="Palatino Linotype" w:eastAsia="Calibri" w:hAnsi="Palatino Linotype" w:cs="Tahoma"/>
          <w:bCs/>
          <w:sz w:val="22"/>
          <w:szCs w:val="22"/>
          <w:lang w:val="es-ES"/>
        </w:rPr>
        <w:t>En ese orden d</w:t>
      </w:r>
      <w:r w:rsidR="00C44502" w:rsidRPr="00222027">
        <w:rPr>
          <w:rFonts w:ascii="Palatino Linotype" w:eastAsia="Calibri" w:hAnsi="Palatino Linotype" w:cs="Tahoma"/>
          <w:bCs/>
          <w:sz w:val="22"/>
          <w:szCs w:val="22"/>
          <w:lang w:val="es-ES"/>
        </w:rPr>
        <w:t xml:space="preserve">e ideas, </w:t>
      </w:r>
      <w:r w:rsidR="004D31E1" w:rsidRPr="00222027">
        <w:rPr>
          <w:rFonts w:ascii="Palatino Linotype" w:eastAsia="Calibri" w:hAnsi="Palatino Linotype" w:cs="Tahoma"/>
          <w:bCs/>
          <w:sz w:val="22"/>
          <w:szCs w:val="22"/>
          <w:lang w:val="es-ES"/>
        </w:rPr>
        <w:t>resulta importante traer a estudio los</w:t>
      </w:r>
      <w:r w:rsidR="00C44502" w:rsidRPr="00222027">
        <w:rPr>
          <w:rFonts w:ascii="Palatino Linotype" w:eastAsia="Calibri" w:hAnsi="Palatino Linotype" w:cs="Tahoma"/>
          <w:bCs/>
          <w:sz w:val="22"/>
          <w:szCs w:val="22"/>
          <w:lang w:val="es-ES"/>
        </w:rPr>
        <w:t xml:space="preserve"> artículo</w:t>
      </w:r>
      <w:r w:rsidR="004D31E1" w:rsidRPr="00222027">
        <w:rPr>
          <w:rFonts w:ascii="Palatino Linotype" w:eastAsia="Calibri" w:hAnsi="Palatino Linotype" w:cs="Tahoma"/>
          <w:bCs/>
          <w:sz w:val="22"/>
          <w:szCs w:val="22"/>
          <w:lang w:val="es-ES"/>
        </w:rPr>
        <w:t>s</w:t>
      </w:r>
      <w:r w:rsidR="00C44502" w:rsidRPr="00222027">
        <w:rPr>
          <w:rFonts w:ascii="Palatino Linotype" w:eastAsia="Calibri" w:hAnsi="Palatino Linotype" w:cs="Tahoma"/>
          <w:bCs/>
          <w:sz w:val="22"/>
          <w:szCs w:val="22"/>
          <w:lang w:val="es-ES"/>
        </w:rPr>
        <w:t xml:space="preserve"> 31</w:t>
      </w:r>
      <w:r w:rsidR="004D31E1" w:rsidRPr="00222027">
        <w:rPr>
          <w:rFonts w:ascii="Palatino Linotype" w:eastAsia="Calibri" w:hAnsi="Palatino Linotype" w:cs="Tahoma"/>
          <w:bCs/>
          <w:sz w:val="22"/>
          <w:szCs w:val="22"/>
          <w:lang w:val="es-ES"/>
        </w:rPr>
        <w:t xml:space="preserve">, 48 </w:t>
      </w:r>
      <w:proofErr w:type="gramStart"/>
      <w:r w:rsidR="004D31E1" w:rsidRPr="00222027">
        <w:rPr>
          <w:rFonts w:ascii="Palatino Linotype" w:eastAsia="Calibri" w:hAnsi="Palatino Linotype" w:cs="Tahoma"/>
          <w:bCs/>
          <w:sz w:val="22"/>
          <w:szCs w:val="22"/>
          <w:lang w:val="es-ES"/>
        </w:rPr>
        <w:t>fracción</w:t>
      </w:r>
      <w:proofErr w:type="gramEnd"/>
      <w:r w:rsidR="004D31E1" w:rsidRPr="00222027">
        <w:rPr>
          <w:rFonts w:ascii="Palatino Linotype" w:eastAsia="Calibri" w:hAnsi="Palatino Linotype" w:cs="Tahoma"/>
          <w:bCs/>
          <w:sz w:val="22"/>
          <w:szCs w:val="22"/>
          <w:lang w:val="es-ES"/>
        </w:rPr>
        <w:t xml:space="preserve"> III, 160 y 165</w:t>
      </w:r>
      <w:r w:rsidRPr="00222027">
        <w:rPr>
          <w:rFonts w:ascii="Palatino Linotype" w:eastAsia="Calibri" w:hAnsi="Palatino Linotype" w:cs="Tahoma"/>
          <w:bCs/>
          <w:sz w:val="22"/>
          <w:szCs w:val="22"/>
          <w:lang w:val="es-ES"/>
        </w:rPr>
        <w:t xml:space="preserve"> de la Ley </w:t>
      </w:r>
      <w:r w:rsidR="00C44502" w:rsidRPr="00222027">
        <w:rPr>
          <w:rFonts w:ascii="Palatino Linotype" w:eastAsia="Calibri" w:hAnsi="Palatino Linotype" w:cs="Tahoma"/>
          <w:bCs/>
          <w:sz w:val="22"/>
          <w:szCs w:val="22"/>
          <w:lang w:val="es-ES"/>
        </w:rPr>
        <w:t>Orgánica Municipal del Estado de México</w:t>
      </w:r>
      <w:r w:rsidRPr="00222027">
        <w:rPr>
          <w:rFonts w:ascii="Palatino Linotype" w:eastAsia="Calibri" w:hAnsi="Palatino Linotype" w:cs="Tahoma"/>
          <w:bCs/>
          <w:sz w:val="22"/>
          <w:szCs w:val="22"/>
          <w:lang w:val="es-ES"/>
        </w:rPr>
        <w:t xml:space="preserve">, </w:t>
      </w:r>
      <w:r w:rsidR="004D31E1" w:rsidRPr="00222027">
        <w:rPr>
          <w:rFonts w:ascii="Palatino Linotype" w:eastAsia="Calibri" w:hAnsi="Palatino Linotype" w:cs="Tahoma"/>
          <w:bCs/>
          <w:sz w:val="22"/>
          <w:szCs w:val="22"/>
          <w:lang w:val="es-ES"/>
        </w:rPr>
        <w:t xml:space="preserve">los cuales </w:t>
      </w:r>
      <w:r w:rsidR="00C44502" w:rsidRPr="00222027">
        <w:rPr>
          <w:rFonts w:ascii="Palatino Linotype" w:eastAsia="Calibri" w:hAnsi="Palatino Linotype" w:cs="Tahoma"/>
          <w:bCs/>
          <w:sz w:val="22"/>
          <w:szCs w:val="22"/>
          <w:lang w:val="es-ES"/>
        </w:rPr>
        <w:t>establece</w:t>
      </w:r>
      <w:r w:rsidR="004D31E1" w:rsidRPr="00222027">
        <w:rPr>
          <w:rFonts w:ascii="Palatino Linotype" w:eastAsia="Calibri" w:hAnsi="Palatino Linotype" w:cs="Tahoma"/>
          <w:bCs/>
          <w:sz w:val="22"/>
          <w:szCs w:val="22"/>
          <w:lang w:val="es-ES"/>
        </w:rPr>
        <w:t xml:space="preserve">n, que los </w:t>
      </w:r>
      <w:r w:rsidR="00C81465" w:rsidRPr="00222027">
        <w:rPr>
          <w:rFonts w:ascii="Palatino Linotype" w:eastAsia="Calibri" w:hAnsi="Palatino Linotype" w:cs="Tahoma"/>
          <w:bCs/>
          <w:sz w:val="22"/>
          <w:szCs w:val="22"/>
          <w:lang w:val="es-ES"/>
        </w:rPr>
        <w:t>A</w:t>
      </w:r>
      <w:r w:rsidR="004D31E1" w:rsidRPr="00222027">
        <w:rPr>
          <w:rFonts w:ascii="Palatino Linotype" w:eastAsia="Calibri" w:hAnsi="Palatino Linotype" w:cs="Tahoma"/>
          <w:bCs/>
          <w:sz w:val="22"/>
          <w:szCs w:val="22"/>
          <w:lang w:val="es-ES"/>
        </w:rPr>
        <w:t xml:space="preserve">yuntamientos contarán con diversas atribuciones </w:t>
      </w:r>
      <w:r w:rsidR="00C81465" w:rsidRPr="00222027">
        <w:rPr>
          <w:rFonts w:ascii="Palatino Linotype" w:eastAsia="Calibri" w:hAnsi="Palatino Linotype" w:cs="Tahoma"/>
          <w:bCs/>
          <w:sz w:val="22"/>
          <w:szCs w:val="22"/>
          <w:lang w:val="es-ES"/>
        </w:rPr>
        <w:t>entre las cuales se encuentra expedir</w:t>
      </w:r>
      <w:r w:rsidR="004D31E1" w:rsidRPr="00222027">
        <w:rPr>
          <w:rFonts w:ascii="Palatino Linotype" w:hAnsi="Palatino Linotype"/>
          <w:sz w:val="22"/>
          <w:szCs w:val="22"/>
        </w:rPr>
        <w:t xml:space="preserve"> y reformar el Bando Municipal</w:t>
      </w:r>
      <w:r w:rsidR="00C81465" w:rsidRPr="00222027">
        <w:rPr>
          <w:rFonts w:ascii="Palatino Linotype" w:hAnsi="Palatino Linotype"/>
          <w:sz w:val="22"/>
          <w:szCs w:val="22"/>
        </w:rPr>
        <w:t>.</w:t>
      </w:r>
    </w:p>
    <w:p w14:paraId="7318CD39" w14:textId="77777777" w:rsidR="004D31E1" w:rsidRPr="00222027" w:rsidRDefault="004D31E1" w:rsidP="003126B4">
      <w:pPr>
        <w:tabs>
          <w:tab w:val="left" w:pos="4962"/>
        </w:tabs>
        <w:spacing w:line="360" w:lineRule="auto"/>
        <w:contextualSpacing/>
        <w:jc w:val="both"/>
        <w:rPr>
          <w:rFonts w:ascii="Palatino Linotype" w:eastAsia="Calibri" w:hAnsi="Palatino Linotype" w:cs="Tahoma"/>
          <w:bCs/>
          <w:sz w:val="22"/>
          <w:szCs w:val="22"/>
          <w:lang w:val="es-ES"/>
        </w:rPr>
      </w:pPr>
    </w:p>
    <w:p w14:paraId="198606C2" w14:textId="2D54B5F8" w:rsidR="004D31E1" w:rsidRPr="00222027" w:rsidRDefault="00C81465" w:rsidP="003126B4">
      <w:pPr>
        <w:tabs>
          <w:tab w:val="left" w:pos="4962"/>
        </w:tabs>
        <w:spacing w:line="360" w:lineRule="auto"/>
        <w:contextualSpacing/>
        <w:jc w:val="both"/>
        <w:rPr>
          <w:rFonts w:ascii="Palatino Linotype" w:hAnsi="Palatino Linotype"/>
          <w:sz w:val="22"/>
          <w:szCs w:val="22"/>
        </w:rPr>
      </w:pPr>
      <w:r w:rsidRPr="00222027">
        <w:rPr>
          <w:rFonts w:ascii="Palatino Linotype" w:eastAsia="Calibri" w:hAnsi="Palatino Linotype" w:cs="Tahoma"/>
          <w:bCs/>
          <w:sz w:val="22"/>
          <w:szCs w:val="22"/>
          <w:lang w:val="es-ES"/>
        </w:rPr>
        <w:t>Para lo cual, el o la Titular de la Presidencia Municipal</w:t>
      </w:r>
      <w:r w:rsidR="004D31E1" w:rsidRPr="00222027">
        <w:rPr>
          <w:rFonts w:ascii="Palatino Linotype" w:eastAsia="Calibri" w:hAnsi="Palatino Linotype" w:cs="Tahoma"/>
          <w:bCs/>
          <w:sz w:val="22"/>
          <w:szCs w:val="22"/>
          <w:lang w:val="es-ES"/>
        </w:rPr>
        <w:t xml:space="preserve"> en el ejercicio de sus funciones, contará con diversas atribuciones</w:t>
      </w:r>
      <w:r w:rsidRPr="00222027">
        <w:rPr>
          <w:rFonts w:ascii="Palatino Linotype" w:eastAsia="Calibri" w:hAnsi="Palatino Linotype" w:cs="Tahoma"/>
          <w:bCs/>
          <w:sz w:val="22"/>
          <w:szCs w:val="22"/>
          <w:lang w:val="es-ES"/>
        </w:rPr>
        <w:t>, entre las cuales se encuentra p</w:t>
      </w:r>
      <w:proofErr w:type="spellStart"/>
      <w:r w:rsidR="004D31E1" w:rsidRPr="00222027">
        <w:rPr>
          <w:rFonts w:ascii="Palatino Linotype" w:hAnsi="Palatino Linotype"/>
          <w:sz w:val="22"/>
          <w:szCs w:val="22"/>
        </w:rPr>
        <w:t>romulgar</w:t>
      </w:r>
      <w:proofErr w:type="spellEnd"/>
      <w:r w:rsidR="004D31E1" w:rsidRPr="00222027">
        <w:rPr>
          <w:rFonts w:ascii="Palatino Linotype" w:hAnsi="Palatino Linotype"/>
          <w:sz w:val="22"/>
          <w:szCs w:val="22"/>
        </w:rPr>
        <w:t xml:space="preserve"> y publicar el Bando Municipal</w:t>
      </w:r>
      <w:r w:rsidR="007949C6" w:rsidRPr="00222027">
        <w:rPr>
          <w:rFonts w:ascii="Palatino Linotype" w:hAnsi="Palatino Linotype"/>
          <w:sz w:val="22"/>
          <w:szCs w:val="22"/>
        </w:rPr>
        <w:t>.</w:t>
      </w:r>
    </w:p>
    <w:p w14:paraId="45BE0E7A"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273E3B88" w14:textId="0C7CB3CF" w:rsidR="003126B4" w:rsidRPr="00222027" w:rsidRDefault="003126B4" w:rsidP="003126B4">
      <w:pPr>
        <w:spacing w:line="360" w:lineRule="auto"/>
        <w:contextualSpacing/>
        <w:jc w:val="both"/>
        <w:rPr>
          <w:rFonts w:ascii="Palatino Linotype" w:eastAsia="Calibri" w:hAnsi="Palatino Linotype" w:cs="Tahoma"/>
          <w:bCs/>
          <w:sz w:val="22"/>
          <w:szCs w:val="22"/>
        </w:rPr>
      </w:pPr>
      <w:r w:rsidRPr="00222027">
        <w:rPr>
          <w:rFonts w:ascii="Palatino Linotype" w:eastAsia="Calibri" w:hAnsi="Palatino Linotype" w:cs="Tahoma"/>
          <w:bCs/>
          <w:sz w:val="22"/>
          <w:szCs w:val="22"/>
        </w:rPr>
        <w:t>En ese sentido, este Instituto localizó</w:t>
      </w:r>
      <w:r w:rsidR="003C39EC" w:rsidRPr="00222027">
        <w:rPr>
          <w:rFonts w:ascii="Palatino Linotype" w:eastAsia="Calibri" w:hAnsi="Palatino Linotype" w:cs="Tahoma"/>
          <w:bCs/>
          <w:sz w:val="22"/>
          <w:szCs w:val="22"/>
        </w:rPr>
        <w:t xml:space="preserve"> que el Ayuntamiento de Temamatla promulgó y publicó el </w:t>
      </w:r>
      <w:r w:rsidR="00C81465" w:rsidRPr="00222027">
        <w:rPr>
          <w:rFonts w:ascii="Palatino Linotype" w:eastAsia="Calibri" w:hAnsi="Palatino Linotype" w:cs="Tahoma"/>
          <w:bCs/>
          <w:sz w:val="22"/>
          <w:szCs w:val="22"/>
        </w:rPr>
        <w:t>Bando Municipal de Policía y Gobierno,</w:t>
      </w:r>
      <w:r w:rsidR="003C39EC" w:rsidRPr="00222027">
        <w:rPr>
          <w:rFonts w:ascii="Palatino Linotype" w:eastAsia="Calibri" w:hAnsi="Palatino Linotype" w:cs="Tahoma"/>
          <w:bCs/>
          <w:sz w:val="22"/>
          <w:szCs w:val="22"/>
        </w:rPr>
        <w:t xml:space="preserve"> para los ejercicios fiscales, dos mil veintidós, dos mil veintitrés</w:t>
      </w:r>
      <w:r w:rsidR="002E2618" w:rsidRPr="00222027">
        <w:rPr>
          <w:rFonts w:ascii="Palatino Linotype" w:eastAsia="Calibri" w:hAnsi="Palatino Linotype" w:cs="Tahoma"/>
          <w:bCs/>
          <w:sz w:val="22"/>
          <w:szCs w:val="22"/>
        </w:rPr>
        <w:t xml:space="preserve">, y </w:t>
      </w:r>
      <w:r w:rsidR="003C39EC" w:rsidRPr="00222027">
        <w:rPr>
          <w:rFonts w:ascii="Palatino Linotype" w:eastAsia="Calibri" w:hAnsi="Palatino Linotype" w:cs="Tahoma"/>
          <w:bCs/>
          <w:sz w:val="22"/>
          <w:szCs w:val="22"/>
        </w:rPr>
        <w:t>dos mil veinticuatro</w:t>
      </w:r>
      <w:r w:rsidRPr="00222027">
        <w:rPr>
          <w:rFonts w:ascii="Palatino Linotype" w:eastAsia="Calibri" w:hAnsi="Palatino Linotype" w:cs="Tahoma"/>
          <w:bCs/>
          <w:sz w:val="22"/>
          <w:szCs w:val="22"/>
        </w:rPr>
        <w:t>, tal como se muestra a continuación:</w:t>
      </w:r>
    </w:p>
    <w:p w14:paraId="197EA8C0"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622044C0" w14:textId="77777777" w:rsidR="00C81465" w:rsidRPr="00222027" w:rsidRDefault="002E2618" w:rsidP="002E2618">
      <w:pPr>
        <w:spacing w:line="360" w:lineRule="auto"/>
        <w:contextualSpacing/>
        <w:jc w:val="center"/>
        <w:rPr>
          <w:rFonts w:ascii="Palatino Linotype" w:eastAsia="Calibri" w:hAnsi="Palatino Linotype" w:cs="Tahoma"/>
          <w:bCs/>
          <w:sz w:val="22"/>
          <w:szCs w:val="22"/>
        </w:rPr>
      </w:pPr>
      <w:r w:rsidRPr="00222027">
        <w:rPr>
          <w:rFonts w:ascii="Palatino Linotype" w:eastAsia="Calibri" w:hAnsi="Palatino Linotype" w:cs="Tahoma"/>
          <w:bCs/>
          <w:noProof/>
          <w:sz w:val="22"/>
          <w:szCs w:val="22"/>
          <w:lang w:eastAsia="es-MX"/>
        </w:rPr>
        <w:drawing>
          <wp:inline distT="0" distB="0" distL="0" distR="0" wp14:anchorId="51D48A3E" wp14:editId="61C85A11">
            <wp:extent cx="2486025" cy="216962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057" cy="2180995"/>
                    </a:xfrm>
                    <a:prstGeom prst="rect">
                      <a:avLst/>
                    </a:prstGeom>
                    <a:noFill/>
                  </pic:spPr>
                </pic:pic>
              </a:graphicData>
            </a:graphic>
          </wp:inline>
        </w:drawing>
      </w:r>
      <w:r w:rsidRPr="00222027">
        <w:rPr>
          <w:rFonts w:ascii="Palatino Linotype" w:eastAsia="Calibri" w:hAnsi="Palatino Linotype" w:cs="Tahoma"/>
          <w:bCs/>
          <w:noProof/>
          <w:sz w:val="22"/>
          <w:szCs w:val="22"/>
          <w:lang w:eastAsia="es-MX"/>
        </w:rPr>
        <w:drawing>
          <wp:inline distT="0" distB="0" distL="0" distR="0" wp14:anchorId="5E342D71" wp14:editId="12C03E24">
            <wp:extent cx="3048000" cy="217043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70430"/>
                    </a:xfrm>
                    <a:prstGeom prst="rect">
                      <a:avLst/>
                    </a:prstGeom>
                    <a:noFill/>
                  </pic:spPr>
                </pic:pic>
              </a:graphicData>
            </a:graphic>
          </wp:inline>
        </w:drawing>
      </w:r>
    </w:p>
    <w:p w14:paraId="2B1C8726" w14:textId="270ABDCE" w:rsidR="003126B4" w:rsidRPr="00222027" w:rsidRDefault="002E2618" w:rsidP="002E2618">
      <w:pPr>
        <w:spacing w:line="360" w:lineRule="auto"/>
        <w:contextualSpacing/>
        <w:jc w:val="center"/>
        <w:rPr>
          <w:rFonts w:ascii="Palatino Linotype" w:eastAsia="Calibri" w:hAnsi="Palatino Linotype" w:cs="Tahoma"/>
          <w:bCs/>
          <w:sz w:val="22"/>
          <w:szCs w:val="22"/>
        </w:rPr>
      </w:pPr>
      <w:r w:rsidRPr="00222027">
        <w:rPr>
          <w:noProof/>
          <w:lang w:eastAsia="es-MX"/>
        </w:rPr>
        <w:lastRenderedPageBreak/>
        <w:drawing>
          <wp:inline distT="0" distB="0" distL="0" distR="0" wp14:anchorId="741CA8BE" wp14:editId="0A826DAC">
            <wp:extent cx="3078480" cy="208470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2084705"/>
                    </a:xfrm>
                    <a:prstGeom prst="rect">
                      <a:avLst/>
                    </a:prstGeom>
                    <a:noFill/>
                  </pic:spPr>
                </pic:pic>
              </a:graphicData>
            </a:graphic>
          </wp:inline>
        </w:drawing>
      </w:r>
    </w:p>
    <w:p w14:paraId="00797588"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4E9E82C6" w14:textId="079EFE90" w:rsidR="003126B4" w:rsidRPr="00222027" w:rsidRDefault="003126B4" w:rsidP="003126B4">
      <w:pPr>
        <w:tabs>
          <w:tab w:val="left" w:pos="4962"/>
        </w:tabs>
        <w:spacing w:line="360" w:lineRule="auto"/>
        <w:ind w:right="-28"/>
        <w:contextualSpacing/>
        <w:jc w:val="both"/>
        <w:rPr>
          <w:rFonts w:ascii="Palatino Linotype" w:eastAsia="Calibri" w:hAnsi="Palatino Linotype" w:cs="Tahoma"/>
          <w:bCs/>
          <w:sz w:val="22"/>
          <w:szCs w:val="22"/>
        </w:rPr>
      </w:pPr>
      <w:r w:rsidRPr="00222027">
        <w:rPr>
          <w:rFonts w:ascii="Palatino Linotype" w:eastAsia="Calibri" w:hAnsi="Palatino Linotype" w:cs="Tahoma"/>
          <w:bCs/>
          <w:sz w:val="22"/>
          <w:szCs w:val="22"/>
        </w:rPr>
        <w:t>Conforme a lo anterior, se logra vislumbrar que el Sujeto Obligado cuenta con competencia para proporcionar lo peticionado</w:t>
      </w:r>
      <w:r w:rsidR="002E2618" w:rsidRPr="00222027">
        <w:rPr>
          <w:rFonts w:ascii="Palatino Linotype" w:eastAsia="Calibri" w:hAnsi="Palatino Linotype" w:cs="Tahoma"/>
          <w:bCs/>
          <w:sz w:val="22"/>
          <w:szCs w:val="22"/>
        </w:rPr>
        <w:t xml:space="preserve">, ya que emitió </w:t>
      </w:r>
      <w:r w:rsidRPr="00222027">
        <w:rPr>
          <w:rFonts w:ascii="Palatino Linotype" w:eastAsia="Calibri" w:hAnsi="Palatino Linotype" w:cs="Tahoma"/>
          <w:bCs/>
          <w:sz w:val="22"/>
          <w:szCs w:val="22"/>
        </w:rPr>
        <w:t>l</w:t>
      </w:r>
      <w:r w:rsidR="002E2618" w:rsidRPr="00222027">
        <w:rPr>
          <w:rFonts w:ascii="Palatino Linotype" w:eastAsia="Calibri" w:hAnsi="Palatino Linotype" w:cs="Tahoma"/>
          <w:bCs/>
          <w:sz w:val="22"/>
          <w:szCs w:val="22"/>
        </w:rPr>
        <w:t>os</w:t>
      </w:r>
      <w:r w:rsidRPr="00222027">
        <w:rPr>
          <w:rFonts w:ascii="Palatino Linotype" w:eastAsia="Calibri" w:hAnsi="Palatino Linotype" w:cs="Tahoma"/>
          <w:bCs/>
          <w:sz w:val="22"/>
          <w:szCs w:val="22"/>
        </w:rPr>
        <w:t xml:space="preserve"> documento</w:t>
      </w:r>
      <w:r w:rsidR="002E2618" w:rsidRPr="00222027">
        <w:rPr>
          <w:rFonts w:ascii="Palatino Linotype" w:eastAsia="Calibri" w:hAnsi="Palatino Linotype" w:cs="Tahoma"/>
          <w:bCs/>
          <w:sz w:val="22"/>
          <w:szCs w:val="22"/>
        </w:rPr>
        <w:t>s</w:t>
      </w:r>
      <w:r w:rsidRPr="00222027">
        <w:rPr>
          <w:rFonts w:ascii="Palatino Linotype" w:eastAsia="Calibri" w:hAnsi="Palatino Linotype" w:cs="Tahoma"/>
          <w:bCs/>
          <w:sz w:val="22"/>
          <w:szCs w:val="22"/>
        </w:rPr>
        <w:t xml:space="preserve"> de</w:t>
      </w:r>
      <w:r w:rsidR="002E2618" w:rsidRPr="00222027">
        <w:rPr>
          <w:rFonts w:ascii="Palatino Linotype" w:eastAsia="Calibri" w:hAnsi="Palatino Linotype" w:cs="Tahoma"/>
          <w:bCs/>
          <w:sz w:val="22"/>
          <w:szCs w:val="22"/>
        </w:rPr>
        <w:t xml:space="preserve"> </w:t>
      </w:r>
      <w:r w:rsidRPr="00222027">
        <w:rPr>
          <w:rFonts w:ascii="Palatino Linotype" w:eastAsia="Calibri" w:hAnsi="Palatino Linotype" w:cs="Tahoma"/>
          <w:bCs/>
          <w:sz w:val="22"/>
          <w:szCs w:val="22"/>
        </w:rPr>
        <w:t>l</w:t>
      </w:r>
      <w:r w:rsidR="002E2618" w:rsidRPr="00222027">
        <w:rPr>
          <w:rFonts w:ascii="Palatino Linotype" w:eastAsia="Calibri" w:hAnsi="Palatino Linotype" w:cs="Tahoma"/>
          <w:bCs/>
          <w:sz w:val="22"/>
          <w:szCs w:val="22"/>
        </w:rPr>
        <w:t>os</w:t>
      </w:r>
      <w:r w:rsidRPr="00222027">
        <w:rPr>
          <w:rFonts w:ascii="Palatino Linotype" w:eastAsia="Calibri" w:hAnsi="Palatino Linotype" w:cs="Tahoma"/>
          <w:bCs/>
          <w:sz w:val="22"/>
          <w:szCs w:val="22"/>
        </w:rPr>
        <w:t xml:space="preserve"> cual</w:t>
      </w:r>
      <w:r w:rsidR="002E2618" w:rsidRPr="00222027">
        <w:rPr>
          <w:rFonts w:ascii="Palatino Linotype" w:eastAsia="Calibri" w:hAnsi="Palatino Linotype" w:cs="Tahoma"/>
          <w:bCs/>
          <w:sz w:val="22"/>
          <w:szCs w:val="22"/>
        </w:rPr>
        <w:t>es</w:t>
      </w:r>
      <w:r w:rsidRPr="00222027">
        <w:rPr>
          <w:rFonts w:ascii="Palatino Linotype" w:eastAsia="Calibri" w:hAnsi="Palatino Linotype" w:cs="Tahoma"/>
          <w:bCs/>
          <w:sz w:val="22"/>
          <w:szCs w:val="22"/>
        </w:rPr>
        <w:t xml:space="preserve"> se requiere la información; por lo que, la pretensión del ahora Recurrente es obtener, las pólizas de egresos y facturas de pago, relacionadas con la publicación del </w:t>
      </w:r>
      <w:r w:rsidR="00C81465" w:rsidRPr="00222027">
        <w:rPr>
          <w:rFonts w:ascii="Palatino Linotype" w:eastAsia="Calibri" w:hAnsi="Palatino Linotype" w:cs="Tahoma"/>
          <w:bCs/>
          <w:sz w:val="22"/>
          <w:szCs w:val="22"/>
        </w:rPr>
        <w:t>Bando Municipal de Policía y Gobierno</w:t>
      </w:r>
      <w:r w:rsidRPr="00222027">
        <w:rPr>
          <w:rFonts w:ascii="Palatino Linotype" w:eastAsia="Calibri" w:hAnsi="Palatino Linotype" w:cs="Tahoma"/>
          <w:bCs/>
          <w:sz w:val="22"/>
          <w:szCs w:val="22"/>
        </w:rPr>
        <w:t xml:space="preserve"> de Temamatla</w:t>
      </w:r>
      <w:r w:rsidR="002E2618" w:rsidRPr="00222027">
        <w:rPr>
          <w:rFonts w:ascii="Palatino Linotype" w:eastAsia="Calibri" w:hAnsi="Palatino Linotype" w:cs="Tahoma"/>
          <w:bCs/>
          <w:sz w:val="22"/>
          <w:szCs w:val="22"/>
        </w:rPr>
        <w:t xml:space="preserve"> para los ejercicios fiscales dos mil veintidós, dos mil veintitrés, y dos mil veinticuatro</w:t>
      </w:r>
      <w:r w:rsidR="00C81465" w:rsidRPr="00222027">
        <w:rPr>
          <w:rFonts w:ascii="Palatino Linotype" w:eastAsia="Calibri" w:hAnsi="Palatino Linotype" w:cs="Tahoma"/>
          <w:bCs/>
          <w:sz w:val="22"/>
          <w:szCs w:val="22"/>
        </w:rPr>
        <w:t xml:space="preserve"> (pues con dichos documentos se da cuenta del gasto ejercido)</w:t>
      </w:r>
    </w:p>
    <w:p w14:paraId="320BD1C1" w14:textId="77777777" w:rsidR="002E2618" w:rsidRPr="00222027" w:rsidRDefault="002E2618" w:rsidP="003126B4">
      <w:pPr>
        <w:spacing w:line="360" w:lineRule="auto"/>
        <w:contextualSpacing/>
        <w:jc w:val="both"/>
        <w:rPr>
          <w:rFonts w:ascii="Palatino Linotype" w:eastAsia="Batang" w:hAnsi="Palatino Linotype" w:cs="Tahoma"/>
          <w:bCs/>
          <w:sz w:val="22"/>
          <w:szCs w:val="22"/>
        </w:rPr>
      </w:pPr>
    </w:p>
    <w:p w14:paraId="0A7AA6AB" w14:textId="77777777" w:rsidR="003126B4" w:rsidRPr="00222027" w:rsidRDefault="003126B4" w:rsidP="003126B4">
      <w:pPr>
        <w:spacing w:line="360" w:lineRule="auto"/>
        <w:contextualSpacing/>
        <w:jc w:val="both"/>
        <w:rPr>
          <w:rFonts w:ascii="Palatino Linotype" w:hAnsi="Palatino Linotype" w:cs="Tahoma"/>
          <w:sz w:val="22"/>
          <w:szCs w:val="22"/>
        </w:rPr>
      </w:pPr>
      <w:r w:rsidRPr="00222027">
        <w:rPr>
          <w:rFonts w:ascii="Palatino Linotype" w:eastAsia="Batang" w:hAnsi="Palatino Linotype" w:cs="Tahoma"/>
          <w:bCs/>
          <w:sz w:val="22"/>
          <w:szCs w:val="22"/>
        </w:rPr>
        <w:t xml:space="preserve">Establecido lo anterior, se procede analizar la respuesta entregada, para lo cual cabe precisar que de las constancias que obran en el expediente, se logra advertir que el Sujeto Obligado turno la solicitud de información </w:t>
      </w:r>
      <w:r w:rsidRPr="00222027">
        <w:rPr>
          <w:rFonts w:ascii="Palatino Linotype" w:hAnsi="Palatino Linotype" w:cs="Tahoma"/>
          <w:sz w:val="22"/>
          <w:szCs w:val="22"/>
        </w:rPr>
        <w:t>a la Tesorería Municipal; por lo que, se colige que gestionó la solicitud de información, al área con atribuciones para conocer de lo peticionado, por lo que, se advierte que cumplió con el procedimiento de búsqueda establecido en el artículo 162 de la Ley de la materia.</w:t>
      </w:r>
    </w:p>
    <w:p w14:paraId="1E58A186" w14:textId="77777777" w:rsidR="003126B4" w:rsidRPr="00222027" w:rsidRDefault="003126B4" w:rsidP="003126B4">
      <w:pPr>
        <w:spacing w:line="360" w:lineRule="auto"/>
        <w:ind w:right="-28"/>
        <w:contextualSpacing/>
        <w:jc w:val="both"/>
        <w:rPr>
          <w:rFonts w:ascii="Palatino Linotype" w:hAnsi="Palatino Linotype" w:cs="Tahoma"/>
          <w:color w:val="0D0D0D" w:themeColor="text1" w:themeTint="F2"/>
          <w:sz w:val="22"/>
          <w:szCs w:val="22"/>
          <w:lang w:val="es-ES"/>
        </w:rPr>
      </w:pPr>
    </w:p>
    <w:p w14:paraId="49395C62" w14:textId="77777777" w:rsidR="003126B4" w:rsidRPr="00222027" w:rsidRDefault="003126B4" w:rsidP="003126B4">
      <w:pPr>
        <w:spacing w:line="360" w:lineRule="auto"/>
        <w:jc w:val="both"/>
        <w:rPr>
          <w:rFonts w:ascii="Palatino Linotype" w:hAnsi="Palatino Linotype" w:cs="Tahoma"/>
          <w:bCs/>
          <w:iCs/>
          <w:sz w:val="22"/>
          <w:szCs w:val="22"/>
          <w:lang w:val="es-ES"/>
        </w:rPr>
      </w:pPr>
      <w:r w:rsidRPr="00222027">
        <w:rPr>
          <w:rFonts w:ascii="Palatino Linotype" w:hAnsi="Palatino Linotype" w:cs="Tahoma"/>
          <w:bCs/>
          <w:iCs/>
          <w:sz w:val="22"/>
          <w:szCs w:val="22"/>
          <w:lang w:val="es-ES"/>
        </w:rPr>
        <w:t xml:space="preserve">Ahora bien, de las constancias que obran en el expediente, se logra vislumbrar que el Sujeto Obligado, turno la solicitud de información a la Tesorería Municipal, </w:t>
      </w:r>
      <w:r w:rsidRPr="00222027">
        <w:rPr>
          <w:rFonts w:ascii="Palatino Linotype" w:hAnsi="Palatino Linotype" w:cs="Tahoma"/>
          <w:bCs/>
          <w:iCs/>
          <w:sz w:val="22"/>
          <w:szCs w:val="22"/>
        </w:rPr>
        <w:t xml:space="preserve">por lo que, es necesario hacer referencia al </w:t>
      </w:r>
      <w:r w:rsidRPr="00222027">
        <w:rPr>
          <w:rFonts w:ascii="Palatino Linotype" w:hAnsi="Palatino Linotype" w:cs="Tahoma"/>
          <w:b/>
          <w:iCs/>
          <w:sz w:val="22"/>
          <w:szCs w:val="22"/>
        </w:rPr>
        <w:t xml:space="preserve">procedimiento de búsqueda </w:t>
      </w:r>
      <w:r w:rsidRPr="00222027">
        <w:rPr>
          <w:rFonts w:ascii="Palatino Linotype" w:hAnsi="Palatino Linotype" w:cs="Tahoma"/>
          <w:b/>
          <w:iCs/>
          <w:sz w:val="22"/>
          <w:szCs w:val="22"/>
          <w:lang w:val="es-ES"/>
        </w:rPr>
        <w:t>que deben de seguir los Sujetos Obligados para localizar la información</w:t>
      </w:r>
      <w:r w:rsidRPr="00222027">
        <w:rPr>
          <w:rFonts w:ascii="Palatino Linotype" w:hAnsi="Palatino Linotype" w:cs="Tahoma"/>
          <w:bCs/>
          <w:iCs/>
          <w:sz w:val="22"/>
          <w:szCs w:val="22"/>
          <w:lang w:val="es-ES"/>
        </w:rPr>
        <w:t xml:space="preserve">, el cual se encuentra previsto en el artículo 162 de la Ley de </w:t>
      </w:r>
      <w:r w:rsidRPr="00222027">
        <w:rPr>
          <w:rFonts w:ascii="Palatino Linotype" w:hAnsi="Palatino Linotype" w:cs="Tahoma"/>
          <w:bCs/>
          <w:iCs/>
          <w:sz w:val="22"/>
          <w:szCs w:val="22"/>
          <w:lang w:val="es-ES"/>
        </w:rPr>
        <w:lastRenderedPageBreak/>
        <w:t>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14:paraId="3899F91D" w14:textId="77777777" w:rsidR="003126B4" w:rsidRPr="00222027" w:rsidRDefault="003126B4" w:rsidP="003126B4">
      <w:pPr>
        <w:spacing w:line="360" w:lineRule="auto"/>
        <w:jc w:val="both"/>
        <w:rPr>
          <w:rFonts w:ascii="Palatino Linotype" w:hAnsi="Palatino Linotype" w:cs="Tahoma"/>
          <w:bCs/>
          <w:iCs/>
          <w:sz w:val="22"/>
          <w:szCs w:val="22"/>
          <w:lang w:val="es-ES"/>
        </w:rPr>
      </w:pPr>
    </w:p>
    <w:p w14:paraId="05F69B64" w14:textId="77777777" w:rsidR="003126B4" w:rsidRPr="00222027" w:rsidRDefault="003126B4" w:rsidP="003126B4">
      <w:pPr>
        <w:spacing w:line="360" w:lineRule="auto"/>
        <w:jc w:val="both"/>
        <w:rPr>
          <w:rFonts w:ascii="Palatino Linotype" w:hAnsi="Palatino Linotype" w:cs="Tahoma"/>
          <w:bCs/>
          <w:iCs/>
          <w:sz w:val="22"/>
          <w:szCs w:val="22"/>
        </w:rPr>
      </w:pPr>
      <w:r w:rsidRPr="00222027">
        <w:rPr>
          <w:rFonts w:ascii="Palatino Linotype" w:hAnsi="Palatino Linotype" w:cs="Tahoma"/>
          <w:bCs/>
          <w:iCs/>
          <w:sz w:val="22"/>
          <w:szCs w:val="22"/>
        </w:rPr>
        <w:t xml:space="preserve">Así, con la finalidad de determinar si el Sujeto Obligado cumplió con el procedimiento de búsqueda previamente establecido, es necesario traer a colación los artículos 44, fracción II y VIII, 57, 58, 59 y 60 del Bando </w:t>
      </w:r>
      <w:r w:rsidRPr="00222027">
        <w:rPr>
          <w:rFonts w:ascii="Palatino Linotype" w:hAnsi="Palatino Linotype"/>
          <w:sz w:val="22"/>
          <w:szCs w:val="22"/>
        </w:rPr>
        <w:t>Municipal de Temamatla, dos mil veinticuatro en relación con el Manual de Organización de la Dirección de Administración</w:t>
      </w:r>
      <w:r w:rsidRPr="00222027">
        <w:rPr>
          <w:rFonts w:ascii="Palatino Linotype" w:hAnsi="Palatino Linotype" w:cs="Tahoma"/>
          <w:bCs/>
          <w:iCs/>
          <w:sz w:val="22"/>
          <w:szCs w:val="22"/>
        </w:rPr>
        <w:t>, que precisan que, el Sujeto Obligado para el ejercicio de sus funciones cuenta con diversas unidades administrativas, entre otras las siguientes:</w:t>
      </w:r>
    </w:p>
    <w:p w14:paraId="60B3F43D" w14:textId="77777777" w:rsidR="003126B4" w:rsidRPr="00222027" w:rsidRDefault="003126B4" w:rsidP="003126B4">
      <w:pPr>
        <w:spacing w:line="360" w:lineRule="auto"/>
        <w:jc w:val="both"/>
        <w:rPr>
          <w:rFonts w:ascii="Palatino Linotype" w:hAnsi="Palatino Linotype" w:cs="Tahoma"/>
          <w:bCs/>
          <w:iCs/>
          <w:sz w:val="22"/>
          <w:szCs w:val="22"/>
        </w:rPr>
      </w:pPr>
    </w:p>
    <w:p w14:paraId="72ADA8BD" w14:textId="77777777" w:rsidR="003126B4" w:rsidRPr="00222027" w:rsidRDefault="003126B4" w:rsidP="003126B4">
      <w:pPr>
        <w:pStyle w:val="Prrafodelista"/>
        <w:numPr>
          <w:ilvl w:val="0"/>
          <w:numId w:val="5"/>
        </w:numPr>
        <w:spacing w:line="360" w:lineRule="auto"/>
        <w:ind w:left="850"/>
        <w:jc w:val="both"/>
        <w:rPr>
          <w:rFonts w:ascii="Palatino Linotype" w:hAnsi="Palatino Linotype" w:cs="Tahoma"/>
          <w:b/>
          <w:bCs/>
          <w:iCs/>
          <w:szCs w:val="22"/>
        </w:rPr>
      </w:pPr>
      <w:r w:rsidRPr="00222027">
        <w:rPr>
          <w:rFonts w:ascii="Palatino Linotype" w:hAnsi="Palatino Linotype" w:cs="Tahoma"/>
          <w:b/>
          <w:bCs/>
          <w:iCs/>
          <w:szCs w:val="22"/>
        </w:rPr>
        <w:t xml:space="preserve">Tesorería Municipal: </w:t>
      </w:r>
      <w:r w:rsidRPr="00222027">
        <w:rPr>
          <w:rFonts w:ascii="Palatino Linotype" w:hAnsi="Palatino Linotype" w:cs="Tahoma"/>
          <w:iCs/>
          <w:szCs w:val="22"/>
        </w:rPr>
        <w:t>Encargada de las erogaciones que realice el Ayuntamiento.</w:t>
      </w:r>
    </w:p>
    <w:p w14:paraId="0B2F6009" w14:textId="77777777" w:rsidR="003126B4" w:rsidRPr="00222027" w:rsidRDefault="003126B4" w:rsidP="003126B4">
      <w:pPr>
        <w:pStyle w:val="Prrafodelista"/>
        <w:spacing w:line="360" w:lineRule="auto"/>
        <w:ind w:left="850"/>
        <w:jc w:val="both"/>
        <w:rPr>
          <w:rFonts w:ascii="Palatino Linotype" w:hAnsi="Palatino Linotype" w:cs="Tahoma"/>
          <w:b/>
          <w:bCs/>
          <w:iCs/>
          <w:szCs w:val="22"/>
        </w:rPr>
      </w:pPr>
    </w:p>
    <w:p w14:paraId="3383F909" w14:textId="77777777" w:rsidR="003126B4" w:rsidRPr="00222027" w:rsidRDefault="003126B4" w:rsidP="003126B4">
      <w:pPr>
        <w:pStyle w:val="Prrafodelista"/>
        <w:numPr>
          <w:ilvl w:val="0"/>
          <w:numId w:val="6"/>
        </w:numPr>
        <w:spacing w:line="360" w:lineRule="auto"/>
        <w:ind w:left="850"/>
        <w:jc w:val="both"/>
        <w:rPr>
          <w:rFonts w:ascii="Palatino Linotype" w:hAnsi="Palatino Linotype" w:cs="Tahoma"/>
          <w:iCs/>
          <w:szCs w:val="22"/>
        </w:rPr>
      </w:pPr>
      <w:r w:rsidRPr="00222027">
        <w:rPr>
          <w:rFonts w:ascii="Palatino Linotype" w:hAnsi="Palatino Linotype" w:cs="Tahoma"/>
          <w:b/>
          <w:bCs/>
          <w:iCs/>
          <w:szCs w:val="22"/>
        </w:rPr>
        <w:t>Dirección de Administración:</w:t>
      </w:r>
      <w:r w:rsidRPr="00222027">
        <w:rPr>
          <w:rFonts w:ascii="Palatino Linotype" w:hAnsi="Palatino Linotype" w:cs="Tahoma"/>
          <w:iCs/>
          <w:szCs w:val="22"/>
        </w:rPr>
        <w:t xml:space="preserve"> Encargada de planear, organizar, dirigir y controlar la adquisición de bienes, así como la presentación de los servicios requeridos por las áreas administrativas para el cumplimiento de sus funciones y programas institucionales. </w:t>
      </w:r>
    </w:p>
    <w:p w14:paraId="68F597D9" w14:textId="77777777" w:rsidR="003126B4" w:rsidRPr="00222027" w:rsidRDefault="003126B4" w:rsidP="003126B4">
      <w:pPr>
        <w:pStyle w:val="Prrafodelista"/>
        <w:spacing w:line="360" w:lineRule="auto"/>
        <w:ind w:left="850"/>
        <w:jc w:val="both"/>
        <w:rPr>
          <w:rFonts w:ascii="Palatino Linotype" w:hAnsi="Palatino Linotype" w:cs="Tahoma"/>
          <w:iCs/>
          <w:szCs w:val="22"/>
        </w:rPr>
      </w:pPr>
    </w:p>
    <w:p w14:paraId="30CF47E9" w14:textId="77777777" w:rsidR="003126B4" w:rsidRPr="00222027" w:rsidRDefault="003126B4" w:rsidP="003126B4">
      <w:pPr>
        <w:pStyle w:val="Prrafodelista"/>
        <w:spacing w:line="360" w:lineRule="auto"/>
        <w:ind w:left="850"/>
        <w:jc w:val="both"/>
        <w:rPr>
          <w:rFonts w:ascii="Palatino Linotype" w:hAnsi="Palatino Linotype" w:cs="Tahoma"/>
          <w:iCs/>
          <w:szCs w:val="22"/>
        </w:rPr>
      </w:pPr>
      <w:r w:rsidRPr="00222027">
        <w:rPr>
          <w:rFonts w:ascii="Palatino Linotype" w:hAnsi="Palatino Linotype" w:cs="Tahoma"/>
          <w:iCs/>
          <w:szCs w:val="22"/>
        </w:rPr>
        <w:t>Para lograr lo anterior, contará con la Jefatura del Departamento de Adquisiciones, que, en coordinación de la Tesorería Municipal, realizará la adquisición de bienes e insumos; autoriza el suministro de recursos y servicios y registra y envía las facturas recibidas.</w:t>
      </w:r>
    </w:p>
    <w:p w14:paraId="1B067496" w14:textId="77777777" w:rsidR="003126B4" w:rsidRPr="00222027" w:rsidRDefault="003126B4" w:rsidP="003126B4">
      <w:pPr>
        <w:spacing w:line="360" w:lineRule="auto"/>
        <w:jc w:val="both"/>
        <w:rPr>
          <w:rFonts w:ascii="Palatino Linotype" w:eastAsia="Calibri" w:hAnsi="Palatino Linotype"/>
          <w:sz w:val="22"/>
          <w:szCs w:val="22"/>
        </w:rPr>
      </w:pPr>
    </w:p>
    <w:p w14:paraId="61B36825" w14:textId="77777777" w:rsidR="003126B4" w:rsidRPr="00222027" w:rsidRDefault="003126B4" w:rsidP="003126B4">
      <w:pPr>
        <w:spacing w:line="360" w:lineRule="auto"/>
        <w:jc w:val="both"/>
        <w:rPr>
          <w:rFonts w:ascii="Palatino Linotype" w:eastAsia="Calibri" w:hAnsi="Palatino Linotype" w:cs="Tahoma"/>
          <w:color w:val="000000"/>
          <w:sz w:val="22"/>
          <w:szCs w:val="22"/>
          <w:lang w:val="es-ES" w:eastAsia="es-MX"/>
        </w:rPr>
      </w:pPr>
      <w:r w:rsidRPr="00222027">
        <w:rPr>
          <w:rFonts w:ascii="Palatino Linotype" w:eastAsia="Calibri" w:hAnsi="Palatino Linotype"/>
          <w:sz w:val="22"/>
          <w:szCs w:val="22"/>
        </w:rPr>
        <w:t>De tal circunstancia</w:t>
      </w:r>
      <w:r w:rsidRPr="00222027">
        <w:rPr>
          <w:rFonts w:ascii="Palatino Linotype" w:eastAsia="Calibri" w:hAnsi="Palatino Linotype" w:cs="Tahoma"/>
          <w:bCs/>
          <w:iCs/>
          <w:sz w:val="22"/>
          <w:szCs w:val="22"/>
        </w:rPr>
        <w:t xml:space="preserve">, se logra colegir que el Sujeto Obligado no cumplió con el procedimiento de búsqueda </w:t>
      </w:r>
      <w:r w:rsidRPr="00222027">
        <w:rPr>
          <w:rFonts w:ascii="Palatino Linotype" w:eastAsia="Calibri" w:hAnsi="Palatino Linotype" w:cs="Tahoma"/>
          <w:color w:val="000000"/>
          <w:sz w:val="22"/>
          <w:szCs w:val="22"/>
          <w:lang w:val="es-ES" w:eastAsia="es-MX"/>
        </w:rPr>
        <w:t xml:space="preserve">establecido en el artículo 162 de la Ley de Transparencia y Acceso a la </w:t>
      </w:r>
      <w:r w:rsidRPr="00222027">
        <w:rPr>
          <w:rFonts w:ascii="Palatino Linotype" w:eastAsia="Calibri" w:hAnsi="Palatino Linotype" w:cs="Tahoma"/>
          <w:color w:val="000000"/>
          <w:sz w:val="22"/>
          <w:szCs w:val="22"/>
          <w:lang w:val="es-ES" w:eastAsia="es-MX"/>
        </w:rPr>
        <w:lastRenderedPageBreak/>
        <w:t>Información Pública del Estado de México y Municipios, ya que, si bien turno la solicitud a la Tesorería Municipal, omitió hacerlo a la Dirección de Administración, que conoce de los procedimientos de adjudicación para prestaciones de servicios.</w:t>
      </w:r>
    </w:p>
    <w:p w14:paraId="3AAF427C" w14:textId="77777777" w:rsidR="003126B4" w:rsidRPr="00222027" w:rsidRDefault="003126B4" w:rsidP="003126B4">
      <w:pPr>
        <w:spacing w:line="360" w:lineRule="auto"/>
        <w:ind w:right="-28"/>
        <w:contextualSpacing/>
        <w:jc w:val="both"/>
        <w:rPr>
          <w:rFonts w:ascii="Palatino Linotype" w:hAnsi="Palatino Linotype" w:cs="Tahoma"/>
          <w:color w:val="0D0D0D" w:themeColor="text1" w:themeTint="F2"/>
          <w:sz w:val="22"/>
          <w:szCs w:val="22"/>
          <w:lang w:val="es-ES"/>
        </w:rPr>
      </w:pPr>
    </w:p>
    <w:p w14:paraId="7096703A" w14:textId="77777777" w:rsidR="003126B4" w:rsidRPr="00222027" w:rsidRDefault="003126B4" w:rsidP="003126B4">
      <w:pPr>
        <w:spacing w:line="360" w:lineRule="auto"/>
        <w:contextualSpacing/>
        <w:jc w:val="both"/>
        <w:rPr>
          <w:rFonts w:ascii="Palatino Linotype" w:hAnsi="Palatino Linotype"/>
          <w:bCs/>
          <w:sz w:val="22"/>
          <w:szCs w:val="22"/>
        </w:rPr>
      </w:pPr>
      <w:r w:rsidRPr="00222027">
        <w:rPr>
          <w:rFonts w:ascii="Palatino Linotype" w:eastAsia="Batang" w:hAnsi="Palatino Linotype" w:cs="Tahoma"/>
          <w:bCs/>
          <w:sz w:val="22"/>
          <w:szCs w:val="22"/>
        </w:rPr>
        <w:t>Sin menoscabar lo anterior, la Tesorería Municipal</w:t>
      </w:r>
      <w:r w:rsidRPr="00222027">
        <w:rPr>
          <w:rFonts w:ascii="Palatino Linotype" w:hAnsi="Palatino Linotype"/>
          <w:bCs/>
          <w:sz w:val="22"/>
          <w:szCs w:val="22"/>
        </w:rPr>
        <w:t xml:space="preserve"> propuso el cambio de modalidad de entrega de la información a consulta directa en virtud de que no contaba con los recursos materiales y humanos suficientes, así como el cambio de administración; por lo que se procede analizar el cambio de modalidad propuesto.</w:t>
      </w:r>
    </w:p>
    <w:p w14:paraId="565C5176" w14:textId="77777777" w:rsidR="003126B4" w:rsidRPr="00222027" w:rsidRDefault="003126B4" w:rsidP="003126B4">
      <w:pPr>
        <w:spacing w:line="360" w:lineRule="auto"/>
        <w:contextualSpacing/>
        <w:jc w:val="both"/>
        <w:rPr>
          <w:rFonts w:ascii="Palatino Linotype" w:hAnsi="Palatino Linotype"/>
          <w:bCs/>
          <w:sz w:val="22"/>
          <w:szCs w:val="22"/>
        </w:rPr>
      </w:pPr>
    </w:p>
    <w:p w14:paraId="2EAE0764"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r w:rsidRPr="00222027">
        <w:rPr>
          <w:rFonts w:ascii="Palatino Linotype" w:hAnsi="Palatino Linotype" w:cs="Tahoma"/>
          <w:bCs/>
          <w:color w:val="0D0D0D"/>
          <w:sz w:val="22"/>
          <w:szCs w:val="22"/>
        </w:rPr>
        <w:t>En ese sentido,</w:t>
      </w:r>
      <w:r w:rsidRPr="00222027">
        <w:rPr>
          <w:rFonts w:ascii="Palatino Linotype" w:eastAsia="Calibri" w:hAnsi="Palatino Linotype" w:cs="Tahoma"/>
          <w:bCs/>
          <w:sz w:val="22"/>
          <w:szCs w:val="22"/>
          <w:lang w:val="es-ES"/>
        </w:rPr>
        <w:t xml:space="preserve"> el artículo 155, fracción V, de la Ley de Transparencia y Acceso a la Información Pública del Estado de México y Municipios, precisa que </w:t>
      </w:r>
      <w:r w:rsidRPr="00222027">
        <w:rPr>
          <w:rFonts w:ascii="Palatino Linotype" w:eastAsia="Calibri" w:hAnsi="Palatino Linotype" w:cs="Tahoma"/>
          <w:bCs/>
          <w:sz w:val="22"/>
          <w:szCs w:val="22"/>
        </w:rPr>
        <w:t xml:space="preserve">para presentar una solicitud, la particular podrá señalar </w:t>
      </w:r>
      <w:r w:rsidRPr="00222027">
        <w:rPr>
          <w:rFonts w:ascii="Palatino Linotype" w:eastAsia="Calibri" w:hAnsi="Palatino Linotype" w:cs="Tahoma"/>
          <w:b/>
          <w:bCs/>
          <w:sz w:val="22"/>
          <w:szCs w:val="22"/>
        </w:rPr>
        <w:t>la modalidad en la que prefiere se otorgue el acceso a la información</w:t>
      </w:r>
      <w:r w:rsidRPr="00222027">
        <w:rPr>
          <w:rFonts w:ascii="Palatino Linotype" w:eastAsia="Calibri" w:hAnsi="Palatino Linotype" w:cs="Tahoma"/>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655E53E7" w14:textId="77777777" w:rsidR="006364B8" w:rsidRPr="00222027" w:rsidRDefault="006364B8" w:rsidP="003126B4">
      <w:pPr>
        <w:spacing w:line="360" w:lineRule="auto"/>
        <w:contextualSpacing/>
        <w:jc w:val="both"/>
        <w:rPr>
          <w:rFonts w:ascii="Palatino Linotype" w:eastAsia="Calibri" w:hAnsi="Palatino Linotype" w:cs="Tahoma"/>
          <w:bCs/>
          <w:sz w:val="22"/>
          <w:szCs w:val="22"/>
          <w:lang w:val="es-ES"/>
        </w:rPr>
      </w:pPr>
    </w:p>
    <w:p w14:paraId="6EC5B72E" w14:textId="77777777" w:rsidR="003126B4" w:rsidRPr="00222027" w:rsidRDefault="003126B4" w:rsidP="003126B4">
      <w:pPr>
        <w:spacing w:line="360" w:lineRule="auto"/>
        <w:contextualSpacing/>
        <w:jc w:val="both"/>
        <w:rPr>
          <w:rFonts w:ascii="Palatino Linotype" w:eastAsia="Calibri" w:hAnsi="Palatino Linotype" w:cs="Tahoma"/>
          <w:b/>
          <w:bCs/>
          <w:sz w:val="22"/>
          <w:szCs w:val="22"/>
          <w:lang w:val="es-ES"/>
        </w:rPr>
      </w:pPr>
      <w:r w:rsidRPr="00222027">
        <w:rPr>
          <w:rFonts w:ascii="Palatino Linotype" w:eastAsia="Calibri" w:hAnsi="Palatino Linotype" w:cs="Tahoma"/>
          <w:bCs/>
          <w:sz w:val="22"/>
          <w:szCs w:val="22"/>
          <w:lang w:val="es-ES"/>
        </w:rPr>
        <w:t xml:space="preserve">El artículo 158, dispone que, de manera excepcional, cuando de manera fundada y motivada lo determine el Sujeto Obligado, </w:t>
      </w:r>
      <w:r w:rsidRPr="00222027">
        <w:rPr>
          <w:rFonts w:ascii="Palatino Linotype" w:eastAsia="Calibri" w:hAnsi="Palatino Linotype" w:cs="Tahoma"/>
          <w:b/>
          <w:bCs/>
          <w:sz w:val="22"/>
          <w:szCs w:val="22"/>
          <w:lang w:val="es-ES"/>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2115FFD" w14:textId="77777777" w:rsidR="003126B4" w:rsidRPr="00222027" w:rsidRDefault="003126B4" w:rsidP="003126B4">
      <w:pPr>
        <w:spacing w:line="360" w:lineRule="auto"/>
        <w:contextualSpacing/>
        <w:jc w:val="both"/>
        <w:rPr>
          <w:rFonts w:ascii="Palatino Linotype" w:eastAsia="Calibri" w:hAnsi="Palatino Linotype" w:cs="Tahoma"/>
          <w:bCs/>
          <w:sz w:val="22"/>
          <w:szCs w:val="22"/>
          <w:lang w:val="es-ES"/>
        </w:rPr>
      </w:pPr>
    </w:p>
    <w:p w14:paraId="5F9C458C"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r w:rsidRPr="00222027">
        <w:rPr>
          <w:rFonts w:ascii="Palatino Linotype" w:eastAsia="Calibri" w:hAnsi="Palatino Linotype" w:cs="Tahoma"/>
          <w:bCs/>
          <w:sz w:val="22"/>
          <w:szCs w:val="22"/>
          <w:lang w:val="es-ES"/>
        </w:rPr>
        <w:t xml:space="preserve">En ese orden de ideas, el artículo 164 de dicho ordenamiento jurídico, prevé que </w:t>
      </w:r>
      <w:r w:rsidRPr="00222027">
        <w:rPr>
          <w:rFonts w:ascii="Palatino Linotype" w:eastAsia="Calibri" w:hAnsi="Palatino Linotype" w:cs="Tahoma"/>
          <w:bCs/>
          <w:sz w:val="22"/>
          <w:szCs w:val="22"/>
        </w:rPr>
        <w:t xml:space="preserve">el acceso se dará en la modalidad de entrega y, en su caso, de envío elegidos por al solicitante. </w:t>
      </w:r>
      <w:r w:rsidRPr="00222027">
        <w:rPr>
          <w:rFonts w:ascii="Palatino Linotype" w:eastAsia="Calibri" w:hAnsi="Palatino Linotype" w:cs="Tahoma"/>
          <w:b/>
          <w:bCs/>
          <w:sz w:val="22"/>
          <w:szCs w:val="22"/>
        </w:rPr>
        <w:t>Cuando la información no pueda entregarse o enviarse en la modalidad elegida, el sujeto obligado deberá ofrecer otra u otras modalidades de entrega.</w:t>
      </w:r>
      <w:r w:rsidRPr="00222027">
        <w:rPr>
          <w:rFonts w:ascii="Palatino Linotype" w:eastAsia="Calibri" w:hAnsi="Palatino Linotype" w:cs="Tahoma"/>
          <w:bCs/>
          <w:sz w:val="22"/>
          <w:szCs w:val="22"/>
        </w:rPr>
        <w:t xml:space="preserve"> En cualquier caso, </w:t>
      </w:r>
      <w:r w:rsidRPr="00222027">
        <w:rPr>
          <w:rFonts w:ascii="Palatino Linotype" w:eastAsia="Calibri" w:hAnsi="Palatino Linotype" w:cs="Tahoma"/>
          <w:b/>
          <w:bCs/>
          <w:sz w:val="22"/>
          <w:szCs w:val="22"/>
        </w:rPr>
        <w:t>se deberá fundar y motivar</w:t>
      </w:r>
      <w:r w:rsidRPr="00222027">
        <w:rPr>
          <w:rFonts w:ascii="Palatino Linotype" w:eastAsia="Calibri" w:hAnsi="Palatino Linotype" w:cs="Tahoma"/>
          <w:bCs/>
          <w:sz w:val="22"/>
          <w:szCs w:val="22"/>
        </w:rPr>
        <w:t xml:space="preserve"> la necesidad de ofrecer otras modalidades.</w:t>
      </w:r>
    </w:p>
    <w:p w14:paraId="6C9D3B5F" w14:textId="77777777" w:rsidR="003126B4" w:rsidRPr="00222027" w:rsidRDefault="003126B4" w:rsidP="003126B4">
      <w:pPr>
        <w:spacing w:line="360" w:lineRule="auto"/>
        <w:contextualSpacing/>
        <w:jc w:val="both"/>
        <w:rPr>
          <w:rFonts w:ascii="Palatino Linotype" w:eastAsia="Calibri" w:hAnsi="Palatino Linotype" w:cs="Tahoma"/>
          <w:bCs/>
          <w:sz w:val="22"/>
          <w:szCs w:val="22"/>
          <w:lang w:val="es-ES"/>
        </w:rPr>
      </w:pPr>
      <w:r w:rsidRPr="00222027">
        <w:rPr>
          <w:rFonts w:ascii="Palatino Linotype" w:eastAsia="Calibri" w:hAnsi="Palatino Linotype" w:cs="Tahoma"/>
          <w:bCs/>
          <w:sz w:val="22"/>
          <w:szCs w:val="22"/>
          <w:lang w:val="es-ES"/>
        </w:rPr>
        <w:lastRenderedPageBreak/>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222027">
        <w:rPr>
          <w:rFonts w:ascii="Palatino Linotype" w:eastAsia="Calibri" w:hAnsi="Palatino Linotype" w:cs="Tahoma"/>
          <w:b/>
          <w:bCs/>
          <w:sz w:val="22"/>
          <w:szCs w:val="22"/>
          <w:lang w:val="es-ES"/>
        </w:rPr>
        <w:t>en la medida de lo posible, en la forma solicitada por el interesado, salvo que exista un impedimento justificado para atenderla</w:t>
      </w:r>
      <w:r w:rsidRPr="00222027">
        <w:rPr>
          <w:rFonts w:ascii="Palatino Linotype" w:eastAsia="Calibri" w:hAnsi="Palatino Linotype" w:cs="Tahoma"/>
          <w:bCs/>
          <w:sz w:val="22"/>
          <w:szCs w:val="22"/>
          <w:lang w:val="es-ES"/>
        </w:rPr>
        <w:t xml:space="preserve">, en cuyo caso, deberán exponerse las razones por las cuales no es posible utilizar el medio de reproducción solicitado; en este sentido, la entrega de la información en una modalidad distinta a la elegida por la particular </w:t>
      </w:r>
      <w:r w:rsidRPr="00222027">
        <w:rPr>
          <w:rFonts w:ascii="Palatino Linotype" w:eastAsia="Calibri" w:hAnsi="Palatino Linotype" w:cs="Tahoma"/>
          <w:b/>
          <w:bCs/>
          <w:sz w:val="22"/>
          <w:szCs w:val="22"/>
          <w:lang w:val="es-ES"/>
        </w:rPr>
        <w:t>sólo procede, en caso de que se acredite la imposibilidad de atenderla.</w:t>
      </w:r>
      <w:r w:rsidRPr="00222027">
        <w:rPr>
          <w:rFonts w:ascii="Palatino Linotype" w:eastAsia="Calibri" w:hAnsi="Palatino Linotype" w:cs="Tahoma"/>
          <w:bCs/>
          <w:sz w:val="22"/>
          <w:szCs w:val="22"/>
          <w:lang w:val="es-ES"/>
        </w:rPr>
        <w:t xml:space="preserve"> </w:t>
      </w:r>
    </w:p>
    <w:p w14:paraId="66FB9A1B" w14:textId="77777777" w:rsidR="003126B4" w:rsidRPr="00222027" w:rsidRDefault="003126B4" w:rsidP="003126B4">
      <w:pPr>
        <w:spacing w:line="360" w:lineRule="auto"/>
        <w:contextualSpacing/>
        <w:jc w:val="both"/>
        <w:rPr>
          <w:rFonts w:ascii="Palatino Linotype" w:eastAsia="Calibri" w:hAnsi="Palatino Linotype" w:cs="Tahoma"/>
          <w:bCs/>
          <w:sz w:val="22"/>
          <w:szCs w:val="22"/>
          <w:lang w:val="es-ES"/>
        </w:rPr>
      </w:pPr>
    </w:p>
    <w:p w14:paraId="5D53DB8B" w14:textId="77777777" w:rsidR="003126B4" w:rsidRPr="00222027" w:rsidRDefault="003126B4" w:rsidP="003126B4">
      <w:pPr>
        <w:spacing w:line="360" w:lineRule="auto"/>
        <w:contextualSpacing/>
        <w:jc w:val="both"/>
        <w:rPr>
          <w:rFonts w:ascii="Palatino Linotype" w:eastAsia="Calibri" w:hAnsi="Palatino Linotype" w:cs="Tahoma"/>
          <w:b/>
          <w:sz w:val="22"/>
          <w:szCs w:val="22"/>
          <w:lang w:val="es-ES"/>
        </w:rPr>
      </w:pPr>
      <w:r w:rsidRPr="00222027">
        <w:rPr>
          <w:rFonts w:ascii="Palatino Linotype" w:eastAsia="Calibri" w:hAnsi="Palatino Linotype" w:cs="Tahoma"/>
          <w:bCs/>
          <w:color w:val="000000"/>
          <w:sz w:val="22"/>
          <w:szCs w:val="22"/>
          <w:lang w:val="es-ES"/>
        </w:rPr>
        <w:t xml:space="preserve">Así, cuando se justifique el impedimento, los </w:t>
      </w:r>
      <w:r w:rsidRPr="00222027">
        <w:rPr>
          <w:rFonts w:ascii="Palatino Linotype" w:eastAsia="Calibri" w:hAnsi="Palatino Linotype" w:cs="Tahoma"/>
          <w:b/>
          <w:bCs/>
          <w:color w:val="000000"/>
          <w:sz w:val="22"/>
          <w:szCs w:val="22"/>
          <w:lang w:val="es-ES"/>
        </w:rPr>
        <w:t>Sujetos Obligados deberán ofrecer al particular otras modalidades de entrega que permita la información</w:t>
      </w:r>
      <w:r w:rsidRPr="00222027">
        <w:rPr>
          <w:rFonts w:ascii="Palatino Linotype" w:eastAsia="Calibri" w:hAnsi="Palatino Linotype" w:cs="Tahoma"/>
          <w:bCs/>
          <w:color w:val="000000"/>
          <w:sz w:val="22"/>
          <w:szCs w:val="22"/>
          <w:lang w:val="es-ES"/>
        </w:rPr>
        <w:t xml:space="preserve">, como consulta directa en las oficinas de la Unidad de Transparencia; lo anterior, es robustecido con el Criterio de interpretación, con clave de control </w:t>
      </w:r>
      <w:r w:rsidRPr="00222027">
        <w:rPr>
          <w:rFonts w:ascii="Palatino Linotype" w:hAnsi="Palatino Linotype"/>
          <w:sz w:val="22"/>
          <w:szCs w:val="22"/>
        </w:rPr>
        <w:t>SO/008/2017</w:t>
      </w:r>
      <w:r w:rsidRPr="00222027">
        <w:rPr>
          <w:rFonts w:ascii="Palatino Linotype" w:eastAsia="Calibri" w:hAnsi="Palatino Linotype" w:cs="Tahoma"/>
          <w:bCs/>
          <w:color w:val="000000"/>
          <w:sz w:val="22"/>
          <w:szCs w:val="22"/>
          <w:lang w:val="es-ES"/>
        </w:rPr>
        <w:t xml:space="preserve">, emitido por el Pleno del Instituto Nacional de Transparencia, Acceso a la Información y Protección de Datos Personales, el cual establece </w:t>
      </w:r>
      <w:r w:rsidRPr="00222027">
        <w:rPr>
          <w:rFonts w:ascii="Palatino Linotype" w:eastAsia="Calibri" w:hAnsi="Palatino Linotype" w:cs="Tahoma"/>
          <w:bCs/>
          <w:sz w:val="22"/>
          <w:szCs w:val="22"/>
          <w:lang w:val="es-ES"/>
        </w:rPr>
        <w:t xml:space="preserve">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222027">
        <w:rPr>
          <w:rFonts w:ascii="Palatino Linotype" w:eastAsia="Calibri" w:hAnsi="Palatino Linotype" w:cs="Tahoma"/>
          <w:b/>
          <w:sz w:val="22"/>
          <w:szCs w:val="22"/>
          <w:lang w:val="es-ES"/>
        </w:rPr>
        <w:t>información en todas las modalidades que lo permitan, procurando reducir los costos de entrega.</w:t>
      </w:r>
    </w:p>
    <w:p w14:paraId="751A4640" w14:textId="77777777" w:rsidR="003126B4" w:rsidRPr="00222027" w:rsidRDefault="003126B4" w:rsidP="003126B4">
      <w:pPr>
        <w:widowControl w:val="0"/>
        <w:spacing w:line="360" w:lineRule="auto"/>
        <w:contextualSpacing/>
        <w:jc w:val="both"/>
        <w:rPr>
          <w:rFonts w:ascii="Palatino Linotype" w:eastAsia="Calibri" w:hAnsi="Palatino Linotype" w:cs="Tahoma"/>
          <w:bCs/>
          <w:sz w:val="22"/>
          <w:szCs w:val="22"/>
          <w:lang w:val="es-ES"/>
        </w:rPr>
      </w:pPr>
    </w:p>
    <w:p w14:paraId="0C05EE87" w14:textId="77777777" w:rsidR="003126B4" w:rsidRPr="00222027" w:rsidRDefault="003126B4" w:rsidP="003126B4">
      <w:pPr>
        <w:widowControl w:val="0"/>
        <w:spacing w:line="360" w:lineRule="auto"/>
        <w:contextualSpacing/>
        <w:jc w:val="both"/>
        <w:rPr>
          <w:rFonts w:ascii="Palatino Linotype" w:eastAsia="Calibri" w:hAnsi="Palatino Linotype" w:cs="Tahoma"/>
          <w:bCs/>
          <w:sz w:val="22"/>
          <w:szCs w:val="22"/>
          <w:lang w:val="es-ES"/>
        </w:rPr>
      </w:pPr>
      <w:r w:rsidRPr="00222027">
        <w:rPr>
          <w:rFonts w:ascii="Palatino Linotype" w:eastAsia="Calibri" w:hAnsi="Palatino Linotype" w:cs="Tahoma"/>
          <w:bCs/>
          <w:sz w:val="22"/>
          <w:szCs w:val="22"/>
          <w:lang w:val="es-ES"/>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5A9C6C76" w14:textId="77777777" w:rsidR="003126B4" w:rsidRPr="00222027" w:rsidRDefault="003126B4" w:rsidP="003126B4">
      <w:pPr>
        <w:spacing w:line="360" w:lineRule="auto"/>
        <w:contextualSpacing/>
        <w:jc w:val="both"/>
        <w:rPr>
          <w:rFonts w:ascii="Palatino Linotype" w:eastAsia="Calibri" w:hAnsi="Palatino Linotype" w:cs="Tahoma"/>
          <w:bCs/>
          <w:sz w:val="22"/>
          <w:szCs w:val="22"/>
          <w:lang w:val="es-ES"/>
        </w:rPr>
      </w:pPr>
    </w:p>
    <w:p w14:paraId="3DF9C648" w14:textId="77777777" w:rsidR="003126B4" w:rsidRPr="00222027" w:rsidRDefault="003126B4" w:rsidP="003126B4">
      <w:pPr>
        <w:numPr>
          <w:ilvl w:val="0"/>
          <w:numId w:val="3"/>
        </w:numPr>
        <w:spacing w:line="360" w:lineRule="auto"/>
        <w:contextualSpacing/>
        <w:jc w:val="both"/>
        <w:rPr>
          <w:rFonts w:ascii="Palatino Linotype" w:eastAsia="Calibri" w:hAnsi="Palatino Linotype" w:cs="Tahoma"/>
          <w:bCs/>
          <w:sz w:val="22"/>
          <w:szCs w:val="22"/>
          <w:lang w:val="es-ES" w:eastAsia="es-MX"/>
        </w:rPr>
      </w:pPr>
      <w:r w:rsidRPr="00222027">
        <w:rPr>
          <w:rFonts w:ascii="Palatino Linotype" w:eastAsia="Calibri" w:hAnsi="Palatino Linotype" w:cs="Tahoma"/>
          <w:bCs/>
          <w:sz w:val="22"/>
          <w:szCs w:val="22"/>
          <w:lang w:val="es-ES" w:eastAsia="es-MX"/>
        </w:rPr>
        <w:lastRenderedPageBreak/>
        <w:t>Las razones por las cuales la información implicaba un análisis, estudio o procesamiento de datos;</w:t>
      </w:r>
    </w:p>
    <w:p w14:paraId="323882B6" w14:textId="77777777" w:rsidR="003126B4" w:rsidRPr="00222027" w:rsidRDefault="003126B4" w:rsidP="003126B4">
      <w:pPr>
        <w:spacing w:line="360" w:lineRule="auto"/>
        <w:ind w:left="720"/>
        <w:contextualSpacing/>
        <w:jc w:val="both"/>
        <w:rPr>
          <w:rFonts w:ascii="Palatino Linotype" w:eastAsia="Calibri" w:hAnsi="Palatino Linotype" w:cs="Tahoma"/>
          <w:bCs/>
          <w:sz w:val="22"/>
          <w:szCs w:val="22"/>
          <w:lang w:val="es-ES" w:eastAsia="es-MX"/>
        </w:rPr>
      </w:pPr>
    </w:p>
    <w:p w14:paraId="3CFB4FB1" w14:textId="77777777" w:rsidR="003126B4" w:rsidRPr="00222027" w:rsidRDefault="003126B4" w:rsidP="003126B4">
      <w:pPr>
        <w:numPr>
          <w:ilvl w:val="0"/>
          <w:numId w:val="3"/>
        </w:numPr>
        <w:spacing w:line="360" w:lineRule="auto"/>
        <w:contextualSpacing/>
        <w:jc w:val="both"/>
        <w:rPr>
          <w:rFonts w:ascii="Palatino Linotype" w:eastAsia="Calibri" w:hAnsi="Palatino Linotype" w:cs="Tahoma"/>
          <w:bCs/>
          <w:sz w:val="22"/>
          <w:szCs w:val="22"/>
          <w:lang w:val="es-ES" w:eastAsia="es-MX"/>
        </w:rPr>
      </w:pPr>
      <w:r w:rsidRPr="00222027">
        <w:rPr>
          <w:rFonts w:ascii="Palatino Linotype" w:hAnsi="Palatino Linotype" w:cs="Tahoma"/>
          <w:iCs/>
          <w:sz w:val="22"/>
          <w:szCs w:val="22"/>
          <w:lang w:eastAsia="es-MX"/>
        </w:rPr>
        <w:t>Por qué motivo el tiempo, que se le otorga al Sujeto Obligado para dar respuesta, en la modalidad elegida a la solicitud de información, no le es suficiente</w:t>
      </w:r>
      <w:r w:rsidRPr="00222027">
        <w:rPr>
          <w:rFonts w:ascii="Palatino Linotype" w:eastAsia="Calibri" w:hAnsi="Palatino Linotype" w:cs="Tahoma"/>
          <w:bCs/>
          <w:sz w:val="22"/>
          <w:szCs w:val="22"/>
          <w:lang w:val="es-ES" w:eastAsia="es-MX"/>
        </w:rPr>
        <w:t>, y</w:t>
      </w:r>
    </w:p>
    <w:p w14:paraId="102D0F66" w14:textId="77777777" w:rsidR="003126B4" w:rsidRPr="00222027" w:rsidRDefault="003126B4" w:rsidP="003126B4">
      <w:pPr>
        <w:spacing w:line="360" w:lineRule="auto"/>
        <w:contextualSpacing/>
        <w:jc w:val="both"/>
        <w:rPr>
          <w:rFonts w:ascii="Palatino Linotype" w:eastAsia="Calibri" w:hAnsi="Palatino Linotype" w:cs="Tahoma"/>
          <w:bCs/>
          <w:sz w:val="22"/>
          <w:szCs w:val="22"/>
          <w:lang w:val="es-ES" w:eastAsia="es-MX"/>
        </w:rPr>
      </w:pPr>
    </w:p>
    <w:p w14:paraId="2BB46438" w14:textId="77777777" w:rsidR="003126B4" w:rsidRPr="00222027" w:rsidRDefault="003126B4" w:rsidP="003126B4">
      <w:pPr>
        <w:numPr>
          <w:ilvl w:val="0"/>
          <w:numId w:val="3"/>
        </w:numPr>
        <w:spacing w:line="360" w:lineRule="auto"/>
        <w:contextualSpacing/>
        <w:jc w:val="both"/>
        <w:rPr>
          <w:rFonts w:ascii="Palatino Linotype" w:eastAsia="Calibri" w:hAnsi="Palatino Linotype" w:cs="Tahoma"/>
          <w:bCs/>
          <w:sz w:val="22"/>
          <w:szCs w:val="22"/>
          <w:lang w:val="es-ES" w:eastAsia="es-MX"/>
        </w:rPr>
      </w:pPr>
      <w:r w:rsidRPr="00222027">
        <w:rPr>
          <w:rFonts w:ascii="Palatino Linotype" w:eastAsia="Calibri" w:hAnsi="Palatino Linotype" w:cs="Tahoma"/>
          <w:bCs/>
          <w:sz w:val="22"/>
          <w:szCs w:val="22"/>
          <w:lang w:val="es-ES" w:eastAsia="es-MX"/>
        </w:rPr>
        <w:t>La cantidad de recursos humanos y materiales con los que cuenta el Sujeto Obligado son insuficientes.</w:t>
      </w:r>
    </w:p>
    <w:p w14:paraId="4275799B" w14:textId="77777777" w:rsidR="003126B4" w:rsidRPr="00222027" w:rsidRDefault="003126B4" w:rsidP="003126B4">
      <w:pPr>
        <w:spacing w:line="360" w:lineRule="auto"/>
        <w:contextualSpacing/>
        <w:jc w:val="both"/>
        <w:rPr>
          <w:rFonts w:ascii="Palatino Linotype" w:hAnsi="Palatino Linotype"/>
          <w:bCs/>
          <w:sz w:val="22"/>
          <w:szCs w:val="22"/>
        </w:rPr>
      </w:pPr>
    </w:p>
    <w:p w14:paraId="2FC7112B" w14:textId="77777777" w:rsidR="003126B4" w:rsidRPr="00222027" w:rsidRDefault="003126B4" w:rsidP="003126B4">
      <w:pPr>
        <w:tabs>
          <w:tab w:val="left" w:pos="4667"/>
        </w:tabs>
        <w:spacing w:line="360" w:lineRule="auto"/>
        <w:contextualSpacing/>
        <w:jc w:val="both"/>
        <w:rPr>
          <w:rFonts w:ascii="Palatino Linotype" w:hAnsi="Palatino Linotype"/>
          <w:sz w:val="22"/>
          <w:szCs w:val="22"/>
        </w:rPr>
      </w:pPr>
      <w:bookmarkStart w:id="2" w:name="_Hlk144895931"/>
      <w:r w:rsidRPr="00222027">
        <w:rPr>
          <w:rFonts w:ascii="Palatino Linotype" w:hAnsi="Palatino Linotype"/>
          <w:color w:val="000000"/>
          <w:sz w:val="22"/>
          <w:szCs w:val="22"/>
          <w:lang w:eastAsia="en-US"/>
        </w:rPr>
        <w:t xml:space="preserve">Ahora bien, el Ente Recurrido precisó </w:t>
      </w:r>
      <w:bookmarkEnd w:id="2"/>
      <w:r w:rsidRPr="00222027">
        <w:rPr>
          <w:rFonts w:ascii="Palatino Linotype" w:hAnsi="Palatino Linotype"/>
          <w:color w:val="000000"/>
          <w:sz w:val="22"/>
          <w:szCs w:val="22"/>
          <w:lang w:eastAsia="en-US"/>
        </w:rPr>
        <w:t xml:space="preserve">que ponía a disposición del Recurrente la información mediante consulta directa, </w:t>
      </w:r>
      <w:r w:rsidRPr="00222027">
        <w:rPr>
          <w:rFonts w:ascii="Palatino Linotype" w:hAnsi="Palatino Linotype"/>
          <w:sz w:val="22"/>
          <w:szCs w:val="22"/>
        </w:rPr>
        <w:t>derivado de los procesos de entrega recepción, la falta de personal, y capacidad técnica, situación que fue sustentada mediante e</w:t>
      </w:r>
      <w:r w:rsidRPr="00222027">
        <w:rPr>
          <w:rFonts w:ascii="Palatino Linotype" w:eastAsia="Calibri" w:hAnsi="Palatino Linotype" w:cs="Tahoma"/>
          <w:bCs/>
          <w:color w:val="000000"/>
          <w:sz w:val="22"/>
          <w:szCs w:val="22"/>
          <w:lang w:val="es-ES"/>
        </w:rPr>
        <w:t xml:space="preserve">l </w:t>
      </w:r>
      <w:r w:rsidRPr="00222027">
        <w:rPr>
          <w:rFonts w:ascii="Palatino Linotype" w:hAnsi="Palatino Linotype" w:cs="Tahoma"/>
          <w:sz w:val="22"/>
          <w:szCs w:val="22"/>
        </w:rPr>
        <w:t xml:space="preserve">Acta de la Octogésima </w:t>
      </w:r>
      <w:r w:rsidR="006364B8" w:rsidRPr="00222027">
        <w:rPr>
          <w:rFonts w:ascii="Palatino Linotype" w:hAnsi="Palatino Linotype" w:cs="Tahoma"/>
          <w:sz w:val="22"/>
          <w:szCs w:val="22"/>
        </w:rPr>
        <w:t>Cuarta</w:t>
      </w:r>
      <w:r w:rsidRPr="00222027">
        <w:rPr>
          <w:rFonts w:ascii="Palatino Linotype" w:hAnsi="Palatino Linotype" w:cs="Tahoma"/>
          <w:sz w:val="22"/>
          <w:szCs w:val="22"/>
        </w:rPr>
        <w:t xml:space="preserve"> Sesión del Comité de Transparencia del Ayuntamiento de Temamatla</w:t>
      </w:r>
      <w:r w:rsidRPr="00222027">
        <w:rPr>
          <w:rFonts w:ascii="Palatino Linotype" w:hAnsi="Palatino Linotype"/>
          <w:sz w:val="22"/>
          <w:szCs w:val="22"/>
        </w:rPr>
        <w:t>.</w:t>
      </w:r>
    </w:p>
    <w:p w14:paraId="02EA5AA5" w14:textId="77777777" w:rsidR="003126B4" w:rsidRPr="00222027" w:rsidRDefault="003126B4" w:rsidP="003126B4">
      <w:pPr>
        <w:tabs>
          <w:tab w:val="left" w:pos="4667"/>
        </w:tabs>
        <w:spacing w:line="360" w:lineRule="auto"/>
        <w:contextualSpacing/>
        <w:jc w:val="both"/>
        <w:rPr>
          <w:rFonts w:ascii="Palatino Linotype" w:hAnsi="Palatino Linotype"/>
          <w:sz w:val="22"/>
          <w:szCs w:val="22"/>
        </w:rPr>
      </w:pPr>
    </w:p>
    <w:p w14:paraId="73A40C02" w14:textId="77777777" w:rsidR="003126B4" w:rsidRPr="00222027" w:rsidRDefault="003126B4" w:rsidP="003126B4">
      <w:pPr>
        <w:spacing w:line="360" w:lineRule="auto"/>
        <w:ind w:right="-28"/>
        <w:contextualSpacing/>
        <w:jc w:val="both"/>
        <w:rPr>
          <w:rFonts w:ascii="Palatino Linotype" w:eastAsia="Calibri" w:hAnsi="Palatino Linotype" w:cs="Tahoma"/>
          <w:bCs/>
          <w:color w:val="000000"/>
          <w:sz w:val="22"/>
          <w:szCs w:val="22"/>
        </w:rPr>
      </w:pPr>
      <w:r w:rsidRPr="00222027">
        <w:rPr>
          <w:rFonts w:ascii="Palatino Linotype" w:eastAsia="Calibri" w:hAnsi="Palatino Linotype" w:cs="Tahoma"/>
          <w:bCs/>
          <w:color w:val="000000"/>
          <w:sz w:val="22"/>
          <w:szCs w:val="22"/>
        </w:rPr>
        <w:t>Conforme a lo anterior, se logra vislumbrar que si bien, el Ente Recurrido precisó en respuesta que ponía a disposición del ahora Recurrente la documentación peticionada en consulta directa, en las oficinas del Sujeto Obligado; sin embargo, este Instituto considera que omitió fundar y motivar el cambio de modalidad, pues no precisó las siguientes circunstancias:</w:t>
      </w:r>
    </w:p>
    <w:p w14:paraId="776D9F0A" w14:textId="77777777" w:rsidR="003126B4" w:rsidRPr="00222027" w:rsidRDefault="003126B4" w:rsidP="003126B4">
      <w:pPr>
        <w:spacing w:line="360" w:lineRule="auto"/>
        <w:ind w:right="-28"/>
        <w:contextualSpacing/>
        <w:jc w:val="both"/>
        <w:rPr>
          <w:rFonts w:ascii="Palatino Linotype" w:eastAsia="Calibri" w:hAnsi="Palatino Linotype" w:cs="Tahoma"/>
          <w:bCs/>
          <w:color w:val="000000"/>
          <w:sz w:val="22"/>
          <w:szCs w:val="22"/>
        </w:rPr>
      </w:pPr>
    </w:p>
    <w:p w14:paraId="437B2C35" w14:textId="77777777" w:rsidR="003126B4" w:rsidRPr="00222027" w:rsidRDefault="003126B4" w:rsidP="003126B4">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222027">
        <w:rPr>
          <w:rFonts w:ascii="Palatino Linotype" w:eastAsia="Calibri" w:hAnsi="Palatino Linotype" w:cs="Tahoma"/>
          <w:bCs/>
          <w:color w:val="000000"/>
          <w:szCs w:val="22"/>
          <w:lang w:val="es-ES" w:eastAsia="en-US"/>
        </w:rPr>
        <w:t>El total de hojas que daban cuenta de las actas por todas las áreas;</w:t>
      </w:r>
    </w:p>
    <w:p w14:paraId="675BC48B" w14:textId="77777777" w:rsidR="003126B4" w:rsidRPr="00222027" w:rsidRDefault="003126B4" w:rsidP="003126B4">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222027">
        <w:rPr>
          <w:rFonts w:ascii="Palatino Linotype" w:eastAsia="Calibri" w:hAnsi="Palatino Linotype" w:cs="Tahoma"/>
          <w:bCs/>
          <w:color w:val="000000"/>
          <w:szCs w:val="22"/>
          <w:lang w:val="es-ES" w:eastAsia="en-US"/>
        </w:rPr>
        <w:t>La ubicación de los documentos que daban cuenta de la información solicitada;</w:t>
      </w:r>
    </w:p>
    <w:p w14:paraId="468FF9CA" w14:textId="77777777" w:rsidR="003126B4" w:rsidRPr="00222027" w:rsidRDefault="003126B4" w:rsidP="003126B4">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222027">
        <w:rPr>
          <w:rFonts w:ascii="Palatino Linotype" w:eastAsia="Calibri" w:hAnsi="Palatino Linotype" w:cs="Tahoma"/>
          <w:bCs/>
          <w:color w:val="000000"/>
          <w:szCs w:val="22"/>
          <w:lang w:val="es-ES" w:eastAsia="en-US"/>
        </w:rPr>
        <w:t>La forma en que se encontraba la información (físico o digital);</w:t>
      </w:r>
    </w:p>
    <w:p w14:paraId="1C6E8670" w14:textId="77777777" w:rsidR="003126B4" w:rsidRPr="00222027" w:rsidRDefault="003126B4" w:rsidP="003126B4">
      <w:pPr>
        <w:pStyle w:val="Prrafodelista"/>
        <w:numPr>
          <w:ilvl w:val="0"/>
          <w:numId w:val="4"/>
        </w:numPr>
        <w:spacing w:line="360" w:lineRule="auto"/>
        <w:jc w:val="both"/>
        <w:rPr>
          <w:rFonts w:ascii="Palatino Linotype" w:eastAsia="Calibri" w:hAnsi="Palatino Linotype" w:cs="Tahoma"/>
          <w:bCs/>
          <w:color w:val="000000"/>
          <w:szCs w:val="22"/>
          <w:lang w:val="es-ES" w:eastAsia="en-US"/>
        </w:rPr>
      </w:pPr>
      <w:r w:rsidRPr="00222027">
        <w:rPr>
          <w:rFonts w:ascii="Palatino Linotype" w:eastAsia="Calibri" w:hAnsi="Palatino Linotype" w:cs="Tahoma"/>
          <w:bCs/>
          <w:color w:val="000000"/>
          <w:szCs w:val="22"/>
          <w:lang w:val="es-ES" w:eastAsia="en-US"/>
        </w:rPr>
        <w:t>Las capacidades técnicas y humanas con las que contaba el Sujeto Obligado.</w:t>
      </w:r>
    </w:p>
    <w:p w14:paraId="5728382C" w14:textId="77777777" w:rsidR="003126B4" w:rsidRPr="00222027" w:rsidRDefault="003126B4" w:rsidP="003126B4">
      <w:pPr>
        <w:tabs>
          <w:tab w:val="left" w:pos="4667"/>
        </w:tabs>
        <w:spacing w:line="360" w:lineRule="auto"/>
        <w:contextualSpacing/>
        <w:jc w:val="both"/>
        <w:rPr>
          <w:rFonts w:ascii="Palatino Linotype" w:hAnsi="Palatino Linotype"/>
          <w:sz w:val="22"/>
          <w:szCs w:val="22"/>
        </w:rPr>
      </w:pPr>
    </w:p>
    <w:p w14:paraId="3CFFE6BF" w14:textId="77777777" w:rsidR="003126B4" w:rsidRPr="00222027" w:rsidRDefault="003126B4" w:rsidP="003126B4">
      <w:pPr>
        <w:spacing w:line="360" w:lineRule="auto"/>
        <w:contextualSpacing/>
        <w:jc w:val="both"/>
        <w:rPr>
          <w:rFonts w:ascii="Palatino Linotype" w:hAnsi="Palatino Linotype" w:cs="Tahoma"/>
          <w:bCs/>
          <w:sz w:val="22"/>
          <w:szCs w:val="22"/>
        </w:rPr>
      </w:pPr>
      <w:r w:rsidRPr="00222027">
        <w:rPr>
          <w:rFonts w:ascii="Palatino Linotype" w:hAnsi="Palatino Linotype" w:cs="Tahoma"/>
          <w:bCs/>
          <w:sz w:val="22"/>
          <w:szCs w:val="22"/>
        </w:rPr>
        <w:t xml:space="preserve">Aunado al hecho, a que este Instituto no tiene elementos para acreditar que las pólizas de egresos y las facturas por la </w:t>
      </w:r>
      <w:r w:rsidR="006364B8" w:rsidRPr="00222027">
        <w:rPr>
          <w:rFonts w:ascii="Palatino Linotype" w:hAnsi="Palatino Linotype" w:cs="Tahoma"/>
          <w:bCs/>
          <w:sz w:val="22"/>
          <w:szCs w:val="22"/>
        </w:rPr>
        <w:t>public</w:t>
      </w:r>
      <w:r w:rsidRPr="00222027">
        <w:rPr>
          <w:rFonts w:ascii="Palatino Linotype" w:hAnsi="Palatino Linotype" w:cs="Tahoma"/>
          <w:bCs/>
          <w:sz w:val="22"/>
          <w:szCs w:val="22"/>
        </w:rPr>
        <w:t xml:space="preserve">ación del </w:t>
      </w:r>
      <w:r w:rsidR="006364B8" w:rsidRPr="00222027">
        <w:rPr>
          <w:rFonts w:ascii="Palatino Linotype" w:hAnsi="Palatino Linotype" w:cs="Tahoma"/>
          <w:bCs/>
          <w:sz w:val="22"/>
          <w:szCs w:val="22"/>
        </w:rPr>
        <w:t xml:space="preserve">Bando </w:t>
      </w:r>
      <w:r w:rsidRPr="00222027">
        <w:rPr>
          <w:rFonts w:ascii="Palatino Linotype" w:hAnsi="Palatino Linotype" w:cs="Tahoma"/>
          <w:bCs/>
          <w:sz w:val="22"/>
          <w:szCs w:val="22"/>
        </w:rPr>
        <w:t>Municipal de Temamatla</w:t>
      </w:r>
      <w:r w:rsidR="006364B8" w:rsidRPr="00222027">
        <w:rPr>
          <w:rFonts w:ascii="Palatino Linotype" w:hAnsi="Palatino Linotype" w:cs="Tahoma"/>
          <w:bCs/>
          <w:sz w:val="22"/>
          <w:szCs w:val="22"/>
        </w:rPr>
        <w:t xml:space="preserve"> de los ejercicios fiscales </w:t>
      </w:r>
      <w:r w:rsidR="006277A3" w:rsidRPr="00222027">
        <w:rPr>
          <w:rFonts w:ascii="Palatino Linotype" w:hAnsi="Palatino Linotype" w:cs="Tahoma"/>
          <w:bCs/>
          <w:sz w:val="22"/>
          <w:szCs w:val="22"/>
        </w:rPr>
        <w:t>dos mil veintidós, dos mil veintitrés y dos mil veinticuatro</w:t>
      </w:r>
      <w:r w:rsidRPr="00222027">
        <w:rPr>
          <w:rFonts w:ascii="Palatino Linotype" w:hAnsi="Palatino Linotype" w:cs="Tahoma"/>
          <w:bCs/>
          <w:sz w:val="22"/>
          <w:szCs w:val="22"/>
        </w:rPr>
        <w:t xml:space="preserve"> asciendan a más de ocho </w:t>
      </w:r>
      <w:r w:rsidRPr="00222027">
        <w:rPr>
          <w:rFonts w:ascii="Palatino Linotype" w:hAnsi="Palatino Linotype" w:cs="Tahoma"/>
          <w:bCs/>
          <w:sz w:val="22"/>
          <w:szCs w:val="22"/>
        </w:rPr>
        <w:lastRenderedPageBreak/>
        <w:t xml:space="preserve">mil hojas, toda vez que se elabora </w:t>
      </w:r>
      <w:r w:rsidR="006277A3" w:rsidRPr="00222027">
        <w:rPr>
          <w:rFonts w:ascii="Palatino Linotype" w:hAnsi="Palatino Linotype" w:cs="Tahoma"/>
          <w:bCs/>
          <w:sz w:val="22"/>
          <w:szCs w:val="22"/>
        </w:rPr>
        <w:t>una vez al año</w:t>
      </w:r>
      <w:r w:rsidRPr="00222027">
        <w:rPr>
          <w:rFonts w:ascii="Palatino Linotype" w:hAnsi="Palatino Linotype" w:cs="Tahoma"/>
          <w:bCs/>
          <w:sz w:val="22"/>
          <w:szCs w:val="22"/>
        </w:rPr>
        <w:t>, aunado al hecho de que no se localizó algún indicio de que haya adjudicado algún contrato para las actividades solicitadas, pues pudieron ser realizadas por el propio personal del Ayuntamiento.</w:t>
      </w:r>
    </w:p>
    <w:p w14:paraId="40440368" w14:textId="77777777" w:rsidR="003126B4" w:rsidRPr="00222027" w:rsidRDefault="003126B4" w:rsidP="003126B4">
      <w:pPr>
        <w:tabs>
          <w:tab w:val="left" w:pos="4667"/>
        </w:tabs>
        <w:spacing w:line="360" w:lineRule="auto"/>
        <w:contextualSpacing/>
        <w:jc w:val="both"/>
        <w:rPr>
          <w:rFonts w:ascii="Palatino Linotype" w:hAnsi="Palatino Linotype"/>
          <w:sz w:val="22"/>
          <w:szCs w:val="22"/>
        </w:rPr>
      </w:pPr>
    </w:p>
    <w:p w14:paraId="0C437457" w14:textId="77777777" w:rsidR="003126B4" w:rsidRPr="00222027" w:rsidRDefault="003126B4" w:rsidP="003126B4">
      <w:pPr>
        <w:spacing w:line="360" w:lineRule="auto"/>
        <w:ind w:right="-28"/>
        <w:contextualSpacing/>
        <w:jc w:val="both"/>
        <w:rPr>
          <w:rFonts w:ascii="Palatino Linotype" w:hAnsi="Palatino Linotype" w:cs="Tahoma"/>
          <w:iCs/>
          <w:sz w:val="22"/>
          <w:szCs w:val="22"/>
        </w:rPr>
      </w:pPr>
      <w:r w:rsidRPr="00222027">
        <w:rPr>
          <w:rFonts w:ascii="Palatino Linotype" w:eastAsia="Calibri" w:hAnsi="Palatino Linotype" w:cs="Tahoma"/>
          <w:bCs/>
          <w:color w:val="000000"/>
          <w:sz w:val="22"/>
          <w:szCs w:val="22"/>
          <w:lang w:val="es-ES"/>
        </w:rPr>
        <w:t>Conforme a lo anterior, el Ayuntamiento de Temamatla</w:t>
      </w:r>
      <w:r w:rsidRPr="00222027">
        <w:rPr>
          <w:rFonts w:ascii="Palatino Linotype" w:hAnsi="Palatino Linotype" w:cs="Tahoma"/>
          <w:iCs/>
          <w:sz w:val="22"/>
          <w:szCs w:val="22"/>
        </w:rPr>
        <w:t xml:space="preserve">, no acreditó la imposibilidad técnica para acreditar el cambio de modalidad a consulta directa, lo cual da como resultado que el agravio resulte </w:t>
      </w:r>
      <w:r w:rsidRPr="00222027">
        <w:rPr>
          <w:rFonts w:ascii="Palatino Linotype" w:hAnsi="Palatino Linotype" w:cs="Tahoma"/>
          <w:b/>
          <w:bCs/>
          <w:iCs/>
          <w:sz w:val="22"/>
          <w:szCs w:val="22"/>
        </w:rPr>
        <w:t xml:space="preserve">FUNDADO, </w:t>
      </w:r>
      <w:r w:rsidRPr="00222027">
        <w:rPr>
          <w:rFonts w:ascii="Palatino Linotype" w:hAnsi="Palatino Linotype" w:cs="Tahoma"/>
          <w:iCs/>
          <w:sz w:val="22"/>
          <w:szCs w:val="22"/>
        </w:rPr>
        <w:t>pues en el presente caso, la cantidad de hojas no sobrepasa las capacidades del SAIMEX.</w:t>
      </w:r>
    </w:p>
    <w:p w14:paraId="12D2F2FE" w14:textId="77777777" w:rsidR="003126B4" w:rsidRPr="00222027" w:rsidRDefault="003126B4" w:rsidP="003126B4">
      <w:pPr>
        <w:spacing w:line="360" w:lineRule="auto"/>
        <w:contextualSpacing/>
        <w:jc w:val="both"/>
        <w:rPr>
          <w:rFonts w:ascii="Palatino Linotype" w:hAnsi="Palatino Linotype"/>
          <w:bCs/>
          <w:sz w:val="22"/>
          <w:szCs w:val="22"/>
        </w:rPr>
      </w:pPr>
    </w:p>
    <w:p w14:paraId="41C0B564" w14:textId="77777777" w:rsidR="003126B4" w:rsidRPr="00222027" w:rsidRDefault="003126B4" w:rsidP="003126B4">
      <w:pPr>
        <w:spacing w:line="360" w:lineRule="auto"/>
        <w:contextualSpacing/>
        <w:jc w:val="both"/>
        <w:rPr>
          <w:rFonts w:ascii="Palatino Linotype" w:eastAsia="Calibri" w:hAnsi="Palatino Linotype" w:cs="Tahoma"/>
          <w:color w:val="000000"/>
          <w:sz w:val="22"/>
          <w:szCs w:val="22"/>
          <w:lang w:eastAsia="en-US"/>
        </w:rPr>
      </w:pPr>
      <w:r w:rsidRPr="00222027">
        <w:rPr>
          <w:rFonts w:ascii="Palatino Linotype" w:eastAsia="Calibri" w:hAnsi="Palatino Linotype" w:cs="Tahoma"/>
          <w:sz w:val="22"/>
          <w:szCs w:val="22"/>
        </w:rPr>
        <w:t>Lo anterior, toma sustento en</w:t>
      </w:r>
      <w:r w:rsidRPr="00222027">
        <w:rPr>
          <w:rFonts w:ascii="Palatino Linotype" w:eastAsia="Calibri" w:hAnsi="Palatino Linotype" w:cs="Tahoma"/>
          <w:bCs/>
          <w:iCs/>
          <w:color w:val="000000"/>
          <w:sz w:val="22"/>
          <w:szCs w:val="22"/>
          <w:lang w:eastAsia="en-US"/>
        </w:rPr>
        <w:t xml:space="preserve"> </w:t>
      </w:r>
      <w:r w:rsidRPr="00222027">
        <w:rPr>
          <w:rFonts w:ascii="Palatino Linotype" w:eastAsia="Calibri" w:hAnsi="Palatino Linotype" w:cs="Tahoma"/>
          <w:color w:val="000000"/>
          <w:sz w:val="22"/>
          <w:szCs w:val="22"/>
          <w:lang w:eastAsia="en-US"/>
        </w:rPr>
        <w:t>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quinientos megabytes o su equivalente a ocho mil fojas.</w:t>
      </w:r>
    </w:p>
    <w:p w14:paraId="18FBA33C" w14:textId="77777777" w:rsidR="003126B4" w:rsidRPr="00222027" w:rsidRDefault="003126B4" w:rsidP="003126B4">
      <w:pPr>
        <w:spacing w:line="360" w:lineRule="auto"/>
        <w:contextualSpacing/>
        <w:jc w:val="both"/>
        <w:rPr>
          <w:rFonts w:ascii="Palatino Linotype" w:eastAsia="Calibri" w:hAnsi="Palatino Linotype" w:cs="Tahoma"/>
          <w:color w:val="000000"/>
          <w:sz w:val="22"/>
          <w:szCs w:val="22"/>
          <w:lang w:eastAsia="en-US"/>
        </w:rPr>
      </w:pPr>
    </w:p>
    <w:p w14:paraId="08B1E97A" w14:textId="187856AF" w:rsidR="003126B4" w:rsidRPr="00222027" w:rsidRDefault="003126B4" w:rsidP="003126B4">
      <w:pPr>
        <w:tabs>
          <w:tab w:val="left" w:pos="4962"/>
        </w:tabs>
        <w:spacing w:line="360" w:lineRule="auto"/>
        <w:ind w:right="-28"/>
        <w:contextualSpacing/>
        <w:jc w:val="both"/>
        <w:rPr>
          <w:rFonts w:ascii="Palatino Linotype" w:hAnsi="Palatino Linotype" w:cs="Tahoma"/>
          <w:bCs/>
          <w:sz w:val="22"/>
          <w:szCs w:val="22"/>
        </w:rPr>
      </w:pPr>
      <w:r w:rsidRPr="00222027">
        <w:rPr>
          <w:rFonts w:ascii="Palatino Linotype" w:eastAsia="Calibri" w:hAnsi="Palatino Linotype" w:cs="Tahoma"/>
          <w:bCs/>
          <w:sz w:val="22"/>
          <w:szCs w:val="22"/>
        </w:rPr>
        <w:t xml:space="preserve">Por lo tanto, se considera que el Sujeto Obligado a través de sus unidades administrativas competentes deberá proporcionar las </w:t>
      </w:r>
      <w:r w:rsidR="00C81465" w:rsidRPr="00222027">
        <w:rPr>
          <w:rFonts w:ascii="Palatino Linotype" w:eastAsia="Calibri" w:hAnsi="Palatino Linotype" w:cs="Tahoma"/>
          <w:bCs/>
          <w:sz w:val="22"/>
          <w:szCs w:val="22"/>
        </w:rPr>
        <w:t>p</w:t>
      </w:r>
      <w:r w:rsidRPr="00222027">
        <w:rPr>
          <w:rFonts w:ascii="Palatino Linotype" w:eastAsia="Calibri" w:hAnsi="Palatino Linotype" w:cs="Tahoma"/>
          <w:bCs/>
          <w:sz w:val="22"/>
          <w:szCs w:val="22"/>
        </w:rPr>
        <w:t xml:space="preserve">ólizas de egresos y facturas de pago con las que contará al </w:t>
      </w:r>
      <w:r w:rsidR="00277764" w:rsidRPr="00222027">
        <w:rPr>
          <w:rFonts w:ascii="Palatino Linotype" w:eastAsia="Calibri" w:hAnsi="Palatino Linotype" w:cs="Tahoma"/>
          <w:bCs/>
          <w:sz w:val="22"/>
          <w:szCs w:val="22"/>
        </w:rPr>
        <w:t>cuatro</w:t>
      </w:r>
      <w:r w:rsidRPr="00222027">
        <w:rPr>
          <w:rFonts w:ascii="Palatino Linotype" w:eastAsia="Calibri" w:hAnsi="Palatino Linotype" w:cs="Tahoma"/>
          <w:bCs/>
          <w:sz w:val="22"/>
          <w:szCs w:val="22"/>
        </w:rPr>
        <w:t xml:space="preserve"> de octubre de dos mil veinticuatro, relacionadas con la publicación del </w:t>
      </w:r>
      <w:r w:rsidR="00C81465" w:rsidRPr="00222027">
        <w:rPr>
          <w:rFonts w:ascii="Palatino Linotype" w:eastAsia="Calibri" w:hAnsi="Palatino Linotype" w:cs="Tahoma"/>
          <w:bCs/>
          <w:sz w:val="22"/>
          <w:szCs w:val="22"/>
        </w:rPr>
        <w:t xml:space="preserve">Bando Municipal de Policía y Gobierno </w:t>
      </w:r>
      <w:r w:rsidR="00277764" w:rsidRPr="00222027">
        <w:rPr>
          <w:rFonts w:ascii="Palatino Linotype" w:eastAsia="Calibri" w:hAnsi="Palatino Linotype" w:cs="Tahoma"/>
          <w:bCs/>
          <w:sz w:val="22"/>
          <w:szCs w:val="22"/>
        </w:rPr>
        <w:t xml:space="preserve">de Temamatla, para los ejercicios fiscales dos mil veintidós, dos mil veintitrés y dos mil veinticuatro, </w:t>
      </w:r>
      <w:r w:rsidRPr="00222027">
        <w:rPr>
          <w:rFonts w:ascii="Palatino Linotype" w:eastAsia="Calibri" w:hAnsi="Palatino Linotype" w:cs="Tahoma"/>
          <w:bCs/>
          <w:sz w:val="22"/>
          <w:szCs w:val="22"/>
        </w:rPr>
        <w:t>ya que como se señaló en párrafos anteriores, de dichas documentales se puede obtener el otro dato requerido, a saber, el monto gastado; d</w:t>
      </w:r>
      <w:r w:rsidRPr="00222027">
        <w:rPr>
          <w:rFonts w:ascii="Palatino Linotype" w:hAnsi="Palatino Linotype" w:cs="Tahoma"/>
          <w:bCs/>
          <w:sz w:val="22"/>
          <w:szCs w:val="22"/>
        </w:rPr>
        <w:t xml:space="preserve">icha circunstancia toma sustento </w:t>
      </w:r>
      <w:r w:rsidRPr="00222027">
        <w:rPr>
          <w:rFonts w:ascii="Palatino Linotype" w:hAnsi="Palatino Linotype" w:cs="Tahoma"/>
          <w:iCs/>
          <w:sz w:val="22"/>
          <w:szCs w:val="22"/>
          <w:lang w:val="es-ES"/>
        </w:rPr>
        <w:t xml:space="preserve">conforme al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w:t>
      </w:r>
      <w:r w:rsidRPr="00222027">
        <w:rPr>
          <w:rFonts w:ascii="Palatino Linotype" w:hAnsi="Palatino Linotype" w:cs="Tahoma"/>
          <w:iCs/>
          <w:sz w:val="22"/>
          <w:szCs w:val="22"/>
          <w:lang w:val="es-ES"/>
        </w:rPr>
        <w:lastRenderedPageBreak/>
        <w:t>procesamiento de la misma, ni presentarla conforme al interés del Solicitante, además, que tampoco deberá generarla, resumirla, efectuar cálculos o practicar investigaciones.</w:t>
      </w:r>
    </w:p>
    <w:p w14:paraId="2C569509" w14:textId="77777777" w:rsidR="003126B4" w:rsidRPr="00222027" w:rsidRDefault="003126B4" w:rsidP="003126B4">
      <w:pPr>
        <w:spacing w:line="360" w:lineRule="auto"/>
        <w:contextualSpacing/>
        <w:jc w:val="both"/>
        <w:rPr>
          <w:rFonts w:ascii="Palatino Linotype" w:hAnsi="Palatino Linotype" w:cs="Tahoma"/>
          <w:iCs/>
          <w:sz w:val="22"/>
          <w:szCs w:val="22"/>
          <w:lang w:val="es-ES"/>
        </w:rPr>
      </w:pPr>
    </w:p>
    <w:p w14:paraId="10A03817" w14:textId="77777777" w:rsidR="003126B4" w:rsidRPr="00222027" w:rsidRDefault="003126B4" w:rsidP="003126B4">
      <w:pPr>
        <w:spacing w:line="360" w:lineRule="auto"/>
        <w:contextualSpacing/>
        <w:jc w:val="both"/>
        <w:rPr>
          <w:rFonts w:ascii="Palatino Linotype" w:hAnsi="Palatino Linotype" w:cs="Tahoma"/>
          <w:iCs/>
          <w:sz w:val="22"/>
          <w:szCs w:val="22"/>
          <w:lang w:val="es-ES"/>
        </w:rPr>
      </w:pPr>
      <w:r w:rsidRPr="00222027">
        <w:rPr>
          <w:rFonts w:ascii="Palatino Linotype" w:hAnsi="Palatino Linotype" w:cs="Tahoma"/>
          <w:iCs/>
          <w:sz w:val="22"/>
          <w:szCs w:val="22"/>
          <w:lang w:val="es-ES"/>
        </w:rPr>
        <w:t xml:space="preserve">De esta manera, el derecho de acceso a la información pública se satisface en aquellos casos en que se entregue el soporte documental en el que conste la información solicitada, sin necesidad de elaborar documentos </w:t>
      </w:r>
      <w:r w:rsidRPr="00222027">
        <w:rPr>
          <w:rFonts w:ascii="Palatino Linotype" w:hAnsi="Palatino Linotype" w:cs="Tahoma"/>
          <w:i/>
          <w:iCs/>
          <w:sz w:val="22"/>
          <w:szCs w:val="22"/>
          <w:lang w:val="es-ES"/>
        </w:rPr>
        <w:t>ad hoc;</w:t>
      </w:r>
      <w:r w:rsidRPr="00222027">
        <w:rPr>
          <w:rFonts w:ascii="Palatino Linotype" w:hAnsi="Palatino Linotype" w:cs="Tahoma"/>
          <w:iCs/>
          <w:sz w:val="22"/>
          <w:szCs w:val="22"/>
          <w:lang w:val="es-ES"/>
        </w:rPr>
        <w:t xml:space="preserve"> lo cual, toma sustento en el artículo 160 de la Ley de Transparencia y Acceso a la Información Pública del Estado de México y Municipios, el cual refiere que los sujetos obligados deberán entregar la información que obre en sus archivos. </w:t>
      </w:r>
    </w:p>
    <w:p w14:paraId="6D947836" w14:textId="77777777" w:rsidR="003126B4" w:rsidRPr="00222027" w:rsidRDefault="003126B4" w:rsidP="003126B4">
      <w:pPr>
        <w:spacing w:line="360" w:lineRule="auto"/>
        <w:contextualSpacing/>
        <w:jc w:val="both"/>
        <w:rPr>
          <w:rFonts w:ascii="Palatino Linotype" w:hAnsi="Palatino Linotype" w:cs="Tahoma"/>
          <w:bCs/>
          <w:iCs/>
          <w:sz w:val="22"/>
          <w:szCs w:val="22"/>
        </w:rPr>
      </w:pPr>
    </w:p>
    <w:p w14:paraId="73D48FBF" w14:textId="77777777" w:rsidR="003126B4" w:rsidRPr="00222027" w:rsidRDefault="003126B4" w:rsidP="003126B4">
      <w:pPr>
        <w:spacing w:line="360" w:lineRule="auto"/>
        <w:contextualSpacing/>
        <w:jc w:val="both"/>
        <w:rPr>
          <w:rFonts w:ascii="Palatino Linotype" w:hAnsi="Palatino Linotype" w:cs="Tahoma"/>
          <w:iCs/>
          <w:sz w:val="22"/>
          <w:szCs w:val="22"/>
          <w:lang w:val="es-ES"/>
        </w:rPr>
      </w:pPr>
      <w:r w:rsidRPr="00222027">
        <w:rPr>
          <w:rFonts w:ascii="Palatino Linotype" w:hAnsi="Palatino Linotype" w:cs="Tahoma"/>
          <w:iCs/>
          <w:sz w:val="22"/>
          <w:szCs w:val="22"/>
          <w:lang w:val="es-ES"/>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los documentos donde conste la información peticionada.</w:t>
      </w:r>
    </w:p>
    <w:p w14:paraId="3C9B9463" w14:textId="77777777" w:rsidR="003126B4" w:rsidRPr="00222027" w:rsidRDefault="003126B4" w:rsidP="003126B4">
      <w:pPr>
        <w:spacing w:line="360" w:lineRule="auto"/>
        <w:contextualSpacing/>
        <w:jc w:val="both"/>
        <w:rPr>
          <w:rFonts w:ascii="Palatino Linotype" w:hAnsi="Palatino Linotype" w:cs="Tahoma"/>
          <w:iCs/>
          <w:sz w:val="22"/>
          <w:szCs w:val="22"/>
          <w:lang w:val="es-ES"/>
        </w:rPr>
      </w:pPr>
    </w:p>
    <w:p w14:paraId="37987980" w14:textId="422F0695" w:rsidR="003126B4" w:rsidRPr="00222027" w:rsidRDefault="00C81465" w:rsidP="003126B4">
      <w:pPr>
        <w:spacing w:line="360" w:lineRule="auto"/>
        <w:contextualSpacing/>
        <w:jc w:val="both"/>
        <w:rPr>
          <w:rFonts w:ascii="Palatino Linotype" w:eastAsia="Calibri" w:hAnsi="Palatino Linotype" w:cs="Tahoma"/>
          <w:color w:val="000000"/>
          <w:sz w:val="22"/>
          <w:szCs w:val="22"/>
          <w:lang w:eastAsia="en-US"/>
        </w:rPr>
      </w:pPr>
      <w:r w:rsidRPr="00222027">
        <w:rPr>
          <w:rFonts w:ascii="Palatino Linotype" w:hAnsi="Palatino Linotype" w:cs="Tahoma"/>
          <w:iCs/>
          <w:sz w:val="22"/>
          <w:szCs w:val="22"/>
          <w:lang w:val="es-ES"/>
        </w:rPr>
        <w:t>En ese orden de ideas, este Instituto realizó una búsqueda en la página oficial del Sujeto Obligado, sus redes sociales oficiales y el Portal de Información Pública de Oficio Mexiquense y no se localizó algún indició respecto al gasto de la publicación de la Norma solicitado; por lo que, para el</w:t>
      </w:r>
      <w:r w:rsidR="003126B4" w:rsidRPr="00222027">
        <w:rPr>
          <w:rFonts w:ascii="Palatino Linotype" w:hAnsi="Palatino Linotype" w:cs="Tahoma"/>
          <w:iCs/>
          <w:sz w:val="22"/>
          <w:szCs w:val="22"/>
          <w:lang w:val="es-ES"/>
        </w:rPr>
        <w:t xml:space="preserve"> caso de que no haya erogado recursos </w:t>
      </w:r>
      <w:r w:rsidRPr="00222027">
        <w:rPr>
          <w:rFonts w:ascii="Palatino Linotype" w:hAnsi="Palatino Linotype" w:cs="Tahoma"/>
          <w:iCs/>
          <w:sz w:val="22"/>
          <w:szCs w:val="22"/>
          <w:lang w:val="es-ES"/>
        </w:rPr>
        <w:t>para la publicación de alguno de los Bandos referidos</w:t>
      </w:r>
      <w:r w:rsidR="003126B4" w:rsidRPr="00222027">
        <w:rPr>
          <w:rFonts w:ascii="Palatino Linotype" w:hAnsi="Palatino Linotype" w:cs="Tahoma"/>
          <w:iCs/>
          <w:sz w:val="22"/>
          <w:szCs w:val="22"/>
          <w:lang w:val="es-ES"/>
        </w:rPr>
        <w:t>, deberá hacerlo del conocimiento de la parte Recurrente, de manera clara y precisa, en términos del artículo 19, párrafo segundo, de la Ley de la materia.</w:t>
      </w:r>
    </w:p>
    <w:p w14:paraId="6F79EDAD" w14:textId="77777777" w:rsidR="003126B4" w:rsidRPr="00222027" w:rsidRDefault="003126B4" w:rsidP="003126B4">
      <w:pPr>
        <w:tabs>
          <w:tab w:val="left" w:pos="4667"/>
        </w:tabs>
        <w:spacing w:line="360" w:lineRule="auto"/>
        <w:contextualSpacing/>
        <w:jc w:val="both"/>
        <w:rPr>
          <w:rFonts w:ascii="Palatino Linotype" w:eastAsia="Calibri" w:hAnsi="Palatino Linotype"/>
          <w:sz w:val="22"/>
          <w:szCs w:val="22"/>
          <w:lang w:val="es-ES"/>
        </w:rPr>
      </w:pPr>
    </w:p>
    <w:p w14:paraId="339FFF4F" w14:textId="77777777" w:rsidR="003126B4" w:rsidRPr="00222027" w:rsidRDefault="003126B4" w:rsidP="003126B4">
      <w:pPr>
        <w:spacing w:line="360" w:lineRule="auto"/>
        <w:contextualSpacing/>
        <w:jc w:val="both"/>
        <w:rPr>
          <w:rFonts w:ascii="Palatino Linotype" w:hAnsi="Palatino Linotype" w:cs="Tahoma"/>
          <w:bCs/>
          <w:iCs/>
          <w:sz w:val="22"/>
          <w:szCs w:val="22"/>
          <w:lang w:val="es-ES"/>
        </w:rPr>
      </w:pPr>
      <w:r w:rsidRPr="00222027">
        <w:rPr>
          <w:rFonts w:ascii="Palatino Linotype" w:hAnsi="Palatino Linotype" w:cs="Tahoma"/>
          <w:bCs/>
          <w:iCs/>
          <w:sz w:val="22"/>
          <w:szCs w:val="22"/>
          <w:lang w:val="es-ES_tradnl"/>
        </w:rPr>
        <w:t>No pasa desapercibido para este Instituto que los documentos que den cuenta de lo solicitado, pudieran contener datos o información clasificada, como pudiera ser datos bancarios de los proveedores o prestadores de servicios; a</w:t>
      </w:r>
      <w:r w:rsidRPr="00222027">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w:t>
      </w:r>
      <w:r w:rsidRPr="00222027">
        <w:rPr>
          <w:rFonts w:ascii="Palatino Linotype" w:hAnsi="Palatino Linotype" w:cs="Tahoma"/>
          <w:bCs/>
          <w:iCs/>
          <w:sz w:val="22"/>
          <w:szCs w:val="22"/>
          <w:lang w:val="es-ES"/>
        </w:rPr>
        <w:lastRenderedPageBreak/>
        <w:t xml:space="preserve">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C123E1C" w14:textId="77777777" w:rsidR="003126B4" w:rsidRPr="00222027" w:rsidRDefault="003126B4" w:rsidP="003126B4">
      <w:pPr>
        <w:spacing w:line="360" w:lineRule="auto"/>
        <w:contextualSpacing/>
        <w:jc w:val="both"/>
        <w:rPr>
          <w:rFonts w:ascii="Palatino Linotype" w:hAnsi="Palatino Linotype" w:cs="Tahoma"/>
          <w:bCs/>
          <w:iCs/>
          <w:sz w:val="22"/>
          <w:szCs w:val="22"/>
          <w:lang w:val="es-ES"/>
        </w:rPr>
      </w:pPr>
    </w:p>
    <w:p w14:paraId="02E58BCC" w14:textId="77777777" w:rsidR="003126B4" w:rsidRPr="00222027" w:rsidRDefault="003126B4" w:rsidP="003126B4">
      <w:pPr>
        <w:spacing w:line="360" w:lineRule="auto"/>
        <w:contextualSpacing/>
        <w:jc w:val="both"/>
        <w:rPr>
          <w:rFonts w:ascii="Palatino Linotype" w:hAnsi="Palatino Linotype" w:cs="Tahoma"/>
          <w:bCs/>
          <w:iCs/>
          <w:sz w:val="22"/>
          <w:szCs w:val="22"/>
          <w:lang w:val="es-ES"/>
        </w:rPr>
      </w:pPr>
      <w:r w:rsidRPr="00222027">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B30B97F" w14:textId="77777777" w:rsidR="003126B4" w:rsidRPr="00222027" w:rsidRDefault="003126B4" w:rsidP="003126B4">
      <w:pPr>
        <w:tabs>
          <w:tab w:val="left" w:pos="4962"/>
        </w:tabs>
        <w:spacing w:line="360" w:lineRule="auto"/>
        <w:ind w:right="-28"/>
        <w:contextualSpacing/>
        <w:jc w:val="both"/>
        <w:rPr>
          <w:rFonts w:ascii="Palatino Linotype" w:hAnsi="Palatino Linotype" w:cs="Tahoma"/>
          <w:bCs/>
          <w:iCs/>
          <w:sz w:val="22"/>
          <w:szCs w:val="22"/>
          <w:lang w:eastAsia="es-MX"/>
        </w:rPr>
      </w:pPr>
    </w:p>
    <w:p w14:paraId="5749134E" w14:textId="77777777" w:rsidR="003126B4" w:rsidRPr="00222027" w:rsidRDefault="003126B4" w:rsidP="003126B4">
      <w:pPr>
        <w:spacing w:line="360" w:lineRule="auto"/>
        <w:contextualSpacing/>
        <w:jc w:val="both"/>
        <w:rPr>
          <w:rFonts w:ascii="Palatino Linotype" w:hAnsi="Palatino Linotype" w:cs="Tahoma"/>
          <w:b/>
          <w:sz w:val="22"/>
          <w:szCs w:val="22"/>
        </w:rPr>
      </w:pPr>
      <w:r w:rsidRPr="00222027">
        <w:rPr>
          <w:rFonts w:ascii="Palatino Linotype" w:hAnsi="Palatino Linotype" w:cs="Tahoma"/>
          <w:b/>
          <w:sz w:val="22"/>
          <w:szCs w:val="22"/>
        </w:rPr>
        <w:t>SEXTO. Decisión</w:t>
      </w:r>
    </w:p>
    <w:p w14:paraId="297683D5" w14:textId="77777777" w:rsidR="003126B4" w:rsidRPr="00222027" w:rsidRDefault="003126B4" w:rsidP="003126B4">
      <w:pPr>
        <w:spacing w:line="360" w:lineRule="auto"/>
        <w:contextualSpacing/>
        <w:jc w:val="both"/>
        <w:rPr>
          <w:rFonts w:ascii="Palatino Linotype" w:hAnsi="Palatino Linotype" w:cs="Tahoma"/>
          <w:b/>
          <w:sz w:val="22"/>
          <w:szCs w:val="22"/>
        </w:rPr>
      </w:pPr>
      <w:r w:rsidRPr="00222027">
        <w:rPr>
          <w:rFonts w:ascii="Palatino Linotype" w:hAnsi="Palatino Linotype" w:cs="Tahoma"/>
          <w:b/>
          <w:sz w:val="22"/>
          <w:szCs w:val="22"/>
        </w:rPr>
        <w:t xml:space="preserve"> </w:t>
      </w:r>
    </w:p>
    <w:p w14:paraId="42AC5CD1" w14:textId="77777777" w:rsidR="003126B4" w:rsidRPr="00222027" w:rsidRDefault="003126B4" w:rsidP="003126B4">
      <w:pPr>
        <w:spacing w:line="360" w:lineRule="auto"/>
        <w:contextualSpacing/>
        <w:jc w:val="both"/>
        <w:rPr>
          <w:rFonts w:ascii="Palatino Linotype" w:hAnsi="Palatino Linotype" w:cs="Tahoma"/>
          <w:bCs/>
          <w:iCs/>
          <w:sz w:val="22"/>
          <w:szCs w:val="22"/>
        </w:rPr>
      </w:pPr>
      <w:r w:rsidRPr="00222027">
        <w:rPr>
          <w:rFonts w:ascii="Palatino Linotype" w:hAnsi="Palatino Linotype" w:cs="Arial"/>
          <w:sz w:val="22"/>
          <w:szCs w:val="22"/>
        </w:rPr>
        <w:t xml:space="preserve">Con </w:t>
      </w:r>
      <w:r w:rsidRPr="00222027">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Pr="00222027">
        <w:rPr>
          <w:rFonts w:ascii="Palatino Linotype" w:hAnsi="Palatino Linotype" w:cs="Tahoma"/>
          <w:b/>
          <w:sz w:val="22"/>
          <w:szCs w:val="22"/>
        </w:rPr>
        <w:t>REVOCAR</w:t>
      </w:r>
      <w:r w:rsidRPr="00222027">
        <w:rPr>
          <w:rFonts w:ascii="Palatino Linotype" w:hAnsi="Palatino Linotype" w:cs="Tahoma"/>
          <w:sz w:val="22"/>
          <w:szCs w:val="22"/>
        </w:rPr>
        <w:t xml:space="preserve"> la respuesta otorgada a la solicitud de información</w:t>
      </w:r>
      <w:r w:rsidRPr="00222027">
        <w:rPr>
          <w:rFonts w:ascii="Palatino Linotype" w:hAnsi="Palatino Linotype" w:cs="Tahoma"/>
          <w:bCs/>
          <w:sz w:val="22"/>
          <w:szCs w:val="22"/>
        </w:rPr>
        <w:t xml:space="preserve">, a efecto de que previa búsqueda exhaustiva y razonable </w:t>
      </w:r>
      <w:r w:rsidRPr="00222027">
        <w:rPr>
          <w:rFonts w:ascii="Palatino Linotype" w:hAnsi="Palatino Linotype" w:cs="Tahoma"/>
          <w:sz w:val="22"/>
          <w:szCs w:val="22"/>
        </w:rPr>
        <w:t>en los archivos del</w:t>
      </w:r>
      <w:r w:rsidRPr="00222027">
        <w:rPr>
          <w:rFonts w:ascii="Palatino Linotype" w:hAnsi="Palatino Linotype" w:cs="Tahoma"/>
          <w:sz w:val="22"/>
          <w:szCs w:val="22"/>
          <w:lang w:val="es-ES"/>
        </w:rPr>
        <w:t xml:space="preserve"> Sujeto Obligado</w:t>
      </w:r>
      <w:r w:rsidRPr="00222027">
        <w:rPr>
          <w:rFonts w:ascii="Palatino Linotype" w:hAnsi="Palatino Linotype" w:cs="Tahoma"/>
          <w:bCs/>
          <w:sz w:val="22"/>
          <w:szCs w:val="22"/>
        </w:rPr>
        <w:t>, entregue, la información solicitada de manera completa.</w:t>
      </w:r>
      <w:r w:rsidRPr="00222027">
        <w:rPr>
          <w:rFonts w:ascii="Palatino Linotype" w:hAnsi="Palatino Linotype" w:cs="Tahoma"/>
          <w:bCs/>
          <w:iCs/>
          <w:sz w:val="22"/>
          <w:szCs w:val="22"/>
        </w:rPr>
        <w:t xml:space="preserve"> </w:t>
      </w:r>
    </w:p>
    <w:p w14:paraId="6971A0FB" w14:textId="77777777" w:rsidR="003126B4" w:rsidRPr="00222027" w:rsidRDefault="003126B4" w:rsidP="003126B4">
      <w:pPr>
        <w:spacing w:line="360" w:lineRule="auto"/>
        <w:contextualSpacing/>
        <w:jc w:val="both"/>
        <w:rPr>
          <w:rFonts w:ascii="Palatino Linotype" w:hAnsi="Palatino Linotype" w:cs="Tahoma"/>
          <w:bCs/>
          <w:iCs/>
          <w:sz w:val="22"/>
          <w:szCs w:val="22"/>
        </w:rPr>
      </w:pPr>
    </w:p>
    <w:p w14:paraId="47399BF8" w14:textId="77777777" w:rsidR="003126B4" w:rsidRPr="00222027" w:rsidRDefault="003126B4" w:rsidP="003126B4">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222027">
        <w:rPr>
          <w:rFonts w:ascii="Palatino Linotype" w:eastAsia="Calibri" w:hAnsi="Palatino Linotype" w:cs="Tahoma"/>
          <w:b/>
          <w:bCs/>
          <w:iCs/>
          <w:sz w:val="22"/>
          <w:szCs w:val="22"/>
          <w:lang w:val="es-ES" w:eastAsia="en-US"/>
        </w:rPr>
        <w:t>Términos de la Resolución para conocimiento del Particular.</w:t>
      </w:r>
    </w:p>
    <w:p w14:paraId="08214A52" w14:textId="77777777" w:rsidR="003126B4" w:rsidRPr="00222027" w:rsidRDefault="003126B4" w:rsidP="003126B4">
      <w:pPr>
        <w:spacing w:line="360" w:lineRule="auto"/>
        <w:contextualSpacing/>
        <w:jc w:val="both"/>
        <w:rPr>
          <w:rFonts w:ascii="Palatino Linotype" w:eastAsia="Calibri" w:hAnsi="Palatino Linotype" w:cs="Tahoma"/>
          <w:bCs/>
          <w:sz w:val="22"/>
          <w:szCs w:val="22"/>
        </w:rPr>
      </w:pPr>
    </w:p>
    <w:p w14:paraId="1B538AF4" w14:textId="7CF71DBC" w:rsidR="003126B4" w:rsidRPr="00222027"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Se le hace del conocimiento al ahora Recurrente que, en el presente asunto, se le concede la razón, pues el Sujeto Obligado no acreditó el cambio de modalidad propuesto, por lo que deberá proporcionar los documentos solicitados</w:t>
      </w:r>
      <w:r w:rsidRPr="00222027">
        <w:rPr>
          <w:rFonts w:ascii="Palatino Linotype" w:hAnsi="Palatino Linotype" w:cs="Tahoma"/>
          <w:sz w:val="22"/>
          <w:szCs w:val="22"/>
        </w:rPr>
        <w:t>.</w:t>
      </w:r>
      <w:r w:rsidRPr="00222027">
        <w:rPr>
          <w:rFonts w:ascii="Palatino Linotype" w:hAnsi="Palatino Linotype"/>
          <w:sz w:val="22"/>
          <w:szCs w:val="22"/>
        </w:rPr>
        <w:t xml:space="preserve"> </w:t>
      </w:r>
      <w:r w:rsidR="00C81465" w:rsidRPr="00222027">
        <w:rPr>
          <w:rFonts w:ascii="Palatino Linotype" w:eastAsia="Calibri" w:hAnsi="Palatino Linotype" w:cs="Tahoma"/>
          <w:bCs/>
          <w:iCs/>
          <w:sz w:val="22"/>
          <w:szCs w:val="22"/>
        </w:rPr>
        <w:t>L</w:t>
      </w:r>
      <w:r w:rsidRPr="00222027">
        <w:rPr>
          <w:rFonts w:ascii="Palatino Linotype" w:eastAsia="Calibri" w:hAnsi="Palatino Linotype" w:cs="Tahoma"/>
          <w:bCs/>
          <w:iCs/>
          <w:sz w:val="22"/>
          <w:szCs w:val="22"/>
        </w:rPr>
        <w:t xml:space="preserve">a labor </w:t>
      </w:r>
      <w:r w:rsidR="00C81465" w:rsidRPr="00222027">
        <w:rPr>
          <w:rFonts w:ascii="Palatino Linotype" w:eastAsia="Calibri" w:hAnsi="Palatino Linotype" w:cs="Tahoma"/>
          <w:bCs/>
          <w:iCs/>
          <w:sz w:val="22"/>
          <w:szCs w:val="22"/>
        </w:rPr>
        <w:t>del</w:t>
      </w:r>
      <w:r w:rsidRPr="00222027">
        <w:rPr>
          <w:rFonts w:ascii="Palatino Linotype" w:eastAsia="Calibri" w:hAnsi="Palatino Linotype" w:cs="Tahoma"/>
          <w:bCs/>
          <w:iCs/>
          <w:sz w:val="22"/>
          <w:szCs w:val="22"/>
        </w:rPr>
        <w:t xml:space="preserve"> </w:t>
      </w:r>
      <w:r w:rsidRPr="00222027">
        <w:rPr>
          <w:rFonts w:ascii="Palatino Linotype" w:eastAsia="Calibri" w:hAnsi="Palatino Linotype" w:cs="Tahoma"/>
          <w:bCs/>
          <w:iCs/>
          <w:sz w:val="22"/>
          <w:szCs w:val="22"/>
          <w:lang w:val="es-ES_tradnl" w:eastAsia="en-US"/>
        </w:rPr>
        <w:t>Instituto, es apoyar a la población a acceder a la información pública y garantizar la protección de los datos personales.</w:t>
      </w:r>
    </w:p>
    <w:p w14:paraId="6F067BC5" w14:textId="77777777" w:rsidR="003126B4" w:rsidRPr="00222027"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 xml:space="preserve"> </w:t>
      </w:r>
    </w:p>
    <w:p w14:paraId="66C71931" w14:textId="77777777" w:rsidR="003126B4" w:rsidRPr="00222027"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Por lo expuesto y fundado, este Pleno:</w:t>
      </w:r>
    </w:p>
    <w:p w14:paraId="7F1E6AE7" w14:textId="77777777" w:rsidR="003126B4" w:rsidRPr="00222027" w:rsidRDefault="003126B4" w:rsidP="003126B4">
      <w:pPr>
        <w:spacing w:line="360" w:lineRule="auto"/>
        <w:contextualSpacing/>
        <w:jc w:val="both"/>
        <w:rPr>
          <w:rFonts w:ascii="Palatino Linotype" w:hAnsi="Palatino Linotype"/>
          <w:sz w:val="22"/>
          <w:szCs w:val="22"/>
        </w:rPr>
      </w:pPr>
    </w:p>
    <w:p w14:paraId="4CF814A8" w14:textId="77777777" w:rsidR="003126B4" w:rsidRPr="00222027" w:rsidRDefault="003126B4" w:rsidP="003126B4">
      <w:pPr>
        <w:spacing w:line="360" w:lineRule="auto"/>
        <w:contextualSpacing/>
        <w:jc w:val="center"/>
        <w:rPr>
          <w:rFonts w:ascii="Palatino Linotype" w:hAnsi="Palatino Linotype"/>
          <w:b/>
          <w:bCs/>
          <w:sz w:val="22"/>
          <w:szCs w:val="22"/>
        </w:rPr>
      </w:pPr>
      <w:r w:rsidRPr="00222027">
        <w:rPr>
          <w:rFonts w:ascii="Palatino Linotype" w:hAnsi="Palatino Linotype"/>
          <w:b/>
          <w:bCs/>
          <w:sz w:val="22"/>
          <w:szCs w:val="22"/>
        </w:rPr>
        <w:lastRenderedPageBreak/>
        <w:t>R E S U E L V E</w:t>
      </w:r>
    </w:p>
    <w:p w14:paraId="643D4ADE" w14:textId="77777777" w:rsidR="003126B4" w:rsidRPr="00222027"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 xml:space="preserve"> </w:t>
      </w:r>
    </w:p>
    <w:p w14:paraId="1E6E1EB0" w14:textId="77777777" w:rsidR="003126B4" w:rsidRPr="00222027" w:rsidRDefault="003126B4" w:rsidP="003126B4">
      <w:pPr>
        <w:spacing w:line="360" w:lineRule="auto"/>
        <w:contextualSpacing/>
        <w:jc w:val="both"/>
        <w:rPr>
          <w:rFonts w:ascii="Palatino Linotype" w:hAnsi="Palatino Linotype"/>
          <w:b/>
          <w:bCs/>
          <w:sz w:val="22"/>
          <w:szCs w:val="22"/>
        </w:rPr>
      </w:pPr>
      <w:r w:rsidRPr="00222027">
        <w:rPr>
          <w:rFonts w:ascii="Palatino Linotype" w:hAnsi="Palatino Linotype"/>
          <w:b/>
          <w:bCs/>
          <w:sz w:val="22"/>
          <w:szCs w:val="22"/>
        </w:rPr>
        <w:t xml:space="preserve">PRIMERO. </w:t>
      </w:r>
      <w:r w:rsidRPr="00222027">
        <w:rPr>
          <w:rFonts w:ascii="Palatino Linotype" w:hAnsi="Palatino Linotype"/>
          <w:sz w:val="22"/>
          <w:szCs w:val="22"/>
        </w:rPr>
        <w:t xml:space="preserve">Se </w:t>
      </w:r>
      <w:r w:rsidRPr="00222027">
        <w:rPr>
          <w:rFonts w:ascii="Palatino Linotype" w:hAnsi="Palatino Linotype"/>
          <w:b/>
          <w:bCs/>
          <w:sz w:val="22"/>
          <w:szCs w:val="22"/>
        </w:rPr>
        <w:t xml:space="preserve">REVOCA </w:t>
      </w:r>
      <w:r w:rsidRPr="00222027">
        <w:rPr>
          <w:rFonts w:ascii="Palatino Linotype" w:hAnsi="Palatino Linotype"/>
          <w:bCs/>
          <w:sz w:val="22"/>
          <w:szCs w:val="22"/>
        </w:rPr>
        <w:t>la</w:t>
      </w:r>
      <w:r w:rsidRPr="00222027">
        <w:rPr>
          <w:rFonts w:ascii="Palatino Linotype" w:hAnsi="Palatino Linotype"/>
          <w:b/>
          <w:bCs/>
          <w:sz w:val="22"/>
          <w:szCs w:val="22"/>
        </w:rPr>
        <w:t xml:space="preserve"> </w:t>
      </w:r>
      <w:r w:rsidRPr="00222027">
        <w:rPr>
          <w:rFonts w:ascii="Palatino Linotype" w:hAnsi="Palatino Linotype"/>
          <w:sz w:val="22"/>
          <w:szCs w:val="22"/>
        </w:rPr>
        <w:t>respuesta entregada por el Ayuntamiento de Temamatla</w:t>
      </w:r>
      <w:r w:rsidRPr="00222027">
        <w:rPr>
          <w:rFonts w:ascii="Palatino Linotype" w:hAnsi="Palatino Linotype" w:cs="Tahoma"/>
          <w:sz w:val="22"/>
          <w:szCs w:val="22"/>
        </w:rPr>
        <w:t>,</w:t>
      </w:r>
      <w:r w:rsidRPr="00222027">
        <w:rPr>
          <w:rFonts w:ascii="Palatino Linotype" w:hAnsi="Palatino Linotype"/>
          <w:sz w:val="22"/>
          <w:szCs w:val="22"/>
        </w:rPr>
        <w:t xml:space="preserve"> a la solicitud de información</w:t>
      </w:r>
      <w:r w:rsidRPr="00222027">
        <w:rPr>
          <w:rFonts w:ascii="Palatino Linotype" w:hAnsi="Palatino Linotype"/>
          <w:b/>
          <w:bCs/>
          <w:sz w:val="22"/>
          <w:szCs w:val="22"/>
        </w:rPr>
        <w:t xml:space="preserve"> </w:t>
      </w:r>
      <w:r w:rsidRPr="00222027">
        <w:rPr>
          <w:rFonts w:ascii="Palatino Linotype" w:hAnsi="Palatino Linotype"/>
          <w:sz w:val="22"/>
          <w:szCs w:val="22"/>
        </w:rPr>
        <w:t>00</w:t>
      </w:r>
      <w:r w:rsidR="006277A3" w:rsidRPr="00222027">
        <w:rPr>
          <w:rFonts w:ascii="Palatino Linotype" w:hAnsi="Palatino Linotype"/>
          <w:sz w:val="22"/>
          <w:szCs w:val="22"/>
        </w:rPr>
        <w:t>592</w:t>
      </w:r>
      <w:r w:rsidRPr="00222027">
        <w:rPr>
          <w:rFonts w:ascii="Palatino Linotype" w:hAnsi="Palatino Linotype"/>
          <w:sz w:val="22"/>
          <w:szCs w:val="22"/>
        </w:rPr>
        <w:t xml:space="preserve">/TEMAMATL/IP/2024, por resultar </w:t>
      </w:r>
      <w:r w:rsidRPr="00222027">
        <w:rPr>
          <w:rFonts w:ascii="Palatino Linotype" w:hAnsi="Palatino Linotype"/>
          <w:b/>
          <w:bCs/>
          <w:sz w:val="22"/>
          <w:szCs w:val="22"/>
        </w:rPr>
        <w:t>FUNDADAS</w:t>
      </w:r>
      <w:r w:rsidRPr="00222027">
        <w:rPr>
          <w:rFonts w:ascii="Palatino Linotype" w:hAnsi="Palatino Linotype"/>
          <w:sz w:val="22"/>
          <w:szCs w:val="22"/>
        </w:rPr>
        <w:t xml:space="preserve"> las razones o motivos de inconformidad hechos valer por el Recurrente, en términos de los considerandos QUINTO y SEXTO de la presente Resolución.</w:t>
      </w:r>
    </w:p>
    <w:p w14:paraId="019BF8F8" w14:textId="77777777" w:rsidR="003126B4" w:rsidRPr="00222027" w:rsidRDefault="003126B4" w:rsidP="003126B4">
      <w:pPr>
        <w:spacing w:line="360" w:lineRule="auto"/>
        <w:contextualSpacing/>
        <w:jc w:val="both"/>
        <w:rPr>
          <w:rFonts w:ascii="Palatino Linotype" w:hAnsi="Palatino Linotype"/>
          <w:sz w:val="22"/>
          <w:szCs w:val="22"/>
        </w:rPr>
      </w:pPr>
    </w:p>
    <w:p w14:paraId="57AAE9F4" w14:textId="249D9E8A"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r w:rsidRPr="00222027">
        <w:rPr>
          <w:rFonts w:ascii="Palatino Linotype" w:hAnsi="Palatino Linotype" w:cs="Tahoma"/>
          <w:b/>
          <w:bCs/>
          <w:sz w:val="22"/>
          <w:szCs w:val="22"/>
        </w:rPr>
        <w:t xml:space="preserve">SEGUNDO. </w:t>
      </w:r>
      <w:r w:rsidRPr="00222027">
        <w:rPr>
          <w:rFonts w:ascii="Palatino Linotype" w:hAnsi="Palatino Linotype" w:cs="Tahoma"/>
          <w:sz w:val="22"/>
          <w:szCs w:val="22"/>
        </w:rPr>
        <w:t xml:space="preserve">Se </w:t>
      </w:r>
      <w:r w:rsidRPr="00222027">
        <w:rPr>
          <w:rFonts w:ascii="Palatino Linotype" w:hAnsi="Palatino Linotype" w:cs="Tahoma"/>
          <w:b/>
          <w:sz w:val="22"/>
          <w:szCs w:val="22"/>
        </w:rPr>
        <w:t xml:space="preserve">ORDENA </w:t>
      </w:r>
      <w:r w:rsidRPr="00222027">
        <w:rPr>
          <w:rFonts w:ascii="Palatino Linotype" w:hAnsi="Palatino Linotype" w:cs="Tahoma"/>
          <w:sz w:val="22"/>
          <w:szCs w:val="22"/>
        </w:rPr>
        <w:t xml:space="preserve">al </w:t>
      </w:r>
      <w:r w:rsidRPr="00222027">
        <w:rPr>
          <w:rFonts w:ascii="Palatino Linotype" w:hAnsi="Palatino Linotype" w:cs="Tahoma"/>
          <w:color w:val="0C0C0C"/>
          <w:sz w:val="22"/>
          <w:szCs w:val="22"/>
        </w:rPr>
        <w:t>Sujeto Obligado</w:t>
      </w:r>
      <w:r w:rsidRPr="00222027">
        <w:rPr>
          <w:rFonts w:ascii="Palatino Linotype" w:hAnsi="Palatino Linotype" w:cs="Tahoma"/>
          <w:sz w:val="22"/>
          <w:szCs w:val="22"/>
        </w:rPr>
        <w:t xml:space="preserve">, a efecto de que previa búsqueda exhaustiva y razonable en todas las unidades administrativas competentes, entregue </w:t>
      </w:r>
      <w:r w:rsidRPr="00222027">
        <w:rPr>
          <w:rFonts w:ascii="Palatino Linotype" w:hAnsi="Palatino Linotype" w:cs="Tahoma"/>
          <w:bCs/>
          <w:iCs/>
          <w:sz w:val="22"/>
          <w:szCs w:val="22"/>
        </w:rPr>
        <w:t>a través del Sistema de Acceso a la Información Mexiquense (SAIMEX), en su caso, en versión pública, l</w:t>
      </w:r>
      <w:r w:rsidR="006277A3" w:rsidRPr="00222027">
        <w:rPr>
          <w:rFonts w:ascii="Palatino Linotype" w:eastAsia="Calibri" w:hAnsi="Palatino Linotype" w:cs="Tahoma"/>
          <w:iCs/>
          <w:sz w:val="22"/>
          <w:szCs w:val="22"/>
          <w:lang w:val="es-ES" w:eastAsia="es-ES_tradnl"/>
        </w:rPr>
        <w:t>o</w:t>
      </w:r>
      <w:r w:rsidR="00C81465" w:rsidRPr="00222027">
        <w:rPr>
          <w:rFonts w:ascii="Palatino Linotype" w:eastAsia="Calibri" w:hAnsi="Palatino Linotype" w:cs="Tahoma"/>
          <w:iCs/>
          <w:sz w:val="22"/>
          <w:szCs w:val="22"/>
          <w:lang w:val="es-ES" w:eastAsia="es-ES_tradnl"/>
        </w:rPr>
        <w:t>s documentos generados del primero de enero de dos mil veintidós al cuatro de octubre de dos mil veinticuatro, donde conste lo</w:t>
      </w:r>
      <w:r w:rsidR="006277A3" w:rsidRPr="00222027">
        <w:rPr>
          <w:rFonts w:ascii="Palatino Linotype" w:eastAsia="Calibri" w:hAnsi="Palatino Linotype" w:cs="Tahoma"/>
          <w:iCs/>
          <w:sz w:val="22"/>
          <w:szCs w:val="22"/>
          <w:lang w:val="es-ES" w:eastAsia="es-ES_tradnl"/>
        </w:rPr>
        <w:t xml:space="preserve"> siguiente:</w:t>
      </w:r>
    </w:p>
    <w:p w14:paraId="52DE27C2" w14:textId="77777777" w:rsidR="003126B4" w:rsidRPr="00222027" w:rsidRDefault="003126B4" w:rsidP="003126B4">
      <w:pPr>
        <w:tabs>
          <w:tab w:val="left" w:pos="4962"/>
        </w:tabs>
        <w:spacing w:line="360" w:lineRule="auto"/>
        <w:ind w:right="-28"/>
        <w:contextualSpacing/>
        <w:jc w:val="both"/>
        <w:rPr>
          <w:rFonts w:ascii="Palatino Linotype" w:eastAsia="Calibri" w:hAnsi="Palatino Linotype" w:cs="Tahoma"/>
          <w:iCs/>
          <w:sz w:val="22"/>
          <w:szCs w:val="22"/>
          <w:lang w:val="es-ES" w:eastAsia="es-ES_tradnl"/>
        </w:rPr>
      </w:pPr>
    </w:p>
    <w:p w14:paraId="2FA814EB" w14:textId="6D1B71FE" w:rsidR="003126B4" w:rsidRPr="00222027" w:rsidRDefault="003126B4" w:rsidP="006277A3">
      <w:pPr>
        <w:pStyle w:val="Prrafodelista"/>
        <w:numPr>
          <w:ilvl w:val="0"/>
          <w:numId w:val="7"/>
        </w:numPr>
        <w:tabs>
          <w:tab w:val="left" w:pos="4962"/>
        </w:tabs>
        <w:spacing w:line="360" w:lineRule="auto"/>
        <w:ind w:right="-28"/>
        <w:jc w:val="both"/>
        <w:rPr>
          <w:rFonts w:ascii="Palatino Linotype" w:eastAsia="Calibri" w:hAnsi="Palatino Linotype" w:cs="Tahoma"/>
          <w:iCs/>
          <w:szCs w:val="22"/>
          <w:lang w:val="es-ES" w:eastAsia="es-ES_tradnl"/>
        </w:rPr>
      </w:pPr>
      <w:r w:rsidRPr="00222027">
        <w:rPr>
          <w:rFonts w:ascii="Palatino Linotype" w:eastAsia="Calibri" w:hAnsi="Palatino Linotype" w:cs="Tahoma"/>
          <w:bCs/>
          <w:szCs w:val="22"/>
        </w:rPr>
        <w:t>Las pólizas de egresos y facturas de pago</w:t>
      </w:r>
      <w:r w:rsidR="00C81465" w:rsidRPr="00222027">
        <w:rPr>
          <w:rFonts w:ascii="Palatino Linotype" w:eastAsia="Calibri" w:hAnsi="Palatino Linotype" w:cs="Tahoma"/>
          <w:bCs/>
          <w:szCs w:val="22"/>
        </w:rPr>
        <w:t>,</w:t>
      </w:r>
      <w:r w:rsidRPr="00222027">
        <w:rPr>
          <w:rFonts w:ascii="Palatino Linotype" w:eastAsia="Calibri" w:hAnsi="Palatino Linotype" w:cs="Tahoma"/>
          <w:bCs/>
          <w:szCs w:val="22"/>
        </w:rPr>
        <w:t xml:space="preserve"> relacionadas con la publicación del </w:t>
      </w:r>
      <w:r w:rsidR="00C81465" w:rsidRPr="00222027">
        <w:rPr>
          <w:rFonts w:ascii="Palatino Linotype" w:eastAsia="Calibri" w:hAnsi="Palatino Linotype" w:cs="Tahoma"/>
          <w:bCs/>
          <w:szCs w:val="22"/>
        </w:rPr>
        <w:t>Bando Municipal de Policía y Gobierno</w:t>
      </w:r>
      <w:r w:rsidRPr="00222027">
        <w:rPr>
          <w:rFonts w:ascii="Palatino Linotype" w:eastAsia="Calibri" w:hAnsi="Palatino Linotype" w:cs="Tahoma"/>
          <w:bCs/>
          <w:szCs w:val="22"/>
        </w:rPr>
        <w:t xml:space="preserve"> de Temamatla </w:t>
      </w:r>
      <w:r w:rsidR="00C81465" w:rsidRPr="00222027">
        <w:rPr>
          <w:rFonts w:ascii="Palatino Linotype" w:eastAsia="Calibri" w:hAnsi="Palatino Linotype" w:cs="Tahoma"/>
          <w:bCs/>
          <w:szCs w:val="22"/>
        </w:rPr>
        <w:t>de</w:t>
      </w:r>
      <w:r w:rsidR="006277A3" w:rsidRPr="00222027">
        <w:rPr>
          <w:rFonts w:ascii="Palatino Linotype" w:eastAsia="Calibri" w:hAnsi="Palatino Linotype" w:cs="Tahoma"/>
          <w:bCs/>
          <w:szCs w:val="22"/>
        </w:rPr>
        <w:t xml:space="preserve"> los ejercicios fiscales dos mil veintidós, dos mil veintitrés y dos mil veinticuatro</w:t>
      </w:r>
      <w:r w:rsidRPr="00222027">
        <w:rPr>
          <w:rFonts w:ascii="Palatino Linotype" w:eastAsia="Calibri" w:hAnsi="Palatino Linotype" w:cs="Tahoma"/>
          <w:bCs/>
          <w:szCs w:val="22"/>
        </w:rPr>
        <w:t>.</w:t>
      </w:r>
    </w:p>
    <w:p w14:paraId="5E37543C" w14:textId="77777777" w:rsidR="003126B4" w:rsidRPr="00222027" w:rsidRDefault="003126B4" w:rsidP="003126B4">
      <w:pPr>
        <w:tabs>
          <w:tab w:val="left" w:pos="4962"/>
        </w:tabs>
        <w:spacing w:line="360" w:lineRule="auto"/>
        <w:ind w:right="-28"/>
        <w:contextualSpacing/>
        <w:jc w:val="both"/>
        <w:rPr>
          <w:rFonts w:ascii="Palatino Linotype" w:hAnsi="Palatino Linotype" w:cs="Tahoma"/>
          <w:bCs/>
          <w:iCs/>
          <w:sz w:val="22"/>
          <w:szCs w:val="22"/>
        </w:rPr>
      </w:pPr>
    </w:p>
    <w:p w14:paraId="0BA76BF9"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bCs/>
          <w:iCs/>
          <w:sz w:val="22"/>
          <w:szCs w:val="22"/>
        </w:rPr>
      </w:pPr>
      <w:r w:rsidRPr="00222027">
        <w:rPr>
          <w:rFonts w:ascii="Palatino Linotype" w:hAnsi="Palatino Linotype" w:cs="Tahoma"/>
          <w:bCs/>
          <w:iCs/>
          <w:sz w:val="22"/>
          <w:szCs w:val="22"/>
        </w:rPr>
        <w:t>Además, de ser necesario, deberá proporcionar el Acuerdo de Clasificación donde el Comité de Transparencia, confirme la eliminación de los datos confidenciales, en la versión pública, de conformidad con los artículos 49, fracciones II y VIII, 132, fracción II, 143, fracción I y 149 de la Ley de Transparencia y Acceso a la Información Pública del Estado de México y Municipios.</w:t>
      </w:r>
    </w:p>
    <w:p w14:paraId="30E5F1B2" w14:textId="77777777"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bCs/>
          <w:iCs/>
          <w:sz w:val="22"/>
          <w:szCs w:val="22"/>
        </w:rPr>
      </w:pPr>
    </w:p>
    <w:p w14:paraId="4A5EA9FD" w14:textId="616A7BF2" w:rsidR="003126B4" w:rsidRPr="00222027" w:rsidRDefault="003126B4" w:rsidP="003126B4">
      <w:pPr>
        <w:autoSpaceDE w:val="0"/>
        <w:autoSpaceDN w:val="0"/>
        <w:adjustRightInd w:val="0"/>
        <w:spacing w:line="360" w:lineRule="auto"/>
        <w:ind w:right="-28"/>
        <w:contextualSpacing/>
        <w:jc w:val="both"/>
        <w:rPr>
          <w:rFonts w:ascii="Palatino Linotype" w:hAnsi="Palatino Linotype" w:cs="Tahoma"/>
          <w:iCs/>
          <w:sz w:val="22"/>
          <w:szCs w:val="22"/>
          <w:lang w:val="es-ES"/>
        </w:rPr>
      </w:pPr>
      <w:r w:rsidRPr="00222027">
        <w:rPr>
          <w:rFonts w:ascii="Palatino Linotype" w:hAnsi="Palatino Linotype" w:cs="Tahoma"/>
          <w:bCs/>
          <w:iCs/>
          <w:sz w:val="22"/>
          <w:szCs w:val="22"/>
        </w:rPr>
        <w:t xml:space="preserve">Para el caso, de que </w:t>
      </w:r>
      <w:r w:rsidR="00C81465" w:rsidRPr="00222027">
        <w:rPr>
          <w:rFonts w:ascii="Palatino Linotype" w:hAnsi="Palatino Linotype" w:cs="Tahoma"/>
          <w:iCs/>
          <w:sz w:val="22"/>
          <w:szCs w:val="22"/>
          <w:lang w:val="es-ES"/>
        </w:rPr>
        <w:t>no haya erogado recursos para la publicación de alguno de los Bandos referidos, deberá hacerlo del conocimiento de la parte Recurrente, de manera precisa y clara.</w:t>
      </w:r>
    </w:p>
    <w:p w14:paraId="14EAA90D" w14:textId="77777777" w:rsidR="00C81465" w:rsidRPr="00222027" w:rsidRDefault="00C81465" w:rsidP="003126B4">
      <w:pPr>
        <w:autoSpaceDE w:val="0"/>
        <w:autoSpaceDN w:val="0"/>
        <w:adjustRightInd w:val="0"/>
        <w:spacing w:line="360" w:lineRule="auto"/>
        <w:ind w:right="-28"/>
        <w:contextualSpacing/>
        <w:jc w:val="both"/>
        <w:rPr>
          <w:rFonts w:ascii="Palatino Linotype" w:hAnsi="Palatino Linotype" w:cs="Tahoma"/>
          <w:bCs/>
          <w:iCs/>
          <w:sz w:val="22"/>
          <w:szCs w:val="22"/>
        </w:rPr>
      </w:pPr>
    </w:p>
    <w:p w14:paraId="2CAC1A37" w14:textId="4E72F5DB" w:rsidR="003126B4" w:rsidRPr="00222027" w:rsidRDefault="003126B4" w:rsidP="003126B4">
      <w:pPr>
        <w:spacing w:line="360" w:lineRule="auto"/>
        <w:contextualSpacing/>
        <w:jc w:val="both"/>
        <w:rPr>
          <w:rFonts w:ascii="Palatino Linotype" w:hAnsi="Palatino Linotype" w:cs="Tahoma"/>
          <w:bCs/>
          <w:iCs/>
          <w:sz w:val="22"/>
          <w:szCs w:val="22"/>
        </w:rPr>
      </w:pPr>
      <w:r w:rsidRPr="00222027">
        <w:rPr>
          <w:rFonts w:ascii="Palatino Linotype" w:hAnsi="Palatino Linotype" w:cs="Tahoma"/>
          <w:b/>
          <w:bCs/>
          <w:iCs/>
          <w:sz w:val="22"/>
          <w:szCs w:val="22"/>
        </w:rPr>
        <w:lastRenderedPageBreak/>
        <w:t>TERCERO</w:t>
      </w:r>
      <w:r w:rsidRPr="00222027">
        <w:rPr>
          <w:rFonts w:ascii="Palatino Linotype" w:hAnsi="Palatino Linotype" w:cs="Tahoma"/>
          <w:b/>
          <w:bCs/>
          <w:sz w:val="22"/>
          <w:szCs w:val="22"/>
        </w:rPr>
        <w:t xml:space="preserve">. </w:t>
      </w:r>
      <w:r w:rsidRPr="00222027">
        <w:rPr>
          <w:rFonts w:ascii="Palatino Linotype" w:hAnsi="Palatino Linotype" w:cs="Tahoma"/>
          <w:b/>
          <w:sz w:val="22"/>
          <w:szCs w:val="22"/>
        </w:rPr>
        <w:t xml:space="preserve">NOTIFÍQUESE POR SAIMEX </w:t>
      </w:r>
      <w:r w:rsidRPr="00222027">
        <w:rPr>
          <w:rFonts w:ascii="Palatino Linotype" w:hAnsi="Palatino Linotype" w:cs="Tahoma"/>
          <w:bCs/>
          <w:sz w:val="22"/>
          <w:szCs w:val="22"/>
        </w:rPr>
        <w:t xml:space="preserve">la presente resolución al Titular de la Unidad de Transparencia del Sujeto Obligado, para que conforme al artículo 186, último párrafo, 189, segundo párrafo, y 194 de la Ley de Transparencia </w:t>
      </w:r>
      <w:r w:rsidR="00C81465" w:rsidRPr="00222027">
        <w:rPr>
          <w:rFonts w:ascii="Palatino Linotype" w:hAnsi="Palatino Linotype" w:cs="Tahoma"/>
          <w:bCs/>
          <w:sz w:val="22"/>
          <w:szCs w:val="22"/>
        </w:rPr>
        <w:t>Local</w:t>
      </w:r>
      <w:r w:rsidRPr="00222027">
        <w:rPr>
          <w:rFonts w:ascii="Palatino Linotype" w:hAnsi="Palatino Linotype" w:cs="Tahoma"/>
          <w:bCs/>
          <w:sz w:val="22"/>
          <w:szCs w:val="22"/>
        </w:rPr>
        <w:t>;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17683F9" w14:textId="77777777" w:rsidR="003126B4" w:rsidRPr="00222027" w:rsidRDefault="003126B4" w:rsidP="003126B4">
      <w:pPr>
        <w:spacing w:line="360" w:lineRule="auto"/>
        <w:contextualSpacing/>
        <w:jc w:val="both"/>
        <w:rPr>
          <w:rFonts w:ascii="Palatino Linotype" w:hAnsi="Palatino Linotype" w:cs="Tahoma"/>
          <w:sz w:val="22"/>
          <w:szCs w:val="22"/>
        </w:rPr>
      </w:pPr>
    </w:p>
    <w:p w14:paraId="1AB1D90D" w14:textId="302A78DC" w:rsidR="003126B4" w:rsidRPr="00222027" w:rsidRDefault="003126B4" w:rsidP="003126B4">
      <w:pPr>
        <w:spacing w:line="360" w:lineRule="auto"/>
        <w:contextualSpacing/>
        <w:jc w:val="both"/>
        <w:rPr>
          <w:rFonts w:ascii="Palatino Linotype" w:hAnsi="Palatino Linotype" w:cs="Tahoma"/>
          <w:iCs/>
          <w:sz w:val="22"/>
          <w:szCs w:val="22"/>
        </w:rPr>
      </w:pPr>
      <w:r w:rsidRPr="00222027">
        <w:rPr>
          <w:rFonts w:ascii="Palatino Linotype" w:hAnsi="Palatino Linotype" w:cs="Tahoma"/>
          <w:iCs/>
          <w:sz w:val="22"/>
          <w:szCs w:val="22"/>
        </w:rPr>
        <w:t xml:space="preserve">De conformidad con el artículo 198 de la </w:t>
      </w:r>
      <w:r w:rsidRPr="00222027">
        <w:rPr>
          <w:rFonts w:ascii="Palatino Linotype" w:hAnsi="Palatino Linotype" w:cs="Tahoma"/>
          <w:bCs/>
          <w:sz w:val="22"/>
          <w:szCs w:val="22"/>
        </w:rPr>
        <w:t xml:space="preserve">Ley </w:t>
      </w:r>
      <w:r w:rsidR="00C81465" w:rsidRPr="00222027">
        <w:rPr>
          <w:rFonts w:ascii="Palatino Linotype" w:hAnsi="Palatino Linotype" w:cs="Tahoma"/>
          <w:bCs/>
          <w:sz w:val="22"/>
          <w:szCs w:val="22"/>
        </w:rPr>
        <w:t>de la materia</w:t>
      </w:r>
      <w:r w:rsidRPr="00222027">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33E08949" w14:textId="77777777" w:rsidR="003126B4" w:rsidRPr="00222027" w:rsidRDefault="003126B4" w:rsidP="003126B4">
      <w:pPr>
        <w:spacing w:line="360" w:lineRule="auto"/>
        <w:contextualSpacing/>
        <w:jc w:val="both"/>
        <w:rPr>
          <w:rFonts w:ascii="Palatino Linotype" w:hAnsi="Palatino Linotype" w:cs="Tahoma"/>
          <w:iCs/>
          <w:sz w:val="22"/>
          <w:szCs w:val="22"/>
        </w:rPr>
      </w:pPr>
    </w:p>
    <w:p w14:paraId="47FF8CE3" w14:textId="77777777" w:rsidR="003126B4" w:rsidRPr="00222027" w:rsidRDefault="003126B4" w:rsidP="00C81465">
      <w:pPr>
        <w:spacing w:line="360" w:lineRule="auto"/>
        <w:contextualSpacing/>
        <w:jc w:val="both"/>
        <w:rPr>
          <w:rFonts w:ascii="Palatino Linotype" w:hAnsi="Palatino Linotype" w:cs="Tahoma"/>
          <w:iCs/>
          <w:sz w:val="22"/>
          <w:szCs w:val="22"/>
        </w:rPr>
      </w:pPr>
      <w:r w:rsidRPr="00222027">
        <w:rPr>
          <w:rFonts w:ascii="Palatino Linotype" w:hAnsi="Palatino Linotype" w:cs="Tahoma"/>
          <w:b/>
          <w:bCs/>
          <w:iCs/>
          <w:sz w:val="22"/>
          <w:szCs w:val="22"/>
        </w:rPr>
        <w:t>CUARTO. NOTIFÍQUESE POR SAIMEX</w:t>
      </w:r>
      <w:r w:rsidRPr="00222027">
        <w:rPr>
          <w:rFonts w:ascii="Palatino Linotype" w:hAnsi="Palatino Linotype" w:cs="Tahoma"/>
          <w:i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CCB25D" w14:textId="77777777" w:rsidR="003126B4" w:rsidRPr="00222027"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 xml:space="preserve"> </w:t>
      </w:r>
    </w:p>
    <w:p w14:paraId="14E361B8" w14:textId="26A0DFCE" w:rsidR="003126B4" w:rsidRDefault="003126B4" w:rsidP="003126B4">
      <w:pPr>
        <w:spacing w:line="360" w:lineRule="auto"/>
        <w:contextualSpacing/>
        <w:jc w:val="both"/>
        <w:rPr>
          <w:rFonts w:ascii="Palatino Linotype" w:hAnsi="Palatino Linotype"/>
          <w:sz w:val="22"/>
          <w:szCs w:val="22"/>
        </w:rPr>
      </w:pPr>
      <w:r w:rsidRPr="00222027">
        <w:rPr>
          <w:rFonts w:ascii="Palatino Linotype" w:hAnsi="Palatino Linotype"/>
          <w:sz w:val="22"/>
          <w:szCs w:val="22"/>
        </w:rPr>
        <w:t xml:space="preserve">ASÍ LO RESUELVE, POR </w:t>
      </w:r>
      <w:bookmarkStart w:id="3" w:name="_GoBack"/>
      <w:r w:rsidRPr="00D01868">
        <w:rPr>
          <w:rFonts w:ascii="Palatino Linotype" w:hAnsi="Palatino Linotype"/>
          <w:b/>
          <w:sz w:val="22"/>
          <w:szCs w:val="22"/>
        </w:rPr>
        <w:t>UNANIMIDAD</w:t>
      </w:r>
      <w:bookmarkEnd w:id="3"/>
      <w:r w:rsidRPr="00222027">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77764" w:rsidRPr="00222027">
        <w:rPr>
          <w:rFonts w:ascii="Palatino Linotype" w:hAnsi="Palatino Linotype"/>
          <w:sz w:val="22"/>
          <w:szCs w:val="22"/>
        </w:rPr>
        <w:t>CUADRAGÉSIMA</w:t>
      </w:r>
      <w:r w:rsidR="00C81465" w:rsidRPr="00222027">
        <w:rPr>
          <w:rFonts w:ascii="Palatino Linotype" w:hAnsi="Palatino Linotype"/>
          <w:sz w:val="22"/>
          <w:szCs w:val="22"/>
        </w:rPr>
        <w:t xml:space="preserve"> PRIMERA</w:t>
      </w:r>
      <w:r w:rsidRPr="00222027">
        <w:rPr>
          <w:rFonts w:ascii="Palatino Linotype" w:hAnsi="Palatino Linotype"/>
          <w:sz w:val="22"/>
          <w:szCs w:val="22"/>
        </w:rPr>
        <w:t xml:space="preserve"> SESIÓN ORDINARIA, CELEBRADA EL </w:t>
      </w:r>
      <w:r w:rsidR="00277764" w:rsidRPr="00222027">
        <w:rPr>
          <w:rFonts w:ascii="Palatino Linotype" w:hAnsi="Palatino Linotype"/>
          <w:sz w:val="22"/>
          <w:szCs w:val="22"/>
        </w:rPr>
        <w:t>VEINTISIETE</w:t>
      </w:r>
      <w:r w:rsidRPr="00222027">
        <w:rPr>
          <w:rFonts w:ascii="Palatino Linotype" w:hAnsi="Palatino Linotype"/>
          <w:sz w:val="22"/>
          <w:szCs w:val="22"/>
        </w:rPr>
        <w:t xml:space="preserve"> DE NOVIEMBRE DE DOS MIL VEINTICUATRO, ANTE EL SECRETARIO TÉCNICO DEL PLENO, ALEXIS TAPIA RAMÍREZ.</w:t>
      </w:r>
    </w:p>
    <w:p w14:paraId="15C732C2" w14:textId="77777777" w:rsidR="00C81465" w:rsidRPr="00734ED9" w:rsidRDefault="00C81465" w:rsidP="003126B4">
      <w:pPr>
        <w:spacing w:line="360" w:lineRule="auto"/>
        <w:contextualSpacing/>
        <w:jc w:val="both"/>
        <w:rPr>
          <w:rFonts w:ascii="Palatino Linotype" w:hAnsi="Palatino Linotype"/>
          <w:sz w:val="22"/>
          <w:szCs w:val="22"/>
        </w:rPr>
      </w:pPr>
    </w:p>
    <w:sectPr w:rsidR="00C81465" w:rsidRPr="00734ED9" w:rsidSect="00C44502">
      <w:headerReference w:type="even" r:id="rId11"/>
      <w:headerReference w:type="default" r:id="rId12"/>
      <w:footerReference w:type="default" r:id="rId13"/>
      <w:headerReference w:type="first" r:id="rId14"/>
      <w:footerReference w:type="first" r:id="rId15"/>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4B4F7" w14:textId="77777777" w:rsidR="00330D72" w:rsidRDefault="00330D72" w:rsidP="003126B4">
      <w:r>
        <w:separator/>
      </w:r>
    </w:p>
  </w:endnote>
  <w:endnote w:type="continuationSeparator" w:id="0">
    <w:p w14:paraId="62BEF4A0" w14:textId="77777777" w:rsidR="00330D72" w:rsidRDefault="00330D72" w:rsidP="0031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4437DB8A" w14:textId="77777777" w:rsidR="00C44502" w:rsidRPr="00C13895" w:rsidRDefault="00C44502">
            <w:pPr>
              <w:pStyle w:val="Piedepgina"/>
              <w:jc w:val="right"/>
              <w:rPr>
                <w:sz w:val="26"/>
                <w:szCs w:val="26"/>
              </w:rPr>
            </w:pPr>
          </w:p>
          <w:p w14:paraId="2DEE1626" w14:textId="77777777" w:rsidR="00C44502" w:rsidRDefault="00C445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62E8E">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2E8E">
              <w:rPr>
                <w:b/>
                <w:bCs/>
                <w:noProof/>
              </w:rPr>
              <w:t>22</w:t>
            </w:r>
            <w:r>
              <w:rPr>
                <w:b/>
                <w:bCs/>
                <w:sz w:val="24"/>
                <w:szCs w:val="24"/>
              </w:rPr>
              <w:fldChar w:fldCharType="end"/>
            </w:r>
          </w:p>
        </w:sdtContent>
      </w:sdt>
    </w:sdtContent>
  </w:sdt>
  <w:p w14:paraId="21D4818E" w14:textId="77777777" w:rsidR="00C44502" w:rsidRDefault="00C445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4C962830" w14:textId="77777777" w:rsidR="00C44502" w:rsidRDefault="00C44502">
            <w:pPr>
              <w:pStyle w:val="Piedepgina"/>
              <w:jc w:val="right"/>
            </w:pPr>
          </w:p>
          <w:p w14:paraId="37909B25" w14:textId="77777777" w:rsidR="00C44502" w:rsidRDefault="00C44502">
            <w:pPr>
              <w:pStyle w:val="Piedepgina"/>
              <w:jc w:val="right"/>
            </w:pPr>
          </w:p>
          <w:p w14:paraId="419CAEE3" w14:textId="77777777" w:rsidR="00C44502" w:rsidRDefault="00C44502">
            <w:pPr>
              <w:pStyle w:val="Piedepgina"/>
              <w:jc w:val="right"/>
            </w:pPr>
          </w:p>
          <w:p w14:paraId="32EE0924" w14:textId="77777777" w:rsidR="00C44502" w:rsidRDefault="00C4450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62E8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2E8E">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A47F" w14:textId="77777777" w:rsidR="00330D72" w:rsidRDefault="00330D72" w:rsidP="003126B4">
      <w:r>
        <w:separator/>
      </w:r>
    </w:p>
  </w:footnote>
  <w:footnote w:type="continuationSeparator" w:id="0">
    <w:p w14:paraId="4F5B4AFD" w14:textId="77777777" w:rsidR="00330D72" w:rsidRDefault="00330D72" w:rsidP="0031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33FA" w14:textId="77777777" w:rsidR="00C44502" w:rsidRDefault="00330D72">
    <w:pPr>
      <w:pStyle w:val="Encabezado"/>
    </w:pPr>
    <w:r>
      <w:rPr>
        <w:noProof/>
        <w:lang w:eastAsia="es-MX"/>
      </w:rPr>
      <w:pict w14:anchorId="4D8FE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B516" w14:textId="77777777" w:rsidR="00C44502" w:rsidRPr="009E6858" w:rsidRDefault="00330D72" w:rsidP="00C44502">
    <w:pPr>
      <w:tabs>
        <w:tab w:val="left" w:pos="3416"/>
      </w:tabs>
      <w:rPr>
        <w:sz w:val="22"/>
        <w:szCs w:val="22"/>
      </w:rPr>
    </w:pPr>
    <w:r>
      <w:rPr>
        <w:noProof/>
        <w:sz w:val="14"/>
        <w:lang w:eastAsia="es-MX"/>
      </w:rPr>
      <w:pict w14:anchorId="2400E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C44502" w:rsidRPr="005C106F" w14:paraId="04A96E67" w14:textId="77777777" w:rsidTr="00C44502">
      <w:trPr>
        <w:trHeight w:val="70"/>
      </w:trPr>
      <w:tc>
        <w:tcPr>
          <w:tcW w:w="2268" w:type="dxa"/>
          <w:shd w:val="clear" w:color="auto" w:fill="auto"/>
        </w:tcPr>
        <w:p w14:paraId="39370E65" w14:textId="77777777" w:rsidR="00C44502" w:rsidRPr="005C106F" w:rsidRDefault="00C44502" w:rsidP="00C44502">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C44502" w14:paraId="51D0FAB6" w14:textId="77777777" w:rsidTr="00C44502">
            <w:trPr>
              <w:trHeight w:val="128"/>
            </w:trPr>
            <w:tc>
              <w:tcPr>
                <w:tcW w:w="3726" w:type="dxa"/>
                <w:vAlign w:val="bottom"/>
              </w:tcPr>
              <w:p w14:paraId="103006D8" w14:textId="77777777" w:rsidR="00C44502" w:rsidRPr="008B41A2" w:rsidRDefault="00C44502" w:rsidP="00C4450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1D835141" w14:textId="77777777" w:rsidR="00C44502" w:rsidRPr="00651A13" w:rsidRDefault="00C44502" w:rsidP="003126B4">
                <w:pPr>
                  <w:tabs>
                    <w:tab w:val="right" w:pos="8838"/>
                  </w:tabs>
                  <w:ind w:left="-28" w:right="683"/>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6786/INFOEM/IP/RR/2024</w:t>
                </w:r>
              </w:p>
            </w:tc>
          </w:tr>
          <w:tr w:rsidR="00C44502" w14:paraId="29983782" w14:textId="77777777" w:rsidTr="00C44502">
            <w:trPr>
              <w:trHeight w:val="251"/>
            </w:trPr>
            <w:tc>
              <w:tcPr>
                <w:tcW w:w="3726" w:type="dxa"/>
              </w:tcPr>
              <w:p w14:paraId="592EF8A0" w14:textId="77777777" w:rsidR="00C44502" w:rsidRPr="008B41A2" w:rsidRDefault="00C44502" w:rsidP="00C4450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7A04EA2A" w14:textId="77777777" w:rsidR="00C44502" w:rsidRPr="008B41A2" w:rsidRDefault="00C44502" w:rsidP="00C44502">
                <w:pPr>
                  <w:tabs>
                    <w:tab w:val="right" w:pos="8838"/>
                  </w:tabs>
                  <w:ind w:right="1008"/>
                  <w:jc w:val="both"/>
                  <w:rPr>
                    <w:rFonts w:ascii="Palatino Linotype" w:eastAsia="Calibri" w:hAnsi="Palatino Linotype" w:cs="Tahoma"/>
                    <w:sz w:val="22"/>
                    <w:szCs w:val="22"/>
                    <w:lang w:val="es-MX"/>
                  </w:rPr>
                </w:pPr>
                <w:r>
                  <w:rPr>
                    <w:rFonts w:ascii="Palatino Linotype" w:hAnsi="Palatino Linotype"/>
                    <w:sz w:val="22"/>
                    <w:szCs w:val="22"/>
                  </w:rPr>
                  <w:t>Ayuntamiento de Temamatla</w:t>
                </w:r>
              </w:p>
            </w:tc>
          </w:tr>
          <w:tr w:rsidR="00C44502" w14:paraId="1921F747" w14:textId="77777777" w:rsidTr="00C44502">
            <w:trPr>
              <w:trHeight w:val="251"/>
            </w:trPr>
            <w:tc>
              <w:tcPr>
                <w:tcW w:w="3726" w:type="dxa"/>
              </w:tcPr>
              <w:p w14:paraId="4F963F95" w14:textId="77777777" w:rsidR="00C44502" w:rsidRPr="008B41A2" w:rsidRDefault="00C44502" w:rsidP="00C44502">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52120A4C" w14:textId="77777777" w:rsidR="00C44502" w:rsidRPr="008B41A2" w:rsidRDefault="00C44502" w:rsidP="00C44502">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47182753" w14:textId="77777777" w:rsidR="00C44502" w:rsidRPr="005C106F" w:rsidRDefault="00C44502" w:rsidP="00C44502">
          <w:pPr>
            <w:tabs>
              <w:tab w:val="right" w:pos="8838"/>
            </w:tabs>
            <w:ind w:left="-28"/>
            <w:rPr>
              <w:rFonts w:ascii="Arial" w:eastAsia="Calibri" w:hAnsi="Arial" w:cs="Arial"/>
              <w:b/>
            </w:rPr>
          </w:pPr>
        </w:p>
      </w:tc>
    </w:tr>
  </w:tbl>
  <w:p w14:paraId="72FD1153" w14:textId="77777777" w:rsidR="00C44502" w:rsidRDefault="00C44502" w:rsidP="00C44502">
    <w:pPr>
      <w:pStyle w:val="Encabezado"/>
      <w:rPr>
        <w:sz w:val="14"/>
      </w:rPr>
    </w:pPr>
  </w:p>
  <w:p w14:paraId="718E87EC" w14:textId="77777777" w:rsidR="00C44502" w:rsidRPr="00443C6B" w:rsidRDefault="00C44502" w:rsidP="00C44502">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C44502" w:rsidRPr="00264223" w14:paraId="7582156C" w14:textId="77777777" w:rsidTr="00C44502">
      <w:trPr>
        <w:trHeight w:val="302"/>
      </w:trPr>
      <w:tc>
        <w:tcPr>
          <w:tcW w:w="3828" w:type="dxa"/>
        </w:tcPr>
        <w:p w14:paraId="34B9C43C" w14:textId="77777777" w:rsidR="00C44502" w:rsidRPr="00D3618F" w:rsidRDefault="00C44502" w:rsidP="00C4450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55A9FDFF" w14:textId="77777777" w:rsidR="00C44502" w:rsidRPr="00651A13" w:rsidRDefault="00C44502" w:rsidP="00C44502">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6786</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4</w:t>
          </w:r>
        </w:p>
      </w:tc>
    </w:tr>
    <w:tr w:rsidR="00C44502" w:rsidRPr="00264223" w14:paraId="5260267C" w14:textId="77777777" w:rsidTr="00C44502">
      <w:trPr>
        <w:trHeight w:val="110"/>
      </w:trPr>
      <w:tc>
        <w:tcPr>
          <w:tcW w:w="3828" w:type="dxa"/>
        </w:tcPr>
        <w:p w14:paraId="1A7CBEC2" w14:textId="77777777" w:rsidR="00C44502" w:rsidRPr="00D3618F" w:rsidRDefault="00C44502" w:rsidP="00C4450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3EAEC8F5" w14:textId="77777777" w:rsidR="00C44502" w:rsidRPr="00E22A9C" w:rsidRDefault="00C44502" w:rsidP="00C44502">
          <w:pPr>
            <w:jc w:val="both"/>
            <w:rPr>
              <w:rFonts w:ascii="Palatino Linotype" w:hAnsi="Palatino Linotype"/>
              <w:sz w:val="22"/>
              <w:szCs w:val="22"/>
              <w:lang w:eastAsia="es-MX"/>
            </w:rPr>
          </w:pPr>
        </w:p>
      </w:tc>
    </w:tr>
    <w:tr w:rsidR="00C44502" w:rsidRPr="00264223" w14:paraId="70765623" w14:textId="77777777" w:rsidTr="00C44502">
      <w:trPr>
        <w:trHeight w:val="248"/>
      </w:trPr>
      <w:tc>
        <w:tcPr>
          <w:tcW w:w="3828" w:type="dxa"/>
        </w:tcPr>
        <w:p w14:paraId="4DB147D3" w14:textId="77777777" w:rsidR="00C44502" w:rsidRPr="00D3618F" w:rsidRDefault="00C44502" w:rsidP="00C4450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251D4F42" w14:textId="77777777" w:rsidR="00C44502" w:rsidRPr="00651A13" w:rsidRDefault="00C44502" w:rsidP="00C44502">
          <w:pPr>
            <w:tabs>
              <w:tab w:val="right" w:pos="8838"/>
            </w:tabs>
            <w:jc w:val="both"/>
            <w:rPr>
              <w:rFonts w:ascii="Palatino Linotype" w:eastAsia="Calibri" w:hAnsi="Palatino Linotype" w:cs="Tahoma"/>
              <w:sz w:val="22"/>
              <w:szCs w:val="22"/>
              <w:lang w:val="es-MX" w:eastAsia="en-US"/>
            </w:rPr>
          </w:pPr>
          <w:r>
            <w:rPr>
              <w:rFonts w:ascii="Palatino Linotype" w:hAnsi="Palatino Linotype"/>
              <w:sz w:val="22"/>
              <w:szCs w:val="22"/>
            </w:rPr>
            <w:t>Ayuntamiento de Temamatla</w:t>
          </w:r>
        </w:p>
      </w:tc>
    </w:tr>
    <w:tr w:rsidR="00C44502" w:rsidRPr="00264223" w14:paraId="42C9EF3D" w14:textId="77777777" w:rsidTr="00C44502">
      <w:trPr>
        <w:trHeight w:val="248"/>
      </w:trPr>
      <w:tc>
        <w:tcPr>
          <w:tcW w:w="3828" w:type="dxa"/>
        </w:tcPr>
        <w:p w14:paraId="06D381A4" w14:textId="77777777" w:rsidR="00C44502" w:rsidRPr="00D3618F" w:rsidRDefault="00C44502" w:rsidP="00C44502">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7B212D0B" w14:textId="77777777" w:rsidR="00C44502" w:rsidRPr="00D3618F" w:rsidRDefault="00C44502" w:rsidP="00C44502">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57EBD4E5" w14:textId="77777777" w:rsidR="00C44502" w:rsidRDefault="00330D72" w:rsidP="00C44502">
    <w:pPr>
      <w:ind w:right="-312"/>
    </w:pPr>
    <w:r>
      <w:rPr>
        <w:noProof/>
        <w:lang w:eastAsia="es-MX"/>
      </w:rPr>
      <w:pict w14:anchorId="522D1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06910"/>
    <w:multiLevelType w:val="hybridMultilevel"/>
    <w:tmpl w:val="AF2C9F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37101E14"/>
    <w:multiLevelType w:val="multilevel"/>
    <w:tmpl w:val="2138B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B8B36FC"/>
    <w:multiLevelType w:val="hybridMultilevel"/>
    <w:tmpl w:val="22F0A0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FD76727"/>
    <w:multiLevelType w:val="hybridMultilevel"/>
    <w:tmpl w:val="1D2A4B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25C1495"/>
    <w:multiLevelType w:val="hybridMultilevel"/>
    <w:tmpl w:val="B0509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D590C1A"/>
    <w:multiLevelType w:val="hybridMultilevel"/>
    <w:tmpl w:val="999EAD2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B4"/>
    <w:rsid w:val="00222027"/>
    <w:rsid w:val="00262E8E"/>
    <w:rsid w:val="00277764"/>
    <w:rsid w:val="00286207"/>
    <w:rsid w:val="002E2618"/>
    <w:rsid w:val="003126B4"/>
    <w:rsid w:val="00330D72"/>
    <w:rsid w:val="00331F1B"/>
    <w:rsid w:val="003C39EC"/>
    <w:rsid w:val="004D31E1"/>
    <w:rsid w:val="005E1274"/>
    <w:rsid w:val="006277A3"/>
    <w:rsid w:val="0063403D"/>
    <w:rsid w:val="006364B8"/>
    <w:rsid w:val="007949C6"/>
    <w:rsid w:val="007F7E05"/>
    <w:rsid w:val="00867406"/>
    <w:rsid w:val="0088016F"/>
    <w:rsid w:val="00887EBF"/>
    <w:rsid w:val="009A7E42"/>
    <w:rsid w:val="00C44502"/>
    <w:rsid w:val="00C81465"/>
    <w:rsid w:val="00D01868"/>
    <w:rsid w:val="00D96A08"/>
    <w:rsid w:val="00EC204A"/>
    <w:rsid w:val="00F5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9C4442"/>
  <w15:chartTrackingRefBased/>
  <w15:docId w15:val="{E80F9245-B344-45B3-9019-20DA6144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B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6B4"/>
    <w:pPr>
      <w:tabs>
        <w:tab w:val="center" w:pos="4419"/>
        <w:tab w:val="right" w:pos="8838"/>
      </w:tabs>
    </w:pPr>
  </w:style>
  <w:style w:type="character" w:customStyle="1" w:styleId="EncabezadoCar">
    <w:name w:val="Encabezado Car"/>
    <w:basedOn w:val="Fuentedeprrafopredeter"/>
    <w:link w:val="Encabezado"/>
    <w:uiPriority w:val="99"/>
    <w:rsid w:val="003126B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126B4"/>
    <w:pPr>
      <w:tabs>
        <w:tab w:val="center" w:pos="4419"/>
        <w:tab w:val="right" w:pos="8838"/>
      </w:tabs>
    </w:pPr>
  </w:style>
  <w:style w:type="character" w:customStyle="1" w:styleId="PiedepginaCar">
    <w:name w:val="Pie de página Car"/>
    <w:basedOn w:val="Fuentedeprrafopredeter"/>
    <w:link w:val="Piedepgina"/>
    <w:uiPriority w:val="99"/>
    <w:rsid w:val="003126B4"/>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126B4"/>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126B4"/>
    <w:rPr>
      <w:rFonts w:ascii="Century Gothic" w:eastAsia="Times New Roman" w:hAnsi="Century Gothic" w:cs="Times New Roman"/>
      <w:szCs w:val="24"/>
      <w:lang w:eastAsia="es-ES"/>
    </w:rPr>
  </w:style>
  <w:style w:type="table" w:styleId="Tablaconcuadrcula">
    <w:name w:val="Table Grid"/>
    <w:basedOn w:val="Tablanormal"/>
    <w:uiPriority w:val="59"/>
    <w:rsid w:val="003126B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2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20C98-BE00-4545-953E-2CC7D1D1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3</cp:revision>
  <cp:lastPrinted>2024-11-29T16:35:00Z</cp:lastPrinted>
  <dcterms:created xsi:type="dcterms:W3CDTF">2024-11-29T16:35:00Z</dcterms:created>
  <dcterms:modified xsi:type="dcterms:W3CDTF">2024-11-29T16:58:00Z</dcterms:modified>
</cp:coreProperties>
</file>