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728BA" w14:textId="77777777" w:rsidR="001C2C79" w:rsidRDefault="001C2C79" w:rsidP="008F40BF">
      <w:pPr>
        <w:spacing w:line="360" w:lineRule="auto"/>
        <w:jc w:val="both"/>
        <w:rPr>
          <w:rFonts w:ascii="Palatino Linotype" w:eastAsia="Palatino Linotype" w:hAnsi="Palatino Linotype" w:cs="Palatino Linotype"/>
        </w:rPr>
      </w:pPr>
      <w:bookmarkStart w:id="0" w:name="_heading=h.gjdgxs" w:colFirst="0" w:colLast="0"/>
      <w:bookmarkEnd w:id="0"/>
      <w:r w:rsidRPr="00CB61C6">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 Estado de</w:t>
      </w:r>
      <w:r w:rsidR="00E25386">
        <w:rPr>
          <w:rFonts w:ascii="Palatino Linotype" w:eastAsia="Palatino Linotype" w:hAnsi="Palatino Linotype" w:cs="Palatino Linotype"/>
        </w:rPr>
        <w:t xml:space="preserve"> México; de fecha seis (06)</w:t>
      </w:r>
      <w:r w:rsidRPr="00CB61C6">
        <w:rPr>
          <w:rFonts w:ascii="Palatino Linotype" w:eastAsia="Palatino Linotype" w:hAnsi="Palatino Linotype" w:cs="Palatino Linotype"/>
        </w:rPr>
        <w:t xml:space="preserve"> de </w:t>
      </w:r>
      <w:r w:rsidR="00E25386">
        <w:rPr>
          <w:rFonts w:ascii="Palatino Linotype" w:eastAsia="Palatino Linotype" w:hAnsi="Palatino Linotype" w:cs="Palatino Linotype"/>
        </w:rPr>
        <w:t>noviembre</w:t>
      </w:r>
      <w:r w:rsidRPr="00CB61C6">
        <w:rPr>
          <w:rFonts w:ascii="Palatino Linotype" w:eastAsia="Palatino Linotype" w:hAnsi="Palatino Linotype" w:cs="Palatino Linotype"/>
        </w:rPr>
        <w:t xml:space="preserve"> de dos mil veinticuatro.</w:t>
      </w:r>
    </w:p>
    <w:p w14:paraId="340220D1" w14:textId="77777777" w:rsidR="00FE4593" w:rsidRPr="00CB61C6" w:rsidRDefault="00FE4593" w:rsidP="008F40BF">
      <w:pPr>
        <w:spacing w:line="360" w:lineRule="auto"/>
        <w:jc w:val="both"/>
        <w:rPr>
          <w:rFonts w:ascii="Palatino Linotype" w:eastAsia="Palatino Linotype" w:hAnsi="Palatino Linotype" w:cs="Palatino Linotype"/>
        </w:rPr>
      </w:pPr>
    </w:p>
    <w:p w14:paraId="50B1C313" w14:textId="07ADD9F7" w:rsidR="001C2C79" w:rsidRDefault="001C2C79" w:rsidP="00430F6D">
      <w:pPr>
        <w:pBdr>
          <w:top w:val="nil"/>
          <w:left w:val="nil"/>
          <w:bottom w:val="nil"/>
          <w:right w:val="nil"/>
          <w:between w:val="nil"/>
        </w:pBdr>
        <w:tabs>
          <w:tab w:val="center" w:pos="4419"/>
          <w:tab w:val="right" w:pos="8838"/>
        </w:tabs>
        <w:spacing w:line="360" w:lineRule="auto"/>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b/>
          <w:color w:val="000000"/>
        </w:rPr>
        <w:t>VISTO</w:t>
      </w:r>
      <w:r w:rsidR="00AA6F1D" w:rsidRPr="00CB61C6">
        <w:rPr>
          <w:rFonts w:ascii="Palatino Linotype" w:eastAsia="Palatino Linotype" w:hAnsi="Palatino Linotype" w:cs="Palatino Linotype"/>
          <w:b/>
          <w:color w:val="000000"/>
        </w:rPr>
        <w:t>S</w:t>
      </w:r>
      <w:r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color w:val="000000"/>
        </w:rPr>
        <w:t>l</w:t>
      </w:r>
      <w:r w:rsidR="00AA6F1D" w:rsidRPr="00CB61C6">
        <w:rPr>
          <w:rFonts w:ascii="Palatino Linotype" w:eastAsia="Palatino Linotype" w:hAnsi="Palatino Linotype" w:cs="Palatino Linotype"/>
          <w:color w:val="000000"/>
        </w:rPr>
        <w:t>os</w:t>
      </w:r>
      <w:r w:rsidRPr="00CB61C6">
        <w:rPr>
          <w:rFonts w:ascii="Palatino Linotype" w:eastAsia="Palatino Linotype" w:hAnsi="Palatino Linotype" w:cs="Palatino Linotype"/>
          <w:color w:val="000000"/>
        </w:rPr>
        <w:t xml:space="preserve"> expediente</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electrónico</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formado</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con motivo de</w:t>
      </w:r>
      <w:r w:rsidR="00AA6F1D"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color w:val="000000"/>
        </w:rPr>
        <w:t>l</w:t>
      </w:r>
      <w:r w:rsidR="00AA6F1D" w:rsidRPr="00CB61C6">
        <w:rPr>
          <w:rFonts w:ascii="Palatino Linotype" w:eastAsia="Palatino Linotype" w:hAnsi="Palatino Linotype" w:cs="Palatino Linotype"/>
          <w:color w:val="000000"/>
        </w:rPr>
        <w:t>os</w:t>
      </w:r>
      <w:r w:rsidRPr="00CB61C6">
        <w:rPr>
          <w:rFonts w:ascii="Palatino Linotype" w:eastAsia="Palatino Linotype" w:hAnsi="Palatino Linotype" w:cs="Palatino Linotype"/>
          <w:color w:val="000000"/>
        </w:rPr>
        <w:t xml:space="preserve"> recurso</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de revisión </w:t>
      </w:r>
      <w:r w:rsidR="00AA6F1D" w:rsidRPr="00CB61C6">
        <w:rPr>
          <w:rFonts w:ascii="Palatino Linotype" w:eastAsia="Palatino Linotype" w:hAnsi="Palatino Linotype" w:cs="Palatino Linotype"/>
          <w:b/>
          <w:color w:val="000000"/>
        </w:rPr>
        <w:t>01903/INFOEM/IP/RR/2024, 01904/INFOEM/IP/RR/2024</w:t>
      </w:r>
      <w:r w:rsidRPr="00CB61C6">
        <w:rPr>
          <w:rFonts w:ascii="Palatino Linotype" w:eastAsia="Palatino Linotype" w:hAnsi="Palatino Linotype" w:cs="Palatino Linotype"/>
          <w:b/>
          <w:color w:val="000000"/>
        </w:rPr>
        <w:t>,</w:t>
      </w:r>
      <w:r w:rsidR="00AA6F1D" w:rsidRPr="00CB61C6">
        <w:rPr>
          <w:rFonts w:ascii="Palatino Linotype" w:eastAsia="Palatino Linotype" w:hAnsi="Palatino Linotype" w:cs="Palatino Linotype"/>
          <w:b/>
          <w:color w:val="000000"/>
        </w:rPr>
        <w:t xml:space="preserve"> 01905/INFOEM/IP/RR/2024, 01906/INFOEM/IP/RR/2024 </w:t>
      </w:r>
      <w:r w:rsidR="00AA6F1D" w:rsidRPr="00CB61C6">
        <w:rPr>
          <w:rFonts w:ascii="Palatino Linotype" w:eastAsia="Palatino Linotype" w:hAnsi="Palatino Linotype" w:cs="Palatino Linotype"/>
          <w:color w:val="000000"/>
        </w:rPr>
        <w:t>y</w:t>
      </w:r>
      <w:r w:rsidR="00AA6F1D" w:rsidRPr="00CB61C6">
        <w:rPr>
          <w:rFonts w:ascii="Palatino Linotype" w:eastAsia="Palatino Linotype" w:hAnsi="Palatino Linotype" w:cs="Palatino Linotype"/>
          <w:b/>
          <w:color w:val="000000"/>
        </w:rPr>
        <w:t xml:space="preserve"> 01907/INFOEM/IP/RR/2024</w:t>
      </w:r>
      <w:r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color w:val="000000"/>
        </w:rPr>
        <w:t>promovido</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por </w:t>
      </w:r>
      <w:r w:rsidR="00B24DB6">
        <w:rPr>
          <w:rFonts w:ascii="Palatino Linotype" w:eastAsia="Palatino Linotype" w:hAnsi="Palatino Linotype" w:cs="Palatino Linotype"/>
          <w:b/>
          <w:i/>
          <w:color w:val="000000"/>
        </w:rPr>
        <w:t>XXX XXX</w:t>
      </w:r>
      <w:r w:rsidRPr="00CB61C6">
        <w:rPr>
          <w:rFonts w:ascii="Palatino Linotype" w:eastAsia="Palatino Linotype" w:hAnsi="Palatino Linotype" w:cs="Palatino Linotype"/>
          <w:color w:val="000000"/>
        </w:rPr>
        <w:t xml:space="preserve">, en su calidad de </w:t>
      </w:r>
      <w:r w:rsidRPr="00CB61C6">
        <w:rPr>
          <w:rFonts w:ascii="Palatino Linotype" w:eastAsia="Palatino Linotype" w:hAnsi="Palatino Linotype" w:cs="Palatino Linotype"/>
          <w:b/>
          <w:color w:val="000000"/>
        </w:rPr>
        <w:t>RECURRENTE</w:t>
      </w:r>
      <w:r w:rsidRPr="00CB61C6">
        <w:rPr>
          <w:rFonts w:ascii="Palatino Linotype" w:eastAsia="Palatino Linotype" w:hAnsi="Palatino Linotype" w:cs="Palatino Linotype"/>
          <w:color w:val="000000"/>
        </w:rPr>
        <w:t>, en contra de la</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respuesta</w:t>
      </w:r>
      <w:r w:rsidR="00AA6F1D"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del </w:t>
      </w:r>
      <w:r w:rsidRPr="00CB61C6">
        <w:rPr>
          <w:rFonts w:ascii="Palatino Linotype" w:eastAsia="Palatino Linotype" w:hAnsi="Palatino Linotype" w:cs="Palatino Linotype"/>
          <w:b/>
          <w:color w:val="000000"/>
        </w:rPr>
        <w:t xml:space="preserve">Ayuntamiento de </w:t>
      </w:r>
      <w:r w:rsidR="00AA6F1D" w:rsidRPr="00CB61C6">
        <w:rPr>
          <w:rFonts w:ascii="Palatino Linotype" w:eastAsia="Palatino Linotype" w:hAnsi="Palatino Linotype" w:cs="Palatino Linotype"/>
          <w:b/>
          <w:color w:val="000000"/>
        </w:rPr>
        <w:t>Toluca</w:t>
      </w:r>
      <w:r w:rsidRPr="00CB61C6">
        <w:rPr>
          <w:rFonts w:ascii="Palatino Linotype" w:eastAsia="Palatino Linotype" w:hAnsi="Palatino Linotype" w:cs="Palatino Linotype"/>
          <w:color w:val="000000"/>
        </w:rPr>
        <w:t>,</w:t>
      </w:r>
      <w:r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color w:val="000000"/>
        </w:rPr>
        <w:t>en lo sucesivo el</w:t>
      </w:r>
      <w:r w:rsidRPr="00CB61C6">
        <w:rPr>
          <w:rFonts w:ascii="Palatino Linotype" w:eastAsia="Palatino Linotype" w:hAnsi="Palatino Linotype" w:cs="Palatino Linotype"/>
          <w:b/>
          <w:color w:val="000000"/>
        </w:rPr>
        <w:t xml:space="preserve"> SUJETO OBLIGADO, </w:t>
      </w:r>
      <w:r w:rsidRPr="00CB61C6">
        <w:rPr>
          <w:rFonts w:ascii="Palatino Linotype" w:eastAsia="Palatino Linotype" w:hAnsi="Palatino Linotype" w:cs="Palatino Linotype"/>
          <w:color w:val="000000"/>
        </w:rPr>
        <w:t>se procede a dictar la presente resolución, con base en los siguientes:</w:t>
      </w:r>
    </w:p>
    <w:p w14:paraId="4E957EE0" w14:textId="77777777" w:rsidR="00430F6D" w:rsidRDefault="00430F6D" w:rsidP="00430F6D">
      <w:pPr>
        <w:pBdr>
          <w:top w:val="nil"/>
          <w:left w:val="nil"/>
          <w:bottom w:val="nil"/>
          <w:right w:val="nil"/>
          <w:between w:val="nil"/>
        </w:pBdr>
        <w:tabs>
          <w:tab w:val="center" w:pos="4419"/>
          <w:tab w:val="right" w:pos="8838"/>
        </w:tabs>
        <w:spacing w:line="360" w:lineRule="auto"/>
        <w:jc w:val="both"/>
        <w:rPr>
          <w:rFonts w:ascii="Palatino Linotype" w:eastAsia="Palatino Linotype" w:hAnsi="Palatino Linotype" w:cs="Palatino Linotype"/>
          <w:color w:val="000000"/>
        </w:rPr>
      </w:pPr>
    </w:p>
    <w:p w14:paraId="58314272" w14:textId="77777777" w:rsidR="001C2C79" w:rsidRPr="00CB61C6" w:rsidRDefault="001C2C79" w:rsidP="00430F6D">
      <w:pPr>
        <w:pStyle w:val="Ttulo1"/>
        <w:spacing w:before="0" w:line="360" w:lineRule="auto"/>
        <w:jc w:val="center"/>
        <w:rPr>
          <w:rFonts w:ascii="Palatino Linotype" w:eastAsia="Palatino Linotype" w:hAnsi="Palatino Linotype" w:cs="Palatino Linotype"/>
          <w:b/>
          <w:color w:val="000000"/>
          <w:sz w:val="24"/>
          <w:szCs w:val="24"/>
        </w:rPr>
      </w:pPr>
      <w:bookmarkStart w:id="1" w:name="_heading=h.30j0zll" w:colFirst="0" w:colLast="0"/>
      <w:bookmarkEnd w:id="1"/>
      <w:r w:rsidRPr="00CB61C6">
        <w:rPr>
          <w:rFonts w:ascii="Palatino Linotype" w:eastAsia="Palatino Linotype" w:hAnsi="Palatino Linotype" w:cs="Palatino Linotype"/>
          <w:b/>
          <w:color w:val="000000"/>
          <w:sz w:val="24"/>
          <w:szCs w:val="24"/>
        </w:rPr>
        <w:t>A N T E C E D E N T E S</w:t>
      </w:r>
    </w:p>
    <w:p w14:paraId="74CEFEE8" w14:textId="77777777" w:rsidR="001C2C79" w:rsidRPr="00CB61C6" w:rsidRDefault="001C2C79" w:rsidP="00430F6D">
      <w:pPr>
        <w:spacing w:line="360" w:lineRule="auto"/>
        <w:rPr>
          <w:rFonts w:ascii="Palatino Linotype" w:eastAsia="Palatino Linotype" w:hAnsi="Palatino Linotype" w:cs="Palatino Linotype"/>
        </w:rPr>
      </w:pPr>
    </w:p>
    <w:p w14:paraId="4415EEE9" w14:textId="77777777" w:rsidR="001C2C79" w:rsidRPr="00CB61C6" w:rsidRDefault="001C2C79" w:rsidP="00430F6D">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El dieci</w:t>
      </w:r>
      <w:r w:rsidR="00AA6F1D" w:rsidRPr="00CB61C6">
        <w:rPr>
          <w:rFonts w:ascii="Palatino Linotype" w:eastAsia="Palatino Linotype" w:hAnsi="Palatino Linotype" w:cs="Palatino Linotype"/>
          <w:color w:val="000000"/>
        </w:rPr>
        <w:t>nueve</w:t>
      </w:r>
      <w:r w:rsidR="00AA6F1D" w:rsidRPr="00CB61C6">
        <w:rPr>
          <w:rFonts w:ascii="Palatino Linotype" w:eastAsia="Palatino Linotype" w:hAnsi="Palatino Linotype" w:cs="Palatino Linotype"/>
          <w:b/>
          <w:color w:val="000000"/>
        </w:rPr>
        <w:t xml:space="preserve"> de febrero</w:t>
      </w:r>
      <w:r w:rsidRPr="00CB61C6">
        <w:rPr>
          <w:rFonts w:ascii="Palatino Linotype" w:eastAsia="Palatino Linotype" w:hAnsi="Palatino Linotype" w:cs="Palatino Linotype"/>
          <w:b/>
          <w:color w:val="000000"/>
        </w:rPr>
        <w:t xml:space="preserve"> de dos mil </w:t>
      </w:r>
      <w:r w:rsidR="00AA6F1D" w:rsidRPr="00CB61C6">
        <w:rPr>
          <w:rFonts w:ascii="Palatino Linotype" w:eastAsia="Palatino Linotype" w:hAnsi="Palatino Linotype" w:cs="Palatino Linotype"/>
          <w:b/>
          <w:color w:val="000000"/>
        </w:rPr>
        <w:t>veinticuatro</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b/>
          <w:color w:val="000000"/>
        </w:rPr>
        <w:t xml:space="preserve">EL RECURRENTE </w:t>
      </w:r>
      <w:r w:rsidRPr="00CB61C6">
        <w:rPr>
          <w:rFonts w:ascii="Palatino Linotype" w:eastAsia="Palatino Linotype" w:hAnsi="Palatino Linotype" w:cs="Palatino Linotype"/>
          <w:color w:val="000000"/>
        </w:rPr>
        <w:t>presentó</w:t>
      </w:r>
      <w:r w:rsidRPr="00CB61C6">
        <w:rPr>
          <w:rFonts w:ascii="Palatino Linotype" w:eastAsia="Palatino Linotype" w:hAnsi="Palatino Linotype" w:cs="Palatino Linotype"/>
          <w:b/>
          <w:color w:val="000000"/>
        </w:rPr>
        <w:t>,</w:t>
      </w:r>
      <w:r w:rsidRPr="00CB61C6">
        <w:rPr>
          <w:rFonts w:ascii="Palatino Linotype" w:eastAsia="Palatino Linotype" w:hAnsi="Palatino Linotype" w:cs="Palatino Linotype"/>
          <w:color w:val="000000"/>
        </w:rPr>
        <w:t xml:space="preserve"> ante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vía</w:t>
      </w:r>
      <w:r w:rsidR="001B0C96" w:rsidRPr="00CB61C6">
        <w:rPr>
          <w:rFonts w:ascii="Palatino Linotype" w:eastAsia="Palatino Linotype" w:hAnsi="Palatino Linotype" w:cs="Palatino Linotype"/>
          <w:color w:val="000000"/>
        </w:rPr>
        <w:t xml:space="preserve"> Plataforma Nacional de Transparencia </w:t>
      </w:r>
      <w:r w:rsidR="001B0C96" w:rsidRPr="00CB61C6">
        <w:rPr>
          <w:rFonts w:ascii="Palatino Linotype" w:eastAsia="Palatino Linotype" w:hAnsi="Palatino Linotype" w:cs="Palatino Linotype"/>
          <w:b/>
          <w:color w:val="000000"/>
        </w:rPr>
        <w:t>(PNT)</w:t>
      </w:r>
      <w:r w:rsidR="001B0C96" w:rsidRPr="00CB61C6">
        <w:rPr>
          <w:rFonts w:ascii="Palatino Linotype" w:eastAsia="Palatino Linotype" w:hAnsi="Palatino Linotype" w:cs="Palatino Linotype"/>
          <w:color w:val="000000"/>
        </w:rPr>
        <w:t xml:space="preserve"> vinculada al</w:t>
      </w:r>
      <w:r w:rsidRPr="00CB61C6">
        <w:rPr>
          <w:rFonts w:ascii="Palatino Linotype" w:eastAsia="Palatino Linotype" w:hAnsi="Palatino Linotype" w:cs="Palatino Linotype"/>
          <w:color w:val="000000"/>
        </w:rPr>
        <w:t xml:space="preserve"> Sistema de Acceso a la Información Mexiquense (</w:t>
      </w:r>
      <w:r w:rsidRPr="00CB61C6">
        <w:rPr>
          <w:rFonts w:ascii="Palatino Linotype" w:eastAsia="Palatino Linotype" w:hAnsi="Palatino Linotype" w:cs="Palatino Linotype"/>
          <w:b/>
          <w:color w:val="000000"/>
        </w:rPr>
        <w:t>SAIMEX)</w:t>
      </w:r>
      <w:r w:rsidRPr="00CB61C6">
        <w:rPr>
          <w:rFonts w:ascii="Palatino Linotype" w:eastAsia="Palatino Linotype" w:hAnsi="Palatino Linotype" w:cs="Palatino Linotype"/>
          <w:color w:val="000000"/>
        </w:rPr>
        <w:t>, la</w:t>
      </w:r>
      <w:r w:rsidR="001B0C9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solicitud</w:t>
      </w:r>
      <w:r w:rsidR="001B0C96" w:rsidRPr="00CB61C6">
        <w:rPr>
          <w:rFonts w:ascii="Palatino Linotype" w:eastAsia="Palatino Linotype" w:hAnsi="Palatino Linotype" w:cs="Palatino Linotype"/>
          <w:color w:val="000000"/>
        </w:rPr>
        <w:t>es</w:t>
      </w:r>
      <w:r w:rsidRPr="00CB61C6">
        <w:rPr>
          <w:rFonts w:ascii="Palatino Linotype" w:eastAsia="Palatino Linotype" w:hAnsi="Palatino Linotype" w:cs="Palatino Linotype"/>
          <w:color w:val="000000"/>
        </w:rPr>
        <w:t xml:space="preserve"> de información pública</w:t>
      </w:r>
      <w:r w:rsidR="001B0C9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registrada</w:t>
      </w:r>
      <w:r w:rsidR="001B0C9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con l</w:t>
      </w:r>
      <w:r w:rsidR="001B0C96" w:rsidRPr="00CB61C6">
        <w:rPr>
          <w:rFonts w:ascii="Palatino Linotype" w:eastAsia="Palatino Linotype" w:hAnsi="Palatino Linotype" w:cs="Palatino Linotype"/>
          <w:color w:val="000000"/>
        </w:rPr>
        <w:t>os</w:t>
      </w:r>
      <w:r w:rsidRPr="00CB61C6">
        <w:rPr>
          <w:rFonts w:ascii="Palatino Linotype" w:eastAsia="Palatino Linotype" w:hAnsi="Palatino Linotype" w:cs="Palatino Linotype"/>
          <w:color w:val="000000"/>
        </w:rPr>
        <w:t xml:space="preserve"> número</w:t>
      </w:r>
      <w:r w:rsidR="001B0C9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b/>
          <w:color w:val="000000"/>
        </w:rPr>
        <w:t xml:space="preserve"> </w:t>
      </w:r>
      <w:r w:rsidR="00B5049C" w:rsidRPr="00CB61C6">
        <w:rPr>
          <w:rFonts w:ascii="Palatino Linotype" w:eastAsia="Palatino Linotype" w:hAnsi="Palatino Linotype" w:cs="Palatino Linotype"/>
          <w:b/>
          <w:color w:val="000000"/>
        </w:rPr>
        <w:t xml:space="preserve">00369/TOLUCA/IP/2024, 00370/TOLUCA/IP/2024, 00371/TOLUCA/IP/2024, 00372/TOLUCA/IP/2024 </w:t>
      </w:r>
      <w:r w:rsidR="00B5049C" w:rsidRPr="00CB61C6">
        <w:rPr>
          <w:rFonts w:ascii="Palatino Linotype" w:eastAsia="Palatino Linotype" w:hAnsi="Palatino Linotype" w:cs="Palatino Linotype"/>
          <w:color w:val="000000"/>
        </w:rPr>
        <w:t>y</w:t>
      </w:r>
      <w:r w:rsidR="00B5049C" w:rsidRPr="00CB61C6">
        <w:rPr>
          <w:rFonts w:ascii="Palatino Linotype" w:eastAsia="Palatino Linotype" w:hAnsi="Palatino Linotype" w:cs="Palatino Linotype"/>
          <w:b/>
          <w:color w:val="000000"/>
        </w:rPr>
        <w:t xml:space="preserve"> 00373/TOLUCA/IP/2024 </w:t>
      </w:r>
      <w:r w:rsidRPr="00CB61C6">
        <w:rPr>
          <w:rFonts w:ascii="Palatino Linotype" w:eastAsia="Palatino Linotype" w:hAnsi="Palatino Linotype" w:cs="Palatino Linotype"/>
          <w:color w:val="000000"/>
        </w:rPr>
        <w:t>mediante la cual solicitó lo siguiente:</w:t>
      </w:r>
    </w:p>
    <w:p w14:paraId="187B3863"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lastRenderedPageBreak/>
        <w:t xml:space="preserve">Número de Folio de la Solicitud: </w:t>
      </w:r>
      <w:r w:rsidRPr="00CB61C6">
        <w:rPr>
          <w:rFonts w:ascii="Palatino Linotype" w:eastAsia="Palatino Linotype" w:hAnsi="Palatino Linotype" w:cs="Palatino Linotype"/>
          <w:b/>
          <w:color w:val="000000"/>
        </w:rPr>
        <w:t>00369/TOLUCA/IP/2024</w:t>
      </w:r>
    </w:p>
    <w:p w14:paraId="4A2EFC57"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"informes justificados emitidos por la Unidad de Transparencia, del 1 de enero al 31 de mayo de 2022"</w:t>
      </w:r>
    </w:p>
    <w:p w14:paraId="07936F4C"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p>
    <w:p w14:paraId="3E217A58"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 xml:space="preserve">Número de Folio de la Solicitud: </w:t>
      </w:r>
      <w:r w:rsidRPr="00CB61C6">
        <w:rPr>
          <w:rFonts w:ascii="Palatino Linotype" w:eastAsia="Palatino Linotype" w:hAnsi="Palatino Linotype" w:cs="Palatino Linotype"/>
          <w:b/>
          <w:color w:val="000000"/>
        </w:rPr>
        <w:t>00370/TOLUCA/IP/2024</w:t>
      </w:r>
    </w:p>
    <w:p w14:paraId="255F639A"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"informes justificados emitidos por la Unidad de Transparencia, del 1 de junio al 30 de noviembre de 2022"</w:t>
      </w:r>
    </w:p>
    <w:p w14:paraId="577CD86C"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p>
    <w:p w14:paraId="6B877A07"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color w:val="000000"/>
        </w:rPr>
        <w:t>Número de Folio de la Solicitud:</w:t>
      </w:r>
      <w:r w:rsidRPr="00CB61C6">
        <w:rPr>
          <w:rFonts w:ascii="Palatino Linotype" w:eastAsia="Palatino Linotype" w:hAnsi="Palatino Linotype" w:cs="Palatino Linotype"/>
          <w:b/>
          <w:color w:val="000000"/>
        </w:rPr>
        <w:t xml:space="preserve"> 00371/TOLUCA/IP/2024</w:t>
      </w:r>
    </w:p>
    <w:p w14:paraId="476153BB"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"informes justificados emitidos por la Unidad de Transparencia, del 1 de diciembre de 2022 al 19 de febrero de 2023"</w:t>
      </w:r>
    </w:p>
    <w:p w14:paraId="7BD60A11"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p>
    <w:p w14:paraId="5D4D25E9"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color w:val="000000"/>
        </w:rPr>
        <w:t xml:space="preserve">Número de Folio de la Solicitud: </w:t>
      </w:r>
      <w:r w:rsidRPr="00CB61C6">
        <w:rPr>
          <w:rFonts w:ascii="Palatino Linotype" w:eastAsia="Palatino Linotype" w:hAnsi="Palatino Linotype" w:cs="Palatino Linotype"/>
          <w:b/>
          <w:color w:val="000000"/>
        </w:rPr>
        <w:t>00372/TOLUCA/IP/2024</w:t>
      </w:r>
    </w:p>
    <w:p w14:paraId="73B43FAC"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"informes justificados emitidos por la Unidad de Transparencia, del 19 de febrero al 31 de julio de 2023"</w:t>
      </w:r>
    </w:p>
    <w:p w14:paraId="64FB9621"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p>
    <w:p w14:paraId="22BB5884" w14:textId="77777777" w:rsidR="00495BB6"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color w:val="000000"/>
        </w:rPr>
        <w:t xml:space="preserve">Número de Folio de la Solicitud: </w:t>
      </w:r>
      <w:r w:rsidRPr="00CB61C6">
        <w:rPr>
          <w:rFonts w:ascii="Palatino Linotype" w:eastAsia="Palatino Linotype" w:hAnsi="Palatino Linotype" w:cs="Palatino Linotype"/>
          <w:b/>
          <w:color w:val="000000"/>
        </w:rPr>
        <w:t>00373/TOLUCA/IP/2024</w:t>
      </w:r>
    </w:p>
    <w:p w14:paraId="083F8258" w14:textId="77777777" w:rsidR="00FE2091" w:rsidRPr="00CB61C6" w:rsidRDefault="00495BB6" w:rsidP="008F40BF">
      <w:pPr>
        <w:pBdr>
          <w:top w:val="nil"/>
          <w:left w:val="nil"/>
          <w:bottom w:val="nil"/>
          <w:right w:val="nil"/>
          <w:between w:val="nil"/>
        </w:pBdr>
        <w:spacing w:line="360" w:lineRule="auto"/>
        <w:ind w:left="567" w:right="680"/>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"informes justificados emitidos por la Unidad de Transparencia, del 1 de agosto al 31 de diciembre 2023"</w:t>
      </w:r>
    </w:p>
    <w:p w14:paraId="07781AE7" w14:textId="77777777" w:rsidR="00495BB6" w:rsidRPr="00CB61C6" w:rsidRDefault="00495BB6"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p>
    <w:p w14:paraId="25ACB47C" w14:textId="77777777" w:rsidR="001C2C79" w:rsidRPr="008F40BF" w:rsidRDefault="00FE2091" w:rsidP="00FE4593">
      <w:pPr>
        <w:pStyle w:val="Prrafodelista"/>
        <w:numPr>
          <w:ilvl w:val="0"/>
          <w:numId w:val="11"/>
        </w:numPr>
        <w:pBdr>
          <w:top w:val="nil"/>
          <w:left w:val="nil"/>
          <w:bottom w:val="nil"/>
          <w:right w:val="nil"/>
          <w:between w:val="nil"/>
        </w:pBdr>
        <w:spacing w:line="360" w:lineRule="auto"/>
        <w:jc w:val="both"/>
        <w:rPr>
          <w:rFonts w:ascii="Palatino Linotype" w:eastAsia="Palatino Linotype" w:hAnsi="Palatino Linotype" w:cs="Palatino Linotype"/>
          <w:b/>
          <w:color w:val="000000"/>
        </w:rPr>
      </w:pPr>
      <w:r w:rsidRPr="008F40BF">
        <w:rPr>
          <w:rFonts w:ascii="Palatino Linotype" w:eastAsia="Palatino Linotype" w:hAnsi="Palatino Linotype" w:cs="Palatino Linotype"/>
          <w:color w:val="000000"/>
        </w:rPr>
        <w:lastRenderedPageBreak/>
        <w:t>Se s</w:t>
      </w:r>
      <w:r w:rsidR="001C2C79" w:rsidRPr="008F40BF">
        <w:rPr>
          <w:rFonts w:ascii="Palatino Linotype" w:eastAsia="Palatino Linotype" w:hAnsi="Palatino Linotype" w:cs="Palatino Linotype"/>
          <w:color w:val="000000"/>
        </w:rPr>
        <w:t xml:space="preserve">eñaló como modalidad de entrega de la información a través del </w:t>
      </w:r>
      <w:r w:rsidR="001C2C79" w:rsidRPr="008F40BF">
        <w:rPr>
          <w:rFonts w:ascii="Palatino Linotype" w:eastAsia="Palatino Linotype" w:hAnsi="Palatino Linotype" w:cs="Palatino Linotype"/>
          <w:b/>
          <w:color w:val="000000"/>
        </w:rPr>
        <w:t>SAIMEX.</w:t>
      </w:r>
    </w:p>
    <w:p w14:paraId="6D94C519" w14:textId="77777777" w:rsidR="000B7930" w:rsidRPr="00CB61C6" w:rsidRDefault="000B7930" w:rsidP="008F40BF">
      <w:pPr>
        <w:pBdr>
          <w:top w:val="nil"/>
          <w:left w:val="nil"/>
          <w:bottom w:val="nil"/>
          <w:right w:val="nil"/>
          <w:between w:val="nil"/>
        </w:pBdr>
        <w:spacing w:line="360" w:lineRule="auto"/>
        <w:jc w:val="both"/>
        <w:rPr>
          <w:rFonts w:ascii="Palatino Linotype" w:hAnsi="Palatino Linotype"/>
          <w:color w:val="000000"/>
        </w:rPr>
      </w:pPr>
    </w:p>
    <w:p w14:paraId="7F5A37EE" w14:textId="77777777" w:rsidR="004E109B" w:rsidRPr="004E109B" w:rsidRDefault="00D170A8"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Pr>
          <w:rFonts w:ascii="Palatino Linotype" w:hAnsi="Palatino Linotype"/>
          <w:color w:val="000000"/>
        </w:rPr>
        <w:t>E</w:t>
      </w:r>
      <w:r w:rsidRPr="00D170A8">
        <w:rPr>
          <w:rFonts w:ascii="Palatino Linotype" w:hAnsi="Palatino Linotype"/>
          <w:color w:val="000000"/>
        </w:rPr>
        <w:t xml:space="preserve">l once de marzo de dos mil veinticuatro, el </w:t>
      </w:r>
      <w:r w:rsidRPr="00D170A8">
        <w:rPr>
          <w:rFonts w:ascii="Palatino Linotype" w:hAnsi="Palatino Linotype"/>
          <w:b/>
          <w:color w:val="000000"/>
        </w:rPr>
        <w:t>SUJETO OBLIGADO</w:t>
      </w:r>
      <w:r w:rsidRPr="00D170A8">
        <w:rPr>
          <w:rFonts w:ascii="Palatino Linotype" w:hAnsi="Palatino Linotype"/>
          <w:color w:val="000000"/>
        </w:rPr>
        <w:t xml:space="preserve"> a través de la Centésima </w:t>
      </w:r>
      <w:r w:rsidRPr="00D170A8">
        <w:rPr>
          <w:rFonts w:ascii="Palatino Linotype" w:eastAsia="Palatino Linotype" w:hAnsi="Palatino Linotype" w:cs="Palatino Linotype"/>
          <w:color w:val="000000"/>
        </w:rPr>
        <w:t>Septuagésima</w:t>
      </w:r>
      <w:r w:rsidRPr="00D170A8">
        <w:rPr>
          <w:rFonts w:ascii="Palatino Linotype" w:hAnsi="Palatino Linotype"/>
          <w:color w:val="000000"/>
        </w:rPr>
        <w:t xml:space="preserve"> Cuarta Sesión Extraordinaria de 2024, aprobó una prórroga para dar atención por un lapso de siete días hábiles adiciones a las solicitud de información de mérito</w:t>
      </w:r>
      <w:r>
        <w:rPr>
          <w:rFonts w:ascii="Palatino Linotype" w:hAnsi="Palatino Linotype"/>
          <w:color w:val="000000"/>
        </w:rPr>
        <w:t>,</w:t>
      </w:r>
      <w:r w:rsidRPr="00D170A8">
        <w:rPr>
          <w:rFonts w:ascii="Palatino Linotype" w:hAnsi="Palatino Linotype"/>
          <w:color w:val="000000"/>
        </w:rPr>
        <w:t xml:space="preserve"> en razón que la búsqueda de información implica un análisis, estudio y procesamiento; asimismo porque derivado del número de solicitudes para atender dentro del segundo semestre del año 2023, se han rebasado las capacidades técnicas y humanas del personal.</w:t>
      </w:r>
    </w:p>
    <w:p w14:paraId="43209C5F" w14:textId="77777777" w:rsidR="004E109B" w:rsidRPr="004E109B" w:rsidRDefault="004E109B" w:rsidP="008F40BF">
      <w:pPr>
        <w:pBdr>
          <w:top w:val="nil"/>
          <w:left w:val="nil"/>
          <w:bottom w:val="nil"/>
          <w:right w:val="nil"/>
          <w:between w:val="nil"/>
        </w:pBdr>
        <w:spacing w:line="360" w:lineRule="auto"/>
        <w:jc w:val="both"/>
        <w:rPr>
          <w:rFonts w:ascii="Palatino Linotype" w:hAnsi="Palatino Linotype"/>
          <w:color w:val="000000"/>
        </w:rPr>
      </w:pPr>
    </w:p>
    <w:p w14:paraId="551BCC8A"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El </w:t>
      </w:r>
      <w:r w:rsidR="000B7930" w:rsidRPr="00CB61C6">
        <w:rPr>
          <w:rFonts w:ascii="Palatino Linotype" w:eastAsia="Palatino Linotype" w:hAnsi="Palatino Linotype" w:cs="Palatino Linotype"/>
          <w:b/>
          <w:color w:val="000000"/>
        </w:rPr>
        <w:t>veintidós de marzo</w:t>
      </w:r>
      <w:r w:rsidR="00FE2091" w:rsidRPr="00CB61C6">
        <w:rPr>
          <w:rFonts w:ascii="Palatino Linotype" w:eastAsia="Palatino Linotype" w:hAnsi="Palatino Linotype" w:cs="Palatino Linotype"/>
          <w:b/>
          <w:color w:val="000000"/>
        </w:rPr>
        <w:t xml:space="preserve"> de dos mil </w:t>
      </w:r>
      <w:r w:rsidR="00AA6F1D" w:rsidRPr="00CB61C6">
        <w:rPr>
          <w:rFonts w:ascii="Palatino Linotype" w:eastAsia="Palatino Linotype" w:hAnsi="Palatino Linotype" w:cs="Palatino Linotype"/>
          <w:b/>
          <w:color w:val="000000"/>
        </w:rPr>
        <w:t>veinticuatro</w:t>
      </w:r>
      <w:r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color w:val="000000"/>
        </w:rPr>
        <w:t xml:space="preserve">el </w:t>
      </w:r>
      <w:r w:rsidRPr="00CB61C6">
        <w:rPr>
          <w:rFonts w:ascii="Palatino Linotype" w:eastAsia="Palatino Linotype" w:hAnsi="Palatino Linotype" w:cs="Palatino Linotype"/>
          <w:b/>
          <w:color w:val="000000"/>
        </w:rPr>
        <w:t xml:space="preserve">SUJETO OBLIGADO </w:t>
      </w:r>
      <w:r w:rsidR="000B7930" w:rsidRPr="00CB61C6">
        <w:rPr>
          <w:rFonts w:ascii="Palatino Linotype" w:eastAsia="Palatino Linotype" w:hAnsi="Palatino Linotype" w:cs="Palatino Linotype"/>
          <w:color w:val="000000"/>
        </w:rPr>
        <w:t>dio respuestas a las solicitudes de información</w:t>
      </w:r>
      <w:r w:rsidR="000B7930" w:rsidRPr="00CB61C6">
        <w:rPr>
          <w:rFonts w:ascii="Palatino Linotype" w:eastAsia="Palatino Linotype" w:hAnsi="Palatino Linotype" w:cs="Palatino Linotype"/>
          <w:b/>
          <w:bCs/>
          <w:color w:val="000000"/>
        </w:rPr>
        <w:t>,</w:t>
      </w:r>
      <w:r w:rsidR="000B7930" w:rsidRPr="00CB61C6">
        <w:rPr>
          <w:rFonts w:ascii="Palatino Linotype" w:eastAsia="Palatino Linotype" w:hAnsi="Palatino Linotype" w:cs="Palatino Linotype"/>
          <w:bCs/>
          <w:color w:val="000000"/>
        </w:rPr>
        <w:t xml:space="preserve"> adjuntando a cada una de ellas un </w:t>
      </w:r>
      <w:r w:rsidR="00BD5533" w:rsidRPr="00CB61C6">
        <w:rPr>
          <w:rFonts w:ascii="Palatino Linotype" w:eastAsia="Palatino Linotype" w:hAnsi="Palatino Linotype" w:cs="Palatino Linotype"/>
          <w:bCs/>
          <w:color w:val="000000"/>
        </w:rPr>
        <w:t xml:space="preserve">Acta del Comité de Transparencia en las que de manera general se </w:t>
      </w:r>
      <w:r w:rsidR="00033AE1" w:rsidRPr="00CB61C6">
        <w:rPr>
          <w:rFonts w:ascii="Palatino Linotype" w:eastAsia="Palatino Linotype" w:hAnsi="Palatino Linotype" w:cs="Palatino Linotype"/>
          <w:bCs/>
          <w:color w:val="000000"/>
        </w:rPr>
        <w:t>propone</w:t>
      </w:r>
      <w:r w:rsidR="00BD5533" w:rsidRPr="00CB61C6">
        <w:rPr>
          <w:rFonts w:ascii="Palatino Linotype" w:eastAsia="Palatino Linotype" w:hAnsi="Palatino Linotype" w:cs="Palatino Linotype"/>
          <w:bCs/>
          <w:color w:val="000000"/>
        </w:rPr>
        <w:t xml:space="preserve"> un cambio de modalidad</w:t>
      </w:r>
      <w:r w:rsidR="00033AE1" w:rsidRPr="00CB61C6">
        <w:rPr>
          <w:rFonts w:ascii="Palatino Linotype" w:eastAsia="Palatino Linotype" w:hAnsi="Palatino Linotype" w:cs="Palatino Linotype"/>
          <w:bCs/>
          <w:color w:val="000000"/>
        </w:rPr>
        <w:t xml:space="preserve"> de entrega de la información p</w:t>
      </w:r>
      <w:r w:rsidR="00BD5533" w:rsidRPr="00CB61C6">
        <w:rPr>
          <w:rFonts w:ascii="Palatino Linotype" w:eastAsia="Palatino Linotype" w:hAnsi="Palatino Linotype" w:cs="Palatino Linotype"/>
          <w:bCs/>
          <w:color w:val="000000"/>
        </w:rPr>
        <w:t>o</w:t>
      </w:r>
      <w:r w:rsidR="00033AE1" w:rsidRPr="00CB61C6">
        <w:rPr>
          <w:rFonts w:ascii="Palatino Linotype" w:eastAsia="Palatino Linotype" w:hAnsi="Palatino Linotype" w:cs="Palatino Linotype"/>
          <w:bCs/>
          <w:color w:val="000000"/>
        </w:rPr>
        <w:t>r</w:t>
      </w:r>
      <w:r w:rsidR="00BD5533" w:rsidRPr="00CB61C6">
        <w:rPr>
          <w:rFonts w:ascii="Palatino Linotype" w:eastAsia="Palatino Linotype" w:hAnsi="Palatino Linotype" w:cs="Palatino Linotype"/>
          <w:bCs/>
          <w:color w:val="000000"/>
        </w:rPr>
        <w:t xml:space="preserve"> superar las capacidades técnicas d</w:t>
      </w:r>
      <w:r w:rsidR="00FE4593">
        <w:rPr>
          <w:rFonts w:ascii="Palatino Linotype" w:eastAsia="Palatino Linotype" w:hAnsi="Palatino Linotype" w:cs="Palatino Linotype"/>
          <w:bCs/>
          <w:color w:val="000000"/>
        </w:rPr>
        <w:t>el soporte documental requerido;</w:t>
      </w:r>
      <w:r w:rsidR="00BD5533" w:rsidRPr="00CB61C6">
        <w:rPr>
          <w:rFonts w:ascii="Palatino Linotype" w:eastAsia="Palatino Linotype" w:hAnsi="Palatino Linotype" w:cs="Palatino Linotype"/>
          <w:bCs/>
          <w:color w:val="000000"/>
        </w:rPr>
        <w:t xml:space="preserve"> actas </w:t>
      </w:r>
      <w:r w:rsidR="00033AE1" w:rsidRPr="00CB61C6">
        <w:rPr>
          <w:rFonts w:ascii="Palatino Linotype" w:eastAsia="Palatino Linotype" w:hAnsi="Palatino Linotype" w:cs="Palatino Linotype"/>
          <w:bCs/>
          <w:color w:val="000000"/>
        </w:rPr>
        <w:t xml:space="preserve">que corresponden a la siguiente numeración: </w:t>
      </w:r>
      <w:r w:rsidR="00BD5533" w:rsidRPr="00CB61C6">
        <w:rPr>
          <w:rFonts w:ascii="Palatino Linotype" w:eastAsia="Palatino Linotype" w:hAnsi="Palatino Linotype" w:cs="Palatino Linotype"/>
          <w:bCs/>
          <w:color w:val="000000"/>
        </w:rPr>
        <w:t>Nonagésima Primera, Nonagésima Segunda, Ducentésima Vigésima, Centésima Nonagésima Tercera, Centésima Nonagésima Cuarta, todas de la actual administración pública municipal 2022 – 2024.</w:t>
      </w:r>
    </w:p>
    <w:p w14:paraId="2682B6C8" w14:textId="77777777" w:rsidR="00FE2091" w:rsidRPr="00CB61C6" w:rsidRDefault="00FE2091" w:rsidP="008F40BF">
      <w:pPr>
        <w:pBdr>
          <w:top w:val="nil"/>
          <w:left w:val="nil"/>
          <w:bottom w:val="nil"/>
          <w:right w:val="nil"/>
          <w:between w:val="nil"/>
        </w:pBdr>
        <w:spacing w:line="360" w:lineRule="auto"/>
        <w:jc w:val="both"/>
        <w:rPr>
          <w:rFonts w:ascii="Palatino Linotype" w:hAnsi="Palatino Linotype"/>
          <w:color w:val="000000"/>
        </w:rPr>
      </w:pPr>
    </w:p>
    <w:p w14:paraId="7FAAD8AA"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bookmarkStart w:id="2" w:name="_heading=h.1fob9te" w:colFirst="0" w:colLast="0"/>
      <w:bookmarkEnd w:id="2"/>
      <w:r w:rsidRPr="00CB61C6">
        <w:rPr>
          <w:rFonts w:ascii="Palatino Linotype" w:eastAsia="Palatino Linotype" w:hAnsi="Palatino Linotype" w:cs="Palatino Linotype"/>
          <w:color w:val="000000"/>
        </w:rPr>
        <w:lastRenderedPageBreak/>
        <w:t xml:space="preserve">El </w:t>
      </w:r>
      <w:r w:rsidR="00033AE1" w:rsidRPr="00CB61C6">
        <w:rPr>
          <w:rFonts w:ascii="Palatino Linotype" w:eastAsia="Palatino Linotype" w:hAnsi="Palatino Linotype" w:cs="Palatino Linotype"/>
          <w:b/>
          <w:color w:val="000000"/>
        </w:rPr>
        <w:t>quince de abril</w:t>
      </w:r>
      <w:r w:rsidR="00BD103D"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b/>
          <w:color w:val="000000"/>
        </w:rPr>
        <w:t xml:space="preserve">de dos mil </w:t>
      </w:r>
      <w:r w:rsidR="00AA6F1D" w:rsidRPr="00CB61C6">
        <w:rPr>
          <w:rFonts w:ascii="Palatino Linotype" w:eastAsia="Palatino Linotype" w:hAnsi="Palatino Linotype" w:cs="Palatino Linotype"/>
          <w:b/>
          <w:color w:val="000000"/>
        </w:rPr>
        <w:t>veinticuatro</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b/>
          <w:color w:val="000000"/>
        </w:rPr>
        <w:t>EL RECURRENTE</w:t>
      </w:r>
      <w:r w:rsidRPr="00CB61C6">
        <w:rPr>
          <w:rFonts w:ascii="Palatino Linotype" w:eastAsia="Palatino Linotype" w:hAnsi="Palatino Linotype" w:cs="Palatino Linotype"/>
          <w:color w:val="000000"/>
        </w:rPr>
        <w:t xml:space="preserve"> interpuso l</w:t>
      </w:r>
      <w:r w:rsidR="00E56AAA" w:rsidRPr="00CB61C6">
        <w:rPr>
          <w:rFonts w:ascii="Palatino Linotype" w:eastAsia="Palatino Linotype" w:hAnsi="Palatino Linotype" w:cs="Palatino Linotype"/>
          <w:color w:val="000000"/>
        </w:rPr>
        <w:t xml:space="preserve">os recursos </w:t>
      </w:r>
      <w:r w:rsidRPr="00CB61C6">
        <w:rPr>
          <w:rFonts w:ascii="Palatino Linotype" w:eastAsia="Palatino Linotype" w:hAnsi="Palatino Linotype" w:cs="Palatino Linotype"/>
          <w:color w:val="000000"/>
        </w:rPr>
        <w:t>de revisión, en contra de la respuesta</w:t>
      </w:r>
      <w:r w:rsidR="00E56AAA"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y señaló como:</w:t>
      </w:r>
    </w:p>
    <w:p w14:paraId="5846F2EF" w14:textId="77777777" w:rsidR="00BD103D" w:rsidRPr="00CB61C6" w:rsidRDefault="00BD103D" w:rsidP="008F40BF">
      <w:pPr>
        <w:pBdr>
          <w:top w:val="nil"/>
          <w:left w:val="nil"/>
          <w:bottom w:val="nil"/>
          <w:right w:val="nil"/>
          <w:between w:val="nil"/>
        </w:pBdr>
        <w:spacing w:line="360" w:lineRule="auto"/>
        <w:jc w:val="both"/>
        <w:rPr>
          <w:rFonts w:ascii="Palatino Linotype" w:hAnsi="Palatino Linotype"/>
          <w:color w:val="000000"/>
        </w:rPr>
      </w:pPr>
    </w:p>
    <w:p w14:paraId="34E29A5C"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Folio del recurso de revisión: 01903/INFOEM/IP/RR/2024</w:t>
      </w:r>
    </w:p>
    <w:p w14:paraId="74488599"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ACTO IMPUGNADO</w:t>
      </w:r>
      <w:r w:rsidRPr="00CB61C6">
        <w:rPr>
          <w:rFonts w:ascii="Palatino Linotype" w:eastAsia="Palatino Linotype" w:hAnsi="Palatino Linotype" w:cs="Palatino Linotype"/>
          <w:b/>
          <w:color w:val="000000"/>
        </w:rPr>
        <w:tab/>
      </w:r>
    </w:p>
    <w:p w14:paraId="1D3A380B"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 falta de entraga de a documentación</w:t>
      </w:r>
    </w:p>
    <w:p w14:paraId="5D84C267"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p>
    <w:p w14:paraId="4922E367"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RAZONES O MOTIVOS DE LA INCONFORMIDAD</w:t>
      </w:r>
      <w:r w:rsidRPr="00CB61C6">
        <w:rPr>
          <w:rFonts w:ascii="Palatino Linotype" w:eastAsia="Palatino Linotype" w:hAnsi="Palatino Linotype" w:cs="Palatino Linotype"/>
          <w:b/>
          <w:color w:val="000000"/>
        </w:rPr>
        <w:tab/>
      </w:r>
    </w:p>
    <w:p w14:paraId="5A7AB52B" w14:textId="77777777" w:rsidR="001C2C79"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no me proporciona la documentacion, y si va a pedir cambio de modalidad, le falta requisitos, ni si quiera señala a cuanto asciende la docuemntacion, la titular norma perez solo mira el expediente y dice:aa, cambia la modalidad de entrega, a fin de desalentar el acceso a la informacion</w:t>
      </w:r>
    </w:p>
    <w:p w14:paraId="308508CA" w14:textId="77777777" w:rsidR="00CB61C6" w:rsidRPr="00CB61C6" w:rsidRDefault="00CB61C6"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7AAF02DF" w14:textId="77777777" w:rsidR="00CB61C6" w:rsidRPr="00CB61C6" w:rsidRDefault="00FE4593" w:rsidP="008F40BF">
      <w:pPr>
        <w:pStyle w:val="Prrafodelista"/>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noProof/>
          <w:color w:val="000000"/>
        </w:rPr>
        <mc:AlternateContent>
          <mc:Choice Requires="wps">
            <w:drawing>
              <wp:anchor distT="0" distB="0" distL="114300" distR="114300" simplePos="0" relativeHeight="251664384" behindDoc="0" locked="0" layoutInCell="1" allowOverlap="1" wp14:anchorId="2183FE79" wp14:editId="5FC62B51">
                <wp:simplePos x="0" y="0"/>
                <wp:positionH relativeFrom="column">
                  <wp:posOffset>202964</wp:posOffset>
                </wp:positionH>
                <wp:positionV relativeFrom="paragraph">
                  <wp:posOffset>734289</wp:posOffset>
                </wp:positionV>
                <wp:extent cx="5665510" cy="1201918"/>
                <wp:effectExtent l="0" t="0" r="30480" b="36830"/>
                <wp:wrapNone/>
                <wp:docPr id="27" name="Conector recto 27"/>
                <wp:cNvGraphicFramePr/>
                <a:graphic xmlns:a="http://schemas.openxmlformats.org/drawingml/2006/main">
                  <a:graphicData uri="http://schemas.microsoft.com/office/word/2010/wordprocessingShape">
                    <wps:wsp>
                      <wps:cNvCnPr/>
                      <wps:spPr>
                        <a:xfrm>
                          <a:off x="0" y="0"/>
                          <a:ext cx="5665510" cy="12019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D1DB6D" id="Conector recto 27"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pt,57.8pt" to="462.1pt,15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" strokecolor="black [3200]" strokeweight=".5pt">
                <v:stroke joinstyle="miter"/>
              </v:line>
            </w:pict>
          </mc:Fallback>
        </mc:AlternateContent>
      </w:r>
      <w:r w:rsidR="00CB61C6" w:rsidRPr="00CB61C6">
        <w:rPr>
          <w:rFonts w:ascii="Palatino Linotype" w:eastAsia="Palatino Linotype" w:hAnsi="Palatino Linotype" w:cs="Palatino Linotype"/>
          <w:color w:val="000000"/>
        </w:rPr>
        <w:t>Mediante el archivo denominado</w:t>
      </w:r>
      <w:r w:rsidR="00CB61C6" w:rsidRPr="00CB61C6">
        <w:rPr>
          <w:rFonts w:ascii="Palatino Linotype" w:eastAsia="Palatino Linotype" w:hAnsi="Palatino Linotype" w:cs="Palatino Linotype"/>
          <w:b/>
          <w:i/>
          <w:color w:val="000000"/>
        </w:rPr>
        <w:t xml:space="preserve"> Doc1.docx</w:t>
      </w:r>
      <w:r w:rsidR="00CB61C6" w:rsidRPr="00CB61C6">
        <w:rPr>
          <w:rFonts w:ascii="Palatino Linotype" w:eastAsia="Palatino Linotype" w:hAnsi="Palatino Linotype" w:cs="Palatino Linotype"/>
          <w:color w:val="000000"/>
        </w:rPr>
        <w:t>, adjunt</w:t>
      </w:r>
      <w:r w:rsidR="00CB61C6">
        <w:rPr>
          <w:rFonts w:ascii="Palatino Linotype" w:eastAsia="Palatino Linotype" w:hAnsi="Palatino Linotype" w:cs="Palatino Linotype"/>
          <w:color w:val="000000"/>
        </w:rPr>
        <w:t>ó</w:t>
      </w:r>
      <w:r w:rsidR="00CB61C6" w:rsidRPr="00CB61C6">
        <w:rPr>
          <w:rFonts w:ascii="Palatino Linotype" w:eastAsia="Palatino Linotype" w:hAnsi="Palatino Linotype" w:cs="Palatino Linotype"/>
          <w:color w:val="000000"/>
        </w:rPr>
        <w:t xml:space="preserve"> el siguiente extracto:</w:t>
      </w:r>
    </w:p>
    <w:p w14:paraId="270E2EE2" w14:textId="77777777" w:rsidR="00CB61C6" w:rsidRDefault="00CB61C6" w:rsidP="00141353">
      <w:pPr>
        <w:pBdr>
          <w:top w:val="nil"/>
          <w:left w:val="nil"/>
          <w:bottom w:val="nil"/>
          <w:right w:val="nil"/>
          <w:between w:val="nil"/>
        </w:pBdr>
        <w:spacing w:line="360" w:lineRule="auto"/>
        <w:jc w:val="center"/>
        <w:rPr>
          <w:rFonts w:ascii="Palatino Linotype" w:eastAsia="Palatino Linotype" w:hAnsi="Palatino Linotype" w:cs="Palatino Linotype"/>
          <w:i/>
          <w:color w:val="000000"/>
        </w:rPr>
      </w:pPr>
      <w:r w:rsidRPr="00CB61C6">
        <w:rPr>
          <w:rFonts w:ascii="Palatino Linotype" w:eastAsia="Palatino Linotype" w:hAnsi="Palatino Linotype" w:cs="Palatino Linotype"/>
          <w:i/>
          <w:noProof/>
          <w:color w:val="000000"/>
        </w:rPr>
        <w:lastRenderedPageBreak/>
        <w:drawing>
          <wp:inline distT="0" distB="0" distL="0" distR="0" wp14:anchorId="5078A794" wp14:editId="3FC1BAD9">
            <wp:extent cx="2897267" cy="278562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949366" cy="2835711"/>
                    </a:xfrm>
                    <a:prstGeom prst="rect">
                      <a:avLst/>
                    </a:prstGeom>
                  </pic:spPr>
                </pic:pic>
              </a:graphicData>
            </a:graphic>
          </wp:inline>
        </w:drawing>
      </w:r>
    </w:p>
    <w:p w14:paraId="66294FF8" w14:textId="77777777" w:rsidR="00141353" w:rsidRPr="00CB61C6" w:rsidRDefault="00141353" w:rsidP="00141353">
      <w:pPr>
        <w:pBdr>
          <w:top w:val="nil"/>
          <w:left w:val="nil"/>
          <w:bottom w:val="nil"/>
          <w:right w:val="nil"/>
          <w:between w:val="nil"/>
        </w:pBdr>
        <w:spacing w:line="360" w:lineRule="auto"/>
        <w:jc w:val="center"/>
        <w:rPr>
          <w:rFonts w:ascii="Palatino Linotype" w:eastAsia="Palatino Linotype" w:hAnsi="Palatino Linotype" w:cs="Palatino Linotype"/>
          <w:i/>
          <w:color w:val="000000"/>
        </w:rPr>
      </w:pPr>
    </w:p>
    <w:p w14:paraId="59EDBBF4"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Folio del recurso de revisión: 01904/INFOEM/IP/RR/2024</w:t>
      </w:r>
    </w:p>
    <w:p w14:paraId="105057D6"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ACTO IMPUGNADO</w:t>
      </w:r>
      <w:r w:rsidRPr="00CB61C6">
        <w:rPr>
          <w:rFonts w:ascii="Palatino Linotype" w:eastAsia="Palatino Linotype" w:hAnsi="Palatino Linotype" w:cs="Palatino Linotype"/>
          <w:b/>
          <w:color w:val="000000"/>
        </w:rPr>
        <w:tab/>
      </w:r>
    </w:p>
    <w:p w14:paraId="75465833"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 falta de respuesta, pedir prorroga para no dar nada</w:t>
      </w:r>
    </w:p>
    <w:p w14:paraId="26B283DB"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29792E9E"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RAZONES O MOTIVOS DE LA INCONFORMIDAD</w:t>
      </w:r>
      <w:r w:rsidRPr="00CB61C6">
        <w:rPr>
          <w:rFonts w:ascii="Palatino Linotype" w:eastAsia="Palatino Linotype" w:hAnsi="Palatino Linotype" w:cs="Palatino Linotype"/>
          <w:b/>
          <w:color w:val="000000"/>
        </w:rPr>
        <w:tab/>
      </w:r>
    </w:p>
    <w:p w14:paraId="28FE36DF"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son las mismas que la de la solicitud 369</w:t>
      </w:r>
    </w:p>
    <w:p w14:paraId="3B8BC9D3"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7CCA820F"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Folio del recurso de revisión: 01905/INFOEM/IP/RR/2024</w:t>
      </w:r>
    </w:p>
    <w:p w14:paraId="7FEC748E"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ACTO IMPUGNADO</w:t>
      </w:r>
      <w:r w:rsidRPr="00CB61C6">
        <w:rPr>
          <w:rFonts w:ascii="Palatino Linotype" w:eastAsia="Palatino Linotype" w:hAnsi="Palatino Linotype" w:cs="Palatino Linotype"/>
          <w:b/>
          <w:color w:val="000000"/>
        </w:rPr>
        <w:tab/>
      </w:r>
    </w:p>
    <w:p w14:paraId="2D405636"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lastRenderedPageBreak/>
        <w:t>pedir prorroga para no dar nada, total opacidad</w:t>
      </w:r>
    </w:p>
    <w:p w14:paraId="18381B61"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3B7F0FD6"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RAZONES O MOTIVOS DE LA INCONFORMIDAD</w:t>
      </w:r>
      <w:r w:rsidRPr="00CB61C6">
        <w:rPr>
          <w:rFonts w:ascii="Palatino Linotype" w:eastAsia="Palatino Linotype" w:hAnsi="Palatino Linotype" w:cs="Palatino Linotype"/>
          <w:b/>
          <w:color w:val="000000"/>
        </w:rPr>
        <w:tab/>
      </w:r>
    </w:p>
    <w:p w14:paraId="148F560B"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las mismas que las de los saimex 369 y 370</w:t>
      </w:r>
    </w:p>
    <w:p w14:paraId="59E49A8B"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3209A954"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Folio del recurso de revisión: 01906/INFOEM/IP/RR/2024</w:t>
      </w:r>
    </w:p>
    <w:p w14:paraId="37B1C565"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ACTO IMPUGNADO</w:t>
      </w:r>
      <w:r w:rsidRPr="00CB61C6">
        <w:rPr>
          <w:rFonts w:ascii="Palatino Linotype" w:eastAsia="Palatino Linotype" w:hAnsi="Palatino Linotype" w:cs="Palatino Linotype"/>
          <w:b/>
          <w:color w:val="000000"/>
        </w:rPr>
        <w:tab/>
      </w:r>
    </w:p>
    <w:p w14:paraId="39EE9147"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no entrega nada, y pide prorroga para que al final, no da nada</w:t>
      </w:r>
    </w:p>
    <w:p w14:paraId="1048259D"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3AD7C330"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RAZONES O MOTIVOS DE LA INCONFORMIDAD</w:t>
      </w:r>
      <w:r w:rsidRPr="00CB61C6">
        <w:rPr>
          <w:rFonts w:ascii="Palatino Linotype" w:eastAsia="Palatino Linotype" w:hAnsi="Palatino Linotype" w:cs="Palatino Linotype"/>
          <w:b/>
          <w:color w:val="000000"/>
        </w:rPr>
        <w:tab/>
      </w:r>
    </w:p>
    <w:p w14:paraId="0267E966" w14:textId="77777777" w:rsidR="00E56AAA"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las mismas que la de las solicitudes 369 a la 371</w:t>
      </w:r>
    </w:p>
    <w:p w14:paraId="6771A32D" w14:textId="77777777" w:rsidR="00D170A8" w:rsidRPr="00CB61C6" w:rsidRDefault="00D170A8"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0D8DED3D"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Folio del recurso de revisión: 01907/INFOEM/IP/RR/2024</w:t>
      </w:r>
    </w:p>
    <w:p w14:paraId="18D2F941"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ACTO IMPUGNADO</w:t>
      </w:r>
      <w:r w:rsidRPr="00CB61C6">
        <w:rPr>
          <w:rFonts w:ascii="Palatino Linotype" w:eastAsia="Palatino Linotype" w:hAnsi="Palatino Linotype" w:cs="Palatino Linotype"/>
          <w:b/>
          <w:color w:val="000000"/>
        </w:rPr>
        <w:tab/>
      </w:r>
    </w:p>
    <w:p w14:paraId="70B10003"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 falta de entrega de la informacion, con la agravante de pedir prorroga y no señalar ni la cantidad total a la que asciende la documentacion</w:t>
      </w:r>
    </w:p>
    <w:p w14:paraId="515A6548"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13EC4E1B"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b/>
          <w:color w:val="000000"/>
        </w:rPr>
        <w:t>RAZONES O MOTIVOS DE LA INCONFORMIDAD</w:t>
      </w:r>
      <w:r w:rsidRPr="00CB61C6">
        <w:rPr>
          <w:rFonts w:ascii="Palatino Linotype" w:eastAsia="Palatino Linotype" w:hAnsi="Palatino Linotype" w:cs="Palatino Linotype"/>
          <w:b/>
          <w:color w:val="000000"/>
        </w:rPr>
        <w:tab/>
      </w:r>
    </w:p>
    <w:p w14:paraId="6B7D1834" w14:textId="77777777" w:rsidR="00A715CF" w:rsidRPr="00CB61C6" w:rsidRDefault="00A715CF"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las mismas de las solicitudes 369 a la 371</w:t>
      </w:r>
    </w:p>
    <w:p w14:paraId="39167E26" w14:textId="77777777" w:rsidR="00E56AAA" w:rsidRPr="00CB61C6" w:rsidRDefault="00E56AAA" w:rsidP="008F40BF">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rPr>
      </w:pPr>
    </w:p>
    <w:p w14:paraId="2EF24A01" w14:textId="77777777" w:rsidR="005D37F5" w:rsidRPr="005D37F5" w:rsidRDefault="005D37F5" w:rsidP="008F40BF">
      <w:pPr>
        <w:pStyle w:val="Prrafodelista"/>
        <w:numPr>
          <w:ilvl w:val="0"/>
          <w:numId w:val="10"/>
        </w:numPr>
        <w:tabs>
          <w:tab w:val="left" w:pos="0"/>
        </w:tabs>
        <w:spacing w:line="360" w:lineRule="auto"/>
        <w:ind w:left="709" w:right="49"/>
        <w:jc w:val="both"/>
        <w:rPr>
          <w:rFonts w:ascii="Palatino Linotype" w:hAnsi="Palatino Linotype" w:cs="Arial"/>
          <w:i/>
          <w:color w:val="000000" w:themeColor="text1"/>
          <w:u w:val="single"/>
        </w:rPr>
      </w:pPr>
      <w:r w:rsidRPr="001274C8">
        <w:rPr>
          <w:rFonts w:ascii="Palatino Linotype" w:hAnsi="Palatino Linotype"/>
          <w:b/>
          <w:u w:val="single"/>
        </w:rPr>
        <w:lastRenderedPageBreak/>
        <w:t>Acumulación, manifestaciones, alegatos y respuesta complementaría.</w:t>
      </w:r>
    </w:p>
    <w:p w14:paraId="200DC5CF" w14:textId="77777777" w:rsidR="005D37F5" w:rsidRPr="001274C8" w:rsidRDefault="005D37F5" w:rsidP="008F40BF">
      <w:pPr>
        <w:pStyle w:val="Prrafodelista"/>
        <w:tabs>
          <w:tab w:val="left" w:pos="0"/>
        </w:tabs>
        <w:spacing w:line="360" w:lineRule="auto"/>
        <w:ind w:left="709" w:right="49"/>
        <w:jc w:val="both"/>
        <w:rPr>
          <w:rFonts w:ascii="Palatino Linotype" w:hAnsi="Palatino Linotype" w:cs="Arial"/>
          <w:i/>
          <w:color w:val="000000" w:themeColor="text1"/>
          <w:u w:val="single"/>
        </w:rPr>
      </w:pPr>
    </w:p>
    <w:p w14:paraId="4B6A4794" w14:textId="77777777" w:rsidR="005D37F5" w:rsidRPr="001274C8" w:rsidRDefault="005D37F5" w:rsidP="008F40BF">
      <w:pPr>
        <w:numPr>
          <w:ilvl w:val="0"/>
          <w:numId w:val="6"/>
        </w:numPr>
        <w:pBdr>
          <w:top w:val="nil"/>
          <w:left w:val="nil"/>
          <w:bottom w:val="nil"/>
          <w:right w:val="nil"/>
          <w:between w:val="nil"/>
        </w:pBdr>
        <w:spacing w:line="360" w:lineRule="auto"/>
        <w:ind w:left="0" w:firstLine="0"/>
        <w:jc w:val="both"/>
        <w:rPr>
          <w:rFonts w:ascii="Palatino Linotype" w:hAnsi="Palatino Linotype"/>
          <w:i/>
        </w:rPr>
      </w:pPr>
      <w:r w:rsidRPr="001274C8">
        <w:rPr>
          <w:rFonts w:ascii="Palatino Linotype" w:eastAsia="Calibri" w:hAnsi="Palatino Linotype" w:cs="Arial"/>
          <w:lang w:val="es-ES"/>
        </w:rPr>
        <w:t>Con fundamento en lo dispuesto por el artículo 185 fracción II de la ley de la materia, se acordó a las partes a efecto de que en un plazo máximo de siete días, el Recurrente manifestara lo que a su derecho conviniera, ofrecieran pruebas y alegatos, y el Sujeto Obligado presentará el Informe Justificado.</w:t>
      </w:r>
    </w:p>
    <w:p w14:paraId="4748C724" w14:textId="77777777" w:rsidR="005D37F5" w:rsidRPr="001274C8" w:rsidRDefault="005D37F5" w:rsidP="008F40BF">
      <w:pPr>
        <w:pStyle w:val="Prrafodelista"/>
        <w:spacing w:line="360" w:lineRule="auto"/>
        <w:ind w:left="0"/>
        <w:jc w:val="both"/>
        <w:rPr>
          <w:rFonts w:ascii="Palatino Linotype" w:hAnsi="Palatino Linotype"/>
          <w:i/>
        </w:rPr>
      </w:pPr>
    </w:p>
    <w:p w14:paraId="4E0C89C4" w14:textId="77777777" w:rsidR="005D37F5" w:rsidRDefault="005D37F5" w:rsidP="008F40BF">
      <w:pPr>
        <w:numPr>
          <w:ilvl w:val="0"/>
          <w:numId w:val="6"/>
        </w:numPr>
        <w:pBdr>
          <w:top w:val="nil"/>
          <w:left w:val="nil"/>
          <w:bottom w:val="nil"/>
          <w:right w:val="nil"/>
          <w:between w:val="nil"/>
        </w:pBdr>
        <w:spacing w:line="360" w:lineRule="auto"/>
        <w:ind w:left="0" w:firstLine="0"/>
        <w:jc w:val="both"/>
        <w:rPr>
          <w:rFonts w:ascii="Palatino Linotype" w:hAnsi="Palatino Linotype"/>
        </w:rPr>
      </w:pPr>
      <w:r w:rsidRPr="001274C8">
        <w:rPr>
          <w:rFonts w:ascii="Palatino Linotype" w:eastAsia="Calibri" w:hAnsi="Palatino Linotype" w:cs="Arial"/>
          <w:lang w:val="es-ES"/>
        </w:rPr>
        <w:t>Posteriormente</w:t>
      </w:r>
      <w:r w:rsidRPr="001274C8">
        <w:rPr>
          <w:rFonts w:ascii="Palatino Linotype" w:hAnsi="Palatino Linotype"/>
        </w:rPr>
        <w:t xml:space="preserve"> el Pleno de este Órgano Autónomo, en la</w:t>
      </w:r>
      <w:r w:rsidRPr="001274C8">
        <w:rPr>
          <w:rFonts w:ascii="Palatino Linotype" w:hAnsi="Palatino Linotype"/>
          <w:b/>
        </w:rPr>
        <w:t xml:space="preserve"> </w:t>
      </w:r>
      <w:r w:rsidR="005C3545">
        <w:rPr>
          <w:rFonts w:ascii="Palatino Linotype" w:hAnsi="Palatino Linotype"/>
          <w:b/>
        </w:rPr>
        <w:t>Décimo</w:t>
      </w:r>
      <w:r w:rsidRPr="001274C8">
        <w:rPr>
          <w:rFonts w:ascii="Palatino Linotype" w:hAnsi="Palatino Linotype"/>
          <w:b/>
        </w:rPr>
        <w:t xml:space="preserve"> Quinta Sesión </w:t>
      </w:r>
      <w:r w:rsidRPr="001274C8">
        <w:rPr>
          <w:rFonts w:ascii="Palatino Linotype" w:eastAsia="Calibri" w:hAnsi="Palatino Linotype" w:cs="Arial"/>
          <w:b/>
          <w:lang w:val="es-ES"/>
        </w:rPr>
        <w:t>Ordinaria</w:t>
      </w:r>
      <w:r w:rsidRPr="001274C8">
        <w:rPr>
          <w:rFonts w:ascii="Palatino Linotype" w:hAnsi="Palatino Linotype"/>
          <w:b/>
        </w:rPr>
        <w:t xml:space="preserve"> </w:t>
      </w:r>
      <w:r w:rsidRPr="001274C8">
        <w:rPr>
          <w:rFonts w:ascii="Palatino Linotype" w:hAnsi="Palatino Linotype"/>
        </w:rPr>
        <w:t>de fecha</w:t>
      </w:r>
      <w:r w:rsidRPr="001274C8">
        <w:rPr>
          <w:rFonts w:ascii="Palatino Linotype" w:hAnsi="Palatino Linotype"/>
          <w:b/>
        </w:rPr>
        <w:t xml:space="preserve"> </w:t>
      </w:r>
      <w:r w:rsidR="005C3545">
        <w:rPr>
          <w:rFonts w:ascii="Palatino Linotype" w:hAnsi="Palatino Linotype"/>
          <w:b/>
        </w:rPr>
        <w:t>dos de mayo</w:t>
      </w:r>
      <w:r w:rsidRPr="001274C8">
        <w:rPr>
          <w:rFonts w:ascii="Palatino Linotype" w:hAnsi="Palatino Linotype"/>
        </w:rPr>
        <w:t xml:space="preserve"> </w:t>
      </w:r>
      <w:r w:rsidRPr="001274C8">
        <w:rPr>
          <w:rFonts w:ascii="Palatino Linotype" w:hAnsi="Palatino Linotype"/>
          <w:b/>
        </w:rPr>
        <w:t>de dos mil veintitrés</w:t>
      </w:r>
      <w:r w:rsidRPr="001274C8">
        <w:rPr>
          <w:rFonts w:ascii="Palatino Linotype" w:hAnsi="Palatino Linotype"/>
        </w:rPr>
        <w:t xml:space="preserve">; ordenó la acumulación de los recursos de revisión de mérito, a efecto de que la Ponencia de la </w:t>
      </w:r>
      <w:r w:rsidRPr="001274C8">
        <w:rPr>
          <w:rFonts w:ascii="Palatino Linotype" w:hAnsi="Palatino Linotype"/>
          <w:b/>
        </w:rPr>
        <w:t xml:space="preserve">Comisionada María del Rosario Mejía Ayala </w:t>
      </w:r>
      <w:r w:rsidRPr="001274C8">
        <w:rPr>
          <w:rFonts w:ascii="Palatino Linotype" w:hAnsi="Palatino Linotype"/>
        </w:rPr>
        <w:t>formulara y presentara el proyecto de resolución correspondiente, de conformidad con el numeral ONCE incisos b) y c) de los Lineamientos para la Recepción, Trámite y Resolución de las Solicitudes de Acceso a la Información Pública, así como de los Recursos de Revisión que deberán observar los Sujetos Obligados por la Ley de Transparencia Estatal</w:t>
      </w:r>
      <w:r w:rsidRPr="001274C8">
        <w:rPr>
          <w:rFonts w:ascii="Palatino Linotype" w:hAnsi="Palatino Linotype"/>
          <w:i/>
          <w:vertAlign w:val="superscript"/>
        </w:rPr>
        <w:footnoteReference w:id="1"/>
      </w:r>
      <w:r w:rsidRPr="001274C8">
        <w:rPr>
          <w:rFonts w:ascii="Palatino Linotype" w:hAnsi="Palatino Linotype"/>
        </w:rPr>
        <w:t>, que señala:</w:t>
      </w:r>
    </w:p>
    <w:p w14:paraId="520E0E4D" w14:textId="77777777" w:rsidR="00FE4593" w:rsidRDefault="00FE4593" w:rsidP="00FE4593">
      <w:pPr>
        <w:pStyle w:val="Prrafodelista"/>
        <w:rPr>
          <w:rFonts w:ascii="Palatino Linotype" w:hAnsi="Palatino Linotype"/>
        </w:rPr>
      </w:pPr>
    </w:p>
    <w:p w14:paraId="0047819C" w14:textId="77777777" w:rsidR="005D37F5" w:rsidRPr="001274C8" w:rsidRDefault="005D37F5" w:rsidP="008F40BF">
      <w:pPr>
        <w:pStyle w:val="Prrafodelista"/>
        <w:tabs>
          <w:tab w:val="left" w:pos="426"/>
        </w:tabs>
        <w:spacing w:line="360" w:lineRule="auto"/>
        <w:ind w:left="567" w:right="618"/>
        <w:jc w:val="both"/>
        <w:rPr>
          <w:rFonts w:ascii="Palatino Linotype" w:hAnsi="Palatino Linotype"/>
          <w:i/>
          <w:lang w:val="es-ES"/>
        </w:rPr>
      </w:pPr>
      <w:r w:rsidRPr="001274C8">
        <w:rPr>
          <w:rFonts w:ascii="Palatino Linotype" w:hAnsi="Palatino Linotype"/>
          <w:b/>
          <w:i/>
          <w:lang w:val="es-ES"/>
        </w:rPr>
        <w:lastRenderedPageBreak/>
        <w:t>“ONCE.</w:t>
      </w:r>
      <w:r w:rsidRPr="001274C8">
        <w:rPr>
          <w:rFonts w:ascii="Palatino Linotype" w:hAnsi="Palatino Linotype"/>
          <w:i/>
          <w:lang w:val="es-ES"/>
        </w:rPr>
        <w:t xml:space="preserve"> El Instituto, para mejor resolver y evitar la emisión de resoluciones contradictorias, podrá acordar la acumulación de los expedientes de recursos de revisión, de oficio o a petición de parte cuando:</w:t>
      </w:r>
    </w:p>
    <w:p w14:paraId="5243E4C9" w14:textId="77777777" w:rsidR="005D37F5" w:rsidRPr="001274C8" w:rsidRDefault="005D37F5" w:rsidP="008F40BF">
      <w:pPr>
        <w:pStyle w:val="Prrafodelista"/>
        <w:tabs>
          <w:tab w:val="left" w:pos="426"/>
        </w:tabs>
        <w:spacing w:line="360" w:lineRule="auto"/>
        <w:ind w:left="567" w:right="618"/>
        <w:jc w:val="both"/>
        <w:rPr>
          <w:rFonts w:ascii="Palatino Linotype" w:hAnsi="Palatino Linotype"/>
          <w:i/>
          <w:lang w:val="es-ES"/>
        </w:rPr>
      </w:pPr>
      <w:r w:rsidRPr="001274C8">
        <w:rPr>
          <w:rFonts w:ascii="Palatino Linotype" w:hAnsi="Palatino Linotype"/>
          <w:i/>
          <w:lang w:val="es-ES"/>
        </w:rPr>
        <w:t>…</w:t>
      </w:r>
      <w:r w:rsidRPr="001274C8">
        <w:rPr>
          <w:rFonts w:ascii="Palatino Linotype" w:hAnsi="Palatino Linotype"/>
          <w:i/>
          <w:lang w:val="es-ES"/>
        </w:rPr>
        <w:tab/>
      </w:r>
    </w:p>
    <w:p w14:paraId="11ACC5D2" w14:textId="77777777" w:rsidR="005D37F5" w:rsidRPr="001274C8" w:rsidRDefault="005D37F5" w:rsidP="008F40BF">
      <w:pPr>
        <w:pStyle w:val="Prrafodelista"/>
        <w:tabs>
          <w:tab w:val="left" w:pos="426"/>
        </w:tabs>
        <w:spacing w:line="360" w:lineRule="auto"/>
        <w:ind w:left="567" w:right="618"/>
        <w:jc w:val="both"/>
        <w:rPr>
          <w:rFonts w:ascii="Palatino Linotype" w:hAnsi="Palatino Linotype"/>
          <w:i/>
          <w:lang w:val="es-ES"/>
        </w:rPr>
      </w:pPr>
      <w:r w:rsidRPr="001274C8">
        <w:rPr>
          <w:rFonts w:ascii="Palatino Linotype" w:hAnsi="Palatino Linotype"/>
          <w:i/>
          <w:lang w:val="es-ES"/>
        </w:rPr>
        <w:t>b) Las partes o los actos impugnados sean iguales</w:t>
      </w:r>
    </w:p>
    <w:p w14:paraId="2C2DC023" w14:textId="77777777" w:rsidR="005D37F5" w:rsidRPr="001274C8" w:rsidRDefault="005D37F5" w:rsidP="008F40BF">
      <w:pPr>
        <w:pStyle w:val="Prrafodelista"/>
        <w:tabs>
          <w:tab w:val="left" w:pos="426"/>
        </w:tabs>
        <w:spacing w:line="360" w:lineRule="auto"/>
        <w:ind w:left="567" w:right="618"/>
        <w:jc w:val="both"/>
        <w:rPr>
          <w:rFonts w:ascii="Palatino Linotype" w:hAnsi="Palatino Linotype"/>
          <w:i/>
          <w:lang w:val="es-ES"/>
        </w:rPr>
      </w:pPr>
      <w:r w:rsidRPr="001274C8">
        <w:rPr>
          <w:rFonts w:ascii="Palatino Linotype" w:hAnsi="Palatino Linotype"/>
          <w:i/>
          <w:lang w:val="es-ES"/>
        </w:rPr>
        <w:t>c) Cuando se trate del mismo solicitante, el mismo SUJETO OBLIGADO, aunque se trate de solicitudes diversas;</w:t>
      </w:r>
    </w:p>
    <w:p w14:paraId="7230D70D" w14:textId="77777777" w:rsidR="005D37F5" w:rsidRPr="001274C8" w:rsidRDefault="005D37F5" w:rsidP="008F40BF">
      <w:pPr>
        <w:pStyle w:val="Prrafodelista"/>
        <w:tabs>
          <w:tab w:val="left" w:pos="426"/>
        </w:tabs>
        <w:spacing w:line="360" w:lineRule="auto"/>
        <w:ind w:left="567" w:right="618"/>
        <w:jc w:val="both"/>
        <w:rPr>
          <w:rFonts w:ascii="Palatino Linotype" w:hAnsi="Palatino Linotype"/>
          <w:i/>
          <w:lang w:val="es-ES"/>
        </w:rPr>
      </w:pPr>
      <w:r w:rsidRPr="001274C8">
        <w:rPr>
          <w:rFonts w:ascii="Palatino Linotype" w:hAnsi="Palatino Linotype"/>
          <w:i/>
          <w:lang w:val="es-ES"/>
        </w:rPr>
        <w:t>(…)”</w:t>
      </w:r>
    </w:p>
    <w:p w14:paraId="56B713D8" w14:textId="77777777" w:rsidR="005D37F5" w:rsidRPr="001274C8" w:rsidRDefault="005D37F5" w:rsidP="008F40BF">
      <w:pPr>
        <w:pStyle w:val="Prrafodelista"/>
        <w:tabs>
          <w:tab w:val="left" w:pos="426"/>
        </w:tabs>
        <w:spacing w:line="360" w:lineRule="auto"/>
        <w:ind w:left="567" w:right="616"/>
        <w:jc w:val="both"/>
        <w:rPr>
          <w:rFonts w:ascii="Palatino Linotype" w:hAnsi="Palatino Linotype"/>
          <w:lang w:val="es-ES"/>
        </w:rPr>
      </w:pPr>
    </w:p>
    <w:p w14:paraId="488124B4" w14:textId="77777777" w:rsidR="005D37F5" w:rsidRPr="001274C8" w:rsidRDefault="005D37F5" w:rsidP="008F40BF">
      <w:pPr>
        <w:numPr>
          <w:ilvl w:val="0"/>
          <w:numId w:val="6"/>
        </w:numPr>
        <w:pBdr>
          <w:top w:val="nil"/>
          <w:left w:val="nil"/>
          <w:bottom w:val="nil"/>
          <w:right w:val="nil"/>
          <w:between w:val="nil"/>
        </w:pBdr>
        <w:spacing w:line="360" w:lineRule="auto"/>
        <w:ind w:left="0" w:firstLine="0"/>
        <w:jc w:val="both"/>
        <w:rPr>
          <w:rFonts w:ascii="Palatino Linotype" w:hAnsi="Palatino Linotype"/>
        </w:rPr>
      </w:pPr>
      <w:r w:rsidRPr="001274C8">
        <w:rPr>
          <w:rFonts w:ascii="Palatino Linotype" w:hAnsi="Palatino Linotype"/>
        </w:rPr>
        <w:t>Es así que,</w:t>
      </w:r>
      <w:r w:rsidRPr="001274C8">
        <w:rPr>
          <w:rFonts w:ascii="Palatino Linotype" w:hAnsi="Palatino Linotype"/>
          <w:i/>
        </w:rPr>
        <w:t xml:space="preserve"> </w:t>
      </w:r>
      <w:r w:rsidRPr="001274C8">
        <w:rPr>
          <w:rFonts w:ascii="Palatino Linotype" w:hAnsi="Palatino Linotype"/>
        </w:rPr>
        <w:t xml:space="preserve">resulta conveniente su trámite de forma unificada para mejor resolver y evitar la emisión de resoluciones contradictorias, por ello resultó procedente que este Órgano Garante realizara la acumulación respectiva, de conformidad con lo dispuesto en el artículo 18 del Código de Procedimientos Administrativos del Estado de México, de </w:t>
      </w:r>
      <w:r w:rsidRPr="005C3545">
        <w:rPr>
          <w:rFonts w:ascii="Palatino Linotype" w:eastAsia="Calibri" w:hAnsi="Palatino Linotype" w:cs="Arial"/>
          <w:lang w:val="es-ES"/>
        </w:rPr>
        <w:t>aplicación</w:t>
      </w:r>
      <w:r w:rsidRPr="001274C8">
        <w:rPr>
          <w:rFonts w:ascii="Palatino Linotype" w:hAnsi="Palatino Linotype"/>
        </w:rPr>
        <w:t xml:space="preserve"> supletoria, en términos del artículo 195 de la Ley de Transparencia y Acceso a la Información Pública del Estado de México y Municipios en vigor, que a la letra señalan:</w:t>
      </w:r>
    </w:p>
    <w:p w14:paraId="1D69E210" w14:textId="77777777" w:rsidR="005D37F5" w:rsidRPr="001274C8" w:rsidRDefault="005D37F5" w:rsidP="008F40BF">
      <w:pPr>
        <w:pStyle w:val="Prrafodelista"/>
        <w:tabs>
          <w:tab w:val="left" w:pos="426"/>
          <w:tab w:val="left" w:pos="567"/>
        </w:tabs>
        <w:spacing w:line="360" w:lineRule="auto"/>
        <w:ind w:left="0"/>
        <w:jc w:val="both"/>
        <w:rPr>
          <w:rFonts w:ascii="Palatino Linotype" w:hAnsi="Palatino Linotype"/>
        </w:rPr>
      </w:pPr>
    </w:p>
    <w:p w14:paraId="02123D08" w14:textId="77777777" w:rsidR="005D37F5" w:rsidRPr="001274C8" w:rsidRDefault="005D37F5" w:rsidP="008F40BF">
      <w:pPr>
        <w:tabs>
          <w:tab w:val="left" w:pos="567"/>
        </w:tabs>
        <w:spacing w:line="360" w:lineRule="auto"/>
        <w:ind w:left="567" w:right="616"/>
        <w:jc w:val="center"/>
        <w:rPr>
          <w:rFonts w:ascii="Palatino Linotype" w:hAnsi="Palatino Linotype"/>
          <w:b/>
          <w:i/>
        </w:rPr>
      </w:pPr>
      <w:r w:rsidRPr="001274C8">
        <w:rPr>
          <w:rFonts w:ascii="Palatino Linotype" w:hAnsi="Palatino Linotype"/>
          <w:b/>
          <w:i/>
        </w:rPr>
        <w:t>Código de Procedimientos Administrativos del Estado de México.</w:t>
      </w:r>
    </w:p>
    <w:p w14:paraId="10BC1EBF" w14:textId="77777777" w:rsidR="005D37F5" w:rsidRPr="001274C8" w:rsidRDefault="005D37F5" w:rsidP="008F40BF">
      <w:pPr>
        <w:spacing w:line="360" w:lineRule="auto"/>
        <w:ind w:left="567" w:right="616"/>
        <w:jc w:val="both"/>
        <w:rPr>
          <w:rFonts w:ascii="Palatino Linotype" w:hAnsi="Palatino Linotype"/>
          <w:i/>
        </w:rPr>
      </w:pPr>
      <w:r w:rsidRPr="001274C8">
        <w:rPr>
          <w:rFonts w:ascii="Palatino Linotype" w:hAnsi="Palatino Linotype"/>
          <w:b/>
          <w:i/>
        </w:rPr>
        <w:t>“Artículo 18.-</w:t>
      </w:r>
      <w:r w:rsidRPr="001274C8">
        <w:rPr>
          <w:rFonts w:ascii="Palatino Linotype" w:hAnsi="Palatino Linotype"/>
          <w:i/>
        </w:rPr>
        <w:t xml:space="preserve"> La autoridad administrativa o el Tribunal acordarán la acumulación de los expedientes del procedimiento y proceso administrativo que </w:t>
      </w:r>
      <w:r w:rsidRPr="001274C8">
        <w:rPr>
          <w:rFonts w:ascii="Palatino Linotype" w:hAnsi="Palatino Linotype"/>
          <w:i/>
        </w:rPr>
        <w:lastRenderedPageBreak/>
        <w:t>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1BF439C4" w14:textId="77777777" w:rsidR="005D37F5" w:rsidRPr="001274C8" w:rsidRDefault="005D37F5" w:rsidP="008F40BF">
      <w:pPr>
        <w:tabs>
          <w:tab w:val="left" w:pos="567"/>
        </w:tabs>
        <w:spacing w:line="360" w:lineRule="auto"/>
        <w:ind w:right="616"/>
        <w:jc w:val="both"/>
        <w:rPr>
          <w:rFonts w:ascii="Palatino Linotype" w:hAnsi="Palatino Linotype"/>
          <w:i/>
        </w:rPr>
      </w:pPr>
    </w:p>
    <w:p w14:paraId="0358DD69" w14:textId="77777777" w:rsidR="005D37F5" w:rsidRPr="001274C8" w:rsidRDefault="005D37F5" w:rsidP="008F40BF">
      <w:pPr>
        <w:spacing w:line="360" w:lineRule="auto"/>
        <w:ind w:left="567" w:right="618"/>
        <w:jc w:val="both"/>
        <w:rPr>
          <w:rFonts w:ascii="Palatino Linotype" w:hAnsi="Palatino Linotype"/>
          <w:b/>
          <w:i/>
        </w:rPr>
      </w:pPr>
      <w:r w:rsidRPr="001274C8">
        <w:rPr>
          <w:rFonts w:ascii="Palatino Linotype" w:hAnsi="Palatino Linotype"/>
          <w:b/>
          <w:i/>
        </w:rPr>
        <w:t>Ley de Transparencia y Acceso a la Información Pública del Estado de México y Municipios</w:t>
      </w:r>
    </w:p>
    <w:p w14:paraId="0332CA62" w14:textId="77777777" w:rsidR="005D37F5" w:rsidRPr="001274C8" w:rsidRDefault="005D37F5" w:rsidP="008F40BF">
      <w:pPr>
        <w:spacing w:line="360" w:lineRule="auto"/>
        <w:ind w:left="567" w:right="618"/>
        <w:jc w:val="both"/>
        <w:rPr>
          <w:rFonts w:ascii="Palatino Linotype" w:hAnsi="Palatino Linotype"/>
          <w:i/>
        </w:rPr>
      </w:pPr>
      <w:r w:rsidRPr="001274C8">
        <w:rPr>
          <w:rFonts w:ascii="Palatino Linotype" w:hAnsi="Palatino Linotype"/>
          <w:b/>
          <w:i/>
        </w:rPr>
        <w:t>“Artículo 195.</w:t>
      </w:r>
      <w:r w:rsidRPr="001274C8">
        <w:rPr>
          <w:rFonts w:ascii="Palatino Linotype" w:hAnsi="Palatino Linotype"/>
          <w:i/>
        </w:rPr>
        <w:t xml:space="preserve"> En la tramitación del recurso de revisión se aplicarán supletoriamente las disposiciones contenidas en el Código de Procedimientos Administrativos del Estado de México.”</w:t>
      </w:r>
    </w:p>
    <w:p w14:paraId="4E8ABEC8" w14:textId="77777777" w:rsidR="005D37F5" w:rsidRPr="001274C8" w:rsidRDefault="005D37F5" w:rsidP="008F40BF">
      <w:pPr>
        <w:pStyle w:val="Prrafodelista"/>
        <w:spacing w:line="360" w:lineRule="auto"/>
        <w:ind w:left="0"/>
        <w:jc w:val="both"/>
        <w:rPr>
          <w:rFonts w:ascii="Palatino Linotype" w:hAnsi="Palatino Linotype"/>
          <w:i/>
        </w:rPr>
      </w:pPr>
    </w:p>
    <w:p w14:paraId="3BC5ECCE"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L</w:t>
      </w:r>
      <w:r w:rsidR="00CB61C6" w:rsidRPr="00CB61C6">
        <w:rPr>
          <w:rFonts w:ascii="Palatino Linotype" w:eastAsia="Palatino Linotype" w:hAnsi="Palatino Linotype" w:cs="Palatino Linotype"/>
          <w:color w:val="000000"/>
        </w:rPr>
        <w:t>os Comisionados</w:t>
      </w:r>
      <w:r w:rsidRPr="00CB61C6">
        <w:rPr>
          <w:rFonts w:ascii="Palatino Linotype" w:eastAsia="Palatino Linotype" w:hAnsi="Palatino Linotype" w:cs="Palatino Linotype"/>
          <w:color w:val="000000"/>
        </w:rPr>
        <w:t xml:space="preserve"> Ponente</w:t>
      </w:r>
      <w:r w:rsidR="00CB61C6" w:rsidRPr="00CB61C6">
        <w:rPr>
          <w:rFonts w:ascii="Palatino Linotype" w:eastAsia="Palatino Linotype" w:hAnsi="Palatino Linotype" w:cs="Palatino Linotype"/>
          <w:color w:val="000000"/>
        </w:rPr>
        <w:t>s de origen</w:t>
      </w:r>
      <w:r w:rsidRPr="00CB61C6">
        <w:rPr>
          <w:rFonts w:ascii="Palatino Linotype" w:eastAsia="Palatino Linotype" w:hAnsi="Palatino Linotype" w:cs="Palatino Linotype"/>
          <w:color w:val="000000"/>
        </w:rPr>
        <w:t xml:space="preserve"> con fundamento en lo dispuesto por el artículo 185 fracción II de la ley de la materia, a través de</w:t>
      </w:r>
      <w:r w:rsidR="00CB61C6"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color w:val="000000"/>
        </w:rPr>
        <w:t>l</w:t>
      </w:r>
      <w:r w:rsidR="00CB61C6" w:rsidRPr="00CB61C6">
        <w:rPr>
          <w:rFonts w:ascii="Palatino Linotype" w:eastAsia="Palatino Linotype" w:hAnsi="Palatino Linotype" w:cs="Palatino Linotype"/>
          <w:color w:val="000000"/>
        </w:rPr>
        <w:t>os</w:t>
      </w:r>
      <w:r w:rsidRPr="00CB61C6">
        <w:rPr>
          <w:rFonts w:ascii="Palatino Linotype" w:eastAsia="Palatino Linotype" w:hAnsi="Palatino Linotype" w:cs="Palatino Linotype"/>
          <w:color w:val="000000"/>
        </w:rPr>
        <w:t xml:space="preserve"> acuerdo</w:t>
      </w:r>
      <w:r w:rsidR="00CB61C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de admisión del </w:t>
      </w:r>
      <w:r w:rsidR="00CB61C6" w:rsidRPr="00CB61C6">
        <w:rPr>
          <w:rFonts w:ascii="Palatino Linotype" w:eastAsia="Palatino Linotype" w:hAnsi="Palatino Linotype" w:cs="Palatino Linotype"/>
          <w:color w:val="000000"/>
        </w:rPr>
        <w:t>diecisiete, dieciocho, diecinueve, veintidós y veintitrés</w:t>
      </w:r>
      <w:r w:rsidR="00BD103D"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color w:val="000000"/>
        </w:rPr>
        <w:t xml:space="preserve">de </w:t>
      </w:r>
      <w:r w:rsidR="00CB61C6" w:rsidRPr="00CB61C6">
        <w:rPr>
          <w:rFonts w:ascii="Palatino Linotype" w:eastAsia="Palatino Linotype" w:hAnsi="Palatino Linotype" w:cs="Palatino Linotype"/>
          <w:color w:val="000000"/>
        </w:rPr>
        <w:t xml:space="preserve">abril </w:t>
      </w:r>
      <w:r w:rsidRPr="00CB61C6">
        <w:rPr>
          <w:rFonts w:ascii="Palatino Linotype" w:eastAsia="Palatino Linotype" w:hAnsi="Palatino Linotype" w:cs="Palatino Linotype"/>
          <w:color w:val="000000"/>
        </w:rPr>
        <w:t xml:space="preserve">dos mil </w:t>
      </w:r>
      <w:r w:rsidR="00AA6F1D" w:rsidRPr="00CB61C6">
        <w:rPr>
          <w:rFonts w:ascii="Palatino Linotype" w:eastAsia="Palatino Linotype" w:hAnsi="Palatino Linotype" w:cs="Palatino Linotype"/>
          <w:color w:val="000000"/>
        </w:rPr>
        <w:t>veinticuatro</w:t>
      </w:r>
      <w:r w:rsidRPr="00CB61C6">
        <w:rPr>
          <w:rFonts w:ascii="Palatino Linotype" w:eastAsia="Palatino Linotype" w:hAnsi="Palatino Linotype" w:cs="Palatino Linotype"/>
          <w:color w:val="000000"/>
        </w:rPr>
        <w:t>,</w:t>
      </w:r>
      <w:r w:rsidR="00CB61C6">
        <w:rPr>
          <w:rFonts w:ascii="Palatino Linotype" w:eastAsia="Palatino Linotype" w:hAnsi="Palatino Linotype" w:cs="Palatino Linotype"/>
          <w:color w:val="000000"/>
        </w:rPr>
        <w:t xml:space="preserve"> pusieron a disposición de las partes </w:t>
      </w:r>
      <w:r w:rsidRPr="00CB61C6">
        <w:rPr>
          <w:rFonts w:ascii="Palatino Linotype" w:eastAsia="Palatino Linotype" w:hAnsi="Palatino Linotype" w:cs="Palatino Linotype"/>
          <w:color w:val="000000"/>
        </w:rPr>
        <w:t>l</w:t>
      </w:r>
      <w:r w:rsidR="00CB61C6">
        <w:rPr>
          <w:rFonts w:ascii="Palatino Linotype" w:eastAsia="Palatino Linotype" w:hAnsi="Palatino Linotype" w:cs="Palatino Linotype"/>
          <w:color w:val="000000"/>
        </w:rPr>
        <w:t>os</w:t>
      </w:r>
      <w:r w:rsidRPr="00CB61C6">
        <w:rPr>
          <w:rFonts w:ascii="Palatino Linotype" w:eastAsia="Palatino Linotype" w:hAnsi="Palatino Linotype" w:cs="Palatino Linotype"/>
          <w:color w:val="000000"/>
        </w:rPr>
        <w:t xml:space="preserve"> expediente</w:t>
      </w:r>
      <w:r w:rsid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electrónico</w:t>
      </w:r>
      <w:r w:rsid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vía </w:t>
      </w:r>
      <w:r w:rsidRPr="00CB61C6">
        <w:rPr>
          <w:rFonts w:ascii="Palatino Linotype" w:eastAsia="Palatino Linotype" w:hAnsi="Palatino Linotype" w:cs="Palatino Linotype"/>
          <w:b/>
          <w:color w:val="000000"/>
        </w:rPr>
        <w:t xml:space="preserve">SAIMEX </w:t>
      </w:r>
      <w:r w:rsidRPr="00CB61C6">
        <w:rPr>
          <w:rFonts w:ascii="Palatino Linotype" w:eastAsia="Palatino Linotype" w:hAnsi="Palatino Linotype" w:cs="Palatino Linotype"/>
          <w:color w:val="000000"/>
        </w:rPr>
        <w:t xml:space="preserve">a efecto de que en un plazo máximo de siete días </w:t>
      </w:r>
      <w:r w:rsidRPr="00CB61C6">
        <w:rPr>
          <w:rFonts w:ascii="Palatino Linotype" w:eastAsia="Palatino Linotype" w:hAnsi="Palatino Linotype" w:cs="Palatino Linotype"/>
        </w:rPr>
        <w:t>manifestara</w:t>
      </w:r>
      <w:r w:rsidRPr="00CB61C6">
        <w:rPr>
          <w:rFonts w:ascii="Palatino Linotype" w:eastAsia="Palatino Linotype" w:hAnsi="Palatino Linotype" w:cs="Palatino Linotype"/>
          <w:color w:val="000000"/>
        </w:rPr>
        <w:t xml:space="preserve"> lo que a derecho </w:t>
      </w:r>
      <w:r w:rsidRPr="00CB61C6">
        <w:rPr>
          <w:rFonts w:ascii="Palatino Linotype" w:eastAsia="Palatino Linotype" w:hAnsi="Palatino Linotype" w:cs="Palatino Linotype"/>
        </w:rPr>
        <w:t>conviniera</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rPr>
        <w:t>ofreciera</w:t>
      </w:r>
      <w:r w:rsidRPr="00CB61C6">
        <w:rPr>
          <w:rFonts w:ascii="Palatino Linotype" w:eastAsia="Palatino Linotype" w:hAnsi="Palatino Linotype" w:cs="Palatino Linotype"/>
          <w:color w:val="000000"/>
        </w:rPr>
        <w:t xml:space="preserve"> pruebas y alegatos según corresponda al caso concreto, de esta forma para que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rPr>
        <w:t>presentará</w:t>
      </w:r>
      <w:r w:rsidRPr="00CB61C6">
        <w:rPr>
          <w:rFonts w:ascii="Palatino Linotype" w:eastAsia="Palatino Linotype" w:hAnsi="Palatino Linotype" w:cs="Palatino Linotype"/>
          <w:color w:val="000000"/>
        </w:rPr>
        <w:t xml:space="preserve"> el informe justificado procedente.</w:t>
      </w:r>
    </w:p>
    <w:p w14:paraId="331A65C4"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16BEDC42" w14:textId="77777777" w:rsidR="001C2C79" w:rsidRPr="00D170A8"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rindió su</w:t>
      </w:r>
      <w:r w:rsidR="00CB61C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informe</w:t>
      </w:r>
      <w:r w:rsidR="00CB61C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justificado</w:t>
      </w:r>
      <w:r w:rsidR="00CB61C6" w:rsidRPr="00CB61C6">
        <w:rPr>
          <w:rFonts w:ascii="Palatino Linotype" w:eastAsia="Palatino Linotype" w:hAnsi="Palatino Linotype" w:cs="Palatino Linotype"/>
          <w:color w:val="000000"/>
        </w:rPr>
        <w:t>s</w:t>
      </w:r>
      <w:r w:rsidRPr="00CB61C6">
        <w:rPr>
          <w:rFonts w:ascii="Palatino Linotype" w:eastAsia="Palatino Linotype" w:hAnsi="Palatino Linotype" w:cs="Palatino Linotype"/>
          <w:color w:val="000000"/>
        </w:rPr>
        <w:t xml:space="preserve"> </w:t>
      </w:r>
      <w:r w:rsidR="00A70422" w:rsidRPr="00A70422">
        <w:rPr>
          <w:rFonts w:ascii="Palatino Linotype" w:eastAsia="Palatino Linotype" w:hAnsi="Palatino Linotype" w:cs="Palatino Linotype"/>
          <w:color w:val="000000"/>
        </w:rPr>
        <w:t xml:space="preserve">ocho de octubre de dos mil veinticuatro para los Recurso de Revisión 01903/INFOEM/IP/RR/2024, 01906/INFOEM/IP/RR/2024 y 01907/INFOEM/IP/RR/2024; treinta de abril de dos mil veinticuatro para el Recurso de Revisión 01905/INFOEM/IP/RR/2024 y, siendo omiso </w:t>
      </w:r>
      <w:r w:rsidR="00A70422" w:rsidRPr="00D170A8">
        <w:rPr>
          <w:rFonts w:ascii="Palatino Linotype" w:eastAsia="Palatino Linotype" w:hAnsi="Palatino Linotype" w:cs="Palatino Linotype"/>
          <w:color w:val="000000"/>
        </w:rPr>
        <w:t>en rendir informe justificado al Recurso de Revisión 01904/INFOEM/IP/RR/2024</w:t>
      </w:r>
      <w:r w:rsidR="004E109B" w:rsidRPr="00D170A8">
        <w:rPr>
          <w:rFonts w:ascii="Palatino Linotype" w:eastAsia="Palatino Linotype" w:hAnsi="Palatino Linotype" w:cs="Palatino Linotype"/>
          <w:color w:val="000000"/>
        </w:rPr>
        <w:t xml:space="preserve">, </w:t>
      </w:r>
      <w:r w:rsidRPr="00D170A8">
        <w:rPr>
          <w:rFonts w:ascii="Palatino Linotype" w:eastAsia="Palatino Linotype" w:hAnsi="Palatino Linotype" w:cs="Palatino Linotype"/>
          <w:color w:val="000000"/>
        </w:rPr>
        <w:t xml:space="preserve">cuyo contenido </w:t>
      </w:r>
      <w:r w:rsidR="004E109B" w:rsidRPr="00D170A8">
        <w:rPr>
          <w:rFonts w:ascii="Palatino Linotype" w:eastAsia="Palatino Linotype" w:hAnsi="Palatino Linotype" w:cs="Palatino Linotype"/>
          <w:color w:val="000000"/>
        </w:rPr>
        <w:t>de manera general es tendiente a confirmar el cambio de modalidad de entrega de la información derivado de que el soporte documental del cual se pretende su acceso, supera las capacidades técnicas por su volumen.</w:t>
      </w:r>
      <w:r w:rsidRPr="00D170A8">
        <w:rPr>
          <w:rFonts w:ascii="Palatino Linotype" w:eastAsia="Palatino Linotype" w:hAnsi="Palatino Linotype" w:cs="Palatino Linotype"/>
          <w:color w:val="000000"/>
        </w:rPr>
        <w:t xml:space="preserve"> </w:t>
      </w:r>
    </w:p>
    <w:p w14:paraId="33149177" w14:textId="77777777" w:rsidR="00CB61C6" w:rsidRPr="00CB61C6" w:rsidRDefault="00CB61C6" w:rsidP="008F40BF">
      <w:pPr>
        <w:pStyle w:val="Prrafodelista"/>
        <w:spacing w:line="360" w:lineRule="auto"/>
        <w:rPr>
          <w:rFonts w:ascii="Palatino Linotype" w:hAnsi="Palatino Linotype"/>
          <w:color w:val="000000"/>
        </w:rPr>
      </w:pPr>
    </w:p>
    <w:p w14:paraId="371D52A1"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El </w:t>
      </w:r>
      <w:r w:rsidR="00D170A8" w:rsidRPr="00D170A8">
        <w:rPr>
          <w:rFonts w:ascii="Palatino Linotype" w:eastAsia="Palatino Linotype" w:hAnsi="Palatino Linotype" w:cs="Palatino Linotype"/>
          <w:b/>
          <w:color w:val="000000"/>
        </w:rPr>
        <w:t>once de junio y dieciséis de octubre de dos mil veinticuatro</w:t>
      </w:r>
      <w:r w:rsidRPr="00CB61C6">
        <w:rPr>
          <w:rFonts w:ascii="Palatino Linotype" w:eastAsia="Palatino Linotype" w:hAnsi="Palatino Linotype" w:cs="Palatino Linotype"/>
          <w:color w:val="000000"/>
        </w:rPr>
        <w:t xml:space="preserve">, la Comisionada Ponente notificó el acuerdo mediante el cual se amplió el plazo para emitir la </w:t>
      </w:r>
      <w:r w:rsidR="00D170A8">
        <w:rPr>
          <w:rFonts w:ascii="Palatino Linotype" w:eastAsia="Palatino Linotype" w:hAnsi="Palatino Linotype" w:cs="Palatino Linotype"/>
          <w:color w:val="000000"/>
        </w:rPr>
        <w:t>R</w:t>
      </w:r>
      <w:r w:rsidRPr="00CB61C6">
        <w:rPr>
          <w:rFonts w:ascii="Palatino Linotype" w:eastAsia="Palatino Linotype" w:hAnsi="Palatino Linotype" w:cs="Palatino Linotype"/>
          <w:color w:val="000000"/>
        </w:rPr>
        <w:t>esolución.</w:t>
      </w:r>
    </w:p>
    <w:p w14:paraId="7AF7C081"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DA102C9" w14:textId="77777777" w:rsidR="001C2C79" w:rsidRPr="00CB61C6" w:rsidRDefault="001C2C79" w:rsidP="008F40BF">
      <w:pPr>
        <w:numPr>
          <w:ilvl w:val="0"/>
          <w:numId w:val="6"/>
        </w:numPr>
        <w:pBdr>
          <w:top w:val="nil"/>
          <w:left w:val="nil"/>
          <w:bottom w:val="nil"/>
          <w:right w:val="nil"/>
          <w:between w:val="nil"/>
        </w:pBdr>
        <w:spacing w:line="360" w:lineRule="auto"/>
        <w:ind w:left="0" w:hanging="11"/>
        <w:jc w:val="both"/>
        <w:rPr>
          <w:rFonts w:ascii="Palatino Linotype" w:hAnsi="Palatino Linotype"/>
          <w:color w:val="000000"/>
        </w:rPr>
      </w:pPr>
      <w:r w:rsidRPr="00CB61C6">
        <w:rPr>
          <w:rFonts w:ascii="Palatino Linotype" w:eastAsia="Palatino Linotype" w:hAnsi="Palatino Linotype" w:cs="Palatino Linotype"/>
          <w:color w:val="000000"/>
        </w:rPr>
        <w:t>Este organismo garante no pasa por alto justificar, que la dilación en la resolución del presente asunto encuentra justificación en el alto número de recursos de revisión recibidos se ha incrementado el número de medios de impugnación que deben resolverse por este Instituto, circunstancia atípica que ha rebasado las capacidades técnicas y humanas del personal encargado de la proyección de las resoluciones a dichos medios de impugnación.</w:t>
      </w:r>
    </w:p>
    <w:p w14:paraId="74F49E7A"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677096C5"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Por ello, es menester precisar que, si bien se ha excedido el plazo para resolver el presente medio de impugnación, de conformidad con la ley de la materia, el plazo para emitir resolución se encuentra justificado en los elementos para medir su razonabilidad de asuntos conforme a los parámetros establecidos por diversos órganos jurisdiccionales federales, aplicables también en procedimientos análogos, como el que nos ocupa.</w:t>
      </w:r>
    </w:p>
    <w:p w14:paraId="6554E57F"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4F5227D"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4B38D7B9"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5EB8A487"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14:paraId="6C8CC474"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6F59882E" w14:textId="77777777" w:rsidR="001C2C79" w:rsidRPr="00D170A8"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Por ello, excepcionalmente, si un asunto es resuelto con posterioridad a los plazos señalados por la norma debe analizarse la razonabilidad del tiempo necesario para su resolución, atentos a los siguientes criterios:   </w:t>
      </w:r>
    </w:p>
    <w:p w14:paraId="58CA383B" w14:textId="77777777" w:rsidR="001C2C79" w:rsidRPr="008F40BF" w:rsidRDefault="001C2C79" w:rsidP="008F40BF">
      <w:pPr>
        <w:pStyle w:val="Prrafodelista"/>
        <w:numPr>
          <w:ilvl w:val="3"/>
          <w:numId w:val="6"/>
        </w:num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8F40BF">
        <w:rPr>
          <w:rFonts w:ascii="Palatino Linotype" w:eastAsia="Palatino Linotype" w:hAnsi="Palatino Linotype" w:cs="Palatino Linotype"/>
          <w:color w:val="000000"/>
        </w:rPr>
        <w:lastRenderedPageBreak/>
        <w:t>Complejidad del asunto: La complejidad de la prueba, la pluralidad de sujetos procesales, el tiempo transcurrido, las características y contexto del recurso.</w:t>
      </w:r>
    </w:p>
    <w:p w14:paraId="60DC2272" w14:textId="77777777" w:rsidR="001C2C79" w:rsidRPr="00CB61C6" w:rsidRDefault="001C2C79" w:rsidP="008F40BF">
      <w:pPr>
        <w:pBdr>
          <w:top w:val="nil"/>
          <w:left w:val="nil"/>
          <w:bottom w:val="nil"/>
          <w:right w:val="nil"/>
          <w:between w:val="nil"/>
        </w:pBdr>
        <w:spacing w:line="360" w:lineRule="auto"/>
        <w:ind w:left="284"/>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b)   Actividad Procesal del interesado: Acciones u omisiones del interesado.</w:t>
      </w:r>
    </w:p>
    <w:p w14:paraId="782268A5" w14:textId="77777777" w:rsidR="001C2C79" w:rsidRPr="00CB61C6" w:rsidRDefault="001C2C79" w:rsidP="008F40BF">
      <w:pPr>
        <w:pBdr>
          <w:top w:val="nil"/>
          <w:left w:val="nil"/>
          <w:bottom w:val="nil"/>
          <w:right w:val="nil"/>
          <w:between w:val="nil"/>
        </w:pBdr>
        <w:spacing w:line="360" w:lineRule="auto"/>
        <w:ind w:left="284"/>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c) Conducta de la Autoridad: Las Acciones u omisiones realizadas en el procedimiento. Así como si la autoridad actuó con la debida diligencia.</w:t>
      </w:r>
    </w:p>
    <w:p w14:paraId="5B157E19" w14:textId="77777777" w:rsidR="001C2C79" w:rsidRPr="00CB61C6" w:rsidRDefault="001C2C79" w:rsidP="008F40BF">
      <w:pPr>
        <w:pBdr>
          <w:top w:val="nil"/>
          <w:left w:val="nil"/>
          <w:bottom w:val="nil"/>
          <w:right w:val="nil"/>
          <w:between w:val="nil"/>
        </w:pBdr>
        <w:spacing w:line="360" w:lineRule="auto"/>
        <w:ind w:left="284"/>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 xml:space="preserve">d)  </w:t>
      </w:r>
      <w:r w:rsidRPr="00CB61C6">
        <w:rPr>
          <w:rFonts w:ascii="Palatino Linotype" w:eastAsia="Palatino Linotype" w:hAnsi="Palatino Linotype" w:cs="Palatino Linotype"/>
        </w:rPr>
        <w:t xml:space="preserve"> </w:t>
      </w:r>
      <w:r w:rsidRPr="00CB61C6">
        <w:rPr>
          <w:rFonts w:ascii="Palatino Linotype" w:eastAsia="Palatino Linotype" w:hAnsi="Palatino Linotype" w:cs="Palatino Linotype"/>
          <w:color w:val="000000"/>
        </w:rPr>
        <w:t>La afectación generada en la situación jurídica de la persona involucrada en el proceso: Violación a sus derechos humanos.</w:t>
      </w:r>
    </w:p>
    <w:p w14:paraId="62935E2C"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4A9096B3"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14:paraId="27F22D44"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0BF542F"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Argumento que encuentra sustento en la jurisprudencia P./J. 32/92 emitida por el Pleno de la Suprema Corte de Justicia de la Nación de rubro “TÉRMINOS PROCESALES. PARA DETERMINAR SI UN FUNCIONARIO JUDICIAL ACTUÓ INDEBIDAMENTE POR NO RESPETARLOS SE DEBE ATENDER AL PRESUPUESTO QUE CONSIDERÓ EL LEGISLADOR AL FIJARLOS Y LAS </w:t>
      </w:r>
      <w:r w:rsidRPr="00CB61C6">
        <w:rPr>
          <w:rFonts w:ascii="Palatino Linotype" w:eastAsia="Palatino Linotype" w:hAnsi="Palatino Linotype" w:cs="Palatino Linotype"/>
          <w:color w:val="000000"/>
        </w:rPr>
        <w:lastRenderedPageBreak/>
        <w:t xml:space="preserve">CARACTERÍSTICAS DEL CASO.”, visible en la Gaceta del </w:t>
      </w:r>
      <w:r w:rsidRPr="00CB61C6">
        <w:rPr>
          <w:rFonts w:ascii="Palatino Linotype" w:eastAsia="Palatino Linotype" w:hAnsi="Palatino Linotype" w:cs="Palatino Linotype"/>
        </w:rPr>
        <w:t>Semanario</w:t>
      </w:r>
      <w:r w:rsidRPr="00CB61C6">
        <w:rPr>
          <w:rFonts w:ascii="Palatino Linotype" w:eastAsia="Palatino Linotype" w:hAnsi="Palatino Linotype" w:cs="Palatino Linotype"/>
          <w:color w:val="000000"/>
        </w:rPr>
        <w:t xml:space="preserve"> Judicial de la Federación con el registro digital 205635.</w:t>
      </w:r>
    </w:p>
    <w:p w14:paraId="170D57AF"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75E9886C"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1B238BC0"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DB5099C" w14:textId="77777777" w:rsidR="001C2C79" w:rsidRPr="00D170A8"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Al respecto, también son de considerar los criterios sostenidos por el Cuarto Tribunal Colegiado en Materia Administrativa del Primer Circuito, cuyos rubros y datos de identificación son los siguientes:</w:t>
      </w:r>
    </w:p>
    <w:p w14:paraId="653E7CBD" w14:textId="77777777" w:rsidR="00D170A8" w:rsidRPr="00CB61C6" w:rsidRDefault="00D170A8" w:rsidP="008F40BF">
      <w:pPr>
        <w:pBdr>
          <w:top w:val="nil"/>
          <w:left w:val="nil"/>
          <w:bottom w:val="nil"/>
          <w:right w:val="nil"/>
          <w:between w:val="nil"/>
        </w:pBdr>
        <w:spacing w:line="360" w:lineRule="auto"/>
        <w:jc w:val="both"/>
        <w:rPr>
          <w:rFonts w:ascii="Palatino Linotype" w:hAnsi="Palatino Linotype"/>
          <w:color w:val="000000"/>
        </w:rPr>
      </w:pPr>
    </w:p>
    <w:p w14:paraId="29443B0C" w14:textId="77777777" w:rsidR="001C2C79" w:rsidRDefault="001C2C79" w:rsidP="008F40BF">
      <w:pPr>
        <w:pBdr>
          <w:top w:val="nil"/>
          <w:left w:val="nil"/>
          <w:bottom w:val="nil"/>
          <w:right w:val="nil"/>
          <w:between w:val="nil"/>
        </w:pBdr>
        <w:spacing w:line="360" w:lineRule="auto"/>
        <w:ind w:left="567" w:right="539"/>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 xml:space="preserve">“PLAZO RAZONABLE PARA RESOLVER. DIMENSIÓN Y EFECTOS DE ESTE CONCEPTO CUANDO SE ADUCE EXCESIVA CARGA DE </w:t>
      </w:r>
      <w:r w:rsidRPr="00CB61C6">
        <w:rPr>
          <w:rFonts w:ascii="Palatino Linotype" w:eastAsia="Palatino Linotype" w:hAnsi="Palatino Linotype" w:cs="Palatino Linotype"/>
          <w:color w:val="000000"/>
        </w:rPr>
        <w:lastRenderedPageBreak/>
        <w:t>TRABAJO.” consultable en el Sem</w:t>
      </w:r>
      <w:r w:rsidRPr="00CB61C6">
        <w:rPr>
          <w:rFonts w:ascii="Palatino Linotype" w:eastAsia="Palatino Linotype" w:hAnsi="Palatino Linotype" w:cs="Palatino Linotype"/>
        </w:rPr>
        <w:t>a</w:t>
      </w:r>
      <w:r w:rsidRPr="00CB61C6">
        <w:rPr>
          <w:rFonts w:ascii="Palatino Linotype" w:eastAsia="Palatino Linotype" w:hAnsi="Palatino Linotype" w:cs="Palatino Linotype"/>
          <w:color w:val="000000"/>
        </w:rPr>
        <w:t>nario Judicial de la Federación y su gaceta, con el registro digital 2002351.</w:t>
      </w:r>
    </w:p>
    <w:p w14:paraId="399A13C7" w14:textId="77777777" w:rsidR="00E31F0C" w:rsidRPr="00CB61C6" w:rsidRDefault="00E31F0C" w:rsidP="008F40BF">
      <w:pPr>
        <w:pBdr>
          <w:top w:val="nil"/>
          <w:left w:val="nil"/>
          <w:bottom w:val="nil"/>
          <w:right w:val="nil"/>
          <w:between w:val="nil"/>
        </w:pBdr>
        <w:spacing w:line="360" w:lineRule="auto"/>
        <w:ind w:left="567" w:right="539"/>
        <w:jc w:val="both"/>
        <w:rPr>
          <w:rFonts w:ascii="Palatino Linotype" w:eastAsia="Palatino Linotype" w:hAnsi="Palatino Linotype" w:cs="Palatino Linotype"/>
          <w:color w:val="000000"/>
        </w:rPr>
      </w:pPr>
    </w:p>
    <w:p w14:paraId="66F579A8" w14:textId="77777777" w:rsidR="001C2C79" w:rsidRPr="00CB61C6" w:rsidRDefault="001C2C79" w:rsidP="008F40BF">
      <w:pPr>
        <w:pBdr>
          <w:top w:val="nil"/>
          <w:left w:val="nil"/>
          <w:bottom w:val="nil"/>
          <w:right w:val="nil"/>
          <w:between w:val="nil"/>
        </w:pBdr>
        <w:spacing w:line="360" w:lineRule="auto"/>
        <w:ind w:left="567" w:right="539"/>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color w:val="000000"/>
        </w:rPr>
        <w:t>“PLAZO RAZONABLE PARA RESOLVER. CONCEPTO Y ELEMENTOS QUE LO INTEGRAN A LA LUZ DEL DERECHO INTERNACIONAL DE LOS DERECHOS HUMANOS.”, visible en el Sem</w:t>
      </w:r>
      <w:r w:rsidRPr="00CB61C6">
        <w:rPr>
          <w:rFonts w:ascii="Palatino Linotype" w:eastAsia="Palatino Linotype" w:hAnsi="Palatino Linotype" w:cs="Palatino Linotype"/>
        </w:rPr>
        <w:t>a</w:t>
      </w:r>
      <w:r w:rsidRPr="00CB61C6">
        <w:rPr>
          <w:rFonts w:ascii="Palatino Linotype" w:eastAsia="Palatino Linotype" w:hAnsi="Palatino Linotype" w:cs="Palatino Linotype"/>
          <w:color w:val="000000"/>
        </w:rPr>
        <w:t>nario Judicial de la Federación y su gaceta, con el registro digital 2002350.</w:t>
      </w:r>
    </w:p>
    <w:p w14:paraId="7248FCFE" w14:textId="77777777" w:rsidR="001C2C79" w:rsidRPr="00CB61C6" w:rsidRDefault="001C2C79" w:rsidP="008F40BF">
      <w:pPr>
        <w:pBdr>
          <w:top w:val="nil"/>
          <w:left w:val="nil"/>
          <w:bottom w:val="nil"/>
          <w:right w:val="nil"/>
          <w:between w:val="nil"/>
        </w:pBdr>
        <w:spacing w:line="360" w:lineRule="auto"/>
        <w:ind w:left="708"/>
        <w:jc w:val="both"/>
        <w:rPr>
          <w:rFonts w:ascii="Palatino Linotype" w:eastAsia="Palatino Linotype" w:hAnsi="Palatino Linotype" w:cs="Palatino Linotype"/>
          <w:color w:val="000000"/>
        </w:rPr>
      </w:pPr>
    </w:p>
    <w:p w14:paraId="751E89BE"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Por ello, este organismo garante comprometido con la tutela de los derechos humanos confiados, señala que este exceso del plazo legal para resolver el presente asunto, resulta de carácter excepcional.</w:t>
      </w:r>
    </w:p>
    <w:p w14:paraId="2F972666"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54A8F1F1"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Seguidamente, mediante acuerdo de fecha </w:t>
      </w:r>
      <w:r w:rsidR="00D170A8" w:rsidRPr="00D170A8">
        <w:rPr>
          <w:rFonts w:ascii="Palatino Linotype" w:eastAsia="Palatino Linotype" w:hAnsi="Palatino Linotype" w:cs="Palatino Linotype"/>
          <w:b/>
          <w:color w:val="000000"/>
        </w:rPr>
        <w:t>dieciséis de octubre</w:t>
      </w:r>
      <w:r w:rsidR="000B7063"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b/>
          <w:color w:val="000000"/>
        </w:rPr>
        <w:t>de dos mil veinticuatro</w:t>
      </w:r>
      <w:r w:rsidRPr="00CB61C6">
        <w:rPr>
          <w:rFonts w:ascii="Palatino Linotype" w:eastAsia="Palatino Linotype" w:hAnsi="Palatino Linotype" w:cs="Palatino Linotype"/>
          <w:color w:val="000000"/>
        </w:rPr>
        <w:t xml:space="preserve"> se decretó el cierre de instrucción, por lo que no habiendo más que hacer constar, y----------------------------------------------------------------------------------------------------</w:t>
      </w:r>
    </w:p>
    <w:p w14:paraId="7056910D" w14:textId="77777777" w:rsidR="001C2C79" w:rsidRPr="00CB61C6" w:rsidRDefault="001C2C79" w:rsidP="008F40BF">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44078C25" w14:textId="77777777" w:rsidR="001C2C79" w:rsidRPr="00CB61C6" w:rsidRDefault="001C2C79" w:rsidP="008F40BF">
      <w:pPr>
        <w:pStyle w:val="Ttulo1"/>
        <w:spacing w:before="0" w:line="360" w:lineRule="auto"/>
        <w:jc w:val="center"/>
        <w:rPr>
          <w:rFonts w:ascii="Palatino Linotype" w:eastAsia="Palatino Linotype" w:hAnsi="Palatino Linotype" w:cs="Palatino Linotype"/>
          <w:b/>
          <w:color w:val="000000"/>
          <w:sz w:val="24"/>
          <w:szCs w:val="24"/>
        </w:rPr>
      </w:pPr>
      <w:bookmarkStart w:id="3" w:name="_heading=h.3znysh7" w:colFirst="0" w:colLast="0"/>
      <w:bookmarkEnd w:id="3"/>
      <w:r w:rsidRPr="00CB61C6">
        <w:rPr>
          <w:rFonts w:ascii="Palatino Linotype" w:eastAsia="Palatino Linotype" w:hAnsi="Palatino Linotype" w:cs="Palatino Linotype"/>
          <w:b/>
          <w:color w:val="000000"/>
          <w:sz w:val="24"/>
          <w:szCs w:val="24"/>
        </w:rPr>
        <w:t xml:space="preserve">C O N S I D E R A N D O </w:t>
      </w:r>
    </w:p>
    <w:p w14:paraId="70983AFC" w14:textId="77777777" w:rsidR="001C2C79" w:rsidRPr="00CB61C6" w:rsidRDefault="001C2C79" w:rsidP="008F40BF">
      <w:pPr>
        <w:spacing w:line="360" w:lineRule="auto"/>
        <w:rPr>
          <w:rFonts w:ascii="Palatino Linotype" w:eastAsia="Palatino Linotype" w:hAnsi="Palatino Linotype" w:cs="Palatino Linotype"/>
        </w:rPr>
      </w:pPr>
    </w:p>
    <w:p w14:paraId="1B1BC3B2" w14:textId="77777777" w:rsidR="001C2C79" w:rsidRDefault="001C2C79" w:rsidP="008F40BF">
      <w:pPr>
        <w:pStyle w:val="Ttulo2"/>
        <w:spacing w:before="0" w:line="360" w:lineRule="auto"/>
        <w:rPr>
          <w:rFonts w:ascii="Palatino Linotype" w:eastAsia="Palatino Linotype" w:hAnsi="Palatino Linotype" w:cs="Palatino Linotype"/>
          <w:b/>
          <w:color w:val="000000"/>
          <w:sz w:val="24"/>
          <w:szCs w:val="24"/>
        </w:rPr>
      </w:pPr>
      <w:bookmarkStart w:id="4" w:name="_heading=h.2et92p0" w:colFirst="0" w:colLast="0"/>
      <w:bookmarkEnd w:id="4"/>
      <w:r w:rsidRPr="00CB61C6">
        <w:rPr>
          <w:rFonts w:ascii="Palatino Linotype" w:eastAsia="Palatino Linotype" w:hAnsi="Palatino Linotype" w:cs="Palatino Linotype"/>
          <w:b/>
          <w:color w:val="000000"/>
          <w:sz w:val="24"/>
          <w:szCs w:val="24"/>
        </w:rPr>
        <w:t xml:space="preserve">PRIMERO. De la competencia </w:t>
      </w:r>
    </w:p>
    <w:p w14:paraId="132F37BE" w14:textId="77777777" w:rsidR="008F40BF" w:rsidRPr="008F40BF" w:rsidRDefault="008F40BF" w:rsidP="008F40BF">
      <w:pPr>
        <w:spacing w:line="360" w:lineRule="auto"/>
        <w:rPr>
          <w:rFonts w:eastAsia="Palatino Linotype"/>
        </w:rPr>
      </w:pPr>
    </w:p>
    <w:p w14:paraId="157A30B8" w14:textId="77777777" w:rsidR="008F40BF" w:rsidRDefault="008F40BF" w:rsidP="008F40BF">
      <w:pPr>
        <w:numPr>
          <w:ilvl w:val="0"/>
          <w:numId w:val="6"/>
        </w:numPr>
        <w:pBdr>
          <w:top w:val="nil"/>
          <w:left w:val="nil"/>
          <w:bottom w:val="nil"/>
          <w:right w:val="nil"/>
          <w:between w:val="nil"/>
        </w:pBdr>
        <w:spacing w:line="360" w:lineRule="auto"/>
        <w:ind w:left="0" w:firstLine="0"/>
        <w:jc w:val="both"/>
        <w:rPr>
          <w:rFonts w:ascii="Palatino Linotype" w:hAnsi="Palatino Linotype" w:cs="Tahoma"/>
        </w:rPr>
      </w:pPr>
      <w:bookmarkStart w:id="5" w:name="_heading=h.tyjcwt" w:colFirst="0" w:colLast="0"/>
      <w:bookmarkEnd w:id="5"/>
      <w:r w:rsidRPr="001274C8">
        <w:rPr>
          <w:rFonts w:ascii="Palatino Linotype" w:hAnsi="Palatino Linotype" w:cs="Tahoma"/>
        </w:rPr>
        <w:lastRenderedPageBreak/>
        <w:t xml:space="preserve">El Instituto de Transparencia, Acceso a la Información Pública y Protección de Datos </w:t>
      </w:r>
      <w:r w:rsidRPr="008F40BF">
        <w:rPr>
          <w:rFonts w:ascii="Palatino Linotype" w:eastAsia="Palatino Linotype" w:hAnsi="Palatino Linotype" w:cs="Palatino Linotype"/>
          <w:color w:val="000000"/>
        </w:rPr>
        <w:t>Personales</w:t>
      </w:r>
      <w:r w:rsidRPr="001274C8">
        <w:rPr>
          <w:rFonts w:ascii="Palatino Linotype" w:hAnsi="Palatino Linotype" w:cs="Tahoma"/>
        </w:rPr>
        <w:t xml:space="preserve"> del </w:t>
      </w:r>
      <w:r w:rsidRPr="001274C8">
        <w:rPr>
          <w:rFonts w:ascii="Palatino Linotype" w:hAnsi="Palatino Linotype"/>
        </w:rPr>
        <w:t>Estado</w:t>
      </w:r>
      <w:r w:rsidRPr="001274C8">
        <w:rPr>
          <w:rFonts w:ascii="Palatino Linotype" w:hAnsi="Palatino Linotype" w:cs="Tahoma"/>
        </w:rPr>
        <w:t xml:space="preserve">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0BABBB45" w14:textId="77777777" w:rsidR="008F40BF" w:rsidRPr="001274C8" w:rsidRDefault="008F40BF" w:rsidP="008F40BF">
      <w:pPr>
        <w:pBdr>
          <w:top w:val="nil"/>
          <w:left w:val="nil"/>
          <w:bottom w:val="nil"/>
          <w:right w:val="nil"/>
          <w:between w:val="nil"/>
        </w:pBdr>
        <w:spacing w:line="360" w:lineRule="auto"/>
        <w:jc w:val="both"/>
        <w:rPr>
          <w:rFonts w:ascii="Palatino Linotype" w:hAnsi="Palatino Linotype" w:cs="Tahoma"/>
        </w:rPr>
      </w:pPr>
    </w:p>
    <w:p w14:paraId="563BF0ED" w14:textId="77777777" w:rsidR="001C2C79" w:rsidRDefault="001C2C79" w:rsidP="008F40BF">
      <w:pPr>
        <w:pStyle w:val="Ttulo2"/>
        <w:spacing w:before="0" w:line="360" w:lineRule="auto"/>
        <w:rPr>
          <w:rFonts w:ascii="Palatino Linotype" w:eastAsia="Palatino Linotype" w:hAnsi="Palatino Linotype" w:cs="Palatino Linotype"/>
          <w:b/>
          <w:color w:val="000000"/>
          <w:sz w:val="24"/>
          <w:szCs w:val="24"/>
        </w:rPr>
      </w:pPr>
      <w:r w:rsidRPr="00CB61C6">
        <w:rPr>
          <w:rFonts w:ascii="Palatino Linotype" w:eastAsia="Palatino Linotype" w:hAnsi="Palatino Linotype" w:cs="Palatino Linotype"/>
          <w:b/>
          <w:color w:val="000000"/>
          <w:sz w:val="24"/>
          <w:szCs w:val="24"/>
        </w:rPr>
        <w:t>SEGUNDO. De la oportunidad y procedencia.</w:t>
      </w:r>
    </w:p>
    <w:p w14:paraId="54968A0A" w14:textId="77777777" w:rsidR="008F40BF" w:rsidRPr="008F40BF" w:rsidRDefault="008F40BF" w:rsidP="008F40BF">
      <w:pPr>
        <w:spacing w:line="360" w:lineRule="auto"/>
        <w:rPr>
          <w:rFonts w:eastAsia="Palatino Linotype"/>
        </w:rPr>
      </w:pPr>
    </w:p>
    <w:p w14:paraId="2E3A8896" w14:textId="77777777" w:rsidR="001C2C79" w:rsidRDefault="00FE4593" w:rsidP="00FE4593">
      <w:pPr>
        <w:numPr>
          <w:ilvl w:val="0"/>
          <w:numId w:val="6"/>
        </w:numPr>
        <w:pBdr>
          <w:top w:val="nil"/>
          <w:left w:val="nil"/>
          <w:bottom w:val="nil"/>
          <w:right w:val="nil"/>
          <w:between w:val="nil"/>
        </w:pBdr>
        <w:spacing w:line="360" w:lineRule="auto"/>
        <w:ind w:left="0" w:firstLine="0"/>
        <w:jc w:val="both"/>
        <w:rPr>
          <w:rFonts w:ascii="Palatino Linotype" w:hAnsi="Palatino Linotype"/>
        </w:rPr>
      </w:pPr>
      <w:bookmarkStart w:id="6" w:name="_heading=h.3dy6vkm" w:colFirst="0" w:colLast="0"/>
      <w:bookmarkEnd w:id="6"/>
      <w:r w:rsidRPr="005C6C36">
        <w:rPr>
          <w:rFonts w:ascii="Palatino Linotype" w:eastAsia="Calibri" w:hAnsi="Palatino Linotype" w:cs="Arial"/>
        </w:rPr>
        <w:t>Est</w:t>
      </w:r>
      <w:r>
        <w:rPr>
          <w:rFonts w:ascii="Palatino Linotype" w:eastAsia="Calibri" w:hAnsi="Palatino Linotype" w:cs="Arial"/>
        </w:rPr>
        <w:t xml:space="preserve">e Órgano Garante considera que </w:t>
      </w:r>
      <w:r w:rsidRPr="005C6C36">
        <w:rPr>
          <w:rFonts w:ascii="Palatino Linotype" w:eastAsia="Calibri" w:hAnsi="Palatino Linotype" w:cs="Arial"/>
        </w:rPr>
        <w:t>l</w:t>
      </w:r>
      <w:r>
        <w:rPr>
          <w:rFonts w:ascii="Palatino Linotype" w:eastAsia="Calibri" w:hAnsi="Palatino Linotype" w:cs="Arial"/>
        </w:rPr>
        <w:t>os</w:t>
      </w:r>
      <w:r w:rsidRPr="005C6C36">
        <w:rPr>
          <w:rFonts w:ascii="Palatino Linotype" w:eastAsia="Calibri" w:hAnsi="Palatino Linotype" w:cs="Arial"/>
        </w:rPr>
        <w:t xml:space="preserve"> medio</w:t>
      </w:r>
      <w:r>
        <w:rPr>
          <w:rFonts w:ascii="Palatino Linotype" w:eastAsia="Calibri" w:hAnsi="Palatino Linotype" w:cs="Arial"/>
        </w:rPr>
        <w:t>s</w:t>
      </w:r>
      <w:r w:rsidRPr="005C6C36">
        <w:rPr>
          <w:rFonts w:ascii="Palatino Linotype" w:eastAsia="Calibri" w:hAnsi="Palatino Linotype" w:cs="Arial"/>
        </w:rPr>
        <w:t xml:space="preserve"> de impugnación reúne</w:t>
      </w:r>
      <w:r>
        <w:rPr>
          <w:rFonts w:ascii="Palatino Linotype" w:eastAsia="Calibri" w:hAnsi="Palatino Linotype" w:cs="Arial"/>
        </w:rPr>
        <w:t>n</w:t>
      </w:r>
      <w:r w:rsidRPr="005C6C36">
        <w:rPr>
          <w:rFonts w:ascii="Palatino Linotype" w:eastAsia="Calibri" w:hAnsi="Palatino Linotype" w:cs="Arial"/>
        </w:rPr>
        <w:t xml:space="preserve"> los requisitos de procedencia </w:t>
      </w:r>
      <w:r>
        <w:rPr>
          <w:rFonts w:ascii="Palatino Linotype" w:eastAsia="Calibri" w:hAnsi="Palatino Linotype" w:cs="Tahoma"/>
          <w:color w:val="000000"/>
        </w:rPr>
        <w:t xml:space="preserve">toda vez que: </w:t>
      </w:r>
      <w:r w:rsidRPr="005C6C36">
        <w:rPr>
          <w:rFonts w:ascii="Palatino Linotype" w:eastAsia="Calibri" w:hAnsi="Palatino Linotype" w:cs="Tahoma"/>
          <w:color w:val="000000"/>
        </w:rPr>
        <w:t>l</w:t>
      </w:r>
      <w:r>
        <w:rPr>
          <w:rFonts w:ascii="Palatino Linotype" w:eastAsia="Calibri" w:hAnsi="Palatino Linotype" w:cs="Tahoma"/>
          <w:color w:val="000000"/>
        </w:rPr>
        <w:t>os</w:t>
      </w:r>
      <w:r w:rsidRPr="005C6C36">
        <w:rPr>
          <w:rFonts w:ascii="Palatino Linotype" w:eastAsia="Calibri" w:hAnsi="Palatino Linotype" w:cs="Tahoma"/>
          <w:color w:val="000000"/>
        </w:rPr>
        <w:t xml:space="preserve"> recurso</w:t>
      </w:r>
      <w:r>
        <w:rPr>
          <w:rFonts w:ascii="Palatino Linotype" w:eastAsia="Calibri" w:hAnsi="Palatino Linotype" w:cs="Tahoma"/>
          <w:color w:val="000000"/>
        </w:rPr>
        <w:t>s</w:t>
      </w:r>
      <w:r w:rsidRPr="005C6C36">
        <w:rPr>
          <w:rFonts w:ascii="Palatino Linotype" w:eastAsia="Calibri" w:hAnsi="Palatino Linotype" w:cs="Tahoma"/>
          <w:color w:val="000000"/>
        </w:rPr>
        <w:t xml:space="preserve"> fue</w:t>
      </w:r>
      <w:r>
        <w:rPr>
          <w:rFonts w:ascii="Palatino Linotype" w:eastAsia="Calibri" w:hAnsi="Palatino Linotype" w:cs="Tahoma"/>
          <w:color w:val="000000"/>
        </w:rPr>
        <w:t>ron</w:t>
      </w:r>
      <w:r w:rsidRPr="005C6C36">
        <w:rPr>
          <w:rFonts w:ascii="Palatino Linotype" w:eastAsia="Calibri" w:hAnsi="Palatino Linotype" w:cs="Tahoma"/>
          <w:color w:val="000000"/>
        </w:rPr>
        <w:t xml:space="preserve"> presentado</w:t>
      </w:r>
      <w:r>
        <w:rPr>
          <w:rFonts w:ascii="Palatino Linotype" w:eastAsia="Calibri" w:hAnsi="Palatino Linotype" w:cs="Tahoma"/>
          <w:color w:val="000000"/>
        </w:rPr>
        <w:t>s</w:t>
      </w:r>
      <w:r w:rsidRPr="005C6C36">
        <w:rPr>
          <w:rFonts w:ascii="Palatino Linotype" w:eastAsia="Calibri" w:hAnsi="Palatino Linotype" w:cs="Tahoma"/>
          <w:color w:val="000000"/>
        </w:rPr>
        <w:t xml:space="preserve"> dentro del plazo establecido en el artículo 178 de la Ley de Transparencia y Acceso a la Información Pública </w:t>
      </w:r>
      <w:r w:rsidRPr="00FE4593">
        <w:rPr>
          <w:rFonts w:ascii="Palatino Linotype" w:eastAsia="Calibri" w:hAnsi="Palatino Linotype" w:cs="Arial"/>
        </w:rPr>
        <w:t>del</w:t>
      </w:r>
      <w:r w:rsidRPr="005C6C36">
        <w:rPr>
          <w:rFonts w:ascii="Palatino Linotype" w:eastAsia="Calibri" w:hAnsi="Palatino Linotype" w:cs="Tahoma"/>
          <w:color w:val="000000"/>
        </w:rPr>
        <w:t xml:space="preserve"> Estado de México y Municipios; asimismo no se tiene </w:t>
      </w:r>
      <w:r w:rsidRPr="005C6C36">
        <w:rPr>
          <w:rFonts w:ascii="Palatino Linotype" w:eastAsia="Calibri" w:hAnsi="Palatino Linotype" w:cs="Tahoma"/>
          <w:color w:val="000000"/>
        </w:rPr>
        <w:lastRenderedPageBreak/>
        <w:t>conocimiento de que se encuentre en trámite algún medio de defensa presentado por el Recurrente ante otra instancia.</w:t>
      </w:r>
    </w:p>
    <w:p w14:paraId="1696AC00" w14:textId="77777777" w:rsidR="00FE4593" w:rsidRPr="00FE4593" w:rsidRDefault="00FE4593" w:rsidP="00FE4593">
      <w:pPr>
        <w:spacing w:line="360" w:lineRule="auto"/>
        <w:ind w:left="4613"/>
        <w:contextualSpacing/>
        <w:jc w:val="both"/>
        <w:rPr>
          <w:rFonts w:ascii="Palatino Linotype" w:hAnsi="Palatino Linotype"/>
        </w:rPr>
      </w:pPr>
    </w:p>
    <w:p w14:paraId="2D5136BF" w14:textId="77777777" w:rsidR="00753281"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t>Por otro lado, es de suma importancia señalar que la parte recurrente no proporciona un nombre o datos de identificación como se advierte en el detalle de seguimiento del SAIMEX, no obstante lo anterior, no proporcionar el nombre completo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1FAE0073" w14:textId="77777777" w:rsidR="00F35C5B" w:rsidRDefault="00F35C5B" w:rsidP="00F35C5B">
      <w:pPr>
        <w:pStyle w:val="Prrafodelista"/>
        <w:rPr>
          <w:rFonts w:ascii="Palatino Linotype" w:eastAsia="Calibri" w:hAnsi="Palatino Linotype" w:cs="Arial"/>
        </w:rPr>
      </w:pPr>
    </w:p>
    <w:p w14:paraId="7154050E" w14:textId="77777777" w:rsidR="00753281" w:rsidRPr="00CB61C6" w:rsidRDefault="00753281" w:rsidP="008F40BF">
      <w:pPr>
        <w:spacing w:line="360" w:lineRule="auto"/>
        <w:ind w:left="709" w:right="822"/>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r w:rsidRPr="00CB61C6">
        <w:rPr>
          <w:rFonts w:ascii="Palatino Linotype" w:eastAsia="Palatino Linotype" w:hAnsi="Palatino Linotype" w:cs="Palatino Linotype"/>
          <w:b/>
          <w:i/>
        </w:rPr>
        <w:t>Las solicitudes anónimas</w:t>
      </w:r>
      <w:r w:rsidRPr="00CB61C6">
        <w:rPr>
          <w:rFonts w:ascii="Palatino Linotype" w:eastAsia="Palatino Linotype" w:hAnsi="Palatino Linotype" w:cs="Palatino Linotype"/>
          <w:i/>
        </w:rPr>
        <w:t xml:space="preserve">, con nombre incompleto o seudónimo </w:t>
      </w:r>
      <w:r w:rsidRPr="00CB61C6">
        <w:rPr>
          <w:rFonts w:ascii="Palatino Linotype" w:eastAsia="Palatino Linotype" w:hAnsi="Palatino Linotype" w:cs="Palatino Linotype"/>
          <w:b/>
          <w:i/>
        </w:rPr>
        <w:t>serán procedentes para su trámite por parte del sujeto obligado ante quien se presente</w:t>
      </w:r>
      <w:r w:rsidRPr="00CB61C6">
        <w:rPr>
          <w:rFonts w:ascii="Palatino Linotype" w:eastAsia="Palatino Linotype" w:hAnsi="Palatino Linotype" w:cs="Palatino Linotype"/>
          <w:i/>
        </w:rPr>
        <w:t>. No podrá requerirse información adicional con motivo del nombre proporcionado por el solicitante."</w:t>
      </w:r>
    </w:p>
    <w:p w14:paraId="3F52DCA7" w14:textId="77777777" w:rsidR="00753281" w:rsidRPr="00CB61C6" w:rsidRDefault="00753281" w:rsidP="008F40BF">
      <w:pPr>
        <w:spacing w:line="360" w:lineRule="auto"/>
        <w:jc w:val="both"/>
        <w:rPr>
          <w:rFonts w:ascii="Palatino Linotype" w:eastAsia="Palatino Linotype" w:hAnsi="Palatino Linotype" w:cs="Palatino Linotype"/>
        </w:rPr>
      </w:pPr>
    </w:p>
    <w:p w14:paraId="68E7C22A" w14:textId="77777777" w:rsidR="00753281"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t>Robusteciendo lo anterior se encuentra lo dispuesto en el artículo 6, Apartado A, fracciones III de la Constitución Política de los Estados Unidos Mexicanos que establece:</w:t>
      </w:r>
    </w:p>
    <w:p w14:paraId="1E10BABF" w14:textId="77777777" w:rsidR="00F35C5B" w:rsidRPr="00CB61C6" w:rsidRDefault="00F35C5B" w:rsidP="00F35C5B">
      <w:pPr>
        <w:pBdr>
          <w:top w:val="nil"/>
          <w:left w:val="nil"/>
          <w:bottom w:val="nil"/>
          <w:right w:val="nil"/>
          <w:between w:val="nil"/>
        </w:pBdr>
        <w:spacing w:line="360" w:lineRule="auto"/>
        <w:jc w:val="both"/>
        <w:rPr>
          <w:rFonts w:ascii="Palatino Linotype" w:eastAsia="Calibri" w:hAnsi="Palatino Linotype" w:cs="Arial"/>
        </w:rPr>
      </w:pPr>
    </w:p>
    <w:p w14:paraId="02D90409"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lastRenderedPageBreak/>
        <w:t>"</w:t>
      </w:r>
      <w:r w:rsidRPr="00CB61C6">
        <w:rPr>
          <w:rFonts w:ascii="Palatino Linotype" w:eastAsia="Palatino Linotype" w:hAnsi="Palatino Linotype" w:cs="Palatino Linotype"/>
          <w:b/>
          <w:i/>
        </w:rPr>
        <w:t>Artículo 6.-</w:t>
      </w:r>
      <w:r w:rsidRPr="00CB61C6">
        <w:rPr>
          <w:rFonts w:ascii="Palatino Linotype" w:eastAsia="Palatino Linotype" w:hAnsi="Palatino Linotype" w:cs="Palatino Linotype"/>
          <w:i/>
        </w:rPr>
        <w:t xml:space="preserve">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14:paraId="5A7C8E28"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Para efectos de lo dispuesto en el presente artículo se observará lo siguiente:</w:t>
      </w:r>
    </w:p>
    <w:p w14:paraId="776679E9"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p>
    <w:p w14:paraId="315FC746"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A. Para el ejercicio del derecho de acceso a la información, la Federación, los Estados y el Distrito Federal, en el ámbito de sus respectivas competencias, se regirán por los siguientes principios y bases:</w:t>
      </w:r>
    </w:p>
    <w:p w14:paraId="426C83FF"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p>
    <w:p w14:paraId="5810B6FC"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 xml:space="preserve">III. Toda persona, sin necesidad de acreditar interés alguno o justificar su utilización, tendrá acceso gratuito a la información pública, a sus datos personales o a la rectificación de éstos.” </w:t>
      </w:r>
    </w:p>
    <w:p w14:paraId="1448CA3A" w14:textId="77777777" w:rsidR="00753281" w:rsidRPr="00CB61C6" w:rsidRDefault="00753281" w:rsidP="008F40BF">
      <w:pPr>
        <w:spacing w:line="360" w:lineRule="auto"/>
        <w:ind w:left="567" w:right="474"/>
        <w:jc w:val="both"/>
        <w:rPr>
          <w:rFonts w:ascii="Palatino Linotype" w:eastAsia="Palatino Linotype" w:hAnsi="Palatino Linotype" w:cs="Palatino Linotype"/>
          <w:i/>
        </w:rPr>
      </w:pPr>
    </w:p>
    <w:p w14:paraId="4782BD08" w14:textId="77777777" w:rsidR="00753281" w:rsidRPr="00CB61C6"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t>Así como el artículo 5 fracción III, párrafo vigésimo noveno, trigésimo y trigésimo primero, de la Constitución Política del Estado Libre y Soberano de México, que determina lo siguiente:</w:t>
      </w:r>
    </w:p>
    <w:p w14:paraId="7D9AAAF4" w14:textId="77777777" w:rsidR="00753281" w:rsidRPr="00CB61C6" w:rsidRDefault="00753281" w:rsidP="008F40BF">
      <w:pPr>
        <w:spacing w:line="360" w:lineRule="auto"/>
        <w:ind w:right="474"/>
        <w:jc w:val="both"/>
        <w:rPr>
          <w:rFonts w:ascii="Palatino Linotype" w:eastAsia="Palatino Linotype" w:hAnsi="Palatino Linotype" w:cs="Palatino Linotype"/>
          <w:i/>
        </w:rPr>
      </w:pPr>
    </w:p>
    <w:p w14:paraId="319D44AF"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lastRenderedPageBreak/>
        <w:t>"</w:t>
      </w:r>
      <w:r w:rsidRPr="00CB61C6">
        <w:rPr>
          <w:rFonts w:ascii="Palatino Linotype" w:eastAsia="Palatino Linotype" w:hAnsi="Palatino Linotype" w:cs="Palatino Linotype"/>
          <w:b/>
          <w:i/>
        </w:rPr>
        <w:t>Artículo 5.-</w:t>
      </w:r>
      <w:r w:rsidRPr="00CB61C6">
        <w:rPr>
          <w:rFonts w:ascii="Palatino Linotype" w:eastAsia="Palatino Linotype" w:hAnsi="Palatino Linotype" w:cs="Palatino Linotype"/>
          <w:i/>
        </w:rPr>
        <w:t xml:space="preserve">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w:t>
      </w:r>
      <w:r w:rsidR="008F40BF">
        <w:rPr>
          <w:rFonts w:ascii="Palatino Linotype" w:eastAsia="Palatino Linotype" w:hAnsi="Palatino Linotype" w:cs="Palatino Linotype"/>
          <w:i/>
        </w:rPr>
        <w:t>nidos Mexicanos establece”.</w:t>
      </w:r>
    </w:p>
    <w:p w14:paraId="7960B2BB" w14:textId="77777777" w:rsidR="00753281" w:rsidRPr="00CB61C6" w:rsidRDefault="00753281" w:rsidP="008F40BF">
      <w:pPr>
        <w:spacing w:line="360" w:lineRule="auto"/>
        <w:ind w:left="1134" w:right="1106"/>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p>
    <w:p w14:paraId="0DB5A2E1"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Toda persona en el Estado de México, tiene derecho al libre acceso a la información plural y oportuna, así como a buscar recibir y difundir información e ideas de toda índole por cualquier medio de expresión.</w:t>
      </w:r>
    </w:p>
    <w:p w14:paraId="0C36376E" w14:textId="77777777" w:rsidR="00753281" w:rsidRPr="00CB61C6" w:rsidRDefault="00753281" w:rsidP="008F40BF">
      <w:pPr>
        <w:spacing w:line="360" w:lineRule="auto"/>
        <w:ind w:left="1134" w:right="1106"/>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p>
    <w:p w14:paraId="16F93873"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El derecho a la información será garantizado por el Estado. La ley establecerá las previsiones que permitan asegurar la protección, el respeto y la difusión de este derecho.</w:t>
      </w:r>
    </w:p>
    <w:p w14:paraId="71F7642C"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3ACAE85E"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lastRenderedPageBreak/>
        <w:t>III. Toda persona, sin necesidad de acreditar interés alguno o justificar su utilización, tendrá acceso gratuito a la información pública, a sus datos personales o a la rectificación de éstos;</w:t>
      </w:r>
    </w:p>
    <w:p w14:paraId="154125B5" w14:textId="77777777" w:rsidR="00753281" w:rsidRPr="00CB61C6" w:rsidRDefault="00753281" w:rsidP="008F40BF">
      <w:pPr>
        <w:spacing w:line="360" w:lineRule="auto"/>
        <w:ind w:left="1134" w:right="1106"/>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p>
    <w:p w14:paraId="7F505622"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 xml:space="preserve">VIII.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w:t>
      </w:r>
      <w:r w:rsidRPr="00CB61C6">
        <w:rPr>
          <w:rFonts w:ascii="Palatino Linotype" w:eastAsia="Palatino Linotype" w:hAnsi="Palatino Linotype" w:cs="Palatino Linotype"/>
        </w:rPr>
        <w:t>(Sic)</w:t>
      </w:r>
    </w:p>
    <w:p w14:paraId="48055E32" w14:textId="77777777" w:rsidR="00753281" w:rsidRPr="00CB61C6" w:rsidRDefault="00753281" w:rsidP="008F40BF">
      <w:pPr>
        <w:spacing w:line="360" w:lineRule="auto"/>
        <w:ind w:left="426" w:right="476"/>
        <w:jc w:val="both"/>
        <w:rPr>
          <w:rFonts w:ascii="Palatino Linotype" w:eastAsia="Palatino Linotype" w:hAnsi="Palatino Linotype" w:cs="Palatino Linotype"/>
          <w:i/>
        </w:rPr>
      </w:pPr>
    </w:p>
    <w:p w14:paraId="10FB8A25" w14:textId="77777777" w:rsidR="00753281"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t>Por otra parte, del contenido del artículo 1 de la Constitución Política de los Estados Unidos mexicanos, se destaca lo siguiente:</w:t>
      </w:r>
    </w:p>
    <w:p w14:paraId="1CEF6916" w14:textId="77777777" w:rsidR="00EC4DBC" w:rsidRPr="00CB61C6" w:rsidRDefault="00EC4DBC" w:rsidP="00EC4DBC">
      <w:pPr>
        <w:pBdr>
          <w:top w:val="nil"/>
          <w:left w:val="nil"/>
          <w:bottom w:val="nil"/>
          <w:right w:val="nil"/>
          <w:between w:val="nil"/>
        </w:pBdr>
        <w:spacing w:line="360" w:lineRule="auto"/>
        <w:jc w:val="both"/>
        <w:rPr>
          <w:rFonts w:ascii="Palatino Linotype" w:eastAsia="Calibri" w:hAnsi="Palatino Linotype" w:cs="Arial"/>
        </w:rPr>
      </w:pPr>
    </w:p>
    <w:p w14:paraId="279F3AF3"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r w:rsidRPr="00CB61C6">
        <w:rPr>
          <w:rFonts w:ascii="Palatino Linotype" w:eastAsia="Palatino Linotype" w:hAnsi="Palatino Linotype" w:cs="Palatino Linotype"/>
          <w:b/>
          <w:i/>
        </w:rPr>
        <w:t>Artículo 1</w:t>
      </w:r>
      <w:r w:rsidRPr="00CB61C6">
        <w:rPr>
          <w:rFonts w:ascii="Palatino Linotype" w:eastAsia="Palatino Linotype" w:hAnsi="Palatino Linotype" w:cs="Palatino Linotype"/>
          <w:i/>
        </w:rPr>
        <w:t xml:space="preserve">.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w:t>
      </w:r>
      <w:r w:rsidRPr="00CB61C6">
        <w:rPr>
          <w:rFonts w:ascii="Palatino Linotype" w:eastAsia="Palatino Linotype" w:hAnsi="Palatino Linotype" w:cs="Palatino Linotype"/>
          <w:i/>
        </w:rPr>
        <w:lastRenderedPageBreak/>
        <w:t>suspenderse, salvo en los casos y bajo las condiciones que esta Constitución establece.</w:t>
      </w:r>
    </w:p>
    <w:p w14:paraId="22A53A78"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Las normas relativas a los derechos humanos se interpretarán de conformidad con esta Constitución y con los tratados internacionales de la materia favoreciendo en todo tiempo a las personas la protección más amplia.</w:t>
      </w:r>
    </w:p>
    <w:p w14:paraId="37C0DE4B" w14:textId="77777777" w:rsidR="00753281" w:rsidRPr="00CB61C6" w:rsidRDefault="00753281" w:rsidP="008F40BF">
      <w:pPr>
        <w:spacing w:line="360" w:lineRule="auto"/>
        <w:ind w:left="851" w:right="964"/>
        <w:jc w:val="both"/>
        <w:rPr>
          <w:rFonts w:ascii="Palatino Linotype" w:eastAsia="Palatino Linotype" w:hAnsi="Palatino Linotype" w:cs="Palatino Linotype"/>
          <w:i/>
        </w:rPr>
      </w:pPr>
      <w:r w:rsidRPr="00CB61C6">
        <w:rPr>
          <w:rFonts w:ascii="Palatino Linotype" w:eastAsia="Palatino Linotype" w:hAnsi="Palatino Linotype" w:cs="Palatino Linotype"/>
          <w:i/>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w:t>
      </w:r>
      <w:r w:rsidR="00D35BF2">
        <w:rPr>
          <w:rFonts w:ascii="Palatino Linotype" w:eastAsia="Palatino Linotype" w:hAnsi="Palatino Linotype" w:cs="Palatino Linotype"/>
          <w:i/>
        </w:rPr>
        <w:t>nos que establezca la ley."</w:t>
      </w:r>
    </w:p>
    <w:p w14:paraId="7D1CAEC5" w14:textId="77777777" w:rsidR="00753281" w:rsidRPr="00CB61C6" w:rsidRDefault="00753281" w:rsidP="008F40BF">
      <w:pPr>
        <w:spacing w:line="360" w:lineRule="auto"/>
        <w:ind w:left="426" w:right="474"/>
        <w:jc w:val="both"/>
        <w:rPr>
          <w:rFonts w:ascii="Palatino Linotype" w:eastAsia="Palatino Linotype" w:hAnsi="Palatino Linotype" w:cs="Palatino Linotype"/>
          <w:i/>
        </w:rPr>
      </w:pPr>
    </w:p>
    <w:p w14:paraId="5069BF5D" w14:textId="77777777" w:rsidR="00753281" w:rsidRPr="00CB61C6"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t>Esto es, que el derecho humano de acceso a la información pública, se aprecia que toda persona, sin necesidad de acreditar interés alguno o justificar su interposición, deberá tener acceso a la información pública, es decir, dicho</w:t>
      </w:r>
      <w:r w:rsidRPr="00CB61C6">
        <w:rPr>
          <w:rFonts w:ascii="Palatino Linotype" w:eastAsia="Palatino Linotype" w:hAnsi="Palatino Linotype" w:cs="Palatino Linotype"/>
          <w:lang w:val="es-ES" w:eastAsia="en-US"/>
        </w:rPr>
        <w:t xml:space="preserve"> </w:t>
      </w:r>
      <w:r w:rsidRPr="00CB61C6">
        <w:rPr>
          <w:rFonts w:ascii="Palatino Linotype" w:eastAsia="Palatino Linotype" w:hAnsi="Palatino Linotype" w:cs="Palatino Linotype"/>
          <w:i/>
          <w:lang w:val="es-ES" w:eastAsia="en-US"/>
        </w:rPr>
        <w:t>derecho fundamental exime a quien lo ejerce</w:t>
      </w:r>
      <w:r w:rsidRPr="00CB61C6">
        <w:rPr>
          <w:rFonts w:ascii="Palatino Linotype" w:eastAsia="Palatino Linotype" w:hAnsi="Palatino Linotype" w:cs="Palatino Linotype"/>
          <w:lang w:val="es-ES" w:eastAsia="en-US"/>
        </w:rPr>
        <w:t xml:space="preserve">, </w:t>
      </w:r>
      <w:r w:rsidRPr="00CB61C6">
        <w:rPr>
          <w:rFonts w:ascii="Palatino Linotype" w:eastAsia="Calibri" w:hAnsi="Palatino Linotype" w:cs="Arial"/>
        </w:rPr>
        <w:t>de acreditar su legitimación en la causa o su interés en el asunto, lo que permite la posibilidad de que, incluso, la solicitud de acceso a la información pueda ser anónima o no contener un nombre que identifique al solicitante o que permita tener certeza sobre su identidad.</w:t>
      </w:r>
    </w:p>
    <w:p w14:paraId="03DF401C" w14:textId="77777777" w:rsidR="00753281" w:rsidRPr="00CB61C6" w:rsidRDefault="00753281" w:rsidP="008F40BF">
      <w:pPr>
        <w:spacing w:line="360" w:lineRule="auto"/>
        <w:jc w:val="both"/>
        <w:rPr>
          <w:rFonts w:ascii="Palatino Linotype" w:eastAsia="Calibri" w:hAnsi="Palatino Linotype" w:cs="Arial"/>
        </w:rPr>
      </w:pPr>
    </w:p>
    <w:p w14:paraId="26AB262D" w14:textId="77777777" w:rsidR="00753281" w:rsidRPr="00CB61C6" w:rsidRDefault="00753281" w:rsidP="008F40BF">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Arial"/>
        </w:rPr>
      </w:pPr>
      <w:r w:rsidRPr="00CB61C6">
        <w:rPr>
          <w:rFonts w:ascii="Palatino Linotype" w:eastAsia="Calibri" w:hAnsi="Palatino Linotype" w:cs="Arial"/>
        </w:rPr>
        <w:lastRenderedPageBreak/>
        <w:t xml:space="preserve">En consecuencia, dado lo expuesto y fundado con anterioridad, se estima que el requisito relativo al nombre del </w:t>
      </w:r>
      <w:r w:rsidRPr="00CB61C6">
        <w:rPr>
          <w:rFonts w:ascii="Palatino Linotype" w:eastAsia="Calibri" w:hAnsi="Palatino Linotype" w:cs="Arial"/>
          <w:b/>
        </w:rPr>
        <w:t>RECURRENTE</w:t>
      </w:r>
      <w:r w:rsidRPr="00CB61C6">
        <w:rPr>
          <w:rFonts w:ascii="Palatino Linotype" w:eastAsia="Calibri" w:hAnsi="Palatino Linotype" w:cs="Arial"/>
        </w:rPr>
        <w:t xml:space="preserve"> no constituye un presupuesto indispensable de procedencia del Recurso de Revisión, en términos de los artículos 25 de la Convención Americana de Derechos Humanos, 1, párrafos segundo y tercero, 6 apartado A fracción III de la Constitución Política de los Estados Unidos Mexicanos y 5 párrafo vigésimo noveno, trigésimo y trigésimo primero de la Constitución Política del Estado Libre y Soberano de México, debido a que el acceso a la información pública es un derecho humano que no requiere legitimación en la causa, si no que únicamente basta con que se encuentre legitimado en el procedimiento de Recurso de Revisión, circunstancia que se acredita en las constancias electrónicas de los expedientes en revisión, de las que se desprende que la parte recurrente, es la misma que realizó la solicitud de acceso a la información pública que ahora se impugna.</w:t>
      </w:r>
    </w:p>
    <w:p w14:paraId="0EE44213" w14:textId="77777777" w:rsidR="00753281" w:rsidRPr="00CB61C6" w:rsidRDefault="00753281" w:rsidP="008F40BF">
      <w:pPr>
        <w:pStyle w:val="Prrafodelista"/>
        <w:spacing w:line="360" w:lineRule="auto"/>
        <w:rPr>
          <w:rFonts w:ascii="Palatino Linotype" w:eastAsia="Palatino Linotype" w:hAnsi="Palatino Linotype" w:cs="Palatino Linotype"/>
          <w:color w:val="000000"/>
        </w:rPr>
      </w:pPr>
    </w:p>
    <w:p w14:paraId="65C78F71" w14:textId="77777777" w:rsidR="008F40BF"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8F40BF">
        <w:rPr>
          <w:rFonts w:ascii="Palatino Linotype" w:eastAsia="Palatino Linotype" w:hAnsi="Palatino Linotype" w:cs="Palatino Linotype"/>
          <w:color w:val="000000"/>
        </w:rPr>
        <w:t>Consecuencia de lo anterior, este Órgano Garante advierte que el escrito contiene las formalidades previstas por el artículo 180 último párrafo de la Ley de Transparencia y Acceso a la Información Pública del Estado de México y Municipios, por lo que es procedente que este Instituto de Transparencia, Acceso a la Información Pública y Protección de Datos Personales del Estado de México y Municipios, conozca y resuelva el presente recurso.</w:t>
      </w:r>
    </w:p>
    <w:p w14:paraId="33D6D943" w14:textId="77777777" w:rsidR="008F40BF" w:rsidRPr="008F40BF" w:rsidRDefault="008F40BF" w:rsidP="008F40BF">
      <w:pPr>
        <w:pBdr>
          <w:top w:val="nil"/>
          <w:left w:val="nil"/>
          <w:bottom w:val="nil"/>
          <w:right w:val="nil"/>
          <w:between w:val="nil"/>
        </w:pBdr>
        <w:spacing w:line="360" w:lineRule="auto"/>
        <w:jc w:val="both"/>
        <w:rPr>
          <w:rFonts w:ascii="Palatino Linotype" w:hAnsi="Palatino Linotype"/>
          <w:color w:val="000000"/>
        </w:rPr>
      </w:pPr>
    </w:p>
    <w:p w14:paraId="5459B8CE" w14:textId="77777777" w:rsidR="001C2C79" w:rsidRDefault="001C2C79" w:rsidP="008F40BF">
      <w:pPr>
        <w:pStyle w:val="Ttulo1"/>
        <w:spacing w:before="0" w:line="360" w:lineRule="auto"/>
        <w:rPr>
          <w:rFonts w:ascii="Palatino Linotype" w:eastAsia="Palatino Linotype" w:hAnsi="Palatino Linotype" w:cs="Palatino Linotype"/>
          <w:b/>
          <w:color w:val="000000"/>
          <w:sz w:val="24"/>
          <w:szCs w:val="24"/>
        </w:rPr>
      </w:pPr>
      <w:r w:rsidRPr="00CB61C6">
        <w:rPr>
          <w:rFonts w:ascii="Palatino Linotype" w:eastAsia="Palatino Linotype" w:hAnsi="Palatino Linotype" w:cs="Palatino Linotype"/>
          <w:b/>
          <w:color w:val="000000"/>
          <w:sz w:val="24"/>
          <w:szCs w:val="24"/>
        </w:rPr>
        <w:lastRenderedPageBreak/>
        <w:t xml:space="preserve">TERCERO. De las causales del Sobreseimiento </w:t>
      </w:r>
    </w:p>
    <w:p w14:paraId="11138C08" w14:textId="77777777" w:rsidR="008F40BF" w:rsidRPr="008F40BF" w:rsidRDefault="008F40BF" w:rsidP="008F40BF">
      <w:pPr>
        <w:rPr>
          <w:rFonts w:eastAsia="Palatino Linotype"/>
        </w:rPr>
      </w:pPr>
    </w:p>
    <w:p w14:paraId="35EFD68A" w14:textId="77777777" w:rsidR="00753281"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El recurrente solicitó la siguiente información:</w:t>
      </w:r>
    </w:p>
    <w:p w14:paraId="4D06387C" w14:textId="77777777" w:rsidR="00753281" w:rsidRPr="00CB61C6" w:rsidRDefault="00753281" w:rsidP="008F40BF">
      <w:pPr>
        <w:pBdr>
          <w:top w:val="nil"/>
          <w:left w:val="nil"/>
          <w:bottom w:val="nil"/>
          <w:right w:val="nil"/>
          <w:between w:val="nil"/>
        </w:pBdr>
        <w:spacing w:line="360" w:lineRule="auto"/>
        <w:ind w:right="49"/>
        <w:jc w:val="both"/>
        <w:rPr>
          <w:rFonts w:ascii="Palatino Linotype" w:hAnsi="Palatino Linotype"/>
          <w:color w:val="000000"/>
        </w:rPr>
      </w:pPr>
    </w:p>
    <w:p w14:paraId="02B1CA69" w14:textId="77777777" w:rsidR="00753281" w:rsidRPr="008F40BF" w:rsidRDefault="008F40BF" w:rsidP="009F62C4">
      <w:pPr>
        <w:pStyle w:val="Prrafodelista"/>
        <w:numPr>
          <w:ilvl w:val="0"/>
          <w:numId w:val="8"/>
        </w:numPr>
        <w:pBdr>
          <w:top w:val="nil"/>
          <w:left w:val="nil"/>
          <w:bottom w:val="nil"/>
          <w:right w:val="nil"/>
          <w:between w:val="nil"/>
        </w:pBdr>
        <w:spacing w:line="360" w:lineRule="auto"/>
        <w:ind w:left="1068" w:right="1106"/>
        <w:jc w:val="both"/>
        <w:rPr>
          <w:rFonts w:ascii="Palatino Linotype" w:eastAsia="Palatino Linotype" w:hAnsi="Palatino Linotype" w:cs="Palatino Linotype"/>
          <w:b/>
          <w:color w:val="000000"/>
        </w:rPr>
      </w:pPr>
      <w:r w:rsidRPr="008F40BF">
        <w:rPr>
          <w:rFonts w:ascii="Palatino Linotype" w:eastAsia="Palatino Linotype" w:hAnsi="Palatino Linotype" w:cs="Palatino Linotype"/>
          <w:b/>
          <w:color w:val="000000"/>
        </w:rPr>
        <w:t>Informes justificados emitidos por la Unidad de Transparencia, del 1</w:t>
      </w:r>
      <w:r>
        <w:rPr>
          <w:rFonts w:ascii="Palatino Linotype" w:eastAsia="Palatino Linotype" w:hAnsi="Palatino Linotype" w:cs="Palatino Linotype"/>
          <w:b/>
          <w:color w:val="000000"/>
        </w:rPr>
        <w:t xml:space="preserve"> de enero al 31 de mayo</w:t>
      </w:r>
      <w:r w:rsidRPr="008F40BF">
        <w:rPr>
          <w:rFonts w:ascii="Palatino Linotype" w:eastAsia="Palatino Linotype" w:hAnsi="Palatino Linotype" w:cs="Palatino Linotype"/>
          <w:b/>
          <w:color w:val="000000"/>
        </w:rPr>
        <w:t>, del 1 de junio al 30 de noviembre de 2022</w:t>
      </w:r>
      <w:r>
        <w:rPr>
          <w:rFonts w:ascii="Palatino Linotype" w:eastAsia="Palatino Linotype" w:hAnsi="Palatino Linotype" w:cs="Palatino Linotype"/>
          <w:b/>
          <w:color w:val="000000"/>
        </w:rPr>
        <w:t>;</w:t>
      </w:r>
      <w:r w:rsidRPr="008F40BF">
        <w:rPr>
          <w:rFonts w:ascii="Palatino Linotype" w:eastAsia="Palatino Linotype" w:hAnsi="Palatino Linotype" w:cs="Palatino Linotype"/>
          <w:b/>
          <w:color w:val="000000"/>
        </w:rPr>
        <w:t xml:space="preserve"> del 1 de diciembre de 2022 al 19 de febrero de 2023, del 19 d</w:t>
      </w:r>
      <w:r>
        <w:rPr>
          <w:rFonts w:ascii="Palatino Linotype" w:eastAsia="Palatino Linotype" w:hAnsi="Palatino Linotype" w:cs="Palatino Linotype"/>
          <w:b/>
          <w:color w:val="000000"/>
        </w:rPr>
        <w:t>e febrero al 31 de julio y</w:t>
      </w:r>
      <w:r w:rsidRPr="008F40BF">
        <w:rPr>
          <w:rFonts w:ascii="Palatino Linotype" w:eastAsia="Palatino Linotype" w:hAnsi="Palatino Linotype" w:cs="Palatino Linotype"/>
          <w:b/>
          <w:color w:val="000000"/>
        </w:rPr>
        <w:t>, del 1 de</w:t>
      </w:r>
      <w:r>
        <w:rPr>
          <w:rFonts w:ascii="Palatino Linotype" w:eastAsia="Palatino Linotype" w:hAnsi="Palatino Linotype" w:cs="Palatino Linotype"/>
          <w:b/>
          <w:color w:val="000000"/>
        </w:rPr>
        <w:t xml:space="preserve"> agosto al 31 de diciembre 2023.</w:t>
      </w:r>
    </w:p>
    <w:p w14:paraId="79AEDE0E" w14:textId="77777777" w:rsidR="00753281" w:rsidRPr="00CB61C6" w:rsidRDefault="00753281" w:rsidP="008F40BF">
      <w:pPr>
        <w:pStyle w:val="Prrafodelista"/>
        <w:pBdr>
          <w:top w:val="nil"/>
          <w:left w:val="nil"/>
          <w:bottom w:val="nil"/>
          <w:right w:val="nil"/>
          <w:between w:val="nil"/>
        </w:pBdr>
        <w:spacing w:line="360" w:lineRule="auto"/>
        <w:ind w:left="1068" w:right="1106"/>
        <w:jc w:val="both"/>
        <w:rPr>
          <w:rFonts w:ascii="Palatino Linotype" w:eastAsia="Palatino Linotype" w:hAnsi="Palatino Linotype" w:cs="Palatino Linotype"/>
          <w:b/>
          <w:color w:val="000000"/>
        </w:rPr>
      </w:pPr>
    </w:p>
    <w:p w14:paraId="4489BCF8" w14:textId="77777777" w:rsidR="001C2C79" w:rsidRPr="00F35C5B" w:rsidRDefault="001C2C79" w:rsidP="00F35C5B">
      <w:pPr>
        <w:pStyle w:val="Prrafodelista"/>
        <w:numPr>
          <w:ilvl w:val="0"/>
          <w:numId w:val="6"/>
        </w:numPr>
        <w:pBdr>
          <w:top w:val="nil"/>
          <w:left w:val="nil"/>
          <w:bottom w:val="nil"/>
          <w:right w:val="nil"/>
          <w:between w:val="nil"/>
        </w:pBdr>
        <w:tabs>
          <w:tab w:val="left" w:pos="284"/>
        </w:tabs>
        <w:spacing w:line="360" w:lineRule="auto"/>
        <w:ind w:left="0" w:right="-28" w:firstLine="0"/>
        <w:jc w:val="both"/>
        <w:rPr>
          <w:rFonts w:ascii="Palatino Linotype" w:hAnsi="Palatino Linotype"/>
        </w:rPr>
      </w:pPr>
      <w:r w:rsidRPr="00F35C5B">
        <w:rPr>
          <w:rFonts w:ascii="Palatino Linotype" w:eastAsia="Palatino Linotype" w:hAnsi="Palatino Linotype" w:cs="Palatino Linotype"/>
          <w:color w:val="000000"/>
        </w:rPr>
        <w:t xml:space="preserve">En respuesta el </w:t>
      </w:r>
      <w:r w:rsidRPr="00F35C5B">
        <w:rPr>
          <w:rFonts w:ascii="Palatino Linotype" w:eastAsia="Palatino Linotype" w:hAnsi="Palatino Linotype" w:cs="Palatino Linotype"/>
          <w:b/>
          <w:color w:val="000000"/>
        </w:rPr>
        <w:t xml:space="preserve">SUJETO OBLIGADO </w:t>
      </w:r>
      <w:r w:rsidRPr="00F35C5B">
        <w:rPr>
          <w:rFonts w:ascii="Palatino Linotype" w:eastAsia="Palatino Linotype" w:hAnsi="Palatino Linotype" w:cs="Palatino Linotype"/>
          <w:color w:val="000000"/>
        </w:rPr>
        <w:t xml:space="preserve">dio respuesta </w:t>
      </w:r>
      <w:r w:rsidR="00F35C5B" w:rsidRPr="00F35C5B">
        <w:rPr>
          <w:rFonts w:ascii="Palatino Linotype" w:eastAsia="Palatino Linotype" w:hAnsi="Palatino Linotype" w:cs="Palatino Linotype"/>
          <w:color w:val="000000"/>
        </w:rPr>
        <w:t>la respuesta a que se hizo referencia en el anterior Párrafo 2.</w:t>
      </w:r>
      <w:r w:rsidR="00F35C5B">
        <w:rPr>
          <w:rFonts w:ascii="Palatino Linotype" w:eastAsia="Palatino Linotype" w:hAnsi="Palatino Linotype" w:cs="Palatino Linotype"/>
          <w:color w:val="000000"/>
        </w:rPr>
        <w:t xml:space="preserve"> Atento a lo anterior, el</w:t>
      </w:r>
      <w:r w:rsidRPr="00F35C5B">
        <w:rPr>
          <w:rFonts w:ascii="Palatino Linotype" w:eastAsia="Palatino Linotype" w:hAnsi="Palatino Linotype" w:cs="Palatino Linotype"/>
        </w:rPr>
        <w:t xml:space="preserve"> </w:t>
      </w:r>
      <w:r w:rsidR="00F35C5B">
        <w:rPr>
          <w:rFonts w:ascii="Palatino Linotype" w:eastAsia="Palatino Linotype" w:hAnsi="Palatino Linotype" w:cs="Palatino Linotype"/>
        </w:rPr>
        <w:t>p</w:t>
      </w:r>
      <w:r w:rsidRPr="00F35C5B">
        <w:rPr>
          <w:rFonts w:ascii="Palatino Linotype" w:eastAsia="Palatino Linotype" w:hAnsi="Palatino Linotype" w:cs="Palatino Linotype"/>
        </w:rPr>
        <w:t xml:space="preserve">articular interpuso el recurso de revisión, mediante al cual se </w:t>
      </w:r>
      <w:r w:rsidR="00F35C5B">
        <w:rPr>
          <w:rFonts w:ascii="Palatino Linotype" w:eastAsia="Palatino Linotype" w:hAnsi="Palatino Linotype" w:cs="Palatino Linotype"/>
        </w:rPr>
        <w:t>adolece</w:t>
      </w:r>
      <w:r w:rsidRPr="00F35C5B">
        <w:rPr>
          <w:rFonts w:ascii="Palatino Linotype" w:eastAsia="Palatino Linotype" w:hAnsi="Palatino Linotype" w:cs="Palatino Linotype"/>
        </w:rPr>
        <w:t xml:space="preserve"> por</w:t>
      </w:r>
      <w:r w:rsidR="00F35C5B">
        <w:rPr>
          <w:rFonts w:ascii="Palatino Linotype" w:eastAsia="Palatino Linotype" w:hAnsi="Palatino Linotype" w:cs="Palatino Linotype"/>
        </w:rPr>
        <w:t xml:space="preserve"> el cambio de modalidad de entrega de la información solicitada.</w:t>
      </w:r>
    </w:p>
    <w:p w14:paraId="732346A4" w14:textId="77777777" w:rsidR="001C2C79" w:rsidRPr="00CB61C6" w:rsidRDefault="001C2C79" w:rsidP="008F40BF">
      <w:pPr>
        <w:tabs>
          <w:tab w:val="left" w:pos="284"/>
        </w:tabs>
        <w:spacing w:line="360" w:lineRule="auto"/>
        <w:jc w:val="both"/>
        <w:rPr>
          <w:rFonts w:ascii="Palatino Linotype" w:eastAsia="Palatino Linotype" w:hAnsi="Palatino Linotype" w:cs="Palatino Linotype"/>
          <w:i/>
        </w:rPr>
      </w:pPr>
    </w:p>
    <w:p w14:paraId="2B59E589" w14:textId="77777777" w:rsidR="001C2C79" w:rsidRPr="00CB61C6" w:rsidRDefault="001C2C79" w:rsidP="00DA292A">
      <w:pPr>
        <w:numPr>
          <w:ilvl w:val="0"/>
          <w:numId w:val="6"/>
        </w:numPr>
        <w:spacing w:line="360" w:lineRule="auto"/>
        <w:ind w:left="0" w:right="48" w:firstLine="0"/>
        <w:jc w:val="both"/>
        <w:rPr>
          <w:rFonts w:ascii="Palatino Linotype" w:hAnsi="Palatino Linotype"/>
        </w:rPr>
      </w:pPr>
      <w:r w:rsidRPr="00CB61C6">
        <w:rPr>
          <w:rFonts w:ascii="Palatino Linotype" w:eastAsia="Palatino Linotype" w:hAnsi="Palatino Linotype" w:cs="Palatino Linotype"/>
        </w:rPr>
        <w:t xml:space="preserve">Por lo tanto, el presente recurso de </w:t>
      </w:r>
      <w:r w:rsidRPr="00DA292A">
        <w:rPr>
          <w:rFonts w:ascii="Palatino Linotype" w:eastAsia="Palatino Linotype" w:hAnsi="Palatino Linotype" w:cs="Palatino Linotype"/>
          <w:color w:val="000000"/>
        </w:rPr>
        <w:t>revisión</w:t>
      </w:r>
      <w:r w:rsidRPr="00CB61C6">
        <w:rPr>
          <w:rFonts w:ascii="Palatino Linotype" w:eastAsia="Palatino Linotype" w:hAnsi="Palatino Linotype" w:cs="Palatino Linotype"/>
        </w:rPr>
        <w:t xml:space="preserve"> se circunscribe en d</w:t>
      </w:r>
      <w:r w:rsidR="00DA292A">
        <w:rPr>
          <w:rFonts w:ascii="Palatino Linotype" w:eastAsia="Palatino Linotype" w:hAnsi="Palatino Linotype" w:cs="Palatino Linotype"/>
        </w:rPr>
        <w:t>eterminar si se actualiza la causal</w:t>
      </w:r>
      <w:r w:rsidRPr="00CB61C6">
        <w:rPr>
          <w:rFonts w:ascii="Palatino Linotype" w:eastAsia="Palatino Linotype" w:hAnsi="Palatino Linotype" w:cs="Palatino Linotype"/>
        </w:rPr>
        <w:t xml:space="preserve"> de procedencia</w:t>
      </w:r>
      <w:r w:rsidRPr="00CB61C6">
        <w:rPr>
          <w:rFonts w:ascii="Palatino Linotype" w:eastAsia="Palatino Linotype" w:hAnsi="Palatino Linotype" w:cs="Palatino Linotype"/>
          <w:b/>
        </w:rPr>
        <w:t xml:space="preserve"> </w:t>
      </w:r>
      <w:r w:rsidRPr="00CB61C6">
        <w:rPr>
          <w:rFonts w:ascii="Palatino Linotype" w:eastAsia="Palatino Linotype" w:hAnsi="Palatino Linotype" w:cs="Palatino Linotype"/>
        </w:rPr>
        <w:t xml:space="preserve">contenida en el artículo 179 fracciones </w:t>
      </w:r>
      <w:r w:rsidR="00DA292A">
        <w:rPr>
          <w:rFonts w:ascii="Palatino Linotype" w:eastAsia="Palatino Linotype" w:hAnsi="Palatino Linotype" w:cs="Palatino Linotype"/>
        </w:rPr>
        <w:t>VII</w:t>
      </w:r>
      <w:r w:rsidRPr="00CB61C6">
        <w:rPr>
          <w:rFonts w:ascii="Palatino Linotype" w:eastAsia="Palatino Linotype" w:hAnsi="Palatino Linotype" w:cs="Palatino Linotype"/>
        </w:rPr>
        <w:t xml:space="preserve">I, de la </w:t>
      </w:r>
      <w:r w:rsidRPr="00CB61C6">
        <w:rPr>
          <w:rFonts w:ascii="Palatino Linotype" w:eastAsia="Palatino Linotype" w:hAnsi="Palatino Linotype" w:cs="Palatino Linotype"/>
          <w:b/>
        </w:rPr>
        <w:t>Ley de Transparencia y Acceso a la Información Pública del Estado de México y Municipios</w:t>
      </w:r>
      <w:r w:rsidR="00DA292A">
        <w:rPr>
          <w:rFonts w:ascii="Palatino Linotype" w:eastAsia="Palatino Linotype" w:hAnsi="Palatino Linotype" w:cs="Palatino Linotype"/>
        </w:rPr>
        <w:t xml:space="preserve">, relativa a </w:t>
      </w:r>
      <w:r w:rsidR="00DA292A" w:rsidRPr="00DA292A">
        <w:rPr>
          <w:rFonts w:ascii="Palatino Linotype" w:eastAsia="Palatino Linotype" w:hAnsi="Palatino Linotype" w:cs="Palatino Linotype"/>
        </w:rPr>
        <w:t>la notificación, entrega o puesta a disposición de información en una modalidad o formato distinto al solicitado</w:t>
      </w:r>
      <w:r w:rsidR="00DA292A">
        <w:rPr>
          <w:rFonts w:ascii="Palatino Linotype" w:eastAsia="Palatino Linotype" w:hAnsi="Palatino Linotype" w:cs="Palatino Linotype"/>
        </w:rPr>
        <w:t>.</w:t>
      </w:r>
    </w:p>
    <w:p w14:paraId="32C7783C" w14:textId="77777777" w:rsidR="00DA292A" w:rsidRPr="001274C8" w:rsidRDefault="00DA292A" w:rsidP="00DA292A">
      <w:pPr>
        <w:numPr>
          <w:ilvl w:val="0"/>
          <w:numId w:val="6"/>
        </w:numPr>
        <w:spacing w:line="360" w:lineRule="auto"/>
        <w:ind w:left="0" w:right="48" w:firstLine="0"/>
        <w:jc w:val="both"/>
        <w:rPr>
          <w:rFonts w:ascii="Palatino Linotype" w:hAnsi="Palatino Linotype" w:cs="Tahoma"/>
          <w:bCs/>
          <w:iCs/>
        </w:rPr>
      </w:pPr>
      <w:bookmarkStart w:id="7" w:name="_heading=h.1t3h5sf" w:colFirst="0" w:colLast="0"/>
      <w:bookmarkEnd w:id="7"/>
      <w:r>
        <w:rPr>
          <w:rFonts w:ascii="Palatino Linotype" w:eastAsia="MS Mincho" w:hAnsi="Palatino Linotype" w:cs="Arial"/>
        </w:rPr>
        <w:lastRenderedPageBreak/>
        <w:t>Luego entonces</w:t>
      </w:r>
      <w:r w:rsidRPr="001274C8">
        <w:rPr>
          <w:rFonts w:ascii="Palatino Linotype" w:eastAsia="MS Mincho" w:hAnsi="Palatino Linotype" w:cs="Arial"/>
        </w:rPr>
        <w:t xml:space="preserve">; revisaremos la atención </w:t>
      </w:r>
      <w:r w:rsidRPr="00DA292A">
        <w:rPr>
          <w:rFonts w:ascii="Palatino Linotype" w:eastAsia="Palatino Linotype" w:hAnsi="Palatino Linotype" w:cs="Palatino Linotype"/>
        </w:rPr>
        <w:t>otorgada</w:t>
      </w:r>
      <w:r w:rsidRPr="001274C8">
        <w:rPr>
          <w:rFonts w:ascii="Palatino Linotype" w:eastAsia="MS Mincho" w:hAnsi="Palatino Linotype" w:cs="Arial"/>
        </w:rPr>
        <w:t xml:space="preserve"> por el Sujeto Obligado a la solicitud que dio origen a este recurso, considerando imprescindible establecer lo que la regulación determina, por ello, en primer lugar, vamos a revisar lo que mandata nuestra Ley de Transparencia local, en su artículo </w:t>
      </w:r>
      <w:r w:rsidRPr="001274C8">
        <w:rPr>
          <w:rFonts w:ascii="Palatino Linotype" w:hAnsi="Palatino Linotype" w:cs="Tahoma"/>
          <w:bCs/>
          <w:iCs/>
        </w:rPr>
        <w:t>12, el cual establece que quienes generen, recopilen, administren, manejen, procesen, archiven o conserven información pública serán responsables de la misma, del mismo modo, el artículo 18 establece que los Sujetos Obligados deberán documentar todo acto que derive del ejercicio de sus facultades, competencias o funciones desde su origen la eventual publicidad y reutilización de la información que generen.</w:t>
      </w:r>
    </w:p>
    <w:p w14:paraId="295C69DE" w14:textId="77777777" w:rsidR="00DA292A" w:rsidRPr="001274C8" w:rsidRDefault="00DA292A" w:rsidP="00DA292A">
      <w:pPr>
        <w:spacing w:line="360" w:lineRule="auto"/>
        <w:contextualSpacing/>
        <w:jc w:val="both"/>
        <w:rPr>
          <w:rFonts w:ascii="Palatino Linotype" w:hAnsi="Palatino Linotype" w:cs="Tahoma"/>
          <w:bCs/>
          <w:iCs/>
        </w:rPr>
      </w:pPr>
    </w:p>
    <w:p w14:paraId="59563BD8" w14:textId="77777777" w:rsidR="00DA292A" w:rsidRPr="001274C8" w:rsidRDefault="00DA292A" w:rsidP="00DA292A">
      <w:pPr>
        <w:numPr>
          <w:ilvl w:val="0"/>
          <w:numId w:val="6"/>
        </w:numPr>
        <w:spacing w:line="360" w:lineRule="auto"/>
        <w:ind w:left="0" w:right="48" w:firstLine="0"/>
        <w:jc w:val="both"/>
        <w:rPr>
          <w:rFonts w:ascii="Palatino Linotype" w:hAnsi="Palatino Linotype" w:cs="Tahoma"/>
          <w:bCs/>
          <w:iCs/>
        </w:rPr>
      </w:pPr>
      <w:r w:rsidRPr="001274C8">
        <w:rPr>
          <w:rFonts w:ascii="Palatino Linotype" w:hAnsi="Palatino Linotype" w:cs="Tahoma"/>
          <w:bCs/>
          <w:iCs/>
        </w:rPr>
        <w:t xml:space="preserve">Asimismo, es relevante mencionar que el artículo 19 del ordenamiento local de la materia señala que se presume que la información debe </w:t>
      </w:r>
      <w:r w:rsidRPr="00DA292A">
        <w:rPr>
          <w:rFonts w:ascii="Palatino Linotype" w:eastAsia="MS Mincho" w:hAnsi="Palatino Linotype" w:cs="Arial"/>
        </w:rPr>
        <w:t>existir</w:t>
      </w:r>
      <w:r w:rsidRPr="001274C8">
        <w:rPr>
          <w:rFonts w:ascii="Palatino Linotype" w:hAnsi="Palatino Linotype" w:cs="Tahoma"/>
          <w:bCs/>
          <w:iCs/>
        </w:rPr>
        <w:t xml:space="preserve">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5C42B146" w14:textId="77777777" w:rsidR="00DA292A" w:rsidRPr="001274C8" w:rsidRDefault="00DA292A" w:rsidP="00DA292A">
      <w:pPr>
        <w:pStyle w:val="Prrafodelista"/>
        <w:spacing w:line="360" w:lineRule="auto"/>
        <w:rPr>
          <w:rFonts w:ascii="Palatino Linotype" w:hAnsi="Palatino Linotype" w:cs="Tahoma"/>
          <w:bCs/>
          <w:iCs/>
        </w:rPr>
      </w:pPr>
    </w:p>
    <w:p w14:paraId="0597A22D" w14:textId="77777777" w:rsidR="00DA292A" w:rsidRPr="001274C8" w:rsidRDefault="00DA292A" w:rsidP="00DA292A">
      <w:pPr>
        <w:numPr>
          <w:ilvl w:val="0"/>
          <w:numId w:val="6"/>
        </w:numPr>
        <w:spacing w:line="360" w:lineRule="auto"/>
        <w:ind w:left="0" w:right="48" w:firstLine="0"/>
        <w:jc w:val="both"/>
        <w:rPr>
          <w:rFonts w:ascii="Palatino Linotype" w:hAnsi="Palatino Linotype" w:cs="Tahoma"/>
          <w:bCs/>
          <w:iCs/>
        </w:rPr>
      </w:pPr>
      <w:r w:rsidRPr="001274C8">
        <w:rPr>
          <w:rFonts w:ascii="Palatino Linotype" w:hAnsi="Palatino Linotype" w:cs="Tahoma"/>
          <w:bCs/>
          <w:iCs/>
        </w:rPr>
        <w:t xml:space="preserve">Los artículos antes citados, refieren que el derecho de acceso a la información pública es un derecho humano que abarca el solicitar, investigar, difundir y buscar información que se encuentre en los archivos de los sujetos obligados, ya sea porque </w:t>
      </w:r>
      <w:r w:rsidRPr="001274C8">
        <w:rPr>
          <w:rFonts w:ascii="Palatino Linotype" w:hAnsi="Palatino Linotype" w:cs="Tahoma"/>
          <w:bCs/>
          <w:iCs/>
        </w:rPr>
        <w:lastRenderedPageBreak/>
        <w:t>estos las generaron o la poseen en atención a sus funciones, por lo que se le considera un bien común de dominio público, toda vez que al tratarse de acciones ejercidas por un servidor público, este lo hace en representación del Estado, por lo que le pertenece a todos y debe ser accesible a cualquier persona, ya sea que los particulares la puedan consultar por encontrarse publicada en cualquier medio de difusión o porque la requieren a través de una solicitud de acceso a la información, siempre y cuando no encuadre en una de las excepciones contempladas por la ley.</w:t>
      </w:r>
    </w:p>
    <w:p w14:paraId="2535405D" w14:textId="77777777" w:rsidR="001C2C79" w:rsidRPr="00CB61C6" w:rsidRDefault="001C2C79" w:rsidP="00DA292A">
      <w:pPr>
        <w:spacing w:line="360" w:lineRule="auto"/>
        <w:ind w:right="49"/>
        <w:jc w:val="both"/>
        <w:rPr>
          <w:rFonts w:ascii="Palatino Linotype" w:hAnsi="Palatino Linotype"/>
        </w:rPr>
      </w:pPr>
    </w:p>
    <w:p w14:paraId="06F2E31D" w14:textId="77777777" w:rsidR="001C2C79" w:rsidRPr="00D35BF2" w:rsidRDefault="001C2C79" w:rsidP="00DA292A">
      <w:pPr>
        <w:pBdr>
          <w:top w:val="nil"/>
          <w:left w:val="nil"/>
          <w:bottom w:val="nil"/>
          <w:right w:val="nil"/>
          <w:between w:val="nil"/>
        </w:pBdr>
        <w:spacing w:line="360" w:lineRule="auto"/>
        <w:jc w:val="both"/>
        <w:rPr>
          <w:rFonts w:ascii="Palatino Linotype" w:eastAsia="Palatino Linotype" w:hAnsi="Palatino Linotype" w:cs="Palatino Linotype"/>
          <w:b/>
          <w:color w:val="000000"/>
        </w:rPr>
      </w:pPr>
      <w:r w:rsidRPr="00D35BF2">
        <w:rPr>
          <w:rFonts w:ascii="Palatino Linotype" w:eastAsia="Palatino Linotype" w:hAnsi="Palatino Linotype" w:cs="Palatino Linotype"/>
          <w:b/>
          <w:color w:val="000000"/>
        </w:rPr>
        <w:t>II. Del cambio de modalidad</w:t>
      </w:r>
    </w:p>
    <w:p w14:paraId="2EFF9346" w14:textId="77777777" w:rsidR="001C2C79" w:rsidRPr="00D35BF2" w:rsidRDefault="00DA292A" w:rsidP="00DA292A">
      <w:pPr>
        <w:numPr>
          <w:ilvl w:val="0"/>
          <w:numId w:val="6"/>
        </w:numPr>
        <w:spacing w:line="360" w:lineRule="auto"/>
        <w:ind w:left="0" w:right="48" w:firstLine="0"/>
        <w:jc w:val="both"/>
        <w:rPr>
          <w:rFonts w:ascii="Palatino Linotype" w:hAnsi="Palatino Linotype"/>
        </w:rPr>
      </w:pPr>
      <w:r w:rsidRPr="00D35BF2">
        <w:rPr>
          <w:rFonts w:ascii="Palatino Linotype" w:eastAsia="MS Mincho" w:hAnsi="Palatino Linotype" w:cs="Arial"/>
        </w:rPr>
        <w:t>Determinado lo anterior</w:t>
      </w:r>
      <w:r w:rsidRPr="00D35BF2">
        <w:rPr>
          <w:rFonts w:ascii="Palatino Linotype" w:eastAsia="Palatino Linotype" w:hAnsi="Palatino Linotype" w:cs="Palatino Linotype"/>
        </w:rPr>
        <w:t>, es necesario traer a contexto primeramente a l</w:t>
      </w:r>
      <w:r w:rsidR="001C2C79" w:rsidRPr="00D35BF2">
        <w:rPr>
          <w:rFonts w:ascii="Palatino Linotype" w:eastAsia="Palatino Linotype" w:hAnsi="Palatino Linotype" w:cs="Palatino Linotype"/>
        </w:rPr>
        <w:t xml:space="preserve">a Ley de </w:t>
      </w:r>
      <w:r w:rsidR="001C2C79" w:rsidRPr="00D35BF2">
        <w:rPr>
          <w:rFonts w:ascii="Palatino Linotype" w:hAnsi="Palatino Linotype" w:cs="Tahoma"/>
          <w:bCs/>
          <w:iCs/>
        </w:rPr>
        <w:t>Transparencia</w:t>
      </w:r>
      <w:r w:rsidR="001C2C79" w:rsidRPr="00D35BF2">
        <w:rPr>
          <w:rFonts w:ascii="Palatino Linotype" w:eastAsia="Palatino Linotype" w:hAnsi="Palatino Linotype" w:cs="Palatino Linotype"/>
        </w:rPr>
        <w:t xml:space="preserve"> y Acceso a la Información Pública del Estado de México y Municipios</w:t>
      </w:r>
      <w:r w:rsidR="008C3476" w:rsidRPr="00D35BF2">
        <w:rPr>
          <w:rFonts w:ascii="Palatino Linotype" w:eastAsia="Palatino Linotype" w:hAnsi="Palatino Linotype" w:cs="Palatino Linotype"/>
        </w:rPr>
        <w:t>, que</w:t>
      </w:r>
      <w:r w:rsidR="001C2C79" w:rsidRPr="00D35BF2">
        <w:rPr>
          <w:rFonts w:ascii="Palatino Linotype" w:eastAsia="Palatino Linotype" w:hAnsi="Palatino Linotype" w:cs="Palatino Linotype"/>
        </w:rPr>
        <w:t xml:space="preserve"> establece en los artículos 155 fracción V, 158 y 164 lo siguiente:</w:t>
      </w:r>
    </w:p>
    <w:p w14:paraId="1DC19FB3" w14:textId="77777777" w:rsidR="00DA292A" w:rsidRPr="00CB61C6" w:rsidRDefault="00DA292A" w:rsidP="00DA292A">
      <w:pPr>
        <w:spacing w:line="360" w:lineRule="auto"/>
        <w:ind w:right="48"/>
        <w:jc w:val="both"/>
        <w:rPr>
          <w:rFonts w:ascii="Palatino Linotype" w:hAnsi="Palatino Linotype"/>
        </w:rPr>
      </w:pPr>
    </w:p>
    <w:p w14:paraId="28186381"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Artículo 155. Para presentar una solicitud por escrito, no se podrán exigir mayores requisitos que los siguientes:</w:t>
      </w:r>
    </w:p>
    <w:p w14:paraId="4AAE1EA9"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I. a IV. …</w:t>
      </w:r>
    </w:p>
    <w:p w14:paraId="14DB0839"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b/>
          <w:i/>
          <w:color w:val="000000"/>
        </w:rPr>
        <w:t>V. La modalidad en la que prefiere se otorgue el acceso a la información</w:t>
      </w:r>
      <w:r w:rsidRPr="00CB61C6">
        <w:rPr>
          <w:rFonts w:ascii="Palatino Linotype" w:eastAsia="Palatino Linotype" w:hAnsi="Palatino Linotype" w:cs="Palatino Linotype"/>
          <w:i/>
          <w:color w:val="000000"/>
        </w:rPr>
        <w:t xml:space="preserve">, la cual podrá ser verbal, siempre y cuando sea para fines de orientación, mediante consulta directa, mediante la expedición de </w:t>
      </w:r>
      <w:r w:rsidRPr="00CB61C6">
        <w:rPr>
          <w:rFonts w:ascii="Palatino Linotype" w:eastAsia="Palatino Linotype" w:hAnsi="Palatino Linotype" w:cs="Palatino Linotype"/>
          <w:i/>
          <w:color w:val="000000"/>
        </w:rPr>
        <w:lastRenderedPageBreak/>
        <w:t>copias simples o certificadas o la reproducción en cualquier otro medio, incluidos los electrónicos</w:t>
      </w:r>
    </w:p>
    <w:p w14:paraId="31D7297B" w14:textId="77777777" w:rsidR="001C2C79"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w:t>
      </w:r>
    </w:p>
    <w:p w14:paraId="265F250F" w14:textId="77777777" w:rsidR="008C3476" w:rsidRPr="00CB61C6" w:rsidRDefault="008C3476"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p>
    <w:p w14:paraId="2B1D6DF8"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 xml:space="preserve">Artículo 158. De manera excepcional, cuando de forma fundada y motivada así lo determine el sujeto obligado, en aquellos casos en que la información solicitada que ya se encuentre en su posesión implique análisis, estudio o procesamiento de documentos cuya entrega o reproducción sobrepase las capacidades técnicas administrativas y humanas del sujeto obligado para cumplir con la solicitud, en los plazos establecidos para dichos efectos, se podrá poner a disposición del solicitante los documentos en consulta directa, salvo la información clasificada. </w:t>
      </w:r>
    </w:p>
    <w:p w14:paraId="23107B71" w14:textId="77777777" w:rsidR="001C2C79"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En todo caso, se facilitará su copia simple o certificada, así como su reproducción por cualquier medio disponible en las instalaciones del sujeto obligado o que, en su caso, aporte el solicitante</w:t>
      </w:r>
    </w:p>
    <w:p w14:paraId="4A5C684E" w14:textId="77777777" w:rsidR="008C3476" w:rsidRPr="00CB61C6" w:rsidRDefault="008C3476"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p>
    <w:p w14:paraId="561A5266"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 xml:space="preserve">Artículo 164. El acceso se dará en la modalidad de entrega y, en su caso, de envío elegidos por el solicitante. Cuando la información no pueda </w:t>
      </w:r>
      <w:r w:rsidRPr="00CB61C6">
        <w:rPr>
          <w:rFonts w:ascii="Palatino Linotype" w:eastAsia="Palatino Linotype" w:hAnsi="Palatino Linotype" w:cs="Palatino Linotype"/>
          <w:i/>
          <w:color w:val="000000"/>
        </w:rPr>
        <w:lastRenderedPageBreak/>
        <w:t>entregarse o enviarse en la modalidad solicitada, el sujeto obligado deberá ofrecer otra u otras modalidades de entrega.</w:t>
      </w:r>
    </w:p>
    <w:p w14:paraId="4AD7F9A2" w14:textId="77777777" w:rsidR="001C2C79" w:rsidRPr="00CB61C6" w:rsidRDefault="001C2C79" w:rsidP="008F40BF">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5A9088E0"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La normatividad en materia establece que se privilegiará la modalidad de entrega elegida por el </w:t>
      </w:r>
      <w:r w:rsidRPr="00CB61C6">
        <w:rPr>
          <w:rFonts w:ascii="Palatino Linotype" w:eastAsia="Palatino Linotype" w:hAnsi="Palatino Linotype" w:cs="Palatino Linotype"/>
          <w:b/>
          <w:smallCaps/>
          <w:color w:val="000000"/>
        </w:rPr>
        <w:t>RECURRENTE</w:t>
      </w:r>
      <w:r w:rsidRPr="00CB61C6">
        <w:rPr>
          <w:rFonts w:ascii="Palatino Linotype" w:eastAsia="Palatino Linotype" w:hAnsi="Palatino Linotype" w:cs="Palatino Linotype"/>
          <w:color w:val="000000"/>
        </w:rPr>
        <w:t xml:space="preserve"> y será excepcional un cambio de modalidad cuando la información sobrepase las capacidades técnicas administrativas y humanas, dicho cambio será debidamente fundado y motivado.</w:t>
      </w:r>
    </w:p>
    <w:p w14:paraId="75DFEF16" w14:textId="77777777" w:rsidR="00704B17" w:rsidRPr="00CB61C6" w:rsidRDefault="00704B17" w:rsidP="008F40BF">
      <w:pPr>
        <w:pBdr>
          <w:top w:val="nil"/>
          <w:left w:val="nil"/>
          <w:bottom w:val="nil"/>
          <w:right w:val="nil"/>
          <w:between w:val="nil"/>
        </w:pBdr>
        <w:tabs>
          <w:tab w:val="left" w:pos="851"/>
        </w:tabs>
        <w:spacing w:line="360" w:lineRule="auto"/>
        <w:ind w:right="49"/>
        <w:jc w:val="both"/>
        <w:rPr>
          <w:rFonts w:ascii="Palatino Linotype" w:hAnsi="Palatino Linotype"/>
          <w:color w:val="000000"/>
        </w:rPr>
      </w:pPr>
    </w:p>
    <w:p w14:paraId="2AE4068B" w14:textId="77777777" w:rsidR="001C2C79" w:rsidRPr="006950ED" w:rsidRDefault="001C2C79" w:rsidP="001348D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color w:val="000000"/>
        </w:rPr>
        <w:t xml:space="preserve">En ese sentido, en la respuesta inicial el </w:t>
      </w:r>
      <w:r w:rsidRPr="00CB61C6">
        <w:rPr>
          <w:rFonts w:ascii="Palatino Linotype" w:eastAsia="Palatino Linotype" w:hAnsi="Palatino Linotype" w:cs="Palatino Linotype"/>
          <w:b/>
          <w:smallCaps/>
          <w:color w:val="000000"/>
        </w:rPr>
        <w:t>SUJETO OBLIGADO</w:t>
      </w:r>
      <w:r w:rsidRPr="00CB61C6">
        <w:rPr>
          <w:rFonts w:ascii="Palatino Linotype" w:eastAsia="Palatino Linotype" w:hAnsi="Palatino Linotype" w:cs="Palatino Linotype"/>
          <w:color w:val="000000"/>
        </w:rPr>
        <w:t xml:space="preserve"> </w:t>
      </w:r>
      <w:r w:rsidRPr="00CB61C6">
        <w:rPr>
          <w:rFonts w:ascii="Palatino Linotype" w:eastAsia="Palatino Linotype" w:hAnsi="Palatino Linotype" w:cs="Palatino Linotype"/>
        </w:rPr>
        <w:t>informó</w:t>
      </w:r>
      <w:r w:rsidRPr="00CB61C6">
        <w:rPr>
          <w:rFonts w:ascii="Palatino Linotype" w:eastAsia="Palatino Linotype" w:hAnsi="Palatino Linotype" w:cs="Palatino Linotype"/>
          <w:color w:val="000000"/>
        </w:rPr>
        <w:t xml:space="preserve"> que </w:t>
      </w:r>
      <w:r w:rsidRPr="00CB61C6">
        <w:rPr>
          <w:rFonts w:ascii="Palatino Linotype" w:eastAsia="Palatino Linotype" w:hAnsi="Palatino Linotype" w:cs="Palatino Linotype"/>
        </w:rPr>
        <w:t>sí posee</w:t>
      </w:r>
      <w:r w:rsidRPr="00CB61C6">
        <w:rPr>
          <w:rFonts w:ascii="Palatino Linotype" w:eastAsia="Palatino Linotype" w:hAnsi="Palatino Linotype" w:cs="Palatino Linotype"/>
          <w:color w:val="000000"/>
        </w:rPr>
        <w:t xml:space="preserve"> la información pero que </w:t>
      </w:r>
      <w:r w:rsidRPr="001348DF">
        <w:rPr>
          <w:rFonts w:ascii="Palatino Linotype" w:eastAsia="Palatino Linotype" w:hAnsi="Palatino Linotype" w:cs="Palatino Linotype"/>
          <w:color w:val="000000"/>
        </w:rPr>
        <w:t xml:space="preserve">la misma </w:t>
      </w:r>
      <w:r w:rsidRPr="001348DF">
        <w:rPr>
          <w:rFonts w:ascii="Palatino Linotype" w:eastAsia="Palatino Linotype" w:hAnsi="Palatino Linotype" w:cs="Palatino Linotype"/>
        </w:rPr>
        <w:t>sobrepasa</w:t>
      </w:r>
      <w:r w:rsidRPr="001348DF">
        <w:rPr>
          <w:rFonts w:ascii="Palatino Linotype" w:eastAsia="Palatino Linotype" w:hAnsi="Palatino Linotype" w:cs="Palatino Linotype"/>
          <w:color w:val="000000"/>
        </w:rPr>
        <w:t xml:space="preserve"> las capacidades técnicas del sistema SAIMEX, situación por la cual le ofrece al </w:t>
      </w:r>
      <w:r w:rsidRPr="001348DF">
        <w:rPr>
          <w:rFonts w:ascii="Palatino Linotype" w:eastAsia="Palatino Linotype" w:hAnsi="Palatino Linotype" w:cs="Palatino Linotype"/>
          <w:b/>
          <w:color w:val="000000"/>
        </w:rPr>
        <w:t xml:space="preserve">RECURRENTE </w:t>
      </w:r>
      <w:r w:rsidR="00704B17" w:rsidRPr="001348DF">
        <w:rPr>
          <w:rFonts w:ascii="Palatino Linotype" w:eastAsia="Palatino Linotype" w:hAnsi="Palatino Linotype" w:cs="Palatino Linotype"/>
          <w:color w:val="000000"/>
        </w:rPr>
        <w:t xml:space="preserve">el medio de consulta directa </w:t>
      </w:r>
      <w:r w:rsidR="001348DF" w:rsidRPr="001348DF">
        <w:rPr>
          <w:rFonts w:ascii="Palatino Linotype" w:eastAsia="Palatino Linotype" w:hAnsi="Palatino Linotype" w:cs="Palatino Linotype"/>
          <w:color w:val="000000"/>
        </w:rPr>
        <w:t>y, adicionalmente así como otras modalidades con costo como lo son disco compacto, dispositivo USB, copias simples o certificadas y, sin costo para el caso de que el Recurrente proporc</w:t>
      </w:r>
      <w:r w:rsidR="00E814F0">
        <w:rPr>
          <w:rFonts w:ascii="Palatino Linotype" w:eastAsia="Palatino Linotype" w:hAnsi="Palatino Linotype" w:cs="Palatino Linotype"/>
          <w:color w:val="000000"/>
        </w:rPr>
        <w:t>ione el dispositivo electrónico</w:t>
      </w:r>
      <w:r w:rsidR="006950ED">
        <w:rPr>
          <w:rFonts w:ascii="Palatino Linotype" w:eastAsia="Palatino Linotype" w:hAnsi="Palatino Linotype" w:cs="Palatino Linotype"/>
          <w:color w:val="000000"/>
        </w:rPr>
        <w:t xml:space="preserve"> o </w:t>
      </w:r>
      <w:r w:rsidR="007F6CCA">
        <w:rPr>
          <w:rFonts w:ascii="Palatino Linotype" w:eastAsia="Palatino Linotype" w:hAnsi="Palatino Linotype" w:cs="Palatino Linotype"/>
          <w:color w:val="000000"/>
        </w:rPr>
        <w:t xml:space="preserve">con </w:t>
      </w:r>
      <w:r w:rsidR="00EC4DBC">
        <w:rPr>
          <w:rFonts w:ascii="Palatino Linotype" w:eastAsia="Palatino Linotype" w:hAnsi="Palatino Linotype" w:cs="Palatino Linotype"/>
          <w:color w:val="000000"/>
        </w:rPr>
        <w:t>opción</w:t>
      </w:r>
      <w:r w:rsidR="007F6CCA">
        <w:rPr>
          <w:rFonts w:ascii="Palatino Linotype" w:eastAsia="Palatino Linotype" w:hAnsi="Palatino Linotype" w:cs="Palatino Linotype"/>
          <w:color w:val="000000"/>
        </w:rPr>
        <w:t xml:space="preserve"> de </w:t>
      </w:r>
      <w:r w:rsidR="00EC4DBC">
        <w:rPr>
          <w:rFonts w:ascii="Palatino Linotype" w:eastAsia="Palatino Linotype" w:hAnsi="Palatino Linotype" w:cs="Palatino Linotype"/>
          <w:color w:val="000000"/>
        </w:rPr>
        <w:t>envío</w:t>
      </w:r>
      <w:r w:rsidR="007F6CCA">
        <w:rPr>
          <w:rFonts w:ascii="Palatino Linotype" w:eastAsia="Palatino Linotype" w:hAnsi="Palatino Linotype" w:cs="Palatino Linotype"/>
          <w:color w:val="000000"/>
        </w:rPr>
        <w:t xml:space="preserve"> a domicilio.</w:t>
      </w:r>
    </w:p>
    <w:p w14:paraId="08DBDD8A" w14:textId="77777777" w:rsidR="006950ED" w:rsidRDefault="006950ED" w:rsidP="006950ED">
      <w:pPr>
        <w:pStyle w:val="Prrafodelista"/>
        <w:rPr>
          <w:rFonts w:ascii="Palatino Linotype" w:eastAsia="Palatino Linotype" w:hAnsi="Palatino Linotype" w:cs="Palatino Linotype"/>
          <w:i/>
          <w:color w:val="000000"/>
        </w:rPr>
      </w:pPr>
    </w:p>
    <w:p w14:paraId="75CE9ED8" w14:textId="77777777" w:rsidR="001C2C79" w:rsidRPr="00CB61C6" w:rsidRDefault="00EC4DBC"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Pr>
          <w:rFonts w:ascii="Palatino Linotype" w:eastAsia="Palatino Linotype" w:hAnsi="Palatino Linotype" w:cs="Palatino Linotype"/>
          <w:color w:val="000000"/>
        </w:rPr>
        <w:t>Al respecto, e</w:t>
      </w:r>
      <w:r w:rsidR="001C2C79" w:rsidRPr="00CB61C6">
        <w:rPr>
          <w:rFonts w:ascii="Palatino Linotype" w:eastAsia="Palatino Linotype" w:hAnsi="Palatino Linotype" w:cs="Palatino Linotype"/>
          <w:color w:val="000000"/>
        </w:rPr>
        <w:t xml:space="preserve">s necesario precisar que la Ley en la materia establece que, </w:t>
      </w:r>
      <w:r w:rsidR="001C2C79" w:rsidRPr="00CB61C6">
        <w:rPr>
          <w:rFonts w:ascii="Palatino Linotype" w:eastAsia="Palatino Linotype" w:hAnsi="Palatino Linotype" w:cs="Palatino Linotype"/>
          <w:i/>
          <w:color w:val="000000"/>
        </w:rPr>
        <w:t xml:space="preserve">de manera excepcional, cuando de forma fundada y motivada así lo determine el sujeto obligado, en aquellos casos en que la información solicitada que ya se encuentre en su posesión implique análisis, estudio o procesamiento de documentos cuya entrega o reproducción </w:t>
      </w:r>
      <w:r w:rsidR="001C2C79" w:rsidRPr="00CB61C6">
        <w:rPr>
          <w:rFonts w:ascii="Palatino Linotype" w:eastAsia="Palatino Linotype" w:hAnsi="Palatino Linotype" w:cs="Palatino Linotype"/>
          <w:b/>
          <w:i/>
          <w:color w:val="000000"/>
        </w:rPr>
        <w:t xml:space="preserve">sobrepase las </w:t>
      </w:r>
      <w:r w:rsidR="001C2C79" w:rsidRPr="00CB61C6">
        <w:rPr>
          <w:rFonts w:ascii="Palatino Linotype" w:eastAsia="Palatino Linotype" w:hAnsi="Palatino Linotype" w:cs="Palatino Linotype"/>
          <w:b/>
          <w:i/>
          <w:color w:val="000000"/>
        </w:rPr>
        <w:lastRenderedPageBreak/>
        <w:t>capacidades técnicas administrativas y humanas</w:t>
      </w:r>
      <w:r w:rsidR="001C2C79" w:rsidRPr="00CB61C6">
        <w:rPr>
          <w:rFonts w:ascii="Palatino Linotype" w:eastAsia="Palatino Linotype" w:hAnsi="Palatino Linotype" w:cs="Palatino Linotype"/>
          <w:i/>
          <w:color w:val="000000"/>
        </w:rPr>
        <w:t xml:space="preserve"> del sujeto obligado para cumplir con la solicitud, en los plazos establecidos para dichos efectos, se podrá poner a disposición del solicitante los documentos en consulta directa, o en los otros tipos de modalidades, salvo la información clasificada.</w:t>
      </w:r>
    </w:p>
    <w:p w14:paraId="12B0A8A7" w14:textId="77777777" w:rsidR="001C2C79" w:rsidRPr="00CB61C6" w:rsidRDefault="001C2C79" w:rsidP="008F40BF">
      <w:pPr>
        <w:pBdr>
          <w:top w:val="nil"/>
          <w:left w:val="nil"/>
          <w:bottom w:val="nil"/>
          <w:right w:val="nil"/>
          <w:between w:val="nil"/>
        </w:pBdr>
        <w:spacing w:line="360" w:lineRule="auto"/>
        <w:rPr>
          <w:rFonts w:ascii="Palatino Linotype" w:eastAsia="Palatino Linotype" w:hAnsi="Palatino Linotype" w:cs="Palatino Linotype"/>
          <w:color w:val="000000"/>
        </w:rPr>
      </w:pPr>
    </w:p>
    <w:p w14:paraId="1E42BC9A"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eastAsia="Palatino Linotype" w:hAnsi="Palatino Linotype" w:cs="Palatino Linotype"/>
          <w:b/>
          <w:color w:val="000000"/>
        </w:rPr>
      </w:pPr>
      <w:r w:rsidRPr="00CB61C6">
        <w:rPr>
          <w:rFonts w:ascii="Palatino Linotype" w:eastAsia="Palatino Linotype" w:hAnsi="Palatino Linotype" w:cs="Palatino Linotype"/>
          <w:color w:val="000000"/>
        </w:rPr>
        <w:t xml:space="preserve"> Referente a la capacidad administrativa, ésta es definida como la habilidad institucional de un gobierno, para formular y realizar planes, políticas, programas, actividades, operaciones u otras medidas para cumplir con los propósitos de desarrollo</w:t>
      </w:r>
      <w:r w:rsidRPr="008C3476">
        <w:rPr>
          <w:rFonts w:ascii="Palatino Linotype" w:eastAsia="Palatino Linotype" w:hAnsi="Palatino Linotype" w:cs="Palatino Linotype"/>
          <w:color w:val="000000"/>
        </w:rPr>
        <w:t>. En palabras más simples, es la eficiencia organizacional para efectuar funciones esenciales.</w:t>
      </w:r>
    </w:p>
    <w:p w14:paraId="014A20B0" w14:textId="77777777" w:rsidR="001C2C79" w:rsidRPr="00CB61C6" w:rsidRDefault="001C2C79" w:rsidP="008F40BF">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13D4B105"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La capacidad administrativa resulta ser un mandato para un gobierno eficaz, la cual engloba, previsión, organización, coordinación y control en actos y esfuerzos con la finalidad de cumplir con sus responsabilidades y funciones de manera eficaz, eficiente y sostenible. </w:t>
      </w:r>
    </w:p>
    <w:p w14:paraId="6197BF51" w14:textId="77777777" w:rsidR="001C2C79" w:rsidRPr="00CB61C6" w:rsidRDefault="001C2C79" w:rsidP="008F40BF">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15937C1B"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Desde una perspectiva institucional, la capacidad administrativa es entendida como </w:t>
      </w:r>
      <w:r w:rsidRPr="00CB61C6">
        <w:rPr>
          <w:rFonts w:ascii="Palatino Linotype" w:eastAsia="Palatino Linotype" w:hAnsi="Palatino Linotype" w:cs="Palatino Linotype"/>
          <w:b/>
          <w:color w:val="000000"/>
        </w:rPr>
        <w:t>“</w:t>
      </w:r>
      <w:r w:rsidRPr="008C3476">
        <w:rPr>
          <w:rFonts w:ascii="Palatino Linotype" w:eastAsia="Palatino Linotype" w:hAnsi="Palatino Linotype" w:cs="Palatino Linotype"/>
          <w:color w:val="000000"/>
        </w:rPr>
        <w:t xml:space="preserve">las habilidades técnico-burocráticas del aparato estatal requeridas para alcanzar sus </w:t>
      </w:r>
      <w:r w:rsidRPr="008C3476">
        <w:rPr>
          <w:rFonts w:ascii="Palatino Linotype" w:eastAsia="Palatino Linotype" w:hAnsi="Palatino Linotype" w:cs="Palatino Linotype"/>
        </w:rPr>
        <w:t>objetivos</w:t>
      </w:r>
      <w:r w:rsidRPr="008C3476">
        <w:rPr>
          <w:rFonts w:ascii="Palatino Linotype" w:eastAsia="Palatino Linotype" w:hAnsi="Palatino Linotype" w:cs="Palatino Linotype"/>
          <w:color w:val="000000"/>
        </w:rPr>
        <w:t>.”</w:t>
      </w:r>
      <w:r w:rsidRPr="00CB61C6">
        <w:rPr>
          <w:rFonts w:ascii="Palatino Linotype" w:eastAsia="Palatino Linotype" w:hAnsi="Palatino Linotype" w:cs="Palatino Linotype"/>
          <w:b/>
          <w:color w:val="000000"/>
        </w:rPr>
        <w:t xml:space="preserve"> </w:t>
      </w:r>
      <w:r w:rsidRPr="00CB61C6">
        <w:rPr>
          <w:rFonts w:ascii="Palatino Linotype" w:eastAsia="Palatino Linotype" w:hAnsi="Palatino Linotype" w:cs="Palatino Linotype"/>
          <w:color w:val="000000"/>
        </w:rPr>
        <w:t xml:space="preserve">En este componente se ubican el nivel micro y meso de la Capacidad Institucional. El primero hace alusión al individuo, al recurso humano. </w:t>
      </w:r>
      <w:r w:rsidRPr="00CB61C6">
        <w:rPr>
          <w:rFonts w:ascii="Palatino Linotype" w:eastAsia="Palatino Linotype" w:hAnsi="Palatino Linotype" w:cs="Palatino Linotype"/>
          <w:color w:val="000000"/>
        </w:rPr>
        <w:lastRenderedPageBreak/>
        <w:t xml:space="preserve">En el segundo nivel, se ubica la capacidad de gestión, el cual se centra en el fortalecimiento organizacional como área de intervención para construir capacidad; cultura organizacional, sistemas de comunicación u organización” </w:t>
      </w:r>
      <w:r w:rsidRPr="00CB61C6">
        <w:rPr>
          <w:rFonts w:ascii="Palatino Linotype" w:eastAsia="Palatino Linotype" w:hAnsi="Palatino Linotype" w:cs="Palatino Linotype"/>
          <w:color w:val="000000"/>
          <w:vertAlign w:val="superscript"/>
        </w:rPr>
        <w:footnoteReference w:id="2"/>
      </w:r>
      <w:r w:rsidRPr="00CB61C6">
        <w:rPr>
          <w:rFonts w:ascii="Palatino Linotype" w:eastAsia="Palatino Linotype" w:hAnsi="Palatino Linotype" w:cs="Palatino Linotype"/>
          <w:color w:val="000000"/>
        </w:rPr>
        <w:t xml:space="preserve">. </w:t>
      </w:r>
    </w:p>
    <w:p w14:paraId="560CC25E" w14:textId="77777777" w:rsidR="001C2C79" w:rsidRPr="00CB61C6" w:rsidRDefault="001C2C79" w:rsidP="008F40BF">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42897095"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Hasta aquí, se tiene que la capacidad administrativa señala los recursos humanos y organizacionales, donde los organizacionales, además de englobar recursos humanos, engloban recursos materiales (espacio, equipos de cómputo, instalaciones, tecnología), financieros (ingresos) e intangibles (tiempo), los cuales en conjunto y a la medida correcta, alcanzarían que las instituciones logren la finalidad de cumplir con sus responsabilidades y funciones de manera eficaz y eficiente. </w:t>
      </w:r>
    </w:p>
    <w:p w14:paraId="2DB0D534" w14:textId="77777777" w:rsidR="001C2C79" w:rsidRPr="00CB61C6" w:rsidRDefault="001C2C79" w:rsidP="008F40BF">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73EFF3E5"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Ahora bien, respecto de las capacidades humanas, vale la pena precisar lo que se denomina por recursos humanos, lo cual podemos identificar como el conjunto de personas con las que cuenta una determinada organización, para desarrollar y ejecutar de manera correcta las acciones, actividades, labores y tareas que deben realizarse y que han sido solicitadas. </w:t>
      </w:r>
    </w:p>
    <w:p w14:paraId="576C8762" w14:textId="77777777" w:rsidR="001C2C79" w:rsidRPr="00CB61C6" w:rsidRDefault="001C2C79" w:rsidP="008F40BF">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7992A9B8"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Las personas son la parte fundamental de una organización, y junto con los recursos materiales, financieros e intangibles, conforman el “todo” que una organización necesita para el correcto funcionamiento, materialización y alcance de sus objetivos; los recursos deben coexistir uno con otro, de otra forma, el desarrollo no sería el apropiado y el cumplimiento de metas, inasequible. </w:t>
      </w:r>
    </w:p>
    <w:p w14:paraId="0A85DFFF" w14:textId="77777777" w:rsidR="001C2C79" w:rsidRPr="00CB61C6" w:rsidRDefault="001C2C79" w:rsidP="008F40BF">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4CEEFFB2"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Es así que, que de la respuesta del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se observa que </w:t>
      </w:r>
      <w:r w:rsidR="00F35A30" w:rsidRPr="00CB61C6">
        <w:rPr>
          <w:rFonts w:ascii="Palatino Linotype" w:eastAsia="Palatino Linotype" w:hAnsi="Palatino Linotype" w:cs="Palatino Linotype"/>
          <w:color w:val="000000"/>
        </w:rPr>
        <w:t>solo ofreció un tipo de cambio de modalidad siendo esta la consulta directa</w:t>
      </w:r>
    </w:p>
    <w:p w14:paraId="07D42323"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7054B686" w14:textId="77777777" w:rsidR="00DE7D68" w:rsidRPr="00CB61C6" w:rsidRDefault="00DE7D68"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eastAsia="Palatino Linotype" w:hAnsi="Palatino Linotype" w:cs="Palatino Linotype"/>
          <w:i/>
        </w:rPr>
      </w:pPr>
      <w:r w:rsidRPr="00CB61C6">
        <w:rPr>
          <w:rFonts w:ascii="Palatino Linotype" w:eastAsia="Palatino Linotype" w:hAnsi="Palatino Linotype" w:cs="Palatino Linotype"/>
          <w:color w:val="000000"/>
        </w:rPr>
        <w:t xml:space="preserve">En ese sentido se debe de mencionar que de acuerdo </w:t>
      </w:r>
      <w:r w:rsidR="001C2C79" w:rsidRPr="00CB61C6">
        <w:rPr>
          <w:rFonts w:ascii="Palatino Linotype" w:eastAsia="Palatino Linotype" w:hAnsi="Palatino Linotype" w:cs="Palatino Linotype"/>
          <w:color w:val="000000"/>
        </w:rPr>
        <w:t xml:space="preserve">Criterio número 8/2013 del entonces Instituto Federal de Acceso a la Información, </w:t>
      </w:r>
      <w:r w:rsidRPr="00CB61C6">
        <w:rPr>
          <w:rFonts w:ascii="Palatino Linotype" w:eastAsia="Palatino Linotype" w:hAnsi="Palatino Linotype" w:cs="Palatino Linotype"/>
          <w:color w:val="000000"/>
        </w:rPr>
        <w:t xml:space="preserve">el </w:t>
      </w:r>
      <w:r w:rsidRPr="00CB61C6">
        <w:rPr>
          <w:rFonts w:ascii="Palatino Linotype" w:eastAsia="Palatino Linotype" w:hAnsi="Palatino Linotype" w:cs="Palatino Linotype"/>
          <w:b/>
          <w:color w:val="000000"/>
        </w:rPr>
        <w:t xml:space="preserve">SUJETO OBLIGADO </w:t>
      </w:r>
      <w:r w:rsidRPr="00CB61C6">
        <w:rPr>
          <w:rFonts w:ascii="Palatino Linotype" w:eastAsia="Palatino Linotype" w:hAnsi="Palatino Linotype" w:cs="Palatino Linotype"/>
          <w:color w:val="000000"/>
        </w:rPr>
        <w:t xml:space="preserve">debe de ofrecer todas las opciones de modalidades de consulta </w:t>
      </w:r>
    </w:p>
    <w:p w14:paraId="7CEB3773" w14:textId="77777777" w:rsidR="00DE7D68" w:rsidRPr="00CB61C6" w:rsidRDefault="00DE7D68" w:rsidP="008F40BF">
      <w:pPr>
        <w:pStyle w:val="Prrafodelista"/>
        <w:spacing w:line="360" w:lineRule="auto"/>
        <w:rPr>
          <w:rFonts w:ascii="Palatino Linotype" w:eastAsia="Palatino Linotype" w:hAnsi="Palatino Linotype" w:cs="Palatino Linotype"/>
          <w:b/>
          <w:i/>
        </w:rPr>
      </w:pPr>
    </w:p>
    <w:p w14:paraId="66BB31E2" w14:textId="77777777" w:rsidR="001C2C79" w:rsidRPr="00CB61C6" w:rsidRDefault="001C2C79" w:rsidP="008F40BF">
      <w:pPr>
        <w:pBdr>
          <w:top w:val="nil"/>
          <w:left w:val="nil"/>
          <w:bottom w:val="nil"/>
          <w:right w:val="nil"/>
          <w:between w:val="nil"/>
        </w:pBdr>
        <w:tabs>
          <w:tab w:val="left" w:pos="851"/>
        </w:tabs>
        <w:spacing w:line="360" w:lineRule="auto"/>
        <w:ind w:left="1134" w:right="1106"/>
        <w:jc w:val="both"/>
        <w:rPr>
          <w:rFonts w:ascii="Palatino Linotype" w:eastAsia="Palatino Linotype" w:hAnsi="Palatino Linotype" w:cs="Palatino Linotype"/>
          <w:i/>
        </w:rPr>
      </w:pPr>
      <w:r w:rsidRPr="00CB61C6">
        <w:rPr>
          <w:rFonts w:ascii="Palatino Linotype" w:eastAsia="Palatino Linotype" w:hAnsi="Palatino Linotype" w:cs="Palatino Linotype"/>
          <w:b/>
          <w:i/>
        </w:rPr>
        <w:t>Cuando exista impedimento justificado de atender la modalidad de entrega elegida por el solicitante, procede ofrecer todas las demás opciones previstas en la Ley.</w:t>
      </w:r>
      <w:r w:rsidRPr="00CB61C6">
        <w:rPr>
          <w:rFonts w:ascii="Palatino Linotype" w:eastAsia="Palatino Linotype" w:hAnsi="Palatino Linotype" w:cs="Palatino Linotype"/>
          <w:i/>
        </w:rPr>
        <w:t xml:space="preserve"> </w:t>
      </w:r>
      <w:r w:rsidRPr="00CB61C6">
        <w:rPr>
          <w:rFonts w:ascii="Palatino Linotype" w:eastAsia="Palatino Linotype" w:hAnsi="Palatino Linotype" w:cs="Palatino Linotype"/>
          <w:i/>
          <w:u w:val="single"/>
        </w:rPr>
        <w:t>De conformidad con lo dispuesto en los artículos 42 y 44 de la Ley Federal de Transparencia y Acceso a la Información Pública Gubernamental, y 54 de su Reglamento, la entrega de la información debe hacerse, en la medida de lo posible, en la forma solicitada por el interesado</w:t>
      </w:r>
      <w:r w:rsidRPr="00CB61C6">
        <w:rPr>
          <w:rFonts w:ascii="Palatino Linotype" w:eastAsia="Palatino Linotype" w:hAnsi="Palatino Linotype" w:cs="Palatino Linotype"/>
          <w:i/>
        </w:rPr>
        <w:t xml:space="preserve">, salvo que exista un </w:t>
      </w:r>
      <w:r w:rsidRPr="00CB61C6">
        <w:rPr>
          <w:rFonts w:ascii="Palatino Linotype" w:eastAsia="Palatino Linotype" w:hAnsi="Palatino Linotype" w:cs="Palatino Linotype"/>
          <w:i/>
        </w:rPr>
        <w:lastRenderedPageBreak/>
        <w:t xml:space="preserve">impedimento justificado para atenderla, en cuyo caso, deberán exponerse las razones por las cuales no es posible utilizar el medio de reproducción solicitado. </w:t>
      </w:r>
      <w:r w:rsidRPr="00CB61C6">
        <w:rPr>
          <w:rFonts w:ascii="Palatino Linotype" w:eastAsia="Palatino Linotype" w:hAnsi="Palatino Linotype" w:cs="Palatino Linotype"/>
          <w:i/>
          <w:u w:val="single"/>
        </w:rPr>
        <w:t>En este sentido, la entrega de la información en una modalidad distinta a la elegida por el particular sólo procede, en caso de que se acredite la imposibilidad de atenderla. Lo anterior, ya que si bien, los sujetos obligados deben privilegiar, en todo momento, el derecho de acceso a la información, ello no implica que desvíen su objeto sustancial en la atención y trámite de las solicitudes efectuadas bajo la tutela de dicho derecho</w:t>
      </w:r>
      <w:r w:rsidRPr="00CB61C6">
        <w:rPr>
          <w:rFonts w:ascii="Palatino Linotype" w:eastAsia="Palatino Linotype" w:hAnsi="Palatino Linotype" w:cs="Palatino Linotype"/>
          <w:i/>
        </w:rPr>
        <w:t xml:space="preserve">. Así, cuando se justifique el impedimento, los sujetos obligados deberán notificar al particular la disposición de la información en todas las </w:t>
      </w:r>
      <w:r w:rsidRPr="00CB61C6">
        <w:rPr>
          <w:rFonts w:ascii="Palatino Linotype" w:eastAsia="Palatino Linotype" w:hAnsi="Palatino Linotype" w:cs="Palatino Linotype"/>
          <w:b/>
          <w:i/>
          <w:u w:val="single"/>
        </w:rPr>
        <w:t>modalidades de entrega que permita el documento, tales como consulta directa, copias simples y certificadas, así como la reproducción en cualquier otro medio e indicarle</w:t>
      </w:r>
      <w:r w:rsidRPr="00CB61C6">
        <w:rPr>
          <w:rFonts w:ascii="Palatino Linotype" w:eastAsia="Palatino Linotype" w:hAnsi="Palatino Linotype" w:cs="Palatino Linotype"/>
          <w:i/>
        </w:rPr>
        <w:t xml:space="preserve">, en su caso, los costos de reproducción y envío, para que pueda estar en aptitud de elegir la que sea de su interés o la que más le convenga. En estos casos, los sujetos obligados deberán intentar reducir, en todo momento, los costos de entrega de la información y garantizar el debido equilibrio entre el legítimo derecho de acceso a la información y las posibilidades materiales de otorgar acceso a los documentos. </w:t>
      </w:r>
    </w:p>
    <w:p w14:paraId="367595BA" w14:textId="77777777" w:rsidR="001C2C79" w:rsidRPr="00CB61C6" w:rsidRDefault="001C2C79" w:rsidP="008F40BF">
      <w:pPr>
        <w:spacing w:line="360" w:lineRule="auto"/>
        <w:ind w:left="1134" w:right="1106"/>
        <w:jc w:val="both"/>
        <w:rPr>
          <w:rFonts w:ascii="Palatino Linotype" w:eastAsia="Palatino Linotype" w:hAnsi="Palatino Linotype" w:cs="Palatino Linotype"/>
          <w:i/>
        </w:rPr>
      </w:pPr>
      <w:r w:rsidRPr="00CB61C6">
        <w:rPr>
          <w:rFonts w:ascii="Palatino Linotype" w:eastAsia="Palatino Linotype" w:hAnsi="Palatino Linotype" w:cs="Palatino Linotype"/>
          <w:b/>
          <w:i/>
        </w:rPr>
        <w:lastRenderedPageBreak/>
        <w:t>Criterio 02/2004 INFORMACIÓN DISPERSA</w:t>
      </w:r>
      <w:r w:rsidRPr="00CB61C6">
        <w:rPr>
          <w:rFonts w:ascii="Palatino Linotype" w:eastAsia="Palatino Linotype" w:hAnsi="Palatino Linotype" w:cs="Palatino Linotype"/>
          <w:b/>
        </w:rPr>
        <w:t xml:space="preserve"> </w:t>
      </w:r>
      <w:r w:rsidRPr="00CB61C6">
        <w:rPr>
          <w:rFonts w:ascii="Palatino Linotype" w:eastAsia="Palatino Linotype" w:hAnsi="Palatino Linotype" w:cs="Palatino Linotype"/>
          <w:b/>
          <w:i/>
        </w:rPr>
        <w:t>EN DIVERSOS DOCUMENTOS. PARA RESPETAR EL DERECHO DE ACCESO A LA INFORMACIÓN BASTA CON QUE SE PERMITA LA CONSULTA FÍSICA DE AQUÉLLOS, SALVO EN EL CASO DE QUE EL RESPECTIVO ÓRGANO DEL ESTADO TENGA LA OBLIGACIÓN DE CONTAR CON UN DOCUMENTO QUE CONCENTRÉ AQUÉLLA.</w:t>
      </w:r>
      <w:r w:rsidRPr="00CB61C6">
        <w:rPr>
          <w:rFonts w:ascii="Palatino Linotype" w:eastAsia="Palatino Linotype" w:hAnsi="Palatino Linotype" w:cs="Palatino Linotype"/>
          <w:i/>
        </w:rPr>
        <w:t xml:space="preserve"> </w:t>
      </w:r>
      <w:r w:rsidRPr="00CB61C6">
        <w:rPr>
          <w:rFonts w:ascii="Palatino Linotype" w:eastAsia="Palatino Linotype" w:hAnsi="Palatino Linotype" w:cs="Palatino Linotype"/>
          <w:i/>
          <w:u w:val="single"/>
        </w:rPr>
        <w:t xml:space="preserve">Si bien para cumplir con el derecho de acceso a la información tratándose de la que se encuentra en diferentes documentos, basta con que se permita a los gobernados la consulta física de éstos, dado que tal prerrogativa no implica el procesamiento de los datos contenidos en diversos documentos, </w:t>
      </w:r>
      <w:r w:rsidRPr="00CB61C6">
        <w:rPr>
          <w:rFonts w:ascii="Palatino Linotype" w:eastAsia="Palatino Linotype" w:hAnsi="Palatino Linotype" w:cs="Palatino Linotype"/>
          <w:i/>
        </w:rPr>
        <w:t xml:space="preserve">como lo prevé el artículo 29 del Reglamento de la Suprema Corte de Justicia de la Nación y del Consejo de la Judicatura Federal para la aplicación de la Ley Federal de Transparencia y Acceso a la Información Pública Gubernamental, </w:t>
      </w:r>
      <w:r w:rsidRPr="00CB61C6">
        <w:rPr>
          <w:rFonts w:ascii="Palatino Linotype" w:eastAsia="Palatino Linotype" w:hAnsi="Palatino Linotype" w:cs="Palatino Linotype"/>
          <w:i/>
          <w:u w:val="single"/>
        </w:rPr>
        <w:t xml:space="preserve">ello no obsta para reconocer que si el órgano que tiene bajo su resguardo numerosos documentos en los que están dispersos los datos solicitados, cuenta con algún área o unidad que conforme a su regulación interna debe elaborar un documento en el que concentre esa información, para respetar el derecho en comento no basta que se permita la mencionada consulta física, ya que en este </w:t>
      </w:r>
      <w:r w:rsidRPr="00CB61C6">
        <w:rPr>
          <w:rFonts w:ascii="Palatino Linotype" w:eastAsia="Palatino Linotype" w:hAnsi="Palatino Linotype" w:cs="Palatino Linotype"/>
          <w:i/>
          <w:u w:val="single"/>
        </w:rPr>
        <w:lastRenderedPageBreak/>
        <w:t>supuesto el derecho de acceso a la información tiene el alcance de obligar a los órganos del Estado a poner a disposición de los gobernados la información que conforme a lo previsto en el marco jurídico que los regula deben tener bajo su resguardo, c</w:t>
      </w:r>
      <w:r w:rsidRPr="00CB61C6">
        <w:rPr>
          <w:rFonts w:ascii="Palatino Linotype" w:eastAsia="Palatino Linotype" w:hAnsi="Palatino Linotype" w:cs="Palatino Linotype"/>
          <w:i/>
        </w:rPr>
        <w:t>on lo que además se reconoce que para realizar la referida consulta física el solicitante enfrentará limitantes temporales y económicas que difícilmente podrá superar, lo que finalmente le impedirá conocer los datos que le permitan evaluar las actividades desarrolladas por el respectivo órgano del Estado. Clasificación de Información 6/2004-J. 29 de abril de 2004. Unanimidad de votos.”</w:t>
      </w:r>
    </w:p>
    <w:p w14:paraId="57FDC641" w14:textId="77777777" w:rsidR="001C2C79" w:rsidRPr="008C3476" w:rsidRDefault="001C2C79" w:rsidP="008F40BF">
      <w:pPr>
        <w:spacing w:line="360" w:lineRule="auto"/>
        <w:ind w:left="1134" w:right="1106"/>
        <w:jc w:val="both"/>
        <w:rPr>
          <w:rFonts w:ascii="Palatino Linotype" w:eastAsia="Palatino Linotype" w:hAnsi="Palatino Linotype" w:cs="Palatino Linotype"/>
        </w:rPr>
      </w:pPr>
      <w:r w:rsidRPr="008C3476">
        <w:rPr>
          <w:rFonts w:ascii="Palatino Linotype" w:eastAsia="Palatino Linotype" w:hAnsi="Palatino Linotype" w:cs="Palatino Linotype"/>
        </w:rPr>
        <w:t>(Énfasis añadido)</w:t>
      </w:r>
    </w:p>
    <w:p w14:paraId="3DAB829B" w14:textId="77777777" w:rsidR="001C2C79" w:rsidRPr="00CB61C6" w:rsidRDefault="001C2C79" w:rsidP="008F40BF">
      <w:pPr>
        <w:spacing w:line="360" w:lineRule="auto"/>
        <w:ind w:left="1134" w:right="1106"/>
        <w:jc w:val="both"/>
        <w:rPr>
          <w:rFonts w:ascii="Palatino Linotype" w:eastAsia="Palatino Linotype" w:hAnsi="Palatino Linotype" w:cs="Palatino Linotype"/>
          <w:i/>
        </w:rPr>
      </w:pPr>
    </w:p>
    <w:p w14:paraId="77BE49B9" w14:textId="77777777" w:rsidR="001C2C79" w:rsidRPr="00CB61C6" w:rsidRDefault="001C2C79" w:rsidP="008F40BF">
      <w:pPr>
        <w:numPr>
          <w:ilvl w:val="0"/>
          <w:numId w:val="6"/>
        </w:numPr>
        <w:pBdr>
          <w:top w:val="nil"/>
          <w:left w:val="nil"/>
          <w:bottom w:val="nil"/>
          <w:right w:val="nil"/>
          <w:between w:val="nil"/>
        </w:pBdr>
        <w:tabs>
          <w:tab w:val="left" w:pos="851"/>
        </w:tabs>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Los criterios refieren puntualmente que, cuando exista </w:t>
      </w:r>
      <w:r w:rsidRPr="00CB61C6">
        <w:rPr>
          <w:rFonts w:ascii="Palatino Linotype" w:eastAsia="Palatino Linotype" w:hAnsi="Palatino Linotype" w:cs="Palatino Linotype"/>
          <w:b/>
          <w:color w:val="000000"/>
        </w:rPr>
        <w:t xml:space="preserve">impedimento justificado </w:t>
      </w:r>
      <w:r w:rsidRPr="00CB61C6">
        <w:rPr>
          <w:rFonts w:ascii="Palatino Linotype" w:eastAsia="Palatino Linotype" w:hAnsi="Palatino Linotype" w:cs="Palatino Linotype"/>
          <w:color w:val="000000"/>
        </w:rPr>
        <w:t>para entregar la información solicitada, sólo entonces se procederá a ofrecer otras modalidades.</w:t>
      </w:r>
    </w:p>
    <w:p w14:paraId="5A1F411B" w14:textId="77777777" w:rsidR="001C2C79" w:rsidRPr="00CB61C6" w:rsidRDefault="001C2C79" w:rsidP="008F40BF">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7C118F3B" w14:textId="77777777" w:rsidR="00615C8E" w:rsidRPr="00615C8E" w:rsidRDefault="001C2C79" w:rsidP="009F62C4">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615C8E">
        <w:rPr>
          <w:rFonts w:ascii="Palatino Linotype" w:eastAsia="Palatino Linotype" w:hAnsi="Palatino Linotype" w:cs="Palatino Linotype"/>
          <w:color w:val="000000"/>
        </w:rPr>
        <w:t xml:space="preserve">En ese sentido, se determina que en la respuesta inicial el </w:t>
      </w:r>
      <w:r w:rsidRPr="00615C8E">
        <w:rPr>
          <w:rFonts w:ascii="Palatino Linotype" w:eastAsia="Palatino Linotype" w:hAnsi="Palatino Linotype" w:cs="Palatino Linotype"/>
          <w:b/>
          <w:color w:val="000000"/>
        </w:rPr>
        <w:t xml:space="preserve">SUJETO OBLIGADO </w:t>
      </w:r>
      <w:r w:rsidR="00DE7D68" w:rsidRPr="00615C8E">
        <w:rPr>
          <w:rFonts w:ascii="Palatino Linotype" w:eastAsia="Palatino Linotype" w:hAnsi="Palatino Linotype" w:cs="Palatino Linotype"/>
        </w:rPr>
        <w:t xml:space="preserve">no </w:t>
      </w:r>
      <w:r w:rsidR="008C3476" w:rsidRPr="00615C8E">
        <w:rPr>
          <w:rFonts w:ascii="Palatino Linotype" w:eastAsia="Palatino Linotype" w:hAnsi="Palatino Linotype" w:cs="Palatino Linotype"/>
        </w:rPr>
        <w:t>informó la totalidad de fojas que implicaban</w:t>
      </w:r>
      <w:r w:rsidRPr="00615C8E">
        <w:rPr>
          <w:rFonts w:ascii="Palatino Linotype" w:eastAsia="Palatino Linotype" w:hAnsi="Palatino Linotype" w:cs="Palatino Linotype"/>
          <w:color w:val="000000"/>
        </w:rPr>
        <w:t xml:space="preserve"> que acreditará que la información a entregar </w:t>
      </w:r>
      <w:r w:rsidRPr="00615C8E">
        <w:rPr>
          <w:rFonts w:ascii="Palatino Linotype" w:eastAsia="Palatino Linotype" w:hAnsi="Palatino Linotype" w:cs="Palatino Linotype"/>
        </w:rPr>
        <w:t>sobrepasaba</w:t>
      </w:r>
      <w:r w:rsidRPr="00615C8E">
        <w:rPr>
          <w:rFonts w:ascii="Palatino Linotype" w:eastAsia="Palatino Linotype" w:hAnsi="Palatino Linotype" w:cs="Palatino Linotype"/>
          <w:color w:val="000000"/>
        </w:rPr>
        <w:t xml:space="preserve"> las capacidades técnicas del sistema SAIMEX</w:t>
      </w:r>
      <w:r w:rsidR="00615C8E" w:rsidRPr="00615C8E">
        <w:rPr>
          <w:rFonts w:ascii="Palatino Linotype" w:eastAsia="Palatino Linotype" w:hAnsi="Palatino Linotype" w:cs="Palatino Linotype"/>
          <w:color w:val="000000"/>
        </w:rPr>
        <w:t>.</w:t>
      </w:r>
      <w:r w:rsidR="00615C8E">
        <w:rPr>
          <w:rFonts w:ascii="Palatino Linotype" w:eastAsia="Palatino Linotype" w:hAnsi="Palatino Linotype" w:cs="Palatino Linotype"/>
          <w:color w:val="000000"/>
        </w:rPr>
        <w:t xml:space="preserve"> </w:t>
      </w:r>
      <w:r w:rsidR="00FC587D" w:rsidRPr="00615C8E">
        <w:rPr>
          <w:rFonts w:ascii="Palatino Linotype" w:eastAsia="Palatino Linotype" w:hAnsi="Palatino Linotype" w:cs="Palatino Linotype"/>
          <w:color w:val="000000"/>
        </w:rPr>
        <w:t xml:space="preserve">En esa línea para verificar el número de fojas que trata de subir el </w:t>
      </w:r>
      <w:r w:rsidR="00FC587D" w:rsidRPr="00615C8E">
        <w:rPr>
          <w:rFonts w:ascii="Palatino Linotype" w:eastAsia="Palatino Linotype" w:hAnsi="Palatino Linotype" w:cs="Palatino Linotype"/>
          <w:b/>
          <w:color w:val="000000"/>
        </w:rPr>
        <w:t xml:space="preserve">SUJETO OBLIGADO </w:t>
      </w:r>
      <w:r w:rsidR="00615C8E" w:rsidRPr="00615C8E">
        <w:rPr>
          <w:rFonts w:ascii="Palatino Linotype" w:eastAsia="Palatino Linotype" w:hAnsi="Palatino Linotype" w:cs="Palatino Linotype"/>
          <w:color w:val="000000"/>
        </w:rPr>
        <w:t xml:space="preserve">al sistema </w:t>
      </w:r>
      <w:r w:rsidR="00615C8E">
        <w:rPr>
          <w:rFonts w:ascii="Palatino Linotype" w:eastAsia="Palatino Linotype" w:hAnsi="Palatino Linotype" w:cs="Palatino Linotype"/>
          <w:color w:val="000000"/>
        </w:rPr>
        <w:lastRenderedPageBreak/>
        <w:t>S</w:t>
      </w:r>
      <w:r w:rsidR="00615C8E" w:rsidRPr="00615C8E">
        <w:rPr>
          <w:rFonts w:ascii="Palatino Linotype" w:eastAsia="Palatino Linotype" w:hAnsi="Palatino Linotype" w:cs="Palatino Linotype"/>
          <w:color w:val="000000"/>
        </w:rPr>
        <w:t xml:space="preserve">aimex se </w:t>
      </w:r>
      <w:r w:rsidR="00615C8E">
        <w:rPr>
          <w:rFonts w:ascii="Palatino Linotype" w:eastAsia="Palatino Linotype" w:hAnsi="Palatino Linotype" w:cs="Palatino Linotype"/>
          <w:color w:val="000000"/>
        </w:rPr>
        <w:t>requirió mediante correo electrónico se indicara el número de fojas que implicaba la entrega de la información</w:t>
      </w:r>
      <w:r w:rsidR="00615C8E" w:rsidRPr="00615C8E">
        <w:rPr>
          <w:rFonts w:ascii="Palatino Linotype" w:eastAsia="Palatino Linotype" w:hAnsi="Palatino Linotype" w:cs="Palatino Linotype"/>
          <w:color w:val="000000"/>
        </w:rPr>
        <w:t>, a saber:</w:t>
      </w:r>
      <w:r w:rsidR="00FC587D" w:rsidRPr="00615C8E">
        <w:rPr>
          <w:rFonts w:ascii="Palatino Linotype" w:eastAsia="Palatino Linotype" w:hAnsi="Palatino Linotype" w:cs="Palatino Linotype"/>
          <w:color w:val="000000"/>
        </w:rPr>
        <w:t xml:space="preserve"> </w:t>
      </w:r>
      <w:r w:rsidR="00FC587D" w:rsidRPr="00615C8E">
        <w:rPr>
          <w:rFonts w:ascii="Palatino Linotype" w:eastAsia="Palatino Linotype" w:hAnsi="Palatino Linotype" w:cs="Palatino Linotype"/>
          <w:b/>
          <w:color w:val="000000"/>
        </w:rPr>
        <w:t xml:space="preserve"> </w:t>
      </w:r>
    </w:p>
    <w:p w14:paraId="48B0D640" w14:textId="77777777" w:rsidR="00FC587D" w:rsidRPr="00615C8E" w:rsidRDefault="00FC587D" w:rsidP="00615C8E">
      <w:pPr>
        <w:pBdr>
          <w:top w:val="nil"/>
          <w:left w:val="nil"/>
          <w:bottom w:val="nil"/>
          <w:right w:val="nil"/>
          <w:between w:val="nil"/>
        </w:pBdr>
        <w:jc w:val="both"/>
        <w:rPr>
          <w:rFonts w:ascii="Palatino Linotype" w:hAnsi="Palatino Linotype"/>
          <w:color w:val="000000"/>
        </w:rPr>
      </w:pPr>
    </w:p>
    <w:p w14:paraId="43182CFE" w14:textId="77777777" w:rsidR="00DE7D68" w:rsidRDefault="00615C8E" w:rsidP="00EC4DBC">
      <w:pPr>
        <w:pStyle w:val="Prrafodelista"/>
        <w:spacing w:line="360" w:lineRule="auto"/>
        <w:ind w:left="0"/>
        <w:jc w:val="center"/>
        <w:rPr>
          <w:rFonts w:ascii="Palatino Linotype" w:eastAsia="Palatino Linotype" w:hAnsi="Palatino Linotype" w:cs="Palatino Linotype"/>
          <w:color w:val="000000"/>
        </w:rPr>
      </w:pPr>
      <w:r w:rsidRPr="00615C8E">
        <w:rPr>
          <w:rFonts w:ascii="Palatino Linotype" w:eastAsia="Palatino Linotype" w:hAnsi="Palatino Linotype" w:cs="Palatino Linotype"/>
          <w:noProof/>
          <w:color w:val="000000"/>
        </w:rPr>
        <w:drawing>
          <wp:inline distT="0" distB="0" distL="0" distR="0" wp14:anchorId="0629E7C2" wp14:editId="10ACB78D">
            <wp:extent cx="2801609" cy="4029959"/>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823016" cy="4060751"/>
                    </a:xfrm>
                    <a:prstGeom prst="rect">
                      <a:avLst/>
                    </a:prstGeom>
                  </pic:spPr>
                </pic:pic>
              </a:graphicData>
            </a:graphic>
          </wp:inline>
        </w:drawing>
      </w:r>
    </w:p>
    <w:p w14:paraId="1182DAA7" w14:textId="77777777" w:rsidR="00615C8E" w:rsidRPr="00CB61C6" w:rsidRDefault="00615C8E" w:rsidP="00EC4DBC">
      <w:pPr>
        <w:pStyle w:val="Prrafodelista"/>
        <w:spacing w:line="360" w:lineRule="auto"/>
        <w:ind w:left="0"/>
        <w:jc w:val="center"/>
        <w:rPr>
          <w:rFonts w:ascii="Palatino Linotype" w:eastAsia="Palatino Linotype" w:hAnsi="Palatino Linotype" w:cs="Palatino Linotype"/>
          <w:color w:val="000000"/>
        </w:rPr>
      </w:pPr>
      <w:r w:rsidRPr="00615C8E">
        <w:rPr>
          <w:rFonts w:ascii="Palatino Linotype" w:eastAsia="Palatino Linotype" w:hAnsi="Palatino Linotype" w:cs="Palatino Linotype"/>
          <w:noProof/>
          <w:color w:val="000000"/>
        </w:rPr>
        <w:drawing>
          <wp:inline distT="0" distB="0" distL="0" distR="0" wp14:anchorId="4D0A46EE" wp14:editId="1E5006D5">
            <wp:extent cx="2865748" cy="1016673"/>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890599" cy="1025489"/>
                    </a:xfrm>
                    <a:prstGeom prst="rect">
                      <a:avLst/>
                    </a:prstGeom>
                  </pic:spPr>
                </pic:pic>
              </a:graphicData>
            </a:graphic>
          </wp:inline>
        </w:drawing>
      </w:r>
    </w:p>
    <w:p w14:paraId="640AEBFE" w14:textId="77777777" w:rsidR="009B6613" w:rsidRDefault="006F10A4" w:rsidP="009B6613">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En atención al </w:t>
      </w:r>
      <w:r w:rsidR="00615C8E">
        <w:rPr>
          <w:rFonts w:ascii="Palatino Linotype" w:eastAsia="Palatino Linotype" w:hAnsi="Palatino Linotype" w:cs="Palatino Linotype"/>
          <w:color w:val="000000"/>
        </w:rPr>
        <w:t xml:space="preserve">correo </w:t>
      </w:r>
      <w:r w:rsidR="009B6613">
        <w:rPr>
          <w:rFonts w:ascii="Palatino Linotype" w:eastAsia="Palatino Linotype" w:hAnsi="Palatino Linotype" w:cs="Palatino Linotype"/>
          <w:color w:val="000000"/>
        </w:rPr>
        <w:t>electrónico</w:t>
      </w:r>
      <w:r w:rsidRPr="00CB61C6">
        <w:rPr>
          <w:rFonts w:ascii="Palatino Linotype" w:eastAsia="Palatino Linotype" w:hAnsi="Palatino Linotype" w:cs="Palatino Linotype"/>
          <w:color w:val="000000"/>
        </w:rPr>
        <w:t xml:space="preserve"> el </w:t>
      </w:r>
      <w:r w:rsidRPr="00CB61C6">
        <w:rPr>
          <w:rFonts w:ascii="Palatino Linotype" w:eastAsia="Palatino Linotype" w:hAnsi="Palatino Linotype" w:cs="Palatino Linotype"/>
          <w:b/>
          <w:color w:val="000000"/>
        </w:rPr>
        <w:t xml:space="preserve">SUJETO OBLIGADO </w:t>
      </w:r>
      <w:r w:rsidR="009B6613">
        <w:rPr>
          <w:rFonts w:ascii="Palatino Linotype" w:hAnsi="Palatino Linotype"/>
          <w:color w:val="000000"/>
        </w:rPr>
        <w:t>informó en fecha diecinueve de septiembre</w:t>
      </w:r>
      <w:r w:rsidR="00E814F0">
        <w:rPr>
          <w:rFonts w:ascii="Palatino Linotype" w:hAnsi="Palatino Linotype"/>
          <w:color w:val="000000"/>
        </w:rPr>
        <w:t xml:space="preserve"> del año en curso</w:t>
      </w:r>
      <w:r w:rsidR="009B6613">
        <w:rPr>
          <w:rFonts w:ascii="Palatino Linotype" w:hAnsi="Palatino Linotype"/>
          <w:color w:val="000000"/>
        </w:rPr>
        <w:t xml:space="preserve"> lo siguiente:</w:t>
      </w:r>
    </w:p>
    <w:p w14:paraId="120C5960" w14:textId="77777777" w:rsidR="00EC4DBC" w:rsidRDefault="00EC4DBC" w:rsidP="00EC4DBC">
      <w:pPr>
        <w:pBdr>
          <w:top w:val="nil"/>
          <w:left w:val="nil"/>
          <w:bottom w:val="nil"/>
          <w:right w:val="nil"/>
          <w:between w:val="nil"/>
        </w:pBdr>
        <w:spacing w:line="360" w:lineRule="auto"/>
        <w:jc w:val="both"/>
        <w:rPr>
          <w:rFonts w:ascii="Palatino Linotype" w:hAnsi="Palatino Linotype"/>
          <w:color w:val="000000"/>
        </w:rPr>
      </w:pPr>
    </w:p>
    <w:p w14:paraId="7ECD7324" w14:textId="77777777" w:rsidR="009B6613" w:rsidRDefault="00CB0BB2" w:rsidP="009B6613">
      <w:pPr>
        <w:pBdr>
          <w:top w:val="nil"/>
          <w:left w:val="nil"/>
          <w:bottom w:val="nil"/>
          <w:right w:val="nil"/>
          <w:between w:val="nil"/>
        </w:pBdr>
        <w:spacing w:line="360" w:lineRule="auto"/>
        <w:jc w:val="center"/>
        <w:rPr>
          <w:rFonts w:ascii="Palatino Linotype" w:hAnsi="Palatino Linotype"/>
          <w:color w:val="000000"/>
        </w:rPr>
      </w:pPr>
      <w:r w:rsidRPr="00CB0BB2">
        <w:rPr>
          <w:rFonts w:ascii="Palatino Linotype" w:hAnsi="Palatino Linotype"/>
          <w:noProof/>
          <w:color w:val="000000"/>
        </w:rPr>
        <w:drawing>
          <wp:inline distT="0" distB="0" distL="0" distR="0" wp14:anchorId="7F22E235" wp14:editId="784CFA5F">
            <wp:extent cx="3647728" cy="402524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647728" cy="4025245"/>
                    </a:xfrm>
                    <a:prstGeom prst="rect">
                      <a:avLst/>
                    </a:prstGeom>
                  </pic:spPr>
                </pic:pic>
              </a:graphicData>
            </a:graphic>
          </wp:inline>
        </w:drawing>
      </w:r>
    </w:p>
    <w:p w14:paraId="2AC71FEB" w14:textId="77777777" w:rsidR="009B6613" w:rsidRDefault="00CB0BB2" w:rsidP="009B6613">
      <w:pPr>
        <w:pBdr>
          <w:top w:val="nil"/>
          <w:left w:val="nil"/>
          <w:bottom w:val="nil"/>
          <w:right w:val="nil"/>
          <w:between w:val="nil"/>
        </w:pBdr>
        <w:spacing w:line="360" w:lineRule="auto"/>
        <w:jc w:val="center"/>
        <w:rPr>
          <w:rFonts w:ascii="Palatino Linotype" w:hAnsi="Palatino Linotype"/>
          <w:color w:val="000000"/>
        </w:rPr>
      </w:pPr>
      <w:r w:rsidRPr="00CB0BB2">
        <w:rPr>
          <w:rFonts w:ascii="Palatino Linotype" w:hAnsi="Palatino Linotype"/>
          <w:noProof/>
          <w:color w:val="000000"/>
        </w:rPr>
        <w:lastRenderedPageBreak/>
        <w:drawing>
          <wp:inline distT="0" distB="0" distL="0" distR="0" wp14:anchorId="3C2DF6BD" wp14:editId="4A5F7D9C">
            <wp:extent cx="3577899" cy="4562573"/>
            <wp:effectExtent l="0" t="0" r="381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583743" cy="4570025"/>
                    </a:xfrm>
                    <a:prstGeom prst="rect">
                      <a:avLst/>
                    </a:prstGeom>
                  </pic:spPr>
                </pic:pic>
              </a:graphicData>
            </a:graphic>
          </wp:inline>
        </w:drawing>
      </w:r>
    </w:p>
    <w:p w14:paraId="34204D51"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r>
        <w:rPr>
          <w:rFonts w:ascii="Palatino Linotype" w:hAnsi="Palatino Linotype"/>
          <w:noProof/>
          <w:color w:val="000000"/>
        </w:rPr>
        <mc:AlternateContent>
          <mc:Choice Requires="wps">
            <w:drawing>
              <wp:anchor distT="0" distB="0" distL="114300" distR="114300" simplePos="0" relativeHeight="251659264" behindDoc="0" locked="0" layoutInCell="1" allowOverlap="1" wp14:anchorId="4C62B86A" wp14:editId="0249A62F">
                <wp:simplePos x="0" y="0"/>
                <wp:positionH relativeFrom="column">
                  <wp:posOffset>61562</wp:posOffset>
                </wp:positionH>
                <wp:positionV relativeFrom="paragraph">
                  <wp:posOffset>116041</wp:posOffset>
                </wp:positionV>
                <wp:extent cx="5755064" cy="1154784"/>
                <wp:effectExtent l="0" t="0" r="36195" b="26670"/>
                <wp:wrapNone/>
                <wp:docPr id="19" name="Conector recto 19"/>
                <wp:cNvGraphicFramePr/>
                <a:graphic xmlns:a="http://schemas.openxmlformats.org/drawingml/2006/main">
                  <a:graphicData uri="http://schemas.microsoft.com/office/word/2010/wordprocessingShape">
                    <wps:wsp>
                      <wps:cNvCnPr/>
                      <wps:spPr>
                        <a:xfrm>
                          <a:off x="0" y="0"/>
                          <a:ext cx="5755064" cy="115478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3C2ABFA" id="Conector recto 19"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85pt,9.15pt" to="458pt,10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" strokecolor="black [3200]" strokeweight=".5pt">
                <v:stroke joinstyle="miter"/>
              </v:line>
            </w:pict>
          </mc:Fallback>
        </mc:AlternateContent>
      </w:r>
    </w:p>
    <w:p w14:paraId="5642F930"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p>
    <w:p w14:paraId="625E7B54"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p>
    <w:p w14:paraId="5DAE3E00"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p>
    <w:p w14:paraId="008D62D7"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p>
    <w:p w14:paraId="4B15879B"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r w:rsidRPr="00CB0BB2">
        <w:rPr>
          <w:rFonts w:ascii="Palatino Linotype" w:hAnsi="Palatino Linotype"/>
          <w:noProof/>
          <w:color w:val="000000"/>
        </w:rPr>
        <w:lastRenderedPageBreak/>
        <w:drawing>
          <wp:inline distT="0" distB="0" distL="0" distR="0" wp14:anchorId="5E790D39" wp14:editId="64FD2DBB">
            <wp:extent cx="4081806" cy="4757895"/>
            <wp:effectExtent l="19050" t="19050" r="13970" b="2413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097348" cy="4776011"/>
                    </a:xfrm>
                    <a:prstGeom prst="rect">
                      <a:avLst/>
                    </a:prstGeom>
                    <a:ln>
                      <a:solidFill>
                        <a:schemeClr val="tx1"/>
                      </a:solidFill>
                    </a:ln>
                  </pic:spPr>
                </pic:pic>
              </a:graphicData>
            </a:graphic>
          </wp:inline>
        </w:drawing>
      </w:r>
    </w:p>
    <w:p w14:paraId="14001350" w14:textId="77777777" w:rsidR="00CB0BB2" w:rsidRDefault="00CB0BB2" w:rsidP="009B6613">
      <w:pPr>
        <w:pBdr>
          <w:top w:val="nil"/>
          <w:left w:val="nil"/>
          <w:bottom w:val="nil"/>
          <w:right w:val="nil"/>
          <w:between w:val="nil"/>
        </w:pBdr>
        <w:spacing w:line="360" w:lineRule="auto"/>
        <w:jc w:val="center"/>
        <w:rPr>
          <w:rFonts w:ascii="Palatino Linotype" w:hAnsi="Palatino Linotype"/>
          <w:color w:val="000000"/>
        </w:rPr>
      </w:pPr>
      <w:r>
        <w:rPr>
          <w:rFonts w:ascii="Palatino Linotype" w:hAnsi="Palatino Linotype"/>
          <w:noProof/>
          <w:color w:val="000000"/>
        </w:rPr>
        <mc:AlternateContent>
          <mc:Choice Requires="wps">
            <w:drawing>
              <wp:anchor distT="0" distB="0" distL="114300" distR="114300" simplePos="0" relativeHeight="251661312" behindDoc="0" locked="0" layoutInCell="1" allowOverlap="1" wp14:anchorId="5FD05099" wp14:editId="55B0EC7A">
                <wp:simplePos x="0" y="0"/>
                <wp:positionH relativeFrom="column">
                  <wp:posOffset>0</wp:posOffset>
                </wp:positionH>
                <wp:positionV relativeFrom="paragraph">
                  <wp:posOffset>0</wp:posOffset>
                </wp:positionV>
                <wp:extent cx="5755064" cy="1154784"/>
                <wp:effectExtent l="0" t="0" r="36195" b="26670"/>
                <wp:wrapNone/>
                <wp:docPr id="20" name="Conector recto 20"/>
                <wp:cNvGraphicFramePr/>
                <a:graphic xmlns:a="http://schemas.openxmlformats.org/drawingml/2006/main">
                  <a:graphicData uri="http://schemas.microsoft.com/office/word/2010/wordprocessingShape">
                    <wps:wsp>
                      <wps:cNvCnPr/>
                      <wps:spPr>
                        <a:xfrm>
                          <a:off x="0" y="0"/>
                          <a:ext cx="5755064" cy="115478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F0CC002" id="Conector recto 2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0,0" to="453.15pt,9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" strokecolor="black [3200]" strokeweight=".5pt">
                <v:stroke joinstyle="miter"/>
              </v:line>
            </w:pict>
          </mc:Fallback>
        </mc:AlternateContent>
      </w:r>
    </w:p>
    <w:p w14:paraId="61F1A65F" w14:textId="77777777" w:rsidR="009B6613" w:rsidRPr="009B6613" w:rsidRDefault="009B6613" w:rsidP="009B6613">
      <w:pPr>
        <w:pBdr>
          <w:top w:val="nil"/>
          <w:left w:val="nil"/>
          <w:bottom w:val="nil"/>
          <w:right w:val="nil"/>
          <w:between w:val="nil"/>
        </w:pBdr>
        <w:spacing w:line="360" w:lineRule="auto"/>
        <w:jc w:val="center"/>
        <w:rPr>
          <w:rFonts w:ascii="Palatino Linotype" w:hAnsi="Palatino Linotype"/>
          <w:color w:val="000000"/>
        </w:rPr>
      </w:pPr>
    </w:p>
    <w:p w14:paraId="0E888134" w14:textId="77777777" w:rsidR="009B6613" w:rsidRDefault="009B6613" w:rsidP="009B6613">
      <w:pPr>
        <w:pStyle w:val="Prrafodelista"/>
        <w:rPr>
          <w:rFonts w:ascii="Palatino Linotype" w:eastAsia="Palatino Linotype" w:hAnsi="Palatino Linotype" w:cs="Palatino Linotype"/>
          <w:color w:val="000000"/>
        </w:rPr>
      </w:pPr>
    </w:p>
    <w:p w14:paraId="25D15094" w14:textId="77777777" w:rsidR="00CB0BB2" w:rsidRDefault="00CB0BB2" w:rsidP="009B6613">
      <w:pPr>
        <w:pStyle w:val="Prrafodelista"/>
        <w:rPr>
          <w:rFonts w:ascii="Palatino Linotype" w:eastAsia="Palatino Linotype" w:hAnsi="Palatino Linotype" w:cs="Palatino Linotype"/>
          <w:color w:val="000000"/>
        </w:rPr>
      </w:pPr>
    </w:p>
    <w:p w14:paraId="6A0D0971" w14:textId="77777777" w:rsidR="00CB0BB2" w:rsidRDefault="00CB0BB2" w:rsidP="00CB0BB2">
      <w:pPr>
        <w:jc w:val="center"/>
        <w:rPr>
          <w:rFonts w:ascii="Palatino Linotype" w:eastAsia="Palatino Linotype" w:hAnsi="Palatino Linotype" w:cs="Palatino Linotype"/>
          <w:color w:val="000000"/>
        </w:rPr>
      </w:pPr>
      <w:r w:rsidRPr="00CB0BB2">
        <w:rPr>
          <w:rFonts w:eastAsia="Palatino Linotype"/>
          <w:noProof/>
        </w:rPr>
        <w:lastRenderedPageBreak/>
        <w:drawing>
          <wp:inline distT="0" distB="0" distL="0" distR="0" wp14:anchorId="7F6CD790" wp14:editId="0D96A7F3">
            <wp:extent cx="4161934" cy="4789170"/>
            <wp:effectExtent l="19050" t="19050" r="10160" b="1143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170982" cy="4799582"/>
                    </a:xfrm>
                    <a:prstGeom prst="rect">
                      <a:avLst/>
                    </a:prstGeom>
                    <a:ln>
                      <a:solidFill>
                        <a:schemeClr val="bg1"/>
                      </a:solidFill>
                    </a:ln>
                  </pic:spPr>
                </pic:pic>
              </a:graphicData>
            </a:graphic>
          </wp:inline>
        </w:drawing>
      </w:r>
    </w:p>
    <w:p w14:paraId="11301F6D" w14:textId="77777777" w:rsidR="00CB0BB2" w:rsidRDefault="00CB0BB2" w:rsidP="00CB0BB2">
      <w:pPr>
        <w:jc w:val="center"/>
        <w:rPr>
          <w:rFonts w:ascii="Palatino Linotype" w:eastAsia="Palatino Linotype" w:hAnsi="Palatino Linotype" w:cs="Palatino Linotype"/>
          <w:color w:val="000000"/>
        </w:rPr>
      </w:pPr>
    </w:p>
    <w:p w14:paraId="7E32573C" w14:textId="77777777" w:rsidR="00CB0BB2" w:rsidRPr="00CB0BB2" w:rsidRDefault="00CB0BB2" w:rsidP="00CB0BB2">
      <w:pPr>
        <w:jc w:val="center"/>
        <w:rPr>
          <w:rFonts w:ascii="Palatino Linotype" w:eastAsia="Palatino Linotype" w:hAnsi="Palatino Linotype" w:cs="Palatino Linotype"/>
          <w:color w:val="000000"/>
        </w:rPr>
      </w:pPr>
      <w:r>
        <w:rPr>
          <w:rFonts w:ascii="Palatino Linotype" w:hAnsi="Palatino Linotype"/>
          <w:noProof/>
          <w:color w:val="000000"/>
        </w:rPr>
        <mc:AlternateContent>
          <mc:Choice Requires="wps">
            <w:drawing>
              <wp:anchor distT="0" distB="0" distL="114300" distR="114300" simplePos="0" relativeHeight="251663360" behindDoc="0" locked="0" layoutInCell="1" allowOverlap="1" wp14:anchorId="67B5D9D6" wp14:editId="4672C84C">
                <wp:simplePos x="0" y="0"/>
                <wp:positionH relativeFrom="column">
                  <wp:posOffset>0</wp:posOffset>
                </wp:positionH>
                <wp:positionV relativeFrom="paragraph">
                  <wp:posOffset>0</wp:posOffset>
                </wp:positionV>
                <wp:extent cx="5755064" cy="1154784"/>
                <wp:effectExtent l="0" t="0" r="36195" b="26670"/>
                <wp:wrapNone/>
                <wp:docPr id="22" name="Conector recto 22"/>
                <wp:cNvGraphicFramePr/>
                <a:graphic xmlns:a="http://schemas.openxmlformats.org/drawingml/2006/main">
                  <a:graphicData uri="http://schemas.microsoft.com/office/word/2010/wordprocessingShape">
                    <wps:wsp>
                      <wps:cNvCnPr/>
                      <wps:spPr>
                        <a:xfrm>
                          <a:off x="0" y="0"/>
                          <a:ext cx="5755064" cy="115478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998918" id="Conector recto 2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0,0" to="453.15pt,9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" strokecolor="black [3200]" strokeweight=".5pt">
                <v:stroke joinstyle="miter"/>
              </v:line>
            </w:pict>
          </mc:Fallback>
        </mc:AlternateContent>
      </w:r>
    </w:p>
    <w:p w14:paraId="6C49934D" w14:textId="77777777" w:rsidR="00CB0BB2" w:rsidRDefault="00CB0BB2" w:rsidP="009B6613">
      <w:pPr>
        <w:pStyle w:val="Prrafodelista"/>
        <w:rPr>
          <w:rFonts w:ascii="Palatino Linotype" w:eastAsia="Palatino Linotype" w:hAnsi="Palatino Linotype" w:cs="Palatino Linotype"/>
          <w:color w:val="000000"/>
        </w:rPr>
      </w:pPr>
    </w:p>
    <w:p w14:paraId="5DA4F093" w14:textId="77777777" w:rsidR="00CB0BB2" w:rsidRDefault="00CB0BB2" w:rsidP="009B6613">
      <w:pPr>
        <w:pStyle w:val="Prrafodelista"/>
        <w:rPr>
          <w:rFonts w:ascii="Palatino Linotype" w:eastAsia="Palatino Linotype" w:hAnsi="Palatino Linotype" w:cs="Palatino Linotype"/>
          <w:color w:val="000000"/>
        </w:rPr>
      </w:pPr>
    </w:p>
    <w:p w14:paraId="1BAE1E22" w14:textId="77777777" w:rsidR="00CB0BB2" w:rsidRDefault="00CB0BB2" w:rsidP="009B6613">
      <w:pPr>
        <w:pStyle w:val="Prrafodelista"/>
        <w:rPr>
          <w:rFonts w:ascii="Palatino Linotype" w:eastAsia="Palatino Linotype" w:hAnsi="Palatino Linotype" w:cs="Palatino Linotype"/>
          <w:color w:val="000000"/>
        </w:rPr>
      </w:pPr>
    </w:p>
    <w:p w14:paraId="01C6B2F5" w14:textId="77777777" w:rsidR="00CB0BB2" w:rsidRDefault="00CB0BB2" w:rsidP="009B6613">
      <w:pPr>
        <w:pStyle w:val="Prrafodelista"/>
        <w:rPr>
          <w:rFonts w:ascii="Palatino Linotype" w:eastAsia="Palatino Linotype" w:hAnsi="Palatino Linotype" w:cs="Palatino Linotype"/>
          <w:color w:val="000000"/>
        </w:rPr>
      </w:pPr>
    </w:p>
    <w:p w14:paraId="3ECC01BF" w14:textId="77777777" w:rsidR="009B6613" w:rsidRDefault="00CB0BB2" w:rsidP="00CB0BB2">
      <w:pPr>
        <w:pBdr>
          <w:top w:val="nil"/>
          <w:left w:val="nil"/>
          <w:bottom w:val="nil"/>
          <w:right w:val="nil"/>
          <w:between w:val="nil"/>
        </w:pBdr>
        <w:spacing w:line="360" w:lineRule="auto"/>
        <w:jc w:val="center"/>
        <w:rPr>
          <w:rFonts w:ascii="Palatino Linotype" w:eastAsia="Palatino Linotype" w:hAnsi="Palatino Linotype" w:cs="Palatino Linotype"/>
          <w:color w:val="000000"/>
        </w:rPr>
      </w:pPr>
      <w:r w:rsidRPr="00CB0BB2">
        <w:rPr>
          <w:rFonts w:ascii="Palatino Linotype" w:eastAsia="Palatino Linotype" w:hAnsi="Palatino Linotype" w:cs="Palatino Linotype"/>
          <w:noProof/>
          <w:color w:val="000000"/>
        </w:rPr>
        <w:lastRenderedPageBreak/>
        <w:drawing>
          <wp:inline distT="0" distB="0" distL="0" distR="0" wp14:anchorId="3C7AF87B" wp14:editId="549B5D99">
            <wp:extent cx="4251448" cy="5472259"/>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254571" cy="5476279"/>
                    </a:xfrm>
                    <a:prstGeom prst="rect">
                      <a:avLst/>
                    </a:prstGeom>
                  </pic:spPr>
                </pic:pic>
              </a:graphicData>
            </a:graphic>
          </wp:inline>
        </w:drawing>
      </w:r>
    </w:p>
    <w:p w14:paraId="336BE4B1" w14:textId="77777777" w:rsidR="00CB0BB2" w:rsidRDefault="00CB0BB2" w:rsidP="00CB0BB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4D311EC9" w14:textId="77777777" w:rsidR="00CB0BB2" w:rsidRDefault="00CB0BB2" w:rsidP="00CB0BB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076DF9B" w14:textId="77777777" w:rsidR="00CB0BB2" w:rsidRDefault="00CB0BB2" w:rsidP="00CB0BB2">
      <w:pPr>
        <w:pBdr>
          <w:top w:val="nil"/>
          <w:left w:val="nil"/>
          <w:bottom w:val="nil"/>
          <w:right w:val="nil"/>
          <w:between w:val="nil"/>
        </w:pBdr>
        <w:spacing w:line="360" w:lineRule="auto"/>
        <w:jc w:val="center"/>
        <w:rPr>
          <w:rFonts w:ascii="Palatino Linotype" w:hAnsi="Palatino Linotype"/>
          <w:color w:val="000000"/>
        </w:rPr>
      </w:pPr>
      <w:r w:rsidRPr="00CB0BB2">
        <w:rPr>
          <w:rFonts w:ascii="Palatino Linotype" w:hAnsi="Palatino Linotype"/>
          <w:noProof/>
          <w:color w:val="000000"/>
        </w:rPr>
        <w:lastRenderedPageBreak/>
        <w:drawing>
          <wp:inline distT="0" distB="0" distL="0" distR="0" wp14:anchorId="6762AB65" wp14:editId="4F562259">
            <wp:extent cx="4256202" cy="5180482"/>
            <wp:effectExtent l="0" t="0" r="0" b="127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265441" cy="5191727"/>
                    </a:xfrm>
                    <a:prstGeom prst="rect">
                      <a:avLst/>
                    </a:prstGeom>
                  </pic:spPr>
                </pic:pic>
              </a:graphicData>
            </a:graphic>
          </wp:inline>
        </w:drawing>
      </w:r>
    </w:p>
    <w:p w14:paraId="1B6D2E4E" w14:textId="77777777" w:rsidR="00CB0BB2" w:rsidRDefault="00CB0BB2" w:rsidP="00CB0BB2">
      <w:pPr>
        <w:pBdr>
          <w:top w:val="nil"/>
          <w:left w:val="nil"/>
          <w:bottom w:val="nil"/>
          <w:right w:val="nil"/>
          <w:between w:val="nil"/>
        </w:pBdr>
        <w:spacing w:line="360" w:lineRule="auto"/>
        <w:jc w:val="center"/>
        <w:rPr>
          <w:rFonts w:ascii="Palatino Linotype" w:hAnsi="Palatino Linotype"/>
          <w:color w:val="000000"/>
        </w:rPr>
      </w:pPr>
      <w:r w:rsidRPr="00CB0BB2">
        <w:rPr>
          <w:rFonts w:ascii="Palatino Linotype" w:hAnsi="Palatino Linotype"/>
          <w:noProof/>
          <w:color w:val="000000"/>
        </w:rPr>
        <w:lastRenderedPageBreak/>
        <w:drawing>
          <wp:inline distT="0" distB="0" distL="0" distR="0" wp14:anchorId="3670964F" wp14:editId="184336B5">
            <wp:extent cx="3794289" cy="2988359"/>
            <wp:effectExtent l="0" t="0" r="0" b="254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799714" cy="2992632"/>
                    </a:xfrm>
                    <a:prstGeom prst="rect">
                      <a:avLst/>
                    </a:prstGeom>
                  </pic:spPr>
                </pic:pic>
              </a:graphicData>
            </a:graphic>
          </wp:inline>
        </w:drawing>
      </w:r>
    </w:p>
    <w:p w14:paraId="46961684" w14:textId="77777777" w:rsidR="00CB0BB2" w:rsidRDefault="00CB0BB2" w:rsidP="00CB0BB2">
      <w:pPr>
        <w:pBdr>
          <w:top w:val="nil"/>
          <w:left w:val="nil"/>
          <w:bottom w:val="nil"/>
          <w:right w:val="nil"/>
          <w:between w:val="nil"/>
        </w:pBdr>
        <w:spacing w:line="360" w:lineRule="auto"/>
        <w:jc w:val="both"/>
        <w:rPr>
          <w:rFonts w:ascii="Palatino Linotype" w:hAnsi="Palatino Linotype"/>
          <w:color w:val="000000"/>
        </w:rPr>
      </w:pPr>
    </w:p>
    <w:p w14:paraId="06EA97EE" w14:textId="77777777" w:rsidR="00F37328" w:rsidRPr="00E814F0" w:rsidRDefault="001C2C79" w:rsidP="00F37328">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E814F0">
        <w:rPr>
          <w:rFonts w:ascii="Palatino Linotype" w:eastAsia="Palatino Linotype" w:hAnsi="Palatino Linotype" w:cs="Palatino Linotype"/>
          <w:color w:val="000000"/>
        </w:rPr>
        <w:t xml:space="preserve">Tal y como se aprecia, el </w:t>
      </w:r>
      <w:r w:rsidRPr="00E814F0">
        <w:rPr>
          <w:rFonts w:ascii="Palatino Linotype" w:eastAsia="Palatino Linotype" w:hAnsi="Palatino Linotype" w:cs="Palatino Linotype"/>
          <w:b/>
          <w:smallCaps/>
          <w:color w:val="000000"/>
        </w:rPr>
        <w:t>SUJETO OBLIGADO</w:t>
      </w:r>
      <w:r w:rsidRPr="00E814F0">
        <w:rPr>
          <w:rFonts w:ascii="Palatino Linotype" w:eastAsia="Palatino Linotype" w:hAnsi="Palatino Linotype" w:cs="Palatino Linotype"/>
          <w:color w:val="000000"/>
        </w:rPr>
        <w:t xml:space="preserve"> </w:t>
      </w:r>
      <w:r w:rsidRPr="00E814F0">
        <w:rPr>
          <w:rFonts w:ascii="Palatino Linotype" w:eastAsia="Palatino Linotype" w:hAnsi="Palatino Linotype" w:cs="Palatino Linotype"/>
        </w:rPr>
        <w:t>modificó</w:t>
      </w:r>
      <w:r w:rsidRPr="00E814F0">
        <w:rPr>
          <w:rFonts w:ascii="Palatino Linotype" w:eastAsia="Palatino Linotype" w:hAnsi="Palatino Linotype" w:cs="Palatino Linotype"/>
          <w:color w:val="000000"/>
        </w:rPr>
        <w:t xml:space="preserve"> su respuesta al </w:t>
      </w:r>
      <w:r w:rsidR="009F62C4" w:rsidRPr="00E814F0">
        <w:rPr>
          <w:rFonts w:ascii="Palatino Linotype" w:eastAsia="Palatino Linotype" w:hAnsi="Palatino Linotype" w:cs="Palatino Linotype"/>
          <w:color w:val="000000"/>
        </w:rPr>
        <w:t xml:space="preserve">cumplimentar el pretendido cambio de modalidad propuesto de manera inicial, al </w:t>
      </w:r>
      <w:r w:rsidRPr="00E814F0">
        <w:rPr>
          <w:rFonts w:ascii="Palatino Linotype" w:eastAsia="Palatino Linotype" w:hAnsi="Palatino Linotype" w:cs="Palatino Linotype"/>
          <w:color w:val="000000"/>
        </w:rPr>
        <w:t xml:space="preserve">anexar en </w:t>
      </w:r>
      <w:r w:rsidR="009F62C4" w:rsidRPr="00E814F0">
        <w:rPr>
          <w:rFonts w:ascii="Palatino Linotype" w:eastAsia="Palatino Linotype" w:hAnsi="Palatino Linotype" w:cs="Palatino Linotype"/>
          <w:color w:val="000000"/>
        </w:rPr>
        <w:t>alcance a su respuesta e informe justificado el numero de fojas que implica la entrega del soporte documental requerido; con lo que se comprueba que ciertamente se sobrepasa las capac</w:t>
      </w:r>
      <w:r w:rsidRPr="00E814F0">
        <w:rPr>
          <w:rFonts w:ascii="Palatino Linotype" w:eastAsia="Palatino Linotype" w:hAnsi="Palatino Linotype" w:cs="Palatino Linotype"/>
          <w:color w:val="000000"/>
        </w:rPr>
        <w:t xml:space="preserve">idades técnicas </w:t>
      </w:r>
      <w:r w:rsidR="009F62C4" w:rsidRPr="00E814F0">
        <w:rPr>
          <w:rFonts w:ascii="Palatino Linotype" w:eastAsia="Palatino Linotype" w:hAnsi="Palatino Linotype" w:cs="Palatino Linotype"/>
          <w:color w:val="000000"/>
        </w:rPr>
        <w:t xml:space="preserve">del SAIMEX </w:t>
      </w:r>
      <w:r w:rsidR="00F37328" w:rsidRPr="00E814F0">
        <w:rPr>
          <w:rFonts w:ascii="Palatino Linotype" w:eastAsia="Palatino Linotype" w:hAnsi="Palatino Linotype" w:cs="Palatino Linotype"/>
          <w:color w:val="000000"/>
        </w:rPr>
        <w:t>el cual de acuerdo a lo informado por la Dirección de Informática de este Instituto es de un peso aproximado de hasta 500Mb o un equivalente de hasta 8,000 hojas, como se observa:</w:t>
      </w:r>
    </w:p>
    <w:p w14:paraId="70D32DFF" w14:textId="77777777" w:rsidR="00F37328" w:rsidRDefault="00F37328" w:rsidP="00F37328">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09873BD" w14:textId="77777777" w:rsidR="00F37328" w:rsidRDefault="00F37328" w:rsidP="00F37328">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39D0D47" w14:textId="77777777" w:rsidR="00F37328" w:rsidRDefault="00E814F0" w:rsidP="00E814F0">
      <w:pPr>
        <w:pBdr>
          <w:top w:val="nil"/>
          <w:left w:val="nil"/>
          <w:bottom w:val="nil"/>
          <w:right w:val="nil"/>
          <w:between w:val="nil"/>
        </w:pBdr>
        <w:spacing w:line="360" w:lineRule="auto"/>
        <w:jc w:val="center"/>
        <w:rPr>
          <w:rFonts w:ascii="Palatino Linotype" w:hAnsi="Palatino Linotype"/>
          <w:b/>
          <w:color w:val="000000"/>
        </w:rPr>
      </w:pPr>
      <w:r w:rsidRPr="00E814F0">
        <w:rPr>
          <w:rFonts w:ascii="Palatino Linotype" w:hAnsi="Palatino Linotype"/>
          <w:b/>
          <w:color w:val="000000"/>
        </w:rPr>
        <w:lastRenderedPageBreak/>
        <w:t>INSERTAR INCIDENCIA</w:t>
      </w:r>
    </w:p>
    <w:p w14:paraId="5B131AC2" w14:textId="77777777" w:rsidR="00E814F0" w:rsidRDefault="00D34E46" w:rsidP="00E814F0">
      <w:pPr>
        <w:pBdr>
          <w:top w:val="nil"/>
          <w:left w:val="nil"/>
          <w:bottom w:val="nil"/>
          <w:right w:val="nil"/>
          <w:between w:val="nil"/>
        </w:pBdr>
        <w:spacing w:line="360" w:lineRule="auto"/>
        <w:rPr>
          <w:rFonts w:ascii="Palatino Linotype" w:hAnsi="Palatino Linotype"/>
          <w:b/>
          <w:color w:val="000000"/>
        </w:rPr>
      </w:pPr>
      <w:r w:rsidRPr="00D34E46">
        <w:rPr>
          <w:rFonts w:ascii="Palatino Linotype" w:hAnsi="Palatino Linotype"/>
          <w:b/>
          <w:noProof/>
          <w:color w:val="000000"/>
        </w:rPr>
        <w:drawing>
          <wp:inline distT="0" distB="0" distL="0" distR="0" wp14:anchorId="659687B5" wp14:editId="5AE10F4E">
            <wp:extent cx="5742940" cy="1319530"/>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42940" cy="1319530"/>
                    </a:xfrm>
                    <a:prstGeom prst="rect">
                      <a:avLst/>
                    </a:prstGeom>
                    <a:ln>
                      <a:noFill/>
                    </a:ln>
                  </pic:spPr>
                </pic:pic>
              </a:graphicData>
            </a:graphic>
          </wp:inline>
        </w:drawing>
      </w:r>
    </w:p>
    <w:p w14:paraId="06F666A3" w14:textId="77777777" w:rsidR="00FE0691" w:rsidRDefault="00FE0691" w:rsidP="00E814F0">
      <w:pPr>
        <w:pBdr>
          <w:top w:val="nil"/>
          <w:left w:val="nil"/>
          <w:bottom w:val="nil"/>
          <w:right w:val="nil"/>
          <w:between w:val="nil"/>
        </w:pBdr>
        <w:spacing w:line="360" w:lineRule="auto"/>
        <w:rPr>
          <w:rFonts w:ascii="Palatino Linotype" w:hAnsi="Palatino Linotype"/>
          <w:b/>
          <w:color w:val="000000"/>
        </w:rPr>
      </w:pPr>
    </w:p>
    <w:p w14:paraId="35CC2CBE" w14:textId="77777777" w:rsidR="004725B7" w:rsidRDefault="004725B7" w:rsidP="004725B7">
      <w:pPr>
        <w:pBdr>
          <w:top w:val="nil"/>
          <w:left w:val="nil"/>
          <w:bottom w:val="nil"/>
          <w:right w:val="nil"/>
          <w:between w:val="nil"/>
        </w:pBdr>
        <w:spacing w:line="360" w:lineRule="auto"/>
        <w:jc w:val="center"/>
        <w:rPr>
          <w:rFonts w:ascii="Palatino Linotype" w:hAnsi="Palatino Linotype"/>
          <w:b/>
          <w:color w:val="000000"/>
        </w:rPr>
      </w:pPr>
      <w:r w:rsidRPr="004725B7">
        <w:rPr>
          <w:rFonts w:ascii="Palatino Linotype" w:hAnsi="Palatino Linotype"/>
          <w:b/>
          <w:noProof/>
          <w:color w:val="000000"/>
        </w:rPr>
        <w:drawing>
          <wp:inline distT="0" distB="0" distL="0" distR="0" wp14:anchorId="07151A67" wp14:editId="4FA28695">
            <wp:extent cx="3231964" cy="3370082"/>
            <wp:effectExtent l="0" t="0" r="6985" b="190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237802" cy="3376169"/>
                    </a:xfrm>
                    <a:prstGeom prst="rect">
                      <a:avLst/>
                    </a:prstGeom>
                    <a:ln>
                      <a:noFill/>
                    </a:ln>
                  </pic:spPr>
                </pic:pic>
              </a:graphicData>
            </a:graphic>
          </wp:inline>
        </w:drawing>
      </w:r>
    </w:p>
    <w:p w14:paraId="74DD5155" w14:textId="77777777" w:rsidR="00FE0691" w:rsidRPr="00E814F0" w:rsidRDefault="00FE0691" w:rsidP="004725B7">
      <w:pPr>
        <w:pBdr>
          <w:top w:val="nil"/>
          <w:left w:val="nil"/>
          <w:bottom w:val="nil"/>
          <w:right w:val="nil"/>
          <w:between w:val="nil"/>
        </w:pBdr>
        <w:spacing w:line="360" w:lineRule="auto"/>
        <w:jc w:val="center"/>
        <w:rPr>
          <w:rFonts w:ascii="Palatino Linotype" w:hAnsi="Palatino Linotype"/>
          <w:b/>
          <w:color w:val="000000"/>
        </w:rPr>
      </w:pPr>
      <w:r w:rsidRPr="00FE0691">
        <w:rPr>
          <w:rFonts w:ascii="Palatino Linotype" w:hAnsi="Palatino Linotype"/>
          <w:b/>
          <w:noProof/>
          <w:color w:val="000000"/>
        </w:rPr>
        <w:lastRenderedPageBreak/>
        <w:drawing>
          <wp:inline distT="0" distB="0" distL="0" distR="0" wp14:anchorId="2911DF91" wp14:editId="2DBA848F">
            <wp:extent cx="3378738" cy="3985483"/>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386058" cy="3994118"/>
                    </a:xfrm>
                    <a:prstGeom prst="rect">
                      <a:avLst/>
                    </a:prstGeom>
                  </pic:spPr>
                </pic:pic>
              </a:graphicData>
            </a:graphic>
          </wp:inline>
        </w:drawing>
      </w:r>
    </w:p>
    <w:p w14:paraId="698621B0" w14:textId="77777777" w:rsidR="00D34E46" w:rsidRDefault="00D34E46" w:rsidP="00D34E46">
      <w:pPr>
        <w:numPr>
          <w:ilvl w:val="0"/>
          <w:numId w:val="6"/>
        </w:numPr>
        <w:pBdr>
          <w:top w:val="nil"/>
          <w:left w:val="nil"/>
          <w:bottom w:val="nil"/>
          <w:right w:val="nil"/>
          <w:between w:val="nil"/>
        </w:pBdr>
        <w:shd w:val="clear" w:color="auto" w:fill="FFFFFF"/>
        <w:spacing w:line="360" w:lineRule="auto"/>
        <w:ind w:left="0" w:right="49" w:firstLine="0"/>
        <w:jc w:val="both"/>
        <w:rPr>
          <w:rFonts w:ascii="Palatino Linotype" w:hAnsi="Palatino Linotype"/>
          <w:color w:val="000000"/>
        </w:rPr>
      </w:pPr>
      <w:r w:rsidRPr="00D34E46">
        <w:rPr>
          <w:rFonts w:ascii="Palatino Linotype" w:hAnsi="Palatino Linotype"/>
          <w:color w:val="000000"/>
        </w:rPr>
        <w:t xml:space="preserve">Al respecto no pasa desapercibido que el Sujeto Obligado informó que la Dirección de Informática no dio respuesta al registro de incidencia de las solicitudes de información 00369/TOLUCA/IP/2024 y 00370/TOLUCA/IP/2024; sin embargo de la captura de referencia, se advierte el registro de incidencia de esas solicitudes de información, por lo que se </w:t>
      </w:r>
      <w:r w:rsidR="00FE0691">
        <w:rPr>
          <w:rFonts w:ascii="Palatino Linotype" w:hAnsi="Palatino Linotype"/>
          <w:color w:val="000000"/>
        </w:rPr>
        <w:t xml:space="preserve">también se </w:t>
      </w:r>
      <w:r w:rsidRPr="00D34E46">
        <w:rPr>
          <w:rFonts w:ascii="Palatino Linotype" w:hAnsi="Palatino Linotype"/>
          <w:color w:val="000000"/>
        </w:rPr>
        <w:t>tiene por colmado tal requisito a esas solicitudes de información.</w:t>
      </w:r>
    </w:p>
    <w:p w14:paraId="59C747DC" w14:textId="77777777" w:rsidR="001C2C79" w:rsidRPr="007F6CCA" w:rsidRDefault="001C2C79" w:rsidP="002D4457">
      <w:pPr>
        <w:numPr>
          <w:ilvl w:val="0"/>
          <w:numId w:val="6"/>
        </w:numPr>
        <w:pBdr>
          <w:top w:val="nil"/>
          <w:left w:val="nil"/>
          <w:bottom w:val="nil"/>
          <w:right w:val="nil"/>
          <w:between w:val="nil"/>
        </w:pBdr>
        <w:shd w:val="clear" w:color="auto" w:fill="FFFFFF"/>
        <w:spacing w:line="360" w:lineRule="auto"/>
        <w:ind w:left="0" w:right="49" w:firstLine="0"/>
        <w:jc w:val="both"/>
        <w:rPr>
          <w:rFonts w:ascii="Palatino Linotype" w:hAnsi="Palatino Linotype"/>
          <w:color w:val="000000"/>
        </w:rPr>
      </w:pPr>
      <w:r w:rsidRPr="007F6CCA">
        <w:rPr>
          <w:rFonts w:ascii="Palatino Linotype" w:eastAsia="Palatino Linotype" w:hAnsi="Palatino Linotype" w:cs="Palatino Linotype"/>
          <w:color w:val="000000"/>
        </w:rPr>
        <w:lastRenderedPageBreak/>
        <w:t>En consecuencia, al haber existido un pronunciamiento por el Sujeto Obligado</w:t>
      </w:r>
      <w:r w:rsidR="00687ED8" w:rsidRPr="007F6CCA">
        <w:rPr>
          <w:rFonts w:ascii="Palatino Linotype" w:eastAsia="Palatino Linotype" w:hAnsi="Palatino Linotype" w:cs="Palatino Linotype"/>
          <w:color w:val="000000"/>
        </w:rPr>
        <w:t xml:space="preserve"> para atender el requerimiento de alcance a la información solicitada</w:t>
      </w:r>
      <w:r w:rsidRPr="007F6CCA">
        <w:rPr>
          <w:rFonts w:ascii="Palatino Linotype" w:eastAsia="Palatino Linotype" w:hAnsi="Palatino Linotype" w:cs="Palatino Linotype"/>
          <w:color w:val="000000"/>
        </w:rPr>
        <w:t xml:space="preserve"> en cuanto a la imposibilidad de atender la solicitud en la modalidad </w:t>
      </w:r>
      <w:r w:rsidR="00687ED8" w:rsidRPr="007F6CCA">
        <w:rPr>
          <w:rFonts w:ascii="Palatino Linotype" w:eastAsia="Palatino Linotype" w:hAnsi="Palatino Linotype" w:cs="Palatino Linotype"/>
          <w:color w:val="000000"/>
        </w:rPr>
        <w:t xml:space="preserve">que había sido elegida por el </w:t>
      </w:r>
      <w:r w:rsidR="00687ED8" w:rsidRPr="007F6CCA">
        <w:rPr>
          <w:rFonts w:ascii="Palatino Linotype" w:eastAsia="Palatino Linotype" w:hAnsi="Palatino Linotype" w:cs="Palatino Linotype"/>
          <w:b/>
          <w:color w:val="000000"/>
        </w:rPr>
        <w:t xml:space="preserve">RECURRENTE, </w:t>
      </w:r>
      <w:r w:rsidR="00687ED8" w:rsidRPr="007F6CCA">
        <w:rPr>
          <w:rFonts w:ascii="Palatino Linotype" w:eastAsia="Palatino Linotype" w:hAnsi="Palatino Linotype" w:cs="Palatino Linotype"/>
          <w:color w:val="000000"/>
        </w:rPr>
        <w:t xml:space="preserve"> </w:t>
      </w:r>
      <w:r w:rsidR="007F6CCA" w:rsidRPr="007F6CCA">
        <w:rPr>
          <w:rFonts w:ascii="Palatino Linotype" w:eastAsia="Palatino Linotype" w:hAnsi="Palatino Linotype" w:cs="Palatino Linotype"/>
          <w:color w:val="000000"/>
        </w:rPr>
        <w:t>no pasando desapercibido que al respecto,</w:t>
      </w:r>
      <w:r w:rsidRPr="007F6CCA">
        <w:rPr>
          <w:rFonts w:ascii="Palatino Linotype" w:eastAsia="Palatino Linotype" w:hAnsi="Palatino Linotype" w:cs="Palatino Linotype"/>
          <w:color w:val="000000"/>
        </w:rPr>
        <w:t xml:space="preserve"> no se puede dudar de la veracidad</w:t>
      </w:r>
      <w:r w:rsidR="00687ED8" w:rsidRPr="007F6CCA">
        <w:rPr>
          <w:rFonts w:ascii="Palatino Linotype" w:eastAsia="Palatino Linotype" w:hAnsi="Palatino Linotype" w:cs="Palatino Linotype"/>
          <w:color w:val="000000"/>
        </w:rPr>
        <w:t xml:space="preserve"> de lo referido por </w:t>
      </w:r>
      <w:r w:rsidR="00687ED8" w:rsidRPr="007F6CCA">
        <w:rPr>
          <w:rFonts w:ascii="Palatino Linotype" w:eastAsia="Palatino Linotype" w:hAnsi="Palatino Linotype" w:cs="Palatino Linotype"/>
          <w:b/>
          <w:color w:val="000000"/>
        </w:rPr>
        <w:t>SUJETO OBLIGADO</w:t>
      </w:r>
      <w:r w:rsidR="007F6CCA" w:rsidRPr="007F6CCA">
        <w:rPr>
          <w:rFonts w:ascii="Palatino Linotype" w:eastAsia="Palatino Linotype" w:hAnsi="Palatino Linotype" w:cs="Palatino Linotype"/>
          <w:color w:val="000000"/>
        </w:rPr>
        <w:t xml:space="preserve">; toda vez que </w:t>
      </w:r>
      <w:r w:rsidR="007F6CCA">
        <w:rPr>
          <w:rFonts w:ascii="Palatino Linotype" w:eastAsia="Palatino Linotype" w:hAnsi="Palatino Linotype" w:cs="Palatino Linotype"/>
          <w:color w:val="000000"/>
        </w:rPr>
        <w:t>e</w:t>
      </w:r>
      <w:r w:rsidRPr="007F6CCA">
        <w:rPr>
          <w:rFonts w:ascii="Palatino Linotype" w:eastAsia="Palatino Linotype" w:hAnsi="Palatino Linotype" w:cs="Palatino Linotype"/>
          <w:color w:val="000000"/>
        </w:rPr>
        <w:t>ste Órgano Garante carece de facultades para dudar de la veracidad sob</w:t>
      </w:r>
      <w:r w:rsidR="007F6CCA">
        <w:rPr>
          <w:rFonts w:ascii="Palatino Linotype" w:eastAsia="Palatino Linotype" w:hAnsi="Palatino Linotype" w:cs="Palatino Linotype"/>
          <w:color w:val="000000"/>
        </w:rPr>
        <w:t xml:space="preserve">re la información que proporcionan </w:t>
      </w:r>
      <w:r w:rsidRPr="007F6CCA">
        <w:rPr>
          <w:rFonts w:ascii="Palatino Linotype" w:eastAsia="Palatino Linotype" w:hAnsi="Palatino Linotype" w:cs="Palatino Linotype"/>
          <w:color w:val="000000"/>
        </w:rPr>
        <w:t>l</w:t>
      </w:r>
      <w:r w:rsidR="007F6CCA">
        <w:rPr>
          <w:rFonts w:ascii="Palatino Linotype" w:eastAsia="Palatino Linotype" w:hAnsi="Palatino Linotype" w:cs="Palatino Linotype"/>
          <w:color w:val="000000"/>
        </w:rPr>
        <w:t>os</w:t>
      </w:r>
      <w:r w:rsidRPr="007F6CCA">
        <w:rPr>
          <w:rFonts w:ascii="Palatino Linotype" w:eastAsia="Palatino Linotype" w:hAnsi="Palatino Linotype" w:cs="Palatino Linotype"/>
          <w:color w:val="000000"/>
        </w:rPr>
        <w:t xml:space="preserve"> Sujeto</w:t>
      </w:r>
      <w:r w:rsidR="007F6CCA">
        <w:rPr>
          <w:rFonts w:ascii="Palatino Linotype" w:eastAsia="Palatino Linotype" w:hAnsi="Palatino Linotype" w:cs="Palatino Linotype"/>
          <w:color w:val="000000"/>
        </w:rPr>
        <w:t>s</w:t>
      </w:r>
      <w:r w:rsidRPr="007F6CCA">
        <w:rPr>
          <w:rFonts w:ascii="Palatino Linotype" w:eastAsia="Palatino Linotype" w:hAnsi="Palatino Linotype" w:cs="Palatino Linotype"/>
          <w:color w:val="000000"/>
        </w:rPr>
        <w:t xml:space="preserve"> Obligado</w:t>
      </w:r>
      <w:r w:rsidR="007F6CCA">
        <w:rPr>
          <w:rFonts w:ascii="Palatino Linotype" w:eastAsia="Palatino Linotype" w:hAnsi="Palatino Linotype" w:cs="Palatino Linotype"/>
          <w:color w:val="000000"/>
        </w:rPr>
        <w:t>s</w:t>
      </w:r>
      <w:r w:rsidRPr="007F6CCA">
        <w:rPr>
          <w:rFonts w:ascii="Palatino Linotype" w:eastAsia="Palatino Linotype" w:hAnsi="Palatino Linotype" w:cs="Palatino Linotype"/>
          <w:color w:val="000000"/>
        </w:rPr>
        <w:t>.</w:t>
      </w:r>
    </w:p>
    <w:p w14:paraId="4D1CA47A" w14:textId="77777777" w:rsidR="007F6CCA" w:rsidRPr="007F6CCA" w:rsidRDefault="007F6CCA" w:rsidP="007F6CCA">
      <w:pPr>
        <w:pBdr>
          <w:top w:val="nil"/>
          <w:left w:val="nil"/>
          <w:bottom w:val="nil"/>
          <w:right w:val="nil"/>
          <w:between w:val="nil"/>
        </w:pBdr>
        <w:shd w:val="clear" w:color="auto" w:fill="FFFFFF"/>
        <w:spacing w:line="360" w:lineRule="auto"/>
        <w:ind w:right="49"/>
        <w:jc w:val="both"/>
        <w:rPr>
          <w:rFonts w:ascii="Palatino Linotype" w:hAnsi="Palatino Linotype"/>
          <w:color w:val="000000"/>
        </w:rPr>
      </w:pPr>
    </w:p>
    <w:p w14:paraId="5EDEC931" w14:textId="77777777" w:rsidR="001C2C79" w:rsidRPr="00CB61C6" w:rsidRDefault="001C2C79" w:rsidP="008F40BF">
      <w:pPr>
        <w:pStyle w:val="Ttulo2"/>
        <w:spacing w:before="0" w:line="360" w:lineRule="auto"/>
        <w:jc w:val="both"/>
        <w:rPr>
          <w:rFonts w:ascii="Palatino Linotype" w:eastAsia="Palatino Linotype" w:hAnsi="Palatino Linotype" w:cs="Palatino Linotype"/>
          <w:b/>
          <w:color w:val="000000"/>
          <w:sz w:val="24"/>
          <w:szCs w:val="24"/>
        </w:rPr>
      </w:pPr>
      <w:r w:rsidRPr="00CB61C6">
        <w:rPr>
          <w:rFonts w:ascii="Palatino Linotype" w:eastAsia="Palatino Linotype" w:hAnsi="Palatino Linotype" w:cs="Palatino Linotype"/>
          <w:b/>
          <w:color w:val="000000"/>
          <w:sz w:val="24"/>
          <w:szCs w:val="24"/>
        </w:rPr>
        <w:t>III. Actualización del sobreseimiento.</w:t>
      </w:r>
    </w:p>
    <w:p w14:paraId="23D933B8" w14:textId="77777777" w:rsidR="001C2C79" w:rsidRPr="007F6CCA"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El presente asunto en particular actualiza el supuesto que contempla el artículo 192 fracción III de la Ley de Transparencia y Acceso a la Información Pública del Estado de México y Municipios, el cual refiere los siguiente:</w:t>
      </w:r>
    </w:p>
    <w:p w14:paraId="5EA1E84B" w14:textId="77777777" w:rsidR="007F6CCA" w:rsidRPr="00CB61C6" w:rsidRDefault="007F6CCA" w:rsidP="007F6CCA">
      <w:pPr>
        <w:pBdr>
          <w:top w:val="nil"/>
          <w:left w:val="nil"/>
          <w:bottom w:val="nil"/>
          <w:right w:val="nil"/>
          <w:between w:val="nil"/>
        </w:pBdr>
        <w:spacing w:line="360" w:lineRule="auto"/>
        <w:jc w:val="both"/>
        <w:rPr>
          <w:rFonts w:ascii="Palatino Linotype" w:hAnsi="Palatino Linotype"/>
          <w:color w:val="000000"/>
        </w:rPr>
      </w:pPr>
    </w:p>
    <w:p w14:paraId="045965E8" w14:textId="77777777" w:rsidR="001C2C79" w:rsidRPr="00CB61C6" w:rsidRDefault="007F6CCA" w:rsidP="008F40BF">
      <w:pPr>
        <w:spacing w:line="360" w:lineRule="auto"/>
        <w:ind w:left="567" w:right="567"/>
        <w:jc w:val="both"/>
        <w:rPr>
          <w:rFonts w:ascii="Palatino Linotype" w:eastAsia="Palatino Linotype" w:hAnsi="Palatino Linotype" w:cs="Palatino Linotype"/>
          <w:i/>
        </w:rPr>
      </w:pPr>
      <w:r>
        <w:rPr>
          <w:rFonts w:ascii="Palatino Linotype" w:eastAsia="Palatino Linotype" w:hAnsi="Palatino Linotype" w:cs="Palatino Linotype"/>
          <w:b/>
          <w:i/>
        </w:rPr>
        <w:t>“</w:t>
      </w:r>
      <w:r w:rsidR="001C2C79" w:rsidRPr="00CB61C6">
        <w:rPr>
          <w:rFonts w:ascii="Palatino Linotype" w:eastAsia="Palatino Linotype" w:hAnsi="Palatino Linotype" w:cs="Palatino Linotype"/>
          <w:b/>
          <w:i/>
        </w:rPr>
        <w:t xml:space="preserve">Artículo 192. </w:t>
      </w:r>
      <w:r w:rsidR="001C2C79" w:rsidRPr="00CB61C6">
        <w:rPr>
          <w:rFonts w:ascii="Palatino Linotype" w:eastAsia="Palatino Linotype" w:hAnsi="Palatino Linotype" w:cs="Palatino Linotype"/>
          <w:i/>
        </w:rPr>
        <w:t>El recurso será sobreseído, en todo o en parte, cuando una vez admitido, se actualicen alguno de los siguientes supuestos:</w:t>
      </w:r>
    </w:p>
    <w:p w14:paraId="74A734E4" w14:textId="77777777" w:rsidR="001C2C79" w:rsidRPr="00CB61C6" w:rsidRDefault="001C2C79" w:rsidP="008F40BF">
      <w:pPr>
        <w:spacing w:line="360" w:lineRule="auto"/>
        <w:ind w:left="567" w:right="567"/>
        <w:jc w:val="both"/>
        <w:rPr>
          <w:rFonts w:ascii="Palatino Linotype" w:eastAsia="Palatino Linotype" w:hAnsi="Palatino Linotype" w:cs="Palatino Linotype"/>
          <w:i/>
        </w:rPr>
      </w:pPr>
      <w:r w:rsidRPr="00CB61C6">
        <w:rPr>
          <w:rFonts w:ascii="Palatino Linotype" w:eastAsia="Palatino Linotype" w:hAnsi="Palatino Linotype" w:cs="Palatino Linotype"/>
          <w:i/>
        </w:rPr>
        <w:t>…</w:t>
      </w:r>
    </w:p>
    <w:p w14:paraId="4DA51732" w14:textId="77777777" w:rsidR="001C2C79" w:rsidRPr="00CB61C6" w:rsidRDefault="001C2C79" w:rsidP="008F40BF">
      <w:pPr>
        <w:spacing w:line="360" w:lineRule="auto"/>
        <w:ind w:left="567" w:right="567"/>
        <w:jc w:val="both"/>
        <w:rPr>
          <w:rFonts w:ascii="Palatino Linotype" w:eastAsia="Palatino Linotype" w:hAnsi="Palatino Linotype" w:cs="Palatino Linotype"/>
          <w:i/>
        </w:rPr>
      </w:pPr>
      <w:r w:rsidRPr="00CB61C6">
        <w:rPr>
          <w:rFonts w:ascii="Palatino Linotype" w:eastAsia="Palatino Linotype" w:hAnsi="Palatino Linotype" w:cs="Palatino Linotype"/>
          <w:b/>
          <w:i/>
        </w:rPr>
        <w:t xml:space="preserve">III. </w:t>
      </w:r>
      <w:r w:rsidRPr="00CB61C6">
        <w:rPr>
          <w:rFonts w:ascii="Palatino Linotype" w:eastAsia="Palatino Linotype" w:hAnsi="Palatino Linotype" w:cs="Palatino Linotype"/>
          <w:i/>
        </w:rPr>
        <w:t>El sujeto obligado responsable del acto lo modifique o revoque de tal manera que el recurso de revisión quede sin materia;</w:t>
      </w:r>
    </w:p>
    <w:p w14:paraId="5177C97B" w14:textId="77777777" w:rsidR="001C2C79" w:rsidRDefault="001C2C79" w:rsidP="008F40BF">
      <w:pPr>
        <w:spacing w:line="360" w:lineRule="auto"/>
        <w:ind w:left="567" w:right="567"/>
        <w:jc w:val="both"/>
        <w:rPr>
          <w:rFonts w:ascii="Palatino Linotype" w:eastAsia="Palatino Linotype" w:hAnsi="Palatino Linotype" w:cs="Palatino Linotype"/>
          <w:b/>
          <w:i/>
        </w:rPr>
      </w:pPr>
      <w:r w:rsidRPr="00CB61C6">
        <w:rPr>
          <w:rFonts w:ascii="Palatino Linotype" w:eastAsia="Palatino Linotype" w:hAnsi="Palatino Linotype" w:cs="Palatino Linotype"/>
          <w:b/>
          <w:i/>
        </w:rPr>
        <w:t>…</w:t>
      </w:r>
      <w:r w:rsidR="007F6CCA">
        <w:rPr>
          <w:rFonts w:ascii="Palatino Linotype" w:eastAsia="Palatino Linotype" w:hAnsi="Palatino Linotype" w:cs="Palatino Linotype"/>
          <w:b/>
          <w:i/>
        </w:rPr>
        <w:t>”</w:t>
      </w:r>
    </w:p>
    <w:p w14:paraId="7B79583C" w14:textId="77777777" w:rsidR="007F6CCA" w:rsidRPr="00CB61C6" w:rsidRDefault="007F6CCA" w:rsidP="008F40BF">
      <w:pPr>
        <w:spacing w:line="360" w:lineRule="auto"/>
        <w:ind w:left="567" w:right="567"/>
        <w:jc w:val="both"/>
        <w:rPr>
          <w:rFonts w:ascii="Palatino Linotype" w:eastAsia="Palatino Linotype" w:hAnsi="Palatino Linotype" w:cs="Palatino Linotype"/>
          <w:i/>
        </w:rPr>
      </w:pPr>
    </w:p>
    <w:p w14:paraId="793AECDB" w14:textId="77777777" w:rsidR="001C2C79" w:rsidRPr="007F6CCA"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Para los efectos de esta resolución, es oportuno precisar los alcances jurídicos de la fracción III de la disposición legal transcrita. Así, procede el sobreseimiento del recurso de revisión cuando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w:t>
      </w:r>
    </w:p>
    <w:p w14:paraId="649D7F86" w14:textId="77777777" w:rsidR="007F6CCA" w:rsidRPr="00CB61C6" w:rsidRDefault="007F6CCA" w:rsidP="007F6CCA">
      <w:pPr>
        <w:pBdr>
          <w:top w:val="nil"/>
          <w:left w:val="nil"/>
          <w:bottom w:val="nil"/>
          <w:right w:val="nil"/>
          <w:between w:val="nil"/>
        </w:pBdr>
        <w:spacing w:line="360" w:lineRule="auto"/>
        <w:jc w:val="both"/>
        <w:rPr>
          <w:rFonts w:ascii="Palatino Linotype" w:hAnsi="Palatino Linotype"/>
          <w:color w:val="000000"/>
        </w:rPr>
      </w:pPr>
    </w:p>
    <w:p w14:paraId="09321C2A" w14:textId="77777777" w:rsidR="001C2C79" w:rsidRDefault="001C2C79" w:rsidP="007F6CCA">
      <w:pPr>
        <w:numPr>
          <w:ilvl w:val="0"/>
          <w:numId w:val="3"/>
        </w:numPr>
        <w:pBdr>
          <w:top w:val="nil"/>
          <w:left w:val="nil"/>
          <w:bottom w:val="nil"/>
          <w:right w:val="nil"/>
          <w:between w:val="nil"/>
        </w:pBdr>
        <w:spacing w:line="360" w:lineRule="auto"/>
        <w:ind w:left="993" w:right="567" w:hanging="284"/>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b/>
          <w:color w:val="000000"/>
        </w:rPr>
        <w:t>Modifique el acto impugnado:</w:t>
      </w:r>
      <w:r w:rsidRPr="00CB61C6">
        <w:rPr>
          <w:rFonts w:ascii="Palatino Linotype" w:eastAsia="Palatino Linotype" w:hAnsi="Palatino Linotype" w:cs="Palatino Linotype"/>
          <w:color w:val="000000"/>
        </w:rPr>
        <w:t xml:space="preserve"> Se actualiza cuando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después de haber otorgado una respuesta y hasta antes de dictada la resolución del recurso de revisión, emite una diversa en la que </w:t>
      </w:r>
      <w:r w:rsidRPr="00CB61C6">
        <w:rPr>
          <w:rFonts w:ascii="Palatino Linotype" w:eastAsia="Palatino Linotype" w:hAnsi="Palatino Linotype" w:cs="Palatino Linotype"/>
          <w:b/>
          <w:color w:val="000000"/>
          <w:u w:val="single"/>
        </w:rPr>
        <w:t>subsane las deficiencias que hubiera tenido</w:t>
      </w:r>
      <w:r w:rsidRPr="00CB61C6">
        <w:rPr>
          <w:rFonts w:ascii="Palatino Linotype" w:eastAsia="Palatino Linotype" w:hAnsi="Palatino Linotype" w:cs="Palatino Linotype"/>
          <w:color w:val="000000"/>
        </w:rPr>
        <w:t>.</w:t>
      </w:r>
    </w:p>
    <w:p w14:paraId="626F1A9F" w14:textId="77777777" w:rsidR="00FE0691" w:rsidRDefault="00FE0691" w:rsidP="00FE0691">
      <w:pPr>
        <w:pBdr>
          <w:top w:val="nil"/>
          <w:left w:val="nil"/>
          <w:bottom w:val="nil"/>
          <w:right w:val="nil"/>
          <w:between w:val="nil"/>
        </w:pBdr>
        <w:spacing w:line="360" w:lineRule="auto"/>
        <w:ind w:left="993" w:right="567"/>
        <w:jc w:val="both"/>
        <w:rPr>
          <w:rFonts w:ascii="Palatino Linotype" w:eastAsia="Palatino Linotype" w:hAnsi="Palatino Linotype" w:cs="Palatino Linotype"/>
          <w:color w:val="000000"/>
        </w:rPr>
      </w:pPr>
    </w:p>
    <w:p w14:paraId="5B5D3BC6" w14:textId="77777777" w:rsidR="001C2C79" w:rsidRPr="00CB61C6" w:rsidRDefault="001C2C79" w:rsidP="007F6CCA">
      <w:pPr>
        <w:numPr>
          <w:ilvl w:val="0"/>
          <w:numId w:val="3"/>
        </w:numPr>
        <w:pBdr>
          <w:top w:val="nil"/>
          <w:left w:val="nil"/>
          <w:bottom w:val="nil"/>
          <w:right w:val="nil"/>
          <w:between w:val="nil"/>
        </w:pBdr>
        <w:spacing w:line="360" w:lineRule="auto"/>
        <w:ind w:left="993" w:right="616" w:hanging="284"/>
        <w:jc w:val="both"/>
        <w:rPr>
          <w:rFonts w:ascii="Palatino Linotype" w:eastAsia="Palatino Linotype" w:hAnsi="Palatino Linotype" w:cs="Palatino Linotype"/>
          <w:color w:val="000000"/>
        </w:rPr>
      </w:pPr>
      <w:r w:rsidRPr="00CB61C6">
        <w:rPr>
          <w:rFonts w:ascii="Palatino Linotype" w:eastAsia="Palatino Linotype" w:hAnsi="Palatino Linotype" w:cs="Palatino Linotype"/>
          <w:b/>
          <w:color w:val="000000"/>
        </w:rPr>
        <w:t>Revoque el acto impugnado:</w:t>
      </w:r>
      <w:r w:rsidRPr="00CB61C6">
        <w:rPr>
          <w:rFonts w:ascii="Palatino Linotype" w:eastAsia="Palatino Linotype" w:hAnsi="Palatino Linotype" w:cs="Palatino Linotype"/>
          <w:color w:val="000000"/>
        </w:rPr>
        <w:t xml:space="preserve"> En este supuesto,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deja sin efectos la primera respuesta y en su lugar emite otra que satisfaga lo solicitado por el particular en un primer momento.</w:t>
      </w:r>
    </w:p>
    <w:p w14:paraId="22CAF7FE" w14:textId="77777777" w:rsidR="001C2C79" w:rsidRPr="00CB61C6" w:rsidRDefault="001C2C79" w:rsidP="008F40BF">
      <w:pPr>
        <w:pBdr>
          <w:top w:val="nil"/>
          <w:left w:val="nil"/>
          <w:bottom w:val="nil"/>
          <w:right w:val="nil"/>
          <w:between w:val="nil"/>
        </w:pBdr>
        <w:spacing w:line="360" w:lineRule="auto"/>
        <w:ind w:left="567" w:right="616"/>
        <w:jc w:val="both"/>
        <w:rPr>
          <w:rFonts w:ascii="Palatino Linotype" w:eastAsia="Palatino Linotype" w:hAnsi="Palatino Linotype" w:cs="Palatino Linotype"/>
          <w:color w:val="000000"/>
        </w:rPr>
      </w:pPr>
    </w:p>
    <w:p w14:paraId="5F9895AD"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Las consecuencias jurídicas de esta modificación o revocación es que el recurso de revisión interpuesto quede sin efectos o sin materia.</w:t>
      </w:r>
    </w:p>
    <w:p w14:paraId="7BB2F5D8" w14:textId="77777777" w:rsidR="001C2C79" w:rsidRPr="00CB61C6" w:rsidRDefault="001C2C79" w:rsidP="008F40BF">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1B8E642B"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En el presente asunto, con la información enviada a través del informe de justificación, </w:t>
      </w:r>
      <w:r w:rsidRPr="00CB61C6">
        <w:rPr>
          <w:rFonts w:ascii="Palatino Linotype" w:eastAsia="Palatino Linotype" w:hAnsi="Palatino Linotype" w:cs="Palatino Linotype"/>
          <w:b/>
          <w:color w:val="000000"/>
        </w:rPr>
        <w:t>modificó</w:t>
      </w:r>
      <w:r w:rsidRPr="00CB61C6">
        <w:rPr>
          <w:rFonts w:ascii="Palatino Linotype" w:eastAsia="Palatino Linotype" w:hAnsi="Palatino Linotype" w:cs="Palatino Linotype"/>
          <w:color w:val="000000"/>
        </w:rPr>
        <w:t xml:space="preserve"> el acto que le dio origen al recurso de revisión, lo que trae como consecuencia que el mismo quede sin materia, actualizándose de este modo, la hipótesis jurídica contenida en la fracción III del citado artículo.</w:t>
      </w:r>
    </w:p>
    <w:p w14:paraId="40A59379"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Es decir, a través del alcance al informe justificado, el Sujeto Obligado </w:t>
      </w:r>
      <w:r w:rsidRPr="00CB61C6">
        <w:rPr>
          <w:rFonts w:ascii="Palatino Linotype" w:eastAsia="Palatino Linotype" w:hAnsi="Palatino Linotype" w:cs="Palatino Linotype"/>
        </w:rPr>
        <w:t>indicó</w:t>
      </w:r>
      <w:r w:rsidRPr="00CB61C6">
        <w:rPr>
          <w:rFonts w:ascii="Palatino Linotype" w:eastAsia="Palatino Linotype" w:hAnsi="Palatino Linotype" w:cs="Palatino Linotype"/>
          <w:color w:val="000000"/>
        </w:rPr>
        <w:t xml:space="preserve"> que la información requerida sobrepasa las capacidades del SAIMEX, en el mismo anexa la incidencia técnica por parte de la Dirección de Informática de este Instituto, así como el Acta del Comité de Transparencia mediante el cual aprueba que la información solicitada sea entregada en todas las modalidades en las cuales se pueda entregar la información.</w:t>
      </w:r>
    </w:p>
    <w:p w14:paraId="2B17583C"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39A0B004"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De lo anterior, se aprecia que los documentos que remitió el </w:t>
      </w:r>
      <w:r w:rsidRPr="00CB61C6">
        <w:rPr>
          <w:rFonts w:ascii="Palatino Linotype" w:eastAsia="Palatino Linotype" w:hAnsi="Palatino Linotype" w:cs="Palatino Linotype"/>
          <w:b/>
          <w:smallCaps/>
          <w:color w:val="000000"/>
        </w:rPr>
        <w:t>SUJETO OBLIGADO</w:t>
      </w:r>
      <w:r w:rsidRPr="00CB61C6">
        <w:rPr>
          <w:rFonts w:ascii="Palatino Linotype" w:eastAsia="Palatino Linotype" w:hAnsi="Palatino Linotype" w:cs="Palatino Linotype"/>
          <w:color w:val="000000"/>
        </w:rPr>
        <w:t xml:space="preserve"> a través </w:t>
      </w:r>
      <w:r w:rsidR="00687ED8" w:rsidRPr="00CB61C6">
        <w:rPr>
          <w:rFonts w:ascii="Palatino Linotype" w:eastAsia="Palatino Linotype" w:hAnsi="Palatino Linotype" w:cs="Palatino Linotype"/>
          <w:color w:val="000000"/>
        </w:rPr>
        <w:t xml:space="preserve">de la </w:t>
      </w:r>
      <w:r w:rsidR="007F6CCA">
        <w:rPr>
          <w:rFonts w:ascii="Palatino Linotype" w:eastAsia="Palatino Linotype" w:hAnsi="Palatino Linotype" w:cs="Palatino Linotype"/>
          <w:color w:val="000000"/>
        </w:rPr>
        <w:t xml:space="preserve">respuesta, </w:t>
      </w:r>
      <w:r w:rsidR="00687ED8" w:rsidRPr="00CB61C6">
        <w:rPr>
          <w:rFonts w:ascii="Palatino Linotype" w:eastAsia="Palatino Linotype" w:hAnsi="Palatino Linotype" w:cs="Palatino Linotype"/>
          <w:color w:val="000000"/>
        </w:rPr>
        <w:t xml:space="preserve">etapa de manifestaciones </w:t>
      </w:r>
      <w:r w:rsidR="007F6CCA">
        <w:rPr>
          <w:rFonts w:ascii="Palatino Linotype" w:eastAsia="Palatino Linotype" w:hAnsi="Palatino Linotype" w:cs="Palatino Linotype"/>
          <w:color w:val="000000"/>
        </w:rPr>
        <w:t xml:space="preserve">y en atención al requerimiento adicional, </w:t>
      </w:r>
      <w:r w:rsidRPr="00CB61C6">
        <w:rPr>
          <w:rFonts w:ascii="Palatino Linotype" w:eastAsia="Palatino Linotype" w:hAnsi="Palatino Linotype" w:cs="Palatino Linotype"/>
          <w:color w:val="000000"/>
        </w:rPr>
        <w:t>atiende los motivos o razones de inconformidad,  consecuencia que el mismo quede sin materia, actualizándose de este modo, la hipótesis jurídica contenida en la fracción III del citado artículo.</w:t>
      </w:r>
    </w:p>
    <w:p w14:paraId="648D6876"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1FED5CFF"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Así, el sistema de medios de impugnación en esta materia se centra en el análisis de los agravios o motivos de inconformidad, los que deben tener relación directa con el acto de autoridad que lo motiva. En consecuencia, los motivos de la inconformidad deben versar sobre la respuesta de información proporcionada por los </w:t>
      </w:r>
      <w:r w:rsidRPr="00CB61C6">
        <w:rPr>
          <w:rFonts w:ascii="Palatino Linotype" w:eastAsia="Palatino Linotype" w:hAnsi="Palatino Linotype" w:cs="Palatino Linotype"/>
          <w:b/>
          <w:color w:val="000000"/>
        </w:rPr>
        <w:t>Sujetos Obligados</w:t>
      </w:r>
      <w:r w:rsidRPr="00CB61C6">
        <w:rPr>
          <w:rFonts w:ascii="Palatino Linotype" w:eastAsia="Palatino Linotype" w:hAnsi="Palatino Linotype" w:cs="Palatino Linotype"/>
          <w:color w:val="000000"/>
        </w:rPr>
        <w:t xml:space="preserve"> o la negativa de entrega de la misma, derivada de la solicitud de información pública.</w:t>
      </w:r>
    </w:p>
    <w:p w14:paraId="70156C37" w14:textId="77777777" w:rsidR="001C2C79" w:rsidRPr="00CB61C6" w:rsidRDefault="001C2C79" w:rsidP="008F40BF">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00E5620F" w14:textId="77777777" w:rsidR="001C2C79" w:rsidRPr="00CB61C6"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De este modo, para que se actualice el sobreseimiento de un recurso de revisión,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puede entregar o completar la información al momento de rendir su informe justificado o dentro de los siete días previstos para manifestar lo que a su derecho convenga, con la finalidad de q</w:t>
      </w:r>
      <w:r w:rsidR="00687ED8" w:rsidRPr="00CB61C6">
        <w:rPr>
          <w:rFonts w:ascii="Palatino Linotype" w:eastAsia="Palatino Linotype" w:hAnsi="Palatino Linotype" w:cs="Palatino Linotype"/>
          <w:color w:val="000000"/>
        </w:rPr>
        <w:t xml:space="preserve">ue </w:t>
      </w:r>
      <w:r w:rsidRPr="00CB61C6">
        <w:rPr>
          <w:rFonts w:ascii="Palatino Linotype" w:eastAsia="Palatino Linotype" w:hAnsi="Palatino Linotype" w:cs="Palatino Linotype"/>
          <w:color w:val="000000"/>
        </w:rPr>
        <w:t>sea resarcido el derecho de acceso a la información pública de la persona haciendo cesar toda controversia.</w:t>
      </w:r>
    </w:p>
    <w:p w14:paraId="7AEF9876" w14:textId="77777777" w:rsidR="001C2C79" w:rsidRPr="00CB61C6" w:rsidRDefault="001C2C79" w:rsidP="008F40BF">
      <w:pPr>
        <w:pBdr>
          <w:top w:val="nil"/>
          <w:left w:val="nil"/>
          <w:bottom w:val="nil"/>
          <w:right w:val="nil"/>
          <w:between w:val="nil"/>
        </w:pBdr>
        <w:spacing w:line="360" w:lineRule="auto"/>
        <w:ind w:right="49"/>
        <w:jc w:val="both"/>
        <w:rPr>
          <w:rFonts w:ascii="Palatino Linotype" w:eastAsia="Palatino Linotype" w:hAnsi="Palatino Linotype" w:cs="Palatino Linotype"/>
          <w:color w:val="000000"/>
        </w:rPr>
      </w:pPr>
    </w:p>
    <w:p w14:paraId="54B8DDDB" w14:textId="77777777" w:rsidR="001C2C79" w:rsidRPr="007F6CCA" w:rsidRDefault="001C2C79" w:rsidP="008F40BF">
      <w:pPr>
        <w:numPr>
          <w:ilvl w:val="0"/>
          <w:numId w:val="6"/>
        </w:numPr>
        <w:pBdr>
          <w:top w:val="nil"/>
          <w:left w:val="nil"/>
          <w:bottom w:val="nil"/>
          <w:right w:val="nil"/>
          <w:between w:val="nil"/>
        </w:pBdr>
        <w:spacing w:line="360" w:lineRule="auto"/>
        <w:ind w:left="0" w:right="49" w:firstLine="0"/>
        <w:jc w:val="both"/>
        <w:rPr>
          <w:rFonts w:ascii="Palatino Linotype" w:hAnsi="Palatino Linotype"/>
          <w:color w:val="000000"/>
        </w:rPr>
      </w:pPr>
      <w:r w:rsidRPr="00CB61C6">
        <w:rPr>
          <w:rFonts w:ascii="Palatino Linotype" w:eastAsia="Palatino Linotype" w:hAnsi="Palatino Linotype" w:cs="Palatino Linotype"/>
          <w:color w:val="000000"/>
        </w:rPr>
        <w:t>Lo anterior tiene sustento en la Tesis: I.7o.C.54 K, del Séptimo Tribunal Colegiado en Materia Civil Del Primer Circuito publicada en el Semanario Judicial de la Federación y su Gaceta, de la Novena Época, en el Tomo XXIX, Enero de 2009, a página 2837, que literalmente establece:</w:t>
      </w:r>
    </w:p>
    <w:p w14:paraId="5323EAA8" w14:textId="77777777" w:rsidR="007F6CCA" w:rsidRDefault="007F6CCA" w:rsidP="007F6CCA">
      <w:pPr>
        <w:pStyle w:val="Prrafodelista"/>
        <w:rPr>
          <w:rFonts w:ascii="Palatino Linotype" w:hAnsi="Palatino Linotype"/>
          <w:color w:val="000000"/>
        </w:rPr>
      </w:pPr>
    </w:p>
    <w:p w14:paraId="23EE0F8A" w14:textId="77777777" w:rsidR="001C2C79" w:rsidRPr="00CB61C6" w:rsidRDefault="007F6CCA" w:rsidP="007F6CCA">
      <w:pPr>
        <w:spacing w:line="360" w:lineRule="auto"/>
        <w:ind w:left="1134" w:right="1106"/>
        <w:jc w:val="both"/>
        <w:rPr>
          <w:rFonts w:ascii="Palatino Linotype" w:eastAsia="Palatino Linotype" w:hAnsi="Palatino Linotype" w:cs="Palatino Linotype"/>
          <w:i/>
        </w:rPr>
      </w:pPr>
      <w:r>
        <w:rPr>
          <w:rFonts w:ascii="Palatino Linotype" w:eastAsia="Palatino Linotype" w:hAnsi="Palatino Linotype" w:cs="Palatino Linotype"/>
          <w:b/>
          <w:i/>
        </w:rPr>
        <w:t>“</w:t>
      </w:r>
      <w:r w:rsidR="001C2C79" w:rsidRPr="00CB61C6">
        <w:rPr>
          <w:rFonts w:ascii="Palatino Linotype" w:eastAsia="Palatino Linotype" w:hAnsi="Palatino Linotype" w:cs="Palatino Linotype"/>
          <w:b/>
          <w:i/>
        </w:rPr>
        <w:t>SOBRESEIMIENTO EN EL JUICIO DE AMPARO DIRECTO. IMPIDE EL ESTUDIO DE LAS VIOLACIONES PROCESALES PLANTEADAS EN LOS CONCEPTOS DE VIOLACIÓN.</w:t>
      </w:r>
      <w:r w:rsidR="001C2C79" w:rsidRPr="00CB61C6">
        <w:rPr>
          <w:rFonts w:ascii="Palatino Linotype" w:eastAsia="Palatino Linotype" w:hAnsi="Palatino Linotype" w:cs="Palatino Linotype"/>
          <w:i/>
        </w:rPr>
        <w:t xml:space="preserve"> El sobreseimiento en el juicio de amparo directo provoca la terminación de la controversia planteada por el quejoso en la demanda de amparo, sin hacer un pronunciamiento de fondo sobre la legalidad o ilegalidad de la sentencia reclamada. Por consiguiente, si al sobreseerse en el juicio de amparo no se pueden estudiar los planteamientos que se hacen valer en </w:t>
      </w:r>
      <w:r w:rsidR="001C2C79" w:rsidRPr="00CB61C6">
        <w:rPr>
          <w:rFonts w:ascii="Palatino Linotype" w:eastAsia="Palatino Linotype" w:hAnsi="Palatino Linotype" w:cs="Palatino Linotype"/>
          <w:i/>
        </w:rPr>
        <w:lastRenderedPageBreak/>
        <w:t>contra del fallo reclamado, tampoco se deben analizar las violaciones procesales propuestas en los conceptos de violación, dado que, la principal consecuencia del sobreseimiento es poner fin al juicio de amparo sin resolver la controversia en sus méritos.</w:t>
      </w:r>
      <w:r>
        <w:rPr>
          <w:rFonts w:ascii="Palatino Linotype" w:eastAsia="Palatino Linotype" w:hAnsi="Palatino Linotype" w:cs="Palatino Linotype"/>
          <w:i/>
        </w:rPr>
        <w:t>”</w:t>
      </w:r>
    </w:p>
    <w:p w14:paraId="7ED6F92C" w14:textId="77777777" w:rsidR="001C2C79" w:rsidRPr="00CB61C6" w:rsidRDefault="001C2C79" w:rsidP="008F40BF">
      <w:pPr>
        <w:spacing w:line="360" w:lineRule="auto"/>
        <w:jc w:val="both"/>
        <w:rPr>
          <w:rFonts w:ascii="Palatino Linotype" w:eastAsia="Palatino Linotype" w:hAnsi="Palatino Linotype" w:cs="Palatino Linotype"/>
        </w:rPr>
      </w:pPr>
    </w:p>
    <w:p w14:paraId="1821F73C" w14:textId="77777777" w:rsidR="001C2C79" w:rsidRPr="00CB61C6"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 xml:space="preserve">Bajo esas consideraciones, se afirma que en el recurso de revisión sujeto a estudio se actualiza la hipótesis jurídica citada, toda vez que quedó probado que el </w:t>
      </w:r>
      <w:r w:rsidRPr="00CB61C6">
        <w:rPr>
          <w:rFonts w:ascii="Palatino Linotype" w:eastAsia="Palatino Linotype" w:hAnsi="Palatino Linotype" w:cs="Palatino Linotype"/>
          <w:b/>
          <w:color w:val="000000"/>
        </w:rPr>
        <w:t>SUJETO OBLIGADO</w:t>
      </w:r>
      <w:r w:rsidRPr="00CB61C6">
        <w:rPr>
          <w:rFonts w:ascii="Palatino Linotype" w:eastAsia="Palatino Linotype" w:hAnsi="Palatino Linotype" w:cs="Palatino Linotype"/>
          <w:color w:val="000000"/>
        </w:rPr>
        <w:t xml:space="preserve"> mediante un acto posterior como lo es el Informe justificado proporcionó la información necesaria para dejar sin materia el recurso de revisión.</w:t>
      </w:r>
    </w:p>
    <w:p w14:paraId="6A168226" w14:textId="77777777" w:rsidR="001C2C79" w:rsidRPr="00CB61C6" w:rsidRDefault="001C2C79" w:rsidP="008F40BF">
      <w:pPr>
        <w:spacing w:line="360" w:lineRule="auto"/>
        <w:rPr>
          <w:rFonts w:ascii="Palatino Linotype" w:eastAsia="Palatino Linotype" w:hAnsi="Palatino Linotype" w:cs="Palatino Linotype"/>
        </w:rPr>
      </w:pPr>
    </w:p>
    <w:p w14:paraId="7C8BE556" w14:textId="77777777" w:rsidR="001C2C79" w:rsidRPr="007F6CCA" w:rsidRDefault="001C2C79" w:rsidP="008F40BF">
      <w:pPr>
        <w:numPr>
          <w:ilvl w:val="0"/>
          <w:numId w:val="6"/>
        </w:numPr>
        <w:pBdr>
          <w:top w:val="nil"/>
          <w:left w:val="nil"/>
          <w:bottom w:val="nil"/>
          <w:right w:val="nil"/>
          <w:between w:val="nil"/>
        </w:pBdr>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t>Por último, la obligación de acceso a la información pública se tendrá por cumplida por lo dispuesto en el artículo 166 de la Ley de Transparencia y Acceso a la Información Pública, el cual dispone lo siguiente:</w:t>
      </w:r>
    </w:p>
    <w:p w14:paraId="1DEA05E9" w14:textId="77777777" w:rsidR="007F6CCA" w:rsidRDefault="007F6CCA" w:rsidP="007F6CCA">
      <w:pPr>
        <w:pStyle w:val="Prrafodelista"/>
        <w:rPr>
          <w:rFonts w:ascii="Palatino Linotype" w:hAnsi="Palatino Linotype"/>
          <w:color w:val="000000"/>
        </w:rPr>
      </w:pPr>
    </w:p>
    <w:p w14:paraId="35F18440"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 xml:space="preserve">Artículo 166. La obligación de acceso a la información pública se tendrá por cumplida cuando el solicitante tenga a su disposición la información requerida, o cuando realice la consulta de la misma en el lugar en el que ésta se localice. </w:t>
      </w:r>
    </w:p>
    <w:p w14:paraId="0D6B6578"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p>
    <w:p w14:paraId="6C205461" w14:textId="77777777" w:rsidR="001C2C79"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b/>
          <w:i/>
          <w:color w:val="000000"/>
          <w:u w:val="single"/>
        </w:rPr>
      </w:pPr>
      <w:r w:rsidRPr="00CB61C6">
        <w:rPr>
          <w:rFonts w:ascii="Palatino Linotype" w:eastAsia="Palatino Linotype" w:hAnsi="Palatino Linotype" w:cs="Palatino Linotype"/>
          <w:b/>
          <w:i/>
          <w:color w:val="000000"/>
          <w:u w:val="single"/>
        </w:rPr>
        <w:lastRenderedPageBreak/>
        <w:t xml:space="preserve">La Unidad de Transparencia tendrá disponible la información solicitada, durante un plazo mínimo de sesenta días hábiles, contado a partir de que el solicitante hubiere realizado, en su caso, el pago respectivo, el cual deberá efectuarse en un plazo no mayor a treinta días hábiles. </w:t>
      </w:r>
    </w:p>
    <w:p w14:paraId="2F51F863" w14:textId="77777777" w:rsidR="007F6CCA" w:rsidRPr="00CB61C6" w:rsidRDefault="007F6CCA"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b/>
          <w:i/>
          <w:color w:val="000000"/>
          <w:u w:val="single"/>
        </w:rPr>
      </w:pPr>
    </w:p>
    <w:p w14:paraId="76B2BE36"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 xml:space="preserve">Transcurridos dichos plazos, si los solicitantes no acuden a recibir la información requerida los sujetos obligados darán por concluida la solicitud y procederán, de ser el caso, a la destrucción del material en el que se reprodujo la información. </w:t>
      </w:r>
    </w:p>
    <w:p w14:paraId="42380C10"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p>
    <w:p w14:paraId="7B3391C2"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i/>
          <w:color w:val="000000"/>
        </w:rPr>
      </w:pPr>
      <w:r w:rsidRPr="00CB61C6">
        <w:rPr>
          <w:rFonts w:ascii="Palatino Linotype" w:eastAsia="Palatino Linotype" w:hAnsi="Palatino Linotype" w:cs="Palatino Linotype"/>
          <w:i/>
          <w:color w:val="000000"/>
        </w:rPr>
        <w:t xml:space="preserve">Cuando el sujeto obligado no entregue la respuesta a la solicitud dentro del plazo previsto en la Ley, la solicitud se entenderá negada y el solicitante podrá interponer el recurso de revisión previsto en este ordenamiento. </w:t>
      </w:r>
    </w:p>
    <w:p w14:paraId="046BB86A"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b/>
          <w:i/>
          <w:u w:val="single"/>
        </w:rPr>
      </w:pPr>
      <w:r w:rsidRPr="00CB61C6">
        <w:rPr>
          <w:rFonts w:ascii="Palatino Linotype" w:eastAsia="Palatino Linotype" w:hAnsi="Palatino Linotype" w:cs="Palatino Linotype"/>
          <w:b/>
          <w:i/>
          <w:color w:val="000000"/>
          <w:u w:val="single"/>
        </w:rPr>
        <w:t>Una vez entregada la información, el solicitante acusará recibo por escrito, dándose por terminado el trámite de acceso a la información.</w:t>
      </w:r>
    </w:p>
    <w:p w14:paraId="338E7494" w14:textId="77777777" w:rsidR="001C2C79" w:rsidRPr="00CB61C6" w:rsidRDefault="001C2C79" w:rsidP="008F40BF">
      <w:pPr>
        <w:pBdr>
          <w:top w:val="nil"/>
          <w:left w:val="nil"/>
          <w:bottom w:val="nil"/>
          <w:right w:val="nil"/>
          <w:between w:val="nil"/>
        </w:pBdr>
        <w:spacing w:line="360" w:lineRule="auto"/>
        <w:ind w:left="1134" w:right="1106"/>
        <w:jc w:val="both"/>
        <w:rPr>
          <w:rFonts w:ascii="Palatino Linotype" w:eastAsia="Palatino Linotype" w:hAnsi="Palatino Linotype" w:cs="Palatino Linotype"/>
          <w:b/>
          <w:i/>
          <w:u w:val="single"/>
        </w:rPr>
      </w:pPr>
    </w:p>
    <w:p w14:paraId="7B1B22D6" w14:textId="77777777" w:rsidR="001C2C79" w:rsidRPr="00CB61C6" w:rsidRDefault="001C2C79" w:rsidP="008F40BF">
      <w:pPr>
        <w:numPr>
          <w:ilvl w:val="0"/>
          <w:numId w:val="6"/>
        </w:numPr>
        <w:pBdr>
          <w:top w:val="nil"/>
          <w:left w:val="nil"/>
          <w:bottom w:val="nil"/>
          <w:right w:val="nil"/>
          <w:between w:val="nil"/>
        </w:pBdr>
        <w:tabs>
          <w:tab w:val="left" w:pos="567"/>
        </w:tabs>
        <w:spacing w:line="360" w:lineRule="auto"/>
        <w:ind w:left="0" w:firstLine="0"/>
        <w:jc w:val="both"/>
        <w:rPr>
          <w:rFonts w:ascii="Palatino Linotype" w:hAnsi="Palatino Linotype"/>
          <w:color w:val="000000"/>
        </w:rPr>
      </w:pPr>
      <w:r w:rsidRPr="00CB61C6">
        <w:rPr>
          <w:rFonts w:ascii="Palatino Linotype" w:eastAsia="Palatino Linotype" w:hAnsi="Palatino Linotype" w:cs="Palatino Linotype"/>
          <w:color w:val="000000"/>
        </w:rPr>
        <w:lastRenderedPageBreak/>
        <w:t xml:space="preserve">El precepto legal citado, establece que la información requerida estará disponible por un plazo mínimo de 60 días hábiles, el cual, para el presente asunto en particular comenzará a computarse una vez notificada la resolución, a efecto de que se garanticen los derechos del </w:t>
      </w:r>
      <w:r w:rsidRPr="00CB61C6">
        <w:rPr>
          <w:rFonts w:ascii="Palatino Linotype" w:eastAsia="Palatino Linotype" w:hAnsi="Palatino Linotype" w:cs="Palatino Linotype"/>
          <w:b/>
          <w:color w:val="000000"/>
        </w:rPr>
        <w:t>RECURRENTE</w:t>
      </w:r>
      <w:r w:rsidRPr="00CB61C6">
        <w:rPr>
          <w:rFonts w:ascii="Palatino Linotype" w:eastAsia="Palatino Linotype" w:hAnsi="Palatino Linotype" w:cs="Palatino Linotype"/>
          <w:color w:val="000000"/>
        </w:rPr>
        <w:t xml:space="preserve"> y se encuentre en posibilidad de acudir por la información en tiempo y forma.</w:t>
      </w:r>
    </w:p>
    <w:p w14:paraId="5B145A1C" w14:textId="77777777" w:rsidR="001C2C79" w:rsidRPr="00CB61C6" w:rsidRDefault="001C2C79" w:rsidP="008F40BF">
      <w:pPr>
        <w:pBdr>
          <w:top w:val="nil"/>
          <w:left w:val="nil"/>
          <w:bottom w:val="nil"/>
          <w:right w:val="nil"/>
          <w:between w:val="nil"/>
        </w:pBdr>
        <w:tabs>
          <w:tab w:val="left" w:pos="567"/>
        </w:tabs>
        <w:spacing w:line="360" w:lineRule="auto"/>
        <w:jc w:val="both"/>
        <w:rPr>
          <w:rFonts w:ascii="Palatino Linotype" w:hAnsi="Palatino Linotype"/>
          <w:color w:val="000000"/>
        </w:rPr>
      </w:pPr>
      <w:r w:rsidRPr="00CB61C6">
        <w:rPr>
          <w:rFonts w:ascii="Palatino Linotype" w:hAnsi="Palatino Linotype"/>
          <w:lang w:val="es-ES"/>
        </w:rPr>
        <w:t xml:space="preserve"> </w:t>
      </w:r>
    </w:p>
    <w:p w14:paraId="36D1D371" w14:textId="77777777" w:rsidR="001C2C79" w:rsidRPr="00CB61C6" w:rsidRDefault="001C2C79" w:rsidP="008F40BF">
      <w:pPr>
        <w:numPr>
          <w:ilvl w:val="0"/>
          <w:numId w:val="6"/>
        </w:numPr>
        <w:pBdr>
          <w:top w:val="nil"/>
          <w:left w:val="nil"/>
          <w:bottom w:val="nil"/>
          <w:right w:val="nil"/>
          <w:between w:val="nil"/>
        </w:pBdr>
        <w:tabs>
          <w:tab w:val="left" w:pos="567"/>
        </w:tabs>
        <w:spacing w:line="360" w:lineRule="auto"/>
        <w:ind w:left="0" w:firstLine="0"/>
        <w:jc w:val="both"/>
        <w:rPr>
          <w:rFonts w:ascii="Palatino Linotype" w:eastAsia="Palatino Linotype" w:hAnsi="Palatino Linotype" w:cs="Palatino Linotype"/>
          <w:color w:val="000000"/>
          <w:lang w:val="es-ES"/>
        </w:rPr>
      </w:pPr>
      <w:r w:rsidRPr="00CB61C6">
        <w:rPr>
          <w:rFonts w:ascii="Palatino Linotype" w:eastAsia="Palatino Linotype" w:hAnsi="Palatino Linotype" w:cs="Palatino Linotype"/>
          <w:color w:val="000000"/>
          <w:lang w:val="es-ES"/>
        </w:rPr>
        <w:t xml:space="preserve">De lo anterior, si dentro del transcurso del término señalado en el párrafo anterior, el Particular acude por la información, el </w:t>
      </w:r>
      <w:r w:rsidRPr="00CB61C6">
        <w:rPr>
          <w:rFonts w:ascii="Palatino Linotype" w:eastAsia="Palatino Linotype" w:hAnsi="Palatino Linotype" w:cs="Palatino Linotype"/>
          <w:b/>
          <w:color w:val="000000"/>
          <w:lang w:val="es-ES"/>
        </w:rPr>
        <w:t>Sujeto Obligado</w:t>
      </w:r>
      <w:r w:rsidRPr="00CB61C6">
        <w:rPr>
          <w:rFonts w:ascii="Palatino Linotype" w:eastAsia="Palatino Linotype" w:hAnsi="Palatino Linotype" w:cs="Palatino Linotype"/>
          <w:color w:val="000000"/>
          <w:lang w:val="es-ES"/>
        </w:rPr>
        <w:t xml:space="preserve"> levantará un acta de hechos misma que debe ser remitida a este Instituto, por conducto de la Secretaría Técnica del Pleno, junto con el acuse de recibo de la información del Particular; sin embargo, si una vez fenecido el plazo, el solicitante no acudiera por los documentos ordenados, el </w:t>
      </w:r>
      <w:r w:rsidRPr="00CB61C6">
        <w:rPr>
          <w:rFonts w:ascii="Palatino Linotype" w:eastAsia="Palatino Linotype" w:hAnsi="Palatino Linotype" w:cs="Palatino Linotype"/>
          <w:b/>
          <w:color w:val="000000"/>
          <w:lang w:val="es-ES"/>
        </w:rPr>
        <w:t>Sujeto Obligado</w:t>
      </w:r>
      <w:r w:rsidRPr="00CB61C6">
        <w:rPr>
          <w:rFonts w:ascii="Palatino Linotype" w:eastAsia="Palatino Linotype" w:hAnsi="Palatino Linotype" w:cs="Palatino Linotype"/>
          <w:color w:val="000000"/>
          <w:lang w:val="es-ES"/>
        </w:rPr>
        <w:t>, mediante acuerdo dará por concluida la solicitud y podrá, de ser el caso, realizar la destrucción del material en el que se reprodujo, situación que también deberá informar a este Instituto, por el mismo conducto.</w:t>
      </w:r>
    </w:p>
    <w:p w14:paraId="2AA965C7" w14:textId="77777777" w:rsidR="004964FF" w:rsidRPr="00CB61C6" w:rsidRDefault="004964FF" w:rsidP="008F40BF">
      <w:pPr>
        <w:pBdr>
          <w:top w:val="nil"/>
          <w:left w:val="nil"/>
          <w:bottom w:val="nil"/>
          <w:right w:val="nil"/>
          <w:between w:val="nil"/>
        </w:pBdr>
        <w:shd w:val="clear" w:color="auto" w:fill="FFFFFF"/>
        <w:tabs>
          <w:tab w:val="left" w:pos="284"/>
        </w:tabs>
        <w:spacing w:line="360" w:lineRule="auto"/>
        <w:ind w:right="49"/>
        <w:jc w:val="both"/>
        <w:rPr>
          <w:rFonts w:ascii="Palatino Linotype" w:eastAsia="Century Gothic" w:hAnsi="Palatino Linotype" w:cs="Century Gothic"/>
          <w:color w:val="000000"/>
        </w:rPr>
      </w:pPr>
    </w:p>
    <w:p w14:paraId="3FB240F6" w14:textId="77777777" w:rsidR="001C2C79" w:rsidRPr="00FE0691" w:rsidRDefault="001C2C79" w:rsidP="008F40BF">
      <w:pPr>
        <w:numPr>
          <w:ilvl w:val="0"/>
          <w:numId w:val="6"/>
        </w:numPr>
        <w:pBdr>
          <w:top w:val="nil"/>
          <w:left w:val="nil"/>
          <w:bottom w:val="nil"/>
          <w:right w:val="nil"/>
          <w:between w:val="nil"/>
        </w:pBdr>
        <w:tabs>
          <w:tab w:val="left" w:pos="567"/>
        </w:tabs>
        <w:spacing w:line="360" w:lineRule="auto"/>
        <w:ind w:left="0" w:firstLine="0"/>
        <w:jc w:val="both"/>
        <w:rPr>
          <w:rFonts w:ascii="Palatino Linotype" w:hAnsi="Palatino Linotype"/>
          <w:color w:val="000000"/>
        </w:rPr>
      </w:pPr>
      <w:bookmarkStart w:id="8" w:name="_heading=h.4d34og8" w:colFirst="0" w:colLast="0"/>
      <w:bookmarkEnd w:id="8"/>
      <w:r w:rsidRPr="00CB61C6">
        <w:rPr>
          <w:rFonts w:ascii="Palatino Linotype" w:eastAsia="Palatino Linotype" w:hAnsi="Palatino Linotype" w:cs="Palatino Linotype"/>
          <w:color w:val="222222"/>
        </w:rPr>
        <w:t xml:space="preserve">Por lo anteriormente expuesto y fundado, este </w:t>
      </w:r>
      <w:r w:rsidRPr="00CB61C6">
        <w:rPr>
          <w:rFonts w:ascii="Palatino Linotype" w:eastAsia="Palatino Linotype" w:hAnsi="Palatino Linotype" w:cs="Palatino Linotype"/>
          <w:b/>
          <w:color w:val="222222"/>
        </w:rPr>
        <w:t>ÓRGANO GARANTE</w:t>
      </w:r>
      <w:r w:rsidRPr="00CB61C6">
        <w:rPr>
          <w:rFonts w:ascii="Palatino Linotype" w:eastAsia="Palatino Linotype" w:hAnsi="Palatino Linotype" w:cs="Palatino Linotype"/>
          <w:color w:val="222222"/>
        </w:rPr>
        <w:t xml:space="preserve"> emite los siguientes: </w:t>
      </w:r>
    </w:p>
    <w:p w14:paraId="3472E3A7" w14:textId="77777777" w:rsidR="00FE0691" w:rsidRDefault="00FE0691" w:rsidP="00FE0691">
      <w:pPr>
        <w:pStyle w:val="Prrafodelista"/>
        <w:rPr>
          <w:rFonts w:ascii="Palatino Linotype" w:hAnsi="Palatino Linotype"/>
          <w:color w:val="000000"/>
        </w:rPr>
      </w:pPr>
    </w:p>
    <w:p w14:paraId="36943FAE" w14:textId="77777777" w:rsidR="007F6CCA" w:rsidRDefault="001C2C79" w:rsidP="00E25386">
      <w:pPr>
        <w:pStyle w:val="Ttulo1"/>
        <w:spacing w:before="0" w:line="360" w:lineRule="auto"/>
        <w:jc w:val="center"/>
        <w:rPr>
          <w:rFonts w:ascii="Palatino Linotype" w:eastAsia="Palatino Linotype" w:hAnsi="Palatino Linotype" w:cs="Palatino Linotype"/>
          <w:b/>
          <w:color w:val="000000"/>
          <w:sz w:val="24"/>
          <w:szCs w:val="24"/>
        </w:rPr>
      </w:pPr>
      <w:r w:rsidRPr="00CB61C6">
        <w:rPr>
          <w:rFonts w:ascii="Palatino Linotype" w:eastAsia="Palatino Linotype" w:hAnsi="Palatino Linotype" w:cs="Palatino Linotype"/>
          <w:b/>
          <w:color w:val="000000"/>
          <w:sz w:val="24"/>
          <w:szCs w:val="24"/>
        </w:rPr>
        <w:t>R E S O L U T I V O S</w:t>
      </w:r>
    </w:p>
    <w:p w14:paraId="705BD105" w14:textId="77777777" w:rsidR="00E25386" w:rsidRPr="00E25386" w:rsidRDefault="00E25386" w:rsidP="00E25386">
      <w:pPr>
        <w:rPr>
          <w:rFonts w:eastAsia="Palatino Linotype"/>
        </w:rPr>
      </w:pPr>
    </w:p>
    <w:p w14:paraId="0D6EB2B7" w14:textId="77777777" w:rsidR="001C2C79" w:rsidRPr="00CB61C6" w:rsidRDefault="001C2C79" w:rsidP="008F40BF">
      <w:pPr>
        <w:spacing w:line="360" w:lineRule="auto"/>
        <w:jc w:val="both"/>
        <w:rPr>
          <w:rFonts w:ascii="Palatino Linotype" w:eastAsia="Palatino Linotype" w:hAnsi="Palatino Linotype" w:cs="Palatino Linotype"/>
        </w:rPr>
      </w:pPr>
      <w:r w:rsidRPr="00CB61C6">
        <w:rPr>
          <w:rFonts w:ascii="Palatino Linotype" w:eastAsia="Palatino Linotype" w:hAnsi="Palatino Linotype" w:cs="Palatino Linotype"/>
          <w:b/>
        </w:rPr>
        <w:lastRenderedPageBreak/>
        <w:t xml:space="preserve">PRIMERO. </w:t>
      </w:r>
      <w:r w:rsidRPr="00CB61C6">
        <w:rPr>
          <w:rFonts w:ascii="Palatino Linotype" w:eastAsia="Palatino Linotype" w:hAnsi="Palatino Linotype" w:cs="Palatino Linotype"/>
        </w:rPr>
        <w:t xml:space="preserve">Se </w:t>
      </w:r>
      <w:r w:rsidRPr="00CB61C6">
        <w:rPr>
          <w:rFonts w:ascii="Palatino Linotype" w:eastAsia="Palatino Linotype" w:hAnsi="Palatino Linotype" w:cs="Palatino Linotype"/>
          <w:b/>
        </w:rPr>
        <w:t>SOBRESEE</w:t>
      </w:r>
      <w:r w:rsidR="007F6CCA">
        <w:rPr>
          <w:rFonts w:ascii="Palatino Linotype" w:eastAsia="Palatino Linotype" w:hAnsi="Palatino Linotype" w:cs="Palatino Linotype"/>
          <w:b/>
        </w:rPr>
        <w:t>N</w:t>
      </w:r>
      <w:r w:rsidR="007F6CCA">
        <w:rPr>
          <w:rFonts w:ascii="Palatino Linotype" w:eastAsia="Palatino Linotype" w:hAnsi="Palatino Linotype" w:cs="Palatino Linotype"/>
        </w:rPr>
        <w:t xml:space="preserve"> </w:t>
      </w:r>
      <w:r w:rsidRPr="00CB61C6">
        <w:rPr>
          <w:rFonts w:ascii="Palatino Linotype" w:eastAsia="Palatino Linotype" w:hAnsi="Palatino Linotype" w:cs="Palatino Linotype"/>
        </w:rPr>
        <w:t>l</w:t>
      </w:r>
      <w:r w:rsidR="007F6CCA">
        <w:rPr>
          <w:rFonts w:ascii="Palatino Linotype" w:eastAsia="Palatino Linotype" w:hAnsi="Palatino Linotype" w:cs="Palatino Linotype"/>
        </w:rPr>
        <w:t>os</w:t>
      </w:r>
      <w:r w:rsidRPr="00CB61C6">
        <w:rPr>
          <w:rFonts w:ascii="Palatino Linotype" w:eastAsia="Palatino Linotype" w:hAnsi="Palatino Linotype" w:cs="Palatino Linotype"/>
        </w:rPr>
        <w:t xml:space="preserve"> recurso</w:t>
      </w:r>
      <w:r w:rsidR="007F6CCA">
        <w:rPr>
          <w:rFonts w:ascii="Palatino Linotype" w:eastAsia="Palatino Linotype" w:hAnsi="Palatino Linotype" w:cs="Palatino Linotype"/>
        </w:rPr>
        <w:t>s</w:t>
      </w:r>
      <w:r w:rsidRPr="00CB61C6">
        <w:rPr>
          <w:rFonts w:ascii="Palatino Linotype" w:eastAsia="Palatino Linotype" w:hAnsi="Palatino Linotype" w:cs="Palatino Linotype"/>
        </w:rPr>
        <w:t xml:space="preserve"> de revisión </w:t>
      </w:r>
      <w:r w:rsidR="00E25386">
        <w:rPr>
          <w:rFonts w:ascii="Palatino Linotype" w:eastAsia="Palatino Linotype" w:hAnsi="Palatino Linotype" w:cs="Palatino Linotype"/>
        </w:rPr>
        <w:t>acumulados</w:t>
      </w:r>
      <w:r w:rsidRPr="00CB61C6">
        <w:rPr>
          <w:rFonts w:ascii="Palatino Linotype" w:eastAsia="Palatino Linotype" w:hAnsi="Palatino Linotype" w:cs="Palatino Linotype"/>
        </w:rPr>
        <w:t xml:space="preserve"> </w:t>
      </w:r>
      <w:r w:rsidR="007F6CCA" w:rsidRPr="00CB61C6">
        <w:rPr>
          <w:rFonts w:ascii="Palatino Linotype" w:eastAsia="Palatino Linotype" w:hAnsi="Palatino Linotype" w:cs="Palatino Linotype"/>
          <w:b/>
          <w:color w:val="000000"/>
        </w:rPr>
        <w:t xml:space="preserve">01903/INFOEM/IP/RR/2024, 01904/INFOEM/IP/RR/2024, 01905/INFOEM/IP/RR/2024, 01906/INFOEM/IP/RR/2024 </w:t>
      </w:r>
      <w:r w:rsidR="007F6CCA" w:rsidRPr="00CB61C6">
        <w:rPr>
          <w:rFonts w:ascii="Palatino Linotype" w:eastAsia="Palatino Linotype" w:hAnsi="Palatino Linotype" w:cs="Palatino Linotype"/>
          <w:color w:val="000000"/>
        </w:rPr>
        <w:t>y</w:t>
      </w:r>
      <w:r w:rsidR="007F6CCA" w:rsidRPr="00CB61C6">
        <w:rPr>
          <w:rFonts w:ascii="Palatino Linotype" w:eastAsia="Palatino Linotype" w:hAnsi="Palatino Linotype" w:cs="Palatino Linotype"/>
          <w:b/>
          <w:color w:val="000000"/>
        </w:rPr>
        <w:t xml:space="preserve"> 01907/INFOEM/IP/RR/2024</w:t>
      </w:r>
      <w:r w:rsidRPr="00CB61C6">
        <w:rPr>
          <w:rFonts w:ascii="Palatino Linotype" w:eastAsia="Palatino Linotype" w:hAnsi="Palatino Linotype" w:cs="Palatino Linotype"/>
        </w:rPr>
        <w:t xml:space="preserve">, conforme </w:t>
      </w:r>
      <w:r w:rsidR="00D34E46">
        <w:rPr>
          <w:rFonts w:ascii="Palatino Linotype" w:eastAsia="Palatino Linotype" w:hAnsi="Palatino Linotype" w:cs="Palatino Linotype"/>
        </w:rPr>
        <w:t xml:space="preserve">a </w:t>
      </w:r>
      <w:r w:rsidRPr="00CB61C6">
        <w:rPr>
          <w:rFonts w:ascii="Palatino Linotype" w:eastAsia="Palatino Linotype" w:hAnsi="Palatino Linotype" w:cs="Palatino Linotype"/>
        </w:rPr>
        <w:t>la fracción III</w:t>
      </w:r>
      <w:r w:rsidR="00E25386">
        <w:rPr>
          <w:rFonts w:ascii="Palatino Linotype" w:eastAsia="Palatino Linotype" w:hAnsi="Palatino Linotype" w:cs="Palatino Linotype"/>
        </w:rPr>
        <w:t>,</w:t>
      </w:r>
      <w:r w:rsidRPr="00CB61C6">
        <w:rPr>
          <w:rFonts w:ascii="Palatino Linotype" w:eastAsia="Palatino Linotype" w:hAnsi="Palatino Linotype" w:cs="Palatino Linotype"/>
        </w:rPr>
        <w:t xml:space="preserve"> del artículo 192</w:t>
      </w:r>
      <w:r w:rsidR="00E25386">
        <w:rPr>
          <w:rFonts w:ascii="Palatino Linotype" w:eastAsia="Palatino Linotype" w:hAnsi="Palatino Linotype" w:cs="Palatino Linotype"/>
        </w:rPr>
        <w:t>,</w:t>
      </w:r>
      <w:r w:rsidRPr="00CB61C6">
        <w:rPr>
          <w:rFonts w:ascii="Palatino Linotype" w:eastAsia="Palatino Linotype" w:hAnsi="Palatino Linotype" w:cs="Palatino Linotype"/>
        </w:rPr>
        <w:t xml:space="preserve"> de la Ley de Transparencia y Acceso a la Información Pública del Estado de México y Municipios, porque al </w:t>
      </w:r>
      <w:r w:rsidRPr="007F6CCA">
        <w:rPr>
          <w:rFonts w:ascii="Palatino Linotype" w:eastAsia="Palatino Linotype" w:hAnsi="Palatino Linotype" w:cs="Palatino Linotype"/>
        </w:rPr>
        <w:t>atender lo solicitado a través del informe justificado, el recurso de revisión quedó sin materia,</w:t>
      </w:r>
      <w:r w:rsidRPr="00CB61C6">
        <w:rPr>
          <w:rFonts w:ascii="Palatino Linotype" w:eastAsia="Palatino Linotype" w:hAnsi="Palatino Linotype" w:cs="Palatino Linotype"/>
          <w:b/>
        </w:rPr>
        <w:t xml:space="preserve"> </w:t>
      </w:r>
      <w:r w:rsidRPr="00CB61C6">
        <w:rPr>
          <w:rFonts w:ascii="Palatino Linotype" w:eastAsia="Palatino Linotype" w:hAnsi="Palatino Linotype" w:cs="Palatino Linotype"/>
        </w:rPr>
        <w:t xml:space="preserve">en términos del </w:t>
      </w:r>
      <w:r w:rsidRPr="00CB61C6">
        <w:rPr>
          <w:rFonts w:ascii="Palatino Linotype" w:eastAsia="Palatino Linotype" w:hAnsi="Palatino Linotype" w:cs="Palatino Linotype"/>
          <w:b/>
        </w:rPr>
        <w:t>Considerando TERCERO</w:t>
      </w:r>
      <w:r w:rsidRPr="00CB61C6">
        <w:rPr>
          <w:rFonts w:ascii="Palatino Linotype" w:eastAsia="Palatino Linotype" w:hAnsi="Palatino Linotype" w:cs="Palatino Linotype"/>
        </w:rPr>
        <w:t xml:space="preserve"> de la presente </w:t>
      </w:r>
      <w:r w:rsidR="007F6CCA">
        <w:rPr>
          <w:rFonts w:ascii="Palatino Linotype" w:eastAsia="Palatino Linotype" w:hAnsi="Palatino Linotype" w:cs="Palatino Linotype"/>
        </w:rPr>
        <w:t>R</w:t>
      </w:r>
      <w:r w:rsidRPr="00CB61C6">
        <w:rPr>
          <w:rFonts w:ascii="Palatino Linotype" w:eastAsia="Palatino Linotype" w:hAnsi="Palatino Linotype" w:cs="Palatino Linotype"/>
        </w:rPr>
        <w:t>esolución.</w:t>
      </w:r>
    </w:p>
    <w:p w14:paraId="6ACAE0BB" w14:textId="77777777" w:rsidR="001C2C79" w:rsidRPr="00CB61C6" w:rsidRDefault="001C2C79" w:rsidP="008F40BF">
      <w:pPr>
        <w:spacing w:line="360" w:lineRule="auto"/>
        <w:jc w:val="both"/>
        <w:rPr>
          <w:rFonts w:ascii="Palatino Linotype" w:eastAsia="Palatino Linotype" w:hAnsi="Palatino Linotype" w:cs="Palatino Linotype"/>
        </w:rPr>
      </w:pPr>
    </w:p>
    <w:p w14:paraId="041C665D" w14:textId="77777777" w:rsidR="001C2C79" w:rsidRPr="00CB61C6" w:rsidRDefault="001C2C79" w:rsidP="008F40BF">
      <w:pPr>
        <w:spacing w:line="360" w:lineRule="auto"/>
        <w:jc w:val="both"/>
        <w:rPr>
          <w:rFonts w:ascii="Palatino Linotype" w:eastAsia="Palatino Linotype" w:hAnsi="Palatino Linotype" w:cs="Palatino Linotype"/>
          <w:b/>
        </w:rPr>
      </w:pPr>
      <w:r w:rsidRPr="00CB61C6">
        <w:rPr>
          <w:rFonts w:ascii="Palatino Linotype" w:eastAsia="Palatino Linotype" w:hAnsi="Palatino Linotype" w:cs="Palatino Linotype"/>
          <w:b/>
        </w:rPr>
        <w:t xml:space="preserve">SEGUNDO. Notifíquese </w:t>
      </w:r>
      <w:r w:rsidRPr="00CB61C6">
        <w:rPr>
          <w:rFonts w:ascii="Palatino Linotype" w:eastAsia="Palatino Linotype" w:hAnsi="Palatino Linotype" w:cs="Palatino Linotype"/>
        </w:rPr>
        <w:t xml:space="preserve">a través del Sistema de Acceso a la Información Mexiquense </w:t>
      </w:r>
      <w:r w:rsidRPr="00CB61C6">
        <w:rPr>
          <w:rFonts w:ascii="Palatino Linotype" w:eastAsia="Palatino Linotype" w:hAnsi="Palatino Linotype" w:cs="Palatino Linotype"/>
          <w:b/>
        </w:rPr>
        <w:t xml:space="preserve">(SAIMEX) </w:t>
      </w:r>
      <w:r w:rsidRPr="00CB61C6">
        <w:rPr>
          <w:rFonts w:ascii="Palatino Linotype" w:eastAsia="Palatino Linotype" w:hAnsi="Palatino Linotype" w:cs="Palatino Linotype"/>
        </w:rPr>
        <w:t>la presente resolución a la Titular de la Unidad de Transparencia del</w:t>
      </w:r>
      <w:r w:rsidRPr="00CB61C6">
        <w:rPr>
          <w:rFonts w:ascii="Palatino Linotype" w:eastAsia="Palatino Linotype" w:hAnsi="Palatino Linotype" w:cs="Palatino Linotype"/>
          <w:b/>
        </w:rPr>
        <w:t xml:space="preserve"> SUJETO OBLIGADO. </w:t>
      </w:r>
    </w:p>
    <w:p w14:paraId="508FBE26" w14:textId="77777777" w:rsidR="001C2C79" w:rsidRPr="00CB61C6" w:rsidRDefault="001C2C79" w:rsidP="008F40BF">
      <w:pPr>
        <w:spacing w:line="360" w:lineRule="auto"/>
        <w:jc w:val="both"/>
        <w:rPr>
          <w:rFonts w:ascii="Palatino Linotype" w:eastAsia="Palatino Linotype" w:hAnsi="Palatino Linotype" w:cs="Palatino Linotype"/>
          <w:b/>
        </w:rPr>
      </w:pPr>
    </w:p>
    <w:p w14:paraId="357E92C5" w14:textId="77777777" w:rsidR="001C2C79" w:rsidRDefault="001C2C79" w:rsidP="008F40BF">
      <w:pPr>
        <w:spacing w:line="360" w:lineRule="auto"/>
        <w:jc w:val="both"/>
        <w:rPr>
          <w:rFonts w:ascii="Palatino Linotype" w:eastAsia="Palatino Linotype" w:hAnsi="Palatino Linotype" w:cs="Palatino Linotype"/>
          <w:color w:val="222222"/>
        </w:rPr>
      </w:pPr>
      <w:r w:rsidRPr="00CB61C6">
        <w:rPr>
          <w:rFonts w:ascii="Palatino Linotype" w:eastAsia="Palatino Linotype" w:hAnsi="Palatino Linotype" w:cs="Palatino Linotype"/>
          <w:b/>
        </w:rPr>
        <w:t xml:space="preserve">TERCERO. </w:t>
      </w:r>
      <w:r w:rsidRPr="00CB61C6">
        <w:rPr>
          <w:rFonts w:ascii="Palatino Linotype" w:eastAsia="Palatino Linotype" w:hAnsi="Palatino Linotype" w:cs="Palatino Linotype"/>
          <w:b/>
          <w:color w:val="222222"/>
        </w:rPr>
        <w:t xml:space="preserve">Notifíquese </w:t>
      </w:r>
      <w:r w:rsidRPr="00CB61C6">
        <w:rPr>
          <w:rFonts w:ascii="Palatino Linotype" w:eastAsia="Palatino Linotype" w:hAnsi="Palatino Linotype" w:cs="Palatino Linotype"/>
          <w:color w:val="222222"/>
        </w:rPr>
        <w:t xml:space="preserve">al </w:t>
      </w:r>
      <w:r w:rsidRPr="00CB61C6">
        <w:rPr>
          <w:rFonts w:ascii="Palatino Linotype" w:eastAsia="Palatino Linotype" w:hAnsi="Palatino Linotype" w:cs="Palatino Linotype"/>
          <w:b/>
        </w:rPr>
        <w:t xml:space="preserve">RECURRENTE </w:t>
      </w:r>
      <w:r w:rsidRPr="00CB61C6">
        <w:rPr>
          <w:rFonts w:ascii="Palatino Linotype" w:eastAsia="Palatino Linotype" w:hAnsi="Palatino Linotype" w:cs="Palatino Linotype"/>
        </w:rPr>
        <w:t xml:space="preserve">a través del Sistema de Acceso a la Información Mexiquense </w:t>
      </w:r>
      <w:r w:rsidRPr="00CB61C6">
        <w:rPr>
          <w:rFonts w:ascii="Palatino Linotype" w:eastAsia="Palatino Linotype" w:hAnsi="Palatino Linotype" w:cs="Palatino Linotype"/>
          <w:b/>
        </w:rPr>
        <w:t xml:space="preserve">(SAIMEX) </w:t>
      </w:r>
      <w:r w:rsidR="007F6CCA">
        <w:rPr>
          <w:rFonts w:ascii="Palatino Linotype" w:eastAsia="Palatino Linotype" w:hAnsi="Palatino Linotype" w:cs="Palatino Linotype"/>
          <w:color w:val="222222"/>
        </w:rPr>
        <w:t>la presente R</w:t>
      </w:r>
      <w:r w:rsidRPr="00CB61C6">
        <w:rPr>
          <w:rFonts w:ascii="Palatino Linotype" w:eastAsia="Palatino Linotype" w:hAnsi="Palatino Linotype" w:cs="Palatino Linotype"/>
          <w:color w:val="222222"/>
        </w:rPr>
        <w:t>esolución.</w:t>
      </w:r>
    </w:p>
    <w:p w14:paraId="53D156AC" w14:textId="77777777" w:rsidR="00FE0691" w:rsidRPr="00CB61C6" w:rsidRDefault="00FE0691" w:rsidP="008F40BF">
      <w:pPr>
        <w:spacing w:line="360" w:lineRule="auto"/>
        <w:jc w:val="both"/>
        <w:rPr>
          <w:rFonts w:ascii="Palatino Linotype" w:eastAsia="Palatino Linotype" w:hAnsi="Palatino Linotype" w:cs="Palatino Linotype"/>
          <w:color w:val="222222"/>
        </w:rPr>
      </w:pPr>
    </w:p>
    <w:p w14:paraId="20F6ECC9" w14:textId="77777777" w:rsidR="001C2C79" w:rsidRDefault="001C2C79" w:rsidP="008F40BF">
      <w:pPr>
        <w:spacing w:line="360" w:lineRule="auto"/>
        <w:jc w:val="both"/>
        <w:rPr>
          <w:rFonts w:ascii="Palatino Linotype" w:eastAsia="Palatino Linotype" w:hAnsi="Palatino Linotype" w:cs="Palatino Linotype"/>
        </w:rPr>
      </w:pPr>
      <w:r w:rsidRPr="00CB61C6">
        <w:rPr>
          <w:rFonts w:ascii="Palatino Linotype" w:eastAsia="Palatino Linotype" w:hAnsi="Palatino Linotype" w:cs="Palatino Linotype"/>
          <w:b/>
        </w:rPr>
        <w:t>CUARTO.</w:t>
      </w:r>
      <w:r w:rsidRPr="00CB61C6">
        <w:rPr>
          <w:rFonts w:ascii="Palatino Linotype" w:eastAsia="Palatino Linotype" w:hAnsi="Palatino Linotype" w:cs="Palatino Linotype"/>
        </w:rPr>
        <w:t xml:space="preserve"> Se hace del conocimiento del </w:t>
      </w:r>
      <w:r w:rsidRPr="00CB61C6">
        <w:rPr>
          <w:rFonts w:ascii="Palatino Linotype" w:eastAsia="Palatino Linotype" w:hAnsi="Palatino Linotype" w:cs="Palatino Linotype"/>
          <w:b/>
        </w:rPr>
        <w:t xml:space="preserve">RECURRENTE </w:t>
      </w:r>
      <w:r w:rsidRPr="00CB61C6">
        <w:rPr>
          <w:rFonts w:ascii="Palatino Linotype" w:eastAsia="Palatino Linotype" w:hAnsi="Palatino Linotype" w:cs="Palatino Linotype"/>
        </w:rPr>
        <w:t>que, de conformidad con lo establecido en el artículo 196 de la Ley de Transparencia y Acceso a la Información Pública del Estado de México y Municipios, e</w:t>
      </w:r>
      <w:r w:rsidR="007F6CCA">
        <w:rPr>
          <w:rFonts w:ascii="Palatino Linotype" w:eastAsia="Palatino Linotype" w:hAnsi="Palatino Linotype" w:cs="Palatino Linotype"/>
        </w:rPr>
        <w:t xml:space="preserve">n caso de que considere que la </w:t>
      </w:r>
      <w:r w:rsidR="007F6CCA">
        <w:rPr>
          <w:rFonts w:ascii="Palatino Linotype" w:eastAsia="Palatino Linotype" w:hAnsi="Palatino Linotype" w:cs="Palatino Linotype"/>
        </w:rPr>
        <w:lastRenderedPageBreak/>
        <w:t>R</w:t>
      </w:r>
      <w:r w:rsidRPr="00CB61C6">
        <w:rPr>
          <w:rFonts w:ascii="Palatino Linotype" w:eastAsia="Palatino Linotype" w:hAnsi="Palatino Linotype" w:cs="Palatino Linotype"/>
        </w:rPr>
        <w:t>esolución le cause algún perjuicio podrá impugnar vía juicio de amparo en los términos de las leyes aplicables.</w:t>
      </w:r>
    </w:p>
    <w:p w14:paraId="3BE6AEDD" w14:textId="77777777" w:rsidR="007F6CCA" w:rsidRPr="00CB61C6" w:rsidRDefault="007F6CCA" w:rsidP="008F40BF">
      <w:pPr>
        <w:spacing w:line="360" w:lineRule="auto"/>
        <w:jc w:val="both"/>
        <w:rPr>
          <w:rFonts w:ascii="Palatino Linotype" w:eastAsia="Palatino Linotype" w:hAnsi="Palatino Linotype" w:cs="Palatino Linotype"/>
        </w:rPr>
      </w:pPr>
    </w:p>
    <w:p w14:paraId="1BCF37F1" w14:textId="77777777" w:rsidR="009151F3" w:rsidRDefault="00D62D77" w:rsidP="00E25386">
      <w:pPr>
        <w:spacing w:line="360" w:lineRule="auto"/>
        <w:ind w:left="-142" w:right="-234" w:firstLine="1"/>
        <w:jc w:val="both"/>
        <w:rPr>
          <w:rFonts w:ascii="Palatino Linotype" w:hAnsi="Palatino Linotype"/>
        </w:rPr>
      </w:pPr>
      <w:r>
        <w:rPr>
          <w:rFonts w:ascii="Palatino Linotype" w:hAnsi="Palatino Linotype"/>
        </w:rPr>
        <w:t>ASÍ LO RESUELVE, POR MAYORÍA</w:t>
      </w:r>
      <w:r w:rsidR="00E25386" w:rsidRPr="003C7186">
        <w:rPr>
          <w:rFonts w:ascii="Palatino Linotype" w:hAnsi="Palatino Linotype"/>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sidR="00E25386">
        <w:rPr>
          <w:rFonts w:ascii="Palatino Linotype" w:hAnsi="Palatino Linotype"/>
        </w:rPr>
        <w:t xml:space="preserve"> Y GUADALUPE RAMÍREZ PEÑA</w:t>
      </w:r>
      <w:r>
        <w:rPr>
          <w:rFonts w:ascii="Palatino Linotype" w:hAnsi="Palatino Linotype"/>
        </w:rPr>
        <w:t xml:space="preserve"> EMITIENDO VOTO DISIDENTE</w:t>
      </w:r>
      <w:r w:rsidR="00E25386">
        <w:rPr>
          <w:rFonts w:ascii="Palatino Linotype" w:hAnsi="Palatino Linotype"/>
        </w:rPr>
        <w:t xml:space="preserve">; </w:t>
      </w:r>
      <w:r w:rsidR="00E25386" w:rsidRPr="003C7186">
        <w:rPr>
          <w:rFonts w:ascii="Palatino Linotype" w:hAnsi="Palatino Linotype"/>
        </w:rPr>
        <w:t xml:space="preserve">EN LA </w:t>
      </w:r>
      <w:r w:rsidR="00E25386">
        <w:rPr>
          <w:rFonts w:ascii="Palatino Linotype" w:hAnsi="Palatino Linotype"/>
        </w:rPr>
        <w:t>TRIGÉSIMA</w:t>
      </w:r>
      <w:r w:rsidR="00E25386" w:rsidRPr="003C7186">
        <w:rPr>
          <w:rFonts w:ascii="Palatino Linotype" w:hAnsi="Palatino Linotype"/>
        </w:rPr>
        <w:t xml:space="preserve"> </w:t>
      </w:r>
      <w:r w:rsidR="00E25386">
        <w:rPr>
          <w:rFonts w:ascii="Palatino Linotype" w:hAnsi="Palatino Linotype"/>
        </w:rPr>
        <w:t xml:space="preserve">OCTAVA </w:t>
      </w:r>
      <w:r w:rsidR="00E25386" w:rsidRPr="003C7186">
        <w:rPr>
          <w:rFonts w:ascii="Palatino Linotype" w:hAnsi="Palatino Linotype"/>
        </w:rPr>
        <w:t xml:space="preserve">SESIÓN ORDINARIA CELEBRADA EL </w:t>
      </w:r>
      <w:r w:rsidR="00E25386">
        <w:rPr>
          <w:rFonts w:ascii="Palatino Linotype" w:hAnsi="Palatino Linotype"/>
        </w:rPr>
        <w:t>SEIS</w:t>
      </w:r>
      <w:r w:rsidR="00E25386" w:rsidRPr="003C7186">
        <w:rPr>
          <w:rFonts w:ascii="Palatino Linotype" w:hAnsi="Palatino Linotype"/>
        </w:rPr>
        <w:t xml:space="preserve"> </w:t>
      </w:r>
      <w:r w:rsidR="00E25386">
        <w:rPr>
          <w:rFonts w:ascii="Palatino Linotype" w:hAnsi="Palatino Linotype"/>
        </w:rPr>
        <w:t>(06) DE NOVIEMBRE</w:t>
      </w:r>
      <w:r w:rsidR="00E25386" w:rsidRPr="003C7186">
        <w:rPr>
          <w:rFonts w:ascii="Palatino Linotype" w:hAnsi="Palatino Linotype"/>
        </w:rPr>
        <w:t xml:space="preserve"> DE DOS MIL VEINTICUATRO, ANTE EL SECRETARIO TÉCNICO DEL PLENO ALEXIS TAPIA RAMÍREZ. </w:t>
      </w:r>
    </w:p>
    <w:p w14:paraId="77A1E25A" w14:textId="77777777" w:rsidR="009151F3" w:rsidRDefault="009151F3">
      <w:pPr>
        <w:spacing w:after="160" w:line="259" w:lineRule="auto"/>
        <w:rPr>
          <w:rFonts w:ascii="Palatino Linotype" w:hAnsi="Palatino Linotype"/>
        </w:rPr>
      </w:pPr>
      <w:r>
        <w:rPr>
          <w:rFonts w:ascii="Palatino Linotype" w:hAnsi="Palatino Linotype"/>
        </w:rPr>
        <w:br w:type="page"/>
      </w:r>
    </w:p>
    <w:p w14:paraId="187593AE" w14:textId="77777777" w:rsidR="00E25386" w:rsidRPr="003C7186" w:rsidRDefault="00E25386" w:rsidP="00E25386">
      <w:pPr>
        <w:spacing w:line="360" w:lineRule="auto"/>
        <w:ind w:left="-142" w:right="-234" w:firstLine="1"/>
        <w:jc w:val="both"/>
        <w:rPr>
          <w:rFonts w:ascii="Palatino Linotype" w:hAnsi="Palatino Linotype"/>
        </w:rPr>
      </w:pPr>
    </w:p>
    <w:p w14:paraId="71AF2CC9" w14:textId="77777777" w:rsidR="001C2C79" w:rsidRPr="00CB61C6" w:rsidRDefault="001C2C79" w:rsidP="008F40BF">
      <w:pPr>
        <w:spacing w:line="360" w:lineRule="auto"/>
        <w:jc w:val="both"/>
        <w:rPr>
          <w:rFonts w:ascii="Palatino Linotype" w:eastAsia="Palatino Linotype" w:hAnsi="Palatino Linotype" w:cs="Palatino Linotype"/>
          <w:color w:val="222222"/>
        </w:rPr>
      </w:pPr>
    </w:p>
    <w:p w14:paraId="68560C29" w14:textId="77777777" w:rsidR="001C2C79" w:rsidRPr="00CB61C6" w:rsidRDefault="001C2C79" w:rsidP="008F40BF">
      <w:pPr>
        <w:spacing w:line="360" w:lineRule="auto"/>
        <w:jc w:val="both"/>
        <w:rPr>
          <w:rFonts w:ascii="Palatino Linotype" w:eastAsia="Palatino Linotype" w:hAnsi="Palatino Linotype" w:cs="Palatino Linotype"/>
          <w:color w:val="222222"/>
        </w:rPr>
      </w:pPr>
    </w:p>
    <w:p w14:paraId="481D6586" w14:textId="77777777" w:rsidR="001C2C79" w:rsidRPr="00CB61C6" w:rsidRDefault="001C2C79" w:rsidP="008F40BF">
      <w:pPr>
        <w:spacing w:line="360" w:lineRule="auto"/>
        <w:jc w:val="both"/>
        <w:rPr>
          <w:rFonts w:ascii="Palatino Linotype" w:eastAsia="Palatino Linotype" w:hAnsi="Palatino Linotype" w:cs="Palatino Linotype"/>
          <w:color w:val="222222"/>
        </w:rPr>
      </w:pPr>
    </w:p>
    <w:p w14:paraId="2ACC9D59" w14:textId="77777777" w:rsidR="001C2C79" w:rsidRPr="00CB61C6" w:rsidRDefault="001C2C79" w:rsidP="008F40BF">
      <w:pPr>
        <w:spacing w:line="360" w:lineRule="auto"/>
        <w:rPr>
          <w:rFonts w:ascii="Palatino Linotype" w:hAnsi="Palatino Linotype"/>
        </w:rPr>
      </w:pPr>
    </w:p>
    <w:p w14:paraId="06BD26BE" w14:textId="77777777" w:rsidR="00013865" w:rsidRPr="00CB61C6" w:rsidRDefault="00013865" w:rsidP="008F40BF">
      <w:pPr>
        <w:spacing w:line="360" w:lineRule="auto"/>
        <w:rPr>
          <w:rFonts w:ascii="Palatino Linotype" w:hAnsi="Palatino Linotype"/>
        </w:rPr>
      </w:pPr>
    </w:p>
    <w:sectPr w:rsidR="00013865" w:rsidRPr="00CB61C6">
      <w:headerReference w:type="even" r:id="rId20"/>
      <w:headerReference w:type="default" r:id="rId21"/>
      <w:footerReference w:type="default" r:id="rId22"/>
      <w:headerReference w:type="first" r:id="rId23"/>
      <w:footerReference w:type="first" r:id="rId24"/>
      <w:pgSz w:w="12240" w:h="15840"/>
      <w:pgMar w:top="80" w:right="1608" w:bottom="1418" w:left="1588" w:header="709" w:footer="73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79FFA" w14:textId="77777777" w:rsidR="00353BCD" w:rsidRDefault="00353BCD" w:rsidP="001C2C79">
      <w:r>
        <w:separator/>
      </w:r>
    </w:p>
  </w:endnote>
  <w:endnote w:type="continuationSeparator" w:id="0">
    <w:p w14:paraId="47026D8C" w14:textId="77777777" w:rsidR="00353BCD" w:rsidRDefault="00353BCD" w:rsidP="001C2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Segoe Print"/>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9A2A0" w14:textId="77777777" w:rsidR="009F62C4" w:rsidRDefault="009F62C4">
    <w:pPr>
      <w:pBdr>
        <w:top w:val="nil"/>
        <w:left w:val="nil"/>
        <w:bottom w:val="nil"/>
        <w:right w:val="nil"/>
        <w:between w:val="nil"/>
      </w:pBdr>
      <w:tabs>
        <w:tab w:val="center" w:pos="4419"/>
        <w:tab w:val="right" w:pos="8838"/>
      </w:tabs>
      <w:jc w:val="right"/>
      <w:rPr>
        <w:color w:val="000000"/>
      </w:rPr>
    </w:pPr>
  </w:p>
  <w:p w14:paraId="1EB097CA" w14:textId="77777777" w:rsidR="009F62C4" w:rsidRDefault="009F62C4">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595CB1">
      <w:rPr>
        <w:b/>
        <w:noProof/>
        <w:color w:val="000000"/>
      </w:rPr>
      <w:t>52</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595CB1">
      <w:rPr>
        <w:b/>
        <w:noProof/>
        <w:color w:val="000000"/>
      </w:rPr>
      <w:t>52</w:t>
    </w:r>
    <w:r>
      <w:rPr>
        <w:b/>
        <w:color w:val="000000"/>
      </w:rPr>
      <w:fldChar w:fldCharType="end"/>
    </w:r>
  </w:p>
  <w:p w14:paraId="77BBD4AE" w14:textId="77777777" w:rsidR="009F62C4" w:rsidRDefault="009F62C4">
    <w:pPr>
      <w:pBdr>
        <w:top w:val="nil"/>
        <w:left w:val="nil"/>
        <w:bottom w:val="nil"/>
        <w:right w:val="nil"/>
        <w:between w:val="nil"/>
      </w:pBdr>
      <w:tabs>
        <w:tab w:val="center" w:pos="4419"/>
        <w:tab w:val="right" w:pos="8838"/>
      </w:tabs>
      <w:rPr>
        <w:color w:val="000000"/>
      </w:rPr>
    </w:pPr>
  </w:p>
  <w:p w14:paraId="7BDB0F2B" w14:textId="77777777" w:rsidR="009F62C4" w:rsidRDefault="009F62C4"/>
  <w:p w14:paraId="1DE1DD7C" w14:textId="77777777" w:rsidR="009F62C4" w:rsidRDefault="009F62C4"/>
  <w:p w14:paraId="7CFA9112" w14:textId="77777777" w:rsidR="009F62C4" w:rsidRDefault="009F62C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29B82" w14:textId="77777777" w:rsidR="009F62C4" w:rsidRDefault="009F62C4">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595CB1">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595CB1">
      <w:rPr>
        <w:b/>
        <w:noProof/>
        <w:color w:val="000000"/>
      </w:rPr>
      <w:t>52</w:t>
    </w:r>
    <w:r>
      <w:rPr>
        <w:b/>
        <w:color w:val="000000"/>
      </w:rPr>
      <w:fldChar w:fldCharType="end"/>
    </w:r>
  </w:p>
  <w:p w14:paraId="0194A498" w14:textId="77777777" w:rsidR="009F62C4" w:rsidRDefault="009F62C4">
    <w:pPr>
      <w:pBdr>
        <w:top w:val="nil"/>
        <w:left w:val="nil"/>
        <w:bottom w:val="nil"/>
        <w:right w:val="nil"/>
        <w:between w:val="nil"/>
      </w:pBdr>
      <w:tabs>
        <w:tab w:val="center" w:pos="4419"/>
        <w:tab w:val="right" w:pos="8838"/>
      </w:tabs>
      <w:rPr>
        <w:color w:val="000000"/>
      </w:rPr>
    </w:pPr>
  </w:p>
  <w:p w14:paraId="3E7B10F1" w14:textId="77777777" w:rsidR="009F62C4" w:rsidRDefault="009F62C4"/>
  <w:p w14:paraId="1245D076" w14:textId="77777777" w:rsidR="009F62C4" w:rsidRDefault="009F62C4"/>
  <w:p w14:paraId="1B5AF4D1" w14:textId="77777777" w:rsidR="009F62C4" w:rsidRDefault="009F62C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FAF12" w14:textId="77777777" w:rsidR="00353BCD" w:rsidRDefault="00353BCD" w:rsidP="001C2C79">
      <w:r>
        <w:separator/>
      </w:r>
    </w:p>
  </w:footnote>
  <w:footnote w:type="continuationSeparator" w:id="0">
    <w:p w14:paraId="1759F3F4" w14:textId="77777777" w:rsidR="00353BCD" w:rsidRDefault="00353BCD" w:rsidP="001C2C79">
      <w:r>
        <w:continuationSeparator/>
      </w:r>
    </w:p>
  </w:footnote>
  <w:footnote w:id="1">
    <w:p w14:paraId="2200F7F0" w14:textId="77777777" w:rsidR="009F62C4" w:rsidRPr="00F75272" w:rsidRDefault="009F62C4" w:rsidP="005D37F5">
      <w:pPr>
        <w:pStyle w:val="Textonotapie"/>
        <w:jc w:val="both"/>
        <w:rPr>
          <w:rFonts w:ascii="Palatino Linotype" w:hAnsi="Palatino Linotype"/>
          <w:sz w:val="16"/>
          <w:szCs w:val="16"/>
        </w:rPr>
      </w:pPr>
      <w:r w:rsidRPr="00F75272">
        <w:rPr>
          <w:rStyle w:val="Refdenotaalpie"/>
        </w:rPr>
        <w:footnoteRef/>
      </w:r>
      <w:r w:rsidRPr="00F75272">
        <w:rPr>
          <w:rFonts w:ascii="Palatino Linotype" w:hAnsi="Palatino Linotype"/>
          <w:sz w:val="16"/>
          <w:szCs w:val="16"/>
        </w:rPr>
        <w:t xml:space="preserve"> </w:t>
      </w:r>
      <w:r w:rsidRPr="00F75272">
        <w:rPr>
          <w:rFonts w:ascii="Palatino Linotype" w:eastAsia="Times New Roman" w:hAnsi="Palatino Linotype" w:cs="Arial"/>
          <w:sz w:val="16"/>
          <w:szCs w:val="16"/>
        </w:rPr>
        <w:t>Emitidos por este Instituto y publicados en el Periódico Oficial del Gobierno del Estado de México “Gaceta del Gobierno” en fecha treinta de octubre de dos mil ocho.</w:t>
      </w:r>
    </w:p>
  </w:footnote>
  <w:footnote w:id="2">
    <w:p w14:paraId="1A348117" w14:textId="77777777" w:rsidR="009F62C4" w:rsidRDefault="009F62C4" w:rsidP="001C2C79">
      <w:pPr>
        <w:pBdr>
          <w:top w:val="nil"/>
          <w:left w:val="nil"/>
          <w:bottom w:val="nil"/>
          <w:right w:val="nil"/>
          <w:between w:val="nil"/>
        </w:pBdr>
        <w:rPr>
          <w:rFonts w:ascii="Calibri" w:eastAsia="Calibri" w:hAnsi="Calibri" w:cs="Calibri"/>
          <w:color w:val="000000"/>
        </w:rPr>
      </w:pPr>
      <w:r>
        <w:rPr>
          <w:vertAlign w:val="superscript"/>
        </w:rPr>
        <w:footnoteRef/>
      </w:r>
      <w:r>
        <w:rPr>
          <w:rFonts w:ascii="Calibri" w:eastAsia="Calibri" w:hAnsi="Calibri" w:cs="Calibri"/>
          <w:color w:val="000000"/>
        </w:rPr>
        <w:t xml:space="preserve"> Políticas Públicas y Cambio Climático. Angélica Rosas Huerta. Profesora- investigadora. Departamento Política y Cultura. División de Ciencias Sociales y Humanidades.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3B2DA" w14:textId="77777777" w:rsidR="009F62C4" w:rsidRDefault="00353BCD">
    <w:pPr>
      <w:pBdr>
        <w:top w:val="nil"/>
        <w:left w:val="nil"/>
        <w:bottom w:val="nil"/>
        <w:right w:val="nil"/>
        <w:between w:val="nil"/>
      </w:pBdr>
      <w:tabs>
        <w:tab w:val="center" w:pos="4419"/>
        <w:tab w:val="right" w:pos="8838"/>
      </w:tabs>
      <w:rPr>
        <w:color w:val="000000"/>
      </w:rPr>
    </w:pPr>
    <w:r>
      <w:rPr>
        <w:color w:val="000000"/>
      </w:rPr>
      <w:pict w14:anchorId="37A70E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7" type="#_x0000_t75" alt="" style="position:absolute;margin-left:0;margin-top:0;width:663.5pt;height:12in;z-index:-251655168;mso-position-horizontal:center;mso-position-horizontal-relative:margin;mso-position-vertical:center;mso-position-vertical-relative:margin">
          <v:imagedata r:id="rId1" o:title="image1"/>
          <w10:wrap anchorx="margin" anchory="margin"/>
        </v:shape>
      </w:pict>
    </w:r>
  </w:p>
  <w:p w14:paraId="54113DB8" w14:textId="77777777" w:rsidR="009F62C4" w:rsidRDefault="009F62C4"/>
  <w:p w14:paraId="3479A498" w14:textId="77777777" w:rsidR="009F62C4" w:rsidRDefault="009F62C4"/>
  <w:p w14:paraId="39AC3283" w14:textId="77777777" w:rsidR="009F62C4" w:rsidRDefault="009F62C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D385D" w14:textId="77777777" w:rsidR="009F62C4" w:rsidRDefault="009F62C4">
    <w:pPr>
      <w:widowControl w:val="0"/>
      <w:pBdr>
        <w:top w:val="nil"/>
        <w:left w:val="nil"/>
        <w:bottom w:val="nil"/>
        <w:right w:val="nil"/>
        <w:between w:val="nil"/>
      </w:pBdr>
      <w:spacing w:line="276" w:lineRule="auto"/>
    </w:pPr>
  </w:p>
  <w:tbl>
    <w:tblPr>
      <w:tblW w:w="9356" w:type="dxa"/>
      <w:tblLayout w:type="fixed"/>
      <w:tblLook w:val="0400" w:firstRow="0" w:lastRow="0" w:firstColumn="0" w:lastColumn="0" w:noHBand="0" w:noVBand="1"/>
    </w:tblPr>
    <w:tblGrid>
      <w:gridCol w:w="1843"/>
      <w:gridCol w:w="7513"/>
    </w:tblGrid>
    <w:tr w:rsidR="009F62C4" w14:paraId="006DAE4C" w14:textId="77777777">
      <w:trPr>
        <w:trHeight w:val="1435"/>
      </w:trPr>
      <w:tc>
        <w:tcPr>
          <w:tcW w:w="1843" w:type="dxa"/>
          <w:shd w:val="clear" w:color="auto" w:fill="auto"/>
        </w:tcPr>
        <w:p w14:paraId="7F3855FF" w14:textId="77777777" w:rsidR="009F62C4" w:rsidRDefault="009F62C4">
          <w:pPr>
            <w:tabs>
              <w:tab w:val="right" w:pos="4273"/>
            </w:tabs>
            <w:rPr>
              <w:rFonts w:ascii="Garamond" w:eastAsia="Garamond" w:hAnsi="Garamond" w:cs="Garamond"/>
              <w:sz w:val="16"/>
              <w:szCs w:val="16"/>
            </w:rPr>
          </w:pPr>
          <w:r>
            <w:rPr>
              <w:rFonts w:ascii="Garamond" w:eastAsia="Garamond" w:hAnsi="Garamond" w:cs="Garamond"/>
              <w:sz w:val="16"/>
              <w:szCs w:val="16"/>
            </w:rPr>
            <w:t xml:space="preserve"> </w:t>
          </w:r>
        </w:p>
      </w:tc>
      <w:tc>
        <w:tcPr>
          <w:tcW w:w="7513" w:type="dxa"/>
          <w:shd w:val="clear" w:color="auto" w:fill="auto"/>
        </w:tcPr>
        <w:p w14:paraId="2F480E8D" w14:textId="77777777" w:rsidR="009F62C4" w:rsidRDefault="009F62C4"/>
        <w:tbl>
          <w:tblPr>
            <w:tblW w:w="5669" w:type="dxa"/>
            <w:tblInd w:w="1594" w:type="dxa"/>
            <w:tblBorders>
              <w:top w:val="nil"/>
              <w:left w:val="nil"/>
              <w:bottom w:val="nil"/>
              <w:right w:val="nil"/>
              <w:insideH w:val="nil"/>
              <w:insideV w:val="nil"/>
            </w:tblBorders>
            <w:tblLayout w:type="fixed"/>
            <w:tblLook w:val="0400" w:firstRow="0" w:lastRow="0" w:firstColumn="0" w:lastColumn="0" w:noHBand="0" w:noVBand="1"/>
          </w:tblPr>
          <w:tblGrid>
            <w:gridCol w:w="2551"/>
            <w:gridCol w:w="3118"/>
          </w:tblGrid>
          <w:tr w:rsidR="009F62C4" w14:paraId="31632DCD" w14:textId="77777777" w:rsidTr="001C2C79">
            <w:trPr>
              <w:trHeight w:val="338"/>
            </w:trPr>
            <w:tc>
              <w:tcPr>
                <w:tcW w:w="2551" w:type="dxa"/>
              </w:tcPr>
              <w:p w14:paraId="7A62F4E3" w14:textId="77777777" w:rsidR="009F62C4" w:rsidRDefault="009F62C4">
                <w:pPr>
                  <w:tabs>
                    <w:tab w:val="right" w:pos="8838"/>
                  </w:tabs>
                  <w:ind w:right="-105"/>
                  <w:rPr>
                    <w:rFonts w:ascii="Palatino Linotype" w:eastAsia="Palatino Linotype" w:hAnsi="Palatino Linotype" w:cs="Palatino Linotype"/>
                    <w:b/>
                    <w:sz w:val="22"/>
                    <w:szCs w:val="22"/>
                  </w:rPr>
                </w:pPr>
              </w:p>
              <w:p w14:paraId="4159951C" w14:textId="77777777" w:rsidR="009F62C4" w:rsidRDefault="009F62C4">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8" w:type="dxa"/>
              </w:tcPr>
              <w:p w14:paraId="24BA3BB3" w14:textId="77777777" w:rsidR="009F62C4" w:rsidRDefault="009F62C4">
                <w:pPr>
                  <w:tabs>
                    <w:tab w:val="right" w:pos="8838"/>
                  </w:tabs>
                  <w:ind w:right="-105" w:hanging="101"/>
                  <w:jc w:val="both"/>
                  <w:rPr>
                    <w:rFonts w:ascii="Palatino Linotype" w:eastAsia="Palatino Linotype" w:hAnsi="Palatino Linotype" w:cs="Palatino Linotype"/>
                    <w:sz w:val="22"/>
                    <w:szCs w:val="22"/>
                  </w:rPr>
                </w:pPr>
              </w:p>
              <w:p w14:paraId="1791046B" w14:textId="77777777" w:rsidR="009F62C4" w:rsidRDefault="009F62C4">
                <w:pPr>
                  <w:tabs>
                    <w:tab w:val="right" w:pos="8838"/>
                  </w:tabs>
                  <w:ind w:right="-105" w:hanging="10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01903/INFOEM/IP/RR/2024 y acumulados</w:t>
                </w:r>
              </w:p>
            </w:tc>
          </w:tr>
          <w:tr w:rsidR="009F62C4" w14:paraId="601B0E71" w14:textId="77777777" w:rsidTr="001C2C79">
            <w:trPr>
              <w:trHeight w:val="283"/>
            </w:trPr>
            <w:tc>
              <w:tcPr>
                <w:tcW w:w="2551" w:type="dxa"/>
              </w:tcPr>
              <w:p w14:paraId="44E0DC67" w14:textId="77777777" w:rsidR="009F62C4" w:rsidRDefault="009F62C4">
                <w:pPr>
                  <w:tabs>
                    <w:tab w:val="right" w:pos="8838"/>
                  </w:tabs>
                  <w:ind w:right="-105"/>
                  <w:rPr>
                    <w:rFonts w:ascii="Palatino Linotype" w:eastAsia="Palatino Linotype" w:hAnsi="Palatino Linotype" w:cs="Palatino Linotype"/>
                    <w:b/>
                    <w:sz w:val="22"/>
                    <w:szCs w:val="22"/>
                  </w:rPr>
                </w:pPr>
                <w:bookmarkStart w:id="9" w:name="_heading=h.2s8eyo1" w:colFirst="0" w:colLast="0"/>
                <w:bookmarkEnd w:id="9"/>
                <w:r>
                  <w:rPr>
                    <w:rFonts w:ascii="Palatino Linotype" w:eastAsia="Palatino Linotype" w:hAnsi="Palatino Linotype" w:cs="Palatino Linotype"/>
                    <w:b/>
                    <w:sz w:val="22"/>
                    <w:szCs w:val="22"/>
                  </w:rPr>
                  <w:t>Sujeto Obligado:</w:t>
                </w:r>
              </w:p>
            </w:tc>
            <w:tc>
              <w:tcPr>
                <w:tcW w:w="3118" w:type="dxa"/>
              </w:tcPr>
              <w:p w14:paraId="01742779" w14:textId="77777777" w:rsidR="009F62C4" w:rsidRDefault="009F62C4" w:rsidP="000B7930">
                <w:pPr>
                  <w:tabs>
                    <w:tab w:val="left" w:pos="2834"/>
                    <w:tab w:val="right" w:pos="8838"/>
                  </w:tabs>
                  <w:ind w:left="-113" w:right="-10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Ayuntamiento de Toluca</w:t>
                </w:r>
              </w:p>
            </w:tc>
          </w:tr>
          <w:tr w:rsidR="009F62C4" w14:paraId="48FE57E6" w14:textId="77777777" w:rsidTr="001C2C79">
            <w:trPr>
              <w:trHeight w:val="283"/>
            </w:trPr>
            <w:tc>
              <w:tcPr>
                <w:tcW w:w="2551" w:type="dxa"/>
              </w:tcPr>
              <w:p w14:paraId="0905FBD1" w14:textId="77777777" w:rsidR="009F62C4" w:rsidRDefault="009F62C4">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8" w:type="dxa"/>
              </w:tcPr>
              <w:p w14:paraId="459A3C0B" w14:textId="77777777" w:rsidR="009F62C4" w:rsidRDefault="009F62C4">
                <w:pPr>
                  <w:tabs>
                    <w:tab w:val="right" w:pos="8838"/>
                  </w:tabs>
                  <w:ind w:left="-113" w:right="-105"/>
                  <w:jc w:val="both"/>
                  <w:rPr>
                    <w:rFonts w:ascii="Palatino Linotype" w:eastAsia="Palatino Linotype" w:hAnsi="Palatino Linotype" w:cs="Palatino Linotype"/>
                    <w:b/>
                    <w:sz w:val="22"/>
                    <w:szCs w:val="22"/>
                  </w:rPr>
                </w:pPr>
                <w:r>
                  <w:rPr>
                    <w:rFonts w:ascii="Palatino Linotype" w:eastAsia="Palatino Linotype" w:hAnsi="Palatino Linotype" w:cs="Palatino Linotype"/>
                    <w:sz w:val="22"/>
                    <w:szCs w:val="22"/>
                  </w:rPr>
                  <w:t>María del Rosario Mejía Ayala</w:t>
                </w:r>
              </w:p>
            </w:tc>
          </w:tr>
        </w:tbl>
        <w:p w14:paraId="607EED97" w14:textId="77777777" w:rsidR="009F62C4" w:rsidRDefault="009F62C4">
          <w:pPr>
            <w:tabs>
              <w:tab w:val="right" w:pos="8838"/>
            </w:tabs>
            <w:ind w:left="-28"/>
            <w:jc w:val="both"/>
            <w:rPr>
              <w:rFonts w:ascii="Arial" w:eastAsia="Arial" w:hAnsi="Arial" w:cs="Arial"/>
              <w:b/>
              <w:sz w:val="22"/>
              <w:szCs w:val="22"/>
            </w:rPr>
          </w:pPr>
        </w:p>
      </w:tc>
    </w:tr>
  </w:tbl>
  <w:p w14:paraId="0AC4576E" w14:textId="77777777" w:rsidR="009F62C4" w:rsidRDefault="00353BCD">
    <w:pPr>
      <w:pBdr>
        <w:top w:val="nil"/>
        <w:left w:val="nil"/>
        <w:bottom w:val="nil"/>
        <w:right w:val="nil"/>
        <w:between w:val="nil"/>
      </w:pBdr>
      <w:tabs>
        <w:tab w:val="center" w:pos="4419"/>
        <w:tab w:val="right" w:pos="8838"/>
      </w:tabs>
      <w:rPr>
        <w:color w:val="000000"/>
        <w:sz w:val="14"/>
        <w:szCs w:val="14"/>
      </w:rPr>
    </w:pPr>
    <w:r>
      <w:rPr>
        <w:color w:val="000000"/>
        <w:sz w:val="14"/>
        <w:szCs w:val="14"/>
      </w:rPr>
      <w:pict w14:anchorId="1ED153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 style="position:absolute;margin-left:-104.3pt;margin-top:-133.1pt;width:663.5pt;height:12in;z-index:-251657216;mso-position-horizontal:absolute;mso-position-horizontal-relative:margin;mso-position-vertical:absolute;mso-position-vertical-relative:margin">
          <v:imagedata r:id="rId1" o:title="image1"/>
          <w10:wrap anchorx="margin" anchory="margin"/>
        </v:shape>
      </w:pict>
    </w:r>
  </w:p>
  <w:p w14:paraId="295AC4D2" w14:textId="77777777" w:rsidR="009F62C4" w:rsidRDefault="009F62C4"/>
  <w:p w14:paraId="1A3D7190" w14:textId="77777777" w:rsidR="009F62C4" w:rsidRDefault="009F62C4"/>
  <w:p w14:paraId="423A6529" w14:textId="77777777" w:rsidR="009F62C4" w:rsidRDefault="009F62C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441BE" w14:textId="77777777" w:rsidR="009F62C4" w:rsidRDefault="009F62C4">
    <w:pPr>
      <w:widowControl w:val="0"/>
      <w:pBdr>
        <w:top w:val="nil"/>
        <w:left w:val="nil"/>
        <w:bottom w:val="nil"/>
        <w:right w:val="nil"/>
        <w:between w:val="nil"/>
      </w:pBdr>
      <w:spacing w:line="276" w:lineRule="auto"/>
    </w:pPr>
  </w:p>
  <w:tbl>
    <w:tblPr>
      <w:tblW w:w="9498" w:type="dxa"/>
      <w:tblLayout w:type="fixed"/>
      <w:tblLook w:val="0400" w:firstRow="0" w:lastRow="0" w:firstColumn="0" w:lastColumn="0" w:noHBand="0" w:noVBand="1"/>
    </w:tblPr>
    <w:tblGrid>
      <w:gridCol w:w="1560"/>
      <w:gridCol w:w="7938"/>
    </w:tblGrid>
    <w:tr w:rsidR="009F62C4" w14:paraId="12727C6D" w14:textId="77777777">
      <w:trPr>
        <w:trHeight w:val="1435"/>
      </w:trPr>
      <w:tc>
        <w:tcPr>
          <w:tcW w:w="1560" w:type="dxa"/>
          <w:shd w:val="clear" w:color="auto" w:fill="auto"/>
        </w:tcPr>
        <w:p w14:paraId="2E6AE201" w14:textId="77777777" w:rsidR="009F62C4" w:rsidRDefault="009F62C4">
          <w:pPr>
            <w:tabs>
              <w:tab w:val="right" w:pos="4273"/>
            </w:tabs>
            <w:rPr>
              <w:rFonts w:ascii="Garamond" w:eastAsia="Garamond" w:hAnsi="Garamond" w:cs="Garamond"/>
              <w:sz w:val="22"/>
              <w:szCs w:val="22"/>
            </w:rPr>
          </w:pPr>
        </w:p>
      </w:tc>
      <w:tc>
        <w:tcPr>
          <w:tcW w:w="7938" w:type="dxa"/>
          <w:shd w:val="clear" w:color="auto" w:fill="auto"/>
        </w:tcPr>
        <w:p w14:paraId="556CFAE2" w14:textId="77777777" w:rsidR="009F62C4" w:rsidRDefault="009F62C4">
          <w:pPr>
            <w:widowControl w:val="0"/>
            <w:pBdr>
              <w:top w:val="nil"/>
              <w:left w:val="nil"/>
              <w:bottom w:val="nil"/>
              <w:right w:val="nil"/>
              <w:between w:val="nil"/>
            </w:pBdr>
            <w:spacing w:line="276" w:lineRule="auto"/>
            <w:rPr>
              <w:rFonts w:ascii="Garamond" w:eastAsia="Garamond" w:hAnsi="Garamond" w:cs="Garamond"/>
              <w:sz w:val="22"/>
              <w:szCs w:val="22"/>
            </w:rPr>
          </w:pPr>
        </w:p>
        <w:tbl>
          <w:tblPr>
            <w:tblW w:w="8940" w:type="dxa"/>
            <w:tblInd w:w="1879" w:type="dxa"/>
            <w:tblBorders>
              <w:top w:val="nil"/>
              <w:left w:val="nil"/>
              <w:bottom w:val="nil"/>
              <w:right w:val="nil"/>
              <w:insideH w:val="nil"/>
              <w:insideV w:val="nil"/>
            </w:tblBorders>
            <w:tblLayout w:type="fixed"/>
            <w:tblLook w:val="0400" w:firstRow="0" w:lastRow="0" w:firstColumn="0" w:lastColumn="0" w:noHBand="0" w:noVBand="1"/>
          </w:tblPr>
          <w:tblGrid>
            <w:gridCol w:w="2490"/>
            <w:gridCol w:w="3210"/>
            <w:gridCol w:w="3240"/>
          </w:tblGrid>
          <w:tr w:rsidR="009F62C4" w14:paraId="31D1F710" w14:textId="77777777">
            <w:trPr>
              <w:trHeight w:val="144"/>
            </w:trPr>
            <w:tc>
              <w:tcPr>
                <w:tcW w:w="2490" w:type="dxa"/>
              </w:tcPr>
              <w:p w14:paraId="50E1849F" w14:textId="77777777" w:rsidR="009F62C4" w:rsidRDefault="009F62C4">
                <w:pPr>
                  <w:tabs>
                    <w:tab w:val="right" w:pos="8838"/>
                  </w:tabs>
                  <w:ind w:left="-74" w:right="-105"/>
                  <w:rPr>
                    <w:rFonts w:ascii="Palatino Linotype" w:eastAsia="Palatino Linotype" w:hAnsi="Palatino Linotype" w:cs="Palatino Linotype"/>
                    <w:b/>
                    <w:sz w:val="22"/>
                    <w:szCs w:val="22"/>
                  </w:rPr>
                </w:pPr>
                <w:bookmarkStart w:id="10" w:name="_heading=h.17dp8vu" w:colFirst="0" w:colLast="0"/>
                <w:bookmarkEnd w:id="10"/>
                <w:r>
                  <w:rPr>
                    <w:rFonts w:ascii="Palatino Linotype" w:eastAsia="Palatino Linotype" w:hAnsi="Palatino Linotype" w:cs="Palatino Linotype"/>
                    <w:b/>
                    <w:sz w:val="22"/>
                    <w:szCs w:val="22"/>
                  </w:rPr>
                  <w:t>Recurso de Revisión:</w:t>
                </w:r>
              </w:p>
            </w:tc>
            <w:tc>
              <w:tcPr>
                <w:tcW w:w="3210" w:type="dxa"/>
              </w:tcPr>
              <w:p w14:paraId="76A99D67" w14:textId="77777777" w:rsidR="009F62C4" w:rsidRDefault="009F62C4">
                <w:pPr>
                  <w:tabs>
                    <w:tab w:val="right" w:pos="8838"/>
                  </w:tabs>
                  <w:ind w:left="-3"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01903/INFOEM/IP/RR/2024 y acumulados</w:t>
                </w:r>
              </w:p>
            </w:tc>
            <w:tc>
              <w:tcPr>
                <w:tcW w:w="3240" w:type="dxa"/>
              </w:tcPr>
              <w:p w14:paraId="640869DC" w14:textId="77777777" w:rsidR="009F62C4" w:rsidRDefault="009F62C4">
                <w:pPr>
                  <w:tabs>
                    <w:tab w:val="right" w:pos="8838"/>
                  </w:tabs>
                  <w:ind w:left="-74" w:right="-105"/>
                  <w:jc w:val="both"/>
                  <w:rPr>
                    <w:rFonts w:ascii="Palatino Linotype" w:eastAsia="Palatino Linotype" w:hAnsi="Palatino Linotype" w:cs="Palatino Linotype"/>
                    <w:sz w:val="22"/>
                    <w:szCs w:val="22"/>
                  </w:rPr>
                </w:pPr>
              </w:p>
            </w:tc>
          </w:tr>
          <w:tr w:rsidR="009F62C4" w14:paraId="636A965F" w14:textId="77777777">
            <w:trPr>
              <w:trHeight w:val="144"/>
            </w:trPr>
            <w:tc>
              <w:tcPr>
                <w:tcW w:w="2490" w:type="dxa"/>
              </w:tcPr>
              <w:p w14:paraId="5EFFE7FE" w14:textId="77777777" w:rsidR="009F62C4" w:rsidRDefault="009F62C4">
                <w:pPr>
                  <w:tabs>
                    <w:tab w:val="right" w:pos="8838"/>
                  </w:tabs>
                  <w:ind w:left="-74" w:right="-105"/>
                  <w:rPr>
                    <w:rFonts w:ascii="Palatino Linotype" w:eastAsia="Palatino Linotype" w:hAnsi="Palatino Linotype" w:cs="Palatino Linotype"/>
                    <w:b/>
                    <w:sz w:val="22"/>
                    <w:szCs w:val="22"/>
                  </w:rPr>
                </w:pPr>
                <w:bookmarkStart w:id="11" w:name="_heading=h.3rdcrjn" w:colFirst="0" w:colLast="0"/>
                <w:bookmarkEnd w:id="11"/>
                <w:r>
                  <w:rPr>
                    <w:rFonts w:ascii="Palatino Linotype" w:eastAsia="Palatino Linotype" w:hAnsi="Palatino Linotype" w:cs="Palatino Linotype"/>
                    <w:b/>
                    <w:sz w:val="22"/>
                    <w:szCs w:val="22"/>
                  </w:rPr>
                  <w:t>Recurrente:</w:t>
                </w:r>
              </w:p>
            </w:tc>
            <w:tc>
              <w:tcPr>
                <w:tcW w:w="3210" w:type="dxa"/>
              </w:tcPr>
              <w:p w14:paraId="1A73EA8B" w14:textId="5D5C7B60" w:rsidR="009F62C4" w:rsidRDefault="00B24DB6">
                <w:pPr>
                  <w:tabs>
                    <w:tab w:val="left" w:pos="3122"/>
                    <w:tab w:val="right" w:pos="8838"/>
                  </w:tabs>
                  <w:ind w:right="178"/>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XXX XXX</w:t>
                </w:r>
              </w:p>
            </w:tc>
            <w:tc>
              <w:tcPr>
                <w:tcW w:w="3240" w:type="dxa"/>
              </w:tcPr>
              <w:p w14:paraId="6BF9A638" w14:textId="77777777" w:rsidR="009F62C4" w:rsidRDefault="009F62C4">
                <w:pPr>
                  <w:tabs>
                    <w:tab w:val="left" w:pos="3122"/>
                    <w:tab w:val="right" w:pos="8838"/>
                  </w:tabs>
                  <w:ind w:right="-105"/>
                  <w:jc w:val="both"/>
                  <w:rPr>
                    <w:rFonts w:ascii="Palatino Linotype" w:eastAsia="Palatino Linotype" w:hAnsi="Palatino Linotype" w:cs="Palatino Linotype"/>
                    <w:sz w:val="22"/>
                    <w:szCs w:val="22"/>
                  </w:rPr>
                </w:pPr>
              </w:p>
            </w:tc>
          </w:tr>
          <w:tr w:rsidR="009F62C4" w14:paraId="36D66475" w14:textId="77777777">
            <w:trPr>
              <w:trHeight w:val="283"/>
            </w:trPr>
            <w:tc>
              <w:tcPr>
                <w:tcW w:w="2490" w:type="dxa"/>
              </w:tcPr>
              <w:p w14:paraId="0B17A73C" w14:textId="77777777" w:rsidR="009F62C4" w:rsidRDefault="009F62C4">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210" w:type="dxa"/>
              </w:tcPr>
              <w:p w14:paraId="257771C7" w14:textId="77777777" w:rsidR="009F62C4" w:rsidRDefault="009F62C4">
                <w:pPr>
                  <w:tabs>
                    <w:tab w:val="left" w:pos="2834"/>
                    <w:tab w:val="right" w:pos="8838"/>
                  </w:tabs>
                  <w:ind w:left="-3"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Ayuntamiento de Toluca</w:t>
                </w:r>
              </w:p>
            </w:tc>
            <w:tc>
              <w:tcPr>
                <w:tcW w:w="3240" w:type="dxa"/>
              </w:tcPr>
              <w:p w14:paraId="7254B5FB" w14:textId="77777777" w:rsidR="009F62C4" w:rsidRDefault="009F62C4">
                <w:pPr>
                  <w:tabs>
                    <w:tab w:val="left" w:pos="2834"/>
                    <w:tab w:val="right" w:pos="8838"/>
                  </w:tabs>
                  <w:ind w:left="-74" w:right="-105"/>
                  <w:jc w:val="both"/>
                  <w:rPr>
                    <w:rFonts w:ascii="Palatino Linotype" w:eastAsia="Palatino Linotype" w:hAnsi="Palatino Linotype" w:cs="Palatino Linotype"/>
                    <w:sz w:val="22"/>
                    <w:szCs w:val="22"/>
                  </w:rPr>
                </w:pPr>
              </w:p>
            </w:tc>
          </w:tr>
          <w:tr w:rsidR="009F62C4" w14:paraId="0415576A" w14:textId="77777777">
            <w:trPr>
              <w:trHeight w:val="283"/>
            </w:trPr>
            <w:tc>
              <w:tcPr>
                <w:tcW w:w="2490" w:type="dxa"/>
              </w:tcPr>
              <w:p w14:paraId="59D8A329" w14:textId="77777777" w:rsidR="009F62C4" w:rsidRDefault="009F62C4">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210" w:type="dxa"/>
              </w:tcPr>
              <w:p w14:paraId="66F840BF" w14:textId="77777777" w:rsidR="009F62C4" w:rsidRDefault="009F62C4">
                <w:pPr>
                  <w:tabs>
                    <w:tab w:val="right" w:pos="8838"/>
                  </w:tabs>
                  <w:ind w:left="-3"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tc>
            <w:tc>
              <w:tcPr>
                <w:tcW w:w="3240" w:type="dxa"/>
              </w:tcPr>
              <w:p w14:paraId="5CD8CBF5" w14:textId="77777777" w:rsidR="009F62C4" w:rsidRDefault="009F62C4">
                <w:pPr>
                  <w:tabs>
                    <w:tab w:val="right" w:pos="8838"/>
                  </w:tabs>
                  <w:ind w:left="-74" w:right="-105"/>
                  <w:jc w:val="both"/>
                  <w:rPr>
                    <w:rFonts w:ascii="Palatino Linotype" w:eastAsia="Palatino Linotype" w:hAnsi="Palatino Linotype" w:cs="Palatino Linotype"/>
                    <w:sz w:val="22"/>
                    <w:szCs w:val="22"/>
                  </w:rPr>
                </w:pPr>
              </w:p>
            </w:tc>
          </w:tr>
        </w:tbl>
        <w:p w14:paraId="41C73614" w14:textId="77777777" w:rsidR="009F62C4" w:rsidRDefault="009F62C4">
          <w:pPr>
            <w:tabs>
              <w:tab w:val="right" w:pos="8838"/>
            </w:tabs>
            <w:ind w:left="-28"/>
            <w:jc w:val="both"/>
            <w:rPr>
              <w:rFonts w:ascii="Arial" w:eastAsia="Arial" w:hAnsi="Arial" w:cs="Arial"/>
              <w:b/>
              <w:sz w:val="22"/>
              <w:szCs w:val="22"/>
            </w:rPr>
          </w:pPr>
        </w:p>
      </w:tc>
    </w:tr>
  </w:tbl>
  <w:p w14:paraId="4D1C2F4C" w14:textId="77777777" w:rsidR="009F62C4" w:rsidRDefault="00353BCD">
    <w:pPr>
      <w:pBdr>
        <w:top w:val="nil"/>
        <w:left w:val="nil"/>
        <w:bottom w:val="nil"/>
        <w:right w:val="nil"/>
        <w:between w:val="nil"/>
      </w:pBdr>
      <w:tabs>
        <w:tab w:val="center" w:pos="4419"/>
        <w:tab w:val="right" w:pos="8838"/>
        <w:tab w:val="center" w:pos="4522"/>
      </w:tabs>
      <w:rPr>
        <w:color w:val="000000"/>
      </w:rPr>
    </w:pPr>
    <w:r>
      <w:rPr>
        <w:color w:val="000000"/>
        <w:sz w:val="14"/>
        <w:szCs w:val="14"/>
      </w:rPr>
      <w:pict w14:anchorId="5F8590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 style="position:absolute;margin-left:-75.8pt;margin-top:-134.3pt;width:663.5pt;height:12in;z-index:-251656192;mso-position-horizontal:absolute;mso-position-horizontal-relative:margin;mso-position-vertical:absolute;mso-position-vertical-relative:margin">
          <v:imagedata r:id="rId1" o:title="image1"/>
          <w10:wrap anchorx="margin" anchory="margin"/>
        </v:shape>
      </w:pict>
    </w:r>
  </w:p>
  <w:p w14:paraId="4D4F5E4F" w14:textId="77777777" w:rsidR="009F62C4" w:rsidRDefault="009F62C4"/>
  <w:p w14:paraId="78E1E585" w14:textId="77777777" w:rsidR="009F62C4" w:rsidRDefault="009F62C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E25D6"/>
    <w:multiLevelType w:val="multilevel"/>
    <w:tmpl w:val="6860B2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0780075"/>
    <w:multiLevelType w:val="multilevel"/>
    <w:tmpl w:val="7B829E3C"/>
    <w:lvl w:ilvl="0">
      <w:start w:val="1"/>
      <w:numFmt w:val="decimal"/>
      <w:lvlText w:val="%1."/>
      <w:lvlJc w:val="left"/>
      <w:pPr>
        <w:ind w:left="4613" w:hanging="360"/>
      </w:pPr>
      <w:rPr>
        <w:rFonts w:ascii="Palatino Linotype" w:eastAsia="Palatino Linotype" w:hAnsi="Palatino Linotype" w:cs="Palatino Linotype"/>
        <w:b/>
        <w:i w:val="0"/>
        <w:color w:val="000000"/>
        <w:sz w:val="24"/>
        <w:szCs w:val="24"/>
      </w:rPr>
    </w:lvl>
    <w:lvl w:ilvl="1">
      <w:start w:val="1"/>
      <w:numFmt w:val="upperRoman"/>
      <w:lvlText w:val="%2."/>
      <w:lvlJc w:val="left"/>
      <w:pPr>
        <w:ind w:left="1800" w:hanging="720"/>
      </w:pPr>
      <w:rPr>
        <w:rFonts w:ascii="Palatino Linotype" w:eastAsia="Palatino Linotype" w:hAnsi="Palatino Linotype" w:cs="Palatino Linotype"/>
        <w:b/>
        <w:color w:val="000000"/>
        <w:sz w:val="24"/>
        <w:szCs w:val="24"/>
      </w:rPr>
    </w:lvl>
    <w:lvl w:ilvl="2">
      <w:start w:val="4"/>
      <w:numFmt w:val="lowerRoman"/>
      <w:lvlText w:val="%3."/>
      <w:lvlJc w:val="right"/>
      <w:pPr>
        <w:ind w:left="2160" w:hanging="180"/>
      </w:pPr>
    </w:lvl>
    <w:lvl w:ilvl="3">
      <w:start w:val="1"/>
      <w:numFmt w:val="lowerLetter"/>
      <w:lvlText w:val="%4)"/>
      <w:lvlJc w:val="left"/>
      <w:pPr>
        <w:ind w:left="644" w:hanging="359"/>
      </w:pPr>
    </w:lvl>
    <w:lvl w:ilvl="4">
      <w:start w:val="104"/>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FAE1BE9"/>
    <w:multiLevelType w:val="hybridMultilevel"/>
    <w:tmpl w:val="BFE8B21C"/>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 w15:restartNumberingAfterBreak="0">
    <w:nsid w:val="24B14737"/>
    <w:multiLevelType w:val="multilevel"/>
    <w:tmpl w:val="BB88F2F4"/>
    <w:lvl w:ilvl="0">
      <w:start w:val="1"/>
      <w:numFmt w:val="upperRoman"/>
      <w:lvlText w:val="%1."/>
      <w:lvlJc w:val="left"/>
      <w:pPr>
        <w:ind w:left="5398" w:hanging="720"/>
      </w:pPr>
    </w:lvl>
    <w:lvl w:ilvl="1">
      <w:start w:val="1"/>
      <w:numFmt w:val="lowerLetter"/>
      <w:lvlText w:val="%2."/>
      <w:lvlJc w:val="left"/>
      <w:pPr>
        <w:ind w:left="5758" w:hanging="360"/>
      </w:pPr>
    </w:lvl>
    <w:lvl w:ilvl="2">
      <w:start w:val="1"/>
      <w:numFmt w:val="lowerRoman"/>
      <w:lvlText w:val="%3."/>
      <w:lvlJc w:val="right"/>
      <w:pPr>
        <w:ind w:left="6478" w:hanging="180"/>
      </w:pPr>
    </w:lvl>
    <w:lvl w:ilvl="3">
      <w:start w:val="1"/>
      <w:numFmt w:val="decimal"/>
      <w:lvlText w:val="%4."/>
      <w:lvlJc w:val="left"/>
      <w:pPr>
        <w:ind w:left="7198" w:hanging="360"/>
      </w:pPr>
    </w:lvl>
    <w:lvl w:ilvl="4">
      <w:start w:val="1"/>
      <w:numFmt w:val="lowerLetter"/>
      <w:lvlText w:val="%5."/>
      <w:lvlJc w:val="left"/>
      <w:pPr>
        <w:ind w:left="7918" w:hanging="360"/>
      </w:pPr>
    </w:lvl>
    <w:lvl w:ilvl="5">
      <w:start w:val="1"/>
      <w:numFmt w:val="lowerRoman"/>
      <w:lvlText w:val="%6."/>
      <w:lvlJc w:val="right"/>
      <w:pPr>
        <w:ind w:left="8638" w:hanging="180"/>
      </w:pPr>
    </w:lvl>
    <w:lvl w:ilvl="6">
      <w:start w:val="1"/>
      <w:numFmt w:val="decimal"/>
      <w:lvlText w:val="%7."/>
      <w:lvlJc w:val="left"/>
      <w:pPr>
        <w:ind w:left="9358" w:hanging="360"/>
      </w:pPr>
    </w:lvl>
    <w:lvl w:ilvl="7">
      <w:start w:val="1"/>
      <w:numFmt w:val="lowerLetter"/>
      <w:lvlText w:val="%8."/>
      <w:lvlJc w:val="left"/>
      <w:pPr>
        <w:ind w:left="10078" w:hanging="360"/>
      </w:pPr>
    </w:lvl>
    <w:lvl w:ilvl="8">
      <w:start w:val="1"/>
      <w:numFmt w:val="lowerRoman"/>
      <w:lvlText w:val="%9."/>
      <w:lvlJc w:val="right"/>
      <w:pPr>
        <w:ind w:left="10798" w:hanging="180"/>
      </w:pPr>
    </w:lvl>
  </w:abstractNum>
  <w:abstractNum w:abstractNumId="4" w15:restartNumberingAfterBreak="0">
    <w:nsid w:val="24FD280E"/>
    <w:multiLevelType w:val="hybridMultilevel"/>
    <w:tmpl w:val="BE6A9E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EFB05B8"/>
    <w:multiLevelType w:val="hybridMultilevel"/>
    <w:tmpl w:val="4B0C59B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2F0D3C2D"/>
    <w:multiLevelType w:val="multilevel"/>
    <w:tmpl w:val="8790232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34317490"/>
    <w:multiLevelType w:val="hybridMultilevel"/>
    <w:tmpl w:val="02EC67D8"/>
    <w:lvl w:ilvl="0" w:tplc="F5C4018E">
      <w:start w:val="1"/>
      <w:numFmt w:val="decimal"/>
      <w:lvlText w:val="%1."/>
      <w:lvlJc w:val="left"/>
      <w:pPr>
        <w:ind w:left="360"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0175518"/>
    <w:multiLevelType w:val="multilevel"/>
    <w:tmpl w:val="6F661570"/>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9" w15:restartNumberingAfterBreak="0">
    <w:nsid w:val="71EB0D53"/>
    <w:multiLevelType w:val="hybridMultilevel"/>
    <w:tmpl w:val="10784592"/>
    <w:lvl w:ilvl="0" w:tplc="080A000B">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0" w15:restartNumberingAfterBreak="0">
    <w:nsid w:val="76380371"/>
    <w:multiLevelType w:val="multilevel"/>
    <w:tmpl w:val="74E88A0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738478276">
    <w:abstractNumId w:val="6"/>
  </w:num>
  <w:num w:numId="2" w16cid:durableId="680277634">
    <w:abstractNumId w:val="0"/>
  </w:num>
  <w:num w:numId="3" w16cid:durableId="1251891532">
    <w:abstractNumId w:val="8"/>
  </w:num>
  <w:num w:numId="4" w16cid:durableId="235894415">
    <w:abstractNumId w:val="10"/>
  </w:num>
  <w:num w:numId="5" w16cid:durableId="2109034196">
    <w:abstractNumId w:val="3"/>
  </w:num>
  <w:num w:numId="6" w16cid:durableId="2069764154">
    <w:abstractNumId w:val="1"/>
  </w:num>
  <w:num w:numId="7" w16cid:durableId="1239054539">
    <w:abstractNumId w:val="7"/>
  </w:num>
  <w:num w:numId="8" w16cid:durableId="233470706">
    <w:abstractNumId w:val="2"/>
  </w:num>
  <w:num w:numId="9" w16cid:durableId="347949524">
    <w:abstractNumId w:val="5"/>
  </w:num>
  <w:num w:numId="10" w16cid:durableId="1166551550">
    <w:abstractNumId w:val="9"/>
  </w:num>
  <w:num w:numId="11" w16cid:durableId="14817719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2C79"/>
    <w:rsid w:val="00013865"/>
    <w:rsid w:val="00033AE1"/>
    <w:rsid w:val="00044D12"/>
    <w:rsid w:val="000B7063"/>
    <w:rsid w:val="000B7930"/>
    <w:rsid w:val="000C5FCE"/>
    <w:rsid w:val="000C7361"/>
    <w:rsid w:val="00125E54"/>
    <w:rsid w:val="001348DF"/>
    <w:rsid w:val="001363BF"/>
    <w:rsid w:val="00141353"/>
    <w:rsid w:val="00195116"/>
    <w:rsid w:val="001B0C96"/>
    <w:rsid w:val="001C2C79"/>
    <w:rsid w:val="002B24F7"/>
    <w:rsid w:val="002B786F"/>
    <w:rsid w:val="002C7E7E"/>
    <w:rsid w:val="00342CD9"/>
    <w:rsid w:val="00353BCD"/>
    <w:rsid w:val="003C39EA"/>
    <w:rsid w:val="0040670C"/>
    <w:rsid w:val="00430F6D"/>
    <w:rsid w:val="00447583"/>
    <w:rsid w:val="004725B7"/>
    <w:rsid w:val="00495BB6"/>
    <w:rsid w:val="004964FF"/>
    <w:rsid w:val="004E109B"/>
    <w:rsid w:val="00513649"/>
    <w:rsid w:val="00595CB1"/>
    <w:rsid w:val="005B3300"/>
    <w:rsid w:val="005B4732"/>
    <w:rsid w:val="005C3545"/>
    <w:rsid w:val="005C7C59"/>
    <w:rsid w:val="005D37F5"/>
    <w:rsid w:val="005F68D2"/>
    <w:rsid w:val="00607DAC"/>
    <w:rsid w:val="00615C8E"/>
    <w:rsid w:val="00687ED8"/>
    <w:rsid w:val="006950ED"/>
    <w:rsid w:val="006F10A4"/>
    <w:rsid w:val="00704B17"/>
    <w:rsid w:val="00753281"/>
    <w:rsid w:val="007C27FF"/>
    <w:rsid w:val="007F6CCA"/>
    <w:rsid w:val="008C3476"/>
    <w:rsid w:val="008F40BF"/>
    <w:rsid w:val="009151F3"/>
    <w:rsid w:val="00947FCA"/>
    <w:rsid w:val="009B6613"/>
    <w:rsid w:val="009F62C4"/>
    <w:rsid w:val="00A27823"/>
    <w:rsid w:val="00A70422"/>
    <w:rsid w:val="00A715CF"/>
    <w:rsid w:val="00AA6F1D"/>
    <w:rsid w:val="00B24DB6"/>
    <w:rsid w:val="00B5049C"/>
    <w:rsid w:val="00BD103D"/>
    <w:rsid w:val="00BD5533"/>
    <w:rsid w:val="00CB0BB2"/>
    <w:rsid w:val="00CB61C6"/>
    <w:rsid w:val="00D013BD"/>
    <w:rsid w:val="00D170A8"/>
    <w:rsid w:val="00D34E46"/>
    <w:rsid w:val="00D35BF2"/>
    <w:rsid w:val="00D62D77"/>
    <w:rsid w:val="00DA292A"/>
    <w:rsid w:val="00DE7D68"/>
    <w:rsid w:val="00E25386"/>
    <w:rsid w:val="00E31F0C"/>
    <w:rsid w:val="00E56AAA"/>
    <w:rsid w:val="00E814F0"/>
    <w:rsid w:val="00EC4DBC"/>
    <w:rsid w:val="00F11F76"/>
    <w:rsid w:val="00F351BC"/>
    <w:rsid w:val="00F35A30"/>
    <w:rsid w:val="00F35C5B"/>
    <w:rsid w:val="00F37328"/>
    <w:rsid w:val="00F66E8A"/>
    <w:rsid w:val="00FB6792"/>
    <w:rsid w:val="00FC587D"/>
    <w:rsid w:val="00FE0691"/>
    <w:rsid w:val="00FE2091"/>
    <w:rsid w:val="00FE459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D8B235"/>
  <w15:chartTrackingRefBased/>
  <w15:docId w15:val="{8E542D15-348F-4294-B5F9-B0044D746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C79"/>
    <w:pPr>
      <w:spacing w:after="0" w:line="240" w:lineRule="auto"/>
    </w:pPr>
    <w:rPr>
      <w:rFonts w:ascii="Times New Roman" w:eastAsia="Times New Roman" w:hAnsi="Times New Roman" w:cs="Times New Roman"/>
      <w:sz w:val="24"/>
      <w:szCs w:val="24"/>
      <w:lang w:eastAsia="es-MX"/>
    </w:rPr>
  </w:style>
  <w:style w:type="paragraph" w:styleId="Ttulo1">
    <w:name w:val="heading 1"/>
    <w:basedOn w:val="Normal"/>
    <w:next w:val="Normal"/>
    <w:link w:val="Ttulo1Car"/>
    <w:uiPriority w:val="9"/>
    <w:qFormat/>
    <w:rsid w:val="001C2C7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C2C7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C2C79"/>
    <w:rPr>
      <w:rFonts w:asciiTheme="majorHAnsi" w:eastAsiaTheme="majorEastAsia" w:hAnsiTheme="majorHAnsi" w:cstheme="majorBidi"/>
      <w:color w:val="2E74B5" w:themeColor="accent1" w:themeShade="BF"/>
      <w:sz w:val="32"/>
      <w:szCs w:val="32"/>
      <w:lang w:eastAsia="es-MX"/>
    </w:rPr>
  </w:style>
  <w:style w:type="character" w:customStyle="1" w:styleId="Ttulo2Car">
    <w:name w:val="Título 2 Car"/>
    <w:basedOn w:val="Fuentedeprrafopredeter"/>
    <w:link w:val="Ttulo2"/>
    <w:uiPriority w:val="9"/>
    <w:rsid w:val="001C2C79"/>
    <w:rPr>
      <w:rFonts w:asciiTheme="majorHAnsi" w:eastAsiaTheme="majorEastAsia" w:hAnsiTheme="majorHAnsi" w:cstheme="majorBidi"/>
      <w:color w:val="2E74B5" w:themeColor="accent1" w:themeShade="BF"/>
      <w:sz w:val="26"/>
      <w:szCs w:val="26"/>
      <w:lang w:eastAsia="es-MX"/>
    </w:rPr>
  </w:style>
  <w:style w:type="paragraph" w:styleId="Piedepgina">
    <w:name w:val="footer"/>
    <w:basedOn w:val="Normal"/>
    <w:link w:val="PiedepginaCar"/>
    <w:uiPriority w:val="99"/>
    <w:unhideWhenUsed/>
    <w:rsid w:val="001C2C79"/>
    <w:pPr>
      <w:tabs>
        <w:tab w:val="center" w:pos="4419"/>
        <w:tab w:val="right" w:pos="8838"/>
      </w:tabs>
    </w:pPr>
  </w:style>
  <w:style w:type="character" w:customStyle="1" w:styleId="PiedepginaCar">
    <w:name w:val="Pie de página Car"/>
    <w:basedOn w:val="Fuentedeprrafopredeter"/>
    <w:link w:val="Piedepgina"/>
    <w:uiPriority w:val="99"/>
    <w:rsid w:val="001C2C79"/>
    <w:rPr>
      <w:rFonts w:ascii="Times New Roman" w:eastAsia="Times New Roman" w:hAnsi="Times New Roman" w:cs="Times New Roman"/>
      <w:sz w:val="24"/>
      <w:szCs w:val="24"/>
      <w:lang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53281"/>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53281"/>
    <w:rPr>
      <w:rFonts w:ascii="Times New Roman" w:eastAsia="Times New Roman" w:hAnsi="Times New Roman" w:cs="Times New Roman"/>
      <w:sz w:val="24"/>
      <w:szCs w:val="24"/>
      <w:lang w:eastAsia="es-MX"/>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5D37F5"/>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5D37F5"/>
    <w:rPr>
      <w:rFonts w:asciiTheme="minorHAnsi" w:eastAsiaTheme="minorHAnsi" w:hAnsiTheme="minorHAnsi" w:cstheme="minorBidi"/>
      <w:sz w:val="20"/>
      <w:szCs w:val="20"/>
      <w:lang w:eastAsia="en-US"/>
    </w:rPr>
  </w:style>
  <w:style w:type="character" w:customStyle="1" w:styleId="TextonotapieCar1">
    <w:name w:val="Texto nota pie Car1"/>
    <w:basedOn w:val="Fuentedeprrafopredeter"/>
    <w:uiPriority w:val="99"/>
    <w:semiHidden/>
    <w:rsid w:val="005D37F5"/>
    <w:rPr>
      <w:rFonts w:ascii="Times New Roman" w:eastAsia="Times New Roman" w:hAnsi="Times New Roman" w:cs="Times New Roman"/>
      <w:sz w:val="20"/>
      <w:szCs w:val="20"/>
      <w:lang w:eastAsia="es-MX"/>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5D37F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6308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header" Target="header3.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4.jpeg"/></Relationships>
</file>

<file path=word/_rels/header2.xml.rels><?xml version="1.0" encoding="UTF-8" standalone="yes"?>
<Relationships xmlns="http://schemas.openxmlformats.org/package/2006/relationships"><Relationship Id="rId1" Type="http://schemas.openxmlformats.org/officeDocument/2006/relationships/image" Target="media/image14.jpeg"/></Relationships>
</file>

<file path=word/_rels/header3.xml.rels><?xml version="1.0" encoding="UTF-8" standalone="yes"?>
<Relationships xmlns="http://schemas.openxmlformats.org/package/2006/relationships"><Relationship Id="rId1" Type="http://schemas.openxmlformats.org/officeDocument/2006/relationships/image" Target="media/image1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537</TotalTime>
  <Pages>52</Pages>
  <Words>7079</Words>
  <Characters>38937</Characters>
  <Application>Microsoft Office Word</Application>
  <DocSecurity>0</DocSecurity>
  <Lines>324</Lines>
  <Paragraphs>91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INFOEM399</dc:creator>
  <cp:keywords/>
  <dc:description/>
  <cp:lastModifiedBy>inf03m612@outlook.com</cp:lastModifiedBy>
  <cp:revision>20</cp:revision>
  <cp:lastPrinted>2024-10-30T21:37:00Z</cp:lastPrinted>
  <dcterms:created xsi:type="dcterms:W3CDTF">2024-08-15T04:38:00Z</dcterms:created>
  <dcterms:modified xsi:type="dcterms:W3CDTF">2024-11-13T20:25:00Z</dcterms:modified>
</cp:coreProperties>
</file>