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1D5A"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7AD8ABAE"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653F35EF" w14:textId="78790066" w:rsidR="00A61EB9" w:rsidRPr="00B06FAA" w:rsidRDefault="003B4C23">
      <w:pPr>
        <w:spacing w:line="360" w:lineRule="auto"/>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Visto</w:t>
      </w:r>
      <w:r w:rsidRPr="00B06FAA">
        <w:rPr>
          <w:rFonts w:ascii="Palatino Linotype" w:eastAsia="Palatino Linotype" w:hAnsi="Palatino Linotype" w:cs="Palatino Linotype"/>
          <w:sz w:val="22"/>
          <w:szCs w:val="22"/>
        </w:rPr>
        <w:t xml:space="preserve"> el expediente relativo al recurso de revisión </w:t>
      </w:r>
      <w:r w:rsidRPr="00B06FAA">
        <w:rPr>
          <w:rFonts w:ascii="Palatino Linotype" w:eastAsia="Palatino Linotype" w:hAnsi="Palatino Linotype" w:cs="Palatino Linotype"/>
          <w:b/>
          <w:sz w:val="22"/>
          <w:szCs w:val="22"/>
        </w:rPr>
        <w:t>06084/INFOEM/IP/RR/2024</w:t>
      </w:r>
      <w:r w:rsidRPr="00B06FAA">
        <w:rPr>
          <w:rFonts w:ascii="Palatino Linotype" w:eastAsia="Palatino Linotype" w:hAnsi="Palatino Linotype" w:cs="Palatino Linotype"/>
          <w:sz w:val="22"/>
          <w:szCs w:val="22"/>
        </w:rPr>
        <w:t xml:space="preserve">, interpuesto por </w:t>
      </w:r>
      <w:r w:rsidR="00215756" w:rsidRPr="00215756">
        <w:rPr>
          <w:rFonts w:ascii="Palatino Linotype" w:eastAsia="Palatino Linotype" w:hAnsi="Palatino Linotype" w:cs="Palatino Linotype"/>
          <w:b/>
          <w:sz w:val="22"/>
          <w:szCs w:val="22"/>
        </w:rPr>
        <w:t>XXXXXX XXXXX XXXXXX</w:t>
      </w:r>
      <w:r w:rsidRPr="00B06FAA">
        <w:rPr>
          <w:rFonts w:ascii="Palatino Linotype" w:eastAsia="Palatino Linotype" w:hAnsi="Palatino Linotype" w:cs="Palatino Linotype"/>
          <w:sz w:val="22"/>
          <w:szCs w:val="22"/>
        </w:rPr>
        <w:t>, en lo sucesivo se le denominará la parte</w:t>
      </w:r>
      <w:r w:rsidRPr="00B06FAA">
        <w:rPr>
          <w:rFonts w:ascii="Palatino Linotype" w:eastAsia="Palatino Linotype" w:hAnsi="Palatino Linotype" w:cs="Palatino Linotype"/>
          <w:b/>
          <w:sz w:val="22"/>
          <w:szCs w:val="22"/>
        </w:rPr>
        <w:t xml:space="preserve"> RECURRENTE</w:t>
      </w:r>
      <w:r w:rsidRPr="00B06FAA">
        <w:rPr>
          <w:rFonts w:ascii="Palatino Linotype" w:eastAsia="Palatino Linotype" w:hAnsi="Palatino Linotype" w:cs="Palatino Linotype"/>
          <w:sz w:val="22"/>
          <w:szCs w:val="22"/>
        </w:rPr>
        <w:t>, en contra de la respuesta a su solicitud de información con número de folio</w:t>
      </w:r>
      <w:r w:rsidRPr="00B06FAA">
        <w:rPr>
          <w:rFonts w:ascii="Palatino Linotype" w:eastAsia="Palatino Linotype" w:hAnsi="Palatino Linotype" w:cs="Palatino Linotype"/>
          <w:b/>
          <w:sz w:val="22"/>
          <w:szCs w:val="22"/>
        </w:rPr>
        <w:t xml:space="preserve"> 00108/IFR/IP/2024</w:t>
      </w:r>
      <w:r w:rsidRPr="00B06FAA">
        <w:rPr>
          <w:rFonts w:ascii="Palatino Linotype" w:eastAsia="Palatino Linotype" w:hAnsi="Palatino Linotype" w:cs="Palatino Linotype"/>
          <w:sz w:val="22"/>
          <w:szCs w:val="22"/>
        </w:rPr>
        <w:t xml:space="preserve">, por parte del </w:t>
      </w:r>
      <w:r w:rsidRPr="00B06FAA">
        <w:rPr>
          <w:rFonts w:ascii="Palatino Linotype" w:eastAsia="Palatino Linotype" w:hAnsi="Palatino Linotype" w:cs="Palatino Linotype"/>
          <w:b/>
          <w:sz w:val="22"/>
          <w:szCs w:val="22"/>
        </w:rPr>
        <w:t xml:space="preserve">Instituto de la Función Registral del Estado de México </w:t>
      </w:r>
      <w:r w:rsidRPr="00B06FAA">
        <w:rPr>
          <w:rFonts w:ascii="Palatino Linotype" w:eastAsia="Palatino Linotype" w:hAnsi="Palatino Linotype" w:cs="Palatino Linotype"/>
          <w:sz w:val="22"/>
          <w:szCs w:val="22"/>
        </w:rPr>
        <w:t xml:space="preserve">en lo sucesivo el </w:t>
      </w:r>
      <w:r w:rsidRPr="00B06FAA">
        <w:rPr>
          <w:rFonts w:ascii="Palatino Linotype" w:eastAsia="Palatino Linotype" w:hAnsi="Palatino Linotype" w:cs="Palatino Linotype"/>
          <w:b/>
          <w:sz w:val="22"/>
          <w:szCs w:val="22"/>
        </w:rPr>
        <w:t>SUJETO OBLIGADO</w:t>
      </w:r>
      <w:r w:rsidRPr="00B06FAA">
        <w:rPr>
          <w:rFonts w:ascii="Palatino Linotype" w:eastAsia="Palatino Linotype" w:hAnsi="Palatino Linotype" w:cs="Palatino Linotype"/>
          <w:sz w:val="22"/>
          <w:szCs w:val="22"/>
        </w:rPr>
        <w:t>;</w:t>
      </w:r>
      <w:r w:rsidRPr="00B06FAA">
        <w:rPr>
          <w:rFonts w:ascii="Palatino Linotype" w:eastAsia="Palatino Linotype" w:hAnsi="Palatino Linotype" w:cs="Palatino Linotype"/>
          <w:b/>
          <w:sz w:val="22"/>
          <w:szCs w:val="22"/>
        </w:rPr>
        <w:t xml:space="preserve"> </w:t>
      </w:r>
      <w:r w:rsidRPr="00B06FAA">
        <w:rPr>
          <w:rFonts w:ascii="Palatino Linotype" w:eastAsia="Palatino Linotype" w:hAnsi="Palatino Linotype" w:cs="Palatino Linotype"/>
          <w:sz w:val="22"/>
          <w:szCs w:val="22"/>
        </w:rPr>
        <w:t>se procede a dictar la presente resolución, con base en los siguientes:</w:t>
      </w:r>
    </w:p>
    <w:p w14:paraId="4504F840"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6AB494B3" w14:textId="77777777" w:rsidR="00A61EB9" w:rsidRPr="00B06FAA" w:rsidRDefault="003B4C23">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A N T E C E D E N T E S:</w:t>
      </w:r>
    </w:p>
    <w:p w14:paraId="2CB994FC" w14:textId="77777777" w:rsidR="00A61EB9" w:rsidRPr="00B06FAA" w:rsidRDefault="00A61EB9">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69547FC" w14:textId="77777777" w:rsidR="00A61EB9" w:rsidRPr="00B06FAA" w:rsidRDefault="003B4C23">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Solicitud de acceso a la información. </w:t>
      </w:r>
      <w:r w:rsidRPr="00B06FAA">
        <w:rPr>
          <w:rFonts w:ascii="Palatino Linotype" w:eastAsia="Palatino Linotype" w:hAnsi="Palatino Linotype" w:cs="Palatino Linotype"/>
          <w:sz w:val="22"/>
          <w:szCs w:val="22"/>
        </w:rPr>
        <w:t xml:space="preserve">Con fecha </w:t>
      </w:r>
      <w:r w:rsidRPr="00B06FAA">
        <w:rPr>
          <w:rFonts w:ascii="Palatino Linotype" w:eastAsia="Palatino Linotype" w:hAnsi="Palatino Linotype" w:cs="Palatino Linotype"/>
          <w:b/>
          <w:sz w:val="22"/>
          <w:szCs w:val="22"/>
        </w:rPr>
        <w:t>once de septiembre de dos mil veinticuatro</w:t>
      </w:r>
      <w:r w:rsidRPr="00B06FAA">
        <w:rPr>
          <w:rFonts w:ascii="Palatino Linotype" w:eastAsia="Palatino Linotype" w:hAnsi="Palatino Linotype" w:cs="Palatino Linotype"/>
          <w:sz w:val="22"/>
          <w:szCs w:val="22"/>
        </w:rPr>
        <w:t xml:space="preserve">, la parte </w:t>
      </w:r>
      <w:r w:rsidRPr="00B06FAA">
        <w:rPr>
          <w:rFonts w:ascii="Palatino Linotype" w:eastAsia="Palatino Linotype" w:hAnsi="Palatino Linotype" w:cs="Palatino Linotype"/>
          <w:b/>
          <w:sz w:val="22"/>
          <w:szCs w:val="22"/>
        </w:rPr>
        <w:t>RECURRENTE</w:t>
      </w:r>
      <w:r w:rsidRPr="00B06FAA">
        <w:rPr>
          <w:rFonts w:ascii="Palatino Linotype" w:eastAsia="Palatino Linotype" w:hAnsi="Palatino Linotype" w:cs="Palatino Linotype"/>
          <w:sz w:val="22"/>
          <w:szCs w:val="22"/>
        </w:rPr>
        <w:t xml:space="preserve"> formuló solicitud de acceso a información pública al </w:t>
      </w:r>
      <w:r w:rsidRPr="00B06FAA">
        <w:rPr>
          <w:rFonts w:ascii="Palatino Linotype" w:eastAsia="Palatino Linotype" w:hAnsi="Palatino Linotype" w:cs="Palatino Linotype"/>
          <w:b/>
          <w:sz w:val="22"/>
          <w:szCs w:val="22"/>
        </w:rPr>
        <w:t>SUJETO OBLIGADO</w:t>
      </w:r>
      <w:r w:rsidRPr="00B06FAA">
        <w:rPr>
          <w:rFonts w:ascii="Palatino Linotype" w:eastAsia="Palatino Linotype" w:hAnsi="Palatino Linotype" w:cs="Palatino Linotype"/>
          <w:sz w:val="22"/>
          <w:szCs w:val="22"/>
        </w:rPr>
        <w:t xml:space="preserve"> a través del Sistema de Acceso a la Información Mexiquense, en adelante </w:t>
      </w:r>
      <w:r w:rsidRPr="00B06FAA">
        <w:rPr>
          <w:rFonts w:ascii="Palatino Linotype" w:eastAsia="Palatino Linotype" w:hAnsi="Palatino Linotype" w:cs="Palatino Linotype"/>
          <w:b/>
          <w:sz w:val="22"/>
          <w:szCs w:val="22"/>
        </w:rPr>
        <w:t>SAIMEX</w:t>
      </w:r>
      <w:r w:rsidRPr="00B06FAA">
        <w:rPr>
          <w:rFonts w:ascii="Palatino Linotype" w:eastAsia="Palatino Linotype" w:hAnsi="Palatino Linotype" w:cs="Palatino Linotype"/>
          <w:sz w:val="22"/>
          <w:szCs w:val="22"/>
        </w:rPr>
        <w:t xml:space="preserve">, en la que requirió lo siguiente:  </w:t>
      </w:r>
    </w:p>
    <w:p w14:paraId="07F7707B" w14:textId="77777777" w:rsidR="00A61EB9" w:rsidRPr="00B06FAA" w:rsidRDefault="00A61EB9">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AA2E1AC"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 xml:space="preserve">“Solicito: 1.- la </w:t>
      </w:r>
      <w:proofErr w:type="spellStart"/>
      <w:r w:rsidRPr="00B06FAA">
        <w:rPr>
          <w:rFonts w:ascii="Palatino Linotype" w:eastAsia="Palatino Linotype" w:hAnsi="Palatino Linotype" w:cs="Palatino Linotype"/>
          <w:i/>
          <w:sz w:val="22"/>
          <w:szCs w:val="22"/>
        </w:rPr>
        <w:t>ultima</w:t>
      </w:r>
      <w:proofErr w:type="spellEnd"/>
      <w:r w:rsidRPr="00B06FAA">
        <w:rPr>
          <w:rFonts w:ascii="Palatino Linotype" w:eastAsia="Palatino Linotype" w:hAnsi="Palatino Linotype" w:cs="Palatino Linotype"/>
          <w:i/>
          <w:sz w:val="22"/>
          <w:szCs w:val="22"/>
        </w:rPr>
        <w:t xml:space="preserve"> y </w:t>
      </w:r>
      <w:proofErr w:type="spellStart"/>
      <w:r w:rsidRPr="00B06FAA">
        <w:rPr>
          <w:rFonts w:ascii="Palatino Linotype" w:eastAsia="Palatino Linotype" w:hAnsi="Palatino Linotype" w:cs="Palatino Linotype"/>
          <w:i/>
          <w:sz w:val="22"/>
          <w:szCs w:val="22"/>
        </w:rPr>
        <w:t>mas</w:t>
      </w:r>
      <w:proofErr w:type="spellEnd"/>
      <w:r w:rsidRPr="00B06FAA">
        <w:rPr>
          <w:rFonts w:ascii="Palatino Linotype" w:eastAsia="Palatino Linotype" w:hAnsi="Palatino Linotype" w:cs="Palatino Linotype"/>
          <w:i/>
          <w:sz w:val="22"/>
          <w:szCs w:val="22"/>
        </w:rPr>
        <w:t xml:space="preserve"> reciente evidencia de la conciliación físico contable de los bienes muebles e inmuebles, 2.- así como los nombres de los servidores públicos que participaron en la conciliación 3.- los auxiliares contables que se usaron para dicha </w:t>
      </w:r>
      <w:proofErr w:type="spellStart"/>
      <w:r w:rsidRPr="00B06FAA">
        <w:rPr>
          <w:rFonts w:ascii="Palatino Linotype" w:eastAsia="Palatino Linotype" w:hAnsi="Palatino Linotype" w:cs="Palatino Linotype"/>
          <w:i/>
          <w:sz w:val="22"/>
          <w:szCs w:val="22"/>
        </w:rPr>
        <w:t>conciliacion</w:t>
      </w:r>
      <w:proofErr w:type="spellEnd"/>
      <w:r w:rsidRPr="00B06FAA">
        <w:rPr>
          <w:rFonts w:ascii="Palatino Linotype" w:eastAsia="Palatino Linotype" w:hAnsi="Palatino Linotype" w:cs="Palatino Linotype"/>
          <w:i/>
          <w:sz w:val="22"/>
          <w:szCs w:val="22"/>
        </w:rPr>
        <w:t xml:space="preserve"> solicito también el acta de trabajo que se </w:t>
      </w:r>
      <w:proofErr w:type="spellStart"/>
      <w:r w:rsidRPr="00B06FAA">
        <w:rPr>
          <w:rFonts w:ascii="Palatino Linotype" w:eastAsia="Palatino Linotype" w:hAnsi="Palatino Linotype" w:cs="Palatino Linotype"/>
          <w:i/>
          <w:sz w:val="22"/>
          <w:szCs w:val="22"/>
        </w:rPr>
        <w:t>llevo</w:t>
      </w:r>
      <w:proofErr w:type="spellEnd"/>
      <w:r w:rsidRPr="00B06FAA">
        <w:rPr>
          <w:rFonts w:ascii="Palatino Linotype" w:eastAsia="Palatino Linotype" w:hAnsi="Palatino Linotype" w:cs="Palatino Linotype"/>
          <w:i/>
          <w:sz w:val="22"/>
          <w:szCs w:val="22"/>
        </w:rPr>
        <w:t xml:space="preserve"> a cabo”</w:t>
      </w:r>
    </w:p>
    <w:p w14:paraId="15B845CC" w14:textId="77777777" w:rsidR="00A61EB9" w:rsidRPr="00B06FAA" w:rsidRDefault="00A61EB9">
      <w:pPr>
        <w:spacing w:line="360" w:lineRule="auto"/>
        <w:ind w:left="709" w:right="900"/>
        <w:jc w:val="both"/>
        <w:rPr>
          <w:rFonts w:ascii="Palatino Linotype" w:eastAsia="Palatino Linotype" w:hAnsi="Palatino Linotype" w:cs="Palatino Linotype"/>
          <w:b/>
          <w:i/>
          <w:sz w:val="22"/>
          <w:szCs w:val="22"/>
        </w:rPr>
      </w:pPr>
    </w:p>
    <w:p w14:paraId="595A736E"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 xml:space="preserve">Modalidad elegida para la entrega de la información: </w:t>
      </w:r>
      <w:r w:rsidRPr="00B06FAA">
        <w:rPr>
          <w:rFonts w:ascii="Palatino Linotype" w:eastAsia="Palatino Linotype" w:hAnsi="Palatino Linotype" w:cs="Palatino Linotype"/>
          <w:sz w:val="22"/>
          <w:szCs w:val="22"/>
        </w:rPr>
        <w:t>a través del Sistema de Acceso a la Información Mexiquense.</w:t>
      </w:r>
    </w:p>
    <w:p w14:paraId="7E0B385F"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0F7E868E" w14:textId="77777777" w:rsidR="00A61EB9" w:rsidRPr="00B06FAA" w:rsidRDefault="003B4C2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lastRenderedPageBreak/>
        <w:t xml:space="preserve">Respuesta. </w:t>
      </w:r>
      <w:r w:rsidRPr="00B06FAA">
        <w:rPr>
          <w:rFonts w:ascii="Palatino Linotype" w:eastAsia="Palatino Linotype" w:hAnsi="Palatino Linotype" w:cs="Palatino Linotype"/>
          <w:sz w:val="22"/>
          <w:szCs w:val="22"/>
        </w:rPr>
        <w:t>En fecha veinte de septiembre de dos mil veinticuatro se tuvo por presentada la respuesta,</w:t>
      </w:r>
      <w:r w:rsidRPr="00B06FAA">
        <w:rPr>
          <w:rFonts w:ascii="Palatino Linotype" w:eastAsia="Palatino Linotype" w:hAnsi="Palatino Linotype" w:cs="Palatino Linotype"/>
          <w:b/>
          <w:sz w:val="22"/>
          <w:szCs w:val="22"/>
        </w:rPr>
        <w:t xml:space="preserve"> </w:t>
      </w:r>
      <w:r w:rsidRPr="00B06FAA">
        <w:rPr>
          <w:rFonts w:ascii="Palatino Linotype" w:eastAsia="Palatino Linotype" w:hAnsi="Palatino Linotype" w:cs="Palatino Linotype"/>
          <w:sz w:val="22"/>
          <w:szCs w:val="22"/>
        </w:rPr>
        <w:t xml:space="preserve">mediante la cual el </w:t>
      </w:r>
      <w:r w:rsidRPr="00B06FAA">
        <w:rPr>
          <w:rFonts w:ascii="Palatino Linotype" w:eastAsia="Palatino Linotype" w:hAnsi="Palatino Linotype" w:cs="Palatino Linotype"/>
          <w:b/>
          <w:sz w:val="22"/>
          <w:szCs w:val="22"/>
        </w:rPr>
        <w:t xml:space="preserve">SUJETO OBLIGADO </w:t>
      </w:r>
      <w:r w:rsidRPr="00B06FAA">
        <w:rPr>
          <w:rFonts w:ascii="Palatino Linotype" w:eastAsia="Palatino Linotype" w:hAnsi="Palatino Linotype" w:cs="Palatino Linotype"/>
          <w:sz w:val="22"/>
          <w:szCs w:val="22"/>
        </w:rPr>
        <w:t>señaló de lo siguiente:</w:t>
      </w:r>
    </w:p>
    <w:p w14:paraId="03FCBAC0" w14:textId="77777777" w:rsidR="00A61EB9" w:rsidRPr="00B06FAA" w:rsidRDefault="00A61EB9">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194FDF7" w14:textId="77777777" w:rsidR="00A61EB9" w:rsidRPr="00B06FAA" w:rsidRDefault="003B4C2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DFB8A3" w14:textId="77777777" w:rsidR="00A61EB9" w:rsidRPr="00B06FAA" w:rsidRDefault="003B4C2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C. SOLICITANTE: Le informo que esta Unidad de Transparencia, mediante oficio número 233C0101040202L/512/2024, emite respuesta a su solicitud, mismo que se anexa en ARCHIVOS ANEXOS.</w:t>
      </w:r>
    </w:p>
    <w:p w14:paraId="70BAF8C3" w14:textId="77777777" w:rsidR="00A61EB9" w:rsidRPr="00B06FAA" w:rsidRDefault="003B4C2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ATENTAMENTE</w:t>
      </w:r>
    </w:p>
    <w:p w14:paraId="4FE64FD8" w14:textId="77777777" w:rsidR="00A61EB9" w:rsidRPr="00B06FAA" w:rsidRDefault="003B4C2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 xml:space="preserve">L.D. SERGIO ALFONSO BRITO MOLL MARTÍNEZ </w:t>
      </w:r>
    </w:p>
    <w:p w14:paraId="5191E6D0" w14:textId="77777777" w:rsidR="00A61EB9" w:rsidRPr="00B06FAA" w:rsidRDefault="00A61E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5508F21" w14:textId="77777777" w:rsidR="00A61EB9" w:rsidRPr="00B06FAA" w:rsidRDefault="003B4C23">
      <w:pPr>
        <w:pBdr>
          <w:top w:val="nil"/>
          <w:left w:val="nil"/>
          <w:bottom w:val="nil"/>
          <w:right w:val="nil"/>
          <w:between w:val="nil"/>
        </w:pBdr>
        <w:spacing w:line="360" w:lineRule="auto"/>
        <w:ind w:left="567" w:right="616"/>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Asimismo, adjuntó los documentos electrónicos siguientes:</w:t>
      </w:r>
    </w:p>
    <w:p w14:paraId="5E8FCF76" w14:textId="77777777" w:rsidR="00A61EB9" w:rsidRPr="00B06FAA" w:rsidRDefault="00A61EB9">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4E16BFFA" w14:textId="77777777" w:rsidR="00A61EB9" w:rsidRPr="00B06FAA" w:rsidRDefault="003B4C23">
      <w:pPr>
        <w:numPr>
          <w:ilvl w:val="0"/>
          <w:numId w:val="5"/>
        </w:num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512-2024 IP-108.pdf: </w:t>
      </w:r>
      <w:r w:rsidRPr="00B06FAA">
        <w:rPr>
          <w:rFonts w:ascii="Palatino Linotype" w:eastAsia="Palatino Linotype" w:hAnsi="Palatino Linotype" w:cs="Palatino Linotype"/>
          <w:sz w:val="22"/>
          <w:szCs w:val="22"/>
        </w:rPr>
        <w:t>Oficio 233C0101040202l/512/2024 suscrito por el Titular de la Unidad de Transparencia mediante el cual entregó el nombre de los Servidores Públicos que participaron en la Conciliación Físico Contable de Bienes Muebles e Inmuebles del uno de enero al treinta y uno de dos mil veinticuatro. Copia simple de la Conciliación Físico Contable de Bienes Muebles e Inmuebles. Copia simple del auxiliar del Libro Mayor de Agosto de las cuentas del activo. Señaló que no se suscriben actas de trabajo para la realización de la Conciliación.</w:t>
      </w:r>
    </w:p>
    <w:p w14:paraId="59CFB90E"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10FB22C2" w14:textId="77777777" w:rsidR="00A61EB9" w:rsidRPr="00B06FAA" w:rsidRDefault="003B4C23">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 xml:space="preserve">Interposición del recurso de revisión. </w:t>
      </w:r>
      <w:r w:rsidRPr="00B06FAA">
        <w:rPr>
          <w:rFonts w:ascii="Palatino Linotype" w:eastAsia="Palatino Linotype" w:hAnsi="Palatino Linotype" w:cs="Palatino Linotype"/>
          <w:sz w:val="22"/>
          <w:szCs w:val="22"/>
        </w:rPr>
        <w:t xml:space="preserve">Inconforme con la respuesta del </w:t>
      </w:r>
      <w:r w:rsidRPr="00B06FAA">
        <w:rPr>
          <w:rFonts w:ascii="Palatino Linotype" w:eastAsia="Palatino Linotype" w:hAnsi="Palatino Linotype" w:cs="Palatino Linotype"/>
          <w:b/>
          <w:sz w:val="22"/>
          <w:szCs w:val="22"/>
        </w:rPr>
        <w:t>SUJETO OBLIGADO el ahora RECURRENTE</w:t>
      </w:r>
      <w:r w:rsidRPr="00B06FAA">
        <w:rPr>
          <w:rFonts w:ascii="Palatino Linotype" w:eastAsia="Palatino Linotype" w:hAnsi="Palatino Linotype" w:cs="Palatino Linotype"/>
          <w:sz w:val="22"/>
          <w:szCs w:val="22"/>
        </w:rPr>
        <w:t xml:space="preserve"> interpuso recurso de revisión a través del SAIMEX en fecha </w:t>
      </w:r>
      <w:r w:rsidRPr="00B06FAA">
        <w:rPr>
          <w:rFonts w:ascii="Palatino Linotype" w:eastAsia="Palatino Linotype" w:hAnsi="Palatino Linotype" w:cs="Palatino Linotype"/>
          <w:b/>
          <w:sz w:val="22"/>
          <w:szCs w:val="22"/>
        </w:rPr>
        <w:t>nueve</w:t>
      </w:r>
      <w:r w:rsidRPr="00B06FAA">
        <w:rPr>
          <w:rFonts w:ascii="Palatino Linotype" w:eastAsia="Palatino Linotype" w:hAnsi="Palatino Linotype" w:cs="Palatino Linotype"/>
          <w:sz w:val="22"/>
          <w:szCs w:val="22"/>
        </w:rPr>
        <w:t xml:space="preserve"> </w:t>
      </w:r>
      <w:r w:rsidRPr="00B06FAA">
        <w:rPr>
          <w:rFonts w:ascii="Palatino Linotype" w:eastAsia="Palatino Linotype" w:hAnsi="Palatino Linotype" w:cs="Palatino Linotype"/>
          <w:b/>
          <w:sz w:val="22"/>
          <w:szCs w:val="22"/>
        </w:rPr>
        <w:t>de octubre de dos mil veinticuatro</w:t>
      </w:r>
      <w:r w:rsidRPr="00B06FAA">
        <w:rPr>
          <w:rFonts w:ascii="Palatino Linotype" w:eastAsia="Palatino Linotype" w:hAnsi="Palatino Linotype" w:cs="Palatino Linotype"/>
          <w:sz w:val="22"/>
          <w:szCs w:val="22"/>
        </w:rPr>
        <w:t>, a través del cual expresó lo siguiente:</w:t>
      </w:r>
    </w:p>
    <w:p w14:paraId="0D7129B2" w14:textId="77777777" w:rsidR="00A61EB9" w:rsidRPr="00B06FAA" w:rsidRDefault="00A61EB9">
      <w:pPr>
        <w:spacing w:line="360" w:lineRule="auto"/>
        <w:ind w:right="49"/>
        <w:jc w:val="both"/>
        <w:rPr>
          <w:rFonts w:ascii="Palatino Linotype" w:eastAsia="Palatino Linotype" w:hAnsi="Palatino Linotype" w:cs="Palatino Linotype"/>
          <w:sz w:val="22"/>
          <w:szCs w:val="22"/>
        </w:rPr>
      </w:pPr>
    </w:p>
    <w:p w14:paraId="49595480" w14:textId="77777777" w:rsidR="00A61EB9" w:rsidRPr="00B06FAA" w:rsidRDefault="003B4C23">
      <w:pPr>
        <w:spacing w:line="360" w:lineRule="auto"/>
        <w:ind w:left="567" w:right="900"/>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 xml:space="preserve">Acto impugnado. </w:t>
      </w:r>
      <w:r w:rsidRPr="00B06FAA">
        <w:rPr>
          <w:rFonts w:ascii="Palatino Linotype" w:eastAsia="Palatino Linotype" w:hAnsi="Palatino Linotype" w:cs="Palatino Linotype"/>
          <w:i/>
          <w:sz w:val="22"/>
          <w:szCs w:val="22"/>
        </w:rPr>
        <w:t xml:space="preserve">“los auxiliares presentados no son legibles solicito se entreguen en formato </w:t>
      </w:r>
      <w:proofErr w:type="spellStart"/>
      <w:r w:rsidRPr="00B06FAA">
        <w:rPr>
          <w:rFonts w:ascii="Palatino Linotype" w:eastAsia="Palatino Linotype" w:hAnsi="Palatino Linotype" w:cs="Palatino Linotype"/>
          <w:i/>
          <w:sz w:val="22"/>
          <w:szCs w:val="22"/>
        </w:rPr>
        <w:t>excel</w:t>
      </w:r>
      <w:proofErr w:type="spellEnd"/>
      <w:r w:rsidRPr="00B06FAA">
        <w:rPr>
          <w:rFonts w:ascii="Palatino Linotype" w:eastAsia="Palatino Linotype" w:hAnsi="Palatino Linotype" w:cs="Palatino Linotype"/>
          <w:i/>
          <w:sz w:val="22"/>
          <w:szCs w:val="22"/>
        </w:rPr>
        <w:t xml:space="preserve"> o similar o en su caso que sean </w:t>
      </w:r>
      <w:proofErr w:type="spellStart"/>
      <w:r w:rsidRPr="00B06FAA">
        <w:rPr>
          <w:rFonts w:ascii="Palatino Linotype" w:eastAsia="Palatino Linotype" w:hAnsi="Palatino Linotype" w:cs="Palatino Linotype"/>
          <w:i/>
          <w:sz w:val="22"/>
          <w:szCs w:val="22"/>
        </w:rPr>
        <w:t>mas</w:t>
      </w:r>
      <w:proofErr w:type="spellEnd"/>
      <w:r w:rsidRPr="00B06FAA">
        <w:rPr>
          <w:rFonts w:ascii="Palatino Linotype" w:eastAsia="Palatino Linotype" w:hAnsi="Palatino Linotype" w:cs="Palatino Linotype"/>
          <w:i/>
          <w:sz w:val="22"/>
          <w:szCs w:val="22"/>
        </w:rPr>
        <w:t xml:space="preserve"> visibles”. </w:t>
      </w:r>
    </w:p>
    <w:p w14:paraId="030B8D3E" w14:textId="77777777" w:rsidR="00A61EB9" w:rsidRPr="00B06FAA" w:rsidRDefault="00A61EB9">
      <w:pPr>
        <w:spacing w:line="360" w:lineRule="auto"/>
        <w:ind w:left="567" w:right="900"/>
        <w:jc w:val="both"/>
        <w:rPr>
          <w:rFonts w:ascii="Palatino Linotype" w:eastAsia="Palatino Linotype" w:hAnsi="Palatino Linotype" w:cs="Palatino Linotype"/>
          <w:b/>
          <w:sz w:val="22"/>
          <w:szCs w:val="22"/>
        </w:rPr>
      </w:pPr>
    </w:p>
    <w:p w14:paraId="6D3635B9" w14:textId="77777777" w:rsidR="00A61EB9" w:rsidRPr="00B06FAA" w:rsidRDefault="003B4C23">
      <w:pPr>
        <w:spacing w:line="360" w:lineRule="auto"/>
        <w:ind w:left="567" w:right="900"/>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sz w:val="22"/>
          <w:szCs w:val="22"/>
        </w:rPr>
        <w:t xml:space="preserve">Motivos de inconformidad. </w:t>
      </w:r>
      <w:r w:rsidRPr="00B06FAA">
        <w:rPr>
          <w:rFonts w:ascii="Palatino Linotype" w:eastAsia="Palatino Linotype" w:hAnsi="Palatino Linotype" w:cs="Palatino Linotype"/>
          <w:i/>
          <w:sz w:val="22"/>
          <w:szCs w:val="22"/>
        </w:rPr>
        <w:t xml:space="preserve">“no estoy de acuerdo con la </w:t>
      </w:r>
      <w:proofErr w:type="spellStart"/>
      <w:r w:rsidRPr="00B06FAA">
        <w:rPr>
          <w:rFonts w:ascii="Palatino Linotype" w:eastAsia="Palatino Linotype" w:hAnsi="Palatino Linotype" w:cs="Palatino Linotype"/>
          <w:i/>
          <w:sz w:val="22"/>
          <w:szCs w:val="22"/>
        </w:rPr>
        <w:t>informacion</w:t>
      </w:r>
      <w:proofErr w:type="spellEnd"/>
      <w:r w:rsidRPr="00B06FAA">
        <w:rPr>
          <w:rFonts w:ascii="Palatino Linotype" w:eastAsia="Palatino Linotype" w:hAnsi="Palatino Linotype" w:cs="Palatino Linotype"/>
          <w:i/>
          <w:sz w:val="22"/>
          <w:szCs w:val="22"/>
        </w:rPr>
        <w:t xml:space="preserve"> entregada”.</w:t>
      </w:r>
    </w:p>
    <w:p w14:paraId="53B7EEDF" w14:textId="77777777" w:rsidR="00A61EB9" w:rsidRPr="00B06FAA" w:rsidRDefault="00A61EB9">
      <w:pPr>
        <w:spacing w:line="360" w:lineRule="auto"/>
        <w:ind w:left="567" w:right="900"/>
        <w:jc w:val="both"/>
        <w:rPr>
          <w:rFonts w:ascii="Palatino Linotype" w:eastAsia="Palatino Linotype" w:hAnsi="Palatino Linotype" w:cs="Palatino Linotype"/>
          <w:i/>
          <w:sz w:val="22"/>
          <w:szCs w:val="22"/>
        </w:rPr>
      </w:pPr>
    </w:p>
    <w:p w14:paraId="5253CABC" w14:textId="77777777" w:rsidR="00A61EB9" w:rsidRPr="00B06FAA" w:rsidRDefault="003B4C2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 xml:space="preserve">Turno. </w:t>
      </w:r>
      <w:r w:rsidRPr="00B06FA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B06FAA">
        <w:rPr>
          <w:rFonts w:ascii="Palatino Linotype" w:eastAsia="Palatino Linotype" w:hAnsi="Palatino Linotype" w:cs="Palatino Linotype"/>
          <w:b/>
          <w:sz w:val="22"/>
          <w:szCs w:val="22"/>
        </w:rPr>
        <w:t>06084/INFOEM/IP/RR/2024</w:t>
      </w:r>
      <w:r w:rsidRPr="00B06FAA">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B06FAA">
        <w:rPr>
          <w:rFonts w:ascii="Palatino Linotype" w:eastAsia="Palatino Linotype" w:hAnsi="Palatino Linotype" w:cs="Palatino Linotype"/>
          <w:b/>
          <w:sz w:val="22"/>
          <w:szCs w:val="22"/>
        </w:rPr>
        <w:t>Guadalupe Ramírez Peña</w:t>
      </w:r>
      <w:r w:rsidRPr="00B06FAA">
        <w:rPr>
          <w:rFonts w:ascii="Palatino Linotype" w:eastAsia="Palatino Linotype" w:hAnsi="Palatino Linotype" w:cs="Palatino Linotype"/>
          <w:sz w:val="22"/>
          <w:szCs w:val="22"/>
        </w:rPr>
        <w:t>, para su análisis, estudio, elaboración del proyecto y presentación ante el Pleno de este Instituto.</w:t>
      </w:r>
    </w:p>
    <w:p w14:paraId="73957372" w14:textId="77777777" w:rsidR="00A61EB9" w:rsidRPr="00B06FAA" w:rsidRDefault="00A61E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77AE4DC" w14:textId="77777777" w:rsidR="00A61EB9" w:rsidRPr="00B06FAA" w:rsidRDefault="003B4C2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B06FAA">
        <w:rPr>
          <w:rFonts w:ascii="Palatino Linotype" w:eastAsia="Palatino Linotype" w:hAnsi="Palatino Linotype" w:cs="Palatino Linotype"/>
          <w:b/>
          <w:sz w:val="22"/>
          <w:szCs w:val="22"/>
        </w:rPr>
        <w:t xml:space="preserve">Admisión del recurso de revisión: </w:t>
      </w:r>
      <w:r w:rsidRPr="00B06FAA">
        <w:rPr>
          <w:rFonts w:ascii="Palatino Linotype" w:eastAsia="Palatino Linotype" w:hAnsi="Palatino Linotype" w:cs="Palatino Linotype"/>
          <w:sz w:val="22"/>
          <w:szCs w:val="22"/>
        </w:rPr>
        <w:t xml:space="preserve">En fecha </w:t>
      </w:r>
      <w:r w:rsidRPr="00B06FAA">
        <w:rPr>
          <w:rFonts w:ascii="Palatino Linotype" w:eastAsia="Palatino Linotype" w:hAnsi="Palatino Linotype" w:cs="Palatino Linotype"/>
          <w:b/>
          <w:sz w:val="22"/>
          <w:szCs w:val="22"/>
        </w:rPr>
        <w:t>catorce de octubre de dos mil veinticuatro</w:t>
      </w:r>
      <w:r w:rsidRPr="00B06FAA">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B06FAA">
        <w:rPr>
          <w:rFonts w:ascii="Palatino Linotype" w:eastAsia="Palatino Linotype" w:hAnsi="Palatino Linotype" w:cs="Palatino Linotype"/>
          <w:b/>
          <w:sz w:val="22"/>
          <w:szCs w:val="22"/>
        </w:rPr>
        <w:t>SUJETO OBLIGADO</w:t>
      </w:r>
      <w:r w:rsidRPr="00B06FAA">
        <w:rPr>
          <w:rFonts w:ascii="Palatino Linotype" w:eastAsia="Palatino Linotype" w:hAnsi="Palatino Linotype" w:cs="Palatino Linotype"/>
          <w:sz w:val="22"/>
          <w:szCs w:val="22"/>
        </w:rPr>
        <w:t xml:space="preserve"> presentara su informe justificado.</w:t>
      </w:r>
    </w:p>
    <w:p w14:paraId="50AA9CEB" w14:textId="77777777" w:rsidR="00A61EB9" w:rsidRPr="00B06FAA" w:rsidRDefault="00A61E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C52CAC6" w14:textId="77777777" w:rsidR="00A61EB9" w:rsidRPr="00B06FAA" w:rsidRDefault="003B4C2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Manifestaciones</w:t>
      </w:r>
      <w:r w:rsidRPr="00B06FAA">
        <w:rPr>
          <w:rFonts w:ascii="Palatino Linotype" w:eastAsia="Palatino Linotype" w:hAnsi="Palatino Linotype" w:cs="Palatino Linotype"/>
          <w:sz w:val="22"/>
          <w:szCs w:val="22"/>
        </w:rPr>
        <w:t>: El Sujeto Obligado rindió su informe justificado el veintitrés de octubre de dos mil veinticuatro, a través de los siguientes documentos:</w:t>
      </w:r>
    </w:p>
    <w:p w14:paraId="4F39DAE1" w14:textId="77777777" w:rsidR="00A61EB9" w:rsidRPr="00B06FAA" w:rsidRDefault="00A61EB9">
      <w:pPr>
        <w:pBdr>
          <w:top w:val="nil"/>
          <w:left w:val="nil"/>
          <w:bottom w:val="nil"/>
          <w:right w:val="nil"/>
          <w:between w:val="nil"/>
        </w:pBdr>
        <w:ind w:left="708"/>
        <w:rPr>
          <w:rFonts w:ascii="Palatino Linotype" w:eastAsia="Palatino Linotype" w:hAnsi="Palatino Linotype" w:cs="Palatino Linotype"/>
          <w:sz w:val="22"/>
          <w:szCs w:val="22"/>
        </w:rPr>
      </w:pPr>
    </w:p>
    <w:p w14:paraId="798ED87B" w14:textId="77777777" w:rsidR="00A61EB9" w:rsidRPr="00B06FAA" w:rsidRDefault="003B4C23">
      <w:pPr>
        <w:numPr>
          <w:ilvl w:val="0"/>
          <w:numId w:val="2"/>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1247 COLECCIONES, OBRAS DE ARTE Y OBJETOS VALIOSOS 08_24.xlsx: </w:t>
      </w:r>
      <w:r w:rsidRPr="00B06FAA">
        <w:rPr>
          <w:rFonts w:ascii="Palatino Linotype" w:eastAsia="Palatino Linotype" w:hAnsi="Palatino Linotype" w:cs="Palatino Linotype"/>
          <w:sz w:val="22"/>
          <w:szCs w:val="22"/>
        </w:rPr>
        <w:t>Contiene el formato auxiliar de la Conciliación Físico Contable de Bienes Muebles e Inmuebles correspondiente a Colecciones, Obras de Arte y Objetos Valiosos en formato xlsx.</w:t>
      </w:r>
    </w:p>
    <w:p w14:paraId="7813D25A" w14:textId="77777777" w:rsidR="00A61EB9" w:rsidRPr="00B06FAA" w:rsidRDefault="003B4C23">
      <w:pPr>
        <w:numPr>
          <w:ilvl w:val="0"/>
          <w:numId w:val="2"/>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lastRenderedPageBreak/>
        <w:t xml:space="preserve">1241 MOBILIARIO Y EQUIPO DE ADMINISTRACION 08_24.xlsx: </w:t>
      </w:r>
      <w:r w:rsidRPr="00B06FAA">
        <w:rPr>
          <w:rFonts w:ascii="Palatino Linotype" w:eastAsia="Palatino Linotype" w:hAnsi="Palatino Linotype" w:cs="Palatino Linotype"/>
          <w:sz w:val="22"/>
          <w:szCs w:val="22"/>
        </w:rPr>
        <w:t>Contiene un listado de bienes muebles no localizados con registro en el inventario no considerados en contabilidad en formato xlsx.</w:t>
      </w:r>
    </w:p>
    <w:p w14:paraId="2B79C7A6" w14:textId="77777777" w:rsidR="00A61EB9" w:rsidRPr="00B06FAA" w:rsidRDefault="003B4C23">
      <w:pPr>
        <w:numPr>
          <w:ilvl w:val="0"/>
          <w:numId w:val="2"/>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1244 VEHICULOS Y EQUIPOS DE TRANSPORTE 08_24.xlsx: </w:t>
      </w:r>
      <w:r w:rsidRPr="00B06FAA">
        <w:rPr>
          <w:rFonts w:ascii="Palatino Linotype" w:eastAsia="Palatino Linotype" w:hAnsi="Palatino Linotype" w:cs="Palatino Linotype"/>
          <w:sz w:val="22"/>
          <w:szCs w:val="22"/>
        </w:rPr>
        <w:t xml:space="preserve">Contiene el formato auxiliar de la Conciliación Físico Contable de Bienes Muebles e Inmuebles correspondiente a vehículos y equipo de transporte. </w:t>
      </w:r>
    </w:p>
    <w:p w14:paraId="79ECF601" w14:textId="77777777" w:rsidR="00A61EB9" w:rsidRPr="00B06FAA" w:rsidRDefault="003B4C23">
      <w:pPr>
        <w:numPr>
          <w:ilvl w:val="0"/>
          <w:numId w:val="2"/>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1092-2024 IP-108 RR 06084.pdf: </w:t>
      </w:r>
      <w:r w:rsidRPr="00B06FAA">
        <w:rPr>
          <w:rFonts w:ascii="Palatino Linotype" w:eastAsia="Palatino Linotype" w:hAnsi="Palatino Linotype" w:cs="Palatino Linotype"/>
          <w:sz w:val="22"/>
          <w:szCs w:val="22"/>
        </w:rPr>
        <w:t xml:space="preserve">Oficio 233C0101040200L/1092/2024 suscrito por la </w:t>
      </w:r>
      <w:proofErr w:type="gramStart"/>
      <w:r w:rsidRPr="00B06FAA">
        <w:rPr>
          <w:rFonts w:ascii="Palatino Linotype" w:eastAsia="Palatino Linotype" w:hAnsi="Palatino Linotype" w:cs="Palatino Linotype"/>
          <w:sz w:val="22"/>
          <w:szCs w:val="22"/>
        </w:rPr>
        <w:t>Subdirectora</w:t>
      </w:r>
      <w:proofErr w:type="gramEnd"/>
      <w:r w:rsidRPr="00B06FAA">
        <w:rPr>
          <w:rFonts w:ascii="Palatino Linotype" w:eastAsia="Palatino Linotype" w:hAnsi="Palatino Linotype" w:cs="Palatino Linotype"/>
          <w:sz w:val="22"/>
          <w:szCs w:val="22"/>
        </w:rPr>
        <w:t xml:space="preserve"> Jurídica mediante el cual refiere que para la atención del agravio, se remite la información en formato Excel respecto de los formatos del libro mayor (auxiliares) de las cuentas contables del Activo y los archivos de la Conciliación para mayor legibilidad del periodo uno de enero al treinta y uno de dos mil veinticuatro. Por último, solicita que el recurso de revisión sea sobreseído.</w:t>
      </w:r>
    </w:p>
    <w:p w14:paraId="12A6883D" w14:textId="77777777" w:rsidR="00A61EB9" w:rsidRPr="00B06FAA" w:rsidRDefault="003B4C23">
      <w:pPr>
        <w:numPr>
          <w:ilvl w:val="0"/>
          <w:numId w:val="2"/>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1231 TERRENOS 08_24.xlsx:</w:t>
      </w:r>
      <w:r w:rsidRPr="00B06FAA">
        <w:rPr>
          <w:rFonts w:ascii="Palatino Linotype" w:eastAsia="Palatino Linotype" w:hAnsi="Palatino Linotype" w:cs="Palatino Linotype"/>
          <w:sz w:val="22"/>
          <w:szCs w:val="22"/>
        </w:rPr>
        <w:t xml:space="preserve"> Contiene el formato auxiliar de la Conciliación Físico Contable de Bienes Muebles e Inmuebles correspondiente a Terrenos.</w:t>
      </w:r>
    </w:p>
    <w:p w14:paraId="19C55A03" w14:textId="77777777" w:rsidR="00A61EB9" w:rsidRPr="00B06FAA" w:rsidRDefault="003B4C23">
      <w:pPr>
        <w:numPr>
          <w:ilvl w:val="0"/>
          <w:numId w:val="2"/>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Anexo 1 Auxiliar LM.xls: </w:t>
      </w:r>
      <w:r w:rsidRPr="00B06FAA">
        <w:rPr>
          <w:rFonts w:ascii="Palatino Linotype" w:eastAsia="Palatino Linotype" w:hAnsi="Palatino Linotype" w:cs="Palatino Linotype"/>
          <w:sz w:val="22"/>
          <w:szCs w:val="22"/>
        </w:rPr>
        <w:t>Documento que contiene el libro mayor de agosto de 2024.</w:t>
      </w:r>
    </w:p>
    <w:p w14:paraId="431AF45D" w14:textId="77777777" w:rsidR="00A61EB9" w:rsidRPr="00B06FAA" w:rsidRDefault="003B4C23">
      <w:pPr>
        <w:numPr>
          <w:ilvl w:val="0"/>
          <w:numId w:val="2"/>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1233 EDIFICIOS NO HABITACIONALES 08_24.xlsx: </w:t>
      </w:r>
      <w:r w:rsidRPr="00B06FAA">
        <w:rPr>
          <w:rFonts w:ascii="Palatino Linotype" w:eastAsia="Palatino Linotype" w:hAnsi="Palatino Linotype" w:cs="Palatino Linotype"/>
          <w:sz w:val="22"/>
          <w:szCs w:val="22"/>
        </w:rPr>
        <w:t>Contiene el formato auxiliar de la Conciliación Físico Contable de Bienes Muebles e Inmuebles correspondiente a edificios no habitacionales</w:t>
      </w:r>
    </w:p>
    <w:p w14:paraId="7C1D745D" w14:textId="77777777" w:rsidR="00A61EB9" w:rsidRPr="00B06FAA" w:rsidRDefault="003B4C23">
      <w:pPr>
        <w:numPr>
          <w:ilvl w:val="0"/>
          <w:numId w:val="2"/>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1246 MAQUINARIA OTROS EQUIPOS DE HERRAMIENTA 08_24.xlsx: </w:t>
      </w:r>
      <w:r w:rsidRPr="00B06FAA">
        <w:rPr>
          <w:rFonts w:ascii="Palatino Linotype" w:eastAsia="Palatino Linotype" w:hAnsi="Palatino Linotype" w:cs="Palatino Linotype"/>
          <w:sz w:val="22"/>
          <w:szCs w:val="22"/>
        </w:rPr>
        <w:t>Contiene el formato auxiliar de la Conciliación Físico Contable de Bienes Muebles e Inmuebles correspondiente a Maquinaria, otros equipos de herramienta.</w:t>
      </w:r>
    </w:p>
    <w:p w14:paraId="11061929" w14:textId="77777777" w:rsidR="00A61EB9" w:rsidRPr="00B06FAA" w:rsidRDefault="00A61E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1FFF9A9" w14:textId="77777777" w:rsidR="00A61EB9" w:rsidRPr="00B06FAA" w:rsidRDefault="003B4C23">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 xml:space="preserve">Cierre de instrucción. </w:t>
      </w:r>
      <w:r w:rsidRPr="00B06FAA">
        <w:rPr>
          <w:rFonts w:ascii="Palatino Linotype" w:eastAsia="Palatino Linotype" w:hAnsi="Palatino Linotype" w:cs="Palatino Linotype"/>
          <w:sz w:val="22"/>
          <w:szCs w:val="22"/>
        </w:rPr>
        <w:t xml:space="preserve">El </w:t>
      </w:r>
      <w:r w:rsidR="00B83273" w:rsidRPr="00B06FAA">
        <w:rPr>
          <w:rFonts w:ascii="Palatino Linotype" w:eastAsia="Palatino Linotype" w:hAnsi="Palatino Linotype" w:cs="Palatino Linotype"/>
          <w:b/>
          <w:sz w:val="22"/>
          <w:szCs w:val="22"/>
        </w:rPr>
        <w:t>siete</w:t>
      </w:r>
      <w:r w:rsidRPr="00B06FAA">
        <w:rPr>
          <w:rFonts w:ascii="Palatino Linotype" w:eastAsia="Palatino Linotype" w:hAnsi="Palatino Linotype" w:cs="Palatino Linotype"/>
          <w:b/>
          <w:sz w:val="22"/>
          <w:szCs w:val="22"/>
        </w:rPr>
        <w:t xml:space="preserve"> de noviembre de dos mil veinticuatro</w:t>
      </w:r>
      <w:r w:rsidRPr="00B06FAA">
        <w:rPr>
          <w:rFonts w:ascii="Palatino Linotype" w:eastAsia="Palatino Linotype" w:hAnsi="Palatino Linotype" w:cs="Palatino Linotype"/>
          <w:sz w:val="22"/>
          <w:szCs w:val="22"/>
        </w:rPr>
        <w:t xml:space="preserve">, la Comisionada Ponente determinó el cierre de instrucción en términos de la fracción VI del artículo 185 de </w:t>
      </w:r>
      <w:r w:rsidRPr="00B06FAA">
        <w:rPr>
          <w:rFonts w:ascii="Palatino Linotype" w:eastAsia="Palatino Linotype" w:hAnsi="Palatino Linotype" w:cs="Palatino Linotype"/>
          <w:sz w:val="22"/>
          <w:szCs w:val="22"/>
        </w:rPr>
        <w:lastRenderedPageBreak/>
        <w:t xml:space="preserve">la Ley de Transparencia y Acceso a la Información Pública del Estado de México y Municipios. </w:t>
      </w:r>
    </w:p>
    <w:p w14:paraId="441991F9" w14:textId="77777777" w:rsidR="00A61EB9" w:rsidRPr="00B06FAA" w:rsidRDefault="00A61EB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2401E589"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D304AC5"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70B156AF" w14:textId="77777777" w:rsidR="00A61EB9" w:rsidRPr="00B06FAA" w:rsidRDefault="003B4C23">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B06FAA">
        <w:rPr>
          <w:rFonts w:ascii="Palatino Linotype" w:eastAsia="Palatino Linotype" w:hAnsi="Palatino Linotype" w:cs="Palatino Linotype"/>
          <w:b/>
          <w:sz w:val="22"/>
          <w:szCs w:val="22"/>
        </w:rPr>
        <w:t>C O N S I D E R A N D O:</w:t>
      </w:r>
    </w:p>
    <w:p w14:paraId="5E575FCC" w14:textId="77777777" w:rsidR="00A61EB9" w:rsidRPr="00B06FAA" w:rsidRDefault="00A61EB9">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903086C"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 xml:space="preserve">Primero. Competencia. </w:t>
      </w:r>
      <w:r w:rsidRPr="00B06FAA">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46705FA" w14:textId="77777777" w:rsidR="00A61EB9" w:rsidRPr="00B06FAA" w:rsidRDefault="00A61EB9">
      <w:pPr>
        <w:spacing w:line="360" w:lineRule="auto"/>
        <w:jc w:val="both"/>
        <w:rPr>
          <w:rFonts w:ascii="Palatino Linotype" w:eastAsia="Palatino Linotype" w:hAnsi="Palatino Linotype" w:cs="Palatino Linotype"/>
          <w:b/>
          <w:sz w:val="22"/>
          <w:szCs w:val="22"/>
        </w:rPr>
      </w:pPr>
    </w:p>
    <w:p w14:paraId="5F5D337E"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Segundo. Oportunidad y Procedibilidad del Recurso de Revisión</w:t>
      </w:r>
      <w:r w:rsidRPr="00B06FA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58D434A"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675B318A" w14:textId="77777777" w:rsidR="00A61EB9" w:rsidRPr="00B06FAA" w:rsidRDefault="003B4C23">
      <w:pP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B06FAA">
        <w:rPr>
          <w:rFonts w:ascii="Palatino Linotype" w:eastAsia="Palatino Linotype" w:hAnsi="Palatino Linotype" w:cs="Palatino Linotype"/>
          <w:b/>
          <w:sz w:val="22"/>
          <w:szCs w:val="22"/>
        </w:rPr>
        <w:t>SUJETO OBLIGADO</w:t>
      </w:r>
      <w:r w:rsidRPr="00B06FAA">
        <w:rPr>
          <w:rFonts w:ascii="Palatino Linotype" w:eastAsia="Palatino Linotype" w:hAnsi="Palatino Linotype" w:cs="Palatino Linotype"/>
          <w:sz w:val="22"/>
          <w:szCs w:val="22"/>
        </w:rPr>
        <w:t xml:space="preserve"> proporcionó su respuesta a la solicitud de información el </w:t>
      </w:r>
      <w:r w:rsidRPr="00B06FAA">
        <w:rPr>
          <w:rFonts w:ascii="Palatino Linotype" w:eastAsia="Palatino Linotype" w:hAnsi="Palatino Linotype" w:cs="Palatino Linotype"/>
          <w:b/>
          <w:sz w:val="22"/>
          <w:szCs w:val="22"/>
        </w:rPr>
        <w:t>veinte de septiembre de dos mil veinticuatro</w:t>
      </w:r>
      <w:r w:rsidRPr="00B06FAA">
        <w:rPr>
          <w:rFonts w:ascii="Palatino Linotype" w:eastAsia="Palatino Linotype" w:hAnsi="Palatino Linotype" w:cs="Palatino Linotype"/>
          <w:sz w:val="22"/>
          <w:szCs w:val="22"/>
        </w:rPr>
        <w:t xml:space="preserve">, y la parte </w:t>
      </w:r>
      <w:r w:rsidRPr="00B06FAA">
        <w:rPr>
          <w:rFonts w:ascii="Palatino Linotype" w:eastAsia="Palatino Linotype" w:hAnsi="Palatino Linotype" w:cs="Palatino Linotype"/>
          <w:b/>
          <w:sz w:val="22"/>
          <w:szCs w:val="22"/>
        </w:rPr>
        <w:t>RECURRENTE</w:t>
      </w:r>
      <w:r w:rsidRPr="00B06FAA">
        <w:rPr>
          <w:rFonts w:ascii="Palatino Linotype" w:eastAsia="Palatino Linotype" w:hAnsi="Palatino Linotype" w:cs="Palatino Linotype"/>
          <w:sz w:val="22"/>
          <w:szCs w:val="22"/>
        </w:rPr>
        <w:t xml:space="preserve"> presentó su recurso de revisión el </w:t>
      </w:r>
      <w:r w:rsidRPr="00B06FAA">
        <w:rPr>
          <w:rFonts w:ascii="Palatino Linotype" w:eastAsia="Palatino Linotype" w:hAnsi="Palatino Linotype" w:cs="Palatino Linotype"/>
          <w:b/>
          <w:sz w:val="22"/>
          <w:szCs w:val="22"/>
        </w:rPr>
        <w:t>nueve de octubre de dos mil veinticuatro</w:t>
      </w:r>
      <w:r w:rsidRPr="00B06FAA">
        <w:rPr>
          <w:rFonts w:ascii="Palatino Linotype" w:eastAsia="Palatino Linotype" w:hAnsi="Palatino Linotype" w:cs="Palatino Linotype"/>
          <w:sz w:val="22"/>
          <w:szCs w:val="22"/>
        </w:rPr>
        <w:t xml:space="preserve">, es decir, al décimo segundo día hábil posterior a la fecha de la respuesta, por lo que se encuentra dentro de los márgenes temporales previstos para tal efecto. </w:t>
      </w:r>
    </w:p>
    <w:p w14:paraId="30887C29" w14:textId="77777777" w:rsidR="00A61EB9" w:rsidRPr="00B06FAA" w:rsidRDefault="00A61EB9">
      <w:pPr>
        <w:spacing w:line="360" w:lineRule="auto"/>
        <w:ind w:right="49"/>
        <w:jc w:val="both"/>
        <w:rPr>
          <w:rFonts w:ascii="Palatino Linotype" w:eastAsia="Palatino Linotype" w:hAnsi="Palatino Linotype" w:cs="Palatino Linotype"/>
          <w:sz w:val="22"/>
          <w:szCs w:val="22"/>
        </w:rPr>
      </w:pPr>
    </w:p>
    <w:p w14:paraId="7F10027D"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43C6E32"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3D5C4683"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IX de la ley de la materia, que a la letra dice:</w:t>
      </w:r>
    </w:p>
    <w:p w14:paraId="1809DAF8"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4D222B98"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r w:rsidRPr="00B06FAA">
        <w:rPr>
          <w:rFonts w:ascii="Palatino Linotype" w:eastAsia="Palatino Linotype" w:hAnsi="Palatino Linotype" w:cs="Palatino Linotype"/>
          <w:b/>
          <w:i/>
          <w:sz w:val="22"/>
          <w:szCs w:val="22"/>
        </w:rPr>
        <w:t xml:space="preserve">Artículo 179. </w:t>
      </w:r>
      <w:r w:rsidRPr="00B06FA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2EF3558"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p>
    <w:p w14:paraId="1DDE439E"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14:paraId="72D4C549"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 xml:space="preserve">… </w:t>
      </w:r>
    </w:p>
    <w:p w14:paraId="67A166E5"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lastRenderedPageBreak/>
        <w:t>Tercero. Análisis de las causales de sobreseimiento del recurso de revisión.</w:t>
      </w:r>
      <w:r w:rsidRPr="00B06FAA">
        <w:rPr>
          <w:rFonts w:ascii="Palatino Linotype" w:eastAsia="Palatino Linotype" w:hAnsi="Palatino Linotype" w:cs="Palatino Linotype"/>
          <w:sz w:val="22"/>
          <w:szCs w:val="22"/>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B06FAA">
        <w:rPr>
          <w:rFonts w:ascii="Palatino Linotype" w:eastAsia="Palatino Linotype" w:hAnsi="Palatino Linotype" w:cs="Palatino Linotype"/>
          <w:b/>
          <w:sz w:val="22"/>
          <w:szCs w:val="22"/>
        </w:rPr>
        <w:t>Sujeto Obligado.</w:t>
      </w:r>
      <w:r w:rsidRPr="00B06FAA">
        <w:rPr>
          <w:rFonts w:ascii="Palatino Linotype" w:eastAsia="Palatino Linotype" w:hAnsi="Palatino Linotype" w:cs="Palatino Linotype"/>
          <w:sz w:val="22"/>
          <w:szCs w:val="22"/>
        </w:rPr>
        <w:t xml:space="preserve"> </w:t>
      </w:r>
    </w:p>
    <w:p w14:paraId="35F55641" w14:textId="77777777" w:rsidR="00A61EB9" w:rsidRPr="00B06FAA" w:rsidRDefault="003B4C23">
      <w:pPr>
        <w:tabs>
          <w:tab w:val="left" w:pos="7513"/>
        </w:tabs>
        <w:spacing w:after="240"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Para una mejor comprensión del asunto, de las constancias que obran en el expediente electrónico, valoradas anteriormente, destacan por su importancia los antecedentes siguientes:</w:t>
      </w:r>
    </w:p>
    <w:p w14:paraId="1FFAC725"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En principio, es conveniente analizar si la respuesta como el informe justificado del </w:t>
      </w:r>
      <w:r w:rsidRPr="00B06FAA">
        <w:rPr>
          <w:rFonts w:ascii="Palatino Linotype" w:eastAsia="Palatino Linotype" w:hAnsi="Palatino Linotype" w:cs="Palatino Linotype"/>
          <w:b/>
          <w:sz w:val="22"/>
          <w:szCs w:val="22"/>
        </w:rPr>
        <w:t>SUJETO OBLIGADO</w:t>
      </w:r>
      <w:r w:rsidRPr="00B06FAA">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2B68D83"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605FC7D5"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r w:rsidRPr="00B06FAA">
        <w:rPr>
          <w:rFonts w:ascii="Palatino Linotype" w:eastAsia="Palatino Linotype" w:hAnsi="Palatino Linotype" w:cs="Palatino Linotype"/>
          <w:b/>
          <w:i/>
          <w:sz w:val="22"/>
          <w:szCs w:val="22"/>
        </w:rPr>
        <w:t>Artículo 4</w:t>
      </w:r>
      <w:r w:rsidRPr="00B06FA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5823049"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06FAA">
        <w:rPr>
          <w:rFonts w:ascii="Palatino Linotype" w:eastAsia="Palatino Linotype" w:hAnsi="Palatino Linotype" w:cs="Palatino Linotype"/>
          <w:i/>
          <w:sz w:val="22"/>
          <w:szCs w:val="22"/>
        </w:rPr>
        <w:t xml:space="preserve">, en los términos y condiciones que se </w:t>
      </w:r>
      <w:r w:rsidRPr="00B06FAA">
        <w:rPr>
          <w:rFonts w:ascii="Palatino Linotype" w:eastAsia="Palatino Linotype" w:hAnsi="Palatino Linotype" w:cs="Palatino Linotype"/>
          <w:i/>
          <w:sz w:val="22"/>
          <w:szCs w:val="22"/>
        </w:rPr>
        <w:lastRenderedPageBreak/>
        <w:t>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E834EA9"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06FAA">
        <w:rPr>
          <w:rFonts w:ascii="Palatino Linotype" w:eastAsia="Palatino Linotype" w:hAnsi="Palatino Linotype" w:cs="Palatino Linotype"/>
          <w:i/>
          <w:sz w:val="22"/>
          <w:szCs w:val="22"/>
        </w:rPr>
        <w:t>.”</w:t>
      </w:r>
    </w:p>
    <w:p w14:paraId="0E6DAA0D"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2021638E"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BF50638"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41FC5EB2"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“Artículo 12.-</w:t>
      </w:r>
      <w:r w:rsidRPr="00B06FA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9C9B007" w14:textId="77777777" w:rsidR="00A61EB9" w:rsidRPr="00B06FAA" w:rsidRDefault="00A61EB9">
      <w:pPr>
        <w:spacing w:line="360" w:lineRule="auto"/>
        <w:ind w:left="567" w:right="616"/>
        <w:jc w:val="both"/>
        <w:rPr>
          <w:rFonts w:ascii="Palatino Linotype" w:eastAsia="Palatino Linotype" w:hAnsi="Palatino Linotype" w:cs="Palatino Linotype"/>
          <w:i/>
          <w:sz w:val="22"/>
          <w:szCs w:val="22"/>
        </w:rPr>
      </w:pPr>
    </w:p>
    <w:p w14:paraId="1972BC76"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06FAA">
        <w:rPr>
          <w:rFonts w:ascii="Palatino Linotype" w:eastAsia="Palatino Linotype" w:hAnsi="Palatino Linotype" w:cs="Palatino Linotype"/>
          <w:i/>
          <w:sz w:val="22"/>
          <w:szCs w:val="22"/>
        </w:rPr>
        <w:t xml:space="preserve">. </w:t>
      </w:r>
      <w:r w:rsidRPr="00B06FAA">
        <w:rPr>
          <w:rFonts w:ascii="Palatino Linotype" w:eastAsia="Palatino Linotype" w:hAnsi="Palatino Linotype" w:cs="Palatino Linotype"/>
          <w:b/>
          <w:i/>
          <w:sz w:val="22"/>
          <w:szCs w:val="22"/>
        </w:rPr>
        <w:t xml:space="preserve">La obligación de proporcionar información no comprende el procesamiento de la </w:t>
      </w:r>
      <w:r w:rsidRPr="00B06FAA">
        <w:rPr>
          <w:rFonts w:ascii="Palatino Linotype" w:eastAsia="Palatino Linotype" w:hAnsi="Palatino Linotype" w:cs="Palatino Linotype"/>
          <w:b/>
          <w:i/>
          <w:sz w:val="22"/>
          <w:szCs w:val="22"/>
        </w:rPr>
        <w:lastRenderedPageBreak/>
        <w:t xml:space="preserve">misma, ni el presentarla conforme al interés del solicitante; no estarán obligados a generarla, resumirla, efectuar cálculos o practicar investigaciones.” </w:t>
      </w:r>
    </w:p>
    <w:p w14:paraId="61B4AC05" w14:textId="77777777" w:rsidR="00A61EB9" w:rsidRPr="00B06FAA" w:rsidRDefault="00A61EB9">
      <w:pPr>
        <w:spacing w:line="360" w:lineRule="auto"/>
        <w:ind w:right="-93"/>
        <w:jc w:val="both"/>
        <w:rPr>
          <w:rFonts w:ascii="Palatino Linotype" w:eastAsia="Palatino Linotype" w:hAnsi="Palatino Linotype" w:cs="Palatino Linotype"/>
          <w:sz w:val="22"/>
          <w:szCs w:val="22"/>
        </w:rPr>
      </w:pPr>
    </w:p>
    <w:p w14:paraId="6B381BA6" w14:textId="77777777" w:rsidR="00A61EB9" w:rsidRPr="00B06FAA" w:rsidRDefault="003B4C23">
      <w:pPr>
        <w:spacing w:line="360" w:lineRule="auto"/>
        <w:ind w:right="-93"/>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 </w:t>
      </w:r>
    </w:p>
    <w:p w14:paraId="6289955B" w14:textId="77777777" w:rsidR="00A61EB9" w:rsidRPr="00B06FAA" w:rsidRDefault="00A61EB9">
      <w:pPr>
        <w:spacing w:line="360" w:lineRule="auto"/>
        <w:ind w:right="-93"/>
        <w:jc w:val="both"/>
        <w:rPr>
          <w:rFonts w:ascii="Palatino Linotype" w:eastAsia="Palatino Linotype" w:hAnsi="Palatino Linotype" w:cs="Palatino Linotype"/>
          <w:sz w:val="22"/>
          <w:szCs w:val="22"/>
        </w:rPr>
      </w:pPr>
    </w:p>
    <w:p w14:paraId="5333AD2F" w14:textId="77777777" w:rsidR="00A61EB9" w:rsidRPr="00B06FAA" w:rsidRDefault="003B4C23">
      <w:pPr>
        <w:spacing w:line="360" w:lineRule="auto"/>
        <w:ind w:right="-93"/>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06FAA">
        <w:rPr>
          <w:rFonts w:ascii="Palatino Linotype" w:eastAsia="Palatino Linotype" w:hAnsi="Palatino Linotype" w:cs="Palatino Linotype"/>
          <w:b/>
          <w:sz w:val="22"/>
          <w:szCs w:val="22"/>
        </w:rPr>
        <w:t xml:space="preserve"> </w:t>
      </w:r>
    </w:p>
    <w:p w14:paraId="0087B7D9" w14:textId="77777777" w:rsidR="00A61EB9" w:rsidRPr="00B06FAA" w:rsidRDefault="00A61EB9">
      <w:pPr>
        <w:spacing w:line="360" w:lineRule="auto"/>
        <w:jc w:val="both"/>
        <w:rPr>
          <w:rFonts w:ascii="Palatino Linotype" w:eastAsia="Palatino Linotype" w:hAnsi="Palatino Linotype" w:cs="Palatino Linotype"/>
          <w:b/>
          <w:sz w:val="22"/>
          <w:szCs w:val="22"/>
        </w:rPr>
      </w:pPr>
    </w:p>
    <w:p w14:paraId="71A4B627"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r w:rsidRPr="00B06FAA">
        <w:rPr>
          <w:rFonts w:ascii="Palatino Linotype" w:eastAsia="Palatino Linotype" w:hAnsi="Palatino Linotype" w:cs="Palatino Linotype"/>
          <w:b/>
          <w:i/>
          <w:sz w:val="22"/>
          <w:szCs w:val="22"/>
        </w:rPr>
        <w:t>No existe obligación de elaborar documentos ad hoc para atender las solicitudes de acceso a la información.</w:t>
      </w:r>
      <w:r w:rsidRPr="00B06FA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B06FAA">
        <w:rPr>
          <w:rFonts w:ascii="Palatino Linotype" w:eastAsia="Palatino Linotype" w:hAnsi="Palatino Linotype" w:cs="Palatino Linotype"/>
          <w:i/>
          <w:sz w:val="22"/>
          <w:szCs w:val="22"/>
        </w:rPr>
        <w:lastRenderedPageBreak/>
        <w:t xml:space="preserve">formato en que la misma obre en sus archivos; sin necesidad de elaborar documentos ad hoc para atender las solicitudes de información”. </w:t>
      </w:r>
    </w:p>
    <w:p w14:paraId="56ECEA75" w14:textId="77777777" w:rsidR="00A61EB9" w:rsidRPr="00B06FAA" w:rsidRDefault="00A61EB9">
      <w:pPr>
        <w:spacing w:line="360" w:lineRule="auto"/>
        <w:ind w:right="-93"/>
        <w:jc w:val="both"/>
        <w:rPr>
          <w:rFonts w:ascii="Palatino Linotype" w:eastAsia="Palatino Linotype" w:hAnsi="Palatino Linotype" w:cs="Palatino Linotype"/>
          <w:sz w:val="22"/>
          <w:szCs w:val="22"/>
        </w:rPr>
      </w:pPr>
    </w:p>
    <w:p w14:paraId="59EB6C49"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A607EF"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778B2660" w14:textId="77777777" w:rsidR="00A61EB9" w:rsidRPr="00B06FAA" w:rsidRDefault="003B4C23">
      <w:pP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04C26D0" w14:textId="77777777" w:rsidR="00A61EB9" w:rsidRPr="00B06FAA" w:rsidRDefault="00A61EB9">
      <w:pPr>
        <w:spacing w:line="360" w:lineRule="auto"/>
        <w:ind w:right="49"/>
        <w:jc w:val="both"/>
        <w:rPr>
          <w:rFonts w:ascii="Palatino Linotype" w:eastAsia="Palatino Linotype" w:hAnsi="Palatino Linotype" w:cs="Palatino Linotype"/>
          <w:sz w:val="22"/>
          <w:szCs w:val="22"/>
        </w:rPr>
      </w:pPr>
    </w:p>
    <w:p w14:paraId="7479CFCD"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025EE4D" w14:textId="77777777" w:rsidR="00A61EB9" w:rsidRPr="00B06FAA" w:rsidRDefault="00A61EB9">
      <w:pPr>
        <w:spacing w:line="360" w:lineRule="auto"/>
        <w:ind w:left="567" w:right="616"/>
        <w:jc w:val="both"/>
        <w:rPr>
          <w:rFonts w:ascii="Palatino Linotype" w:eastAsia="Palatino Linotype" w:hAnsi="Palatino Linotype" w:cs="Palatino Linotype"/>
          <w:i/>
          <w:sz w:val="22"/>
          <w:szCs w:val="22"/>
        </w:rPr>
      </w:pPr>
    </w:p>
    <w:p w14:paraId="4A33B925"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lastRenderedPageBreak/>
        <w:t>“</w:t>
      </w:r>
      <w:r w:rsidRPr="00B06FAA">
        <w:rPr>
          <w:rFonts w:ascii="Palatino Linotype" w:eastAsia="Palatino Linotype" w:hAnsi="Palatino Linotype" w:cs="Palatino Linotype"/>
          <w:b/>
          <w:i/>
          <w:sz w:val="22"/>
          <w:szCs w:val="22"/>
        </w:rPr>
        <w:t xml:space="preserve">Artículo 3. </w:t>
      </w:r>
      <w:r w:rsidRPr="00B06FAA">
        <w:rPr>
          <w:rFonts w:ascii="Palatino Linotype" w:eastAsia="Palatino Linotype" w:hAnsi="Palatino Linotype" w:cs="Palatino Linotype"/>
          <w:i/>
          <w:sz w:val="22"/>
          <w:szCs w:val="22"/>
        </w:rPr>
        <w:t>Para los efectos de la presente Ley se entenderá por:</w:t>
      </w:r>
    </w:p>
    <w:p w14:paraId="3D528A9F"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p>
    <w:p w14:paraId="229CD73F"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XI. Documento:</w:t>
      </w:r>
      <w:r w:rsidRPr="00B06FAA">
        <w:rPr>
          <w:rFonts w:ascii="Palatino Linotype" w:eastAsia="Palatino Linotype" w:hAnsi="Palatino Linotype" w:cs="Palatino Linotype"/>
          <w:i/>
          <w:sz w:val="22"/>
          <w:szCs w:val="22"/>
        </w:rPr>
        <w:t xml:space="preserve"> Los expedientes, reportes, estudios, actas</w:t>
      </w:r>
      <w:r w:rsidRPr="00B06FAA">
        <w:rPr>
          <w:rFonts w:ascii="Palatino Linotype" w:eastAsia="Palatino Linotype" w:hAnsi="Palatino Linotype" w:cs="Palatino Linotype"/>
          <w:b/>
          <w:i/>
          <w:sz w:val="22"/>
          <w:szCs w:val="22"/>
        </w:rPr>
        <w:t>,</w:t>
      </w:r>
      <w:r w:rsidRPr="00B06FA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5FA4B6C" w14:textId="77777777" w:rsidR="00A61EB9" w:rsidRPr="00B06FAA" w:rsidRDefault="00A61EB9">
      <w:pPr>
        <w:spacing w:line="360" w:lineRule="auto"/>
        <w:ind w:left="851" w:right="899"/>
        <w:jc w:val="both"/>
        <w:rPr>
          <w:rFonts w:ascii="Palatino Linotype" w:eastAsia="Palatino Linotype" w:hAnsi="Palatino Linotype" w:cs="Palatino Linotype"/>
          <w:sz w:val="22"/>
          <w:szCs w:val="22"/>
        </w:rPr>
      </w:pPr>
    </w:p>
    <w:p w14:paraId="1E2C6FA3" w14:textId="77777777" w:rsidR="00A61EB9" w:rsidRPr="00B06FAA" w:rsidRDefault="003B4C23">
      <w:pP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C38E5E"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4E3970EF" w14:textId="77777777" w:rsidR="00A61EB9" w:rsidRPr="00B06FAA" w:rsidRDefault="003B4C23">
      <w:pPr>
        <w:spacing w:line="360" w:lineRule="auto"/>
        <w:ind w:left="567" w:right="616"/>
        <w:jc w:val="both"/>
        <w:rPr>
          <w:rFonts w:ascii="Palatino Linotype" w:eastAsia="Palatino Linotype" w:hAnsi="Palatino Linotype" w:cs="Palatino Linotype"/>
          <w:b/>
          <w:i/>
          <w:sz w:val="22"/>
          <w:szCs w:val="22"/>
        </w:rPr>
      </w:pPr>
      <w:r w:rsidRPr="00B06FAA">
        <w:rPr>
          <w:rFonts w:ascii="Palatino Linotype" w:eastAsia="Palatino Linotype" w:hAnsi="Palatino Linotype" w:cs="Palatino Linotype"/>
          <w:b/>
          <w:sz w:val="22"/>
          <w:szCs w:val="22"/>
        </w:rPr>
        <w:t>“</w:t>
      </w:r>
      <w:r w:rsidRPr="00B06FAA">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06FA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CAE50ED"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lastRenderedPageBreak/>
        <w:t xml:space="preserve">En </w:t>
      </w:r>
      <w:proofErr w:type="gramStart"/>
      <w:r w:rsidRPr="00B06FAA">
        <w:rPr>
          <w:rFonts w:ascii="Palatino Linotype" w:eastAsia="Palatino Linotype" w:hAnsi="Palatino Linotype" w:cs="Palatino Linotype"/>
          <w:i/>
          <w:sz w:val="22"/>
          <w:szCs w:val="22"/>
        </w:rPr>
        <w:t>consecuencia</w:t>
      </w:r>
      <w:proofErr w:type="gramEnd"/>
      <w:r w:rsidRPr="00B06FA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6634E3F" w14:textId="77777777" w:rsidR="00A61EB9" w:rsidRPr="00B06FAA" w:rsidRDefault="003B4C23">
      <w:pP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06FAA">
        <w:rPr>
          <w:rFonts w:ascii="Palatino Linotype" w:eastAsia="Palatino Linotype" w:hAnsi="Palatino Linotype" w:cs="Palatino Linotype"/>
          <w:i/>
          <w:sz w:val="22"/>
          <w:szCs w:val="22"/>
        </w:rPr>
        <w:t>que</w:t>
      </w:r>
      <w:proofErr w:type="gramEnd"/>
      <w:r w:rsidRPr="00B06FAA">
        <w:rPr>
          <w:rFonts w:ascii="Palatino Linotype" w:eastAsia="Palatino Linotype" w:hAnsi="Palatino Linotype" w:cs="Palatino Linotype"/>
          <w:i/>
          <w:sz w:val="22"/>
          <w:szCs w:val="22"/>
        </w:rPr>
        <w:t xml:space="preserve"> en ejercicio de las atribuciones conferidas, sea generada por los Sujetos Obligados;</w:t>
      </w:r>
    </w:p>
    <w:p w14:paraId="7ABD7890" w14:textId="77777777" w:rsidR="00A61EB9" w:rsidRPr="00B06FAA" w:rsidRDefault="003B4C23">
      <w:pPr>
        <w:spacing w:line="360" w:lineRule="auto"/>
        <w:ind w:left="567" w:right="616"/>
        <w:jc w:val="both"/>
        <w:rPr>
          <w:rFonts w:ascii="Palatino Linotype" w:eastAsia="Palatino Linotype" w:hAnsi="Palatino Linotype" w:cs="Palatino Linotype"/>
          <w:b/>
          <w:i/>
          <w:sz w:val="22"/>
          <w:szCs w:val="22"/>
        </w:rPr>
      </w:pPr>
      <w:r w:rsidRPr="00B06FAA">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B06FAA">
        <w:rPr>
          <w:rFonts w:ascii="Palatino Linotype" w:eastAsia="Palatino Linotype" w:hAnsi="Palatino Linotype" w:cs="Palatino Linotype"/>
          <w:b/>
          <w:i/>
          <w:sz w:val="22"/>
          <w:szCs w:val="22"/>
        </w:rPr>
        <w:t>que</w:t>
      </w:r>
      <w:proofErr w:type="gramEnd"/>
      <w:r w:rsidRPr="00B06FAA">
        <w:rPr>
          <w:rFonts w:ascii="Palatino Linotype" w:eastAsia="Palatino Linotype" w:hAnsi="Palatino Linotype" w:cs="Palatino Linotype"/>
          <w:b/>
          <w:i/>
          <w:sz w:val="22"/>
          <w:szCs w:val="22"/>
        </w:rPr>
        <w:t xml:space="preserve"> en ejercicio de las atribuciones conferidas, sea administrada por los Sujetos Obligados, y</w:t>
      </w:r>
    </w:p>
    <w:p w14:paraId="51C7168F" w14:textId="77777777" w:rsidR="00A61EB9" w:rsidRPr="00B06FAA" w:rsidRDefault="003B4C23">
      <w:pPr>
        <w:spacing w:line="360" w:lineRule="auto"/>
        <w:ind w:left="567" w:right="616"/>
        <w:jc w:val="both"/>
        <w:rPr>
          <w:rFonts w:ascii="Palatino Linotype" w:eastAsia="Palatino Linotype" w:hAnsi="Palatino Linotype" w:cs="Palatino Linotype"/>
          <w:b/>
          <w:i/>
          <w:sz w:val="22"/>
          <w:szCs w:val="22"/>
        </w:rPr>
      </w:pPr>
      <w:r w:rsidRPr="00B06FAA">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B06FAA">
        <w:rPr>
          <w:rFonts w:ascii="Palatino Linotype" w:eastAsia="Palatino Linotype" w:hAnsi="Palatino Linotype" w:cs="Palatino Linotype"/>
          <w:b/>
          <w:i/>
          <w:sz w:val="22"/>
          <w:szCs w:val="22"/>
        </w:rPr>
        <w:t>que</w:t>
      </w:r>
      <w:proofErr w:type="gramEnd"/>
      <w:r w:rsidRPr="00B06FAA">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DB95BAA" w14:textId="77777777" w:rsidR="00A61EB9" w:rsidRPr="00B06FAA" w:rsidRDefault="00A61EB9">
      <w:pPr>
        <w:spacing w:line="360" w:lineRule="auto"/>
        <w:ind w:right="-93"/>
        <w:jc w:val="both"/>
        <w:rPr>
          <w:rFonts w:ascii="Palatino Linotype" w:eastAsia="Palatino Linotype" w:hAnsi="Palatino Linotype" w:cs="Palatino Linotype"/>
          <w:sz w:val="22"/>
          <w:szCs w:val="22"/>
        </w:rPr>
      </w:pPr>
    </w:p>
    <w:p w14:paraId="2AFE824B" w14:textId="77777777" w:rsidR="00A61EB9" w:rsidRPr="00B06FAA" w:rsidRDefault="003B4C2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IX del artículo 179 de la Ley de Transparencia y Acceso a la Información del Estado de México y Municipios, relativa a entrega o puesta a disposición de información en un formato incomprensible y/o no accesible para el solicitante.</w:t>
      </w:r>
    </w:p>
    <w:p w14:paraId="00D9428E" w14:textId="77777777" w:rsidR="00A61EB9" w:rsidRPr="00B06FAA" w:rsidRDefault="00A61E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9DAE3C1" w14:textId="77777777" w:rsidR="00A61EB9" w:rsidRPr="00B06FAA" w:rsidRDefault="003B4C2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 principio, resulta conveniente recordar que la pretensión del Recurrente, frente a la información que proporcionó el Sujeto Obligado:</w:t>
      </w:r>
    </w:p>
    <w:p w14:paraId="4D60365C" w14:textId="77777777" w:rsidR="00A61EB9" w:rsidRPr="00B06FAA" w:rsidRDefault="00A61E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tbl>
      <w:tblPr>
        <w:tblStyle w:val="af1"/>
        <w:tblW w:w="89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685"/>
        <w:gridCol w:w="1701"/>
      </w:tblGrid>
      <w:tr w:rsidR="00B06FAA" w:rsidRPr="00B06FAA" w14:paraId="38C117AF" w14:textId="77777777">
        <w:tc>
          <w:tcPr>
            <w:tcW w:w="3539" w:type="dxa"/>
            <w:shd w:val="clear" w:color="auto" w:fill="E7E6E6"/>
          </w:tcPr>
          <w:p w14:paraId="7F124531" w14:textId="77777777" w:rsidR="00A61EB9" w:rsidRPr="00B06FAA" w:rsidRDefault="003B4C23">
            <w:pPr>
              <w:tabs>
                <w:tab w:val="left" w:pos="2563"/>
              </w:tabs>
              <w:spacing w:line="360" w:lineRule="auto"/>
              <w:ind w:right="145"/>
              <w:jc w:val="center"/>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Requerimiento</w:t>
            </w:r>
          </w:p>
        </w:tc>
        <w:tc>
          <w:tcPr>
            <w:tcW w:w="3685" w:type="dxa"/>
            <w:shd w:val="clear" w:color="auto" w:fill="E7E6E6"/>
          </w:tcPr>
          <w:p w14:paraId="7AF5622E" w14:textId="77777777" w:rsidR="00A61EB9" w:rsidRPr="00B06FAA" w:rsidRDefault="003B4C23">
            <w:pPr>
              <w:spacing w:line="360" w:lineRule="auto"/>
              <w:ind w:right="-30"/>
              <w:jc w:val="center"/>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Información proporcionada</w:t>
            </w:r>
          </w:p>
        </w:tc>
        <w:tc>
          <w:tcPr>
            <w:tcW w:w="1701" w:type="dxa"/>
            <w:shd w:val="clear" w:color="auto" w:fill="E7E6E6"/>
          </w:tcPr>
          <w:p w14:paraId="32C488CE" w14:textId="77777777" w:rsidR="00A61EB9" w:rsidRPr="00B06FAA" w:rsidRDefault="003B4C23">
            <w:pPr>
              <w:spacing w:line="360" w:lineRule="auto"/>
              <w:ind w:right="-150"/>
              <w:jc w:val="center"/>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¿Colma?</w:t>
            </w:r>
          </w:p>
        </w:tc>
      </w:tr>
      <w:tr w:rsidR="00B06FAA" w:rsidRPr="00B06FAA" w14:paraId="6ECCE464" w14:textId="77777777">
        <w:tc>
          <w:tcPr>
            <w:tcW w:w="3539" w:type="dxa"/>
          </w:tcPr>
          <w:p w14:paraId="62B66E09" w14:textId="77777777" w:rsidR="00A61EB9" w:rsidRPr="00B06FAA" w:rsidRDefault="003B4C23">
            <w:pPr>
              <w:tabs>
                <w:tab w:val="left" w:pos="2563"/>
              </w:tabs>
              <w:spacing w:line="360" w:lineRule="auto"/>
              <w:ind w:right="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Última y más reciente evidencia de la conciliación físico contable de los bienes muebles e inmuebles, </w:t>
            </w:r>
          </w:p>
        </w:tc>
        <w:tc>
          <w:tcPr>
            <w:tcW w:w="3685" w:type="dxa"/>
          </w:tcPr>
          <w:p w14:paraId="0BA84AD4" w14:textId="77777777" w:rsidR="00A61EB9" w:rsidRPr="00B06FAA" w:rsidRDefault="003B4C23">
            <w:pPr>
              <w:spacing w:line="360" w:lineRule="auto"/>
              <w:ind w:right="3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Conciliación Físico Contable de Bienes Muebles e Inmuebles del uno de enero al treinta y uno de agosto de dos mil veinticuatro.</w:t>
            </w:r>
          </w:p>
        </w:tc>
        <w:tc>
          <w:tcPr>
            <w:tcW w:w="1701" w:type="dxa"/>
          </w:tcPr>
          <w:p w14:paraId="524B6EA5" w14:textId="77777777" w:rsidR="00A61EB9" w:rsidRPr="00B06FAA" w:rsidRDefault="003B4C23">
            <w:pPr>
              <w:spacing w:line="360" w:lineRule="auto"/>
              <w:ind w:right="-150"/>
              <w:jc w:val="center"/>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Parcialmente.</w:t>
            </w:r>
          </w:p>
          <w:p w14:paraId="32E0A2A8" w14:textId="77777777" w:rsidR="00A61EB9" w:rsidRPr="00B06FAA" w:rsidRDefault="003B4C23">
            <w:pPr>
              <w:spacing w:line="360" w:lineRule="auto"/>
              <w:ind w:right="-150"/>
              <w:jc w:val="center"/>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Información poco legible.</w:t>
            </w:r>
          </w:p>
        </w:tc>
      </w:tr>
      <w:tr w:rsidR="00B06FAA" w:rsidRPr="00B06FAA" w14:paraId="20969987" w14:textId="77777777">
        <w:tc>
          <w:tcPr>
            <w:tcW w:w="3539" w:type="dxa"/>
          </w:tcPr>
          <w:p w14:paraId="4562B69B" w14:textId="77777777" w:rsidR="00A61EB9" w:rsidRPr="00B06FAA" w:rsidRDefault="003B4C23">
            <w:pPr>
              <w:tabs>
                <w:tab w:val="left" w:pos="2563"/>
              </w:tabs>
              <w:spacing w:line="360" w:lineRule="auto"/>
              <w:ind w:right="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lastRenderedPageBreak/>
              <w:t xml:space="preserve">Nombres de los servidores públicos que participaron en la conciliación </w:t>
            </w:r>
          </w:p>
        </w:tc>
        <w:tc>
          <w:tcPr>
            <w:tcW w:w="3685" w:type="dxa"/>
          </w:tcPr>
          <w:p w14:paraId="77042FE6" w14:textId="77777777" w:rsidR="00A61EB9" w:rsidRPr="00B06FAA" w:rsidRDefault="003B4C23">
            <w:pPr>
              <w:spacing w:line="360" w:lineRule="auto"/>
              <w:ind w:right="3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Entregó el nombre de 3 servidores públicos con los siguientes cargos:</w:t>
            </w:r>
          </w:p>
          <w:p w14:paraId="76AE715A" w14:textId="77777777" w:rsidR="00A61EB9" w:rsidRPr="00B06FAA" w:rsidRDefault="00A61EB9">
            <w:pPr>
              <w:spacing w:line="360" w:lineRule="auto"/>
              <w:ind w:right="34"/>
              <w:jc w:val="both"/>
              <w:rPr>
                <w:rFonts w:ascii="Palatino Linotype" w:eastAsia="Palatino Linotype" w:hAnsi="Palatino Linotype" w:cs="Palatino Linotype"/>
                <w:sz w:val="22"/>
                <w:szCs w:val="22"/>
              </w:rPr>
            </w:pPr>
          </w:p>
          <w:p w14:paraId="1D3F91FE" w14:textId="77777777" w:rsidR="00A61EB9" w:rsidRPr="00B06FAA" w:rsidRDefault="003B4C23">
            <w:pPr>
              <w:numPr>
                <w:ilvl w:val="0"/>
                <w:numId w:val="4"/>
              </w:numPr>
              <w:pBdr>
                <w:top w:val="nil"/>
                <w:left w:val="nil"/>
                <w:bottom w:val="nil"/>
                <w:right w:val="nil"/>
                <w:between w:val="nil"/>
              </w:pBdr>
              <w:spacing w:line="360" w:lineRule="auto"/>
              <w:ind w:left="206" w:right="34" w:hanging="206"/>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Encargado del Departamento de Servicios Generales;</w:t>
            </w:r>
          </w:p>
          <w:p w14:paraId="2AD08056" w14:textId="77777777" w:rsidR="00A61EB9" w:rsidRPr="00B06FAA" w:rsidRDefault="003B4C23">
            <w:pPr>
              <w:numPr>
                <w:ilvl w:val="0"/>
                <w:numId w:val="4"/>
              </w:numPr>
              <w:pBdr>
                <w:top w:val="nil"/>
                <w:left w:val="nil"/>
                <w:bottom w:val="nil"/>
                <w:right w:val="nil"/>
                <w:between w:val="nil"/>
              </w:pBdr>
              <w:spacing w:line="360" w:lineRule="auto"/>
              <w:ind w:left="206" w:right="34" w:hanging="206"/>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Encargado de la Subdirección de Administración;</w:t>
            </w:r>
          </w:p>
          <w:p w14:paraId="1BD82C86" w14:textId="77777777" w:rsidR="00A61EB9" w:rsidRPr="00B06FAA" w:rsidRDefault="003B4C23">
            <w:pPr>
              <w:numPr>
                <w:ilvl w:val="0"/>
                <w:numId w:val="4"/>
              </w:numPr>
              <w:pBdr>
                <w:top w:val="nil"/>
                <w:left w:val="nil"/>
                <w:bottom w:val="nil"/>
                <w:right w:val="nil"/>
                <w:between w:val="nil"/>
              </w:pBdr>
              <w:spacing w:line="360" w:lineRule="auto"/>
              <w:ind w:left="206" w:right="34" w:hanging="206"/>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Director de Administración y Finanzas.</w:t>
            </w:r>
          </w:p>
        </w:tc>
        <w:tc>
          <w:tcPr>
            <w:tcW w:w="1701" w:type="dxa"/>
          </w:tcPr>
          <w:p w14:paraId="4F30DCE2" w14:textId="77777777" w:rsidR="00A61EB9" w:rsidRPr="00B06FAA" w:rsidRDefault="003B4C23">
            <w:pPr>
              <w:spacing w:line="360" w:lineRule="auto"/>
              <w:ind w:right="-150"/>
              <w:jc w:val="center"/>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Si colma</w:t>
            </w:r>
          </w:p>
        </w:tc>
      </w:tr>
      <w:tr w:rsidR="00B06FAA" w:rsidRPr="00B06FAA" w14:paraId="787E631F" w14:textId="77777777">
        <w:tc>
          <w:tcPr>
            <w:tcW w:w="3539" w:type="dxa"/>
          </w:tcPr>
          <w:p w14:paraId="4C8C9833" w14:textId="77777777" w:rsidR="00A61EB9" w:rsidRPr="00B06FAA" w:rsidRDefault="003B4C23">
            <w:pPr>
              <w:tabs>
                <w:tab w:val="left" w:pos="2563"/>
              </w:tabs>
              <w:spacing w:line="360" w:lineRule="auto"/>
              <w:ind w:right="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Auxiliares contables que se usaron para dicha conciliación;</w:t>
            </w:r>
          </w:p>
        </w:tc>
        <w:tc>
          <w:tcPr>
            <w:tcW w:w="3685" w:type="dxa"/>
          </w:tcPr>
          <w:p w14:paraId="48B7B34B" w14:textId="77777777" w:rsidR="00A61EB9" w:rsidRPr="00B06FAA" w:rsidRDefault="003B4C23">
            <w:pPr>
              <w:spacing w:line="360" w:lineRule="auto"/>
              <w:ind w:right="3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Entregó el Auxiliar del Libro Mayor de Agosto de las Cuentas del Activo el cual consta de una foja.</w:t>
            </w:r>
          </w:p>
        </w:tc>
        <w:tc>
          <w:tcPr>
            <w:tcW w:w="1701" w:type="dxa"/>
          </w:tcPr>
          <w:p w14:paraId="4A662B1F" w14:textId="77777777" w:rsidR="00A61EB9" w:rsidRPr="00B06FAA" w:rsidRDefault="003B4C23">
            <w:pPr>
              <w:spacing w:line="360" w:lineRule="auto"/>
              <w:ind w:right="-150"/>
              <w:jc w:val="center"/>
              <w:rPr>
                <w:rFonts w:ascii="Palatino Linotype" w:eastAsia="Palatino Linotype" w:hAnsi="Palatino Linotype" w:cs="Palatino Linotype"/>
                <w:b/>
                <w:sz w:val="22"/>
                <w:szCs w:val="22"/>
              </w:rPr>
            </w:pPr>
            <w:r w:rsidRPr="00B06FAA">
              <w:rPr>
                <w:rFonts w:ascii="Palatino Linotype" w:eastAsia="Palatino Linotype" w:hAnsi="Palatino Linotype" w:cs="Palatino Linotype"/>
                <w:b/>
                <w:sz w:val="22"/>
                <w:szCs w:val="22"/>
              </w:rPr>
              <w:t xml:space="preserve">Parcialmente. </w:t>
            </w:r>
          </w:p>
          <w:p w14:paraId="4C912D29" w14:textId="77777777" w:rsidR="00A61EB9" w:rsidRPr="00B06FAA" w:rsidRDefault="003B4C23">
            <w:pPr>
              <w:spacing w:line="360" w:lineRule="auto"/>
              <w:ind w:right="-150"/>
              <w:jc w:val="center"/>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Es ilegible el documento</w:t>
            </w:r>
          </w:p>
        </w:tc>
      </w:tr>
      <w:tr w:rsidR="00A61EB9" w:rsidRPr="00B06FAA" w14:paraId="1653470E" w14:textId="77777777">
        <w:tc>
          <w:tcPr>
            <w:tcW w:w="3539" w:type="dxa"/>
          </w:tcPr>
          <w:p w14:paraId="23AD8550" w14:textId="77777777" w:rsidR="00A61EB9" w:rsidRPr="00B06FAA" w:rsidRDefault="003B4C23">
            <w:pPr>
              <w:tabs>
                <w:tab w:val="left" w:pos="2563"/>
              </w:tabs>
              <w:spacing w:line="360" w:lineRule="auto"/>
              <w:ind w:right="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Acta de trabajo que se llevó a cabo.</w:t>
            </w:r>
          </w:p>
        </w:tc>
        <w:tc>
          <w:tcPr>
            <w:tcW w:w="3685" w:type="dxa"/>
          </w:tcPr>
          <w:p w14:paraId="52E01B03" w14:textId="77777777" w:rsidR="00A61EB9" w:rsidRPr="00B06FAA" w:rsidRDefault="003B4C23">
            <w:pPr>
              <w:spacing w:line="360" w:lineRule="auto"/>
              <w:ind w:right="3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No se suscriben actas de trabajo.</w:t>
            </w:r>
          </w:p>
        </w:tc>
        <w:tc>
          <w:tcPr>
            <w:tcW w:w="1701" w:type="dxa"/>
          </w:tcPr>
          <w:p w14:paraId="7A7930D5" w14:textId="77777777" w:rsidR="00A61EB9" w:rsidRPr="00B06FAA" w:rsidRDefault="003B4C23">
            <w:pPr>
              <w:spacing w:line="360" w:lineRule="auto"/>
              <w:ind w:right="-150"/>
              <w:jc w:val="center"/>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Si colma.</w:t>
            </w:r>
          </w:p>
        </w:tc>
      </w:tr>
    </w:tbl>
    <w:p w14:paraId="13D99850" w14:textId="77777777" w:rsidR="00A61EB9" w:rsidRPr="00B06FAA" w:rsidRDefault="00A61E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DB4FFB2"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Por lo que corresponde al nombre de los servidores públicos que participaron en la conciliación el Sujeto Obligado indicó el nombre de tres servidores públicos con el cargo que ostentan, los mismos firman como autoridades responsables, por lo que la información que se proporcionó corresponde con los documentos remitidos, por lo que se atiende dicho requerimiento.</w:t>
      </w:r>
    </w:p>
    <w:p w14:paraId="43C1FFD8"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480D372"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En lo que respecta al acta de trabajo que se llevó a cabo, el Sujeto Obligado a través de la Dirección de Administración manifestó que no se suscriben actas de trabajo, con dicho pronunciamiento del área competente es que se determina que estamos en presencia de lo que se conoce como hechos negativos. </w:t>
      </w:r>
    </w:p>
    <w:p w14:paraId="5D3C64F3"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0F9A261" w14:textId="77777777" w:rsidR="00A61EB9" w:rsidRPr="00B06FAA" w:rsidRDefault="003B4C2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lastRenderedPageBreak/>
        <w:t>Lo anterior encuentra sustento con la Jurisprudencia 267,287 y el Criterio 10/2004 emitidos por el Máximo Juzgador del país, Tesis que determinan lo siguiente:</w:t>
      </w:r>
    </w:p>
    <w:p w14:paraId="33D756DB" w14:textId="77777777" w:rsidR="00A61EB9" w:rsidRPr="00B06FAA" w:rsidRDefault="00A61EB9">
      <w:pPr>
        <w:pBdr>
          <w:top w:val="nil"/>
          <w:left w:val="nil"/>
          <w:bottom w:val="nil"/>
          <w:right w:val="nil"/>
          <w:between w:val="nil"/>
        </w:pBdr>
        <w:ind w:left="708"/>
        <w:rPr>
          <w:rFonts w:ascii="Palatino Linotype" w:eastAsia="Palatino Linotype" w:hAnsi="Palatino Linotype" w:cs="Palatino Linotype"/>
          <w:i/>
          <w:sz w:val="22"/>
          <w:szCs w:val="22"/>
        </w:rPr>
      </w:pPr>
    </w:p>
    <w:p w14:paraId="672BCD86" w14:textId="77777777" w:rsidR="00A61EB9" w:rsidRPr="00B06FAA" w:rsidRDefault="003B4C23">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r w:rsidRPr="00B06FAA">
        <w:rPr>
          <w:rFonts w:ascii="Palatino Linotype" w:eastAsia="Palatino Linotype" w:hAnsi="Palatino Linotype" w:cs="Palatino Linotype"/>
          <w:b/>
          <w:i/>
          <w:sz w:val="22"/>
          <w:szCs w:val="22"/>
        </w:rPr>
        <w:t>HECHOS NEGATIVOS, NO SON SUSCEPTIBLES DE DEMOSTRACION.</w:t>
      </w:r>
      <w:r w:rsidRPr="00B06FAA">
        <w:rPr>
          <w:rFonts w:ascii="Palatino Linotype" w:eastAsia="Palatino Linotype" w:hAnsi="Palatino Linotype" w:cs="Palatino Linotype"/>
          <w:i/>
          <w:sz w:val="22"/>
          <w:szCs w:val="22"/>
        </w:rPr>
        <w:t xml:space="preserve"> </w:t>
      </w:r>
      <w:r w:rsidRPr="00B06FAA">
        <w:rPr>
          <w:rFonts w:ascii="Palatino Linotype" w:eastAsia="Palatino Linotype" w:hAnsi="Palatino Linotype" w:cs="Palatino Linotype"/>
          <w:b/>
          <w:i/>
          <w:sz w:val="22"/>
          <w:szCs w:val="22"/>
        </w:rPr>
        <w:t xml:space="preserve">Tratándose de un hecho negativo, el Juez no tiene </w:t>
      </w:r>
      <w:proofErr w:type="spellStart"/>
      <w:r w:rsidRPr="00B06FAA">
        <w:rPr>
          <w:rFonts w:ascii="Palatino Linotype" w:eastAsia="Palatino Linotype" w:hAnsi="Palatino Linotype" w:cs="Palatino Linotype"/>
          <w:b/>
          <w:i/>
          <w:sz w:val="22"/>
          <w:szCs w:val="22"/>
        </w:rPr>
        <w:t>por que</w:t>
      </w:r>
      <w:proofErr w:type="spellEnd"/>
      <w:r w:rsidRPr="00B06FAA">
        <w:rPr>
          <w:rFonts w:ascii="Palatino Linotype" w:eastAsia="Palatino Linotype" w:hAnsi="Palatino Linotype" w:cs="Palatino Linotype"/>
          <w:b/>
          <w:i/>
          <w:sz w:val="22"/>
          <w:szCs w:val="22"/>
        </w:rPr>
        <w:t xml:space="preserve"> invocar prueba alguna de la que se desprenda</w:t>
      </w:r>
      <w:r w:rsidRPr="00B06FAA">
        <w:rPr>
          <w:rFonts w:ascii="Palatino Linotype" w:eastAsia="Palatino Linotype" w:hAnsi="Palatino Linotype" w:cs="Palatino Linotype"/>
          <w:i/>
          <w:sz w:val="22"/>
          <w:szCs w:val="22"/>
        </w:rPr>
        <w:t>, ya que es bien sabido que esta clase de hechos no son susceptibles de demostración.”</w:t>
      </w:r>
    </w:p>
    <w:p w14:paraId="16786FD7" w14:textId="77777777" w:rsidR="00A61EB9" w:rsidRPr="00B06FAA" w:rsidRDefault="003B4C23">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r w:rsidRPr="00B06FAA">
        <w:rPr>
          <w:rFonts w:ascii="Palatino Linotype" w:eastAsia="Palatino Linotype" w:hAnsi="Palatino Linotype" w:cs="Palatino Linotype"/>
          <w:b/>
          <w:i/>
          <w:sz w:val="22"/>
          <w:szCs w:val="22"/>
        </w:rPr>
        <w:t>INEXISTENCIA DE LA INFORMACIÓN. EL COMITÉ DE ACCESO A LA INFORMACIÓN PUEDE DECLARARLA ANTE SU EVIDENCIA, SIN NECESIDAD DE DICTAR MEDIDAS PARA SU LOCALIZACIÓN.</w:t>
      </w:r>
      <w:r w:rsidRPr="00B06FAA">
        <w:rPr>
          <w:rFonts w:ascii="Palatino Linotype" w:eastAsia="Palatino Linotype" w:hAnsi="Palatino Linotype" w:cs="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B06FAA">
        <w:rPr>
          <w:rFonts w:ascii="Palatino Linotype" w:eastAsia="Palatino Linotype" w:hAnsi="Palatino Linotype" w:cs="Palatino Linotype"/>
          <w:b/>
          <w:i/>
          <w:sz w:val="22"/>
          <w:szCs w:val="22"/>
        </w:rPr>
        <w:t>ndo la referida Unidad señala, o</w:t>
      </w:r>
      <w:r w:rsidRPr="00B06FAA">
        <w:rPr>
          <w:rFonts w:ascii="Palatino Linotype" w:eastAsia="Palatino Linotype" w:hAnsi="Palatino Linotype" w:cs="Palatino Linotype"/>
          <w:i/>
          <w:sz w:val="22"/>
          <w:szCs w:val="22"/>
        </w:rPr>
        <w:t xml:space="preserve"> el mencionado Comité </w:t>
      </w:r>
      <w:r w:rsidRPr="00B06FAA">
        <w:rPr>
          <w:rFonts w:ascii="Palatino Linotype" w:eastAsia="Palatino Linotype" w:hAnsi="Palatino Linotype" w:cs="Palatino Linotype"/>
          <w:b/>
          <w:i/>
          <w:sz w:val="22"/>
          <w:szCs w:val="22"/>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B06FAA">
        <w:rPr>
          <w:rFonts w:ascii="Palatino Linotype" w:eastAsia="Palatino Linotype" w:hAnsi="Palatino Linotype" w:cs="Palatino Linotype"/>
          <w:i/>
          <w:sz w:val="22"/>
          <w:szCs w:val="22"/>
        </w:rPr>
        <w:t>”</w:t>
      </w:r>
    </w:p>
    <w:p w14:paraId="25673CA3" w14:textId="77777777" w:rsidR="00A61EB9" w:rsidRPr="00B06FAA" w:rsidRDefault="003B4C23">
      <w:pPr>
        <w:pBdr>
          <w:top w:val="nil"/>
          <w:left w:val="nil"/>
          <w:bottom w:val="nil"/>
          <w:right w:val="nil"/>
          <w:between w:val="nil"/>
        </w:pBdr>
        <w:tabs>
          <w:tab w:val="left" w:pos="426"/>
        </w:tabs>
        <w:ind w:left="567" w:right="567"/>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(Énfasis añadido)</w:t>
      </w:r>
    </w:p>
    <w:p w14:paraId="048DEF2B" w14:textId="77777777" w:rsidR="00A61EB9" w:rsidRPr="00B06FAA" w:rsidRDefault="00A61EB9">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sz w:val="22"/>
          <w:szCs w:val="22"/>
        </w:rPr>
      </w:pPr>
    </w:p>
    <w:p w14:paraId="541CEFB4" w14:textId="77777777" w:rsidR="00A61EB9" w:rsidRPr="00B06FAA" w:rsidRDefault="003B4C2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En consecuencia, al haber existido un pronunciamiento por el Sujeto Obligado a través del área competente respecto al nombre de los servidores públicos que participan en la conciliación físico contable de bienes muebles e inmuebles y la manifestación de que no se realizan actas de trabajo, es que no se puede dudar de la veracidad. Sirve de apoyo a lo </w:t>
      </w:r>
      <w:r w:rsidRPr="00B06FAA">
        <w:rPr>
          <w:rFonts w:ascii="Palatino Linotype" w:eastAsia="Palatino Linotype" w:hAnsi="Palatino Linotype" w:cs="Palatino Linotype"/>
          <w:sz w:val="22"/>
          <w:szCs w:val="22"/>
        </w:rPr>
        <w:lastRenderedPageBreak/>
        <w:t xml:space="preserve">anterior por analogía </w:t>
      </w:r>
      <w:r w:rsidRPr="00B06FAA">
        <w:rPr>
          <w:rFonts w:ascii="Palatino Linotype" w:eastAsia="Palatino Linotype" w:hAnsi="Palatino Linotype" w:cs="Palatino Linotype"/>
          <w:b/>
          <w:sz w:val="22"/>
          <w:szCs w:val="22"/>
        </w:rPr>
        <w:t xml:space="preserve">el criterio histórico 31-10 </w:t>
      </w:r>
      <w:r w:rsidRPr="00B06FAA">
        <w:rPr>
          <w:rFonts w:ascii="Palatino Linotype" w:eastAsia="Palatino Linotype" w:hAnsi="Palatino Linotype" w:cs="Palatino Linotype"/>
          <w:sz w:val="22"/>
          <w:szCs w:val="22"/>
        </w:rPr>
        <w:t xml:space="preserve">emitido por el entonces Instituto Federal de Acceso a la Información y Protección de Datos, que a la letra dice: </w:t>
      </w:r>
    </w:p>
    <w:p w14:paraId="7524B73C" w14:textId="77777777" w:rsidR="00A61EB9" w:rsidRPr="00B06FAA" w:rsidRDefault="003B4C23">
      <w:pPr>
        <w:pBdr>
          <w:top w:val="nil"/>
          <w:left w:val="nil"/>
          <w:bottom w:val="nil"/>
          <w:right w:val="nil"/>
          <w:between w:val="nil"/>
        </w:pBdr>
        <w:tabs>
          <w:tab w:val="left" w:pos="1740"/>
        </w:tabs>
        <w:ind w:left="708"/>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ab/>
      </w:r>
    </w:p>
    <w:p w14:paraId="1C9679C0" w14:textId="77777777" w:rsidR="00A61EB9" w:rsidRPr="00B06FAA" w:rsidRDefault="003B4C23">
      <w:pPr>
        <w:ind w:left="567" w:right="567"/>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B06FAA">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3C98574" w14:textId="77777777" w:rsidR="00A61EB9" w:rsidRPr="00B06FAA" w:rsidRDefault="003B4C23">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Este Órgano Garante carece de facultades para dudar de la veracidad sobre la información proporcionada por el Sujeto Obligado, en consecuencia, deben declararse atendidos dichos requerimientos.</w:t>
      </w:r>
    </w:p>
    <w:p w14:paraId="751190A6"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Refuerza lo anterior que el área que dio respuesta a la solicitud es la Dirección de Administración, por lo que, es necesario traer a contexto la Ley que Crea el Organismo Público Descentralizado Denominado Instituto de la Función Registral del Estado de México, dicha normatividad establece lo siguiente:</w:t>
      </w:r>
    </w:p>
    <w:p w14:paraId="3DE72485"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770D1AA" w14:textId="77777777" w:rsidR="00A61EB9" w:rsidRPr="00B06FAA" w:rsidRDefault="003B4C2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227B15200 SUBDIRECCIÓN DE ADMINISTRACIÓN</w:t>
      </w:r>
    </w:p>
    <w:p w14:paraId="6E284E4E" w14:textId="77777777" w:rsidR="00A61EB9" w:rsidRPr="00B06FAA" w:rsidRDefault="00A61E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B510797" w14:textId="77777777" w:rsidR="00A61EB9" w:rsidRPr="00B06FAA" w:rsidRDefault="003B4C23">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B06FAA">
        <w:rPr>
          <w:rFonts w:ascii="Palatino Linotype" w:eastAsia="Palatino Linotype" w:hAnsi="Palatino Linotype" w:cs="Palatino Linotype"/>
          <w:i/>
          <w:sz w:val="22"/>
          <w:szCs w:val="22"/>
        </w:rPr>
        <w:t xml:space="preserve">OBJETIVO: Proporcionar a las unidades administrativas y Oficinas Registrales del Instituto los recursos humanos, materiales y servicios generales necesarios para el </w:t>
      </w:r>
      <w:r w:rsidRPr="00B06FAA">
        <w:rPr>
          <w:rFonts w:ascii="Palatino Linotype" w:eastAsia="Palatino Linotype" w:hAnsi="Palatino Linotype" w:cs="Palatino Linotype"/>
          <w:i/>
          <w:sz w:val="22"/>
          <w:szCs w:val="22"/>
        </w:rPr>
        <w:lastRenderedPageBreak/>
        <w:t xml:space="preserve">cumplimiento de sus funciones, </w:t>
      </w:r>
      <w:r w:rsidRPr="00B06FAA">
        <w:rPr>
          <w:rFonts w:ascii="Palatino Linotype" w:eastAsia="Palatino Linotype" w:hAnsi="Palatino Linotype" w:cs="Palatino Linotype"/>
          <w:b/>
          <w:i/>
          <w:sz w:val="22"/>
          <w:szCs w:val="22"/>
        </w:rPr>
        <w:t xml:space="preserve">así como coordinar la integración de inventarios de bienes muebles e inmuebles y supervisar su control. </w:t>
      </w:r>
    </w:p>
    <w:p w14:paraId="0E9CEC13"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En mérito de lo expuesto, resulta importante señalar que de la revisión al expediente electrónico se advierte que la unidad de transparencia turnó la solicitud al área con atribuciones, facultades y competencias. </w:t>
      </w:r>
    </w:p>
    <w:p w14:paraId="35193B91"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240EF907" w14:textId="77777777" w:rsidR="00A61EB9" w:rsidRPr="00B06FAA" w:rsidRDefault="003B4C23">
      <w:pPr>
        <w:spacing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6D7442BA" w14:textId="77777777" w:rsidR="00A61EB9" w:rsidRPr="00B06FAA" w:rsidRDefault="003B4C23">
      <w:pPr>
        <w:spacing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2030DAD3" w14:textId="77777777" w:rsidR="00A61EB9" w:rsidRPr="00B06FAA" w:rsidRDefault="003B4C23">
      <w:pPr>
        <w:spacing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0D4790DF" w14:textId="77777777" w:rsidR="00A61EB9" w:rsidRPr="00B06FAA" w:rsidRDefault="003B4C23">
      <w:pPr>
        <w:spacing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w:t>
      </w:r>
      <w:r w:rsidRPr="00B06FAA">
        <w:rPr>
          <w:rFonts w:ascii="Palatino Linotype" w:eastAsia="Palatino Linotype" w:hAnsi="Palatino Linotype" w:cs="Palatino Linotype"/>
          <w:sz w:val="22"/>
          <w:szCs w:val="22"/>
        </w:rPr>
        <w:lastRenderedPageBreak/>
        <w:t xml:space="preserve">documentación solicitada, con el fin de que proporcionen las expresiones documentales que se encuentren en sus archivos o que estén constreñidos a elaborar; </w:t>
      </w:r>
    </w:p>
    <w:p w14:paraId="0D8D61AE" w14:textId="77777777" w:rsidR="00A61EB9" w:rsidRPr="00B06FAA" w:rsidRDefault="003B4C23">
      <w:pPr>
        <w:spacing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03E8F933" w14:textId="77777777" w:rsidR="00A61EB9" w:rsidRPr="00B06FAA" w:rsidRDefault="003B4C23">
      <w:pPr>
        <w:spacing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BACDAB8"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 este orden de ideas, se reitera que la Unidad de Transparencia turnó la solicitud de información a la Dirección de Administración, por ser la unidad administrativa competente, ello de conformidad con la Ley que Crea al Organismo Público Descentralizado Denominado Instituto de la Función Registral del Estado de México</w:t>
      </w:r>
    </w:p>
    <w:p w14:paraId="514F795E"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 Por lo anterior, se advierte </w:t>
      </w:r>
      <w:proofErr w:type="gramStart"/>
      <w:r w:rsidRPr="00B06FAA">
        <w:rPr>
          <w:rFonts w:ascii="Palatino Linotype" w:eastAsia="Palatino Linotype" w:hAnsi="Palatino Linotype" w:cs="Palatino Linotype"/>
          <w:sz w:val="22"/>
          <w:szCs w:val="22"/>
        </w:rPr>
        <w:t>que</w:t>
      </w:r>
      <w:proofErr w:type="gramEnd"/>
      <w:r w:rsidRPr="00B06FAA">
        <w:rPr>
          <w:rFonts w:ascii="Palatino Linotype" w:eastAsia="Palatino Linotype" w:hAnsi="Palatino Linotype" w:cs="Palatino Linotype"/>
          <w:sz w:val="22"/>
          <w:szCs w:val="22"/>
        </w:rPr>
        <w:t xml:space="preserve"> en efecto, el área administrativa ante referida corresponde a la unidad administrativa que cuentan con atribuciones para generar, poseer y administrar la información sobre las conciliaciones físico contables de los bienes muebles e inmuebles.</w:t>
      </w:r>
    </w:p>
    <w:p w14:paraId="70EFF1A6"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01659BA"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Por lo que corresponde a la evidencia de la conciliación físico contable de los bienes muebles e inmuebles, así como los auxiliares contables utilizados, el recurrente se inconformó porque no son legibles y no se encuentran en formato Excel.</w:t>
      </w:r>
    </w:p>
    <w:p w14:paraId="347D081E"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BAD2EAE"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Derivado del agravio del particular, es necesario traer a contexto una imagen de referencia de la información remitida en respuesta por el Sujeto Obligado:</w:t>
      </w:r>
    </w:p>
    <w:p w14:paraId="7DE4A37F"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7613A9E"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noProof/>
          <w:sz w:val="22"/>
          <w:szCs w:val="22"/>
          <w:lang w:val="es-MX" w:eastAsia="es-MX"/>
        </w:rPr>
        <w:drawing>
          <wp:inline distT="0" distB="0" distL="0" distR="0" wp14:anchorId="03FC3857" wp14:editId="7E0A099D">
            <wp:extent cx="5612130" cy="4282440"/>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4282440"/>
                    </a:xfrm>
                    <a:prstGeom prst="rect">
                      <a:avLst/>
                    </a:prstGeom>
                    <a:ln/>
                  </pic:spPr>
                </pic:pic>
              </a:graphicData>
            </a:graphic>
          </wp:inline>
        </w:drawing>
      </w:r>
    </w:p>
    <w:p w14:paraId="7812A66C"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E877411"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Tal y como se aprecia, la información que remitió el Sujeto Obligado resulta ilegible. Al respecto a la ilegibilidad de los documentos es necesario indicar que, cuando los sujetos obligados entreguen información en respuesta a las solicitudes de acceso a la información pública, deben verificar que se encuentre en apego a lo que dispone el artículo 11 de la Ley </w:t>
      </w:r>
      <w:r w:rsidRPr="00B06FAA">
        <w:rPr>
          <w:rFonts w:ascii="Palatino Linotype" w:eastAsia="Palatino Linotype" w:hAnsi="Palatino Linotype" w:cs="Palatino Linotype"/>
          <w:sz w:val="22"/>
          <w:szCs w:val="22"/>
        </w:rPr>
        <w:lastRenderedPageBreak/>
        <w:t>de Transparencia y Acceso a la Información Pública del Estado de México y Municipios, el cual contiene lo siguiente:</w:t>
      </w:r>
    </w:p>
    <w:p w14:paraId="2D7CB3AD" w14:textId="77777777" w:rsidR="00A61EB9" w:rsidRPr="00B06FAA" w:rsidRDefault="00A61EB9">
      <w:pPr>
        <w:pBdr>
          <w:top w:val="nil"/>
          <w:left w:val="nil"/>
          <w:bottom w:val="nil"/>
          <w:right w:val="nil"/>
          <w:between w:val="nil"/>
        </w:pBdr>
        <w:ind w:left="708"/>
        <w:rPr>
          <w:rFonts w:ascii="Palatino Linotype" w:eastAsia="Palatino Linotype" w:hAnsi="Palatino Linotype" w:cs="Palatino Linotype"/>
          <w:sz w:val="22"/>
          <w:szCs w:val="22"/>
        </w:rPr>
      </w:pPr>
    </w:p>
    <w:p w14:paraId="2405C54C" w14:textId="77777777" w:rsidR="00A61EB9" w:rsidRPr="00B06FAA" w:rsidRDefault="003B4C23">
      <w:pPr>
        <w:pBdr>
          <w:top w:val="nil"/>
          <w:left w:val="nil"/>
          <w:bottom w:val="nil"/>
          <w:right w:val="nil"/>
          <w:between w:val="nil"/>
        </w:pBdr>
        <w:spacing w:line="360" w:lineRule="auto"/>
        <w:ind w:left="567" w:right="822"/>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Artículo 11. En la generación, publicación y entrega de información se deberá garantizar que ésta sea accesible,</w:t>
      </w:r>
      <w:r w:rsidRPr="00B06FAA">
        <w:rPr>
          <w:rFonts w:ascii="Palatino Linotype" w:eastAsia="Palatino Linotype" w:hAnsi="Palatino Linotype" w:cs="Palatino Linotype"/>
          <w:i/>
          <w:sz w:val="22"/>
          <w:szCs w:val="22"/>
        </w:rPr>
        <w:t xml:space="preserv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0C6EB919" w14:textId="77777777" w:rsidR="00A61EB9" w:rsidRPr="00B06FAA" w:rsidRDefault="00A61EB9">
      <w:pPr>
        <w:spacing w:line="360" w:lineRule="auto"/>
        <w:ind w:right="822"/>
        <w:jc w:val="both"/>
        <w:rPr>
          <w:rFonts w:ascii="Palatino Linotype" w:eastAsia="Palatino Linotype" w:hAnsi="Palatino Linotype" w:cs="Palatino Linotype"/>
          <w:i/>
          <w:sz w:val="22"/>
          <w:szCs w:val="22"/>
        </w:rPr>
      </w:pPr>
    </w:p>
    <w:p w14:paraId="0EBFA84F" w14:textId="77777777" w:rsidR="00A61EB9" w:rsidRPr="00B06FAA" w:rsidRDefault="003B4C2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Tal y como se muestra en el precepto legal citado, en la entrega de la información se debe garantizar que esta sea accesible, lo cual se relaciona con el artículo 22 del mismo cuerpo normativo, el cual refiere lo siguiente:</w:t>
      </w:r>
    </w:p>
    <w:p w14:paraId="69A8A953" w14:textId="77777777" w:rsidR="00A61EB9" w:rsidRPr="00B06FAA" w:rsidRDefault="00A61EB9">
      <w:pPr>
        <w:pBdr>
          <w:top w:val="nil"/>
          <w:left w:val="nil"/>
          <w:bottom w:val="nil"/>
          <w:right w:val="nil"/>
          <w:between w:val="nil"/>
        </w:pBdr>
        <w:rPr>
          <w:rFonts w:ascii="Palatino Linotype" w:eastAsia="Palatino Linotype" w:hAnsi="Palatino Linotype" w:cs="Palatino Linotype"/>
          <w:sz w:val="22"/>
          <w:szCs w:val="22"/>
        </w:rPr>
      </w:pPr>
    </w:p>
    <w:p w14:paraId="0674D210" w14:textId="77777777" w:rsidR="00A61EB9" w:rsidRPr="00B06FAA" w:rsidRDefault="003B4C23">
      <w:pPr>
        <w:pBdr>
          <w:top w:val="nil"/>
          <w:left w:val="nil"/>
          <w:bottom w:val="nil"/>
          <w:right w:val="nil"/>
          <w:between w:val="nil"/>
        </w:pBdr>
        <w:tabs>
          <w:tab w:val="left" w:pos="426"/>
          <w:tab w:val="left" w:pos="851"/>
        </w:tabs>
        <w:spacing w:before="240" w:after="240" w:line="360" w:lineRule="auto"/>
        <w:ind w:left="567"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Artículo 22. En el procedimiento de acceso, entrega y publicación de la información se propiciarán las condiciones necesarias para que ésta sea accesible a cualquier persona</w:t>
      </w:r>
      <w:r w:rsidRPr="00B06FAA">
        <w:rPr>
          <w:rFonts w:ascii="Palatino Linotype" w:eastAsia="Palatino Linotype" w:hAnsi="Palatino Linotype" w:cs="Palatino Linotype"/>
          <w:i/>
          <w:sz w:val="22"/>
          <w:szCs w:val="22"/>
        </w:rPr>
        <w:t>, de conformidad con el artículo 5 de la Constitución Local y demás disposiciones de la materia.</w:t>
      </w:r>
    </w:p>
    <w:p w14:paraId="4AAB5B6C" w14:textId="77777777" w:rsidR="00A61EB9" w:rsidRPr="00B06FAA" w:rsidRDefault="003B4C23">
      <w:pPr>
        <w:pBdr>
          <w:top w:val="nil"/>
          <w:left w:val="nil"/>
          <w:bottom w:val="nil"/>
          <w:right w:val="nil"/>
          <w:between w:val="nil"/>
        </w:pBdr>
        <w:tabs>
          <w:tab w:val="left" w:pos="851"/>
        </w:tabs>
        <w:spacing w:before="240"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Al establecer “</w:t>
      </w:r>
      <w:r w:rsidRPr="00B06FAA">
        <w:rPr>
          <w:rFonts w:ascii="Palatino Linotype" w:eastAsia="Palatino Linotype" w:hAnsi="Palatino Linotype" w:cs="Palatino Linotype"/>
          <w:i/>
          <w:sz w:val="22"/>
          <w:szCs w:val="22"/>
        </w:rPr>
        <w:t>condiciones necesarias para que esta sea accesible</w:t>
      </w:r>
      <w:r w:rsidRPr="00B06FAA">
        <w:rPr>
          <w:rFonts w:ascii="Palatino Linotype" w:eastAsia="Palatino Linotype" w:hAnsi="Palatino Linotype" w:cs="Palatino Linotype"/>
          <w:sz w:val="22"/>
          <w:szCs w:val="22"/>
        </w:rPr>
        <w:t xml:space="preserve">”, abarca muchos factores, algunos más complejos y específicos como accesibilidad a personas con discapacidad o lenguas indígenas, como algunos más simples, como en el presente asunto en particular, que la información permita su lectura con un texto claro a la vista. </w:t>
      </w:r>
    </w:p>
    <w:p w14:paraId="2ADF0D23" w14:textId="77777777" w:rsidR="00A61EB9" w:rsidRPr="00B06FAA" w:rsidRDefault="00A61EB9">
      <w:p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sz w:val="22"/>
          <w:szCs w:val="22"/>
        </w:rPr>
      </w:pPr>
    </w:p>
    <w:p w14:paraId="4A07B575"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lastRenderedPageBreak/>
        <w:t>La información que proporcionen los Sujetos Obligados para dar cumplimiento al derecho de acceso a la información debe ser clara, precisa y completa, para cumplir en estricto sentido con el principio de accesibilidad, puesto que de lo contrario se restringe de manera ilegítima el derecho de los particulares al impedirles conocer el contenido de los documentos solicitados.</w:t>
      </w:r>
    </w:p>
    <w:p w14:paraId="24C916C2"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17ACE5E" w14:textId="77777777" w:rsidR="00A61EB9" w:rsidRPr="00B06FAA" w:rsidRDefault="003B4C2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Es así que, como se ha mencionado, la documentación remitida por el Sujeto Obligado no se encuentra conforme lo que dispone el artículo 11 de la Ley en la materia, en el sentido que las imágenes que proporciona son ilegibles, impidiendo que el Recurrente pueda acceder a la información requerida.</w:t>
      </w:r>
    </w:p>
    <w:p w14:paraId="6F4BC755" w14:textId="77777777" w:rsidR="00A61EB9" w:rsidRPr="00B06FAA" w:rsidRDefault="00A61EB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92B0A41" w14:textId="77777777" w:rsidR="00A61EB9" w:rsidRPr="00B06FAA" w:rsidRDefault="003B4C2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Sirve de sustento a lo anterior, el criterio orientador la tesis número II. 1°. C.T. 55 C, publicada en el Semanario Judicial de la Federación y su Gaceta bajo el número de 3 registro 201,412, que a la letra dice:</w:t>
      </w:r>
    </w:p>
    <w:p w14:paraId="13353B8E" w14:textId="77777777" w:rsidR="00A61EB9" w:rsidRPr="00B06FAA" w:rsidRDefault="00A61EB9">
      <w:pPr>
        <w:pBdr>
          <w:top w:val="nil"/>
          <w:left w:val="nil"/>
          <w:bottom w:val="nil"/>
          <w:right w:val="nil"/>
          <w:between w:val="nil"/>
        </w:pBdr>
        <w:ind w:left="708"/>
        <w:rPr>
          <w:rFonts w:ascii="Palatino Linotype" w:eastAsia="Palatino Linotype" w:hAnsi="Palatino Linotype" w:cs="Palatino Linotype"/>
          <w:sz w:val="22"/>
          <w:szCs w:val="22"/>
        </w:rPr>
      </w:pPr>
    </w:p>
    <w:p w14:paraId="7C3A6530" w14:textId="77777777" w:rsidR="00A61EB9" w:rsidRPr="00B06FAA" w:rsidRDefault="003B4C23">
      <w:pPr>
        <w:pBdr>
          <w:top w:val="nil"/>
          <w:left w:val="nil"/>
          <w:bottom w:val="nil"/>
          <w:right w:val="nil"/>
          <w:between w:val="nil"/>
        </w:pBdr>
        <w:spacing w:before="240" w:after="240" w:line="360" w:lineRule="auto"/>
        <w:ind w:left="426" w:right="616"/>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COTEJO DE COPIAS FOTOSTÁTICAS ILEGIBLES. AL NO SER POSIBLE CONSTATAR SU AUTENTICIDAD ES INÚTIL E INTRASCENDENTE SU PERFECCIONAMIENTO, POR LO QUE LA JUNTA ESTÁ IMPEDIDA PARA ORDENAR SU DESAHOGO.</w:t>
      </w:r>
      <w:r w:rsidRPr="00B06FAA">
        <w:rPr>
          <w:rFonts w:ascii="Palatino Linotype" w:eastAsia="Palatino Linotype" w:hAnsi="Palatino Linotype" w:cs="Palatino Linotype"/>
          <w:i/>
          <w:sz w:val="22"/>
          <w:szCs w:val="22"/>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w:t>
      </w:r>
      <w:r w:rsidRPr="00B06FAA">
        <w:rPr>
          <w:rFonts w:ascii="Palatino Linotype" w:eastAsia="Palatino Linotype" w:hAnsi="Palatino Linotype" w:cs="Palatino Linotype"/>
          <w:i/>
          <w:sz w:val="22"/>
          <w:szCs w:val="22"/>
        </w:rPr>
        <w:lastRenderedPageBreak/>
        <w:t>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6748E1E3"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20EC09E"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bookmarkStart w:id="2" w:name="_heading=h.1fob9te" w:colFirst="0" w:colLast="0"/>
      <w:bookmarkEnd w:id="2"/>
      <w:r w:rsidRPr="00B06FAA">
        <w:rPr>
          <w:rFonts w:ascii="Palatino Linotype" w:eastAsia="Palatino Linotype" w:hAnsi="Palatino Linotype" w:cs="Palatino Linotype"/>
          <w:sz w:val="22"/>
          <w:szCs w:val="22"/>
        </w:rPr>
        <w:t>No obstante, el Sujeto Obligado, a efecto de resarcir cualquier afectación al derecho del Recurrente, remitió a través del informe justificado remitió la misma información enviada en respuesta, ahora en una versión que permite conocer su contenido, atendiendo el agravio materia del recurso de revisión.</w:t>
      </w:r>
    </w:p>
    <w:p w14:paraId="3B00509B" w14:textId="77777777" w:rsidR="00A61EB9" w:rsidRPr="00B06FAA" w:rsidRDefault="00A61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62110AB" w14:textId="77777777" w:rsidR="00A61EB9" w:rsidRPr="00B06FAA" w:rsidRDefault="003B4C2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Además, no pasa desapercibido para este Organismo Garante que el Recurrente, en su acto impugnado amplió su solicitud requiriendo la información en formato xlsx, siendo que esta especificación no forma parte de lo requerido inicialmente, considerándose una petición adicional.</w:t>
      </w:r>
    </w:p>
    <w:p w14:paraId="0D89391B"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64607123" w14:textId="77777777" w:rsidR="00A61EB9" w:rsidRPr="00B06FAA" w:rsidRDefault="003B4C2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De este modo, en los motivos de inconformidad los recurrentes no pueden incluir situaciones novedosas o solicitudes de información nuevas</w:t>
      </w:r>
      <w:r w:rsidRPr="00B06FAA">
        <w:rPr>
          <w:rFonts w:ascii="Palatino Linotype" w:eastAsia="Palatino Linotype" w:hAnsi="Palatino Linotype" w:cs="Palatino Linotype"/>
          <w:sz w:val="22"/>
          <w:szCs w:val="22"/>
        </w:rPr>
        <w:t xml:space="preserve"> de las que el Sujeto Obligado no tuvo la oportunidad de conocer y por consiguiente producir un posicionamiento.</w:t>
      </w:r>
    </w:p>
    <w:p w14:paraId="62E12B9F" w14:textId="77777777" w:rsidR="00A61EB9" w:rsidRPr="00B06FAA" w:rsidRDefault="00A61EB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73535FC8" w14:textId="77777777" w:rsidR="00A61EB9" w:rsidRPr="00B06FAA" w:rsidRDefault="003B4C2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Es 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14:paraId="608E6082" w14:textId="77777777" w:rsidR="00A61EB9" w:rsidRPr="00B06FAA" w:rsidRDefault="00A61EB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511947F2" w14:textId="77777777" w:rsidR="00A61EB9" w:rsidRPr="00B06FAA" w:rsidRDefault="003B4C23">
      <w:pPr>
        <w:spacing w:line="360" w:lineRule="auto"/>
        <w:ind w:left="567" w:right="618"/>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Artículo 191. El recurso será desechado por improcedente cuando:</w:t>
      </w:r>
    </w:p>
    <w:p w14:paraId="51E9FE42" w14:textId="77777777" w:rsidR="00A61EB9" w:rsidRPr="00B06FAA" w:rsidRDefault="003B4C23">
      <w:pPr>
        <w:spacing w:line="360" w:lineRule="auto"/>
        <w:ind w:left="567" w:right="618"/>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lastRenderedPageBreak/>
        <w:t>…</w:t>
      </w:r>
    </w:p>
    <w:p w14:paraId="18CC00AC" w14:textId="77777777" w:rsidR="00A61EB9" w:rsidRPr="00B06FAA" w:rsidRDefault="003B4C23">
      <w:pPr>
        <w:spacing w:line="360" w:lineRule="auto"/>
        <w:ind w:left="567" w:right="618"/>
        <w:jc w:val="both"/>
        <w:rPr>
          <w:rFonts w:ascii="Palatino Linotype" w:eastAsia="Palatino Linotype" w:hAnsi="Palatino Linotype" w:cs="Palatino Linotype"/>
          <w:b/>
          <w:i/>
          <w:sz w:val="22"/>
          <w:szCs w:val="22"/>
          <w:u w:val="single"/>
        </w:rPr>
      </w:pPr>
      <w:r w:rsidRPr="00B06FAA">
        <w:rPr>
          <w:rFonts w:ascii="Palatino Linotype" w:eastAsia="Palatino Linotype" w:hAnsi="Palatino Linotype" w:cs="Palatino Linotype"/>
          <w:b/>
          <w:i/>
          <w:sz w:val="22"/>
          <w:szCs w:val="22"/>
        </w:rPr>
        <w:t xml:space="preserve">VII. El recurrente amplíe su solicitud en el recurso de revisión, </w:t>
      </w:r>
      <w:r w:rsidRPr="00B06FAA">
        <w:rPr>
          <w:rFonts w:ascii="Palatino Linotype" w:eastAsia="Palatino Linotype" w:hAnsi="Palatino Linotype" w:cs="Palatino Linotype"/>
          <w:b/>
          <w:i/>
          <w:sz w:val="22"/>
          <w:szCs w:val="22"/>
          <w:u w:val="single"/>
        </w:rPr>
        <w:t>únicamente respecto de los nuevos contenidos.</w:t>
      </w:r>
    </w:p>
    <w:p w14:paraId="65428007" w14:textId="77777777" w:rsidR="00A61EB9" w:rsidRPr="00B06FAA" w:rsidRDefault="00A61EB9">
      <w:pPr>
        <w:ind w:left="567" w:right="618"/>
        <w:jc w:val="both"/>
        <w:rPr>
          <w:rFonts w:ascii="Palatino Linotype" w:eastAsia="Palatino Linotype" w:hAnsi="Palatino Linotype" w:cs="Palatino Linotype"/>
          <w:b/>
          <w:i/>
          <w:sz w:val="22"/>
          <w:szCs w:val="22"/>
          <w:u w:val="single"/>
        </w:rPr>
      </w:pPr>
    </w:p>
    <w:p w14:paraId="43367990" w14:textId="77777777" w:rsidR="00A61EB9" w:rsidRPr="00B06FAA" w:rsidRDefault="003B4C23">
      <w:p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No obstante, a efecto de reparar cualquier afectación al derecho del particular respecto a la ilegibilidad y el formato del documento, el Sujeto Obligado, mediante el informe justificado envió la información relativa Libro Mayor (auxiliares) de las cuentas contables del Activo; y Los Archivos de Conciliación Físico Contable de Bienes Muebles e Inmuebles correspondientes al periodo comprendido del uno de enero al treinta y uno de agosto de dos mil veinticuatro, en forma legible y en formato xlsx, se inserta imagen de referencia:</w:t>
      </w:r>
    </w:p>
    <w:p w14:paraId="1BE26E2B" w14:textId="77777777" w:rsidR="00A61EB9" w:rsidRPr="00B06FAA" w:rsidRDefault="003B4C23">
      <w:pPr>
        <w:pBdr>
          <w:top w:val="nil"/>
          <w:left w:val="nil"/>
          <w:bottom w:val="nil"/>
          <w:right w:val="nil"/>
          <w:between w:val="nil"/>
        </w:pBdr>
        <w:spacing w:after="240" w:line="360" w:lineRule="auto"/>
        <w:jc w:val="center"/>
        <w:rPr>
          <w:rFonts w:ascii="Palatino Linotype" w:eastAsia="Palatino Linotype" w:hAnsi="Palatino Linotype" w:cs="Palatino Linotype"/>
          <w:sz w:val="22"/>
          <w:szCs w:val="22"/>
        </w:rPr>
      </w:pPr>
      <w:r w:rsidRPr="00B06FAA">
        <w:rPr>
          <w:rFonts w:ascii="Palatino Linotype" w:eastAsia="Palatino Linotype" w:hAnsi="Palatino Linotype" w:cs="Palatino Linotype"/>
          <w:noProof/>
          <w:sz w:val="22"/>
          <w:szCs w:val="22"/>
          <w:lang w:val="es-MX" w:eastAsia="es-MX"/>
        </w:rPr>
        <w:drawing>
          <wp:inline distT="0" distB="0" distL="0" distR="0" wp14:anchorId="621FCC16" wp14:editId="78E5522A">
            <wp:extent cx="4091489" cy="4050287"/>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091489" cy="4050287"/>
                    </a:xfrm>
                    <a:prstGeom prst="rect">
                      <a:avLst/>
                    </a:prstGeom>
                    <a:ln/>
                  </pic:spPr>
                </pic:pic>
              </a:graphicData>
            </a:graphic>
          </wp:inline>
        </w:drawing>
      </w:r>
    </w:p>
    <w:p w14:paraId="58A92DD4"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lastRenderedPageBreak/>
        <w:t>Corolario a lo anterior, se estima que el presente caso actualiza el supuesto previsto en el artículo 192, fracción III de la Ley de Transparencia y Acceso a la Información Pública del Estado de México y Municipios vigente, a saber:</w:t>
      </w:r>
    </w:p>
    <w:p w14:paraId="6D4FFF6C" w14:textId="77777777" w:rsidR="00A61EB9" w:rsidRPr="00B06FAA" w:rsidRDefault="003B4C23">
      <w:pPr>
        <w:spacing w:before="240" w:after="240"/>
        <w:ind w:left="851" w:right="900"/>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r w:rsidRPr="00B06FAA">
        <w:rPr>
          <w:rFonts w:ascii="Palatino Linotype" w:eastAsia="Palatino Linotype" w:hAnsi="Palatino Linotype" w:cs="Palatino Linotype"/>
          <w:b/>
          <w:i/>
          <w:sz w:val="22"/>
          <w:szCs w:val="22"/>
        </w:rPr>
        <w:t>Artículo 192</w:t>
      </w:r>
      <w:r w:rsidRPr="00B06FAA">
        <w:rPr>
          <w:rFonts w:ascii="Palatino Linotype" w:eastAsia="Palatino Linotype" w:hAnsi="Palatino Linotype" w:cs="Palatino Linotype"/>
          <w:i/>
          <w:sz w:val="22"/>
          <w:szCs w:val="22"/>
        </w:rPr>
        <w:t xml:space="preserve">. </w:t>
      </w:r>
      <w:r w:rsidRPr="00B06FAA">
        <w:rPr>
          <w:rFonts w:ascii="Palatino Linotype" w:eastAsia="Palatino Linotype" w:hAnsi="Palatino Linotype" w:cs="Palatino Linotype"/>
          <w:b/>
          <w:i/>
          <w:sz w:val="22"/>
          <w:szCs w:val="22"/>
        </w:rPr>
        <w:t>El recurso será sobreseído</w:t>
      </w:r>
      <w:r w:rsidRPr="00B06FAA">
        <w:rPr>
          <w:rFonts w:ascii="Palatino Linotype" w:eastAsia="Palatino Linotype" w:hAnsi="Palatino Linotype" w:cs="Palatino Linotype"/>
          <w:i/>
          <w:sz w:val="22"/>
          <w:szCs w:val="22"/>
        </w:rPr>
        <w:t xml:space="preserve">, </w:t>
      </w:r>
      <w:r w:rsidRPr="00B06FAA">
        <w:rPr>
          <w:rFonts w:ascii="Palatino Linotype" w:eastAsia="Palatino Linotype" w:hAnsi="Palatino Linotype" w:cs="Palatino Linotype"/>
          <w:b/>
          <w:i/>
          <w:sz w:val="22"/>
          <w:szCs w:val="22"/>
        </w:rPr>
        <w:t>en todo o en parte,</w:t>
      </w:r>
      <w:r w:rsidRPr="00B06FAA">
        <w:rPr>
          <w:rFonts w:ascii="Palatino Linotype" w:eastAsia="Palatino Linotype" w:hAnsi="Palatino Linotype" w:cs="Palatino Linotype"/>
          <w:i/>
          <w:sz w:val="22"/>
          <w:szCs w:val="22"/>
        </w:rPr>
        <w:t xml:space="preserve"> </w:t>
      </w:r>
      <w:r w:rsidRPr="00B06FAA">
        <w:rPr>
          <w:rFonts w:ascii="Palatino Linotype" w:eastAsia="Palatino Linotype" w:hAnsi="Palatino Linotype" w:cs="Palatino Linotype"/>
          <w:b/>
          <w:i/>
          <w:sz w:val="22"/>
          <w:szCs w:val="22"/>
        </w:rPr>
        <w:t>cuando una vez admitido, se actualicen alguno de los siguientes supuestos</w:t>
      </w:r>
      <w:r w:rsidRPr="00B06FAA">
        <w:rPr>
          <w:rFonts w:ascii="Palatino Linotype" w:eastAsia="Palatino Linotype" w:hAnsi="Palatino Linotype" w:cs="Palatino Linotype"/>
          <w:i/>
          <w:sz w:val="22"/>
          <w:szCs w:val="22"/>
        </w:rPr>
        <w:t xml:space="preserve">: </w:t>
      </w:r>
    </w:p>
    <w:p w14:paraId="3106B12B" w14:textId="77777777" w:rsidR="00A61EB9" w:rsidRPr="00B06FAA" w:rsidRDefault="003B4C23">
      <w:pPr>
        <w:spacing w:before="240" w:after="240"/>
        <w:ind w:left="1134" w:right="900"/>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i/>
          <w:sz w:val="22"/>
          <w:szCs w:val="22"/>
        </w:rPr>
        <w:t>(…)</w:t>
      </w:r>
    </w:p>
    <w:p w14:paraId="68C79DDA" w14:textId="77777777" w:rsidR="00A61EB9" w:rsidRPr="00B06FAA" w:rsidRDefault="003B4C23">
      <w:pPr>
        <w:spacing w:before="240" w:after="240"/>
        <w:ind w:left="1134" w:right="900"/>
        <w:jc w:val="both"/>
        <w:rPr>
          <w:rFonts w:ascii="Palatino Linotype" w:eastAsia="Palatino Linotype" w:hAnsi="Palatino Linotype" w:cs="Palatino Linotype"/>
          <w:i/>
          <w:sz w:val="22"/>
          <w:szCs w:val="22"/>
        </w:rPr>
      </w:pPr>
      <w:r w:rsidRPr="00B06FAA">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B06FAA">
        <w:rPr>
          <w:rFonts w:ascii="Palatino Linotype" w:eastAsia="Palatino Linotype" w:hAnsi="Palatino Linotype" w:cs="Palatino Linotype"/>
          <w:i/>
          <w:sz w:val="22"/>
          <w:szCs w:val="22"/>
        </w:rPr>
        <w:t>”</w:t>
      </w:r>
    </w:p>
    <w:p w14:paraId="4CFFAF3A"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07F227A7" w14:textId="77777777" w:rsidR="00A61EB9" w:rsidRPr="00B06FAA" w:rsidRDefault="003B4C23">
      <w:pPr>
        <w:spacing w:before="240" w:after="240" w:line="360" w:lineRule="auto"/>
        <w:ind w:left="28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a) Cuando el sujeto obligado modifique el acto impugnado. </w:t>
      </w:r>
    </w:p>
    <w:p w14:paraId="6FE7F480" w14:textId="77777777" w:rsidR="00A61EB9" w:rsidRPr="00B06FAA" w:rsidRDefault="003B4C23">
      <w:pPr>
        <w:spacing w:before="240" w:after="240" w:line="360" w:lineRule="auto"/>
        <w:ind w:left="284"/>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b) Cuando el sujeto obligado revoque el acto impugnado; </w:t>
      </w:r>
    </w:p>
    <w:p w14:paraId="309BD39A"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Quedando en ambos casos el acto combatido sin materia o sin efectos.</w:t>
      </w:r>
    </w:p>
    <w:p w14:paraId="65119395" w14:textId="77777777" w:rsidR="00A61EB9" w:rsidRPr="00B06FAA" w:rsidRDefault="003B4C23">
      <w:pPr>
        <w:spacing w:before="240" w:after="240" w:line="360" w:lineRule="auto"/>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sz w:val="22"/>
          <w:szCs w:val="22"/>
        </w:rPr>
        <w:t>Como se observa de lo anterior, un acto impugnado es modificado en aquellos casos en los que el Sujeto Obligado después de haber otorgado una respuesta, o haber omitido hacerlo (acto de no hacer), emite una o una diversa de manera posterior y en esta subsana las deficiencias que hubiera tenido, quedando satisfecho el derecho subjetivo accionado por la parte Recurrente</w:t>
      </w:r>
      <w:r w:rsidRPr="00B06FAA">
        <w:rPr>
          <w:rFonts w:ascii="Palatino Linotype" w:eastAsia="Palatino Linotype" w:hAnsi="Palatino Linotype" w:cs="Palatino Linotype"/>
          <w:b/>
          <w:sz w:val="22"/>
          <w:szCs w:val="22"/>
        </w:rPr>
        <w:t>.</w:t>
      </w:r>
    </w:p>
    <w:p w14:paraId="6E57B6C2"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Por lo que hace a la revocación, esta se actualiza cuando el Sujeto Obligado deja sin efectos la primera respuesta o su primer acto y en su lugar emite otro con las características y cualidades suficientes para dejar satisfecho el ejercicio del derecho al acceso a la información pública.</w:t>
      </w:r>
    </w:p>
    <w:p w14:paraId="360B2571"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lastRenderedPageBreak/>
        <w:t>En este orden de ideas, un acto impugnado queda sin efectos, cuando aun existiendo jurídicamente (esto es, que no se ha modificado, ni revocado) ya no genera ninguna consecuencia legal.</w:t>
      </w:r>
    </w:p>
    <w:p w14:paraId="64A8285B"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En tanto que, un acto impugnado queda sin materia, cuando ha sido satisfecha la pretensión de la parte Recurrente de manera que el Sujeto Obligado entrega una respuesta, aunque sea posterior a los términos previstos en la ley y mediante ésta concede la información solicitada.</w:t>
      </w:r>
    </w:p>
    <w:p w14:paraId="22210FC4"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Con base en los argumentos expuestos, resulta evidente que en el presente asunto, el </w:t>
      </w:r>
      <w:r w:rsidRPr="00B06FAA">
        <w:rPr>
          <w:rFonts w:ascii="Palatino Linotype" w:eastAsia="Palatino Linotype" w:hAnsi="Palatino Linotype" w:cs="Palatino Linotype"/>
          <w:b/>
          <w:sz w:val="22"/>
          <w:szCs w:val="22"/>
        </w:rPr>
        <w:t>Sujeto Obligado</w:t>
      </w:r>
      <w:r w:rsidRPr="00B06FAA">
        <w:rPr>
          <w:rFonts w:ascii="Palatino Linotype" w:eastAsia="Palatino Linotype" w:hAnsi="Palatino Linotype" w:cs="Palatino Linotype"/>
          <w:sz w:val="22"/>
          <w:szCs w:val="22"/>
        </w:rPr>
        <w:t xml:space="preserve"> modificó la respuesta a la solicitud de la persona solicitante, aunque ello haya sido de manera posterior a su respuesta inicial, información que se hizo su conocimiento con la finalidad de que manifestara lo que a su derecho estimara conveniente, sin que obre constancia en el expediente electrónico de que hubiera ejercido dicha prerrogativa hasta el momento de decretar el cierre de instrucción correspondiente. </w:t>
      </w:r>
    </w:p>
    <w:p w14:paraId="69668A79"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 xml:space="preserve">Es así que se concluye que la información remitida por el </w:t>
      </w:r>
      <w:r w:rsidRPr="00B06FAA">
        <w:rPr>
          <w:rFonts w:ascii="Palatino Linotype" w:eastAsia="Palatino Linotype" w:hAnsi="Palatino Linotype" w:cs="Palatino Linotype"/>
          <w:b/>
          <w:sz w:val="22"/>
          <w:szCs w:val="22"/>
        </w:rPr>
        <w:t xml:space="preserve">Sujeto Obligado </w:t>
      </w:r>
      <w:r w:rsidRPr="00B06FAA">
        <w:rPr>
          <w:rFonts w:ascii="Palatino Linotype" w:eastAsia="Palatino Linotype" w:hAnsi="Palatino Linotype" w:cs="Palatino Linotype"/>
          <w:sz w:val="22"/>
          <w:szCs w:val="22"/>
        </w:rPr>
        <w:t xml:space="preserve">en la etapa de manifestaciones satisface el requerimiento de información combatido, con lo cual quedó sin materia el presente recurso de revisión, actualizando entonces la causal prevista en la fracción III del artículo 192 de la Ley de la Materia vigente en la Entidad, antes transcrita. </w:t>
      </w:r>
    </w:p>
    <w:p w14:paraId="1DDB2D9C" w14:textId="77777777" w:rsidR="00A61EB9" w:rsidRPr="00B06FAA" w:rsidRDefault="003B4C23">
      <w:pPr>
        <w:spacing w:before="240" w:after="240" w:line="360" w:lineRule="auto"/>
        <w:jc w:val="both"/>
        <w:rPr>
          <w:rFonts w:ascii="Palatino Linotype" w:eastAsia="Palatino Linotype" w:hAnsi="Palatino Linotype" w:cs="Palatino Linotype"/>
          <w:b/>
          <w:sz w:val="22"/>
          <w:szCs w:val="22"/>
        </w:rPr>
      </w:pPr>
      <w:r w:rsidRPr="00B06FAA">
        <w:rPr>
          <w:rFonts w:ascii="Palatino Linotype" w:eastAsia="Palatino Linotype" w:hAnsi="Palatino Linotype" w:cs="Palatino Linotype"/>
          <w:sz w:val="22"/>
          <w:szCs w:val="22"/>
        </w:rPr>
        <w:t xml:space="preserve">Siendo el </w:t>
      </w:r>
      <w:r w:rsidRPr="00B06FAA">
        <w:rPr>
          <w:rFonts w:ascii="Palatino Linotype" w:eastAsia="Palatino Linotype" w:hAnsi="Palatino Linotype" w:cs="Palatino Linotype"/>
          <w:i/>
          <w:sz w:val="22"/>
          <w:szCs w:val="22"/>
        </w:rPr>
        <w:t>sobreseimiento</w:t>
      </w:r>
      <w:r w:rsidRPr="00B06FAA">
        <w:rPr>
          <w:rFonts w:ascii="Palatino Linotype" w:eastAsia="Palatino Linotype" w:hAnsi="Palatino Linotype" w:cs="Palatino Linotype"/>
          <w:sz w:val="22"/>
          <w:szCs w:val="22"/>
        </w:rPr>
        <w:t xml:space="preserve"> un acto que da por terminado el procedimiento administrativo de impugnación por alguna causa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w:t>
      </w:r>
      <w:r w:rsidRPr="00B06FAA">
        <w:rPr>
          <w:rFonts w:ascii="Palatino Linotype" w:eastAsia="Palatino Linotype" w:hAnsi="Palatino Linotype" w:cs="Palatino Linotype"/>
          <w:sz w:val="22"/>
          <w:szCs w:val="22"/>
        </w:rPr>
        <w:lastRenderedPageBreak/>
        <w:t xml:space="preserve">en el criterio del Poder Judicial de la Federación con rubro: </w:t>
      </w:r>
      <w:r w:rsidRPr="00B06FAA">
        <w:rPr>
          <w:rFonts w:ascii="Palatino Linotype" w:eastAsia="Palatino Linotype" w:hAnsi="Palatino Linotype" w:cs="Palatino Linotype"/>
          <w:b/>
          <w:sz w:val="22"/>
          <w:szCs w:val="22"/>
        </w:rPr>
        <w:t>SOBRESEIMIENTO, NO PERMITE ENTRAR AL ESTUDIO DE LAS CUESTIONES DE FONDO</w:t>
      </w:r>
      <w:r w:rsidRPr="00B06FAA">
        <w:rPr>
          <w:rFonts w:ascii="Palatino Linotype" w:eastAsia="Palatino Linotype" w:hAnsi="Palatino Linotype" w:cs="Palatino Linotype"/>
          <w:b/>
          <w:sz w:val="22"/>
          <w:szCs w:val="22"/>
          <w:vertAlign w:val="superscript"/>
        </w:rPr>
        <w:footnoteReference w:id="1"/>
      </w:r>
      <w:r w:rsidRPr="00B06FAA">
        <w:rPr>
          <w:rFonts w:ascii="Palatino Linotype" w:eastAsia="Palatino Linotype" w:hAnsi="Palatino Linotype" w:cs="Palatino Linotype"/>
          <w:b/>
          <w:sz w:val="22"/>
          <w:szCs w:val="22"/>
        </w:rPr>
        <w:t>.</w:t>
      </w:r>
    </w:p>
    <w:p w14:paraId="7C71717D" w14:textId="77777777" w:rsidR="00A61EB9" w:rsidRPr="00B06FAA" w:rsidRDefault="003B4C2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271BD4FA" w14:textId="77777777" w:rsidR="00A61EB9" w:rsidRPr="00B06FAA" w:rsidRDefault="003B4C23">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3" w:name="_heading=h.lnxbz9" w:colFirst="0" w:colLast="0"/>
      <w:bookmarkEnd w:id="3"/>
      <w:r w:rsidRPr="00B06FAA">
        <w:rPr>
          <w:rFonts w:ascii="Palatino Linotype" w:eastAsia="Palatino Linotype" w:hAnsi="Palatino Linotype" w:cs="Palatino Linotype"/>
          <w:b/>
          <w:sz w:val="22"/>
          <w:szCs w:val="22"/>
        </w:rPr>
        <w:t>III. R E S U E L V E</w:t>
      </w:r>
    </w:p>
    <w:p w14:paraId="71C64B5E" w14:textId="77777777" w:rsidR="00A61EB9" w:rsidRPr="00B06FAA" w:rsidRDefault="003B4C23">
      <w:pPr>
        <w:spacing w:before="160" w:line="360" w:lineRule="auto"/>
        <w:jc w:val="both"/>
        <w:rPr>
          <w:rFonts w:ascii="Palatino Linotype" w:eastAsia="Palatino Linotype" w:hAnsi="Palatino Linotype" w:cs="Palatino Linotype"/>
          <w:sz w:val="22"/>
          <w:szCs w:val="22"/>
        </w:rPr>
      </w:pPr>
      <w:bookmarkStart w:id="4" w:name="_heading=h.tyjcwt" w:colFirst="0" w:colLast="0"/>
      <w:bookmarkEnd w:id="4"/>
      <w:r w:rsidRPr="00B06FAA">
        <w:rPr>
          <w:rFonts w:ascii="Palatino Linotype" w:eastAsia="Palatino Linotype" w:hAnsi="Palatino Linotype" w:cs="Palatino Linotype"/>
          <w:b/>
          <w:sz w:val="22"/>
          <w:szCs w:val="22"/>
        </w:rPr>
        <w:t xml:space="preserve">Primero. </w:t>
      </w:r>
      <w:r w:rsidRPr="00B06FAA">
        <w:rPr>
          <w:rFonts w:ascii="Palatino Linotype" w:eastAsia="Palatino Linotype" w:hAnsi="Palatino Linotype" w:cs="Palatino Linotype"/>
          <w:sz w:val="22"/>
          <w:szCs w:val="22"/>
        </w:rPr>
        <w:t>Se</w:t>
      </w:r>
      <w:r w:rsidRPr="00B06FAA">
        <w:rPr>
          <w:rFonts w:ascii="Palatino Linotype" w:eastAsia="Palatino Linotype" w:hAnsi="Palatino Linotype" w:cs="Palatino Linotype"/>
          <w:b/>
          <w:sz w:val="22"/>
          <w:szCs w:val="22"/>
        </w:rPr>
        <w:t xml:space="preserve"> Sobresee </w:t>
      </w:r>
      <w:r w:rsidRPr="00B06FAA">
        <w:rPr>
          <w:rFonts w:ascii="Palatino Linotype" w:eastAsia="Palatino Linotype" w:hAnsi="Palatino Linotype" w:cs="Palatino Linotype"/>
          <w:sz w:val="22"/>
          <w:szCs w:val="22"/>
        </w:rPr>
        <w:t xml:space="preserve">el recurso de revisión número </w:t>
      </w:r>
      <w:r w:rsidRPr="00B06FAA">
        <w:rPr>
          <w:rFonts w:ascii="Palatino Linotype" w:eastAsia="Palatino Linotype" w:hAnsi="Palatino Linotype" w:cs="Palatino Linotype"/>
          <w:b/>
          <w:sz w:val="22"/>
          <w:szCs w:val="22"/>
        </w:rPr>
        <w:t xml:space="preserve">06084/INFOEM/IP/RR/2024, </w:t>
      </w:r>
      <w:r w:rsidRPr="00B06FAA">
        <w:rPr>
          <w:rFonts w:ascii="Palatino Linotype" w:eastAsia="Palatino Linotype" w:hAnsi="Palatino Linotype" w:cs="Palatino Linotype"/>
          <w:sz w:val="22"/>
          <w:szCs w:val="22"/>
        </w:rPr>
        <w:t xml:space="preserve">porque al </w:t>
      </w:r>
      <w:r w:rsidRPr="00B06FAA">
        <w:rPr>
          <w:rFonts w:ascii="Palatino Linotype" w:eastAsia="Palatino Linotype" w:hAnsi="Palatino Linotype" w:cs="Palatino Linotype"/>
          <w:b/>
          <w:sz w:val="22"/>
          <w:szCs w:val="22"/>
        </w:rPr>
        <w:t>modificar la respuesta</w:t>
      </w:r>
      <w:r w:rsidRPr="00B06FAA">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considerando </w:t>
      </w:r>
      <w:r w:rsidRPr="00B06FAA">
        <w:rPr>
          <w:rFonts w:ascii="Palatino Linotype" w:eastAsia="Palatino Linotype" w:hAnsi="Palatino Linotype" w:cs="Palatino Linotype"/>
          <w:b/>
          <w:sz w:val="22"/>
          <w:szCs w:val="22"/>
        </w:rPr>
        <w:t xml:space="preserve">Tercero </w:t>
      </w:r>
      <w:r w:rsidRPr="00B06FAA">
        <w:rPr>
          <w:rFonts w:ascii="Palatino Linotype" w:eastAsia="Palatino Linotype" w:hAnsi="Palatino Linotype" w:cs="Palatino Linotype"/>
          <w:sz w:val="22"/>
          <w:szCs w:val="22"/>
        </w:rPr>
        <w:t>de la presente Resolución.</w:t>
      </w:r>
    </w:p>
    <w:p w14:paraId="5F46391A"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r w:rsidRPr="00B06FAA">
        <w:rPr>
          <w:rFonts w:ascii="Palatino Linotype" w:eastAsia="Palatino Linotype" w:hAnsi="Palatino Linotype" w:cs="Palatino Linotype"/>
          <w:b/>
          <w:sz w:val="22"/>
          <w:szCs w:val="22"/>
        </w:rPr>
        <w:t xml:space="preserve">Segundo. Notifíquese, </w:t>
      </w:r>
      <w:r w:rsidRPr="00B06FAA">
        <w:rPr>
          <w:rFonts w:ascii="Palatino Linotype" w:eastAsia="Palatino Linotype" w:hAnsi="Palatino Linotype" w:cs="Palatino Linotype"/>
          <w:sz w:val="22"/>
          <w:szCs w:val="22"/>
        </w:rPr>
        <w:t>vía</w:t>
      </w:r>
      <w:r w:rsidRPr="00B06FAA">
        <w:rPr>
          <w:rFonts w:ascii="Palatino Linotype" w:eastAsia="Palatino Linotype" w:hAnsi="Palatino Linotype" w:cs="Palatino Linotype"/>
          <w:b/>
          <w:sz w:val="22"/>
          <w:szCs w:val="22"/>
        </w:rPr>
        <w:t xml:space="preserve"> SAIMEX</w:t>
      </w:r>
      <w:r w:rsidRPr="00B06FAA">
        <w:rPr>
          <w:rFonts w:ascii="Palatino Linotype" w:eastAsia="Palatino Linotype" w:hAnsi="Palatino Linotype" w:cs="Palatino Linotype"/>
          <w:b/>
          <w:i/>
          <w:sz w:val="22"/>
          <w:szCs w:val="22"/>
        </w:rPr>
        <w:t xml:space="preserve">, </w:t>
      </w:r>
      <w:r w:rsidRPr="00B06FAA">
        <w:rPr>
          <w:rFonts w:ascii="Palatino Linotype" w:eastAsia="Palatino Linotype" w:hAnsi="Palatino Linotype" w:cs="Palatino Linotype"/>
          <w:sz w:val="22"/>
          <w:szCs w:val="22"/>
        </w:rPr>
        <w:t xml:space="preserve">al Titular de la Unidad de Transparencia del </w:t>
      </w:r>
      <w:r w:rsidRPr="00B06FAA">
        <w:rPr>
          <w:rFonts w:ascii="Palatino Linotype" w:eastAsia="Palatino Linotype" w:hAnsi="Palatino Linotype" w:cs="Palatino Linotype"/>
          <w:b/>
          <w:sz w:val="22"/>
          <w:szCs w:val="22"/>
        </w:rPr>
        <w:t>Sujeto Obligado</w:t>
      </w:r>
      <w:r w:rsidRPr="00B06FAA">
        <w:rPr>
          <w:rFonts w:ascii="Palatino Linotype" w:eastAsia="Palatino Linotype" w:hAnsi="Palatino Linotype" w:cs="Palatino Linotype"/>
          <w:sz w:val="22"/>
          <w:szCs w:val="22"/>
        </w:rPr>
        <w:t xml:space="preserve"> la presente resolución, para su conocimiento.</w:t>
      </w:r>
    </w:p>
    <w:p w14:paraId="24098046" w14:textId="77777777" w:rsidR="00A61EB9" w:rsidRPr="00B06FAA" w:rsidRDefault="003B4C23">
      <w:pPr>
        <w:spacing w:before="240" w:after="240" w:line="360" w:lineRule="auto"/>
        <w:jc w:val="both"/>
        <w:rPr>
          <w:rFonts w:ascii="Palatino Linotype" w:eastAsia="Palatino Linotype" w:hAnsi="Palatino Linotype" w:cs="Palatino Linotype"/>
          <w:sz w:val="22"/>
          <w:szCs w:val="22"/>
        </w:rPr>
      </w:pPr>
      <w:bookmarkStart w:id="5" w:name="_heading=h.26in1rg" w:colFirst="0" w:colLast="0"/>
      <w:bookmarkEnd w:id="5"/>
      <w:r w:rsidRPr="00B06FAA">
        <w:rPr>
          <w:rFonts w:ascii="Palatino Linotype" w:eastAsia="Palatino Linotype" w:hAnsi="Palatino Linotype" w:cs="Palatino Linotype"/>
          <w:b/>
          <w:sz w:val="22"/>
          <w:szCs w:val="22"/>
        </w:rPr>
        <w:t xml:space="preserve">Tercero. Notifíquese, </w:t>
      </w:r>
      <w:r w:rsidRPr="00B06FAA">
        <w:rPr>
          <w:rFonts w:ascii="Palatino Linotype" w:eastAsia="Palatino Linotype" w:hAnsi="Palatino Linotype" w:cs="Palatino Linotype"/>
          <w:sz w:val="22"/>
          <w:szCs w:val="22"/>
        </w:rPr>
        <w:t>vía</w:t>
      </w:r>
      <w:r w:rsidRPr="00B06FAA">
        <w:rPr>
          <w:rFonts w:ascii="Palatino Linotype" w:eastAsia="Palatino Linotype" w:hAnsi="Palatino Linotype" w:cs="Palatino Linotype"/>
          <w:b/>
          <w:sz w:val="22"/>
          <w:szCs w:val="22"/>
        </w:rPr>
        <w:t xml:space="preserve"> SAIMEX</w:t>
      </w:r>
      <w:r w:rsidRPr="00B06FAA">
        <w:rPr>
          <w:rFonts w:ascii="Palatino Linotype" w:eastAsia="Palatino Linotype" w:hAnsi="Palatino Linotype" w:cs="Palatino Linotype"/>
          <w:sz w:val="22"/>
          <w:szCs w:val="22"/>
        </w:rPr>
        <w:t>, a</w:t>
      </w:r>
      <w:r w:rsidRPr="00B06FAA">
        <w:rPr>
          <w:rFonts w:ascii="Palatino Linotype" w:eastAsia="Palatino Linotype" w:hAnsi="Palatino Linotype" w:cs="Palatino Linotype"/>
          <w:b/>
          <w:sz w:val="22"/>
          <w:szCs w:val="22"/>
        </w:rPr>
        <w:t xml:space="preserve"> </w:t>
      </w:r>
      <w:r w:rsidRPr="00B06FAA">
        <w:rPr>
          <w:rFonts w:ascii="Palatino Linotype" w:eastAsia="Palatino Linotype" w:hAnsi="Palatino Linotype" w:cs="Palatino Linotype"/>
          <w:sz w:val="22"/>
          <w:szCs w:val="22"/>
        </w:rPr>
        <w:t xml:space="preserve">la parte </w:t>
      </w:r>
      <w:r w:rsidRPr="00B06FAA">
        <w:rPr>
          <w:rFonts w:ascii="Palatino Linotype" w:eastAsia="Palatino Linotype" w:hAnsi="Palatino Linotype" w:cs="Palatino Linotype"/>
          <w:b/>
          <w:sz w:val="22"/>
          <w:szCs w:val="22"/>
        </w:rPr>
        <w:t>Recurrente</w:t>
      </w:r>
      <w:r w:rsidRPr="00B06FAA">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1B8AD180" w14:textId="77777777" w:rsidR="00A61EB9" w:rsidRPr="00B06FAA" w:rsidRDefault="003B4C23">
      <w:pPr>
        <w:spacing w:line="360" w:lineRule="auto"/>
        <w:jc w:val="both"/>
        <w:rPr>
          <w:rFonts w:ascii="Palatino Linotype" w:eastAsia="Palatino Linotype" w:hAnsi="Palatino Linotype" w:cs="Palatino Linotype"/>
          <w:sz w:val="22"/>
          <w:szCs w:val="22"/>
        </w:rPr>
        <w:sectPr w:rsidR="00A61EB9" w:rsidRPr="00B06FAA">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B06FAA">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                             </w:t>
      </w:r>
    </w:p>
    <w:p w14:paraId="3793EDB2" w14:textId="77777777" w:rsidR="00A61EB9" w:rsidRPr="00B06FAA" w:rsidRDefault="00A61EB9">
      <w:pPr>
        <w:spacing w:line="360" w:lineRule="auto"/>
        <w:jc w:val="both"/>
        <w:rPr>
          <w:rFonts w:ascii="Palatino Linotype" w:eastAsia="Palatino Linotype" w:hAnsi="Palatino Linotype" w:cs="Palatino Linotype"/>
          <w:sz w:val="22"/>
          <w:szCs w:val="22"/>
        </w:rPr>
      </w:pPr>
    </w:p>
    <w:p w14:paraId="4112A978" w14:textId="77777777" w:rsidR="00A61EB9" w:rsidRPr="00B06FAA" w:rsidRDefault="00A61EB9">
      <w:pPr>
        <w:spacing w:line="360" w:lineRule="auto"/>
        <w:jc w:val="both"/>
        <w:rPr>
          <w:rFonts w:ascii="Palatino Linotype" w:eastAsia="Palatino Linotype" w:hAnsi="Palatino Linotype" w:cs="Palatino Linotype"/>
          <w:sz w:val="22"/>
          <w:szCs w:val="22"/>
        </w:rPr>
      </w:pPr>
    </w:p>
    <w:sectPr w:rsidR="00A61EB9" w:rsidRPr="00B06FAA">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03D6" w14:textId="77777777" w:rsidR="00127995" w:rsidRDefault="00127995">
      <w:r>
        <w:separator/>
      </w:r>
    </w:p>
  </w:endnote>
  <w:endnote w:type="continuationSeparator" w:id="0">
    <w:p w14:paraId="46C2635E" w14:textId="77777777" w:rsidR="00127995" w:rsidRDefault="0012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ED80" w14:textId="77777777" w:rsidR="00A61EB9" w:rsidRDefault="003B4C2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424DC">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424DC">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5A6F2D54" w14:textId="77777777" w:rsidR="00A61EB9" w:rsidRDefault="00A61EB9">
    <w:pPr>
      <w:pBdr>
        <w:top w:val="nil"/>
        <w:left w:val="nil"/>
        <w:bottom w:val="nil"/>
        <w:right w:val="nil"/>
        <w:between w:val="nil"/>
      </w:pBdr>
      <w:tabs>
        <w:tab w:val="center" w:pos="4252"/>
        <w:tab w:val="right" w:pos="8504"/>
      </w:tabs>
      <w:rPr>
        <w:color w:val="000000"/>
      </w:rPr>
    </w:pPr>
  </w:p>
  <w:p w14:paraId="762AC395" w14:textId="77777777" w:rsidR="00A61EB9" w:rsidRDefault="00A61EB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3085" w14:textId="77777777" w:rsidR="00A61EB9" w:rsidRDefault="003B4C2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424DC">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424DC">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2A471D08" w14:textId="77777777" w:rsidR="00A61EB9" w:rsidRDefault="00A61EB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821E" w14:textId="77777777" w:rsidR="00127995" w:rsidRDefault="00127995">
      <w:r>
        <w:separator/>
      </w:r>
    </w:p>
  </w:footnote>
  <w:footnote w:type="continuationSeparator" w:id="0">
    <w:p w14:paraId="586FB405" w14:textId="77777777" w:rsidR="00127995" w:rsidRDefault="00127995">
      <w:r>
        <w:continuationSeparator/>
      </w:r>
    </w:p>
  </w:footnote>
  <w:footnote w:id="1">
    <w:p w14:paraId="4F4B6F05" w14:textId="77777777" w:rsidR="00A61EB9" w:rsidRDefault="003B4C23">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1BEEEC49" w14:textId="77777777" w:rsidR="00A61EB9" w:rsidRDefault="003B4C2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D122" w14:textId="77777777" w:rsidR="00A61EB9" w:rsidRDefault="003B4C2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BD84C3D" wp14:editId="23F19A87">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A61EB9" w14:paraId="4A423F26" w14:textId="77777777">
      <w:tc>
        <w:tcPr>
          <w:tcW w:w="2551" w:type="dxa"/>
          <w:vAlign w:val="center"/>
        </w:tcPr>
        <w:p w14:paraId="27E9F931" w14:textId="77777777" w:rsidR="00A61EB9" w:rsidRDefault="003B4C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6099FBF" w14:textId="77777777" w:rsidR="00A61EB9" w:rsidRDefault="003B4C2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06084/INFOEM/IP/RR/2024</w:t>
          </w:r>
        </w:p>
      </w:tc>
    </w:tr>
    <w:tr w:rsidR="00A61EB9" w14:paraId="64F3F0A4" w14:textId="77777777">
      <w:trPr>
        <w:trHeight w:val="228"/>
      </w:trPr>
      <w:tc>
        <w:tcPr>
          <w:tcW w:w="2551" w:type="dxa"/>
          <w:vAlign w:val="center"/>
        </w:tcPr>
        <w:p w14:paraId="6A7D69B2" w14:textId="77777777" w:rsidR="00A61EB9" w:rsidRDefault="003B4C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684CCA26" w14:textId="77777777" w:rsidR="00A61EB9" w:rsidRDefault="003B4C2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0"/>
              <w:szCs w:val="20"/>
            </w:rPr>
            <w:t>Instituto de la Función Registral del Estado de México</w:t>
          </w:r>
        </w:p>
      </w:tc>
    </w:tr>
    <w:tr w:rsidR="00A61EB9" w14:paraId="7F855001" w14:textId="77777777">
      <w:tc>
        <w:tcPr>
          <w:tcW w:w="2551" w:type="dxa"/>
          <w:vAlign w:val="center"/>
        </w:tcPr>
        <w:p w14:paraId="7D639F70" w14:textId="77777777" w:rsidR="00A61EB9" w:rsidRDefault="003B4C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1E8800C" w14:textId="77777777" w:rsidR="00A61EB9" w:rsidRDefault="003B4C2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85B3C1C" w14:textId="77777777" w:rsidR="00A61EB9" w:rsidRDefault="003B4C2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FAD2" w14:textId="77777777" w:rsidR="00A61EB9" w:rsidRDefault="003B4C2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6C1E2C5" wp14:editId="57255C1B">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670" w:type="dxa"/>
      <w:tblInd w:w="3119" w:type="dxa"/>
      <w:tblLayout w:type="fixed"/>
      <w:tblLook w:val="0400" w:firstRow="0" w:lastRow="0" w:firstColumn="0" w:lastColumn="0" w:noHBand="0" w:noVBand="1"/>
    </w:tblPr>
    <w:tblGrid>
      <w:gridCol w:w="2551"/>
      <w:gridCol w:w="3119"/>
    </w:tblGrid>
    <w:tr w:rsidR="00A61EB9" w14:paraId="623B62A8" w14:textId="77777777">
      <w:tc>
        <w:tcPr>
          <w:tcW w:w="2551" w:type="dxa"/>
          <w:vAlign w:val="center"/>
        </w:tcPr>
        <w:p w14:paraId="4E6202A2" w14:textId="77777777" w:rsidR="00A61EB9" w:rsidRDefault="003B4C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210BF179" w14:textId="77777777" w:rsidR="00A61EB9" w:rsidRDefault="003B4C2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06084/INFOEM/IP/RR/2024 </w:t>
          </w:r>
        </w:p>
      </w:tc>
    </w:tr>
    <w:tr w:rsidR="00A61EB9" w14:paraId="059ED061" w14:textId="77777777">
      <w:tc>
        <w:tcPr>
          <w:tcW w:w="2551" w:type="dxa"/>
          <w:vAlign w:val="center"/>
        </w:tcPr>
        <w:p w14:paraId="1B44AD9C" w14:textId="77777777" w:rsidR="00A61EB9" w:rsidRDefault="003B4C23">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4C506B3" w14:textId="2683B995" w:rsidR="00A61EB9" w:rsidRDefault="0021575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 XXXXXX</w:t>
          </w:r>
        </w:p>
      </w:tc>
    </w:tr>
    <w:tr w:rsidR="00A61EB9" w14:paraId="0C83158D" w14:textId="77777777">
      <w:trPr>
        <w:trHeight w:val="228"/>
      </w:trPr>
      <w:tc>
        <w:tcPr>
          <w:tcW w:w="2551" w:type="dxa"/>
          <w:vAlign w:val="center"/>
        </w:tcPr>
        <w:p w14:paraId="38ACDA6D" w14:textId="77777777" w:rsidR="00A61EB9" w:rsidRDefault="003B4C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A44627C" w14:textId="77777777" w:rsidR="00A61EB9" w:rsidRDefault="003B4C23">
          <w:pPr>
            <w:jc w:val="both"/>
            <w:rPr>
              <w:rFonts w:ascii="Palatino Linotype" w:eastAsia="Palatino Linotype" w:hAnsi="Palatino Linotype" w:cs="Palatino Linotype"/>
              <w:b/>
            </w:rPr>
          </w:pPr>
          <w:r>
            <w:rPr>
              <w:rFonts w:ascii="Palatino Linotype" w:eastAsia="Palatino Linotype" w:hAnsi="Palatino Linotype" w:cs="Palatino Linotype"/>
              <w:b/>
              <w:sz w:val="20"/>
              <w:szCs w:val="20"/>
            </w:rPr>
            <w:t>Instituto de la Función Registral del Estado de México</w:t>
          </w:r>
        </w:p>
      </w:tc>
    </w:tr>
    <w:tr w:rsidR="00A61EB9" w14:paraId="1827B24E" w14:textId="77777777">
      <w:tc>
        <w:tcPr>
          <w:tcW w:w="2551" w:type="dxa"/>
          <w:vAlign w:val="center"/>
        </w:tcPr>
        <w:p w14:paraId="1BDE8848" w14:textId="77777777" w:rsidR="00A61EB9" w:rsidRDefault="003B4C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31F05A0" w14:textId="77777777" w:rsidR="00A61EB9" w:rsidRDefault="003B4C2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F01262" w14:textId="77777777" w:rsidR="00A61EB9" w:rsidRDefault="00A61EB9">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6FDC" w14:textId="77777777" w:rsidR="00A61EB9" w:rsidRDefault="00A61EB9">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C7F2AFB" w14:textId="77777777" w:rsidR="00A61EB9" w:rsidRDefault="00A61EB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839"/>
    <w:multiLevelType w:val="multilevel"/>
    <w:tmpl w:val="F904A7E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4241FB"/>
    <w:multiLevelType w:val="multilevel"/>
    <w:tmpl w:val="D5D0122E"/>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7635723"/>
    <w:multiLevelType w:val="multilevel"/>
    <w:tmpl w:val="5D48E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DE70E0"/>
    <w:multiLevelType w:val="multilevel"/>
    <w:tmpl w:val="404E5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CA05AF"/>
    <w:multiLevelType w:val="multilevel"/>
    <w:tmpl w:val="7ED29F0C"/>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B9"/>
    <w:rsid w:val="00127995"/>
    <w:rsid w:val="001424DC"/>
    <w:rsid w:val="00215756"/>
    <w:rsid w:val="003B4C23"/>
    <w:rsid w:val="004F2CE6"/>
    <w:rsid w:val="007770C2"/>
    <w:rsid w:val="007C2213"/>
    <w:rsid w:val="00A61EB9"/>
    <w:rsid w:val="00B06FAA"/>
    <w:rsid w:val="00B83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89DE"/>
  <w15:docId w15:val="{A7462037-9F3F-49F7-A6C1-BFB6AC40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texto0">
    <w:name w:val="texto"/>
    <w:basedOn w:val="Normal"/>
    <w:rsid w:val="00D0483A"/>
    <w:pPr>
      <w:spacing w:before="100" w:beforeAutospacing="1" w:after="100" w:afterAutospacing="1"/>
    </w:pPr>
    <w:rPr>
      <w:lang w:val="es-MX" w:eastAsia="es-MX"/>
    </w:rPr>
  </w:style>
  <w:style w:type="paragraph" w:customStyle="1" w:styleId="romanos">
    <w:name w:val="romanos"/>
    <w:basedOn w:val="Normal"/>
    <w:rsid w:val="00D0483A"/>
    <w:pPr>
      <w:spacing w:before="100" w:beforeAutospacing="1" w:after="100" w:afterAutospacing="1"/>
    </w:pPr>
    <w:rPr>
      <w:lang w:val="es-MX" w:eastAsia="es-MX"/>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tgJVekQi/CmWEsbrOeWTrSbgw==">CgMxLjAyCGguZ2pkZ3hzMgloLjMwajB6bGwyCWguMWZvYjl0ZTIIaC5sbnhiejkyCGgudHlqY3d0MgloLjI2aW4xcmc4AHIhMUtGS1FWRDJRQ0g4Z0lPRGZtckVjZm9laGZqajdwS3Fn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5976</Words>
  <Characters>32870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2024-11-08T18:27:00Z</cp:lastPrinted>
  <dcterms:created xsi:type="dcterms:W3CDTF">2024-12-03T19:45:00Z</dcterms:created>
  <dcterms:modified xsi:type="dcterms:W3CDTF">2024-12-03T19:45:00Z</dcterms:modified>
</cp:coreProperties>
</file>