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A4F61"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CB6122">
        <w:rPr>
          <w:rFonts w:ascii="Palatino Linotype" w:eastAsia="Palatino Linotype" w:hAnsi="Palatino Linotype" w:cs="Palatino Linotype"/>
          <w:b/>
          <w:bCs/>
          <w:sz w:val="22"/>
          <w:szCs w:val="22"/>
        </w:rPr>
        <w:t>veintiocho de agosto de dos mil veinticuatro</w:t>
      </w:r>
      <w:r w:rsidRPr="00DA365B">
        <w:rPr>
          <w:rFonts w:ascii="Palatino Linotype" w:eastAsia="Palatino Linotype" w:hAnsi="Palatino Linotype" w:cs="Palatino Linotype"/>
          <w:sz w:val="22"/>
          <w:szCs w:val="22"/>
        </w:rPr>
        <w:t xml:space="preserve">. </w:t>
      </w:r>
    </w:p>
    <w:p w14:paraId="56E41C72"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082423F3" w14:textId="66C9225A"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Visto</w:t>
      </w:r>
      <w:r w:rsidRPr="00DA365B">
        <w:rPr>
          <w:rFonts w:ascii="Palatino Linotype" w:eastAsia="Palatino Linotype" w:hAnsi="Palatino Linotype" w:cs="Palatino Linotype"/>
          <w:sz w:val="22"/>
          <w:szCs w:val="22"/>
        </w:rPr>
        <w:t xml:space="preserve"> el expediente relativo al recurso de revisión </w:t>
      </w:r>
      <w:r w:rsidRPr="00DA365B">
        <w:rPr>
          <w:rFonts w:ascii="Palatino Linotype" w:eastAsia="Palatino Linotype" w:hAnsi="Palatino Linotype" w:cs="Palatino Linotype"/>
          <w:b/>
          <w:sz w:val="22"/>
          <w:szCs w:val="22"/>
        </w:rPr>
        <w:t>04194/INFOEM/IP/RR/2024</w:t>
      </w:r>
      <w:r w:rsidRPr="00DA365B">
        <w:rPr>
          <w:rFonts w:ascii="Palatino Linotype" w:eastAsia="Palatino Linotype" w:hAnsi="Palatino Linotype" w:cs="Palatino Linotype"/>
          <w:sz w:val="22"/>
          <w:szCs w:val="22"/>
        </w:rPr>
        <w:t xml:space="preserve">, interpuesto por </w:t>
      </w:r>
      <w:r w:rsidR="009643D9" w:rsidRPr="009643D9">
        <w:rPr>
          <w:rFonts w:ascii="Palatino Linotype" w:eastAsia="Palatino Linotype" w:hAnsi="Palatino Linotype" w:cs="Palatino Linotype"/>
          <w:b/>
          <w:sz w:val="22"/>
          <w:szCs w:val="22"/>
        </w:rPr>
        <w:t>XXXX XXXXXXXXX XXXXX XXXX</w:t>
      </w:r>
      <w:r w:rsidRPr="00DA365B">
        <w:rPr>
          <w:rFonts w:ascii="Palatino Linotype" w:eastAsia="Palatino Linotype" w:hAnsi="Palatino Linotype" w:cs="Palatino Linotype"/>
          <w:b/>
          <w:sz w:val="22"/>
          <w:szCs w:val="22"/>
        </w:rPr>
        <w:t xml:space="preserve">, </w:t>
      </w:r>
      <w:r w:rsidRPr="00DA365B">
        <w:rPr>
          <w:rFonts w:ascii="Palatino Linotype" w:eastAsia="Palatino Linotype" w:hAnsi="Palatino Linotype" w:cs="Palatino Linotype"/>
          <w:sz w:val="22"/>
          <w:szCs w:val="22"/>
        </w:rPr>
        <w:t>en lo sucesivo se le denominará la parte</w:t>
      </w:r>
      <w:r w:rsidRPr="00DA365B">
        <w:rPr>
          <w:rFonts w:ascii="Palatino Linotype" w:eastAsia="Palatino Linotype" w:hAnsi="Palatino Linotype" w:cs="Palatino Linotype"/>
          <w:b/>
          <w:sz w:val="22"/>
          <w:szCs w:val="22"/>
        </w:rPr>
        <w:t xml:space="preserve"> Recurrente</w:t>
      </w:r>
      <w:r w:rsidRPr="00DA365B">
        <w:rPr>
          <w:rFonts w:ascii="Palatino Linotype" w:eastAsia="Palatino Linotype" w:hAnsi="Palatino Linotype" w:cs="Palatino Linotype"/>
          <w:sz w:val="22"/>
          <w:szCs w:val="22"/>
        </w:rPr>
        <w:t>, en contra de la falta de respuesta a su solicitud de información con número de folio</w:t>
      </w:r>
      <w:r w:rsidRPr="00DA365B">
        <w:rPr>
          <w:rFonts w:ascii="Palatino Linotype" w:eastAsia="Palatino Linotype" w:hAnsi="Palatino Linotype" w:cs="Palatino Linotype"/>
          <w:b/>
          <w:sz w:val="22"/>
          <w:szCs w:val="22"/>
        </w:rPr>
        <w:t xml:space="preserve"> 00042/VIALLEN/IP/2024</w:t>
      </w:r>
      <w:r w:rsidRPr="00DA365B">
        <w:rPr>
          <w:rFonts w:ascii="Palatino Linotype" w:eastAsia="Palatino Linotype" w:hAnsi="Palatino Linotype" w:cs="Palatino Linotype"/>
          <w:sz w:val="22"/>
          <w:szCs w:val="22"/>
        </w:rPr>
        <w:t xml:space="preserve">, por parte del </w:t>
      </w:r>
      <w:r w:rsidRPr="00DA365B">
        <w:rPr>
          <w:rFonts w:ascii="Palatino Linotype" w:eastAsia="Palatino Linotype" w:hAnsi="Palatino Linotype" w:cs="Palatino Linotype"/>
          <w:b/>
          <w:sz w:val="22"/>
          <w:szCs w:val="22"/>
        </w:rPr>
        <w:t xml:space="preserve">Ayuntamiento de Villa de Allende </w:t>
      </w:r>
      <w:r w:rsidRPr="00DA365B">
        <w:rPr>
          <w:rFonts w:ascii="Palatino Linotype" w:eastAsia="Palatino Linotype" w:hAnsi="Palatino Linotype" w:cs="Palatino Linotype"/>
          <w:sz w:val="22"/>
          <w:szCs w:val="22"/>
        </w:rPr>
        <w:t xml:space="preserve">en lo sucesivo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w:t>
      </w:r>
      <w:r w:rsidRPr="00DA365B">
        <w:rPr>
          <w:rFonts w:ascii="Palatino Linotype" w:eastAsia="Palatino Linotype" w:hAnsi="Palatino Linotype" w:cs="Palatino Linotype"/>
          <w:b/>
          <w:sz w:val="22"/>
          <w:szCs w:val="22"/>
        </w:rPr>
        <w:t xml:space="preserve"> </w:t>
      </w:r>
      <w:r w:rsidRPr="00DA365B">
        <w:rPr>
          <w:rFonts w:ascii="Palatino Linotype" w:eastAsia="Palatino Linotype" w:hAnsi="Palatino Linotype" w:cs="Palatino Linotype"/>
          <w:sz w:val="22"/>
          <w:szCs w:val="22"/>
        </w:rPr>
        <w:t xml:space="preserve">se procede a dictar la presente resolución, con base en los siguientes: </w:t>
      </w:r>
    </w:p>
    <w:p w14:paraId="6D83CF48"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74B3EB39" w14:textId="77777777" w:rsidR="00BB4C33" w:rsidRPr="00DA365B" w:rsidRDefault="003970ED">
      <w:pPr>
        <w:numPr>
          <w:ilvl w:val="0"/>
          <w:numId w:val="1"/>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A N T E C E D E N T E S:</w:t>
      </w:r>
    </w:p>
    <w:p w14:paraId="3553E377" w14:textId="77777777" w:rsidR="00BB4C33" w:rsidRPr="00DA365B" w:rsidRDefault="00BB4C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E4A2C83" w14:textId="77777777" w:rsidR="00BB4C33" w:rsidRPr="00DA365B" w:rsidRDefault="003970ED">
      <w:pPr>
        <w:numPr>
          <w:ilvl w:val="1"/>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 xml:space="preserve">Solicitud de acceso a la información. </w:t>
      </w:r>
      <w:r w:rsidRPr="00DA365B">
        <w:rPr>
          <w:rFonts w:ascii="Palatino Linotype" w:eastAsia="Palatino Linotype" w:hAnsi="Palatino Linotype" w:cs="Palatino Linotype"/>
          <w:sz w:val="22"/>
          <w:szCs w:val="22"/>
        </w:rPr>
        <w:t xml:space="preserve">Con fecha </w:t>
      </w:r>
      <w:r w:rsidRPr="00DA365B">
        <w:rPr>
          <w:rFonts w:ascii="Palatino Linotype" w:eastAsia="Palatino Linotype" w:hAnsi="Palatino Linotype" w:cs="Palatino Linotype"/>
          <w:b/>
          <w:sz w:val="22"/>
          <w:szCs w:val="22"/>
        </w:rPr>
        <w:t>trece de junio de dos mil veinticuatro</w:t>
      </w:r>
      <w:r w:rsidRPr="00DA365B">
        <w:rPr>
          <w:rFonts w:ascii="Palatino Linotype" w:eastAsia="Palatino Linotype" w:hAnsi="Palatino Linotype" w:cs="Palatino Linotype"/>
          <w:sz w:val="22"/>
          <w:szCs w:val="22"/>
        </w:rPr>
        <w:t xml:space="preserv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formuló solicitud de acceso a información pública al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a través de la Plataforma Nacional de Transparencia vinculada al Sistema de Acceso a la Información Mexiquense, en adelante </w:t>
      </w:r>
      <w:r w:rsidRPr="00DA365B">
        <w:rPr>
          <w:rFonts w:ascii="Palatino Linotype" w:eastAsia="Palatino Linotype" w:hAnsi="Palatino Linotype" w:cs="Palatino Linotype"/>
          <w:b/>
          <w:sz w:val="22"/>
          <w:szCs w:val="22"/>
        </w:rPr>
        <w:t>SAIMEX</w:t>
      </w:r>
      <w:r w:rsidRPr="00DA365B">
        <w:rPr>
          <w:rFonts w:ascii="Palatino Linotype" w:eastAsia="Palatino Linotype" w:hAnsi="Palatino Linotype" w:cs="Palatino Linotype"/>
          <w:sz w:val="22"/>
          <w:szCs w:val="22"/>
        </w:rPr>
        <w:t>, requiriéndole lo siguiente:</w:t>
      </w:r>
    </w:p>
    <w:p w14:paraId="2E9A8717" w14:textId="77777777" w:rsidR="00BB4C33" w:rsidRPr="00DA365B" w:rsidRDefault="00BB4C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93D4D9A"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“Se solicita en formato XLS compatible con Excel, la base de datos del padrón actualizado de licencias otorgadas para la operación de establecimientos en los que se vende o consumen bebidas alcohólicas, otorgadas por la dirección de Desarrollo Económico Turismo y la promoción del empleo, así como, su giro o modalidad, dirección de los establecimientos, los nombres y/o razones sociales de los titulares, y el hipervínculo del documento en el que obre cada una de las licencias</w:t>
      </w:r>
      <w:proofErr w:type="gramStart"/>
      <w:r w:rsidRPr="00DA365B">
        <w:rPr>
          <w:rFonts w:ascii="Palatino Linotype" w:eastAsia="Palatino Linotype" w:hAnsi="Palatino Linotype" w:cs="Palatino Linotype"/>
          <w:i/>
          <w:sz w:val="22"/>
          <w:szCs w:val="22"/>
        </w:rPr>
        <w:t>..”</w:t>
      </w:r>
      <w:proofErr w:type="gramEnd"/>
    </w:p>
    <w:p w14:paraId="3FD6FB64" w14:textId="77777777" w:rsidR="00BB4C33" w:rsidRPr="00DA365B" w:rsidRDefault="00BB4C33">
      <w:pPr>
        <w:spacing w:line="360" w:lineRule="auto"/>
        <w:ind w:left="709" w:right="900"/>
        <w:jc w:val="both"/>
        <w:rPr>
          <w:rFonts w:ascii="Palatino Linotype" w:eastAsia="Palatino Linotype" w:hAnsi="Palatino Linotype" w:cs="Palatino Linotype"/>
          <w:b/>
          <w:i/>
          <w:sz w:val="22"/>
          <w:szCs w:val="22"/>
        </w:rPr>
      </w:pPr>
    </w:p>
    <w:p w14:paraId="3576FB21"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Modalidad elegida para la entrega de la información: </w:t>
      </w:r>
      <w:r w:rsidRPr="00DA365B">
        <w:rPr>
          <w:rFonts w:ascii="Palatino Linotype" w:eastAsia="Palatino Linotype" w:hAnsi="Palatino Linotype" w:cs="Palatino Linotype"/>
          <w:sz w:val="22"/>
          <w:szCs w:val="22"/>
        </w:rPr>
        <w:t xml:space="preserve">a través del Sistema de Acceso a la Información Mexiquense y correo electrónico. </w:t>
      </w:r>
    </w:p>
    <w:p w14:paraId="308CE5A0"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noProof/>
          <w:sz w:val="22"/>
          <w:szCs w:val="22"/>
          <w:lang w:val="es-MX" w:eastAsia="es-MX"/>
        </w:rPr>
        <w:lastRenderedPageBreak/>
        <w:drawing>
          <wp:inline distT="0" distB="0" distL="0" distR="0" wp14:anchorId="4969F704" wp14:editId="01362A07">
            <wp:extent cx="5612130" cy="559435"/>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559435"/>
                    </a:xfrm>
                    <a:prstGeom prst="rect">
                      <a:avLst/>
                    </a:prstGeom>
                    <a:ln/>
                  </pic:spPr>
                </pic:pic>
              </a:graphicData>
            </a:graphic>
          </wp:inline>
        </w:drawing>
      </w:r>
    </w:p>
    <w:p w14:paraId="2851ED4A"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6A08F244" w14:textId="77777777" w:rsidR="00BB4C33" w:rsidRPr="00DA365B" w:rsidRDefault="003970E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 xml:space="preserve">Respuesta. </w:t>
      </w:r>
      <w:r w:rsidRPr="00DA365B">
        <w:rPr>
          <w:rFonts w:ascii="Palatino Linotype" w:eastAsia="Palatino Linotype" w:hAnsi="Palatino Linotype" w:cs="Palatino Linotype"/>
          <w:sz w:val="22"/>
          <w:szCs w:val="22"/>
        </w:rPr>
        <w:t xml:space="preserve">Del expediente electrónico se advierte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fue omiso en emitir respuesta a la solicitud de acceso a la información pública, dentro del plazo de quince días otorgado por el artículo 163 de la Ley de Transparencia y Acceso a la Información Pública de la entidad. </w:t>
      </w:r>
    </w:p>
    <w:p w14:paraId="7443185B" w14:textId="77777777" w:rsidR="00BB4C33" w:rsidRPr="00DA365B" w:rsidRDefault="00BB4C33">
      <w:pPr>
        <w:pBdr>
          <w:top w:val="nil"/>
          <w:left w:val="nil"/>
          <w:bottom w:val="nil"/>
          <w:right w:val="nil"/>
          <w:between w:val="nil"/>
        </w:pBdr>
        <w:spacing w:line="276" w:lineRule="auto"/>
        <w:ind w:left="720" w:right="49"/>
        <w:jc w:val="both"/>
        <w:rPr>
          <w:rFonts w:ascii="Palatino Linotype" w:eastAsia="Palatino Linotype" w:hAnsi="Palatino Linotype" w:cs="Palatino Linotype"/>
          <w:b/>
          <w:i/>
          <w:sz w:val="22"/>
          <w:szCs w:val="22"/>
        </w:rPr>
      </w:pPr>
    </w:p>
    <w:p w14:paraId="4D0A4C5A" w14:textId="77777777" w:rsidR="00BB4C33" w:rsidRPr="00DA365B" w:rsidRDefault="003970ED">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Interposición del recurso de revisión. </w:t>
      </w:r>
      <w:r w:rsidRPr="00DA365B">
        <w:rPr>
          <w:rFonts w:ascii="Palatino Linotype" w:eastAsia="Palatino Linotype" w:hAnsi="Palatino Linotype" w:cs="Palatino Linotype"/>
          <w:sz w:val="22"/>
          <w:szCs w:val="22"/>
        </w:rPr>
        <w:t xml:space="preserve">Inconforme con la respuesta del </w:t>
      </w:r>
      <w:r w:rsidRPr="00DA365B">
        <w:rPr>
          <w:rFonts w:ascii="Palatino Linotype" w:eastAsia="Palatino Linotype" w:hAnsi="Palatino Linotype" w:cs="Palatino Linotype"/>
          <w:b/>
          <w:sz w:val="22"/>
          <w:szCs w:val="22"/>
        </w:rPr>
        <w:t>SUJETO OBLIGADO la parte RECURRENTE</w:t>
      </w:r>
      <w:r w:rsidRPr="00DA365B">
        <w:rPr>
          <w:rFonts w:ascii="Palatino Linotype" w:eastAsia="Palatino Linotype" w:hAnsi="Palatino Linotype" w:cs="Palatino Linotype"/>
          <w:sz w:val="22"/>
          <w:szCs w:val="22"/>
        </w:rPr>
        <w:t xml:space="preserve"> interpuso recurso de revisión a través del SAIMEX en fecha </w:t>
      </w:r>
      <w:r w:rsidRPr="00DA365B">
        <w:rPr>
          <w:rFonts w:ascii="Palatino Linotype" w:eastAsia="Palatino Linotype" w:hAnsi="Palatino Linotype" w:cs="Palatino Linotype"/>
          <w:b/>
          <w:sz w:val="22"/>
          <w:szCs w:val="22"/>
        </w:rPr>
        <w:t>ocho de julio de dos mil veinticuatro</w:t>
      </w:r>
      <w:r w:rsidRPr="00DA365B">
        <w:rPr>
          <w:rFonts w:ascii="Palatino Linotype" w:eastAsia="Palatino Linotype" w:hAnsi="Palatino Linotype" w:cs="Palatino Linotype"/>
          <w:sz w:val="22"/>
          <w:szCs w:val="22"/>
        </w:rPr>
        <w:t>, a través del cual expresó lo siguiente:</w:t>
      </w:r>
    </w:p>
    <w:p w14:paraId="1F1FE4C0" w14:textId="77777777" w:rsidR="00BB4C33" w:rsidRPr="00DA365B" w:rsidRDefault="00BB4C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25975B3D" w14:textId="77777777" w:rsidR="00BB4C33" w:rsidRPr="00DA365B" w:rsidRDefault="003970ED">
      <w:pPr>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sz w:val="22"/>
          <w:szCs w:val="22"/>
        </w:rPr>
        <w:t xml:space="preserve">Acto impugnado. </w:t>
      </w:r>
      <w:r w:rsidRPr="00DA365B">
        <w:rPr>
          <w:rFonts w:ascii="Palatino Linotype" w:eastAsia="Palatino Linotype" w:hAnsi="Palatino Linotype" w:cs="Palatino Linotype"/>
          <w:i/>
          <w:sz w:val="22"/>
          <w:szCs w:val="22"/>
        </w:rPr>
        <w:t xml:space="preserve">“Por medio del presente escrito con fundamento en el </w:t>
      </w:r>
      <w:proofErr w:type="spellStart"/>
      <w:r w:rsidRPr="00DA365B">
        <w:rPr>
          <w:rFonts w:ascii="Palatino Linotype" w:eastAsia="Palatino Linotype" w:hAnsi="Palatino Linotype" w:cs="Palatino Linotype"/>
          <w:i/>
          <w:sz w:val="22"/>
          <w:szCs w:val="22"/>
        </w:rPr>
        <w:t>articulo</w:t>
      </w:r>
      <w:proofErr w:type="spellEnd"/>
      <w:r w:rsidRPr="00DA365B">
        <w:rPr>
          <w:rFonts w:ascii="Palatino Linotype" w:eastAsia="Palatino Linotype" w:hAnsi="Palatino Linotype" w:cs="Palatino Linotype"/>
          <w:i/>
          <w:sz w:val="22"/>
          <w:szCs w:val="22"/>
        </w:rPr>
        <w:t xml:space="preserve">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 con fundamento en el </w:t>
      </w:r>
      <w:proofErr w:type="spellStart"/>
      <w:r w:rsidRPr="00DA365B">
        <w:rPr>
          <w:rFonts w:ascii="Palatino Linotype" w:eastAsia="Palatino Linotype" w:hAnsi="Palatino Linotype" w:cs="Palatino Linotype"/>
          <w:i/>
          <w:sz w:val="22"/>
          <w:szCs w:val="22"/>
        </w:rPr>
        <w:t>articulo</w:t>
      </w:r>
      <w:proofErr w:type="spellEnd"/>
      <w:r w:rsidRPr="00DA365B">
        <w:rPr>
          <w:rFonts w:ascii="Palatino Linotype" w:eastAsia="Palatino Linotype" w:hAnsi="Palatino Linotype" w:cs="Palatino Linotype"/>
          <w:i/>
          <w:sz w:val="22"/>
          <w:szCs w:val="22"/>
        </w:rPr>
        <w:t xml:space="preserve"> 222 de la mencionada ley.” </w:t>
      </w:r>
    </w:p>
    <w:p w14:paraId="3A94038F" w14:textId="77777777" w:rsidR="00BB4C33" w:rsidRPr="00DA365B" w:rsidRDefault="00BB4C33">
      <w:pPr>
        <w:spacing w:line="360" w:lineRule="auto"/>
        <w:ind w:left="851" w:right="616"/>
        <w:rPr>
          <w:rFonts w:ascii="Palatino Linotype" w:eastAsia="Palatino Linotype" w:hAnsi="Palatino Linotype" w:cs="Palatino Linotype"/>
          <w:sz w:val="22"/>
          <w:szCs w:val="22"/>
        </w:rPr>
      </w:pPr>
    </w:p>
    <w:p w14:paraId="5B595AF7" w14:textId="77777777" w:rsidR="00BB4C33" w:rsidRPr="00DA365B" w:rsidRDefault="003970ED">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DA365B">
        <w:rPr>
          <w:rFonts w:ascii="Palatino Linotype" w:eastAsia="Palatino Linotype" w:hAnsi="Palatino Linotype" w:cs="Palatino Linotype"/>
          <w:b/>
          <w:sz w:val="22"/>
          <w:szCs w:val="22"/>
        </w:rPr>
        <w:t xml:space="preserve">Motivos de inconformidad. </w:t>
      </w:r>
    </w:p>
    <w:p w14:paraId="0E03A3A7" w14:textId="77777777" w:rsidR="00BB4C33" w:rsidRPr="00DA365B" w:rsidRDefault="00BB4C33">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3CAA030D" w14:textId="77777777" w:rsidR="00BB4C33" w:rsidRPr="00DA365B" w:rsidRDefault="003970ED">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sz w:val="22"/>
          <w:szCs w:val="22"/>
        </w:rPr>
        <w:t>Adjuntando el archivo electrónico denominado</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“Archivo1720480375476null”</w:t>
      </w:r>
      <w:r w:rsidRPr="00DA365B">
        <w:rPr>
          <w:rFonts w:ascii="Palatino Linotype" w:eastAsia="Palatino Linotype" w:hAnsi="Palatino Linotype" w:cs="Palatino Linotype"/>
          <w:i/>
          <w:sz w:val="22"/>
          <w:szCs w:val="22"/>
        </w:rPr>
        <w:t xml:space="preserve">, el cual </w:t>
      </w:r>
      <w:r w:rsidRPr="00DA365B">
        <w:rPr>
          <w:rFonts w:ascii="Palatino Linotype" w:eastAsia="Palatino Linotype" w:hAnsi="Palatino Linotype" w:cs="Palatino Linotype"/>
          <w:sz w:val="22"/>
          <w:szCs w:val="22"/>
        </w:rPr>
        <w:t xml:space="preserve">el cual no se puede abrir. </w:t>
      </w:r>
    </w:p>
    <w:p w14:paraId="6143EB34" w14:textId="77777777" w:rsidR="00BB4C33" w:rsidRPr="00DA365B" w:rsidRDefault="00BB4C33">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05A30FCC" w14:textId="77777777" w:rsidR="00BB4C33" w:rsidRPr="00DA365B" w:rsidRDefault="003970ED">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Turno. </w:t>
      </w:r>
      <w:r w:rsidRPr="00DA365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DA365B">
        <w:rPr>
          <w:rFonts w:ascii="Palatino Linotype" w:eastAsia="Palatino Linotype" w:hAnsi="Palatino Linotype" w:cs="Palatino Linotype"/>
          <w:b/>
          <w:sz w:val="22"/>
          <w:szCs w:val="22"/>
        </w:rPr>
        <w:t>04194/INFOEM/IP/RR/2024</w:t>
      </w:r>
      <w:r w:rsidRPr="00DA365B">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w:t>
      </w:r>
      <w:r w:rsidRPr="00DA365B">
        <w:rPr>
          <w:rFonts w:ascii="Palatino Linotype" w:eastAsia="Palatino Linotype" w:hAnsi="Palatino Linotype" w:cs="Palatino Linotype"/>
          <w:sz w:val="22"/>
          <w:szCs w:val="22"/>
        </w:rPr>
        <w:lastRenderedPageBreak/>
        <w:t xml:space="preserve">de México y Municipios, a la Comisionada </w:t>
      </w:r>
      <w:r w:rsidRPr="00DA365B">
        <w:rPr>
          <w:rFonts w:ascii="Palatino Linotype" w:eastAsia="Palatino Linotype" w:hAnsi="Palatino Linotype" w:cs="Palatino Linotype"/>
          <w:b/>
          <w:sz w:val="22"/>
          <w:szCs w:val="22"/>
        </w:rPr>
        <w:t>Guadalupe Ramírez Peña</w:t>
      </w:r>
      <w:r w:rsidRPr="00DA365B">
        <w:rPr>
          <w:rFonts w:ascii="Palatino Linotype" w:eastAsia="Palatino Linotype" w:hAnsi="Palatino Linotype" w:cs="Palatino Linotype"/>
          <w:sz w:val="22"/>
          <w:szCs w:val="22"/>
        </w:rPr>
        <w:t>, para su análisis, estudio, elaboración del proyecto y presentación ante el Pleno de este Instituto.</w:t>
      </w:r>
    </w:p>
    <w:p w14:paraId="5BA1B9C8" w14:textId="77777777" w:rsidR="00BB4C33" w:rsidRPr="00DA365B"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6612218" w14:textId="77777777" w:rsidR="00BB4C33" w:rsidRPr="00DA365B" w:rsidRDefault="003970ED">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DA365B">
        <w:rPr>
          <w:rFonts w:ascii="Palatino Linotype" w:eastAsia="Palatino Linotype" w:hAnsi="Palatino Linotype" w:cs="Palatino Linotype"/>
          <w:b/>
          <w:sz w:val="22"/>
          <w:szCs w:val="22"/>
        </w:rPr>
        <w:t xml:space="preserve">Admisión del recurso de revisión: </w:t>
      </w:r>
      <w:r w:rsidRPr="00DA365B">
        <w:rPr>
          <w:rFonts w:ascii="Palatino Linotype" w:eastAsia="Palatino Linotype" w:hAnsi="Palatino Linotype" w:cs="Palatino Linotype"/>
          <w:sz w:val="22"/>
          <w:szCs w:val="22"/>
        </w:rPr>
        <w:t xml:space="preserve">En fecha </w:t>
      </w:r>
      <w:r w:rsidRPr="00DA365B">
        <w:rPr>
          <w:rFonts w:ascii="Palatino Linotype" w:eastAsia="Palatino Linotype" w:hAnsi="Palatino Linotype" w:cs="Palatino Linotype"/>
          <w:b/>
          <w:sz w:val="22"/>
          <w:szCs w:val="22"/>
        </w:rPr>
        <w:t>once de julio de dos mil veinticuatro</w:t>
      </w:r>
      <w:r w:rsidRPr="00DA365B">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presentara su informe justificado.</w:t>
      </w:r>
    </w:p>
    <w:p w14:paraId="3765D6E6" w14:textId="77777777" w:rsidR="00BB4C33" w:rsidRPr="00DA365B"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8F209C6" w14:textId="77777777" w:rsidR="00BB4C33" w:rsidRPr="00DA365B" w:rsidRDefault="003970ED">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Manifestaciones</w:t>
      </w:r>
      <w:r w:rsidRPr="00DA365B">
        <w:rPr>
          <w:rFonts w:ascii="Palatino Linotype" w:eastAsia="Palatino Linotype" w:hAnsi="Palatino Linotype" w:cs="Palatino Linotype"/>
          <w:sz w:val="22"/>
          <w:szCs w:val="22"/>
        </w:rPr>
        <w:t xml:space="preserve">: De las constancias que obran en el expediente electrónico del </w:t>
      </w:r>
      <w:r w:rsidRPr="00DA365B">
        <w:rPr>
          <w:rFonts w:ascii="Palatino Linotype" w:eastAsia="Palatino Linotype" w:hAnsi="Palatino Linotype" w:cs="Palatino Linotype"/>
          <w:b/>
          <w:sz w:val="22"/>
          <w:szCs w:val="22"/>
        </w:rPr>
        <w:t>SAIMEX</w:t>
      </w:r>
      <w:r w:rsidRPr="00DA365B">
        <w:rPr>
          <w:rFonts w:ascii="Palatino Linotype" w:eastAsia="Palatino Linotype" w:hAnsi="Palatino Linotype" w:cs="Palatino Linotype"/>
          <w:sz w:val="22"/>
          <w:szCs w:val="22"/>
        </w:rPr>
        <w:t xml:space="preserve"> se desprende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en fecha </w:t>
      </w:r>
      <w:r w:rsidRPr="00DA365B">
        <w:rPr>
          <w:rFonts w:ascii="Palatino Linotype" w:eastAsia="Palatino Linotype" w:hAnsi="Palatino Linotype" w:cs="Palatino Linotype"/>
          <w:b/>
          <w:sz w:val="22"/>
          <w:szCs w:val="22"/>
        </w:rPr>
        <w:t>catorce de julio de dos mil veinticuatro</w:t>
      </w:r>
      <w:r w:rsidRPr="00DA365B">
        <w:rPr>
          <w:rFonts w:ascii="Palatino Linotype" w:eastAsia="Palatino Linotype" w:hAnsi="Palatino Linotype" w:cs="Palatino Linotype"/>
          <w:sz w:val="22"/>
          <w:szCs w:val="22"/>
        </w:rPr>
        <w:t xml:space="preserve"> rindió su informe justificado a través de los siguientes archivos electrónicos: </w:t>
      </w:r>
    </w:p>
    <w:p w14:paraId="586DD110" w14:textId="77777777" w:rsidR="00BB4C33" w:rsidRPr="00DA365B"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7FA2E61" w14:textId="77777777" w:rsidR="00BB4C33" w:rsidRPr="00DA365B" w:rsidRDefault="003970ED">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 xml:space="preserve">acta de 4 </w:t>
      </w:r>
      <w:proofErr w:type="spellStart"/>
      <w:r w:rsidRPr="00DA365B">
        <w:rPr>
          <w:rFonts w:ascii="Palatino Linotype" w:eastAsia="Palatino Linotype" w:hAnsi="Palatino Linotype" w:cs="Palatino Linotype"/>
          <w:b/>
          <w:i/>
          <w:sz w:val="22"/>
          <w:szCs w:val="22"/>
        </w:rPr>
        <w:t>sesiòn</w:t>
      </w:r>
      <w:proofErr w:type="spellEnd"/>
      <w:r w:rsidRPr="00DA365B">
        <w:rPr>
          <w:rFonts w:ascii="Palatino Linotype" w:eastAsia="Palatino Linotype" w:hAnsi="Palatino Linotype" w:cs="Palatino Linotype"/>
          <w:b/>
          <w:i/>
          <w:sz w:val="22"/>
          <w:szCs w:val="22"/>
        </w:rPr>
        <w:t xml:space="preserve"> ordinaria 2024.zip</w:t>
      </w:r>
      <w:r w:rsidRPr="00DA365B">
        <w:rPr>
          <w:rFonts w:ascii="Palatino Linotype" w:eastAsia="Palatino Linotype" w:hAnsi="Palatino Linotype" w:cs="Palatino Linotype"/>
          <w:sz w:val="22"/>
          <w:szCs w:val="22"/>
        </w:rPr>
        <w:t xml:space="preserve">: Carpeta comprimida que contiene siete fotografías del Acta de la Cuarta Sesión Ordinaria del Comité de Transparencia del Ayuntamiento de Villa de Allende 2024, de fecha once de julio de dos mil veinticuatro, mediante el cual se aprobó la clasificación de la información como confidencial, correspondiente a la solicitud de información 000042/VIALLEN/IP/2024, en razón que contiene información sensible que vuelve identificables a sus titulares, procediendo a cubrir lo siguiente, en términos de la normatividad aplicable y Protección de los Datos Personales expuestos: Apellidos Particulares, RFC Particular y Dirección de Particular, en términos del artículo 143 fracción I de la Ley de Transparencia y Acceso a la Información Pública del Estado de México y Municipios. </w:t>
      </w:r>
    </w:p>
    <w:p w14:paraId="23D1F15E" w14:textId="77777777" w:rsidR="00BB4C33" w:rsidRPr="00DA365B" w:rsidRDefault="003970ED">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BASES DE DATOS DE LICENCIAS DE BEBIDAS ALCOHÓLICAS .</w:t>
      </w:r>
      <w:proofErr w:type="spellStart"/>
      <w:r w:rsidRPr="00DA365B">
        <w:rPr>
          <w:rFonts w:ascii="Palatino Linotype" w:eastAsia="Palatino Linotype" w:hAnsi="Palatino Linotype" w:cs="Palatino Linotype"/>
          <w:b/>
          <w:i/>
          <w:sz w:val="22"/>
          <w:szCs w:val="22"/>
        </w:rPr>
        <w:t>pdf</w:t>
      </w:r>
      <w:proofErr w:type="spellEnd"/>
      <w:r w:rsidRPr="00DA365B">
        <w:rPr>
          <w:rFonts w:ascii="Palatino Linotype" w:eastAsia="Palatino Linotype" w:hAnsi="Palatino Linotype" w:cs="Palatino Linotype"/>
          <w:sz w:val="22"/>
          <w:szCs w:val="22"/>
        </w:rPr>
        <w:t xml:space="preserve">: Contiene los siguientes oficios: </w:t>
      </w:r>
    </w:p>
    <w:p w14:paraId="48256A7B" w14:textId="77777777" w:rsidR="00BB4C33" w:rsidRPr="00DA365B" w:rsidRDefault="003970ED">
      <w:pPr>
        <w:numPr>
          <w:ilvl w:val="0"/>
          <w:numId w:val="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Oficio número DDE/VA/047/VI/20223 de fecha veintiuno de junio de dos mil veinticuatro, signado por la Directora de Desarrollo Económico de Villa de Allende, mediante el cual informa la entrega de la información solicitada. </w:t>
      </w:r>
    </w:p>
    <w:p w14:paraId="5E72C786" w14:textId="77777777" w:rsidR="00BB4C33" w:rsidRPr="00DA365B" w:rsidRDefault="003970ED">
      <w:pPr>
        <w:numPr>
          <w:ilvl w:val="0"/>
          <w:numId w:val="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Oficio número CT/VA/067/2024 de fecha dieciocho de junio de dos mil veinticuatro, signado por la Coordinadora de Turismo de Villa de Allende, mediante el cual informó que no tiene dichas atribuciones según el artículo 96 </w:t>
      </w:r>
      <w:proofErr w:type="spellStart"/>
      <w:r w:rsidRPr="00DA365B">
        <w:rPr>
          <w:rFonts w:ascii="Palatino Linotype" w:eastAsia="Palatino Linotype" w:hAnsi="Palatino Linotype" w:cs="Palatino Linotype"/>
          <w:sz w:val="22"/>
          <w:szCs w:val="22"/>
        </w:rPr>
        <w:t>Decies</w:t>
      </w:r>
      <w:proofErr w:type="spellEnd"/>
      <w:r w:rsidRPr="00DA365B">
        <w:rPr>
          <w:rFonts w:ascii="Palatino Linotype" w:eastAsia="Palatino Linotype" w:hAnsi="Palatino Linotype" w:cs="Palatino Linotype"/>
          <w:sz w:val="22"/>
          <w:szCs w:val="22"/>
        </w:rPr>
        <w:t xml:space="preserve">, de la Ley Orgánica Municipal del Estado de México. </w:t>
      </w:r>
    </w:p>
    <w:p w14:paraId="745D4D86" w14:textId="77777777" w:rsidR="00BB4C33" w:rsidRPr="00DA365B" w:rsidRDefault="003970ED">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CONTESTACION permisos bebidas alcoholicas.pdf</w:t>
      </w:r>
      <w:r w:rsidRPr="00DA365B">
        <w:rPr>
          <w:rFonts w:ascii="Palatino Linotype" w:eastAsia="Palatino Linotype" w:hAnsi="Palatino Linotype" w:cs="Palatino Linotype"/>
          <w:sz w:val="22"/>
          <w:szCs w:val="22"/>
        </w:rPr>
        <w:t xml:space="preserve">: Documento elaborado del cual se advierte el número de Licencia o Refrendo, Nombre /Razón social, RFC, Giro; Dirección, Localidad, Expedición, Vigencia, Impacto e Hipervínculo del documento en versión pública. </w:t>
      </w:r>
    </w:p>
    <w:p w14:paraId="3A73F275" w14:textId="77777777" w:rsidR="00BB4C33" w:rsidRPr="00DA365B" w:rsidRDefault="00BB4C3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0D29582F" w14:textId="77777777" w:rsidR="00BB4C33" w:rsidRPr="00DA365B" w:rsidRDefault="003970E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Documentos que fueron puesto a la vista de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únicamente los siguientes archivos electrónicos </w:t>
      </w:r>
      <w:r w:rsidRPr="00DA365B">
        <w:rPr>
          <w:rFonts w:ascii="Palatino Linotype" w:eastAsia="Palatino Linotype" w:hAnsi="Palatino Linotype" w:cs="Palatino Linotype"/>
          <w:b/>
          <w:i/>
          <w:sz w:val="22"/>
          <w:szCs w:val="22"/>
        </w:rPr>
        <w:t xml:space="preserve">“acta de 4 </w:t>
      </w:r>
      <w:proofErr w:type="spellStart"/>
      <w:r w:rsidRPr="00DA365B">
        <w:rPr>
          <w:rFonts w:ascii="Palatino Linotype" w:eastAsia="Palatino Linotype" w:hAnsi="Palatino Linotype" w:cs="Palatino Linotype"/>
          <w:b/>
          <w:i/>
          <w:sz w:val="22"/>
          <w:szCs w:val="22"/>
        </w:rPr>
        <w:t>sesiòn</w:t>
      </w:r>
      <w:proofErr w:type="spellEnd"/>
      <w:r w:rsidRPr="00DA365B">
        <w:rPr>
          <w:rFonts w:ascii="Palatino Linotype" w:eastAsia="Palatino Linotype" w:hAnsi="Palatino Linotype" w:cs="Palatino Linotype"/>
          <w:b/>
          <w:i/>
          <w:sz w:val="22"/>
          <w:szCs w:val="22"/>
        </w:rPr>
        <w:t xml:space="preserve"> ordinaria 2024.zip, BASES DE DATOS DE LICENCIAS DE BEBIDAS ALCOHÓLICAS .</w:t>
      </w:r>
      <w:proofErr w:type="spellStart"/>
      <w:r w:rsidRPr="00DA365B">
        <w:rPr>
          <w:rFonts w:ascii="Palatino Linotype" w:eastAsia="Palatino Linotype" w:hAnsi="Palatino Linotype" w:cs="Palatino Linotype"/>
          <w:b/>
          <w:i/>
          <w:sz w:val="22"/>
          <w:szCs w:val="22"/>
        </w:rPr>
        <w:t>pdf</w:t>
      </w:r>
      <w:proofErr w:type="spellEnd"/>
      <w:r w:rsidRPr="00DA365B">
        <w:rPr>
          <w:rFonts w:ascii="Palatino Linotype" w:eastAsia="Palatino Linotype" w:hAnsi="Palatino Linotype" w:cs="Palatino Linotype"/>
          <w:b/>
          <w:i/>
          <w:sz w:val="22"/>
          <w:szCs w:val="22"/>
        </w:rPr>
        <w:t>”</w:t>
      </w:r>
      <w:r w:rsidRPr="00DA365B">
        <w:rPr>
          <w:rFonts w:ascii="Palatino Linotype" w:eastAsia="Palatino Linotype" w:hAnsi="Palatino Linotype" w:cs="Palatino Linotype"/>
          <w:sz w:val="22"/>
          <w:szCs w:val="22"/>
        </w:rPr>
        <w:t xml:space="preserve">, en fecha </w:t>
      </w:r>
      <w:r w:rsidRPr="00DA365B">
        <w:rPr>
          <w:rFonts w:ascii="Palatino Linotype" w:eastAsia="Palatino Linotype" w:hAnsi="Palatino Linotype" w:cs="Palatino Linotype"/>
          <w:b/>
          <w:sz w:val="22"/>
          <w:szCs w:val="22"/>
        </w:rPr>
        <w:t>veintiuno de agosto de dos mil veinticuatro</w:t>
      </w:r>
      <w:r w:rsidRPr="00DA365B">
        <w:rPr>
          <w:rFonts w:ascii="Palatino Linotype" w:eastAsia="Palatino Linotype" w:hAnsi="Palatino Linotype" w:cs="Palatino Linotype"/>
          <w:sz w:val="22"/>
          <w:szCs w:val="22"/>
        </w:rPr>
        <w:t xml:space="preserve">; no obstante, fue omisa en ejercer dicha prerrogativa. </w:t>
      </w:r>
    </w:p>
    <w:p w14:paraId="0628C936" w14:textId="77777777" w:rsidR="00BB4C33" w:rsidRPr="00DA365B" w:rsidRDefault="00BB4C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5BBD0B1" w14:textId="77777777" w:rsidR="00BB4C33" w:rsidRPr="00DA365B" w:rsidRDefault="003970ED">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Por lo que hace al archivo electrónico denominado </w:t>
      </w:r>
      <w:r w:rsidRPr="00DA365B">
        <w:rPr>
          <w:rFonts w:ascii="Palatino Linotype" w:eastAsia="Palatino Linotype" w:hAnsi="Palatino Linotype" w:cs="Palatino Linotype"/>
          <w:b/>
          <w:i/>
          <w:sz w:val="22"/>
          <w:szCs w:val="22"/>
        </w:rPr>
        <w:t>“CONTESTACION permisos bebidas alcoholicas.pdf”</w:t>
      </w:r>
      <w:r w:rsidRPr="00DA365B">
        <w:rPr>
          <w:rFonts w:ascii="Palatino Linotype" w:eastAsia="Palatino Linotype" w:hAnsi="Palatino Linotype" w:cs="Palatino Linotype"/>
          <w:sz w:val="22"/>
          <w:szCs w:val="22"/>
        </w:rPr>
        <w:t xml:space="preserve">, no fue puesto a la vista del particular, toda vez que de la revisión se advierte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dejo datos visibles que son considerados como confidenciales, aunado a que algunos de los hipervínculos del documento que remiten al Refrendo de la Licencia de Funcionamiento, contiene información privada de particulares, como lo es RFC. </w:t>
      </w:r>
    </w:p>
    <w:p w14:paraId="7141F95A" w14:textId="77777777" w:rsidR="00BB4C33" w:rsidRPr="00DA365B" w:rsidRDefault="00BB4C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0B07F6D9" w14:textId="77777777" w:rsidR="00BB4C33" w:rsidRPr="00DA365B" w:rsidRDefault="003970ED">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Cierre de instrucción. </w:t>
      </w:r>
      <w:r w:rsidRPr="00DA365B">
        <w:rPr>
          <w:rFonts w:ascii="Palatino Linotype" w:eastAsia="Palatino Linotype" w:hAnsi="Palatino Linotype" w:cs="Palatino Linotype"/>
          <w:sz w:val="22"/>
          <w:szCs w:val="22"/>
        </w:rPr>
        <w:t xml:space="preserve">El </w:t>
      </w:r>
      <w:r w:rsidRPr="00DA365B">
        <w:rPr>
          <w:rFonts w:ascii="Palatino Linotype" w:eastAsia="Palatino Linotype" w:hAnsi="Palatino Linotype" w:cs="Palatino Linotype"/>
          <w:b/>
          <w:sz w:val="22"/>
          <w:szCs w:val="22"/>
        </w:rPr>
        <w:t>veinti</w:t>
      </w:r>
      <w:r w:rsidR="00011077" w:rsidRPr="00DA365B">
        <w:rPr>
          <w:rFonts w:ascii="Palatino Linotype" w:eastAsia="Palatino Linotype" w:hAnsi="Palatino Linotype" w:cs="Palatino Linotype"/>
          <w:b/>
          <w:sz w:val="22"/>
          <w:szCs w:val="22"/>
        </w:rPr>
        <w:t xml:space="preserve">ocho </w:t>
      </w:r>
      <w:r w:rsidRPr="00DA365B">
        <w:rPr>
          <w:rFonts w:ascii="Palatino Linotype" w:eastAsia="Palatino Linotype" w:hAnsi="Palatino Linotype" w:cs="Palatino Linotype"/>
          <w:b/>
          <w:sz w:val="22"/>
          <w:szCs w:val="22"/>
        </w:rPr>
        <w:t>de agosto de dos mil veinticuatro</w:t>
      </w:r>
      <w:r w:rsidRPr="00DA365B">
        <w:rPr>
          <w:rFonts w:ascii="Palatino Linotype" w:eastAsia="Palatino Linotype" w:hAnsi="Palatino Linotype" w:cs="Palatino Linotype"/>
          <w:sz w:val="22"/>
          <w:szCs w:val="22"/>
        </w:rPr>
        <w:t xml:space="preserve">, la Comisionada Ponente determinó el cierre de instrucción en términos de la fracción VI del artículo 185 de </w:t>
      </w:r>
      <w:r w:rsidRPr="00DA365B">
        <w:rPr>
          <w:rFonts w:ascii="Palatino Linotype" w:eastAsia="Palatino Linotype" w:hAnsi="Palatino Linotype" w:cs="Palatino Linotype"/>
          <w:sz w:val="22"/>
          <w:szCs w:val="22"/>
        </w:rPr>
        <w:lastRenderedPageBreak/>
        <w:t>la Ley de Transparencia y Acceso a la Información Pública del Estado de México y Municipios.</w:t>
      </w:r>
    </w:p>
    <w:p w14:paraId="4B958DC4" w14:textId="77777777" w:rsidR="00BB4C33" w:rsidRPr="00DA365B" w:rsidRDefault="00BB4C3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36C751D"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D5BC5E"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4CA82C07" w14:textId="77777777" w:rsidR="00BB4C33" w:rsidRPr="00DA365B" w:rsidRDefault="003970ED">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DA365B">
        <w:rPr>
          <w:rFonts w:ascii="Palatino Linotype" w:eastAsia="Palatino Linotype" w:hAnsi="Palatino Linotype" w:cs="Palatino Linotype"/>
          <w:b/>
          <w:sz w:val="22"/>
          <w:szCs w:val="22"/>
        </w:rPr>
        <w:t>C O N S I D E R A N D O:</w:t>
      </w:r>
    </w:p>
    <w:p w14:paraId="6AADE620" w14:textId="77777777" w:rsidR="00BB4C33" w:rsidRPr="00DA365B" w:rsidRDefault="00BB4C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C6254CF"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Primero. Competencia. </w:t>
      </w:r>
      <w:r w:rsidRPr="00DA365B">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35C545A" w14:textId="77777777" w:rsidR="00BB4C33" w:rsidRPr="00DA365B" w:rsidRDefault="00BB4C33">
      <w:pPr>
        <w:spacing w:line="360" w:lineRule="auto"/>
        <w:jc w:val="both"/>
        <w:rPr>
          <w:rFonts w:ascii="Palatino Linotype" w:eastAsia="Palatino Linotype" w:hAnsi="Palatino Linotype" w:cs="Palatino Linotype"/>
          <w:b/>
          <w:sz w:val="22"/>
          <w:szCs w:val="22"/>
        </w:rPr>
      </w:pPr>
    </w:p>
    <w:p w14:paraId="181CE1A8"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Segundo. Oportunidad y Procedibilidad del Recurso de Revisión</w:t>
      </w:r>
      <w:r w:rsidRPr="00DA365B">
        <w:rPr>
          <w:rFonts w:ascii="Palatino Linotype" w:eastAsia="Palatino Linotype" w:hAnsi="Palatino Linotype" w:cs="Palatino Linotype"/>
          <w:sz w:val="22"/>
          <w:szCs w:val="22"/>
        </w:rPr>
        <w:t>. Es de precisar que la</w:t>
      </w:r>
      <w:r w:rsidRPr="00DA365B">
        <w:rPr>
          <w:rFonts w:ascii="Palatino Linotype" w:eastAsia="Palatino Linotype" w:hAnsi="Palatino Linotype" w:cs="Palatino Linotype"/>
          <w:b/>
          <w:sz w:val="22"/>
          <w:szCs w:val="22"/>
        </w:rPr>
        <w:t xml:space="preserve"> </w:t>
      </w:r>
      <w:r w:rsidRPr="00DA365B">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166, del tenor literal siguiente: </w:t>
      </w:r>
    </w:p>
    <w:p w14:paraId="27099F28"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72B930E"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lastRenderedPageBreak/>
        <w:t>“</w:t>
      </w:r>
      <w:r w:rsidRPr="00DA365B">
        <w:rPr>
          <w:rFonts w:ascii="Palatino Linotype" w:eastAsia="Palatino Linotype" w:hAnsi="Palatino Linotype" w:cs="Palatino Linotype"/>
          <w:b/>
          <w:i/>
          <w:sz w:val="22"/>
          <w:szCs w:val="22"/>
        </w:rPr>
        <w:t xml:space="preserve">Artículo 163. </w:t>
      </w:r>
      <w:r w:rsidRPr="00DA365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DB54B8B"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p>
    <w:p w14:paraId="4F1FC399"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Artículo 166.</w:t>
      </w:r>
      <w:r w:rsidRPr="00DA365B">
        <w:rPr>
          <w:rFonts w:ascii="Palatino Linotype" w:eastAsia="Palatino Linotype" w:hAnsi="Palatino Linotype" w:cs="Palatino Linotype"/>
          <w:i/>
          <w:sz w:val="22"/>
          <w:szCs w:val="22"/>
        </w:rPr>
        <w:t xml:space="preserve"> […]</w:t>
      </w:r>
    </w:p>
    <w:p w14:paraId="109FB5F4"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5A13FE4C"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presentar el recurso de revisión.</w:t>
      </w:r>
    </w:p>
    <w:p w14:paraId="4C0F8D57"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0BAE1362" w14:textId="77777777" w:rsidR="00BB4C33" w:rsidRPr="00DA365B" w:rsidRDefault="003970ED">
      <w:pPr>
        <w:spacing w:before="240" w:after="240" w:line="360" w:lineRule="auto"/>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sz w:val="22"/>
          <w:szCs w:val="22"/>
        </w:rPr>
        <w:t>Por su parte, el artículo 178 del citado ordenamiento, establece:</w:t>
      </w:r>
    </w:p>
    <w:p w14:paraId="302A42BC" w14:textId="77777777" w:rsidR="00BB4C33" w:rsidRPr="00DA365B" w:rsidRDefault="003970ED">
      <w:pPr>
        <w:spacing w:before="120" w:after="120"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 xml:space="preserve">Artículo 178. </w:t>
      </w:r>
      <w:r w:rsidRPr="00DA365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4EFF9C" w14:textId="77777777" w:rsidR="00BB4C33" w:rsidRPr="00DA365B" w:rsidRDefault="003970ED">
      <w:pPr>
        <w:spacing w:before="120" w:after="120"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1B0F14B"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De lo anterior, se advierte que el recurso de revisión se ha de interponer dentro del plazo de quince días hábiles, a partir de la fecha en que el </w:t>
      </w:r>
      <w:r w:rsidRPr="00DA365B">
        <w:rPr>
          <w:rFonts w:ascii="Palatino Linotype" w:eastAsia="Palatino Linotype" w:hAnsi="Palatino Linotype" w:cs="Palatino Linotype"/>
          <w:b/>
          <w:sz w:val="22"/>
          <w:szCs w:val="22"/>
        </w:rPr>
        <w:t xml:space="preserve">Sujeto Obligado </w:t>
      </w:r>
      <w:r w:rsidRPr="00DA365B">
        <w:rPr>
          <w:rFonts w:ascii="Palatino Linotype" w:eastAsia="Palatino Linotype" w:hAnsi="Palatino Linotype" w:cs="Palatino Linotype"/>
          <w:sz w:val="22"/>
          <w:szCs w:val="22"/>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0C259A20"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DA365B">
        <w:rPr>
          <w:rFonts w:ascii="Palatino Linotype" w:eastAsia="Palatino Linotype" w:hAnsi="Palatino Linotype" w:cs="Palatino Linotype"/>
          <w:b/>
          <w:sz w:val="22"/>
          <w:szCs w:val="22"/>
        </w:rPr>
        <w:t xml:space="preserve">Sujeto Obligado </w:t>
      </w:r>
      <w:r w:rsidRPr="00DA365B">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99662DE"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395B9CB1" w14:textId="77777777" w:rsidR="00BB4C33" w:rsidRPr="00DA365B" w:rsidRDefault="003970ED">
      <w:pPr>
        <w:spacing w:before="240" w:after="240" w:line="360" w:lineRule="auto"/>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éste tiene la posibilidad de impugnar dicha omisión en cualquier tiempo </w:t>
      </w:r>
      <w:r w:rsidRPr="00DA365B">
        <w:rPr>
          <w:rFonts w:ascii="Palatino Linotype" w:eastAsia="Palatino Linotype" w:hAnsi="Palatino Linotype" w:cs="Palatino Linotype"/>
          <w:sz w:val="22"/>
          <w:szCs w:val="22"/>
        </w:rPr>
        <w:lastRenderedPageBreak/>
        <w:t>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A96F511" w14:textId="77777777" w:rsidR="00BB4C33" w:rsidRPr="00DA365B" w:rsidRDefault="003970ED">
      <w:pPr>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“CRITERIO 0001-15. NEGATIVA FICTA. PLAZO PARA INTERPONER EL RECURSO DE REVISIÓN TRATÁNDOSE DE</w:t>
      </w:r>
      <w:r w:rsidRPr="00DA365B">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5C443A95"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408842D1"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Finalmente, antes de entrar al estudio de la presente resolución es preciso determinar si resulta procedente la interposición de los recursos de revisión, toda vez que se actualiza la hipótesis prevista en el artículo 179, fracción VII de la ley de la materia, que a la letra dice:</w:t>
      </w:r>
    </w:p>
    <w:p w14:paraId="467819DA" w14:textId="77777777" w:rsidR="00BB4C33" w:rsidRPr="00DA365B" w:rsidRDefault="003970ED">
      <w:pPr>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lastRenderedPageBreak/>
        <w:t>“</w:t>
      </w:r>
      <w:r w:rsidRPr="00DA365B">
        <w:rPr>
          <w:rFonts w:ascii="Palatino Linotype" w:eastAsia="Palatino Linotype" w:hAnsi="Palatino Linotype" w:cs="Palatino Linotype"/>
          <w:b/>
          <w:i/>
          <w:sz w:val="22"/>
          <w:szCs w:val="22"/>
        </w:rPr>
        <w:t xml:space="preserve">Artículo 179. </w:t>
      </w:r>
      <w:r w:rsidRPr="00DA365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8849671" w14:textId="77777777" w:rsidR="00BB4C33" w:rsidRPr="00DA365B" w:rsidRDefault="003970ED">
      <w:pPr>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p>
    <w:p w14:paraId="618C2326" w14:textId="77777777" w:rsidR="00BB4C33" w:rsidRPr="00DA365B" w:rsidRDefault="003970ED">
      <w:pPr>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 xml:space="preserve">VII. </w:t>
      </w:r>
      <w:r w:rsidRPr="00DA365B">
        <w:rPr>
          <w:rFonts w:ascii="Palatino Linotype" w:eastAsia="Palatino Linotype" w:hAnsi="Palatino Linotype" w:cs="Palatino Linotype"/>
          <w:i/>
          <w:sz w:val="22"/>
          <w:szCs w:val="22"/>
        </w:rPr>
        <w:t>La falta de respuesta a una solicitud de acceso a la información;”</w:t>
      </w:r>
    </w:p>
    <w:p w14:paraId="582D4830" w14:textId="77777777" w:rsidR="00BB4C33" w:rsidRPr="00DA365B" w:rsidRDefault="003970ED">
      <w:pPr>
        <w:spacing w:before="240" w:after="240" w:line="360" w:lineRule="auto"/>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sz w:val="22"/>
          <w:szCs w:val="22"/>
        </w:rPr>
        <w:t xml:space="preserve">El precepto legal citado, establece como supuesto de procedencia del recurso de revisión, en aquellos casos en que la parte </w:t>
      </w:r>
      <w:r w:rsidRPr="00DA365B">
        <w:rPr>
          <w:rFonts w:ascii="Palatino Linotype" w:eastAsia="Palatino Linotype" w:hAnsi="Palatino Linotype" w:cs="Palatino Linotype"/>
          <w:b/>
          <w:sz w:val="22"/>
          <w:szCs w:val="22"/>
        </w:rPr>
        <w:t xml:space="preserve">Recurrente </w:t>
      </w:r>
      <w:r w:rsidRPr="00DA365B">
        <w:rPr>
          <w:rFonts w:ascii="Palatino Linotype" w:eastAsia="Palatino Linotype" w:hAnsi="Palatino Linotype" w:cs="Palatino Linotype"/>
          <w:sz w:val="22"/>
          <w:szCs w:val="22"/>
        </w:rPr>
        <w:t xml:space="preserve">estime negado el acceso a la información por la falta de respuesta por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en este asunto se actualiza la hipótesis jurídica citada, en atención a que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combate falta de trámite por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y expresa motivos de inconformidad en contra de dicha circunstancia.</w:t>
      </w:r>
    </w:p>
    <w:p w14:paraId="5C373C0B"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Tercero. Materia de Revisión</w:t>
      </w:r>
      <w:r w:rsidRPr="00DA365B">
        <w:rPr>
          <w:rFonts w:ascii="Palatino Linotype" w:eastAsia="Palatino Linotype" w:hAnsi="Palatino Linotype" w:cs="Palatino Linotype"/>
          <w:sz w:val="22"/>
          <w:szCs w:val="22"/>
        </w:rPr>
        <w:t xml:space="preserve">: 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4E074D5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092E9FD5"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Cuarto. Estudio de fondo del asunto. </w:t>
      </w:r>
      <w:r w:rsidRPr="00DA365B">
        <w:rPr>
          <w:rFonts w:ascii="Palatino Linotype" w:eastAsia="Palatino Linotype" w:hAnsi="Palatino Linotype" w:cs="Palatino Linotype"/>
          <w:sz w:val="22"/>
          <w:szCs w:val="22"/>
        </w:rPr>
        <w:t xml:space="preserve">Como se puede observar en los antecedentes de la presente resolución, el Sujeto Obligado fue omiso en emitir respuesta a la solicitud de información; sin embargo, con posterioridad mediante Informe Justificado remitió un documento a través del cual atiende la solicitud de acceso a la información. </w:t>
      </w:r>
    </w:p>
    <w:p w14:paraId="5CB65BB6"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5AE92AD5"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razón de ello, con el fin de no dejar en estado de indefensión al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resulta oportuno analizar y determinar si la información proporcionada vía Informe Justificado, satisface el alcance y contenido del derecho de acceso a la información en términos del artículo 4 de la Ley de la materia, esto es, que cualquier persona tiene derecho al acceso de la información pública, información que consiste en aquella que sea generada, obtenida, adquirida, transformada, administrada o en posesión de los sujetos obligados, es pública y accesible de manera permanente a cualquier persona, privilegiando el principio de máxima </w:t>
      </w:r>
      <w:r w:rsidRPr="00DA365B">
        <w:rPr>
          <w:rFonts w:ascii="Palatino Linotype" w:eastAsia="Palatino Linotype" w:hAnsi="Palatino Linotype" w:cs="Palatino Linotype"/>
          <w:sz w:val="22"/>
          <w:szCs w:val="22"/>
        </w:rPr>
        <w:lastRenderedPageBreak/>
        <w:t>publicidad, como así lo establece dicha determinación, que a continuación se transcribe para un mejor entendimiento:</w:t>
      </w:r>
    </w:p>
    <w:p w14:paraId="3E1D25CA"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7F3F8C3F" w14:textId="77777777" w:rsidR="00BB4C33" w:rsidRPr="00DA365B" w:rsidRDefault="003970ED">
      <w:pPr>
        <w:tabs>
          <w:tab w:val="left" w:pos="851"/>
        </w:tabs>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Artículo 4</w:t>
      </w:r>
      <w:r w:rsidRPr="00DA365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F4533C" w14:textId="77777777" w:rsidR="00BB4C33" w:rsidRPr="00DA365B" w:rsidRDefault="003970ED">
      <w:pPr>
        <w:tabs>
          <w:tab w:val="left" w:pos="851"/>
        </w:tabs>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F29F280" w14:textId="77777777" w:rsidR="00BB4C33" w:rsidRPr="00DA365B" w:rsidRDefault="003970ED">
      <w:pPr>
        <w:tabs>
          <w:tab w:val="left" w:pos="851"/>
        </w:tabs>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solicitantes.”(Sic)</w:t>
      </w:r>
    </w:p>
    <w:p w14:paraId="5748D9D6"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20D9CF92"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EFCCBEF" w14:textId="77777777" w:rsidR="00BB4C33" w:rsidRPr="00DA365B" w:rsidRDefault="00BB4C33">
      <w:pPr>
        <w:spacing w:line="276" w:lineRule="auto"/>
        <w:ind w:left="567" w:right="616"/>
        <w:jc w:val="both"/>
        <w:rPr>
          <w:rFonts w:ascii="Palatino Linotype" w:eastAsia="Palatino Linotype" w:hAnsi="Palatino Linotype" w:cs="Palatino Linotype"/>
          <w:sz w:val="22"/>
          <w:szCs w:val="22"/>
        </w:rPr>
      </w:pPr>
    </w:p>
    <w:p w14:paraId="23287CFF"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Artículo 12.-</w:t>
      </w:r>
      <w:r w:rsidRPr="00DA365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500F10" w14:textId="77777777" w:rsidR="00BB4C33" w:rsidRPr="00DA365B" w:rsidRDefault="00BB4C33">
      <w:pPr>
        <w:spacing w:line="276" w:lineRule="auto"/>
        <w:ind w:left="851" w:right="616"/>
        <w:jc w:val="both"/>
        <w:rPr>
          <w:rFonts w:ascii="Palatino Linotype" w:eastAsia="Palatino Linotype" w:hAnsi="Palatino Linotype" w:cs="Palatino Linotype"/>
          <w:i/>
          <w:sz w:val="22"/>
          <w:szCs w:val="22"/>
        </w:rPr>
      </w:pPr>
    </w:p>
    <w:p w14:paraId="115EBD25"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A365B">
        <w:rPr>
          <w:rFonts w:ascii="Palatino Linotype" w:eastAsia="Palatino Linotype" w:hAnsi="Palatino Linotype" w:cs="Palatino Linotype"/>
          <w:i/>
          <w:sz w:val="22"/>
          <w:szCs w:val="22"/>
        </w:rPr>
        <w:t xml:space="preserve">.” </w:t>
      </w:r>
    </w:p>
    <w:p w14:paraId="7A8AF03B"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3F2F05B0" w14:textId="77777777" w:rsidR="00BB4C33" w:rsidRPr="00DA365B" w:rsidRDefault="003970ED">
      <w:pPr>
        <w:spacing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9FA0D54"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58DE0191" w14:textId="77777777" w:rsidR="00BB4C33" w:rsidRPr="00DA365B" w:rsidRDefault="003970ED">
      <w:pPr>
        <w:spacing w:line="360" w:lineRule="auto"/>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A365B">
        <w:rPr>
          <w:rFonts w:ascii="Palatino Linotype" w:eastAsia="Palatino Linotype" w:hAnsi="Palatino Linotype" w:cs="Palatino Linotype"/>
          <w:b/>
          <w:sz w:val="22"/>
          <w:szCs w:val="22"/>
        </w:rPr>
        <w:t xml:space="preserve"> </w:t>
      </w:r>
    </w:p>
    <w:p w14:paraId="57EEFE67" w14:textId="77777777" w:rsidR="00BB4C33" w:rsidRPr="00DA365B" w:rsidRDefault="00BB4C33">
      <w:pPr>
        <w:spacing w:line="276" w:lineRule="auto"/>
        <w:ind w:left="851" w:right="850"/>
        <w:jc w:val="both"/>
        <w:rPr>
          <w:rFonts w:ascii="Palatino Linotype" w:eastAsia="Palatino Linotype" w:hAnsi="Palatino Linotype" w:cs="Palatino Linotype"/>
          <w:sz w:val="22"/>
          <w:szCs w:val="22"/>
        </w:rPr>
      </w:pPr>
    </w:p>
    <w:p w14:paraId="06A29062"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No existe obligación de elaborar documentos ad hoc para atender las solicitudes de acceso a la información.</w:t>
      </w:r>
      <w:r w:rsidRPr="00DA365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589C6B6" w14:textId="77777777" w:rsidR="00BB4C33" w:rsidRPr="00DA365B" w:rsidRDefault="00BB4C33">
      <w:pPr>
        <w:spacing w:line="276" w:lineRule="auto"/>
        <w:ind w:left="567" w:right="616"/>
        <w:jc w:val="both"/>
        <w:rPr>
          <w:rFonts w:ascii="Palatino Linotype" w:eastAsia="Palatino Linotype" w:hAnsi="Palatino Linotype" w:cs="Palatino Linotype"/>
          <w:i/>
          <w:sz w:val="22"/>
          <w:szCs w:val="22"/>
        </w:rPr>
      </w:pPr>
    </w:p>
    <w:p w14:paraId="3198F60E"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4244AEE"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0F5B701E"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1E8F8B4"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2199E803"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 xml:space="preserve">Artículo 3. </w:t>
      </w:r>
      <w:r w:rsidRPr="00DA365B">
        <w:rPr>
          <w:rFonts w:ascii="Palatino Linotype" w:eastAsia="Palatino Linotype" w:hAnsi="Palatino Linotype" w:cs="Palatino Linotype"/>
          <w:i/>
          <w:sz w:val="22"/>
          <w:szCs w:val="22"/>
        </w:rPr>
        <w:t>Para los efectos de la presente Ley se entenderá por:</w:t>
      </w:r>
    </w:p>
    <w:p w14:paraId="28666DAB"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p>
    <w:p w14:paraId="7C8A03E5"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XI. Documento:</w:t>
      </w:r>
      <w:r w:rsidRPr="00DA365B">
        <w:rPr>
          <w:rFonts w:ascii="Palatino Linotype" w:eastAsia="Palatino Linotype" w:hAnsi="Palatino Linotype" w:cs="Palatino Linotype"/>
          <w:i/>
          <w:sz w:val="22"/>
          <w:szCs w:val="22"/>
        </w:rPr>
        <w:t xml:space="preserve"> Los expedientes, reportes, estudios, actas</w:t>
      </w:r>
      <w:r w:rsidRPr="00DA365B">
        <w:rPr>
          <w:rFonts w:ascii="Palatino Linotype" w:eastAsia="Palatino Linotype" w:hAnsi="Palatino Linotype" w:cs="Palatino Linotype"/>
          <w:b/>
          <w:i/>
          <w:sz w:val="22"/>
          <w:szCs w:val="22"/>
        </w:rPr>
        <w:t>,</w:t>
      </w:r>
      <w:r w:rsidRPr="00DA365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5C47308" w14:textId="77777777" w:rsidR="00BB4C33" w:rsidRPr="00DA365B" w:rsidRDefault="00BB4C33">
      <w:pPr>
        <w:spacing w:line="360" w:lineRule="auto"/>
        <w:ind w:left="851" w:right="899"/>
        <w:jc w:val="both"/>
        <w:rPr>
          <w:rFonts w:ascii="Palatino Linotype" w:eastAsia="Palatino Linotype" w:hAnsi="Palatino Linotype" w:cs="Palatino Linotype"/>
          <w:sz w:val="22"/>
          <w:szCs w:val="22"/>
        </w:rPr>
      </w:pPr>
    </w:p>
    <w:p w14:paraId="6C7DEA12"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DA365B">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3589B185" w14:textId="77777777" w:rsidR="00BB4C33" w:rsidRPr="00DA365B" w:rsidRDefault="00BB4C33">
      <w:pPr>
        <w:spacing w:line="360" w:lineRule="auto"/>
        <w:ind w:left="851" w:right="899"/>
        <w:jc w:val="both"/>
        <w:rPr>
          <w:rFonts w:ascii="Palatino Linotype" w:eastAsia="Palatino Linotype" w:hAnsi="Palatino Linotype" w:cs="Palatino Linotype"/>
          <w:sz w:val="22"/>
          <w:szCs w:val="22"/>
        </w:rPr>
      </w:pPr>
    </w:p>
    <w:p w14:paraId="7E6C1441"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sz w:val="22"/>
          <w:szCs w:val="22"/>
        </w:rPr>
        <w:t>“</w:t>
      </w:r>
      <w:r w:rsidRPr="00DA365B">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A365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351F2C2"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9DABA98"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73522F2"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C8A93EC"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6B59C828"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6E60974C" w14:textId="77777777" w:rsidR="00BB4C33" w:rsidRPr="00DA365B" w:rsidRDefault="003970ED">
      <w:pPr>
        <w:spacing w:line="360" w:lineRule="auto"/>
        <w:ind w:right="4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w:t>
      </w:r>
      <w:r w:rsidRPr="00DA365B">
        <w:rPr>
          <w:rFonts w:ascii="Palatino Linotype" w:eastAsia="Palatino Linotype" w:hAnsi="Palatino Linotype" w:cs="Palatino Linotype"/>
          <w:sz w:val="22"/>
          <w:szCs w:val="22"/>
        </w:rPr>
        <w:lastRenderedPageBreak/>
        <w:t>establece en la Ley de Transparencia y Acceso a la Información Pública del Estado de México y Municipios.</w:t>
      </w:r>
    </w:p>
    <w:p w14:paraId="0A9926B0"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06DECF4"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4281D44" w14:textId="77777777" w:rsidR="00BB4C33" w:rsidRPr="00DA365B" w:rsidRDefault="003970ED">
      <w:pPr>
        <w:spacing w:before="240" w:after="240" w:line="360" w:lineRule="auto"/>
        <w:ind w:right="5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requirió al </w:t>
      </w:r>
      <w:r w:rsidRPr="00DA365B">
        <w:rPr>
          <w:rFonts w:ascii="Palatino Linotype" w:eastAsia="Palatino Linotype" w:hAnsi="Palatino Linotype" w:cs="Palatino Linotype"/>
          <w:b/>
          <w:sz w:val="22"/>
          <w:szCs w:val="22"/>
        </w:rPr>
        <w:t xml:space="preserve">Sujeto Obligado </w:t>
      </w:r>
      <w:r w:rsidRPr="00DA365B">
        <w:rPr>
          <w:rFonts w:ascii="Palatino Linotype" w:eastAsia="Palatino Linotype" w:hAnsi="Palatino Linotype" w:cs="Palatino Linotype"/>
          <w:sz w:val="22"/>
          <w:szCs w:val="22"/>
        </w:rPr>
        <w:t>le proporcione, en formato XLS compatible con Excel, la información consistente en lo siguiente:</w:t>
      </w:r>
    </w:p>
    <w:p w14:paraId="11F77E44" w14:textId="77777777" w:rsidR="00BB4C33" w:rsidRPr="00DA365B" w:rsidRDefault="003970ED">
      <w:pPr>
        <w:numPr>
          <w:ilvl w:val="0"/>
          <w:numId w:val="4"/>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Base de datos del padrón actualizado de licencias otorgadas para la operación de establecimientos en los que se vende o consumen bebidas alcohólicas, otorgadas por la dirección de Desarrollo Económico, Turismo y la promoción del empleo, así como, su giro o modalidad, dirección de los establecimientos, los nombres y/o razones sociales de los titulares, y el hipervínculo del documento en el que obre cada una de las licencias.</w:t>
      </w:r>
    </w:p>
    <w:p w14:paraId="5EB3B1E5" w14:textId="77777777" w:rsidR="00BB4C33" w:rsidRPr="00DA365B" w:rsidRDefault="00BB4C3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EBC8B10" w14:textId="77777777" w:rsidR="00BB4C33" w:rsidRPr="00DA365B" w:rsidRDefault="003970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Por su parte,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omitió dar respuesta al requerimiento del particular.</w:t>
      </w:r>
    </w:p>
    <w:p w14:paraId="122FBBBC"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Inconforme por la falta de respuesta,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interpuso el recurso de revisión. </w:t>
      </w:r>
    </w:p>
    <w:p w14:paraId="4C41C362"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Una vez notificado el recurso de revisión al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mediante informe justificado, la Coordinadora de Turismo de Villa de Allende, informó que no tiene dichas atribuciones según el artículo 96 </w:t>
      </w:r>
      <w:proofErr w:type="spellStart"/>
      <w:r w:rsidRPr="00DA365B">
        <w:rPr>
          <w:rFonts w:ascii="Palatino Linotype" w:eastAsia="Palatino Linotype" w:hAnsi="Palatino Linotype" w:cs="Palatino Linotype"/>
          <w:sz w:val="22"/>
          <w:szCs w:val="22"/>
        </w:rPr>
        <w:t>Decies</w:t>
      </w:r>
      <w:proofErr w:type="spellEnd"/>
      <w:r w:rsidRPr="00DA365B">
        <w:rPr>
          <w:rFonts w:ascii="Palatino Linotype" w:eastAsia="Palatino Linotype" w:hAnsi="Palatino Linotype" w:cs="Palatino Linotype"/>
          <w:sz w:val="22"/>
          <w:szCs w:val="22"/>
        </w:rPr>
        <w:t>, de la Ley Orgánica Municipal del Estado de México.</w:t>
      </w:r>
    </w:p>
    <w:p w14:paraId="11F16743"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751334F3"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Aunado a ello, la Directora de Desarrollo Económico de Villa de Allende, informó la entrega de la información solicitada; adjuntando el documento en formato PDF  en el que se advierte el número de Licencia o Refrendo, Nombre /Razón social, RFC, Giro; Dirección, Localidad, Expedición, Vigencia, Impacto e Hipervínculo del documento, en versión pública; asimismo, hizo entrega del Acta de la Cuarta Sesión Ordinaria del Comité de Transparencia del Ayuntamiento de Villa de Allende 2024, de fecha once de julio de dos mil veinticuatro, mediante el cual se aprobó la clasificación de la información como confidencial, por contener información sensible que vuelve identificables a sus titulares, como lo son Apellidos Particulares, RFC Particular y Dirección de Particular, en términos del artículo 143 fracción I de la Ley de Transparencia y Acceso a la Información Pública del Estado de México y Municipios.</w:t>
      </w:r>
    </w:p>
    <w:p w14:paraId="7CE356A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87FE842" w14:textId="77777777" w:rsidR="00BB4C33" w:rsidRPr="00DA365B" w:rsidRDefault="003970ED">
      <w:pPr>
        <w:spacing w:after="240"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virtud de lo anterior, se determina que la respuesta emitida por el </w:t>
      </w:r>
      <w:r w:rsidRPr="00DA365B">
        <w:rPr>
          <w:rFonts w:ascii="Palatino Linotype" w:eastAsia="Palatino Linotype" w:hAnsi="Palatino Linotype" w:cs="Palatino Linotype"/>
          <w:b/>
          <w:sz w:val="22"/>
          <w:szCs w:val="22"/>
        </w:rPr>
        <w:t xml:space="preserve">SUJETO OBLIGADO </w:t>
      </w:r>
      <w:r w:rsidRPr="00DA365B">
        <w:rPr>
          <w:rFonts w:ascii="Palatino Linotype" w:eastAsia="Palatino Linotype" w:hAnsi="Palatino Linotype" w:cs="Palatino Linotype"/>
          <w:sz w:val="22"/>
          <w:szCs w:val="22"/>
        </w:rPr>
        <w:t>a través de su informe justificado no cumple con lo establecido por los artículos 4, 12, 24 último párrafo y 162 Ley de Transparencia y Acceso a la Información Pública del Estado de México y Municipios, conforme a lo siguiente:</w:t>
      </w:r>
    </w:p>
    <w:p w14:paraId="1DFE109C" w14:textId="77777777" w:rsidR="00BB4C33" w:rsidRPr="00DA365B" w:rsidRDefault="003970ED">
      <w:pPr>
        <w:spacing w:line="360" w:lineRule="auto"/>
        <w:ind w:right="4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Primeramente, si bien es cierto que la parte</w:t>
      </w:r>
      <w:r w:rsidRPr="00DA365B">
        <w:rPr>
          <w:rFonts w:ascii="Palatino Linotype" w:eastAsia="Palatino Linotype" w:hAnsi="Palatino Linotype" w:cs="Palatino Linotype"/>
          <w:b/>
          <w:sz w:val="22"/>
          <w:szCs w:val="22"/>
        </w:rPr>
        <w:t xml:space="preserve"> Recurrente</w:t>
      </w:r>
      <w:r w:rsidRPr="00DA365B">
        <w:rPr>
          <w:rFonts w:ascii="Palatino Linotype" w:eastAsia="Palatino Linotype" w:hAnsi="Palatino Linotype" w:cs="Palatino Linotype"/>
          <w:sz w:val="22"/>
          <w:szCs w:val="22"/>
        </w:rPr>
        <w:t xml:space="preserve"> no señaló de manera precisa la temporalidad de la información que requiere, lo cierto es que, de la solicitud se advierte </w:t>
      </w:r>
      <w:r w:rsidRPr="00DA365B">
        <w:rPr>
          <w:rFonts w:ascii="Palatino Linotype" w:eastAsia="Palatino Linotype" w:hAnsi="Palatino Linotype" w:cs="Palatino Linotype"/>
          <w:sz w:val="22"/>
          <w:szCs w:val="22"/>
        </w:rPr>
        <w:lastRenderedPageBreak/>
        <w:t xml:space="preserve">que el particular requiere la entrega del padrón actualizado y las licencias que correspondan con dicho padrón; por lo que, se advierte que solicita la información vigente a la fecha de la solicitud, esto es, al trece de junio de dos mil veinticuatro. </w:t>
      </w:r>
    </w:p>
    <w:p w14:paraId="36CFE1FA" w14:textId="77777777" w:rsidR="00BB4C33" w:rsidRPr="00DA365B" w:rsidRDefault="003970ED">
      <w:pPr>
        <w:spacing w:before="240" w:after="240"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Sobre la naturaleza de la información, resulta necesario traer a colación que de conformidad con el artículo 31 de la Ley Orgánica Municipal del Estado de México, los ayuntamientos cuentan con atribuciones para 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601CFB3A"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Aunado a lo anterior, el Código Financiero del Estado de México establece en su artículo 159 </w:t>
      </w:r>
      <w:r w:rsidRPr="00DA365B">
        <w:rPr>
          <w:rFonts w:ascii="Palatino Linotype" w:eastAsia="Palatino Linotype" w:hAnsi="Palatino Linotype" w:cs="Palatino Linotype"/>
          <w:i/>
          <w:sz w:val="22"/>
          <w:szCs w:val="22"/>
        </w:rPr>
        <w:t>“Los derechos por la expedición o refrendo anual de licencias para la venta de bebidas alcohólicas al público”</w:t>
      </w:r>
      <w:r w:rsidRPr="00DA365B">
        <w:rPr>
          <w:rFonts w:ascii="Palatino Linotype" w:eastAsia="Palatino Linotype" w:hAnsi="Palatino Linotype" w:cs="Palatino Linotype"/>
          <w:sz w:val="22"/>
          <w:szCs w:val="22"/>
        </w:rPr>
        <w:t>, que por la expedición o refrendo de licencias para vender bebidas alcohólicas al público en botella cerrada, o al copeo en general, en establecimientos comerciales, de servicios o de diversión y espectáculos públicos, se pagarán derechos conforme la tarifa que establece.</w:t>
      </w:r>
    </w:p>
    <w:p w14:paraId="52DEBDE1"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46274A76"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Ahora bien, la Ley de Competitividad y Ordenamiento Comercial del Estado de México, define a la licencia de funcionamiento en términos del artículo 2 fracciones I y XV respectivamente, como el acto administrativo que emite la autoridad, por el cual autoriza a una persona física o jurídica colectiva a desarrollar actividades económicas; mientras que una actividad económica, es el conjunto de acciones y recursos que emplean las unidades económicas para producir bienes o proporcionar servicios. </w:t>
      </w:r>
    </w:p>
    <w:p w14:paraId="6C60760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4B9C7FE6"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Aunado a ello, el artículo 7 del mismo ordenamiento, señala que a los municipios les corresponde crear, operar, digitalizar y mantener actualizado semanalmente el registro municipal a través de la Dirección de Desarrollo Económico, tal y como se muestra a continuación: </w:t>
      </w:r>
    </w:p>
    <w:p w14:paraId="4DE36B8D"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28A1E7A0"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Artículo 7.</w:t>
      </w:r>
      <w:r w:rsidRPr="00DA365B">
        <w:rPr>
          <w:rFonts w:ascii="Palatino Linotype" w:eastAsia="Palatino Linotype" w:hAnsi="Palatino Linotype" w:cs="Palatino Linotype"/>
          <w:i/>
          <w:sz w:val="22"/>
          <w:szCs w:val="22"/>
        </w:rPr>
        <w:t xml:space="preserve"> Corresponde a los municipios:</w:t>
      </w:r>
    </w:p>
    <w:p w14:paraId="663FB213"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I. </w:t>
      </w:r>
      <w:r w:rsidRPr="00DA365B">
        <w:rPr>
          <w:rFonts w:ascii="Palatino Linotype" w:eastAsia="Palatino Linotype" w:hAnsi="Palatino Linotype" w:cs="Palatino Linotype"/>
          <w:b/>
          <w:i/>
          <w:sz w:val="22"/>
          <w:szCs w:val="22"/>
          <w:u w:val="single"/>
        </w:rPr>
        <w:t>Crear el registro municipal</w:t>
      </w:r>
      <w:r w:rsidRPr="00DA365B">
        <w:rPr>
          <w:rFonts w:ascii="Palatino Linotype" w:eastAsia="Palatino Linotype" w:hAnsi="Palatino Linotype" w:cs="Palatino Linotype"/>
          <w:i/>
          <w:sz w:val="22"/>
          <w:szCs w:val="22"/>
        </w:rPr>
        <w:t>, donde se especifica la licencia de funcionamiento con la actividad de la unidad económica e impacto que generen, así como las demás características que se determinen.</w:t>
      </w:r>
    </w:p>
    <w:p w14:paraId="349F71A6"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w:t>
      </w:r>
    </w:p>
    <w:p w14:paraId="63D7B29D"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 xml:space="preserve">III. Operar, digitalizar y </w:t>
      </w:r>
      <w:r w:rsidRPr="00DA365B">
        <w:rPr>
          <w:rFonts w:ascii="Palatino Linotype" w:eastAsia="Palatino Linotype" w:hAnsi="Palatino Linotype" w:cs="Palatino Linotype"/>
          <w:b/>
          <w:i/>
          <w:sz w:val="22"/>
          <w:szCs w:val="22"/>
          <w:u w:val="single"/>
        </w:rPr>
        <w:t>mantener, semanalmente actualizado, el registro municipal, a través de la Dirección de Desarrollo Económico o su equivalente,</w:t>
      </w:r>
      <w:r w:rsidRPr="00DA365B">
        <w:rPr>
          <w:rFonts w:ascii="Palatino Linotype" w:eastAsia="Palatino Linotype" w:hAnsi="Palatino Linotype" w:cs="Palatino Linotype"/>
          <w:i/>
          <w:sz w:val="22"/>
          <w:szCs w:val="22"/>
        </w:rPr>
        <w:t xml:space="preserve"> que opere en su demarcación, el cual deberá publicarse en el portal de Internet del municipio.</w:t>
      </w:r>
    </w:p>
    <w:p w14:paraId="64EC0B8C"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u w:val="single"/>
        </w:rPr>
      </w:pPr>
      <w:r w:rsidRPr="00DA365B">
        <w:rPr>
          <w:rFonts w:ascii="Palatino Linotype" w:eastAsia="Palatino Linotype" w:hAnsi="Palatino Linotype" w:cs="Palatino Linotype"/>
          <w:i/>
          <w:sz w:val="22"/>
          <w:szCs w:val="22"/>
        </w:rPr>
        <w:t xml:space="preserve">IV. </w:t>
      </w:r>
      <w:r w:rsidRPr="00DA365B">
        <w:rPr>
          <w:rFonts w:ascii="Palatino Linotype" w:eastAsia="Palatino Linotype" w:hAnsi="Palatino Linotype" w:cs="Palatino Linotype"/>
          <w:b/>
          <w:i/>
          <w:sz w:val="22"/>
          <w:szCs w:val="22"/>
          <w:u w:val="single"/>
        </w:rPr>
        <w:t>Enviar, dentro de los cinco días hábiles siguientes de cada mes calendario la actualización de su registro municipal, el informe correspondiente a las autoridades estatales, para actualizar el registro estatal.</w:t>
      </w:r>
    </w:p>
    <w:p w14:paraId="4E83E3E2"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V. Resguardar y actualizar el archivo físico y digital con los documentos requeridos por las leyes para la expedición y refrendo de las licencias correspondientes</w:t>
      </w:r>
    </w:p>
    <w:p w14:paraId="34CA2FC4"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VI a X…”</w:t>
      </w:r>
    </w:p>
    <w:p w14:paraId="4B9743CD"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(Énfasis Añadido)</w:t>
      </w:r>
    </w:p>
    <w:p w14:paraId="0510E1E6" w14:textId="77777777" w:rsidR="00BB4C33" w:rsidRPr="00DA365B" w:rsidRDefault="00BB4C33">
      <w:pPr>
        <w:spacing w:line="360" w:lineRule="auto"/>
        <w:ind w:right="539"/>
        <w:jc w:val="both"/>
        <w:rPr>
          <w:rFonts w:ascii="Palatino Linotype" w:eastAsia="Palatino Linotype" w:hAnsi="Palatino Linotype" w:cs="Palatino Linotype"/>
          <w:sz w:val="22"/>
          <w:szCs w:val="22"/>
        </w:rPr>
      </w:pPr>
    </w:p>
    <w:p w14:paraId="73B6E089" w14:textId="77777777" w:rsidR="00BB4C33" w:rsidRPr="00DA365B" w:rsidRDefault="003970ED">
      <w:pPr>
        <w:spacing w:line="360" w:lineRule="auto"/>
        <w:ind w:right="4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Bajo esa misma premisa, en su artículo 10 refiere que los registros tienen como finalidad crear una base de datos confiable, actualizada e integrada de las unidades económicas que se </w:t>
      </w:r>
      <w:proofErr w:type="spellStart"/>
      <w:r w:rsidRPr="00DA365B">
        <w:rPr>
          <w:rFonts w:ascii="Palatino Linotype" w:eastAsia="Palatino Linotype" w:hAnsi="Palatino Linotype" w:cs="Palatino Linotype"/>
          <w:sz w:val="22"/>
          <w:szCs w:val="22"/>
        </w:rPr>
        <w:t>aperturen</w:t>
      </w:r>
      <w:proofErr w:type="spellEnd"/>
      <w:r w:rsidRPr="00DA365B">
        <w:rPr>
          <w:rFonts w:ascii="Palatino Linotype" w:eastAsia="Palatino Linotype" w:hAnsi="Palatino Linotype" w:cs="Palatino Linotype"/>
          <w:sz w:val="22"/>
          <w:szCs w:val="22"/>
        </w:rPr>
        <w:t xml:space="preserve">, mismos que contendrán por lo menos los siguientes datos: </w:t>
      </w:r>
    </w:p>
    <w:p w14:paraId="49D0D983"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6C354616"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sz w:val="22"/>
          <w:szCs w:val="22"/>
        </w:rPr>
        <w:t>“</w:t>
      </w:r>
      <w:r w:rsidRPr="00DA365B">
        <w:rPr>
          <w:rFonts w:ascii="Palatino Linotype" w:eastAsia="Palatino Linotype" w:hAnsi="Palatino Linotype" w:cs="Palatino Linotype"/>
          <w:b/>
          <w:i/>
          <w:sz w:val="22"/>
          <w:szCs w:val="22"/>
        </w:rPr>
        <w:t>Artículo 10</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 xml:space="preserve">Los registros tienen como finalidad </w:t>
      </w:r>
      <w:r w:rsidRPr="00DA365B">
        <w:rPr>
          <w:rFonts w:ascii="Palatino Linotype" w:eastAsia="Palatino Linotype" w:hAnsi="Palatino Linotype" w:cs="Palatino Linotype"/>
          <w:b/>
          <w:i/>
          <w:sz w:val="22"/>
          <w:szCs w:val="22"/>
          <w:u w:val="single"/>
        </w:rPr>
        <w:t>crear una base de datos confiable</w:t>
      </w:r>
      <w:r w:rsidRPr="00DA365B">
        <w:rPr>
          <w:rFonts w:ascii="Palatino Linotype" w:eastAsia="Palatino Linotype" w:hAnsi="Palatino Linotype" w:cs="Palatino Linotype"/>
          <w:b/>
          <w:i/>
          <w:sz w:val="22"/>
          <w:szCs w:val="22"/>
        </w:rPr>
        <w:t xml:space="preserve">, </w:t>
      </w:r>
      <w:r w:rsidRPr="00DA365B">
        <w:rPr>
          <w:rFonts w:ascii="Palatino Linotype" w:eastAsia="Palatino Linotype" w:hAnsi="Palatino Linotype" w:cs="Palatino Linotype"/>
          <w:i/>
          <w:sz w:val="22"/>
          <w:szCs w:val="22"/>
        </w:rPr>
        <w:t xml:space="preserve">actualizada e integrada a nivel estatal y municipal de las unidades económicas que se </w:t>
      </w:r>
      <w:proofErr w:type="spellStart"/>
      <w:r w:rsidRPr="00DA365B">
        <w:rPr>
          <w:rFonts w:ascii="Palatino Linotype" w:eastAsia="Palatino Linotype" w:hAnsi="Palatino Linotype" w:cs="Palatino Linotype"/>
          <w:i/>
          <w:sz w:val="22"/>
          <w:szCs w:val="22"/>
        </w:rPr>
        <w:t>aperturen</w:t>
      </w:r>
      <w:proofErr w:type="spellEnd"/>
      <w:r w:rsidRPr="00DA365B">
        <w:rPr>
          <w:rFonts w:ascii="Palatino Linotype" w:eastAsia="Palatino Linotype" w:hAnsi="Palatino Linotype" w:cs="Palatino Linotype"/>
          <w:i/>
          <w:sz w:val="22"/>
          <w:szCs w:val="22"/>
        </w:rPr>
        <w:t xml:space="preserve"> en el territorio de la Entidad.</w:t>
      </w:r>
    </w:p>
    <w:p w14:paraId="52CEAF7B" w14:textId="77777777" w:rsidR="00BB4C33" w:rsidRPr="00DA365B" w:rsidRDefault="00BB4C33">
      <w:pPr>
        <w:spacing w:line="276" w:lineRule="auto"/>
        <w:ind w:left="851" w:right="616"/>
        <w:jc w:val="both"/>
        <w:rPr>
          <w:rFonts w:ascii="Palatino Linotype" w:eastAsia="Palatino Linotype" w:hAnsi="Palatino Linotype" w:cs="Palatino Linotype"/>
          <w:i/>
          <w:sz w:val="22"/>
          <w:szCs w:val="22"/>
        </w:rPr>
      </w:pPr>
    </w:p>
    <w:p w14:paraId="5E2ED454"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lastRenderedPageBreak/>
        <w:t>Artículo 11.</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u w:val="single"/>
        </w:rPr>
        <w:t>El registro incluirá al menos los datos siguientes</w:t>
      </w:r>
      <w:r w:rsidRPr="00DA365B">
        <w:rPr>
          <w:rFonts w:ascii="Palatino Linotype" w:eastAsia="Palatino Linotype" w:hAnsi="Palatino Linotype" w:cs="Palatino Linotype"/>
          <w:i/>
          <w:sz w:val="22"/>
          <w:szCs w:val="22"/>
        </w:rPr>
        <w:t>:</w:t>
      </w:r>
    </w:p>
    <w:p w14:paraId="459481C4"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 Clave única, que se integrará de una serie alfanumérica.</w:t>
      </w:r>
    </w:p>
    <w:p w14:paraId="6D432194"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 Nombre del municipio.</w:t>
      </w:r>
    </w:p>
    <w:p w14:paraId="436C21C0"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III. Nombre del titular.</w:t>
      </w:r>
    </w:p>
    <w:p w14:paraId="2657ADAD"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IV. Actividad económica.</w:t>
      </w:r>
    </w:p>
    <w:p w14:paraId="0CAE810B"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V. Fecha de inicio de actividades.</w:t>
      </w:r>
    </w:p>
    <w:p w14:paraId="1D994982"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VI. Tipo de impacto.</w:t>
      </w:r>
    </w:p>
    <w:p w14:paraId="1CA5B0C8"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VII. Domicilio de la unidad económica.</w:t>
      </w:r>
    </w:p>
    <w:p w14:paraId="1B7BB71C"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VIII. Visitas y procedimientos de verificación en su caso.</w:t>
      </w:r>
    </w:p>
    <w:p w14:paraId="742C6777"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IX. Sanciones en su caso.</w:t>
      </w:r>
    </w:p>
    <w:p w14:paraId="668A2635"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X. Las demás que le confieran esta Ley y otras disposiciones aplicables.”</w:t>
      </w:r>
    </w:p>
    <w:p w14:paraId="5CE8A15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6382312A"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Aunado a lo anterior, sobre las unidades económicas dedicadas a la venta y/o distribución de bebidas alcohólicas el artículo 70 señala que la Dirección de Desarrollo Económico o unidad administrativa equivalente en el municipio creará y actualizará el registro de las unidades económicas que cuenten con el Dictamen de Giro, para la solicitud o refrendo de licencias de funcionamiento.</w:t>
      </w:r>
    </w:p>
    <w:p w14:paraId="14A4F8B2"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17E56F60"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De la normatividad citada, se desprende que corresponde al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crear el registro municipal en donde se especifique el número de las licencias de funcionamiento con la actividad económica que realicen los particulares en las que se les denomina unidades económicas al lugar en donde realicen sus actividades y para ello los solicitantes deben cubrir ciertos requisitos que contiene los datos requeridos por el Particular. </w:t>
      </w:r>
    </w:p>
    <w:p w14:paraId="57EE7DE1"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73600FEE"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Aunado a lo anterior, sobre la naturaleza de las licencias</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sz w:val="22"/>
          <w:szCs w:val="22"/>
        </w:rPr>
        <w:t xml:space="preserve">se debe indicar que no sólo se trata de información pública, sino además que corresponde a las obligaciones de transparencia, de acuerdo a lo señalado en el artículo 92, fracción XXXII, de la Ley de Transparencia y </w:t>
      </w:r>
      <w:r w:rsidRPr="00DA365B">
        <w:rPr>
          <w:rFonts w:ascii="Palatino Linotype" w:eastAsia="Palatino Linotype" w:hAnsi="Palatino Linotype" w:cs="Palatino Linotype"/>
          <w:sz w:val="22"/>
          <w:szCs w:val="22"/>
        </w:rPr>
        <w:lastRenderedPageBreak/>
        <w:t>Acceso a la Información Pública del Estado de México y Municipios, que se transcribe a continuación:</w:t>
      </w:r>
    </w:p>
    <w:p w14:paraId="47500C94"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64FF71FD"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“Artículo 92.</w:t>
      </w:r>
      <w:r w:rsidRPr="00DA365B">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6C4EA27"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w:t>
      </w:r>
    </w:p>
    <w:p w14:paraId="3B579B95"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 xml:space="preserve">XXXII. </w:t>
      </w:r>
      <w:r w:rsidRPr="00DA365B">
        <w:rPr>
          <w:rFonts w:ascii="Palatino Linotype" w:eastAsia="Palatino Linotype" w:hAnsi="Palatino Linotype" w:cs="Palatino Linotype"/>
          <w:i/>
          <w:sz w:val="22"/>
          <w:szCs w:val="22"/>
        </w:rPr>
        <w:t>Las concesiones, contratos, convenios, permisos</w:t>
      </w:r>
      <w:r w:rsidRPr="00DA365B">
        <w:rPr>
          <w:rFonts w:ascii="Palatino Linotype" w:eastAsia="Palatino Linotype" w:hAnsi="Palatino Linotype" w:cs="Palatino Linotype"/>
          <w:b/>
          <w:i/>
          <w:sz w:val="22"/>
          <w:szCs w:val="22"/>
        </w:rPr>
        <w:t xml:space="preserve">, </w:t>
      </w:r>
      <w:r w:rsidRPr="00DA365B">
        <w:rPr>
          <w:rFonts w:ascii="Palatino Linotype" w:eastAsia="Palatino Linotype" w:hAnsi="Palatino Linotype" w:cs="Palatino Linotype"/>
          <w:b/>
          <w:i/>
          <w:sz w:val="22"/>
          <w:szCs w:val="22"/>
          <w:u w:val="single"/>
        </w:rPr>
        <w:t>licencias o autorizaciones otorgados</w:t>
      </w:r>
      <w:r w:rsidRPr="00DA365B">
        <w:rPr>
          <w:rFonts w:ascii="Palatino Linotype" w:eastAsia="Palatino Linotype" w:hAnsi="Palatino Linotype" w:cs="Palatino Linotype"/>
          <w:i/>
          <w:sz w:val="22"/>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DA365B">
        <w:rPr>
          <w:rFonts w:ascii="Palatino Linotype" w:eastAsia="Palatino Linotype" w:hAnsi="Palatino Linotype" w:cs="Palatino Linotype"/>
          <w:b/>
          <w:i/>
          <w:sz w:val="22"/>
          <w:szCs w:val="22"/>
        </w:rPr>
        <w:t xml:space="preserve"> </w:t>
      </w:r>
    </w:p>
    <w:p w14:paraId="2AF86C8F"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w:t>
      </w:r>
    </w:p>
    <w:p w14:paraId="17698417"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45FD2D8A"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Expuesto lo anterior, se concluye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cuenta con atribuciones para generar poseer y/o administrar la información solicitada, a través de la Dirección de Desarrollo Económico. </w:t>
      </w:r>
    </w:p>
    <w:p w14:paraId="1CC8D00A"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mérito de lo expuesto, resulta importante señalar que de la revisión al expediente electrónico se advierte que la unidad de transparencia turnó la solicitud de información a la Dirección de Desarrollo Económico, esto mediante el oficio número UTAIPA/VA/425/2024, mediante el cual solicitó a la referida dirección la información solicitada,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5EE1DF5B" w14:textId="77777777" w:rsidR="00BB4C33" w:rsidRPr="00DA365B" w:rsidRDefault="003970ED">
      <w:pPr>
        <w:spacing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w:t>
      </w:r>
      <w:r w:rsidRPr="00DA365B">
        <w:rPr>
          <w:rFonts w:ascii="Palatino Linotype" w:eastAsia="Palatino Linotype" w:hAnsi="Palatino Linotype" w:cs="Palatino Linotype"/>
          <w:sz w:val="22"/>
          <w:szCs w:val="22"/>
        </w:rPr>
        <w:lastRenderedPageBreak/>
        <w:t xml:space="preserve">información; por lo que, son las responsables de hacer las notificaciones correspondientes, además de llevar a cabo todas las gestiones necesarias para facilitar el acceso de la información; </w:t>
      </w:r>
    </w:p>
    <w:p w14:paraId="1A428A17" w14:textId="77777777" w:rsidR="00BB4C33" w:rsidRPr="00DA365B" w:rsidRDefault="003970ED">
      <w:pPr>
        <w:spacing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05B85AA4" w14:textId="77777777" w:rsidR="00BB4C33" w:rsidRPr="00DA365B" w:rsidRDefault="003970ED">
      <w:pPr>
        <w:spacing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0C7A0798" w14:textId="77777777" w:rsidR="00BB4C33" w:rsidRPr="00DA365B" w:rsidRDefault="003970ED">
      <w:pPr>
        <w:spacing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08206AB" w14:textId="77777777" w:rsidR="00BB4C33" w:rsidRPr="00DA365B" w:rsidRDefault="003970ED">
      <w:pPr>
        <w:spacing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5746ADA7" w14:textId="77777777" w:rsidR="00BB4C33" w:rsidRPr="00DA365B" w:rsidRDefault="003970ED">
      <w:pPr>
        <w:spacing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D80D036"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En este orden de ideas, se reitera que la Unidad de Transparencia turnó la solicitud de información a la Dirección de Desarrollo Económico, al ser la unidad administrativa competente, ello de conformidad con lo previsto por la Ley Orgánica Municipal del Estado de México en su artículo 96 </w:t>
      </w:r>
      <w:proofErr w:type="spellStart"/>
      <w:r w:rsidRPr="00DA365B">
        <w:rPr>
          <w:rFonts w:ascii="Palatino Linotype" w:eastAsia="Palatino Linotype" w:hAnsi="Palatino Linotype" w:cs="Palatino Linotype"/>
          <w:sz w:val="22"/>
          <w:szCs w:val="22"/>
        </w:rPr>
        <w:t>Quáter</w:t>
      </w:r>
      <w:proofErr w:type="spellEnd"/>
      <w:r w:rsidRPr="00DA365B">
        <w:rPr>
          <w:rFonts w:ascii="Palatino Linotype" w:eastAsia="Palatino Linotype" w:hAnsi="Palatino Linotype" w:cs="Palatino Linotype"/>
          <w:sz w:val="22"/>
          <w:szCs w:val="22"/>
        </w:rPr>
        <w:t xml:space="preserve">, el cual señala que tiene atribuciones para el otorgamiento de permisos y licencias para la apertura y funcionamiento de unidades económicas, como se observa a continuación: </w:t>
      </w:r>
    </w:p>
    <w:p w14:paraId="61C07AB6" w14:textId="77777777" w:rsidR="00BB4C33" w:rsidRPr="00DA365B" w:rsidRDefault="003970ED">
      <w:pPr>
        <w:spacing w:line="276" w:lineRule="auto"/>
        <w:ind w:left="851" w:right="616"/>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 xml:space="preserve">Artículo 96 </w:t>
      </w:r>
      <w:proofErr w:type="spellStart"/>
      <w:r w:rsidRPr="00DA365B">
        <w:rPr>
          <w:rFonts w:ascii="Palatino Linotype" w:eastAsia="Palatino Linotype" w:hAnsi="Palatino Linotype" w:cs="Palatino Linotype"/>
          <w:b/>
          <w:i/>
          <w:sz w:val="22"/>
          <w:szCs w:val="22"/>
        </w:rPr>
        <w:t>Quáter</w:t>
      </w:r>
      <w:proofErr w:type="spellEnd"/>
      <w:r w:rsidRPr="00DA365B">
        <w:rPr>
          <w:rFonts w:ascii="Palatino Linotype" w:eastAsia="Palatino Linotype" w:hAnsi="Palatino Linotype" w:cs="Palatino Linotype"/>
          <w:i/>
          <w:sz w:val="22"/>
          <w:szCs w:val="22"/>
        </w:rPr>
        <w:t xml:space="preserve">.- El Titular de la </w:t>
      </w:r>
      <w:r w:rsidRPr="00DA365B">
        <w:rPr>
          <w:rFonts w:ascii="Palatino Linotype" w:eastAsia="Palatino Linotype" w:hAnsi="Palatino Linotype" w:cs="Palatino Linotype"/>
          <w:b/>
          <w:i/>
          <w:sz w:val="22"/>
          <w:szCs w:val="22"/>
        </w:rPr>
        <w:t>Dirección de Desarrollo Económico Municipal</w:t>
      </w:r>
      <w:r w:rsidRPr="00DA365B">
        <w:rPr>
          <w:rFonts w:ascii="Palatino Linotype" w:eastAsia="Palatino Linotype" w:hAnsi="Palatino Linotype" w:cs="Palatino Linotype"/>
          <w:i/>
          <w:sz w:val="22"/>
          <w:szCs w:val="22"/>
        </w:rPr>
        <w:t xml:space="preserve"> o el Titular de la Unidad Administrativa equivalente, tiene </w:t>
      </w:r>
      <w:r w:rsidRPr="00DA365B">
        <w:rPr>
          <w:rFonts w:ascii="Palatino Linotype" w:eastAsia="Palatino Linotype" w:hAnsi="Palatino Linotype" w:cs="Palatino Linotype"/>
          <w:b/>
          <w:i/>
          <w:sz w:val="22"/>
          <w:szCs w:val="22"/>
        </w:rPr>
        <w:t>las siguientes atribuciones:</w:t>
      </w:r>
    </w:p>
    <w:p w14:paraId="303082D1"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p>
    <w:p w14:paraId="50175894"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2AADF8A3"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p>
    <w:p w14:paraId="6F285B01"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XVIII. Conducir la coordinación interinstitucional de las dependencias municipales a las que corresponda conocer sobre </w:t>
      </w:r>
      <w:r w:rsidRPr="00DA365B">
        <w:rPr>
          <w:rFonts w:ascii="Palatino Linotype" w:eastAsia="Palatino Linotype" w:hAnsi="Palatino Linotype" w:cs="Palatino Linotype"/>
          <w:b/>
          <w:i/>
          <w:sz w:val="22"/>
          <w:szCs w:val="22"/>
        </w:rPr>
        <w:t>el otorgamiento de permisos y licencias para la apertura y funcionamiento de unidades económicas</w:t>
      </w:r>
      <w:r w:rsidRPr="00DA365B">
        <w:rPr>
          <w:rFonts w:ascii="Palatino Linotype" w:eastAsia="Palatino Linotype" w:hAnsi="Palatino Linotype" w:cs="Palatino Linotype"/>
          <w:i/>
          <w:sz w:val="22"/>
          <w:szCs w:val="22"/>
        </w:rPr>
        <w:t>;</w:t>
      </w:r>
    </w:p>
    <w:p w14:paraId="7A3834BD" w14:textId="77777777" w:rsidR="00BB4C33" w:rsidRPr="00DA365B" w:rsidRDefault="003970ED">
      <w:pP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14:paraId="594C2EC5" w14:textId="77777777" w:rsidR="00BB4C33" w:rsidRPr="00DA365B" w:rsidRDefault="003970ED">
      <w:pPr>
        <w:spacing w:line="276" w:lineRule="auto"/>
        <w:ind w:left="851" w:right="616"/>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 xml:space="preserve">XIX. </w:t>
      </w:r>
      <w:r w:rsidRPr="00DA365B">
        <w:rPr>
          <w:rFonts w:ascii="Palatino Linotype" w:eastAsia="Palatino Linotype" w:hAnsi="Palatino Linotype" w:cs="Palatino Linotype"/>
          <w:b/>
          <w:i/>
          <w:sz w:val="22"/>
          <w:szCs w:val="22"/>
        </w:rPr>
        <w:t>Operar y actualizar el Registro Municipal de Unidades Económicas de los permisos o licencias de funcionamiento otorgadas a las unidades económicas respectivas</w:t>
      </w:r>
      <w:r w:rsidRPr="00DA365B">
        <w:rPr>
          <w:rFonts w:ascii="Palatino Linotype" w:eastAsia="Palatino Linotype" w:hAnsi="Palatino Linotype" w:cs="Palatino Linotype"/>
          <w:i/>
          <w:sz w:val="22"/>
          <w:szCs w:val="22"/>
        </w:rPr>
        <w:t xml:space="preserve">, así como remitir dentro de los cinco días hábiles siguientes los datos generados al Sistema que al efecto integre la Secretaría de Desarrollo Económico, a la Secretaría de Seguridad y a la Fiscalía General de Justicia </w:t>
      </w:r>
      <w:r w:rsidRPr="00DA365B">
        <w:rPr>
          <w:rFonts w:ascii="Palatino Linotype" w:eastAsia="Palatino Linotype" w:hAnsi="Palatino Linotype" w:cs="Palatino Linotype"/>
          <w:i/>
          <w:sz w:val="22"/>
          <w:szCs w:val="22"/>
        </w:rPr>
        <w:lastRenderedPageBreak/>
        <w:t>del Estado de México, la información respectiva;</w:t>
      </w:r>
      <w:r w:rsidRPr="00DA365B">
        <w:rPr>
          <w:rFonts w:ascii="Palatino Linotype" w:eastAsia="Palatino Linotype" w:hAnsi="Palatino Linotype" w:cs="Palatino Linotype"/>
          <w:i/>
          <w:sz w:val="22"/>
          <w:szCs w:val="22"/>
        </w:rPr>
        <w:br/>
        <w:t>…”</w:t>
      </w:r>
    </w:p>
    <w:p w14:paraId="5AAB1BFF"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715DFD12"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Por lo anterior, se advierte que en efecto, la Dirección de Desarrollo Económico, es la unidad administrativa que cuenta con atribuciones para generar, poseer y administrar la información. </w:t>
      </w:r>
    </w:p>
    <w:p w14:paraId="3DC289E9"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6B31788C"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Puntualizado lo anterior, cabe recordar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a través de la Dirección de Desarrollo Económico, hizo entrega mediante Informe Justificado, el documento que contiene 45 registros de establecimientos con giro para venta de Bebidas Alcohólicas, de los meses de enero a junio de dos mil veinticuatro, entendiéndose que es la información que tiene vigente a la fecha de la solicitud, es decir, vigente al trece de junio de dos mil veinticuatro. </w:t>
      </w:r>
    </w:p>
    <w:p w14:paraId="63EA88F2"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37948FF2"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Ahora bien, por lo que hace al Listado entregado en informe, el Sujeto Obligado testó información consistente en Apellidos, RFC Particular y Dirección de Particular, en términos del artículo 143 fracción I de la Ley de Transparencia y Acceso a la Información Pública del Estado de México y Municipios, de conformidad con el Acta de la Cuarta Sesión Ordinaria del Comité de Transparencia del Ayuntamiento de Villa de Allende 2024, tal y como se muestra a continuación: </w:t>
      </w:r>
    </w:p>
    <w:p w14:paraId="5962FD32"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45984F8A"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noProof/>
          <w:sz w:val="22"/>
          <w:szCs w:val="22"/>
          <w:lang w:val="es-MX" w:eastAsia="es-MX"/>
        </w:rPr>
        <w:drawing>
          <wp:inline distT="0" distB="0" distL="0" distR="0" wp14:anchorId="15F6EC4B" wp14:editId="3CD3B0FF">
            <wp:extent cx="5612130" cy="532130"/>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532130"/>
                    </a:xfrm>
                    <a:prstGeom prst="rect">
                      <a:avLst/>
                    </a:prstGeom>
                    <a:ln/>
                  </pic:spPr>
                </pic:pic>
              </a:graphicData>
            </a:graphic>
          </wp:inline>
        </w:drawing>
      </w:r>
    </w:p>
    <w:p w14:paraId="7F303BF1"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78789272"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De lo anterior se advierte que, si bien el documento remitido en Informe pudo colmar la pretensión del particular, lo cierto es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testó información que es </w:t>
      </w:r>
      <w:r w:rsidRPr="00DA365B">
        <w:rPr>
          <w:rFonts w:ascii="Palatino Linotype" w:eastAsia="Palatino Linotype" w:hAnsi="Palatino Linotype" w:cs="Palatino Linotype"/>
          <w:sz w:val="22"/>
          <w:szCs w:val="22"/>
        </w:rPr>
        <w:lastRenderedPageBreak/>
        <w:t xml:space="preserve">considerada como información pública y dejo visible información que es clasificada como confidencial, en atención a las siguientes consideraciones: </w:t>
      </w:r>
    </w:p>
    <w:p w14:paraId="44971008"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724EDD0B" w14:textId="77777777" w:rsidR="00BB4C33" w:rsidRPr="00DA365B" w:rsidRDefault="003970ED">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Nombre del titular de la Licencia de funcionamiento (persona física):</w:t>
      </w:r>
    </w:p>
    <w:p w14:paraId="5682DC8A"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75538966" w14:textId="77777777" w:rsidR="00BB4C33" w:rsidRPr="00DA365B" w:rsidRDefault="003970ED">
      <w:pPr>
        <w:spacing w:line="360" w:lineRule="auto"/>
        <w:ind w:right="-93"/>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sz w:val="22"/>
          <w:szCs w:val="22"/>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DA365B">
        <w:rPr>
          <w:rFonts w:ascii="Palatino Linotype" w:eastAsia="Palatino Linotype" w:hAnsi="Palatino Linotype" w:cs="Palatino Linotype"/>
          <w:i/>
          <w:sz w:val="22"/>
          <w:szCs w:val="22"/>
        </w:rPr>
        <w:t>per se</w:t>
      </w:r>
      <w:r w:rsidRPr="00DA365B">
        <w:rPr>
          <w:rFonts w:ascii="Palatino Linotype" w:eastAsia="Palatino Linotype" w:hAnsi="Palatino Linotype" w:cs="Palatino Linotype"/>
          <w:sz w:val="22"/>
          <w:szCs w:val="22"/>
        </w:rPr>
        <w:t xml:space="preserve"> es un elemento que hace a una persona física identificada o identificable, por lo que, </w:t>
      </w:r>
      <w:r w:rsidRPr="00DA365B">
        <w:rPr>
          <w:rFonts w:ascii="Palatino Linotype" w:eastAsia="Palatino Linotype" w:hAnsi="Palatino Linotype" w:cs="Palatino Linotype"/>
          <w:b/>
          <w:sz w:val="22"/>
          <w:szCs w:val="22"/>
        </w:rPr>
        <w:t>se considera un dato personal.</w:t>
      </w:r>
    </w:p>
    <w:p w14:paraId="20CB0425" w14:textId="77777777" w:rsidR="00BB4C33" w:rsidRPr="00DA365B" w:rsidRDefault="00BB4C33">
      <w:pPr>
        <w:spacing w:line="360" w:lineRule="auto"/>
        <w:ind w:right="-93"/>
        <w:jc w:val="both"/>
        <w:rPr>
          <w:rFonts w:ascii="Palatino Linotype" w:eastAsia="Palatino Linotype" w:hAnsi="Palatino Linotype" w:cs="Palatino Linotype"/>
          <w:b/>
          <w:sz w:val="22"/>
          <w:szCs w:val="22"/>
        </w:rPr>
      </w:pPr>
    </w:p>
    <w:p w14:paraId="276ABD1C"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44E5A174"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86FC784" w14:textId="77777777" w:rsidR="00BB4C33" w:rsidRPr="00DA365B" w:rsidRDefault="003970ED">
      <w:pPr>
        <w:ind w:left="567" w:right="567"/>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DA365B">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w:t>
      </w:r>
      <w:r w:rsidRPr="00DA365B">
        <w:rPr>
          <w:rFonts w:ascii="Palatino Linotype" w:eastAsia="Palatino Linotype" w:hAnsi="Palatino Linotype" w:cs="Palatino Linotype"/>
          <w:i/>
          <w:sz w:val="22"/>
          <w:szCs w:val="22"/>
        </w:rPr>
        <w:lastRenderedPageBreak/>
        <w:t>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3345EDC4"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1CBF57BD" w14:textId="77777777" w:rsidR="00BB4C33" w:rsidRPr="00DA365B" w:rsidRDefault="003970ED">
      <w:pPr>
        <w:spacing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7395B7D6"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51BA8633" w14:textId="77777777" w:rsidR="00BB4C33" w:rsidRPr="00DA365B" w:rsidRDefault="003970ED">
      <w:pPr>
        <w:spacing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u w:val="single"/>
        </w:rPr>
        <w:t xml:space="preserve">No obstante, se considera que </w:t>
      </w:r>
      <w:r w:rsidRPr="00DA365B">
        <w:rPr>
          <w:rFonts w:ascii="Palatino Linotype" w:eastAsia="Palatino Linotype" w:hAnsi="Palatino Linotype" w:cs="Palatino Linotype"/>
          <w:b/>
          <w:sz w:val="22"/>
          <w:szCs w:val="22"/>
          <w:u w:val="single"/>
        </w:rPr>
        <w:t>el nombre localizado en una licencia de funcionamiento, guarda cierto interés público</w:t>
      </w:r>
      <w:r w:rsidRPr="00DA365B">
        <w:rPr>
          <w:rFonts w:ascii="Palatino Linotype" w:eastAsia="Palatino Linotype" w:hAnsi="Palatino Linotype" w:cs="Palatino Linotype"/>
          <w:sz w:val="22"/>
          <w:szCs w:val="22"/>
        </w:rPr>
        <w:t>, dado que cualquier actividad comercial, industrial o económica, es regulada por el Municipio de Villa de Allende dentro de su circunscripción territorial, pues ayuda a transparentar la gestión pública.</w:t>
      </w:r>
    </w:p>
    <w:p w14:paraId="7BBB3D4C"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592B8697" w14:textId="77777777" w:rsidR="00BB4C33" w:rsidRPr="00DA365B" w:rsidRDefault="003970ED">
      <w:pPr>
        <w:spacing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Al respecto, cabe puntualizar que las licencias, tal como se estableció en párrafos anteriores, se refiere a los documentos que contienen la autorización por parte del Ayuntamiento de Villa de Allende, a través de la Dirección de Desarrollo Económico, para que un particular o </w:t>
      </w:r>
      <w:r w:rsidRPr="00DA365B">
        <w:rPr>
          <w:rFonts w:ascii="Palatino Linotype" w:eastAsia="Palatino Linotype" w:hAnsi="Palatino Linotype" w:cs="Palatino Linotype"/>
          <w:sz w:val="22"/>
          <w:szCs w:val="22"/>
        </w:rPr>
        <w:lastRenderedPageBreak/>
        <w:t>persona jurídica colectiva pueda realizar una actividad económica, comercial o industrial, regulada por las Leyes respectivas.</w:t>
      </w:r>
    </w:p>
    <w:p w14:paraId="75D743F7"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5E575742" w14:textId="77777777" w:rsidR="00BB4C33" w:rsidRPr="00DA365B" w:rsidRDefault="003970ED">
      <w:pPr>
        <w:spacing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ese sentido, de acuerdo con el artículo 92, fracción XXXII de la Ley en cita, el legislador contempló como información de interés público y que</w:t>
      </w:r>
      <w:r w:rsidRPr="00DA365B">
        <w:rPr>
          <w:rFonts w:ascii="Palatino Linotype" w:eastAsia="Palatino Linotype" w:hAnsi="Palatino Linotype" w:cs="Palatino Linotype"/>
          <w:b/>
          <w:sz w:val="22"/>
          <w:szCs w:val="22"/>
        </w:rPr>
        <w:t xml:space="preserve"> debe estar disponible para consulta</w:t>
      </w:r>
      <w:r w:rsidRPr="00DA365B">
        <w:rPr>
          <w:rFonts w:ascii="Palatino Linotype" w:eastAsia="Palatino Linotype" w:hAnsi="Palatino Linotype" w:cs="Palatino Linotype"/>
          <w:sz w:val="22"/>
          <w:szCs w:val="22"/>
        </w:rPr>
        <w:t xml:space="preserve">, </w:t>
      </w:r>
      <w:r w:rsidRPr="00DA365B">
        <w:rPr>
          <w:rFonts w:ascii="Palatino Linotype" w:eastAsia="Palatino Linotype" w:hAnsi="Palatino Linotype" w:cs="Palatino Linotype"/>
          <w:b/>
          <w:sz w:val="22"/>
          <w:szCs w:val="22"/>
        </w:rPr>
        <w:t>aquellas licencias otorgadas</w:t>
      </w:r>
      <w:r w:rsidRPr="00DA365B">
        <w:rPr>
          <w:rFonts w:ascii="Palatino Linotype" w:eastAsia="Palatino Linotype" w:hAnsi="Palatino Linotype" w:cs="Palatino Linotype"/>
          <w:sz w:val="22"/>
          <w:szCs w:val="22"/>
        </w:rPr>
        <w:t xml:space="preserve">, </w:t>
      </w:r>
      <w:r w:rsidRPr="00DA365B">
        <w:rPr>
          <w:rFonts w:ascii="Palatino Linotype" w:eastAsia="Palatino Linotype" w:hAnsi="Palatino Linotype" w:cs="Palatino Linotype"/>
          <w:sz w:val="22"/>
          <w:szCs w:val="22"/>
          <w:u w:val="single"/>
        </w:rPr>
        <w:t xml:space="preserve">especificando </w:t>
      </w:r>
      <w:r w:rsidRPr="00DA365B">
        <w:rPr>
          <w:rFonts w:ascii="Palatino Linotype" w:eastAsia="Palatino Linotype" w:hAnsi="Palatino Linotype" w:cs="Palatino Linotype"/>
          <w:b/>
          <w:sz w:val="22"/>
          <w:szCs w:val="22"/>
          <w:u w:val="single"/>
        </w:rPr>
        <w:t>el nombre de su titular</w:t>
      </w:r>
      <w:r w:rsidRPr="00DA365B">
        <w:rPr>
          <w:rFonts w:ascii="Palatino Linotype" w:eastAsia="Palatino Linotype" w:hAnsi="Palatino Linotype" w:cs="Palatino Linotype"/>
          <w:sz w:val="22"/>
          <w:szCs w:val="22"/>
        </w:rPr>
        <w:t xml:space="preserve"> y las características principales. Lo anterior, en concordancia a lo establecido en la Ley General de Transparencia y Acceso a la Información Pública. </w:t>
      </w:r>
    </w:p>
    <w:p w14:paraId="57BB7AD5" w14:textId="77777777" w:rsidR="00BB4C33" w:rsidRPr="00DA365B" w:rsidRDefault="00BB4C33">
      <w:pPr>
        <w:spacing w:line="360" w:lineRule="auto"/>
        <w:ind w:right="-93"/>
        <w:jc w:val="both"/>
        <w:rPr>
          <w:rFonts w:ascii="Palatino Linotype" w:eastAsia="Palatino Linotype" w:hAnsi="Palatino Linotype" w:cs="Palatino Linotype"/>
          <w:sz w:val="22"/>
          <w:szCs w:val="22"/>
        </w:rPr>
      </w:pPr>
    </w:p>
    <w:p w14:paraId="4E6420E2" w14:textId="77777777" w:rsidR="00BB4C33" w:rsidRPr="00DA365B" w:rsidRDefault="003970ED">
      <w:pPr>
        <w:spacing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 </w:t>
      </w:r>
    </w:p>
    <w:p w14:paraId="724E6054"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cuanto al </w:t>
      </w:r>
      <w:r w:rsidRPr="00DA365B">
        <w:rPr>
          <w:rFonts w:ascii="Palatino Linotype" w:eastAsia="Palatino Linotype" w:hAnsi="Palatino Linotype" w:cs="Palatino Linotype"/>
          <w:b/>
          <w:sz w:val="22"/>
          <w:szCs w:val="22"/>
        </w:rPr>
        <w:t>nombre de representante legal</w:t>
      </w:r>
      <w:r w:rsidRPr="00DA365B">
        <w:rPr>
          <w:rFonts w:ascii="Palatino Linotype" w:eastAsia="Palatino Linotype" w:hAnsi="Palatino Linotype" w:cs="Palatino Linotype"/>
          <w:sz w:val="22"/>
          <w:szCs w:val="22"/>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43D27BBD" w14:textId="77777777" w:rsidR="00BB4C33" w:rsidRPr="00DA365B" w:rsidRDefault="003970ED">
      <w:pPr>
        <w:widowControl w:val="0"/>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ese sentido, el artículo 10 de la Ley General de Sociedades Mercantiles, establece que la representación de toda sociedad mercantil corresponderá a su administrador o administradores, quiénes podrán realizar todas las operaciones inherentes al objeto de la </w:t>
      </w:r>
      <w:r w:rsidRPr="00DA365B">
        <w:rPr>
          <w:rFonts w:ascii="Palatino Linotype" w:eastAsia="Palatino Linotype" w:hAnsi="Palatino Linotype" w:cs="Palatino Linotype"/>
          <w:sz w:val="22"/>
          <w:szCs w:val="22"/>
        </w:rPr>
        <w:lastRenderedPageBreak/>
        <w:t>sociedad; por lo que, para que surtan efectos los poderes que otorgue dicha empresa bastará su protocolización ante notario público.</w:t>
      </w:r>
    </w:p>
    <w:p w14:paraId="7CE1D9D9"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7F6F5203"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esa tesitura, la representación de las personas morales se realizará por medio de representantes o apoderados, y en el caso específico de las sociedades mercantiles, dicha representación se otorgará mediante instrumento público.</w:t>
      </w:r>
    </w:p>
    <w:p w14:paraId="6CAA4AC7"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5C03A0B6"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12396007"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E25B453"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DA365B">
        <w:rPr>
          <w:rFonts w:ascii="Palatino Linotype" w:eastAsia="Palatino Linotype" w:hAnsi="Palatino Linotype" w:cs="Palatino Linotype"/>
          <w:b/>
          <w:sz w:val="22"/>
          <w:szCs w:val="22"/>
        </w:rPr>
        <w:t xml:space="preserve">es público, </w:t>
      </w:r>
      <w:r w:rsidRPr="00DA365B">
        <w:rPr>
          <w:rFonts w:ascii="Palatino Linotype" w:eastAsia="Palatino Linotype" w:hAnsi="Palatino Linotype" w:cs="Palatino Linotype"/>
          <w:sz w:val="22"/>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4783AE71"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21C7FA2C"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0FD52AA7" w14:textId="77777777" w:rsidR="00BB4C33" w:rsidRPr="00DA365B" w:rsidRDefault="00BB4C33">
      <w:pPr>
        <w:spacing w:line="360" w:lineRule="auto"/>
        <w:ind w:left="567" w:right="567"/>
        <w:jc w:val="both"/>
        <w:rPr>
          <w:rFonts w:ascii="Palatino Linotype" w:eastAsia="Palatino Linotype" w:hAnsi="Palatino Linotype" w:cs="Palatino Linotype"/>
          <w:b/>
          <w:i/>
          <w:sz w:val="22"/>
          <w:szCs w:val="22"/>
        </w:rPr>
      </w:pPr>
    </w:p>
    <w:p w14:paraId="7FD1F2C6" w14:textId="77777777" w:rsidR="00BB4C33" w:rsidRPr="00DA365B" w:rsidRDefault="003970ED">
      <w:pPr>
        <w:ind w:left="567" w:right="53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lastRenderedPageBreak/>
        <w:t>“Datos de identificación del representante o apoderado legal.</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 xml:space="preserve">Naturaleza jurídica. </w:t>
      </w:r>
      <w:r w:rsidRPr="00DA365B">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345B9948"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91422AB"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5482C6D9"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38134CAC" w14:textId="77777777" w:rsidR="00BB4C33" w:rsidRPr="00DA365B" w:rsidRDefault="003970ED">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 xml:space="preserve">Domicilio particular del titular de la licencia de funcionamiento y el domicilio del local o establecimiento comercial. </w:t>
      </w:r>
    </w:p>
    <w:p w14:paraId="57713428" w14:textId="77777777" w:rsidR="00BB4C33" w:rsidRPr="00DA365B" w:rsidRDefault="00BB4C33">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2CEABBEC"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cuanto al </w:t>
      </w:r>
      <w:r w:rsidRPr="00DA365B">
        <w:rPr>
          <w:rFonts w:ascii="Palatino Linotype" w:eastAsia="Palatino Linotype" w:hAnsi="Palatino Linotype" w:cs="Palatino Linotype"/>
          <w:b/>
          <w:sz w:val="22"/>
          <w:szCs w:val="22"/>
        </w:rPr>
        <w:t>domicilio particular del titular de la licencia de funcionamiento y el domicilio del local o establecimiento comercial</w:t>
      </w:r>
      <w:r w:rsidRPr="00DA365B">
        <w:rPr>
          <w:rFonts w:ascii="Palatino Linotype" w:eastAsia="Palatino Linotype" w:hAnsi="Palatino Linotype" w:cs="Palatino Linotype"/>
          <w:sz w:val="22"/>
          <w:szCs w:val="22"/>
        </w:rPr>
        <w:t>, es dable precisar que el código civil, lo define de la siguiente manera:</w:t>
      </w:r>
    </w:p>
    <w:p w14:paraId="44381AF6"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76F1B1F" w14:textId="77777777" w:rsidR="00BB4C33" w:rsidRPr="00DA365B" w:rsidRDefault="003970ED">
      <w:pPr>
        <w:ind w:left="851" w:right="618"/>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“Concepto de domicilio de las personas físicas </w:t>
      </w:r>
    </w:p>
    <w:p w14:paraId="3C70403D" w14:textId="77777777" w:rsidR="00BB4C33" w:rsidRPr="00DA365B" w:rsidRDefault="003970ED">
      <w:pPr>
        <w:ind w:left="851" w:right="618"/>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Artículo 2.17.- El domicilio de una persona física es el lugar donde reside con el propósito de establecerse en él; a falta de éste, el lugar en que tiene el principal asiento de sus negocios; y a falta de uno y otro, el lugar en que se halle.”</w:t>
      </w:r>
      <w:r w:rsidRPr="00DA365B">
        <w:rPr>
          <w:rFonts w:ascii="Palatino Linotype" w:eastAsia="Palatino Linotype" w:hAnsi="Palatino Linotype" w:cs="Palatino Linotype"/>
          <w:sz w:val="22"/>
          <w:szCs w:val="22"/>
        </w:rPr>
        <w:t xml:space="preserve"> </w:t>
      </w:r>
    </w:p>
    <w:p w14:paraId="395D450B"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4A2E8B84"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Entonces se identifica que el domicilio no solamente permite identificar a una persona, sino que la hace localizable de manera física. </w:t>
      </w:r>
    </w:p>
    <w:p w14:paraId="76AB1C98"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1D74E4AA"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28750163"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2BC2EC36"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No así en cuanto al domicilio del local o establecimiento comercial</w:t>
      </w:r>
      <w:r w:rsidRPr="00DA365B">
        <w:rPr>
          <w:rFonts w:ascii="Palatino Linotype" w:eastAsia="Palatino Linotype" w:hAnsi="Palatino Linotype" w:cs="Palatino Linotype"/>
          <w:sz w:val="22"/>
          <w:szCs w:val="22"/>
        </w:rPr>
        <w:t>, ya que se identifica que el domicilio sobre el cual versa la licencia de funcionamiento es información de naturaleza pública.</w:t>
      </w:r>
    </w:p>
    <w:p w14:paraId="6FECA4C3"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6479C22D" w14:textId="77777777" w:rsidR="00BB4C33" w:rsidRPr="00DA365B" w:rsidRDefault="003970E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Del Registro Federal de Contribuyentes (RFC), en las licencias de funcionamiento, puede ser de personas físicas y morales.</w:t>
      </w:r>
    </w:p>
    <w:p w14:paraId="2E1B236C"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622AAF5D"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w:t>
      </w:r>
    </w:p>
    <w:p w14:paraId="1A96676B"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170A252D"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Lo anterior, resulta congruente con el Criterio 19/17 emitido por el Instituto Nacional de Transparencia, Acceso a la Información y Protección de Datos Personales, en el cual se señala lo siguiente:</w:t>
      </w:r>
    </w:p>
    <w:p w14:paraId="7B40F6C0"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064727ED" w14:textId="77777777" w:rsidR="00BB4C33" w:rsidRPr="00DA365B" w:rsidRDefault="003970ED">
      <w:pPr>
        <w:ind w:left="567" w:right="618"/>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72D3727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4DAD7A8"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En conclusión, resulta claro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testó información de interés público que debe estar disponible para consulta, de aquellas licencias otorgadas, específicamente el nombre de su titular y el domicilio del local o establecimiento comercial, tomando en consideración, que de la revisión al documento remitido si bien deja visible en algunos casos el nombre y el domicilio de las personas morales, lo cierto es que, del resto de las licencias se clasificó; por lo que, resulta procedente ordenar la entrega en una correcta versión pública. </w:t>
      </w:r>
    </w:p>
    <w:p w14:paraId="4A902A1D"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17AC6B76"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Por lo que hace, al Hipervínculo referido en el documento, de la consulta se advierte que remite al Refrendo de la Licencia de Funcionamiento, en el que testa toda la información, únicamente dejando visible el Giro y la localidad, situación que se puede advertir de las siguientes imágenes ilustrativas: </w:t>
      </w:r>
    </w:p>
    <w:p w14:paraId="4CA347F0" w14:textId="620D9C6F" w:rsidR="00BB4C33" w:rsidRPr="00DA365B" w:rsidRDefault="00171517">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mc:AlternateContent>
          <mc:Choice Requires="wps">
            <w:drawing>
              <wp:anchor distT="0" distB="0" distL="114300" distR="114300" simplePos="0" relativeHeight="251660288" behindDoc="0" locked="0" layoutInCell="1" allowOverlap="1" wp14:anchorId="729715A1" wp14:editId="7F54EF55">
                <wp:simplePos x="0" y="0"/>
                <wp:positionH relativeFrom="column">
                  <wp:posOffset>1282505</wp:posOffset>
                </wp:positionH>
                <wp:positionV relativeFrom="paragraph">
                  <wp:posOffset>331019</wp:posOffset>
                </wp:positionV>
                <wp:extent cx="316642" cy="52855"/>
                <wp:effectExtent l="0" t="0" r="7620" b="4445"/>
                <wp:wrapNone/>
                <wp:docPr id="1" name="Rectángulo 1"/>
                <wp:cNvGraphicFramePr/>
                <a:graphic xmlns:a="http://schemas.openxmlformats.org/drawingml/2006/main">
                  <a:graphicData uri="http://schemas.microsoft.com/office/word/2010/wordprocessingShape">
                    <wps:wsp>
                      <wps:cNvSpPr/>
                      <wps:spPr>
                        <a:xfrm>
                          <a:off x="0" y="0"/>
                          <a:ext cx="316642" cy="52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A95F4" id="Rectángulo 1" o:spid="_x0000_s1026" style="position:absolute;margin-left:101pt;margin-top:26.05pt;width:24.9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pelgIAAIQFAAAOAAAAZHJzL2Uyb0RvYy54bWysVFFvGjEMfp+0/xDlfT1g0HWIo0JUnSZV&#10;LWo79TnkEi5SLs6SwMH+zX7L/tic5DjartrDNB5CHNuf7e9szy73jSY74bwCU9Lh2YASYThUymxK&#10;+u3x+sMFJT4wUzENRpT0IDy9nL9/N2vtVIygBl0JRxDE+GlrS1qHYKdF4XktGubPwAqDSgmuYQFF&#10;tykqx1pEb3QxGgzOixZcZR1w4T2+XmUlnSd8KQUPd1J6EYguKeYW0unSuY5nMZ+x6cYxWyvepcH+&#10;IYuGKYNBe6grFhjZOvUHVKO4Aw8ynHFoCpBScZFqwGqGg1fVPNTMilQLkuNtT5P/f7D8drdyRFX4&#10;7SgxrMFPdI+k/fppNlsNZBgJaq2fot2DXblO8niN1e6la+I/1kH2idRDT6rYB8Lx8ePw/Hw8ooSj&#10;ajK6mEwiZHHytc6HLwIaEi8ldRg9Mcl2Nz5k06NJDOVBq+paaZ2E2CZiqR3ZMfzA603KF8FfWGkT&#10;bQ1ErwwYX4pYVi4k3cJBi2inzb2QyAimPkqJpF48BWGcCxOGWVWzSuTYkwH+utJ6j1RoAozIEuP3&#10;2B3AywKO2DnLzj66itTKvfPgb4ll594jRQYTeudGGXBvAWisqouc7Y8kZWoiS2uoDtgvDvIgecuv&#10;FX62G+bDijmcHJwx3AbhDg+poS0pdDdKanA/3nqP9tjQqKWkxUksqf++ZU5Qor8abPXPw/E4jm4S&#10;xpNPIxTcc836ucZsmyVgL2A7Y3bpGu2DPl6lg+YJl8YiRkUVMxxjl5QHdxSWIW8IXDtcLBbJDMfV&#10;snBjHiyP4JHV2JaP+yfmbNe7AXv+Fo5Ty6avWjjbRk8Di20AqVJ/n3jt+MZRT43TraW4S57Lyeq0&#10;POe/AQAA//8DAFBLAwQUAAYACAAAACEAf/eM5uEAAAAJAQAADwAAAGRycy9kb3ducmV2LnhtbEyP&#10;MU/DMBSEdyT+g/WQWBC149AKQl4qQEJiYaBUVUc3MbHV+DmK3STl12MmGE93uvuuXM+uY6MegvWE&#10;kC0EME21byy1CNvP19t7YCEqalTnSSOcdYB1dXlRqqLxE33ocRNblkooFArBxNgXnIfaaKfCwvea&#10;kvflB6dikkPLm0FNqdx1XAqx4k5ZSgtG9frF6Pq4OTmE93Oev403+XHa2ry133z/vDMe8fpqfnoE&#10;FvUc/8Lwi5/QoUpMB3+iJrAOQQqZvkSEpcyApYBcZg/ADggrcQe8Kvn/B9UPAAAA//8DAFBLAQIt&#10;ABQABgAIAAAAIQC2gziS/gAAAOEBAAATAAAAAAAAAAAAAAAAAAAAAABbQ29udGVudF9UeXBlc10u&#10;eG1sUEsBAi0AFAAGAAgAAAAhADj9If/WAAAAlAEAAAsAAAAAAAAAAAAAAAAALwEAAF9yZWxzLy5y&#10;ZWxzUEsBAi0AFAAGAAgAAAAhADh0Gl6WAgAAhAUAAA4AAAAAAAAAAAAAAAAALgIAAGRycy9lMm9E&#10;b2MueG1sUEsBAi0AFAAGAAgAAAAhAH/3jObhAAAACQEAAA8AAAAAAAAAAAAAAAAA8AQAAGRycy9k&#10;b3ducmV2LnhtbFBLBQYAAAAABAAEAPMAAAD+BQAAAAA=&#10;" fillcolor="white [3212]" stroked="f" strokeweight="1pt"/>
            </w:pict>
          </mc:Fallback>
        </mc:AlternateContent>
      </w:r>
      <w:r w:rsidRPr="00171517">
        <w:rPr>
          <w:rFonts w:ascii="Palatino Linotype" w:eastAsia="Palatino Linotype" w:hAnsi="Palatino Linotype" w:cs="Palatino Linotype"/>
          <w:sz w:val="22"/>
          <w:szCs w:val="22"/>
        </w:rPr>
        <w:drawing>
          <wp:inline distT="0" distB="0" distL="0" distR="0" wp14:anchorId="3F373C9E" wp14:editId="094AAABA">
            <wp:extent cx="5612130" cy="410210"/>
            <wp:effectExtent l="0" t="0" r="762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10210"/>
                    </a:xfrm>
                    <a:prstGeom prst="rect">
                      <a:avLst/>
                    </a:prstGeom>
                  </pic:spPr>
                </pic:pic>
              </a:graphicData>
            </a:graphic>
          </wp:inline>
        </w:drawing>
      </w:r>
    </w:p>
    <w:p w14:paraId="2F0B9343" w14:textId="77777777" w:rsidR="00BB4C33" w:rsidRPr="00DA365B" w:rsidRDefault="003970ED">
      <w:pPr>
        <w:spacing w:line="360" w:lineRule="auto"/>
        <w:ind w:firstLine="1"/>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noProof/>
          <w:sz w:val="22"/>
          <w:szCs w:val="22"/>
          <w:lang w:val="es-MX" w:eastAsia="es-MX"/>
        </w:rPr>
        <w:drawing>
          <wp:inline distT="0" distB="0" distL="0" distR="0" wp14:anchorId="58C4E92F" wp14:editId="153288F1">
            <wp:extent cx="3955761" cy="3249024"/>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955761" cy="3249024"/>
                    </a:xfrm>
                    <a:prstGeom prst="rect">
                      <a:avLst/>
                    </a:prstGeom>
                    <a:ln/>
                  </pic:spPr>
                </pic:pic>
              </a:graphicData>
            </a:graphic>
          </wp:inline>
        </w:drawing>
      </w:r>
      <w:r w:rsidRPr="00DA365B">
        <w:rPr>
          <w:noProof/>
          <w:lang w:val="es-MX" w:eastAsia="es-MX"/>
        </w:rPr>
        <mc:AlternateContent>
          <mc:Choice Requires="wpg">
            <w:drawing>
              <wp:anchor distT="0" distB="0" distL="114300" distR="114300" simplePos="0" relativeHeight="251659264" behindDoc="0" locked="0" layoutInCell="1" hidden="0" allowOverlap="1" wp14:anchorId="4EBC495C" wp14:editId="28573706">
                <wp:simplePos x="0" y="0"/>
                <wp:positionH relativeFrom="column">
                  <wp:posOffset>1905000</wp:posOffset>
                </wp:positionH>
                <wp:positionV relativeFrom="paragraph">
                  <wp:posOffset>1104900</wp:posOffset>
                </wp:positionV>
                <wp:extent cx="476250" cy="136745"/>
                <wp:effectExtent l="0" t="0" r="0" b="0"/>
                <wp:wrapNone/>
                <wp:docPr id="44" name="Rectángulo 44"/>
                <wp:cNvGraphicFramePr/>
                <a:graphic xmlns:a="http://schemas.openxmlformats.org/drawingml/2006/main">
                  <a:graphicData uri="http://schemas.microsoft.com/office/word/2010/wordprocessingShape">
                    <wps:wsp>
                      <wps:cNvSpPr/>
                      <wps:spPr>
                        <a:xfrm>
                          <a:off x="5117400" y="3721153"/>
                          <a:ext cx="457200" cy="117695"/>
                        </a:xfrm>
                        <a:prstGeom prst="rect">
                          <a:avLst/>
                        </a:prstGeom>
                        <a:noFill/>
                        <a:ln w="19050" cap="flat" cmpd="sng">
                          <a:solidFill>
                            <a:srgbClr val="FF0000"/>
                          </a:solidFill>
                          <a:prstDash val="solid"/>
                          <a:miter lim="800000"/>
                          <a:headEnd type="none" w="sm" len="sm"/>
                          <a:tailEnd type="none" w="sm" len="sm"/>
                        </a:ln>
                      </wps:spPr>
                      <wps:txbx>
                        <w:txbxContent>
                          <w:p w14:paraId="6A7EA64D" w14:textId="77777777" w:rsidR="00BB4C33" w:rsidRDefault="00BB4C3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du="http://schemas.microsoft.com/office/word/2023/wordml/word16du"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1905000</wp:posOffset>
                </wp:positionH>
                <wp:positionV relativeFrom="paragraph">
                  <wp:posOffset>1104900</wp:posOffset>
                </wp:positionV>
                <wp:extent cx="476250" cy="136745"/>
                <wp:effectExtent b="0" l="0" r="0" t="0"/>
                <wp:wrapNone/>
                <wp:docPr id="4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76250" cy="136745"/>
                        </a:xfrm>
                        <a:prstGeom prst="rect"/>
                        <a:ln/>
                      </pic:spPr>
                    </pic:pic>
                  </a:graphicData>
                </a:graphic>
              </wp:anchor>
            </w:drawing>
          </mc:Fallback>
        </mc:AlternateContent>
      </w:r>
    </w:p>
    <w:p w14:paraId="6A1D3958"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Del mismo modo, este Órgano Garante advierte que, en algunos de los hipervínculos se dejó visible información que es clasificada como confidencial, como lo es el RFC, aunado a que algunas de ellas, no dirigen a las Licencias referidas; y de las que se observó que se clasificó la clave catastral, sin que en el Acta del Comité de Transparencia que entrega, se advierta la fundamentación y justificación que motivo su clasificación, de modo que se deja en estado de incertidumbre al Recurrente, al no saber las razones por la cuales se testó dicha información; por lo que, resulta evidente que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no colmó la solicitud de acceso a la información pública. </w:t>
      </w:r>
    </w:p>
    <w:p w14:paraId="7E2DD429"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3F311803" w14:textId="77777777" w:rsidR="00BB4C33" w:rsidRPr="00DA365B" w:rsidRDefault="003970ED">
      <w:pPr>
        <w:spacing w:line="360" w:lineRule="auto"/>
        <w:ind w:firstLine="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Conforme a lo anterior, el Ente Recurrido deberá proporcionar los documentos de los que se desprenda los datos solicitados por el Particular, remitida en Informe Justificado, en una correcta versión pública. </w:t>
      </w:r>
    </w:p>
    <w:p w14:paraId="59731350" w14:textId="77777777" w:rsidR="00BB4C33" w:rsidRPr="00DA365B" w:rsidRDefault="00BB4C33">
      <w:pPr>
        <w:spacing w:line="360" w:lineRule="auto"/>
        <w:ind w:firstLine="1"/>
        <w:jc w:val="both"/>
        <w:rPr>
          <w:rFonts w:ascii="Palatino Linotype" w:eastAsia="Palatino Linotype" w:hAnsi="Palatino Linotype" w:cs="Palatino Linotype"/>
          <w:sz w:val="22"/>
          <w:szCs w:val="22"/>
        </w:rPr>
      </w:pPr>
    </w:p>
    <w:p w14:paraId="2EB8D74E"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Quinto. Versión Pública. </w:t>
      </w:r>
      <w:r w:rsidRPr="00DA365B">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sin menoscabar el derecho a la protección de los datos personales de terceros.</w:t>
      </w:r>
    </w:p>
    <w:p w14:paraId="04288CC1" w14:textId="77777777" w:rsidR="00BB4C33" w:rsidRPr="00DA365B" w:rsidRDefault="003970ED">
      <w:pPr>
        <w:spacing w:before="240" w:after="240" w:line="360" w:lineRule="auto"/>
        <w:ind w:right="5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22AC6B2F" w14:textId="77777777" w:rsidR="00BB4C33" w:rsidRPr="00DA365B" w:rsidRDefault="003970ED">
      <w:pPr>
        <w:ind w:left="993" w:right="1041"/>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 xml:space="preserve"> “Artículo 3. Para los efectos de la presente Ley se entenderá por:</w:t>
      </w:r>
    </w:p>
    <w:p w14:paraId="4B989DD9"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lastRenderedPageBreak/>
        <w:t>IX. Datos personales:</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La información concerniente a una persona, identificada o identificable</w:t>
      </w:r>
      <w:r w:rsidRPr="00DA365B">
        <w:rPr>
          <w:rFonts w:ascii="Palatino Linotype" w:eastAsia="Palatino Linotype" w:hAnsi="Palatino Linotype" w:cs="Palatino Linotype"/>
          <w:i/>
          <w:sz w:val="22"/>
          <w:szCs w:val="22"/>
        </w:rPr>
        <w:t xml:space="preserve"> según lo dispuesto por la Ley de Protección de Datos Personales del Estado de México;</w:t>
      </w:r>
    </w:p>
    <w:p w14:paraId="38EC7B61"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XX. Información clasificada:</w:t>
      </w:r>
      <w:r w:rsidRPr="00DA365B">
        <w:rPr>
          <w:rFonts w:ascii="Palatino Linotype" w:eastAsia="Palatino Linotype" w:hAnsi="Palatino Linotype" w:cs="Palatino Linotype"/>
          <w:i/>
          <w:sz w:val="22"/>
          <w:szCs w:val="22"/>
        </w:rPr>
        <w:t xml:space="preserve"> Aquella considerada por la presente Ley como reservada o confidencial;</w:t>
      </w:r>
    </w:p>
    <w:p w14:paraId="63460124"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XXXII. Protección de Datos Personales:</w:t>
      </w:r>
      <w:r w:rsidRPr="00DA365B">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FA6B82B"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XLV. Versión pública</w:t>
      </w:r>
      <w:r w:rsidRPr="00DA365B">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9F4074A" w14:textId="77777777" w:rsidR="00BB4C33" w:rsidRPr="00DA365B" w:rsidRDefault="00BB4C33">
      <w:pPr>
        <w:ind w:left="993" w:right="1041"/>
        <w:jc w:val="both"/>
        <w:rPr>
          <w:rFonts w:ascii="Palatino Linotype" w:eastAsia="Palatino Linotype" w:hAnsi="Palatino Linotype" w:cs="Palatino Linotype"/>
          <w:i/>
          <w:sz w:val="22"/>
          <w:szCs w:val="22"/>
        </w:rPr>
      </w:pPr>
    </w:p>
    <w:p w14:paraId="71C8682A"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“Artículo 6.</w:t>
      </w:r>
      <w:r w:rsidRPr="00DA365B">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050FBA2" w14:textId="77777777" w:rsidR="00BB4C33" w:rsidRPr="00DA365B" w:rsidRDefault="00BB4C33">
      <w:pPr>
        <w:ind w:left="993" w:right="1041"/>
        <w:jc w:val="both"/>
        <w:rPr>
          <w:rFonts w:ascii="Palatino Linotype" w:eastAsia="Palatino Linotype" w:hAnsi="Palatino Linotype" w:cs="Palatino Linotype"/>
          <w:i/>
          <w:sz w:val="22"/>
          <w:szCs w:val="22"/>
        </w:rPr>
      </w:pPr>
    </w:p>
    <w:p w14:paraId="2DD250BE" w14:textId="77777777" w:rsidR="00BB4C33" w:rsidRPr="00DA365B" w:rsidRDefault="003970ED">
      <w:pPr>
        <w:ind w:left="993" w:right="1041"/>
        <w:jc w:val="both"/>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“Artículo 137.</w:t>
      </w:r>
      <w:r w:rsidRPr="00DA365B">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8704929" w14:textId="77777777" w:rsidR="00BB4C33" w:rsidRPr="00DA365B" w:rsidRDefault="00BB4C33">
      <w:pPr>
        <w:ind w:left="993" w:right="1041"/>
        <w:jc w:val="both"/>
        <w:rPr>
          <w:rFonts w:ascii="Palatino Linotype" w:eastAsia="Palatino Linotype" w:hAnsi="Palatino Linotype" w:cs="Palatino Linotype"/>
          <w:b/>
          <w:i/>
          <w:sz w:val="22"/>
          <w:szCs w:val="22"/>
        </w:rPr>
      </w:pPr>
    </w:p>
    <w:p w14:paraId="06B39652"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“Artículo 143</w:t>
      </w:r>
      <w:r w:rsidRPr="00DA365B">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29A74F9"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I.</w:t>
      </w:r>
      <w:r w:rsidRPr="00DA365B">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A863C3C"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AC1CA73" w14:textId="77777777" w:rsidR="00BB4C33" w:rsidRPr="00DA365B" w:rsidRDefault="003970ED">
      <w:pPr>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378072E6" w14:textId="77777777" w:rsidR="00BB4C33" w:rsidRPr="00DA365B" w:rsidRDefault="00BB4C33">
      <w:pPr>
        <w:ind w:left="993" w:right="1041"/>
        <w:jc w:val="both"/>
        <w:rPr>
          <w:rFonts w:ascii="Palatino Linotype" w:eastAsia="Palatino Linotype" w:hAnsi="Palatino Linotype" w:cs="Palatino Linotype"/>
          <w:i/>
          <w:sz w:val="22"/>
          <w:szCs w:val="22"/>
        </w:rPr>
      </w:pPr>
    </w:p>
    <w:p w14:paraId="55C4A238" w14:textId="77777777" w:rsidR="00BB4C33" w:rsidRPr="00DA365B" w:rsidRDefault="003970ED">
      <w:pPr>
        <w:spacing w:line="360" w:lineRule="auto"/>
        <w:ind w:right="5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para satisfacer el derecho de acceso a la información pública de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3900ED0"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789544E9" w14:textId="77777777" w:rsidR="00BB4C33" w:rsidRPr="00DA365B" w:rsidRDefault="003970ED">
      <w:pPr>
        <w:spacing w:line="360" w:lineRule="auto"/>
        <w:ind w:right="5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1818885" w14:textId="77777777" w:rsidR="00BB4C33" w:rsidRPr="00DA365B" w:rsidRDefault="00BB4C33">
      <w:pPr>
        <w:spacing w:line="360" w:lineRule="auto"/>
        <w:ind w:right="50"/>
        <w:jc w:val="both"/>
        <w:rPr>
          <w:rFonts w:ascii="Palatino Linotype" w:eastAsia="Palatino Linotype" w:hAnsi="Palatino Linotype" w:cs="Palatino Linotype"/>
          <w:sz w:val="22"/>
          <w:szCs w:val="22"/>
        </w:rPr>
      </w:pPr>
    </w:p>
    <w:p w14:paraId="315F231E" w14:textId="77777777" w:rsidR="00BB4C33" w:rsidRPr="00DA365B" w:rsidRDefault="003970ED">
      <w:pPr>
        <w:spacing w:line="360" w:lineRule="auto"/>
        <w:ind w:right="5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29D316B5"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221AEB4F" w14:textId="77777777" w:rsidR="00BB4C33" w:rsidRPr="00DA365B" w:rsidRDefault="003970ED">
      <w:pPr>
        <w:ind w:left="992" w:right="1043"/>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“Artículo 49.</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Los Comités de Transparencia</w:t>
      </w:r>
      <w:r w:rsidRPr="00DA365B">
        <w:rPr>
          <w:rFonts w:ascii="Palatino Linotype" w:eastAsia="Palatino Linotype" w:hAnsi="Palatino Linotype" w:cs="Palatino Linotype"/>
          <w:i/>
          <w:sz w:val="22"/>
          <w:szCs w:val="22"/>
        </w:rPr>
        <w:t xml:space="preserve"> tendrán las siguientes atribuciones:</w:t>
      </w:r>
    </w:p>
    <w:p w14:paraId="7DC1E919" w14:textId="77777777" w:rsidR="00BB4C33" w:rsidRPr="00DA365B" w:rsidRDefault="003970ED">
      <w:pPr>
        <w:ind w:left="992" w:right="1043"/>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lastRenderedPageBreak/>
        <w:t>VIII. Aprobar, modificar o revocar la clasificación de la información</w:t>
      </w:r>
      <w:r w:rsidRPr="00DA365B">
        <w:rPr>
          <w:rFonts w:ascii="Palatino Linotype" w:eastAsia="Palatino Linotype" w:hAnsi="Palatino Linotype" w:cs="Palatino Linotype"/>
          <w:i/>
          <w:sz w:val="22"/>
          <w:szCs w:val="22"/>
        </w:rPr>
        <w:t>…”</w:t>
      </w:r>
    </w:p>
    <w:p w14:paraId="13185527" w14:textId="77777777" w:rsidR="00BB4C33" w:rsidRPr="00DA365B" w:rsidRDefault="003970ED">
      <w:pPr>
        <w:ind w:left="992" w:right="1043"/>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Artículo 53.</w:t>
      </w:r>
      <w:r w:rsidRPr="00DA365B">
        <w:rPr>
          <w:rFonts w:ascii="Palatino Linotype" w:eastAsia="Palatino Linotype" w:hAnsi="Palatino Linotype" w:cs="Palatino Linotype"/>
          <w:i/>
          <w:sz w:val="22"/>
          <w:szCs w:val="22"/>
        </w:rPr>
        <w:t xml:space="preserve"> Las </w:t>
      </w:r>
      <w:r w:rsidRPr="00DA365B">
        <w:rPr>
          <w:rFonts w:ascii="Palatino Linotype" w:eastAsia="Palatino Linotype" w:hAnsi="Palatino Linotype" w:cs="Palatino Linotype"/>
          <w:b/>
          <w:i/>
          <w:sz w:val="22"/>
          <w:szCs w:val="22"/>
        </w:rPr>
        <w:t>Unidades de Transparencia</w:t>
      </w:r>
      <w:r w:rsidRPr="00DA365B">
        <w:rPr>
          <w:rFonts w:ascii="Palatino Linotype" w:eastAsia="Palatino Linotype" w:hAnsi="Palatino Linotype" w:cs="Palatino Linotype"/>
          <w:i/>
          <w:sz w:val="22"/>
          <w:szCs w:val="22"/>
        </w:rPr>
        <w:t xml:space="preserve"> tendrán las siguientes </w:t>
      </w:r>
      <w:r w:rsidRPr="00DA365B">
        <w:rPr>
          <w:rFonts w:ascii="Palatino Linotype" w:eastAsia="Palatino Linotype" w:hAnsi="Palatino Linotype" w:cs="Palatino Linotype"/>
          <w:b/>
          <w:i/>
          <w:sz w:val="22"/>
          <w:szCs w:val="22"/>
        </w:rPr>
        <w:t>funciones</w:t>
      </w:r>
      <w:r w:rsidRPr="00DA365B">
        <w:rPr>
          <w:rFonts w:ascii="Palatino Linotype" w:eastAsia="Palatino Linotype" w:hAnsi="Palatino Linotype" w:cs="Palatino Linotype"/>
          <w:i/>
          <w:sz w:val="22"/>
          <w:szCs w:val="22"/>
        </w:rPr>
        <w:t>:</w:t>
      </w:r>
    </w:p>
    <w:p w14:paraId="27877064" w14:textId="77777777" w:rsidR="00BB4C33" w:rsidRPr="00DA365B" w:rsidRDefault="003970ED">
      <w:pPr>
        <w:ind w:left="992" w:right="1043"/>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X. Presentar ante el Comité, el proyecto de clasificación de información</w:t>
      </w:r>
      <w:r w:rsidRPr="00DA365B">
        <w:rPr>
          <w:rFonts w:ascii="Palatino Linotype" w:eastAsia="Palatino Linotype" w:hAnsi="Palatino Linotype" w:cs="Palatino Linotype"/>
          <w:i/>
          <w:sz w:val="22"/>
          <w:szCs w:val="22"/>
        </w:rPr>
        <w:t xml:space="preserve">…” </w:t>
      </w:r>
    </w:p>
    <w:p w14:paraId="11EF8126" w14:textId="77777777" w:rsidR="00BB4C33" w:rsidRPr="00DA365B" w:rsidRDefault="003970ED">
      <w:pPr>
        <w:ind w:left="992" w:right="1043"/>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“Artículo 59.</w:t>
      </w:r>
      <w:r w:rsidRPr="00DA365B">
        <w:rPr>
          <w:rFonts w:ascii="Palatino Linotype" w:eastAsia="Palatino Linotype" w:hAnsi="Palatino Linotype" w:cs="Palatino Linotype"/>
          <w:i/>
          <w:sz w:val="22"/>
          <w:szCs w:val="22"/>
        </w:rPr>
        <w:t xml:space="preserve"> Los </w:t>
      </w:r>
      <w:r w:rsidRPr="00DA365B">
        <w:rPr>
          <w:rFonts w:ascii="Palatino Linotype" w:eastAsia="Palatino Linotype" w:hAnsi="Palatino Linotype" w:cs="Palatino Linotype"/>
          <w:b/>
          <w:i/>
          <w:sz w:val="22"/>
          <w:szCs w:val="22"/>
        </w:rPr>
        <w:t>servidores públicos habilitados</w:t>
      </w:r>
      <w:r w:rsidRPr="00DA365B">
        <w:rPr>
          <w:rFonts w:ascii="Palatino Linotype" w:eastAsia="Palatino Linotype" w:hAnsi="Palatino Linotype" w:cs="Palatino Linotype"/>
          <w:i/>
          <w:sz w:val="22"/>
          <w:szCs w:val="22"/>
        </w:rPr>
        <w:t xml:space="preserve"> tendrán las </w:t>
      </w:r>
      <w:r w:rsidRPr="00DA365B">
        <w:rPr>
          <w:rFonts w:ascii="Palatino Linotype" w:eastAsia="Palatino Linotype" w:hAnsi="Palatino Linotype" w:cs="Palatino Linotype"/>
          <w:b/>
          <w:i/>
          <w:sz w:val="22"/>
          <w:szCs w:val="22"/>
        </w:rPr>
        <w:t>funciones</w:t>
      </w:r>
      <w:r w:rsidRPr="00DA365B">
        <w:rPr>
          <w:rFonts w:ascii="Palatino Linotype" w:eastAsia="Palatino Linotype" w:hAnsi="Palatino Linotype" w:cs="Palatino Linotype"/>
          <w:i/>
          <w:sz w:val="22"/>
          <w:szCs w:val="22"/>
        </w:rPr>
        <w:t xml:space="preserve"> siguientes:</w:t>
      </w:r>
    </w:p>
    <w:p w14:paraId="2C3A59F6" w14:textId="77777777" w:rsidR="00BB4C33" w:rsidRPr="00DA365B" w:rsidRDefault="003970ED">
      <w:pPr>
        <w:ind w:left="992" w:right="1043"/>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DA365B">
        <w:rPr>
          <w:rFonts w:ascii="Palatino Linotype" w:eastAsia="Palatino Linotype" w:hAnsi="Palatino Linotype" w:cs="Palatino Linotype"/>
          <w:i/>
          <w:sz w:val="22"/>
          <w:szCs w:val="22"/>
        </w:rPr>
        <w:t>, la cual tendrá los fundamentos y argumentos en que se basa dicha propuesta…”(Sic)</w:t>
      </w:r>
    </w:p>
    <w:p w14:paraId="5599ECF6" w14:textId="77777777" w:rsidR="00BB4C33" w:rsidRPr="00DA365B" w:rsidRDefault="00BB4C33">
      <w:pPr>
        <w:ind w:left="992" w:right="1043"/>
        <w:jc w:val="both"/>
        <w:rPr>
          <w:rFonts w:ascii="Palatino Linotype" w:eastAsia="Palatino Linotype" w:hAnsi="Palatino Linotype" w:cs="Palatino Linotype"/>
          <w:i/>
          <w:sz w:val="22"/>
          <w:szCs w:val="22"/>
        </w:rPr>
      </w:pPr>
    </w:p>
    <w:p w14:paraId="0D2474DC"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AA3C71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08193C16"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B22C819"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10633217" w14:textId="77777777" w:rsidR="00BB4C33" w:rsidRPr="00DA365B" w:rsidRDefault="003970ED">
      <w:pPr>
        <w:spacing w:after="240"/>
        <w:ind w:left="993" w:right="104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Artículo 149.</w:t>
      </w:r>
      <w:r w:rsidRPr="00DA365B">
        <w:rPr>
          <w:rFonts w:ascii="Palatino Linotype" w:eastAsia="Palatino Linotype" w:hAnsi="Palatino Linotype" w:cs="Palatino Linotype"/>
          <w:i/>
          <w:sz w:val="22"/>
          <w:szCs w:val="22"/>
        </w:rPr>
        <w:t xml:space="preserve"> El </w:t>
      </w:r>
      <w:r w:rsidRPr="00DA365B">
        <w:rPr>
          <w:rFonts w:ascii="Palatino Linotype" w:eastAsia="Palatino Linotype" w:hAnsi="Palatino Linotype" w:cs="Palatino Linotype"/>
          <w:b/>
          <w:i/>
          <w:sz w:val="22"/>
          <w:szCs w:val="22"/>
        </w:rPr>
        <w:t>acuerdo que clasifique la información como confidencial</w:t>
      </w:r>
      <w:r w:rsidRPr="00DA365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48854903" w14:textId="77777777" w:rsidR="00BB4C33" w:rsidRPr="00DA365B" w:rsidRDefault="00BB4C33">
      <w:pPr>
        <w:spacing w:before="240" w:line="360" w:lineRule="auto"/>
        <w:ind w:right="51"/>
        <w:jc w:val="both"/>
        <w:rPr>
          <w:rFonts w:ascii="Palatino Linotype" w:eastAsia="Palatino Linotype" w:hAnsi="Palatino Linotype" w:cs="Palatino Linotype"/>
          <w:i/>
          <w:sz w:val="22"/>
          <w:szCs w:val="22"/>
        </w:rPr>
      </w:pPr>
    </w:p>
    <w:p w14:paraId="3C4EDBD2" w14:textId="77777777" w:rsidR="00BB4C33" w:rsidRPr="00DA365B" w:rsidRDefault="003970ED">
      <w:pPr>
        <w:spacing w:line="360" w:lineRule="auto"/>
        <w:ind w:right="5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Es decir,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w:t>
      </w:r>
      <w:r w:rsidRPr="00DA365B">
        <w:rPr>
          <w:rFonts w:ascii="Palatino Linotype" w:eastAsia="Palatino Linotype" w:hAnsi="Palatino Linotype" w:cs="Palatino Linotype"/>
          <w:sz w:val="22"/>
          <w:szCs w:val="22"/>
        </w:rPr>
        <w:lastRenderedPageBreak/>
        <w:t>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853D810"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0394B050" w14:textId="77777777" w:rsidR="00BB4C33" w:rsidRPr="00DA365B" w:rsidRDefault="003970ED">
      <w:pPr>
        <w:spacing w:line="360" w:lineRule="auto"/>
        <w:ind w:right="51"/>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Sobre la </w:t>
      </w:r>
      <w:r w:rsidRPr="00DA365B">
        <w:rPr>
          <w:rFonts w:ascii="Palatino Linotype" w:eastAsia="Palatino Linotype" w:hAnsi="Palatino Linotype" w:cs="Palatino Linotype"/>
          <w:b/>
          <w:sz w:val="22"/>
          <w:szCs w:val="22"/>
        </w:rPr>
        <w:t>clave catastral</w:t>
      </w:r>
      <w:r w:rsidRPr="00DA365B">
        <w:rPr>
          <w:rFonts w:ascii="Palatino Linotype" w:eastAsia="Palatino Linotype" w:hAnsi="Palatino Linotype" w:cs="Palatino Linotype"/>
          <w:sz w:val="22"/>
          <w:szCs w:val="22"/>
        </w:rPr>
        <w:t xml:space="preserve"> debe decirse que artículo 179, fracción I del </w:t>
      </w:r>
      <w:r w:rsidRPr="00DA365B">
        <w:rPr>
          <w:rFonts w:ascii="Palatino Linotype" w:eastAsia="Palatino Linotype" w:hAnsi="Palatino Linotype" w:cs="Palatino Linotype"/>
          <w:i/>
          <w:sz w:val="22"/>
          <w:szCs w:val="22"/>
        </w:rPr>
        <w:t>Código Financiero del Estado de México y Municipios,</w:t>
      </w:r>
      <w:r w:rsidRPr="00DA365B">
        <w:rPr>
          <w:rFonts w:ascii="Palatino Linotype" w:eastAsia="Palatino Linotype" w:hAnsi="Palatino Linotype" w:cs="Palatino Linotype"/>
          <w:sz w:val="22"/>
          <w:szCs w:val="22"/>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7A3CA003" w14:textId="77777777" w:rsidR="00BB4C33" w:rsidRPr="00DA365B" w:rsidRDefault="003970ED">
      <w:pPr>
        <w:spacing w:before="240" w:after="240" w:line="360" w:lineRule="auto"/>
        <w:ind w:right="-93"/>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Conforme a lo descrito, se advierte que el dato en comento, hace referencia a un predio determinado.</w:t>
      </w:r>
    </w:p>
    <w:p w14:paraId="02D380B7"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la Clave Catastral, la cual, apunta lo siguiente:</w:t>
      </w:r>
    </w:p>
    <w:p w14:paraId="06FD9612" w14:textId="77777777" w:rsidR="00BB4C33" w:rsidRPr="00DA365B" w:rsidRDefault="003970ED">
      <w:pPr>
        <w:spacing w:before="120" w:after="120"/>
        <w:ind w:left="709" w:right="851"/>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Clave Catastral</w:t>
      </w:r>
      <w:r w:rsidRPr="00DA365B">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catastrales.”(Sic)</w:t>
      </w:r>
    </w:p>
    <w:p w14:paraId="4972DCC0"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De los conceptos antepuestos, se advierte que la Clave Catastral es una serie de elementos que hacen identificable un inmueble para su localización geográfica y posterior inscripción al padrón catastral de cada Entidad Federativa y, quizá hasta podría revelar información </w:t>
      </w:r>
      <w:r w:rsidRPr="00DA365B">
        <w:rPr>
          <w:rFonts w:ascii="Palatino Linotype" w:eastAsia="Palatino Linotype" w:hAnsi="Palatino Linotype" w:cs="Palatino Linotype"/>
          <w:sz w:val="22"/>
          <w:szCs w:val="22"/>
        </w:rPr>
        <w:lastRenderedPageBreak/>
        <w:t>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568B82AA" w14:textId="77777777" w:rsidR="00BB4C33" w:rsidRPr="00DA365B" w:rsidRDefault="003970ED">
      <w:pP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En cuanto al </w:t>
      </w:r>
      <w:r w:rsidRPr="00DA365B">
        <w:rPr>
          <w:rFonts w:ascii="Palatino Linotype" w:eastAsia="Palatino Linotype" w:hAnsi="Palatino Linotype" w:cs="Palatino Linotype"/>
          <w:b/>
          <w:sz w:val="22"/>
          <w:szCs w:val="22"/>
        </w:rPr>
        <w:t>nombre de representante legal</w:t>
      </w:r>
      <w:r w:rsidRPr="00DA365B">
        <w:rPr>
          <w:rFonts w:ascii="Palatino Linotype" w:eastAsia="Palatino Linotype" w:hAnsi="Palatino Linotype" w:cs="Palatino Linotype"/>
          <w:sz w:val="22"/>
          <w:szCs w:val="22"/>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412084E8" w14:textId="77777777" w:rsidR="00BB4C33" w:rsidRPr="00DA365B" w:rsidRDefault="003970ED">
      <w:pPr>
        <w:widowControl w:val="0"/>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17978742"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2B2CB3B0"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En esa tesitura, la representación de las personas morales se realizará por medio de representantes o apoderados, y en el caso específico de las sociedades mercantiles, dicha representación se otorgará mediante instrumento público.</w:t>
      </w:r>
    </w:p>
    <w:p w14:paraId="6CF63011"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B9EE0CE"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59231693"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225FA24"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lastRenderedPageBreak/>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DA365B">
        <w:rPr>
          <w:rFonts w:ascii="Palatino Linotype" w:eastAsia="Palatino Linotype" w:hAnsi="Palatino Linotype" w:cs="Palatino Linotype"/>
          <w:b/>
          <w:sz w:val="22"/>
          <w:szCs w:val="22"/>
        </w:rPr>
        <w:t xml:space="preserve">es público, </w:t>
      </w:r>
      <w:r w:rsidRPr="00DA365B">
        <w:rPr>
          <w:rFonts w:ascii="Palatino Linotype" w:eastAsia="Palatino Linotype" w:hAnsi="Palatino Linotype" w:cs="Palatino Linotype"/>
          <w:sz w:val="22"/>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75FA10C4"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1562194E"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6F71809A" w14:textId="77777777" w:rsidR="00BB4C33" w:rsidRPr="00DA365B" w:rsidRDefault="00BB4C33">
      <w:pPr>
        <w:spacing w:line="360" w:lineRule="auto"/>
        <w:ind w:left="567" w:right="567"/>
        <w:jc w:val="both"/>
        <w:rPr>
          <w:rFonts w:ascii="Palatino Linotype" w:eastAsia="Palatino Linotype" w:hAnsi="Palatino Linotype" w:cs="Palatino Linotype"/>
          <w:b/>
          <w:i/>
          <w:sz w:val="22"/>
          <w:szCs w:val="22"/>
        </w:rPr>
      </w:pPr>
    </w:p>
    <w:p w14:paraId="705F87C8" w14:textId="77777777" w:rsidR="00BB4C33" w:rsidRPr="00DA365B" w:rsidRDefault="003970ED">
      <w:pPr>
        <w:ind w:left="567" w:right="53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“Datos de identificación del representante o apoderado legal.</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 xml:space="preserve">Naturaleza jurídica. </w:t>
      </w:r>
      <w:r w:rsidRPr="00DA365B">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1BE8FCD1"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5437ACD3"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Ante tales situaciones, el nombre del representante legal, de una persona jurídica colectiva que solicito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76EDFEC1" w14:textId="77777777" w:rsidR="00BB4C33" w:rsidRPr="00DA365B" w:rsidRDefault="00BB4C33">
      <w:pPr>
        <w:spacing w:line="360" w:lineRule="auto"/>
        <w:ind w:right="51"/>
        <w:jc w:val="both"/>
        <w:rPr>
          <w:rFonts w:ascii="Palatino Linotype" w:eastAsia="Palatino Linotype" w:hAnsi="Palatino Linotype" w:cs="Palatino Linotype"/>
          <w:sz w:val="22"/>
          <w:szCs w:val="22"/>
        </w:rPr>
      </w:pPr>
    </w:p>
    <w:p w14:paraId="235325BB"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Al respecto, se destaca que la versión pública que elabore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debe cumplir con las formalidades exigidas en la Ley; es decir, resulta necesario que el Comité de </w:t>
      </w:r>
      <w:r w:rsidRPr="00DA365B">
        <w:rPr>
          <w:rFonts w:ascii="Palatino Linotype" w:eastAsia="Palatino Linotype" w:hAnsi="Palatino Linotype" w:cs="Palatino Linotype"/>
          <w:sz w:val="22"/>
          <w:szCs w:val="22"/>
        </w:rPr>
        <w:lastRenderedPageBreak/>
        <w:t xml:space="preserve">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A365B">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DA365B">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7DB34E6" w14:textId="77777777" w:rsidR="00BB4C33" w:rsidRPr="00DA365B" w:rsidRDefault="00BB4C33">
      <w:pPr>
        <w:ind w:left="709" w:right="709"/>
        <w:jc w:val="both"/>
        <w:rPr>
          <w:rFonts w:ascii="Palatino Linotype" w:eastAsia="Palatino Linotype" w:hAnsi="Palatino Linotype" w:cs="Palatino Linotype"/>
          <w:b/>
          <w:i/>
          <w:sz w:val="22"/>
          <w:szCs w:val="22"/>
        </w:rPr>
      </w:pPr>
    </w:p>
    <w:p w14:paraId="3F893DB6"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F114703"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w:t>
      </w:r>
      <w:r w:rsidRPr="00DA365B">
        <w:rPr>
          <w:rFonts w:ascii="Palatino Linotype" w:eastAsia="Palatino Linotype" w:hAnsi="Palatino Linotype" w:cs="Palatino Linotype"/>
          <w:b/>
          <w:i/>
          <w:sz w:val="22"/>
          <w:szCs w:val="22"/>
        </w:rPr>
        <w:t>Segundo.-</w:t>
      </w:r>
      <w:r w:rsidRPr="00DA365B">
        <w:rPr>
          <w:rFonts w:ascii="Palatino Linotype" w:eastAsia="Palatino Linotype" w:hAnsi="Palatino Linotype" w:cs="Palatino Linotype"/>
          <w:i/>
          <w:sz w:val="22"/>
          <w:szCs w:val="22"/>
        </w:rPr>
        <w:t xml:space="preserve"> Para efectos de los presentes Lineamientos Generales, se entenderá por:</w:t>
      </w:r>
    </w:p>
    <w:p w14:paraId="24DDF40A"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XVIII.</w:t>
      </w:r>
      <w:r w:rsidRPr="00DA365B">
        <w:rPr>
          <w:rFonts w:ascii="Palatino Linotype" w:eastAsia="Palatino Linotype" w:hAnsi="Palatino Linotype" w:cs="Palatino Linotype"/>
          <w:i/>
          <w:sz w:val="22"/>
          <w:szCs w:val="22"/>
        </w:rPr>
        <w:t xml:space="preserve"> </w:t>
      </w:r>
      <w:r w:rsidRPr="00DA365B">
        <w:rPr>
          <w:rFonts w:ascii="Palatino Linotype" w:eastAsia="Palatino Linotype" w:hAnsi="Palatino Linotype" w:cs="Palatino Linotype"/>
          <w:b/>
          <w:i/>
          <w:sz w:val="22"/>
          <w:szCs w:val="22"/>
        </w:rPr>
        <w:t>Versión pública:</w:t>
      </w:r>
      <w:r w:rsidRPr="00DA365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DA365B">
        <w:rPr>
          <w:rFonts w:ascii="Palatino Linotype" w:eastAsia="Palatino Linotype" w:hAnsi="Palatino Linotype" w:cs="Palatino Linotype"/>
          <w:b/>
          <w:i/>
          <w:sz w:val="22"/>
          <w:szCs w:val="22"/>
          <w:u w:val="single"/>
        </w:rPr>
        <w:t>fundando y motivando la</w:t>
      </w:r>
      <w:r w:rsidRPr="00DA365B">
        <w:rPr>
          <w:rFonts w:ascii="Palatino Linotype" w:eastAsia="Palatino Linotype" w:hAnsi="Palatino Linotype" w:cs="Palatino Linotype"/>
          <w:i/>
          <w:sz w:val="22"/>
          <w:szCs w:val="22"/>
        </w:rPr>
        <w:t xml:space="preserve"> reserva o </w:t>
      </w:r>
      <w:r w:rsidRPr="00DA365B">
        <w:rPr>
          <w:rFonts w:ascii="Palatino Linotype" w:eastAsia="Palatino Linotype" w:hAnsi="Palatino Linotype" w:cs="Palatino Linotype"/>
          <w:b/>
          <w:i/>
          <w:sz w:val="22"/>
          <w:szCs w:val="22"/>
          <w:u w:val="single"/>
        </w:rPr>
        <w:t>confidencialidad</w:t>
      </w:r>
      <w:r w:rsidRPr="00DA365B">
        <w:rPr>
          <w:rFonts w:ascii="Palatino Linotype" w:eastAsia="Palatino Linotype" w:hAnsi="Palatino Linotype" w:cs="Palatino Linotype"/>
          <w:i/>
          <w:sz w:val="22"/>
          <w:szCs w:val="22"/>
        </w:rPr>
        <w:t>, a través de la resolución que para tal efecto emita el Comité de Transparencia.</w:t>
      </w:r>
    </w:p>
    <w:p w14:paraId="71E7F514"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Cuarto.</w:t>
      </w:r>
      <w:r w:rsidRPr="00DA365B">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B1EB1C"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6959220"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Quinto.</w:t>
      </w:r>
      <w:r w:rsidRPr="00DA365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313A040"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lastRenderedPageBreak/>
        <w:t>…</w:t>
      </w:r>
    </w:p>
    <w:p w14:paraId="52F7B428"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Séptimo.</w:t>
      </w:r>
      <w:r w:rsidRPr="00DA365B">
        <w:rPr>
          <w:rFonts w:ascii="Palatino Linotype" w:eastAsia="Palatino Linotype" w:hAnsi="Palatino Linotype" w:cs="Palatino Linotype"/>
          <w:i/>
          <w:sz w:val="22"/>
          <w:szCs w:val="22"/>
        </w:rPr>
        <w:t xml:space="preserve"> La clasificación de la información se llevará a cabo en el momento en que:</w:t>
      </w:r>
    </w:p>
    <w:p w14:paraId="03C73495"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I.</w:t>
      </w:r>
      <w:r w:rsidRPr="00DA365B">
        <w:rPr>
          <w:rFonts w:ascii="Palatino Linotype" w:eastAsia="Palatino Linotype" w:hAnsi="Palatino Linotype" w:cs="Palatino Linotype"/>
          <w:i/>
          <w:sz w:val="22"/>
          <w:szCs w:val="22"/>
        </w:rPr>
        <w:t xml:space="preserve"> Se reciba una solicitud de acceso a la información;</w:t>
      </w:r>
    </w:p>
    <w:p w14:paraId="0C38E7A3"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II.</w:t>
      </w:r>
      <w:r w:rsidRPr="00DA365B">
        <w:rPr>
          <w:rFonts w:ascii="Palatino Linotype" w:eastAsia="Palatino Linotype" w:hAnsi="Palatino Linotype" w:cs="Palatino Linotype"/>
          <w:i/>
          <w:sz w:val="22"/>
          <w:szCs w:val="22"/>
        </w:rPr>
        <w:t xml:space="preserve"> </w:t>
      </w:r>
      <w:proofErr w:type="gramStart"/>
      <w:r w:rsidRPr="00DA365B">
        <w:rPr>
          <w:rFonts w:ascii="Palatino Linotype" w:eastAsia="Palatino Linotype" w:hAnsi="Palatino Linotype" w:cs="Palatino Linotype"/>
          <w:i/>
          <w:sz w:val="22"/>
          <w:szCs w:val="22"/>
        </w:rPr>
        <w:t>Se  determine</w:t>
      </w:r>
      <w:proofErr w:type="gramEnd"/>
      <w:r w:rsidRPr="00DA365B">
        <w:rPr>
          <w:rFonts w:ascii="Palatino Linotype" w:eastAsia="Palatino Linotype" w:hAnsi="Palatino Linotype" w:cs="Palatino Linotype"/>
          <w:i/>
          <w:sz w:val="22"/>
          <w:szCs w:val="22"/>
        </w:rPr>
        <w:t xml:space="preserve"> mediante resolución del Comité de Transparencia, el órgano garante </w:t>
      </w:r>
    </w:p>
    <w:p w14:paraId="7E1B11D5"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competente, o en cumplimiento a una sentencia del Poder Judicial; o</w:t>
      </w:r>
    </w:p>
    <w:p w14:paraId="6F880C5E"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III.</w:t>
      </w:r>
      <w:r w:rsidRPr="00DA365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14F52E1"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B2B6EC2"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Octavo.</w:t>
      </w:r>
      <w:r w:rsidRPr="00DA365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C44ED54"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B519C15"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4DDD97A"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Noveno.</w:t>
      </w:r>
      <w:r w:rsidRPr="00DA365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ECDCEF"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Décimo.</w:t>
      </w:r>
      <w:r w:rsidRPr="00DA365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2E49ED5"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7AE1B55"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Décimo primero.</w:t>
      </w:r>
      <w:r w:rsidRPr="00DA365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w:t>
      </w:r>
      <w:r w:rsidRPr="00DA365B">
        <w:rPr>
          <w:rFonts w:ascii="Palatino Linotype" w:eastAsia="Palatino Linotype" w:hAnsi="Palatino Linotype" w:cs="Palatino Linotype"/>
          <w:i/>
          <w:sz w:val="22"/>
          <w:szCs w:val="22"/>
        </w:rPr>
        <w:lastRenderedPageBreak/>
        <w:t>llevar la leyenda correspondiente de conformidad con lo dispuesto en el Capítulo VIII de los presentes lineamientos.</w:t>
      </w:r>
    </w:p>
    <w:p w14:paraId="1D5B706F" w14:textId="77777777" w:rsidR="00BB4C33" w:rsidRPr="00DA365B" w:rsidRDefault="00BB4C33">
      <w:pPr>
        <w:pBdr>
          <w:top w:val="nil"/>
          <w:left w:val="nil"/>
          <w:bottom w:val="nil"/>
          <w:right w:val="nil"/>
          <w:between w:val="nil"/>
        </w:pBdr>
        <w:ind w:right="709"/>
        <w:jc w:val="both"/>
        <w:rPr>
          <w:rFonts w:ascii="Palatino Linotype" w:eastAsia="Palatino Linotype" w:hAnsi="Palatino Linotype" w:cs="Palatino Linotype"/>
          <w:sz w:val="22"/>
          <w:szCs w:val="22"/>
        </w:rPr>
      </w:pPr>
    </w:p>
    <w:p w14:paraId="57F52305" w14:textId="77777777" w:rsidR="00BB4C33" w:rsidRPr="00DA365B" w:rsidRDefault="003970ED">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w:t>
      </w:r>
    </w:p>
    <w:p w14:paraId="724D68B4" w14:textId="77777777" w:rsidR="00BB4C33" w:rsidRPr="00DA365B" w:rsidRDefault="003970ED">
      <w:pPr>
        <w:pBdr>
          <w:top w:val="nil"/>
          <w:left w:val="nil"/>
          <w:bottom w:val="nil"/>
          <w:right w:val="nil"/>
          <w:between w:val="nil"/>
        </w:pBdr>
        <w:ind w:left="709" w:right="709"/>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CAPÍTULO VIII</w:t>
      </w:r>
    </w:p>
    <w:p w14:paraId="1EB6C531" w14:textId="77777777" w:rsidR="00BB4C33" w:rsidRPr="00DA365B" w:rsidRDefault="003970ED">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DA365B">
        <w:rPr>
          <w:rFonts w:ascii="Palatino Linotype" w:eastAsia="Palatino Linotype" w:hAnsi="Palatino Linotype" w:cs="Palatino Linotype"/>
          <w:b/>
          <w:i/>
          <w:sz w:val="22"/>
          <w:szCs w:val="22"/>
        </w:rPr>
        <w:t>DE LOS ELEMENTOS PARA LA CLASIFICACIÓN</w:t>
      </w:r>
    </w:p>
    <w:p w14:paraId="64B7AFC2"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Quincuagésimo</w:t>
      </w:r>
      <w:r w:rsidRPr="00DA365B">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5DE7FD6"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Quincuagésimo primero</w:t>
      </w:r>
      <w:r w:rsidRPr="00DA365B">
        <w:rPr>
          <w:rFonts w:ascii="Palatino Linotype" w:eastAsia="Palatino Linotype" w:hAnsi="Palatino Linotype" w:cs="Palatino Linotype"/>
          <w:i/>
          <w:sz w:val="22"/>
          <w:szCs w:val="22"/>
        </w:rPr>
        <w:t>. Toda acta del Comité de Transparencia deberá contener:</w:t>
      </w:r>
    </w:p>
    <w:p w14:paraId="73DB3731"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I. El número de sesión y fecha; </w:t>
      </w:r>
    </w:p>
    <w:p w14:paraId="3BE135C8"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 El nombre del área que solicitó la clasificación de información;</w:t>
      </w:r>
    </w:p>
    <w:p w14:paraId="49D9118C"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III. La fundamentación legal y motivación correspondiente;</w:t>
      </w:r>
      <w:bookmarkStart w:id="2" w:name="_GoBack"/>
      <w:bookmarkEnd w:id="2"/>
    </w:p>
    <w:p w14:paraId="2783042C"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IV. La resolución o resoluciones aprobadas; y</w:t>
      </w:r>
    </w:p>
    <w:p w14:paraId="6843DD6E"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V. La rúbrica o firma digital de cada integrante del Comité de Transparencia. </w:t>
      </w:r>
    </w:p>
    <w:p w14:paraId="0E92AFD0"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C6F72CA"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 Los motivos y razonamientos que sustenten la confirmación o modificación de la prueba de daño;</w:t>
      </w:r>
    </w:p>
    <w:p w14:paraId="4A937A03"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 Descripción de las partes o secciones reservadas, en caso de clasificación parcial;</w:t>
      </w:r>
    </w:p>
    <w:p w14:paraId="16BC9BA3"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III. El periodo por el que mantendrá su clasificación y fecha de expiración; y</w:t>
      </w:r>
    </w:p>
    <w:p w14:paraId="5CAB67D2"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IV. El nombre del titular y área encargada de realizar la versión pública del documento, en su caso.</w:t>
      </w:r>
    </w:p>
    <w:p w14:paraId="36BAD88D"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9127D54"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55ECCC5"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b/>
          <w:i/>
          <w:sz w:val="22"/>
          <w:szCs w:val="22"/>
        </w:rPr>
        <w:t>Quincuagésimo segundo</w:t>
      </w:r>
      <w:r w:rsidRPr="00DA365B">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w:t>
      </w:r>
      <w:r w:rsidRPr="00DA365B">
        <w:rPr>
          <w:rFonts w:ascii="Palatino Linotype" w:eastAsia="Palatino Linotype" w:hAnsi="Palatino Linotype" w:cs="Palatino Linotype"/>
          <w:i/>
          <w:sz w:val="22"/>
          <w:szCs w:val="22"/>
        </w:rPr>
        <w:lastRenderedPageBreak/>
        <w:t>las áreas de los sujetos obligados deberán tomar las medidas pertinentes tendientes a asegurar que el espacio utilizado para testar la información no podrá ser empleado para la sobreposición de contenido distinto al autorizado por el Comité.</w:t>
      </w:r>
    </w:p>
    <w:p w14:paraId="70E25F74"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774E6B1"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AC2F064"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38CE8DF"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III. Señalar las personas o instancias autorizadas a acceder a la información clasificada.</w:t>
      </w:r>
    </w:p>
    <w:p w14:paraId="0FCE83DD"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0A56864"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 xml:space="preserve">Quincuagésimo tercero. </w:t>
      </w:r>
      <w:r w:rsidRPr="00DA365B">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proofErr w:type="gramStart"/>
      <w:r w:rsidRPr="00DA365B">
        <w:rPr>
          <w:rFonts w:ascii="Palatino Linotype" w:eastAsia="Palatino Linotype" w:hAnsi="Palatino Linotype" w:cs="Palatino Linotype"/>
          <w:b/>
          <w:i/>
          <w:sz w:val="22"/>
          <w:szCs w:val="22"/>
          <w:u w:val="single"/>
        </w:rPr>
        <w:t>:</w:t>
      </w:r>
      <w:r w:rsidRPr="00DA365B">
        <w:rPr>
          <w:rFonts w:ascii="Palatino Linotype" w:eastAsia="Palatino Linotype" w:hAnsi="Palatino Linotype" w:cs="Palatino Linotype"/>
          <w:i/>
          <w:sz w:val="22"/>
          <w:szCs w:val="22"/>
        </w:rPr>
        <w:t>:</w:t>
      </w:r>
      <w:proofErr w:type="gramEnd"/>
    </w:p>
    <w:tbl>
      <w:tblPr>
        <w:tblStyle w:val="af1"/>
        <w:tblW w:w="8833" w:type="dxa"/>
        <w:jc w:val="center"/>
        <w:tblInd w:w="0" w:type="dxa"/>
        <w:tblLayout w:type="fixed"/>
        <w:tblLook w:val="0400" w:firstRow="0" w:lastRow="0" w:firstColumn="0" w:lastColumn="0" w:noHBand="0" w:noVBand="1"/>
      </w:tblPr>
      <w:tblGrid>
        <w:gridCol w:w="1660"/>
        <w:gridCol w:w="1980"/>
        <w:gridCol w:w="5193"/>
      </w:tblGrid>
      <w:tr w:rsidR="00DA365B" w:rsidRPr="00DA365B" w14:paraId="56F8E244"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64A27328" w14:textId="77777777" w:rsidR="00BB4C33" w:rsidRPr="00DA365B" w:rsidRDefault="00BB4C33">
            <w:pPr>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8B387"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C19DB"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Dónde:</w:t>
            </w:r>
          </w:p>
        </w:tc>
      </w:tr>
      <w:tr w:rsidR="00DA365B" w:rsidRPr="00DA365B" w14:paraId="3DDAFEF6"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0D2059"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b/>
                <w:i/>
                <w:sz w:val="22"/>
                <w:szCs w:val="22"/>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EC16A"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6EB321"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DA365B" w:rsidRPr="00DA365B" w14:paraId="0F5D3E1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3F484"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783AEE"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9812B"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Se señalará el nombre del área del cual es titular quien clasifica.</w:t>
            </w:r>
          </w:p>
        </w:tc>
      </w:tr>
      <w:tr w:rsidR="00DA365B" w:rsidRPr="00DA365B" w14:paraId="7BFCF2A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24C32B"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FF9ED"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3C082"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DA365B" w:rsidRPr="00DA365B" w14:paraId="7BF09C1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F69A36"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6C87B"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5FFBC"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DA365B" w:rsidRPr="00DA365B" w14:paraId="2069171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A14BE3"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93761"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E5E01"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DA365B" w:rsidRPr="00DA365B" w14:paraId="6A245A8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6C4AF"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461C9"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851BB"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DA365B" w:rsidRPr="00DA365B" w14:paraId="3581C27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B301E2"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5BFE16"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F7AAB"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Rúbrica autógrafa o firma digital de quien clasifica.</w:t>
            </w:r>
          </w:p>
        </w:tc>
      </w:tr>
      <w:tr w:rsidR="00DA365B" w:rsidRPr="00DA365B" w14:paraId="4850F4BF"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0D5E76"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DC6E8"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49DA7"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Se anotará la fecha en que se desclasifica el documento.</w:t>
            </w:r>
          </w:p>
        </w:tc>
      </w:tr>
      <w:tr w:rsidR="00DA365B" w:rsidRPr="00DA365B" w14:paraId="3BD4712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CA1E7F"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0E98B" w14:textId="77777777" w:rsidR="00BB4C33" w:rsidRPr="00DA365B" w:rsidRDefault="003970ED">
            <w:pPr>
              <w:pBdr>
                <w:top w:val="nil"/>
                <w:left w:val="nil"/>
                <w:bottom w:val="nil"/>
                <w:right w:val="nil"/>
                <w:between w:val="nil"/>
              </w:pBdr>
              <w:jc w:val="center"/>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C598D" w14:textId="77777777" w:rsidR="00BB4C33" w:rsidRPr="00DA365B" w:rsidRDefault="003970ED">
            <w:pPr>
              <w:pBdr>
                <w:top w:val="nil"/>
                <w:left w:val="nil"/>
                <w:bottom w:val="nil"/>
                <w:right w:val="nil"/>
                <w:between w:val="nil"/>
              </w:pBdr>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Rúbrica autógrafa o firma digital de quien desclasifica.</w:t>
            </w:r>
          </w:p>
        </w:tc>
      </w:tr>
      <w:tr w:rsidR="00DA365B" w:rsidRPr="00DA365B" w14:paraId="0028ECFC" w14:textId="77777777">
        <w:trPr>
          <w:gridAfter w:val="2"/>
          <w:wAfter w:w="7173" w:type="dxa"/>
          <w:trHeight w:val="341"/>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06CE65" w14:textId="77777777" w:rsidR="00BB4C33" w:rsidRPr="00DA365B" w:rsidRDefault="00BB4C33">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r>
    </w:tbl>
    <w:p w14:paraId="3D182F6D"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3E0450F" w14:textId="77777777" w:rsidR="00BB4C33" w:rsidRPr="00DA365B" w:rsidRDefault="003970ED">
      <w:pPr>
        <w:pBdr>
          <w:top w:val="nil"/>
          <w:left w:val="nil"/>
          <w:bottom w:val="nil"/>
          <w:right w:val="nil"/>
          <w:between w:val="nil"/>
        </w:pBdr>
        <w:spacing w:after="160"/>
        <w:ind w:left="709" w:right="70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DA365B">
        <w:rPr>
          <w:rFonts w:ascii="Palatino Linotype" w:eastAsia="Palatino Linotype" w:hAnsi="Palatino Linotype" w:cs="Palatino Linotype"/>
          <w:i/>
          <w:sz w:val="22"/>
          <w:szCs w:val="22"/>
        </w:rPr>
        <w:t>testado</w:t>
      </w:r>
      <w:proofErr w:type="spellEnd"/>
      <w:r w:rsidRPr="00DA365B">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2DC63E38" w14:textId="77777777" w:rsidR="00BB4C33" w:rsidRPr="00DA365B" w:rsidRDefault="00BB4C33">
      <w:pPr>
        <w:jc w:val="both"/>
        <w:rPr>
          <w:rFonts w:ascii="Palatino Linotype" w:eastAsia="Palatino Linotype" w:hAnsi="Palatino Linotype" w:cs="Palatino Linotype"/>
          <w:sz w:val="22"/>
          <w:szCs w:val="22"/>
        </w:rPr>
      </w:pPr>
    </w:p>
    <w:p w14:paraId="294DC828"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280469E5"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4C5F34FB" w14:textId="77777777" w:rsidR="00BB4C33" w:rsidRPr="00DA365B" w:rsidRDefault="003970ED">
      <w:pPr>
        <w:shd w:val="clear" w:color="auto" w:fill="FFFFFF"/>
        <w:spacing w:line="360" w:lineRule="auto"/>
        <w:ind w:right="51"/>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w:t>
      </w:r>
      <w:r w:rsidRPr="00DA365B">
        <w:rPr>
          <w:rFonts w:ascii="Palatino Linotype" w:eastAsia="Palatino Linotype" w:hAnsi="Palatino Linotype" w:cs="Palatino Linotype"/>
          <w:sz w:val="22"/>
          <w:szCs w:val="22"/>
        </w:rPr>
        <w:lastRenderedPageBreak/>
        <w:t xml:space="preserve">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w:t>
      </w:r>
    </w:p>
    <w:p w14:paraId="7B806343"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076CF8A1"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7A8AF28E" w14:textId="77777777" w:rsidR="00BB4C33" w:rsidRPr="00DA365B" w:rsidRDefault="00BB4C33">
      <w:pPr>
        <w:spacing w:line="360" w:lineRule="auto"/>
        <w:jc w:val="both"/>
        <w:rPr>
          <w:rFonts w:ascii="Palatino Linotype" w:eastAsia="Palatino Linotype" w:hAnsi="Palatino Linotype" w:cs="Palatino Linotype"/>
          <w:sz w:val="22"/>
          <w:szCs w:val="22"/>
        </w:rPr>
      </w:pPr>
    </w:p>
    <w:p w14:paraId="3F882906" w14:textId="77777777" w:rsidR="00BB4C33" w:rsidRPr="00DA365B" w:rsidRDefault="003970ED">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R E S U E L V E:</w:t>
      </w:r>
    </w:p>
    <w:p w14:paraId="659A932F" w14:textId="77777777" w:rsidR="00BB4C33" w:rsidRPr="00DA365B" w:rsidRDefault="00BB4C33">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760D6144" w14:textId="77777777" w:rsidR="00BB4C33" w:rsidRPr="00DA365B" w:rsidRDefault="003970ED">
      <w:pPr>
        <w:spacing w:line="360" w:lineRule="auto"/>
        <w:jc w:val="both"/>
        <w:rPr>
          <w:rFonts w:ascii="Palatino Linotype" w:eastAsia="Palatino Linotype" w:hAnsi="Palatino Linotype" w:cs="Palatino Linotype"/>
          <w:b/>
          <w:sz w:val="22"/>
          <w:szCs w:val="22"/>
        </w:rPr>
      </w:pPr>
      <w:r w:rsidRPr="00DA365B">
        <w:rPr>
          <w:rFonts w:ascii="Palatino Linotype" w:eastAsia="Palatino Linotype" w:hAnsi="Palatino Linotype" w:cs="Palatino Linotype"/>
          <w:b/>
          <w:sz w:val="22"/>
          <w:szCs w:val="22"/>
        </w:rPr>
        <w:t xml:space="preserve">Primero. </w:t>
      </w:r>
      <w:r w:rsidRPr="00DA365B">
        <w:rPr>
          <w:rFonts w:ascii="Palatino Linotype" w:eastAsia="Palatino Linotype" w:hAnsi="Palatino Linotype" w:cs="Palatino Linotype"/>
          <w:sz w:val="22"/>
          <w:szCs w:val="22"/>
        </w:rPr>
        <w:t xml:space="preserve">Resultan </w:t>
      </w:r>
      <w:r w:rsidRPr="00DA365B">
        <w:rPr>
          <w:rFonts w:ascii="Palatino Linotype" w:eastAsia="Palatino Linotype" w:hAnsi="Palatino Linotype" w:cs="Palatino Linotype"/>
          <w:b/>
          <w:sz w:val="22"/>
          <w:szCs w:val="22"/>
        </w:rPr>
        <w:t>fundadas</w:t>
      </w:r>
      <w:r w:rsidRPr="00DA365B">
        <w:rPr>
          <w:rFonts w:ascii="Palatino Linotype" w:eastAsia="Palatino Linotype" w:hAnsi="Palatino Linotype" w:cs="Palatino Linotype"/>
          <w:sz w:val="22"/>
          <w:szCs w:val="22"/>
        </w:rPr>
        <w:t xml:space="preserve"> las</w:t>
      </w:r>
      <w:r w:rsidRPr="00DA365B">
        <w:rPr>
          <w:rFonts w:ascii="Palatino Linotype" w:eastAsia="Palatino Linotype" w:hAnsi="Palatino Linotype" w:cs="Palatino Linotype"/>
          <w:b/>
          <w:sz w:val="22"/>
          <w:szCs w:val="22"/>
        </w:rPr>
        <w:t xml:space="preserve"> </w:t>
      </w:r>
      <w:r w:rsidRPr="00DA365B">
        <w:rPr>
          <w:rFonts w:ascii="Palatino Linotype" w:eastAsia="Palatino Linotype" w:hAnsi="Palatino Linotype" w:cs="Palatino Linotype"/>
          <w:sz w:val="22"/>
          <w:szCs w:val="22"/>
        </w:rPr>
        <w:t xml:space="preserve">razones o motivos de inconformidad hechos valer por la parte </w:t>
      </w:r>
      <w:r w:rsidRPr="00DA365B">
        <w:rPr>
          <w:rFonts w:ascii="Palatino Linotype" w:eastAsia="Palatino Linotype" w:hAnsi="Palatino Linotype" w:cs="Palatino Linotype"/>
          <w:b/>
          <w:sz w:val="22"/>
          <w:szCs w:val="22"/>
        </w:rPr>
        <w:t>Recurrente</w:t>
      </w:r>
      <w:r w:rsidRPr="00DA365B">
        <w:rPr>
          <w:rFonts w:ascii="Palatino Linotype" w:eastAsia="Palatino Linotype" w:hAnsi="Palatino Linotype" w:cs="Palatino Linotype"/>
          <w:sz w:val="22"/>
          <w:szCs w:val="22"/>
        </w:rPr>
        <w:t xml:space="preserve"> en el Recurso de Revisión </w:t>
      </w:r>
      <w:r w:rsidRPr="00DA365B">
        <w:rPr>
          <w:rFonts w:ascii="Palatino Linotype" w:eastAsia="Palatino Linotype" w:hAnsi="Palatino Linotype" w:cs="Palatino Linotype"/>
          <w:b/>
          <w:sz w:val="22"/>
          <w:szCs w:val="22"/>
        </w:rPr>
        <w:t>04194/INFOEM/IP/RR/2024;</w:t>
      </w:r>
      <w:r w:rsidRPr="00DA365B">
        <w:rPr>
          <w:rFonts w:ascii="Palatino Linotype" w:eastAsia="Palatino Linotype" w:hAnsi="Palatino Linotype" w:cs="Palatino Linotype"/>
          <w:sz w:val="22"/>
          <w:szCs w:val="22"/>
        </w:rPr>
        <w:t xml:space="preserve"> en términos del Considerando </w:t>
      </w:r>
      <w:r w:rsidRPr="00DA365B">
        <w:rPr>
          <w:rFonts w:ascii="Palatino Linotype" w:eastAsia="Palatino Linotype" w:hAnsi="Palatino Linotype" w:cs="Palatino Linotype"/>
          <w:b/>
          <w:sz w:val="22"/>
          <w:szCs w:val="22"/>
        </w:rPr>
        <w:t>Cuarto</w:t>
      </w:r>
      <w:r w:rsidRPr="00DA365B">
        <w:rPr>
          <w:rFonts w:ascii="Palatino Linotype" w:eastAsia="Palatino Linotype" w:hAnsi="Palatino Linotype" w:cs="Palatino Linotype"/>
          <w:sz w:val="22"/>
          <w:szCs w:val="22"/>
        </w:rPr>
        <w:t xml:space="preserve"> de la presente resolución.</w:t>
      </w:r>
      <w:r w:rsidRPr="00DA365B">
        <w:rPr>
          <w:rFonts w:ascii="Palatino Linotype" w:eastAsia="Palatino Linotype" w:hAnsi="Palatino Linotype" w:cs="Palatino Linotype"/>
          <w:b/>
          <w:sz w:val="22"/>
          <w:szCs w:val="22"/>
        </w:rPr>
        <w:t xml:space="preserve"> </w:t>
      </w:r>
    </w:p>
    <w:p w14:paraId="7A595CD2" w14:textId="77777777" w:rsidR="00BB4C33" w:rsidRPr="00DA365B" w:rsidRDefault="00BB4C33">
      <w:pPr>
        <w:spacing w:line="360" w:lineRule="auto"/>
        <w:jc w:val="both"/>
        <w:rPr>
          <w:rFonts w:ascii="Palatino Linotype" w:eastAsia="Palatino Linotype" w:hAnsi="Palatino Linotype" w:cs="Palatino Linotype"/>
          <w:b/>
          <w:sz w:val="22"/>
          <w:szCs w:val="22"/>
        </w:rPr>
      </w:pPr>
    </w:p>
    <w:p w14:paraId="514ACC83" w14:textId="77777777" w:rsidR="00BB4C33" w:rsidRPr="00DA365B" w:rsidRDefault="003970ED">
      <w:pP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Segundo. </w:t>
      </w:r>
      <w:r w:rsidRPr="00DA365B">
        <w:rPr>
          <w:rFonts w:ascii="Palatino Linotype" w:eastAsia="Palatino Linotype" w:hAnsi="Palatino Linotype" w:cs="Palatino Linotype"/>
          <w:sz w:val="22"/>
          <w:szCs w:val="22"/>
        </w:rPr>
        <w:t xml:space="preserve">Se </w:t>
      </w:r>
      <w:r w:rsidRPr="00DA365B">
        <w:rPr>
          <w:rFonts w:ascii="Palatino Linotype" w:eastAsia="Palatino Linotype" w:hAnsi="Palatino Linotype" w:cs="Palatino Linotype"/>
          <w:b/>
          <w:sz w:val="22"/>
          <w:szCs w:val="22"/>
        </w:rPr>
        <w:t>ordena</w:t>
      </w:r>
      <w:r w:rsidRPr="00DA365B">
        <w:rPr>
          <w:rFonts w:ascii="Palatino Linotype" w:eastAsia="Palatino Linotype" w:hAnsi="Palatino Linotype" w:cs="Palatino Linotype"/>
          <w:sz w:val="22"/>
          <w:szCs w:val="22"/>
        </w:rPr>
        <w:t xml:space="preserve"> al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que en términos del </w:t>
      </w:r>
      <w:r w:rsidRPr="00DA365B">
        <w:rPr>
          <w:rFonts w:ascii="Palatino Linotype" w:eastAsia="Palatino Linotype" w:hAnsi="Palatino Linotype" w:cs="Palatino Linotype"/>
          <w:b/>
          <w:sz w:val="22"/>
          <w:szCs w:val="22"/>
        </w:rPr>
        <w:t>Considerando Cuarto y Quinto</w:t>
      </w:r>
      <w:r w:rsidRPr="00DA365B">
        <w:rPr>
          <w:rFonts w:ascii="Palatino Linotype" w:eastAsia="Palatino Linotype" w:hAnsi="Palatino Linotype" w:cs="Palatino Linotype"/>
          <w:sz w:val="22"/>
          <w:szCs w:val="22"/>
        </w:rPr>
        <w:t xml:space="preserve"> haga entrega, vía Sistema de Acceso a la Información Mexiquense y correo electrónico, en formato Excel o en el formato en que se encuentre, y en correcta versión pública, de lo siguiente: </w:t>
      </w:r>
    </w:p>
    <w:p w14:paraId="3D94B0E8" w14:textId="77777777" w:rsidR="00BB4C33" w:rsidRPr="00DA365B" w:rsidRDefault="00BB4C33">
      <w:pPr>
        <w:spacing w:line="360" w:lineRule="auto"/>
        <w:ind w:right="-7"/>
        <w:jc w:val="both"/>
        <w:rPr>
          <w:rFonts w:ascii="Palatino Linotype" w:eastAsia="Palatino Linotype" w:hAnsi="Palatino Linotype" w:cs="Palatino Linotype"/>
          <w:sz w:val="22"/>
          <w:szCs w:val="22"/>
        </w:rPr>
      </w:pPr>
    </w:p>
    <w:p w14:paraId="0C537CAA" w14:textId="77777777" w:rsidR="00BB4C33" w:rsidRPr="00DA365B" w:rsidRDefault="003970ED">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El documento referente a las licencias de funcionamiento otorgadas para la operación de establecimientos en los que se vende o consume bebidas alcohólicas, y en donde conste, dirección de los establecimientos, nombres </w:t>
      </w:r>
      <w:r w:rsidRPr="00DA365B">
        <w:rPr>
          <w:rFonts w:ascii="Palatino Linotype" w:eastAsia="Palatino Linotype" w:hAnsi="Palatino Linotype" w:cs="Palatino Linotype"/>
          <w:sz w:val="22"/>
          <w:szCs w:val="22"/>
        </w:rPr>
        <w:lastRenderedPageBreak/>
        <w:t xml:space="preserve">y/o razones sociales de los titulares, remitido en Informe Justificado, vigente al trece de junio de dos mil veinticuatro. </w:t>
      </w:r>
    </w:p>
    <w:p w14:paraId="79E24B10" w14:textId="77777777" w:rsidR="00BB4C33" w:rsidRPr="00DA365B" w:rsidRDefault="00BB4C33">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p>
    <w:p w14:paraId="7966A5B0" w14:textId="77777777" w:rsidR="00BB4C33" w:rsidRPr="00DA365B" w:rsidRDefault="003970ED">
      <w:pPr>
        <w:numPr>
          <w:ilvl w:val="0"/>
          <w:numId w:val="4"/>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sz w:val="22"/>
          <w:szCs w:val="22"/>
        </w:rPr>
        <w:t xml:space="preserve">Las licencias relativas a la actividad económica referidas en Informe Justificado. </w:t>
      </w:r>
    </w:p>
    <w:p w14:paraId="71EF3AF5" w14:textId="77777777" w:rsidR="00BB4C33" w:rsidRPr="00DA365B" w:rsidRDefault="003970E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DA365B">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DA365B">
        <w:rPr>
          <w:rFonts w:ascii="Palatino Linotype" w:eastAsia="Palatino Linotype" w:hAnsi="Palatino Linotype" w:cs="Palatino Linotype"/>
          <w:b/>
          <w:i/>
          <w:sz w:val="22"/>
          <w:szCs w:val="22"/>
        </w:rPr>
        <w:t>Recurrente</w:t>
      </w:r>
      <w:r w:rsidRPr="00DA365B">
        <w:rPr>
          <w:rFonts w:ascii="Palatino Linotype" w:eastAsia="Palatino Linotype" w:hAnsi="Palatino Linotype" w:cs="Palatino Linotype"/>
          <w:i/>
          <w:sz w:val="22"/>
          <w:szCs w:val="22"/>
        </w:rPr>
        <w:t>, mismo que igualmente hará de su conocimiento.</w:t>
      </w:r>
    </w:p>
    <w:p w14:paraId="01B5CA1C" w14:textId="77777777" w:rsidR="00BB4C33" w:rsidRPr="00DA365B" w:rsidRDefault="00BB4C33">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p>
    <w:p w14:paraId="36174673" w14:textId="77777777" w:rsidR="00BB4C33" w:rsidRPr="00DA365B" w:rsidRDefault="003970ED">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Tercero. Notifíquese vía SAIMEX</w:t>
      </w:r>
      <w:r w:rsidRPr="00DA365B">
        <w:rPr>
          <w:rFonts w:ascii="Palatino Linotype" w:eastAsia="Palatino Linotype" w:hAnsi="Palatino Linotype" w:cs="Palatino Linotype"/>
          <w:sz w:val="22"/>
          <w:szCs w:val="22"/>
        </w:rPr>
        <w:t xml:space="preserve"> la presente resolución al Titular de la Unidad de Transparencia del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F67F0D" w14:textId="77777777" w:rsidR="00BB4C33" w:rsidRPr="00DA365B" w:rsidRDefault="003970E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 xml:space="preserve">Cuarto. Notifíquese vía SAIMEX </w:t>
      </w:r>
      <w:r w:rsidRPr="00DA365B">
        <w:rPr>
          <w:rFonts w:ascii="Palatino Linotype" w:eastAsia="Palatino Linotype" w:hAnsi="Palatino Linotype" w:cs="Palatino Linotype"/>
          <w:sz w:val="22"/>
          <w:szCs w:val="22"/>
        </w:rPr>
        <w:t>y</w:t>
      </w:r>
      <w:r w:rsidRPr="00DA365B">
        <w:rPr>
          <w:rFonts w:ascii="Palatino Linotype" w:eastAsia="Palatino Linotype" w:hAnsi="Palatino Linotype" w:cs="Palatino Linotype"/>
          <w:b/>
          <w:sz w:val="22"/>
          <w:szCs w:val="22"/>
        </w:rPr>
        <w:t xml:space="preserve"> correo electrónico</w:t>
      </w:r>
      <w:r w:rsidRPr="00DA365B">
        <w:rPr>
          <w:rFonts w:ascii="Palatino Linotype" w:eastAsia="Palatino Linotype" w:hAnsi="Palatino Linotype" w:cs="Palatino Linotype"/>
          <w:sz w:val="22"/>
          <w:szCs w:val="22"/>
        </w:rPr>
        <w:t xml:space="preserve"> a la parte</w:t>
      </w:r>
      <w:r w:rsidRPr="00DA365B">
        <w:rPr>
          <w:rFonts w:ascii="Palatino Linotype" w:eastAsia="Palatino Linotype" w:hAnsi="Palatino Linotype" w:cs="Palatino Linotype"/>
          <w:b/>
          <w:sz w:val="22"/>
          <w:szCs w:val="22"/>
        </w:rPr>
        <w:t xml:space="preserve"> Recurrente, </w:t>
      </w:r>
      <w:r w:rsidRPr="00DA365B">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o bien, vía Juicio de Amparo en los términos de las leyes aplicables. </w:t>
      </w:r>
    </w:p>
    <w:p w14:paraId="4C74D4F6" w14:textId="77777777" w:rsidR="00BB4C33" w:rsidRPr="00DA365B" w:rsidRDefault="003970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lastRenderedPageBreak/>
        <w:t xml:space="preserve">Quinto. Notifíquese </w:t>
      </w:r>
      <w:r w:rsidRPr="00DA365B">
        <w:rPr>
          <w:rFonts w:ascii="Palatino Linotype" w:eastAsia="Palatino Linotype" w:hAnsi="Palatino Linotype" w:cs="Palatino Linotype"/>
          <w:sz w:val="22"/>
          <w:szCs w:val="22"/>
        </w:rPr>
        <w:t>vía</w:t>
      </w:r>
      <w:r w:rsidRPr="00DA365B">
        <w:rPr>
          <w:rFonts w:ascii="Palatino Linotype" w:eastAsia="Palatino Linotype" w:hAnsi="Palatino Linotype" w:cs="Palatino Linotype"/>
          <w:b/>
          <w:sz w:val="22"/>
          <w:szCs w:val="22"/>
        </w:rPr>
        <w:t xml:space="preserve"> SAIMEX </w:t>
      </w:r>
      <w:r w:rsidRPr="00DA365B">
        <w:rPr>
          <w:rFonts w:ascii="Palatino Linotype" w:eastAsia="Palatino Linotype" w:hAnsi="Palatino Linotype" w:cs="Palatino Linotype"/>
          <w:sz w:val="22"/>
          <w:szCs w:val="22"/>
        </w:rPr>
        <w:t xml:space="preserve">y </w:t>
      </w:r>
      <w:r w:rsidRPr="00DA365B">
        <w:rPr>
          <w:rFonts w:ascii="Palatino Linotype" w:eastAsia="Palatino Linotype" w:hAnsi="Palatino Linotype" w:cs="Palatino Linotype"/>
          <w:b/>
          <w:sz w:val="22"/>
          <w:szCs w:val="22"/>
        </w:rPr>
        <w:t xml:space="preserve">correo electrónico </w:t>
      </w:r>
      <w:r w:rsidRPr="00DA365B">
        <w:rPr>
          <w:rFonts w:ascii="Palatino Linotype" w:eastAsia="Palatino Linotype" w:hAnsi="Palatino Linotype" w:cs="Palatino Linotype"/>
          <w:sz w:val="22"/>
          <w:szCs w:val="22"/>
        </w:rPr>
        <w:t>a la parte</w:t>
      </w:r>
      <w:r w:rsidRPr="00DA365B">
        <w:rPr>
          <w:rFonts w:ascii="Palatino Linotype" w:eastAsia="Palatino Linotype" w:hAnsi="Palatino Linotype" w:cs="Palatino Linotype"/>
          <w:b/>
          <w:sz w:val="22"/>
          <w:szCs w:val="22"/>
        </w:rPr>
        <w:t xml:space="preserve"> Recurrente </w:t>
      </w:r>
      <w:r w:rsidRPr="00DA365B">
        <w:rPr>
          <w:rFonts w:ascii="Palatino Linotype" w:eastAsia="Palatino Linotype" w:hAnsi="Palatino Linotype" w:cs="Palatino Linotype"/>
          <w:sz w:val="22"/>
          <w:szCs w:val="22"/>
        </w:rPr>
        <w:t xml:space="preserve">que la respuesta que dé el </w:t>
      </w:r>
      <w:r w:rsidRPr="00DA365B">
        <w:rPr>
          <w:rFonts w:ascii="Palatino Linotype" w:eastAsia="Palatino Linotype" w:hAnsi="Palatino Linotype" w:cs="Palatino Linotype"/>
          <w:b/>
          <w:sz w:val="22"/>
          <w:szCs w:val="22"/>
        </w:rPr>
        <w:t>Sujeto Obligado</w:t>
      </w:r>
      <w:r w:rsidRPr="00DA365B">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91AC6E5" w14:textId="77777777" w:rsidR="00BB4C33" w:rsidRPr="00DA365B" w:rsidRDefault="003970E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365B">
        <w:rPr>
          <w:rFonts w:ascii="Palatino Linotype" w:eastAsia="Palatino Linotype" w:hAnsi="Palatino Linotype" w:cs="Palatino Linotype"/>
          <w:b/>
          <w:sz w:val="22"/>
          <w:szCs w:val="22"/>
        </w:rPr>
        <w:t>Sexto.</w:t>
      </w:r>
      <w:r w:rsidRPr="00DA365B">
        <w:rPr>
          <w:rFonts w:ascii="Palatino Linotype" w:eastAsia="Palatino Linotype" w:hAnsi="Palatino Linotype" w:cs="Palatino Linotype"/>
          <w:sz w:val="22"/>
          <w:szCs w:val="22"/>
        </w:rPr>
        <w:t xml:space="preserve"> Gírese oficio a la </w:t>
      </w:r>
      <w:r w:rsidRPr="00DA365B">
        <w:rPr>
          <w:rFonts w:ascii="Palatino Linotype" w:eastAsia="Palatino Linotype" w:hAnsi="Palatino Linotype" w:cs="Palatino Linotype"/>
          <w:b/>
          <w:sz w:val="22"/>
          <w:szCs w:val="22"/>
        </w:rPr>
        <w:t>Secretaría Técnica del Pleno</w:t>
      </w:r>
      <w:r w:rsidRPr="00DA365B">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534D1DC0"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507B316E" w14:textId="77777777" w:rsidR="00BB4C33" w:rsidRPr="00DA365B" w:rsidRDefault="003970ED">
      <w:pPr>
        <w:spacing w:line="360" w:lineRule="auto"/>
        <w:jc w:val="both"/>
        <w:rPr>
          <w:rFonts w:ascii="Palatino Linotype" w:eastAsia="Palatino Linotype" w:hAnsi="Palatino Linotype" w:cs="Palatino Linotype"/>
          <w:sz w:val="22"/>
          <w:szCs w:val="22"/>
        </w:rPr>
        <w:sectPr w:rsidR="00BB4C33" w:rsidRPr="00DA365B">
          <w:headerReference w:type="default" r:id="rId14"/>
          <w:footerReference w:type="default" r:id="rId15"/>
          <w:headerReference w:type="first" r:id="rId16"/>
          <w:footerReference w:type="first" r:id="rId17"/>
          <w:pgSz w:w="12240" w:h="15840"/>
          <w:pgMar w:top="2041" w:right="1701" w:bottom="1701" w:left="1701" w:header="709" w:footer="709" w:gutter="0"/>
          <w:pgNumType w:start="1"/>
          <w:cols w:space="720"/>
          <w:titlePg/>
        </w:sectPr>
      </w:pPr>
      <w:bookmarkStart w:id="3" w:name="_heading=h.1fob9te" w:colFirst="0" w:colLast="0"/>
      <w:bookmarkEnd w:id="3"/>
      <w:r w:rsidRPr="00DA365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50230" w:rsidRPr="00DA365B">
        <w:rPr>
          <w:rFonts w:ascii="Palatino Linotype" w:eastAsia="Palatino Linotype" w:hAnsi="Palatino Linotype" w:cs="Palatino Linotype"/>
          <w:sz w:val="22"/>
          <w:szCs w:val="22"/>
        </w:rPr>
        <w:t xml:space="preserve">TRIGÉSIMA </w:t>
      </w:r>
      <w:r w:rsidRPr="00DA365B">
        <w:rPr>
          <w:rFonts w:ascii="Palatino Linotype" w:eastAsia="Palatino Linotype" w:hAnsi="Palatino Linotype" w:cs="Palatino Linotype"/>
          <w:sz w:val="22"/>
          <w:szCs w:val="22"/>
        </w:rPr>
        <w:t xml:space="preserve">SESIÓN ORDINARIA CELEBRADA EL </w:t>
      </w:r>
      <w:r w:rsidR="00250230" w:rsidRPr="00DA365B">
        <w:rPr>
          <w:rFonts w:ascii="Palatino Linotype" w:eastAsia="Palatino Linotype" w:hAnsi="Palatino Linotype" w:cs="Palatino Linotype"/>
          <w:sz w:val="22"/>
          <w:szCs w:val="22"/>
        </w:rPr>
        <w:t xml:space="preserve">VEINTIOCHO </w:t>
      </w:r>
      <w:r w:rsidRPr="00DA365B">
        <w:rPr>
          <w:rFonts w:ascii="Palatino Linotype" w:eastAsia="Palatino Linotype" w:hAnsi="Palatino Linotype" w:cs="Palatino Linotype"/>
          <w:sz w:val="22"/>
          <w:szCs w:val="22"/>
        </w:rPr>
        <w:t xml:space="preserve">DE AGOSTO DE DOS MIL VEINTICUATRO, ANTE EL SECRETARIO TÉCNICO DEL PLENO ALEXIS TAPIA RAMÍREZ.                              </w:t>
      </w:r>
    </w:p>
    <w:p w14:paraId="21242B45"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039CB589"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2DECF67A"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76B87883"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1DF443C3"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3ED84138"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094ACFB9"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160F9F89"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70680E81"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63014C7E"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43E071B0"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147646B4"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18833219"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7C25A03A"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4A80C549"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491D50DE"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04B43C34"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11764B6B"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02380804"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3A982126"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793C8246" w14:textId="77777777" w:rsidR="00BB4C33" w:rsidRPr="00DA365B" w:rsidRDefault="00BB4C33">
      <w:pPr>
        <w:spacing w:line="360" w:lineRule="auto"/>
        <w:ind w:right="49"/>
        <w:jc w:val="both"/>
        <w:rPr>
          <w:rFonts w:ascii="Palatino Linotype" w:eastAsia="Palatino Linotype" w:hAnsi="Palatino Linotype" w:cs="Palatino Linotype"/>
          <w:sz w:val="22"/>
          <w:szCs w:val="22"/>
        </w:rPr>
      </w:pPr>
    </w:p>
    <w:p w14:paraId="215EB59C" w14:textId="77777777" w:rsidR="00BB4C33" w:rsidRPr="00DA365B" w:rsidRDefault="00BB4C33">
      <w:pPr>
        <w:spacing w:line="360" w:lineRule="auto"/>
        <w:jc w:val="both"/>
        <w:rPr>
          <w:rFonts w:ascii="Palatino Linotype" w:eastAsia="Palatino Linotype" w:hAnsi="Palatino Linotype" w:cs="Palatino Linotype"/>
          <w:sz w:val="22"/>
          <w:szCs w:val="22"/>
        </w:rPr>
      </w:pPr>
    </w:p>
    <w:sectPr w:rsidR="00BB4C33" w:rsidRPr="00DA365B">
      <w:headerReference w:type="first" r:id="rId18"/>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1F4C8" w14:textId="77777777" w:rsidR="00985213" w:rsidRDefault="00985213">
      <w:r>
        <w:separator/>
      </w:r>
    </w:p>
  </w:endnote>
  <w:endnote w:type="continuationSeparator" w:id="0">
    <w:p w14:paraId="3E205AA8" w14:textId="77777777" w:rsidR="00985213" w:rsidRDefault="0098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9D1E" w14:textId="77777777" w:rsidR="00BB4C33" w:rsidRDefault="003970E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71517">
      <w:rPr>
        <w:rFonts w:ascii="Arial" w:eastAsia="Arial" w:hAnsi="Arial" w:cs="Arial"/>
        <w:b/>
        <w:noProof/>
        <w:color w:val="000000"/>
        <w:sz w:val="20"/>
        <w:szCs w:val="20"/>
      </w:rPr>
      <w:t>44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71517">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73E851ED" w14:textId="77777777" w:rsidR="00BB4C33" w:rsidRDefault="00BB4C33">
    <w:pPr>
      <w:pBdr>
        <w:top w:val="nil"/>
        <w:left w:val="nil"/>
        <w:bottom w:val="nil"/>
        <w:right w:val="nil"/>
        <w:between w:val="nil"/>
      </w:pBdr>
      <w:tabs>
        <w:tab w:val="center" w:pos="4252"/>
        <w:tab w:val="right" w:pos="8504"/>
      </w:tabs>
      <w:rPr>
        <w:color w:val="000000"/>
      </w:rPr>
    </w:pPr>
  </w:p>
  <w:p w14:paraId="329BDC9F" w14:textId="77777777" w:rsidR="00BB4C33" w:rsidRDefault="00BB4C3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F3D52" w14:textId="77777777" w:rsidR="00BB4C33" w:rsidRDefault="003970E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71517">
      <w:rPr>
        <w:rFonts w:ascii="Arial" w:eastAsia="Arial" w:hAnsi="Arial" w:cs="Arial"/>
        <w:b/>
        <w:noProof/>
        <w:color w:val="000000"/>
        <w:sz w:val="20"/>
        <w:szCs w:val="20"/>
      </w:rPr>
      <w:t>45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71517">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50404BA7" w14:textId="77777777" w:rsidR="00BB4C33" w:rsidRDefault="00BB4C3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81708" w14:textId="77777777" w:rsidR="00985213" w:rsidRDefault="00985213">
      <w:r>
        <w:separator/>
      </w:r>
    </w:p>
  </w:footnote>
  <w:footnote w:type="continuationSeparator" w:id="0">
    <w:p w14:paraId="5FA5F829" w14:textId="77777777" w:rsidR="00985213" w:rsidRDefault="0098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4F6C" w14:textId="77777777" w:rsidR="00BB4C33" w:rsidRDefault="003970ED">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1BF491F6" wp14:editId="10905D9E">
          <wp:simplePos x="0" y="0"/>
          <wp:positionH relativeFrom="column">
            <wp:posOffset>-638173</wp:posOffset>
          </wp:positionH>
          <wp:positionV relativeFrom="paragraph">
            <wp:posOffset>-450213</wp:posOffset>
          </wp:positionV>
          <wp:extent cx="7809876" cy="10165823"/>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BB4C33" w14:paraId="3AAE8A91" w14:textId="77777777">
      <w:tc>
        <w:tcPr>
          <w:tcW w:w="2551" w:type="dxa"/>
          <w:vAlign w:val="center"/>
        </w:tcPr>
        <w:p w14:paraId="03EF91BE" w14:textId="77777777" w:rsidR="00BB4C33" w:rsidRDefault="00397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8B6DFA5" w14:textId="77777777" w:rsidR="00BB4C33" w:rsidRDefault="003970E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04194/INFOEM/IP/RR/2024</w:t>
          </w:r>
        </w:p>
      </w:tc>
    </w:tr>
    <w:tr w:rsidR="00BB4C33" w14:paraId="6EA35C74" w14:textId="77777777">
      <w:trPr>
        <w:trHeight w:val="228"/>
      </w:trPr>
      <w:tc>
        <w:tcPr>
          <w:tcW w:w="2551" w:type="dxa"/>
          <w:vAlign w:val="center"/>
        </w:tcPr>
        <w:p w14:paraId="5506BD68" w14:textId="77777777" w:rsidR="00BB4C33" w:rsidRDefault="00397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E9D2BB9" w14:textId="77777777" w:rsidR="00BB4C33" w:rsidRDefault="003970E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Villa de Allende</w:t>
          </w:r>
        </w:p>
      </w:tc>
    </w:tr>
    <w:tr w:rsidR="00BB4C33" w14:paraId="075D325E" w14:textId="77777777">
      <w:tc>
        <w:tcPr>
          <w:tcW w:w="2551" w:type="dxa"/>
          <w:vAlign w:val="center"/>
        </w:tcPr>
        <w:p w14:paraId="0C1EBEE9" w14:textId="77777777" w:rsidR="00BB4C33" w:rsidRDefault="00397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28EB25C" w14:textId="77777777" w:rsidR="00BB4C33" w:rsidRDefault="003970E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D61E371" w14:textId="77777777" w:rsidR="00BB4C33" w:rsidRDefault="003970E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69161" w14:textId="77777777" w:rsidR="00BB4C33" w:rsidRDefault="003970E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D64224F" wp14:editId="5584F51C">
          <wp:simplePos x="0" y="0"/>
          <wp:positionH relativeFrom="column">
            <wp:posOffset>-798191</wp:posOffset>
          </wp:positionH>
          <wp:positionV relativeFrom="paragraph">
            <wp:posOffset>-399411</wp:posOffset>
          </wp:positionV>
          <wp:extent cx="7809876" cy="10165823"/>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6096" w:type="dxa"/>
      <w:tblInd w:w="2835" w:type="dxa"/>
      <w:tblLayout w:type="fixed"/>
      <w:tblLook w:val="0400" w:firstRow="0" w:lastRow="0" w:firstColumn="0" w:lastColumn="0" w:noHBand="0" w:noVBand="1"/>
    </w:tblPr>
    <w:tblGrid>
      <w:gridCol w:w="2551"/>
      <w:gridCol w:w="3545"/>
    </w:tblGrid>
    <w:tr w:rsidR="00BB4C33" w14:paraId="44A59A7B" w14:textId="77777777">
      <w:tc>
        <w:tcPr>
          <w:tcW w:w="2551" w:type="dxa"/>
          <w:vAlign w:val="center"/>
        </w:tcPr>
        <w:p w14:paraId="06340C09" w14:textId="77777777" w:rsidR="00BB4C33" w:rsidRDefault="00397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5" w:type="dxa"/>
          <w:vAlign w:val="center"/>
        </w:tcPr>
        <w:p w14:paraId="15BE67ED" w14:textId="77777777" w:rsidR="00BB4C33" w:rsidRDefault="003970E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04194/INFOEM/IP/RR/2024 </w:t>
          </w:r>
        </w:p>
      </w:tc>
    </w:tr>
    <w:tr w:rsidR="00BB4C33" w14:paraId="13636A93" w14:textId="77777777">
      <w:tc>
        <w:tcPr>
          <w:tcW w:w="2551" w:type="dxa"/>
          <w:vAlign w:val="center"/>
        </w:tcPr>
        <w:p w14:paraId="2024410B" w14:textId="77777777" w:rsidR="00BB4C33" w:rsidRDefault="003970ED">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5" w:type="dxa"/>
          <w:vAlign w:val="center"/>
        </w:tcPr>
        <w:p w14:paraId="29E00D1A" w14:textId="1AC6C061" w:rsidR="00BB4C33" w:rsidRDefault="009643D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XXXXXXXXX XXXXX XXXX </w:t>
          </w:r>
          <w:r w:rsidR="003970ED">
            <w:rPr>
              <w:rFonts w:ascii="Palatino Linotype" w:eastAsia="Palatino Linotype" w:hAnsi="Palatino Linotype" w:cs="Palatino Linotype"/>
              <w:b/>
              <w:sz w:val="22"/>
              <w:szCs w:val="22"/>
            </w:rPr>
            <w:t xml:space="preserve">UIS </w:t>
          </w:r>
        </w:p>
      </w:tc>
    </w:tr>
    <w:tr w:rsidR="00BB4C33" w14:paraId="21B547EC" w14:textId="77777777">
      <w:trPr>
        <w:trHeight w:val="228"/>
      </w:trPr>
      <w:tc>
        <w:tcPr>
          <w:tcW w:w="2551" w:type="dxa"/>
          <w:vAlign w:val="center"/>
        </w:tcPr>
        <w:p w14:paraId="67FC51DB" w14:textId="77777777" w:rsidR="00BB4C33" w:rsidRDefault="00397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5" w:type="dxa"/>
          <w:vAlign w:val="center"/>
        </w:tcPr>
        <w:p w14:paraId="55DD3133" w14:textId="77777777" w:rsidR="00BB4C33" w:rsidRDefault="003970ED">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Villa de Allende</w:t>
          </w:r>
        </w:p>
      </w:tc>
    </w:tr>
    <w:tr w:rsidR="00BB4C33" w14:paraId="105CBB1D" w14:textId="77777777">
      <w:tc>
        <w:tcPr>
          <w:tcW w:w="2551" w:type="dxa"/>
          <w:vAlign w:val="center"/>
        </w:tcPr>
        <w:p w14:paraId="4294ECC5" w14:textId="77777777" w:rsidR="00BB4C33" w:rsidRDefault="003970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5" w:type="dxa"/>
          <w:vAlign w:val="center"/>
        </w:tcPr>
        <w:p w14:paraId="664C18B5" w14:textId="77777777" w:rsidR="00BB4C33" w:rsidRDefault="003970E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82F577" w14:textId="77777777" w:rsidR="00BB4C33" w:rsidRDefault="00BB4C3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33B6" w14:textId="77777777" w:rsidR="00BB4C33" w:rsidRDefault="00BB4C3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D1F701C" w14:textId="77777777" w:rsidR="00BB4C33" w:rsidRDefault="00BB4C3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C6A"/>
    <w:multiLevelType w:val="multilevel"/>
    <w:tmpl w:val="4058D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C13D1"/>
    <w:multiLevelType w:val="multilevel"/>
    <w:tmpl w:val="BAD05FE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F655A"/>
    <w:multiLevelType w:val="multilevel"/>
    <w:tmpl w:val="E8221200"/>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15051BA6"/>
    <w:multiLevelType w:val="multilevel"/>
    <w:tmpl w:val="D25A554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E47C82"/>
    <w:multiLevelType w:val="multilevel"/>
    <w:tmpl w:val="94565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72006A"/>
    <w:multiLevelType w:val="multilevel"/>
    <w:tmpl w:val="193693EA"/>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994B00"/>
    <w:multiLevelType w:val="multilevel"/>
    <w:tmpl w:val="0498A5F0"/>
    <w:lvl w:ilvl="0">
      <w:start w:val="1"/>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33"/>
    <w:rsid w:val="00011077"/>
    <w:rsid w:val="00171517"/>
    <w:rsid w:val="001B342A"/>
    <w:rsid w:val="00250230"/>
    <w:rsid w:val="003970ED"/>
    <w:rsid w:val="009643D9"/>
    <w:rsid w:val="00985213"/>
    <w:rsid w:val="00BB4C33"/>
    <w:rsid w:val="00CB6122"/>
    <w:rsid w:val="00DA365B"/>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70B7"/>
  <w15:docId w15:val="{5A597E9D-9DD3-4B66-A1D8-55D36468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rrIhH6CJ7Nj5KY1NAfzVLNtLQ==">CgMxLjAyCGguZ2pkZ3hzMgloLjMwajB6bGwyCWguMWZvYjl0ZTgAciExeXR3U3lZOTE1dGk4RDI2MWVfaU9GVC1xOEQ2ZkxMUnY=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12494</Words>
  <Characters>68721</Characters>
  <Application>Microsoft Office Word</Application>
  <DocSecurity>0</DocSecurity>
  <Lines>572</Lines>
  <Paragraphs>162</Paragraphs>
  <ScaleCrop>false</ScaleCrop>
  <Company>HP Inc.</Company>
  <LinksUpToDate>false</LinksUpToDate>
  <CharactersWithSpaces>81053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INFOEM402</cp:lastModifiedBy>
  <cp:revision>3</cp:revision>
  <cp:lastPrinted>2024-08-30T17:36:00Z</cp:lastPrinted>
  <dcterms:created xsi:type="dcterms:W3CDTF">2024-09-04T19:07:00Z</dcterms:created>
  <dcterms:modified xsi:type="dcterms:W3CDTF">2024-09-11T16:35:00Z</dcterms:modified>
</cp:coreProperties>
</file>