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BB68129"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C3B23">
        <w:rPr>
          <w:rFonts w:ascii="Palatino Linotype" w:eastAsia="Times New Roman" w:hAnsi="Palatino Linotype" w:cs="Arial"/>
          <w:color w:val="000000"/>
          <w:sz w:val="24"/>
          <w:szCs w:val="24"/>
          <w:lang w:eastAsia="es-MX"/>
        </w:rPr>
        <w:t xml:space="preserve">seis de noviembre de dos mil veinticuatro.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7F653CC9" w14:textId="687D3258" w:rsidR="00CC3B23" w:rsidRDefault="0009491C" w:rsidP="00E14C9D">
      <w:pPr>
        <w:tabs>
          <w:tab w:val="left" w:pos="1701"/>
        </w:tabs>
        <w:spacing w:after="0" w:line="360" w:lineRule="auto"/>
        <w:jc w:val="both"/>
        <w:rPr>
          <w:rFonts w:ascii="Palatino Linotype" w:hAnsi="Palatino Linotype" w:cs="Arial"/>
          <w:b/>
          <w:bCs/>
          <w:sz w:val="24"/>
          <w:szCs w:val="24"/>
          <w:lang w:eastAsia="es-MX"/>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r w:rsidR="00CC3B23">
        <w:rPr>
          <w:rFonts w:ascii="Palatino Linotype" w:hAnsi="Palatino Linotype" w:cs="Arial"/>
          <w:b/>
          <w:bCs/>
          <w:sz w:val="24"/>
          <w:szCs w:val="24"/>
          <w:lang w:eastAsia="es-MX"/>
        </w:rPr>
        <w:t>06305</w:t>
      </w:r>
      <w:r w:rsidR="00865A80">
        <w:rPr>
          <w:rFonts w:ascii="Palatino Linotype" w:hAnsi="Palatino Linotype" w:cs="Arial"/>
          <w:b/>
          <w:bCs/>
          <w:sz w:val="24"/>
          <w:szCs w:val="24"/>
          <w:lang w:eastAsia="es-MX"/>
        </w:rPr>
        <w:t xml:space="preserve">/INFOEM/IP/RR/2024, </w:t>
      </w:r>
      <w:r w:rsidR="00865A80">
        <w:rPr>
          <w:rFonts w:ascii="Palatino Linotype" w:hAnsi="Palatino Linotype" w:cs="Arial"/>
          <w:sz w:val="24"/>
          <w:szCs w:val="24"/>
          <w:lang w:eastAsia="es-MX"/>
        </w:rPr>
        <w:t xml:space="preserve">interpuesto por el </w:t>
      </w:r>
      <w:r w:rsidR="00865A80">
        <w:rPr>
          <w:rFonts w:ascii="Palatino Linotype" w:hAnsi="Palatino Linotype" w:cs="Arial"/>
          <w:b/>
          <w:bCs/>
          <w:sz w:val="24"/>
          <w:szCs w:val="24"/>
          <w:lang w:eastAsia="es-MX"/>
        </w:rPr>
        <w:t xml:space="preserve">C. </w:t>
      </w:r>
      <w:r w:rsidR="00AC608D">
        <w:rPr>
          <w:rFonts w:ascii="Palatino Linotype" w:hAnsi="Palatino Linotype" w:cs="Arial"/>
          <w:b/>
          <w:bCs/>
          <w:sz w:val="24"/>
          <w:szCs w:val="24"/>
          <w:lang w:eastAsia="es-MX"/>
        </w:rPr>
        <w:t>XXXXXXXXXXXXXXXXXXXXXXX</w:t>
      </w:r>
      <w:r w:rsidR="00CC3B23">
        <w:rPr>
          <w:rFonts w:ascii="Palatino Linotype" w:hAnsi="Palatino Linotype" w:cs="Arial"/>
          <w:b/>
          <w:bCs/>
          <w:sz w:val="24"/>
          <w:szCs w:val="24"/>
          <w:lang w:eastAsia="es-MX"/>
        </w:rPr>
        <w:t>,</w:t>
      </w:r>
    </w:p>
    <w:p w14:paraId="77A99BAA" w14:textId="2A0ED839" w:rsidR="00CC3B23" w:rsidRPr="00CC3B23" w:rsidRDefault="00865A80" w:rsidP="00E14C9D">
      <w:pPr>
        <w:tabs>
          <w:tab w:val="left" w:pos="1701"/>
        </w:tabs>
        <w:spacing w:after="0" w:line="360" w:lineRule="auto"/>
        <w:jc w:val="both"/>
        <w:rPr>
          <w:rFonts w:ascii="Palatino Linotype" w:eastAsia="Palatino Linotype" w:hAnsi="Palatino Linotype" w:cs="Palatino Linotype"/>
          <w:color w:val="000000"/>
          <w:sz w:val="24"/>
          <w:szCs w:val="24"/>
        </w:rPr>
      </w:pPr>
      <w:proofErr w:type="gramStart"/>
      <w:r>
        <w:rPr>
          <w:rFonts w:ascii="Palatino Linotype" w:hAnsi="Palatino Linotype" w:cs="Arial"/>
          <w:sz w:val="24"/>
          <w:szCs w:val="24"/>
          <w:lang w:eastAsia="es-MX"/>
        </w:rPr>
        <w:t>a</w:t>
      </w:r>
      <w:proofErr w:type="gramEnd"/>
      <w:r>
        <w:rPr>
          <w:rFonts w:ascii="Palatino Linotype" w:hAnsi="Palatino Linotype" w:cs="Arial"/>
          <w:sz w:val="24"/>
          <w:szCs w:val="24"/>
          <w:lang w:eastAsia="es-MX"/>
        </w:rPr>
        <w:t xml:space="preserve"> quien en lo sucesivo </w:t>
      </w:r>
      <w:r w:rsidRPr="00EA4E95">
        <w:rPr>
          <w:rFonts w:ascii="Palatino Linotype" w:eastAsia="Palatino Linotype" w:hAnsi="Palatino Linotype" w:cs="Palatino Linotype"/>
          <w:color w:val="000000"/>
          <w:sz w:val="24"/>
          <w:szCs w:val="24"/>
        </w:rPr>
        <w:t xml:space="preserve">se le denominará como la parte </w:t>
      </w:r>
      <w:r w:rsidRPr="00EA4E95">
        <w:rPr>
          <w:rFonts w:ascii="Palatino Linotype" w:eastAsia="Palatino Linotype" w:hAnsi="Palatino Linotype" w:cs="Palatino Linotype"/>
          <w:b/>
          <w:bCs/>
          <w:color w:val="000000"/>
          <w:sz w:val="24"/>
          <w:szCs w:val="24"/>
        </w:rPr>
        <w:t xml:space="preserve">Recurrente, </w:t>
      </w:r>
      <w:r w:rsidRPr="00EA4E95">
        <w:rPr>
          <w:rFonts w:ascii="Palatino Linotype" w:eastAsia="Palatino Linotype" w:hAnsi="Palatino Linotype" w:cs="Palatino Linotype"/>
          <w:color w:val="000000"/>
          <w:sz w:val="24"/>
          <w:szCs w:val="24"/>
        </w:rPr>
        <w:t>en contra de la falta de respuesta del</w:t>
      </w:r>
      <w:r>
        <w:rPr>
          <w:rFonts w:ascii="Palatino Linotype" w:eastAsia="Palatino Linotype" w:hAnsi="Palatino Linotype" w:cs="Palatino Linotype"/>
          <w:color w:val="000000"/>
          <w:sz w:val="24"/>
          <w:szCs w:val="24"/>
        </w:rPr>
        <w:t xml:space="preserve"> </w:t>
      </w:r>
      <w:r w:rsidR="00CC3B23">
        <w:rPr>
          <w:rFonts w:ascii="Palatino Linotype" w:eastAsia="Palatino Linotype" w:hAnsi="Palatino Linotype" w:cs="Palatino Linotype"/>
          <w:b/>
          <w:bCs/>
          <w:color w:val="000000"/>
          <w:sz w:val="24"/>
          <w:szCs w:val="24"/>
        </w:rPr>
        <w:t xml:space="preserve">Ayuntamiento de Rayón, </w:t>
      </w:r>
      <w:r w:rsidR="00CC3B23">
        <w:rPr>
          <w:rFonts w:ascii="Palatino Linotype" w:eastAsia="Palatino Linotype" w:hAnsi="Palatino Linotype" w:cs="Palatino Linotype"/>
          <w:color w:val="000000"/>
          <w:sz w:val="24"/>
          <w:szCs w:val="24"/>
        </w:rPr>
        <w:t xml:space="preserve">en lo subsecuente </w:t>
      </w:r>
      <w:r w:rsidR="00CC3B23">
        <w:rPr>
          <w:rFonts w:ascii="Palatino Linotype" w:eastAsia="Palatino Linotype" w:hAnsi="Palatino Linotype" w:cs="Palatino Linotype"/>
          <w:b/>
          <w:bCs/>
          <w:color w:val="000000"/>
          <w:sz w:val="24"/>
          <w:szCs w:val="24"/>
        </w:rPr>
        <w:t xml:space="preserve">El Sujeto Obligado, </w:t>
      </w:r>
      <w:r w:rsidR="00CC3B23">
        <w:rPr>
          <w:rFonts w:ascii="Palatino Linotype" w:eastAsia="Palatino Linotype" w:hAnsi="Palatino Linotype" w:cs="Palatino Linotype"/>
          <w:color w:val="000000"/>
          <w:sz w:val="24"/>
          <w:szCs w:val="24"/>
        </w:rPr>
        <w:t xml:space="preserve">se procede a dictar la presente resolución. </w:t>
      </w:r>
    </w:p>
    <w:p w14:paraId="7F4550E7" w14:textId="77777777" w:rsidR="00CC3B23" w:rsidRDefault="00CC3B23" w:rsidP="00E14C9D">
      <w:pPr>
        <w:tabs>
          <w:tab w:val="left" w:pos="1701"/>
        </w:tabs>
        <w:spacing w:after="0" w:line="360" w:lineRule="auto"/>
        <w:jc w:val="both"/>
        <w:rPr>
          <w:rFonts w:ascii="Palatino Linotype" w:eastAsia="Palatino Linotype" w:hAnsi="Palatino Linotype" w:cs="Palatino Linotype"/>
          <w:color w:val="000000"/>
          <w:sz w:val="24"/>
          <w:szCs w:val="24"/>
        </w:rPr>
      </w:pPr>
    </w:p>
    <w:p w14:paraId="5661CC2D" w14:textId="77777777" w:rsidR="00CC3B23" w:rsidRDefault="00CC3B23" w:rsidP="00E14C9D">
      <w:pPr>
        <w:tabs>
          <w:tab w:val="left" w:pos="1701"/>
        </w:tabs>
        <w:spacing w:after="0" w:line="360" w:lineRule="auto"/>
        <w:jc w:val="both"/>
        <w:rPr>
          <w:rFonts w:ascii="Palatino Linotype" w:eastAsia="Palatino Linotype" w:hAnsi="Palatino Linotype" w:cs="Palatino Linotype"/>
          <w:color w:val="000000"/>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E0FAD6A" w14:textId="1D69EFB2" w:rsidR="00CC3B23" w:rsidRDefault="00865A80" w:rsidP="00CC3B23">
      <w:pPr>
        <w:spacing w:before="240" w:line="360" w:lineRule="auto"/>
        <w:jc w:val="both"/>
        <w:rPr>
          <w:rFonts w:ascii="Palatino Linotype" w:hAnsi="Palatino Linotype" w:cs="Arial"/>
          <w:sz w:val="24"/>
        </w:rPr>
      </w:pPr>
      <w:r>
        <w:rPr>
          <w:rFonts w:ascii="Palatino Linotype" w:hAnsi="Palatino Linotype" w:cs="Arial"/>
          <w:sz w:val="24"/>
        </w:rPr>
        <w:t>Con fecha</w:t>
      </w:r>
      <w:r w:rsidR="00CC3B23">
        <w:rPr>
          <w:rFonts w:ascii="Palatino Linotype" w:hAnsi="Palatino Linotype" w:cs="Arial"/>
          <w:sz w:val="24"/>
        </w:rPr>
        <w:t xml:space="preserve"> </w:t>
      </w:r>
      <w:r w:rsidR="00CC3B23">
        <w:rPr>
          <w:rFonts w:ascii="Palatino Linotype" w:hAnsi="Palatino Linotype" w:cs="Arial"/>
          <w:b/>
          <w:bCs/>
          <w:sz w:val="24"/>
        </w:rPr>
        <w:t xml:space="preserve">once de septiembre de dos mil veinticuatro, El Recurrente, </w:t>
      </w:r>
      <w:r w:rsidR="00CC3B23" w:rsidRPr="00415E43">
        <w:rPr>
          <w:rFonts w:ascii="Palatino Linotype" w:hAnsi="Palatino Linotype" w:cs="Arial"/>
          <w:sz w:val="24"/>
        </w:rPr>
        <w:t>presentó a través del Sistema de Acceso a la Información Mexiquense (</w:t>
      </w:r>
      <w:r w:rsidR="00CC3B23" w:rsidRPr="00415E43">
        <w:rPr>
          <w:rFonts w:ascii="Palatino Linotype" w:hAnsi="Palatino Linotype" w:cs="Arial"/>
          <w:b/>
          <w:sz w:val="24"/>
        </w:rPr>
        <w:t>SAIMEX)</w:t>
      </w:r>
      <w:r w:rsidR="00CC3B23" w:rsidRPr="00415E43">
        <w:rPr>
          <w:rFonts w:ascii="Palatino Linotype" w:hAnsi="Palatino Linotype" w:cs="Arial"/>
          <w:sz w:val="24"/>
        </w:rPr>
        <w:t xml:space="preserve"> ante </w:t>
      </w:r>
      <w:r w:rsidR="00CC3B23" w:rsidRPr="00415E43">
        <w:rPr>
          <w:rFonts w:ascii="Palatino Linotype" w:hAnsi="Palatino Linotype" w:cs="Arial"/>
          <w:b/>
          <w:sz w:val="24"/>
        </w:rPr>
        <w:t>El Sujeto Obligado</w:t>
      </w:r>
      <w:r w:rsidR="00CC3B23" w:rsidRPr="00415E43">
        <w:rPr>
          <w:rFonts w:ascii="Palatino Linotype" w:hAnsi="Palatino Linotype" w:cs="Arial"/>
          <w:sz w:val="24"/>
        </w:rPr>
        <w:t>, la</w:t>
      </w:r>
      <w:r w:rsidR="00CC3B23">
        <w:rPr>
          <w:rFonts w:ascii="Palatino Linotype" w:hAnsi="Palatino Linotype" w:cs="Arial"/>
          <w:sz w:val="24"/>
        </w:rPr>
        <w:t xml:space="preserve"> solicitud de acceso a la información pública, registrada bajo el número </w:t>
      </w:r>
      <w:r w:rsidR="00CC3B23">
        <w:rPr>
          <w:rFonts w:ascii="Palatino Linotype" w:hAnsi="Palatino Linotype" w:cs="Arial"/>
          <w:b/>
          <w:bCs/>
          <w:sz w:val="24"/>
        </w:rPr>
        <w:t xml:space="preserve">00125/RAYON/IP/2024, </w:t>
      </w:r>
      <w:r w:rsidR="00CC3B23">
        <w:rPr>
          <w:rFonts w:ascii="Palatino Linotype" w:hAnsi="Palatino Linotype" w:cs="Arial"/>
          <w:sz w:val="24"/>
        </w:rPr>
        <w:t>mediante la cual solicitó información en el tenor siguiente:</w:t>
      </w:r>
    </w:p>
    <w:p w14:paraId="72677968" w14:textId="4D645915" w:rsidR="00CC3B23" w:rsidRPr="002D1691" w:rsidRDefault="002D1691" w:rsidP="002D1691">
      <w:pPr>
        <w:pStyle w:val="Citas"/>
        <w:rPr>
          <w:b/>
          <w:bCs/>
        </w:rPr>
      </w:pPr>
      <w:r>
        <w:t>“</w:t>
      </w:r>
      <w:r w:rsidRPr="002D1691">
        <w:t xml:space="preserve">Por mi propio derecho solicito </w:t>
      </w:r>
      <w:r w:rsidRPr="00047B0A">
        <w:rPr>
          <w:b/>
          <w:bCs/>
          <w:u w:val="single"/>
        </w:rPr>
        <w:t>COPIA CERTIFICADA</w:t>
      </w:r>
      <w:r w:rsidRPr="002D1691">
        <w:t xml:space="preserve"> de respuesta a la siguiente información: ¿</w:t>
      </w:r>
      <w:proofErr w:type="spellStart"/>
      <w:r w:rsidRPr="002D1691">
        <w:t>Cual</w:t>
      </w:r>
      <w:proofErr w:type="spellEnd"/>
      <w:r w:rsidRPr="002D1691">
        <w:t xml:space="preserve"> es la fecha de Ingreso y de Salida, en que se encontró adscrita la Lic. </w:t>
      </w:r>
      <w:r w:rsidR="00AC608D">
        <w:t>XXXXXXXXXXXXXXX</w:t>
      </w:r>
      <w:r w:rsidRPr="002D1691">
        <w:t>, como servidora pública del H. Ayuntamiento de Rayón, en el área administrativa de Contraloría, con la fusión de "Autoridad Investigadora"</w:t>
      </w:r>
      <w:proofErr w:type="gramStart"/>
      <w:r w:rsidRPr="002D1691">
        <w:t>?</w:t>
      </w:r>
      <w:proofErr w:type="gramEnd"/>
      <w:r w:rsidRPr="002D1691">
        <w:t xml:space="preserve"> Así como las percepciones mensuales derivadas de su posición de acuerdo a Tabulador</w:t>
      </w:r>
      <w:r>
        <w:t xml:space="preserve">” </w:t>
      </w:r>
      <w:r>
        <w:rPr>
          <w:b/>
          <w:bCs/>
        </w:rPr>
        <w:t>(Sic)</w:t>
      </w:r>
    </w:p>
    <w:p w14:paraId="3F9E37B1" w14:textId="3AF13140" w:rsidR="002D1691" w:rsidRDefault="002D1691"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color w:val="000000"/>
          <w:sz w:val="24"/>
          <w:szCs w:val="24"/>
          <w:lang w:val="es-ES_tradnl"/>
        </w:rPr>
        <w:lastRenderedPageBreak/>
        <w:t>Adjuntando el siguiente documento electrónico:</w:t>
      </w:r>
    </w:p>
    <w:p w14:paraId="3027B768" w14:textId="44F50ABE" w:rsidR="002D1691" w:rsidRPr="002D1691" w:rsidRDefault="002D1691" w:rsidP="002D1691">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bCs/>
          <w:color w:val="000000"/>
          <w:lang w:val="es-ES_tradnl"/>
        </w:rPr>
      </w:pPr>
      <w:r>
        <w:rPr>
          <w:rFonts w:ascii="Palatino Linotype" w:eastAsia="Palatino Linotype" w:hAnsi="Palatino Linotype" w:cs="Palatino Linotype"/>
          <w:b/>
          <w:bCs/>
          <w:color w:val="000000"/>
          <w:lang w:val="es-ES_tradnl"/>
        </w:rPr>
        <w:t xml:space="preserve">“Respuesta PMR-TM-89-2022.pdf”: </w:t>
      </w:r>
      <w:r>
        <w:rPr>
          <w:rFonts w:ascii="Palatino Linotype" w:eastAsia="Palatino Linotype" w:hAnsi="Palatino Linotype" w:cs="Palatino Linotype"/>
          <w:color w:val="000000"/>
          <w:lang w:val="es-ES_tradnl"/>
        </w:rPr>
        <w:t xml:space="preserve">Oficio número </w:t>
      </w:r>
      <w:r>
        <w:rPr>
          <w:rFonts w:ascii="Palatino Linotype" w:eastAsia="Palatino Linotype" w:hAnsi="Palatino Linotype" w:cs="Palatino Linotype"/>
          <w:b/>
          <w:bCs/>
          <w:color w:val="000000"/>
          <w:lang w:val="es-ES_tradnl"/>
        </w:rPr>
        <w:t xml:space="preserve">PMR/TM/89/2022 </w:t>
      </w:r>
      <w:r>
        <w:rPr>
          <w:rFonts w:ascii="Palatino Linotype" w:eastAsia="Palatino Linotype" w:hAnsi="Palatino Linotype" w:cs="Palatino Linotype"/>
          <w:color w:val="000000"/>
          <w:lang w:val="es-ES_tradnl"/>
        </w:rPr>
        <w:t>signado por el tesorero municipal y dirigido a la titular de la unidad de transparencia, de fecha veintisiete de mayo de dos mil veintidós, resulta de nuestro interés el siguiente extracto:</w:t>
      </w:r>
    </w:p>
    <w:p w14:paraId="1E48F247" w14:textId="404A18FF" w:rsidR="002D1691" w:rsidRPr="002D1691" w:rsidRDefault="002D1691" w:rsidP="002D1691">
      <w:pPr>
        <w:pStyle w:val="Prrafodelista"/>
        <w:pBdr>
          <w:top w:val="nil"/>
          <w:left w:val="nil"/>
          <w:bottom w:val="nil"/>
          <w:right w:val="nil"/>
          <w:between w:val="nil"/>
        </w:pBdr>
        <w:spacing w:line="360" w:lineRule="auto"/>
        <w:ind w:left="720"/>
        <w:jc w:val="both"/>
        <w:rPr>
          <w:rFonts w:ascii="Palatino Linotype" w:eastAsia="Palatino Linotype" w:hAnsi="Palatino Linotype" w:cs="Palatino Linotype"/>
          <w:b/>
          <w:bCs/>
          <w:i/>
          <w:iCs/>
          <w:color w:val="000000"/>
          <w:lang w:val="es-ES_tradnl"/>
        </w:rPr>
      </w:pPr>
      <w:r>
        <w:rPr>
          <w:rFonts w:ascii="Palatino Linotype" w:eastAsia="Palatino Linotype" w:hAnsi="Palatino Linotype" w:cs="Palatino Linotype"/>
          <w:i/>
          <w:iCs/>
          <w:color w:val="000000"/>
          <w:lang w:val="es-ES_tradnl"/>
        </w:rPr>
        <w:t xml:space="preserve">“Que la C. </w:t>
      </w:r>
      <w:r w:rsidR="00AC608D">
        <w:rPr>
          <w:rFonts w:ascii="Palatino Linotype" w:eastAsia="Palatino Linotype" w:hAnsi="Palatino Linotype" w:cs="Palatino Linotype"/>
          <w:i/>
          <w:iCs/>
          <w:color w:val="000000"/>
          <w:lang w:val="es-ES_tradnl"/>
        </w:rPr>
        <w:t>XXXXXXXXXXXXXXXXXXXXXXXX</w:t>
      </w:r>
      <w:r>
        <w:rPr>
          <w:rFonts w:ascii="Palatino Linotype" w:eastAsia="Palatino Linotype" w:hAnsi="Palatino Linotype" w:cs="Palatino Linotype"/>
          <w:i/>
          <w:iCs/>
          <w:color w:val="000000"/>
          <w:lang w:val="es-ES_tradnl"/>
        </w:rPr>
        <w:t xml:space="preserve">, ingreso el 16 de enero de 2022 y se encuentra adscrita al área administrativa de contraloría con la función de “autoridad investigadora”. Su percepción mensual neta es de 7,000.00 (siete mil 00/100 M.N.)” </w:t>
      </w:r>
      <w:r>
        <w:rPr>
          <w:rFonts w:ascii="Palatino Linotype" w:eastAsia="Palatino Linotype" w:hAnsi="Palatino Linotype" w:cs="Palatino Linotype"/>
          <w:b/>
          <w:bCs/>
          <w:i/>
          <w:iCs/>
          <w:color w:val="000000"/>
          <w:lang w:val="es-ES_tradnl"/>
        </w:rPr>
        <w:t>(Sic)</w:t>
      </w:r>
    </w:p>
    <w:p w14:paraId="36172013" w14:textId="5B9FBF78"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280F31">
        <w:rPr>
          <w:rFonts w:ascii="Palatino Linotype" w:eastAsia="Palatino Linotype" w:hAnsi="Palatino Linotype" w:cs="Palatino Linotype"/>
          <w:b/>
          <w:bCs/>
          <w:color w:val="000000"/>
          <w:sz w:val="24"/>
          <w:szCs w:val="24"/>
          <w:lang w:val="es-ES_tradnl"/>
        </w:rPr>
        <w:t>Modalidad de entrega:</w:t>
      </w:r>
      <w:r w:rsidRPr="00883102">
        <w:rPr>
          <w:rFonts w:ascii="Palatino Linotype" w:eastAsia="Palatino Linotype" w:hAnsi="Palatino Linotype" w:cs="Palatino Linotype"/>
          <w:color w:val="000000"/>
          <w:sz w:val="24"/>
          <w:szCs w:val="24"/>
          <w:lang w:val="es-ES_tradnl"/>
        </w:rPr>
        <w:t xml:space="preserve"> </w:t>
      </w:r>
      <w:r w:rsidR="00280F31">
        <w:rPr>
          <w:rFonts w:ascii="Palatino Linotype" w:eastAsia="Palatino Linotype" w:hAnsi="Palatino Linotype" w:cs="Palatino Linotype"/>
          <w:color w:val="000000"/>
          <w:sz w:val="24"/>
          <w:szCs w:val="24"/>
          <w:lang w:val="es-ES_tradnl"/>
        </w:rPr>
        <w:t>copias certificadas (con costo)</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29715FF9" w14:textId="1A605530" w:rsidR="009459B4" w:rsidRDefault="008A04A3" w:rsidP="002D1691">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 recurso de revisión el</w:t>
      </w:r>
      <w:r w:rsidR="002D1691">
        <w:rPr>
          <w:rFonts w:ascii="Palatino Linotype" w:hAnsi="Palatino Linotype" w:cs="Arial"/>
          <w:sz w:val="24"/>
          <w:szCs w:val="24"/>
        </w:rPr>
        <w:t xml:space="preserve"> </w:t>
      </w:r>
      <w:r w:rsidR="002D1691">
        <w:rPr>
          <w:rFonts w:ascii="Palatino Linotype" w:hAnsi="Palatino Linotype" w:cs="Arial"/>
          <w:b/>
          <w:bCs/>
          <w:sz w:val="24"/>
          <w:szCs w:val="24"/>
        </w:rPr>
        <w:t xml:space="preserve">catorce de octubre de dos mil veinticuatro, </w:t>
      </w:r>
      <w:r w:rsidR="002D1691">
        <w:rPr>
          <w:rFonts w:ascii="Palatino Linotype" w:hAnsi="Palatino Linotype" w:cs="Arial"/>
          <w:sz w:val="24"/>
          <w:szCs w:val="24"/>
        </w:rPr>
        <w:t xml:space="preserve">registrado en el sistema </w:t>
      </w:r>
      <w:r w:rsidR="002D1691">
        <w:rPr>
          <w:rFonts w:ascii="Palatino Linotype" w:hAnsi="Palatino Linotype" w:cs="Arial"/>
          <w:b/>
          <w:bCs/>
          <w:sz w:val="24"/>
          <w:szCs w:val="24"/>
        </w:rPr>
        <w:t xml:space="preserve">SAIMEX </w:t>
      </w:r>
      <w:r w:rsidR="002D1691">
        <w:rPr>
          <w:rFonts w:ascii="Palatino Linotype" w:hAnsi="Palatino Linotype" w:cs="Arial"/>
          <w:sz w:val="24"/>
          <w:szCs w:val="24"/>
        </w:rPr>
        <w:t xml:space="preserve">con número de expediente </w:t>
      </w:r>
      <w:r w:rsidR="002D1691">
        <w:rPr>
          <w:rFonts w:ascii="Palatino Linotype" w:hAnsi="Palatino Linotype" w:cs="Arial"/>
          <w:b/>
          <w:bCs/>
          <w:sz w:val="24"/>
          <w:szCs w:val="24"/>
        </w:rPr>
        <w:t xml:space="preserve">06305/INFOEM/IP/RR/2024, </w:t>
      </w:r>
      <w:r w:rsidRPr="007947A9">
        <w:rPr>
          <w:rFonts w:ascii="Palatino Linotype" w:hAnsi="Palatino Linotype" w:cs="Arial"/>
          <w:sz w:val="24"/>
          <w:szCs w:val="24"/>
        </w:rPr>
        <w:t xml:space="preserve">y señaló </w:t>
      </w:r>
      <w:r w:rsidR="009459B4">
        <w:rPr>
          <w:rFonts w:ascii="Palatino Linotype" w:hAnsi="Palatino Linotype" w:cs="Arial"/>
          <w:sz w:val="24"/>
          <w:szCs w:val="24"/>
        </w:rPr>
        <w:t xml:space="preserve">únicamente </w:t>
      </w:r>
      <w:r w:rsidRPr="007947A9">
        <w:rPr>
          <w:rFonts w:ascii="Palatino Linotype" w:hAnsi="Palatino Linotype" w:cs="Arial"/>
          <w:sz w:val="24"/>
          <w:szCs w:val="24"/>
        </w:rPr>
        <w:t xml:space="preserve">como </w:t>
      </w:r>
      <w:r w:rsidR="002D1691">
        <w:rPr>
          <w:rFonts w:ascii="Palatino Linotype" w:hAnsi="Palatino Linotype" w:cs="Arial"/>
          <w:sz w:val="24"/>
          <w:szCs w:val="24"/>
        </w:rPr>
        <w:t>lo siguiente:</w:t>
      </w:r>
    </w:p>
    <w:p w14:paraId="26FB58C8" w14:textId="4923985F"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13DE75B3" w14:textId="7B88814A" w:rsidR="002D1691" w:rsidRDefault="002D1691" w:rsidP="002D1691">
      <w:pPr>
        <w:pStyle w:val="Citas"/>
        <w:rPr>
          <w:b/>
          <w:bCs/>
        </w:rPr>
      </w:pPr>
      <w:r>
        <w:t>“</w:t>
      </w:r>
      <w:r w:rsidRPr="002D1691">
        <w:t xml:space="preserve">El día 11 de septiembre del año en curso, en la plataforma de "Sistema de Acceso a la información Mexiquense" realicé la solicitud con Número de Folio de la Solicitud 00125/RAYON/IP/2024, de la siguiente información </w:t>
      </w:r>
      <w:proofErr w:type="spellStart"/>
      <w:r w:rsidRPr="002D1691">
        <w:t>publica</w:t>
      </w:r>
      <w:proofErr w:type="spellEnd"/>
      <w:r w:rsidRPr="002D1691">
        <w:t xml:space="preserve"> en formato COPIA </w:t>
      </w:r>
      <w:r w:rsidRPr="002D1691">
        <w:lastRenderedPageBreak/>
        <w:t>CERTIFICADA: ¿</w:t>
      </w:r>
      <w:proofErr w:type="spellStart"/>
      <w:r w:rsidRPr="002D1691">
        <w:t>Cual</w:t>
      </w:r>
      <w:proofErr w:type="spellEnd"/>
      <w:r w:rsidRPr="002D1691">
        <w:t xml:space="preserve"> es la fecha de Ingreso y de Salida, en que se encontró adscrita la Lic. </w:t>
      </w:r>
      <w:r w:rsidR="00AC608D">
        <w:t>XXXXXXXXXXXXXXXX</w:t>
      </w:r>
      <w:r w:rsidRPr="002D1691">
        <w:t>, como servidora pública del H. Ayuntamiento de Rayón, en el área administrativa de Contraloría, con la fusión de "Autoridad Investigadora"</w:t>
      </w:r>
      <w:proofErr w:type="gramStart"/>
      <w:r w:rsidRPr="002D1691">
        <w:t>?</w:t>
      </w:r>
      <w:proofErr w:type="gramEnd"/>
      <w:r w:rsidRPr="002D1691">
        <w:t xml:space="preserve"> Así como las percepciones mensuales derivadas de su posición de acuerdo a Tabulador. Para la cual no recibí ninguna respuesta del Sujeto Obligado, que en este caso es el H. Ayuntamiento de Rayón, el cual cuenta con la llamada "Unidad de Transparencia y Proyectos de Inversión del Municipio de Rayón", que debió haberle dado tramite a dicha solicitud, de acuerdo a lo establecido en Ley de transparencia y acceso a la información pública del Estado de México y Municipios</w:t>
      </w:r>
      <w:r>
        <w:t xml:space="preserve">” </w:t>
      </w:r>
      <w:r>
        <w:rPr>
          <w:b/>
          <w:bCs/>
        </w:rPr>
        <w:t>(Sic)</w:t>
      </w:r>
    </w:p>
    <w:p w14:paraId="23F1E800" w14:textId="77777777" w:rsidR="002D1691" w:rsidRPr="002D1691" w:rsidRDefault="002D1691" w:rsidP="002D1691">
      <w:pPr>
        <w:pStyle w:val="Citas"/>
        <w:rPr>
          <w:b/>
          <w:bCs/>
        </w:rPr>
      </w:pPr>
    </w:p>
    <w:p w14:paraId="799E182F" w14:textId="71E7B902"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 xml:space="preserve">Razones o motivos de la inconformidad: </w:t>
      </w:r>
    </w:p>
    <w:p w14:paraId="3E427DED" w14:textId="501C4EFE" w:rsidR="002D1691" w:rsidRPr="002D1691" w:rsidRDefault="002D1691" w:rsidP="002D1691">
      <w:pPr>
        <w:pStyle w:val="Citas"/>
        <w:rPr>
          <w:b/>
          <w:bCs/>
        </w:rPr>
      </w:pPr>
      <w:r>
        <w:t>“</w:t>
      </w:r>
      <w:r w:rsidRPr="002D1691">
        <w:t xml:space="preserve">De acuerdo a lo establecido en la Constitución Política de los Estados Unidos Mexicanos, Artículo 6 apartado A, y a la Ley de transparencia y acceso a la información pública del Estado de México y Municipios, el H. Ayuntamiento de Rayón, No ha respetado mi derecho de acceso a la Información que debería ser pública, pues no recibí ninguna respuesta a mi solicitud 00125/RAYON/IP/2024, en que solicité COPIA CERTIFICADA de respuesta a la siguiente información: ¿Cuál es la fecha de Ingreso y de Salida, en que se encontró adscrita la Lic. </w:t>
      </w:r>
      <w:r w:rsidR="00AC608D">
        <w:t>XXXX</w:t>
      </w:r>
      <w:r w:rsidRPr="002D1691">
        <w:t xml:space="preserve"> </w:t>
      </w:r>
      <w:r w:rsidR="00AC608D">
        <w:t>XXXXXXXXXXX</w:t>
      </w:r>
      <w:bookmarkStart w:id="0" w:name="_GoBack"/>
      <w:bookmarkEnd w:id="0"/>
      <w:r w:rsidRPr="002D1691">
        <w:t>, como servidora pública del H. Ayuntamiento de Rayón, en el área administrativa de Contraloría, con la fusión de "Autoridad Investigadora"</w:t>
      </w:r>
      <w:proofErr w:type="gramStart"/>
      <w:r w:rsidRPr="002D1691">
        <w:t>?</w:t>
      </w:r>
      <w:proofErr w:type="gramEnd"/>
      <w:r w:rsidRPr="002D1691">
        <w:t xml:space="preserve"> Así como las percepciones mensuales derivadas de su posición de acuerdo a Tabulador</w:t>
      </w:r>
      <w:r>
        <w:t xml:space="preserve">” </w:t>
      </w:r>
      <w:r>
        <w:rPr>
          <w:b/>
          <w:bCs/>
        </w:rPr>
        <w:t>(Sic)</w:t>
      </w:r>
    </w:p>
    <w:p w14:paraId="2624D317" w14:textId="77777777" w:rsidR="002D1691" w:rsidRDefault="002D1691" w:rsidP="002D1691">
      <w:pPr>
        <w:spacing w:after="0" w:line="360" w:lineRule="auto"/>
        <w:jc w:val="both"/>
        <w:rPr>
          <w:rFonts w:ascii="Palatino Linotype" w:hAnsi="Palatino Linotype" w:cs="Arial"/>
          <w:sz w:val="24"/>
          <w:szCs w:val="24"/>
        </w:rPr>
      </w:pPr>
    </w:p>
    <w:p w14:paraId="67160395" w14:textId="6ECB95B6" w:rsidR="002D1691" w:rsidRPr="002D1691" w:rsidRDefault="002D1691" w:rsidP="002D1691">
      <w:pPr>
        <w:spacing w:after="0" w:line="360" w:lineRule="auto"/>
        <w:jc w:val="both"/>
        <w:rPr>
          <w:rFonts w:ascii="Palatino Linotype" w:hAnsi="Palatino Linotype"/>
          <w:sz w:val="24"/>
          <w:szCs w:val="24"/>
        </w:rPr>
      </w:pPr>
      <w:r>
        <w:rPr>
          <w:rFonts w:ascii="Palatino Linotype" w:hAnsi="Palatino Linotype"/>
          <w:sz w:val="24"/>
          <w:szCs w:val="24"/>
        </w:rPr>
        <w:lastRenderedPageBreak/>
        <w:t>Adjuntando el documento “</w:t>
      </w:r>
      <w:r w:rsidRPr="002D1691">
        <w:rPr>
          <w:rFonts w:ascii="Palatino Linotype" w:eastAsia="Palatino Linotype" w:hAnsi="Palatino Linotype" w:cs="Palatino Linotype"/>
          <w:b/>
          <w:bCs/>
          <w:color w:val="000000"/>
          <w:sz w:val="24"/>
          <w:szCs w:val="24"/>
          <w:lang w:val="es-ES_tradnl"/>
        </w:rPr>
        <w:t>Respuesta PMR-TM-89-2022.pdf</w:t>
      </w:r>
      <w:r>
        <w:rPr>
          <w:rFonts w:ascii="Palatino Linotype" w:eastAsia="Palatino Linotype" w:hAnsi="Palatino Linotype" w:cs="Palatino Linotype"/>
          <w:b/>
          <w:bCs/>
          <w:color w:val="000000"/>
          <w:sz w:val="24"/>
          <w:szCs w:val="24"/>
          <w:lang w:val="es-ES_tradnl"/>
        </w:rPr>
        <w:t xml:space="preserve">”, </w:t>
      </w:r>
      <w:r>
        <w:rPr>
          <w:rFonts w:ascii="Palatino Linotype" w:eastAsia="Palatino Linotype" w:hAnsi="Palatino Linotype" w:cs="Palatino Linotype"/>
          <w:color w:val="000000"/>
          <w:sz w:val="24"/>
          <w:szCs w:val="24"/>
          <w:lang w:val="es-ES_tradnl"/>
        </w:rPr>
        <w:t xml:space="preserve">cuyo contenido fue descrito con antelación. </w:t>
      </w:r>
    </w:p>
    <w:p w14:paraId="68DAC7D4" w14:textId="77777777" w:rsidR="002D1691" w:rsidRDefault="002D1691"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72A34A2D" w14:textId="133B6693"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37714EDC"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desechamiento, por lo que el </w:t>
      </w:r>
      <w:r w:rsidR="002D1691">
        <w:rPr>
          <w:rFonts w:ascii="Palatino Linotype" w:eastAsia="Palatino Linotype" w:hAnsi="Palatino Linotype" w:cs="Palatino Linotype"/>
          <w:b/>
          <w:bCs/>
          <w:color w:val="000000"/>
          <w:sz w:val="24"/>
          <w:szCs w:val="24"/>
          <w:lang w:val="es-ES_tradnl"/>
        </w:rPr>
        <w:t xml:space="preserve">quince de octubre de dos mil veinticuatro, </w:t>
      </w:r>
      <w:r w:rsidR="0007277A" w:rsidRPr="007947A9">
        <w:rPr>
          <w:rFonts w:ascii="Palatino Linotype" w:eastAsia="Palatino Linotype" w:hAnsi="Palatino Linotype" w:cs="Palatino Linotype"/>
          <w:color w:val="000000"/>
          <w:sz w:val="24"/>
          <w:szCs w:val="24"/>
          <w:lang w:val="es-ES_tradnl"/>
        </w:rPr>
        <w:t xml:space="preserve">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6F8CE506"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2D1691">
        <w:rPr>
          <w:rFonts w:ascii="Palatino Linotype" w:eastAsia="Palatino Linotype" w:hAnsi="Palatino Linotype" w:cs="Palatino Linotype"/>
          <w:b/>
          <w:bCs/>
          <w:color w:val="000000"/>
          <w:sz w:val="24"/>
          <w:szCs w:val="24"/>
          <w:lang w:val="es-ES_tradnl"/>
        </w:rPr>
        <w:t>veinticinco de octubre</w:t>
      </w:r>
      <w:r w:rsidR="009459B4">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Default="0048739B" w:rsidP="00B34049">
      <w:pPr>
        <w:spacing w:after="0" w:line="360" w:lineRule="auto"/>
        <w:jc w:val="both"/>
        <w:rPr>
          <w:rFonts w:ascii="Palatino Linotype" w:hAnsi="Palatino Linotype" w:cs="Arial"/>
          <w:sz w:val="24"/>
          <w:szCs w:val="24"/>
        </w:rPr>
      </w:pPr>
    </w:p>
    <w:p w14:paraId="7A7932DE" w14:textId="77777777" w:rsidR="00FA4E69" w:rsidRDefault="00FA4E69" w:rsidP="00B34049">
      <w:pPr>
        <w:spacing w:after="0" w:line="360" w:lineRule="auto"/>
        <w:jc w:val="both"/>
        <w:rPr>
          <w:rFonts w:ascii="Palatino Linotype" w:hAnsi="Palatino Linotype" w:cs="Arial"/>
          <w:sz w:val="24"/>
          <w:szCs w:val="24"/>
        </w:rPr>
      </w:pPr>
    </w:p>
    <w:p w14:paraId="16A168C9" w14:textId="77777777" w:rsidR="00FA4E69" w:rsidRDefault="00FA4E69" w:rsidP="00B34049">
      <w:pPr>
        <w:spacing w:after="0" w:line="360" w:lineRule="auto"/>
        <w:jc w:val="both"/>
        <w:rPr>
          <w:rFonts w:ascii="Palatino Linotype" w:hAnsi="Palatino Linotype" w:cs="Arial"/>
          <w:sz w:val="24"/>
          <w:szCs w:val="24"/>
        </w:rPr>
      </w:pPr>
    </w:p>
    <w:p w14:paraId="493D9D7E" w14:textId="77777777" w:rsidR="00FA4E69" w:rsidRPr="00360DF2" w:rsidRDefault="00FA4E69"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lastRenderedPageBreak/>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lastRenderedPageBreak/>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720120B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459B4">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lastRenderedPageBreak/>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lastRenderedPageBreak/>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66D9E0" w14:textId="77777777" w:rsidR="00047B0A" w:rsidRPr="00047B0A" w:rsidRDefault="00280F31" w:rsidP="00047B0A">
      <w:pPr>
        <w:pStyle w:val="Citas"/>
        <w:tabs>
          <w:tab w:val="left" w:pos="7470"/>
        </w:tabs>
        <w:ind w:left="0" w:right="72"/>
        <w:rPr>
          <w:i w:val="0"/>
          <w:iCs/>
          <w:sz w:val="24"/>
          <w:szCs w:val="24"/>
        </w:rPr>
      </w:pPr>
      <w:r w:rsidRPr="00047B0A">
        <w:rPr>
          <w:rFonts w:eastAsia="Times New Roman"/>
          <w:i w:val="0"/>
          <w:iCs/>
          <w:sz w:val="24"/>
          <w:szCs w:val="24"/>
          <w:lang w:val="es-ES" w:eastAsia="es-ES"/>
        </w:rPr>
        <w:lastRenderedPageBreak/>
        <w:t xml:space="preserve">Finalmente, con relación a la modalidad de entrega </w:t>
      </w:r>
      <w:r w:rsidRPr="00047B0A">
        <w:rPr>
          <w:rFonts w:eastAsia="Times New Roman"/>
          <w:b/>
          <w:bCs/>
          <w:i w:val="0"/>
          <w:iCs/>
          <w:sz w:val="24"/>
          <w:szCs w:val="24"/>
          <w:lang w:val="es-ES" w:eastAsia="es-ES"/>
        </w:rPr>
        <w:t>copias certificadas (con costo),</w:t>
      </w:r>
      <w:r w:rsidRPr="00047B0A">
        <w:rPr>
          <w:rFonts w:eastAsia="Times New Roman"/>
          <w:b/>
          <w:bCs/>
          <w:sz w:val="24"/>
          <w:szCs w:val="24"/>
          <w:lang w:val="es-ES" w:eastAsia="es-ES"/>
        </w:rPr>
        <w:t xml:space="preserve"> </w:t>
      </w:r>
      <w:r w:rsidR="00047B0A" w:rsidRPr="00047B0A">
        <w:rPr>
          <w:rFonts w:cstheme="minorBidi"/>
          <w:i w:val="0"/>
          <w:iCs/>
          <w:sz w:val="24"/>
          <w:szCs w:val="24"/>
        </w:rPr>
        <w:t xml:space="preserve">no debe pasarse por alto lo que la Ley de Transparencia y Acceso a la Información Pública del Estado de México y Municipios regula la forma de entregar la información de acuerdo a la modalidad elegida por </w:t>
      </w:r>
      <w:r w:rsidR="00047B0A" w:rsidRPr="00047B0A">
        <w:rPr>
          <w:rFonts w:cstheme="minorBidi"/>
          <w:b/>
          <w:bCs/>
          <w:i w:val="0"/>
          <w:iCs/>
          <w:sz w:val="24"/>
          <w:szCs w:val="24"/>
        </w:rPr>
        <w:t>El recurrente</w:t>
      </w:r>
      <w:r w:rsidR="00047B0A" w:rsidRPr="00047B0A">
        <w:rPr>
          <w:rFonts w:cstheme="minorBidi"/>
          <w:i w:val="0"/>
          <w:iCs/>
          <w:sz w:val="24"/>
          <w:szCs w:val="24"/>
        </w:rPr>
        <w:t xml:space="preserve"> y sus excepciones, sirviendo de sustento </w:t>
      </w:r>
      <w:r w:rsidR="00047B0A" w:rsidRPr="00047B0A">
        <w:rPr>
          <w:i w:val="0"/>
          <w:iCs/>
          <w:sz w:val="24"/>
          <w:szCs w:val="24"/>
        </w:rPr>
        <w:t>los artículos 9 fracción III, 164, 165 y 174 de la Ley citada, los cuales a la letra señalan:</w:t>
      </w:r>
    </w:p>
    <w:p w14:paraId="5EC12FBA" w14:textId="77777777" w:rsidR="00047B0A" w:rsidRPr="00047B0A" w:rsidRDefault="00047B0A" w:rsidP="00047B0A">
      <w:pPr>
        <w:pStyle w:val="Citas"/>
      </w:pPr>
      <w:r w:rsidRPr="00047B0A">
        <w:t>“</w:t>
      </w:r>
      <w:r w:rsidRPr="00047B0A">
        <w:rPr>
          <w:b/>
        </w:rPr>
        <w:t>Artículo 9</w:t>
      </w:r>
      <w:r w:rsidRPr="00047B0A">
        <w:t xml:space="preserve">. El Instituto deberá regir su funcionamiento de acuerdo a los siguientes principios: </w:t>
      </w:r>
    </w:p>
    <w:p w14:paraId="3450EC1B" w14:textId="77777777" w:rsidR="00047B0A" w:rsidRPr="00047B0A" w:rsidRDefault="00047B0A" w:rsidP="00047B0A">
      <w:pPr>
        <w:pStyle w:val="Citas"/>
      </w:pPr>
      <w:r w:rsidRPr="00047B0A">
        <w:t>(…)</w:t>
      </w:r>
    </w:p>
    <w:p w14:paraId="1F7E931D" w14:textId="77777777" w:rsidR="00047B0A" w:rsidRPr="00047B0A" w:rsidRDefault="00047B0A" w:rsidP="00047B0A">
      <w:pPr>
        <w:pStyle w:val="Citas"/>
      </w:pPr>
      <w:r w:rsidRPr="00047B0A">
        <w:t>III.</w:t>
      </w:r>
      <w:r w:rsidRPr="00047B0A">
        <w:tab/>
      </w:r>
      <w:r w:rsidRPr="00047B0A">
        <w:rPr>
          <w:b/>
        </w:rPr>
        <w:t>Gratuidad</w:t>
      </w:r>
      <w:r w:rsidRPr="00047B0A">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55DE8811" w14:textId="77777777" w:rsidR="00047B0A" w:rsidRPr="00047B0A" w:rsidRDefault="00047B0A" w:rsidP="00047B0A">
      <w:pPr>
        <w:pStyle w:val="Citas"/>
        <w:rPr>
          <w:bCs/>
        </w:rPr>
      </w:pPr>
      <w:r w:rsidRPr="00047B0A">
        <w:rPr>
          <w:bCs/>
        </w:rPr>
        <w:t>(…)</w:t>
      </w:r>
    </w:p>
    <w:p w14:paraId="5516C76C" w14:textId="77777777" w:rsidR="00047B0A" w:rsidRPr="00047B0A" w:rsidRDefault="00047B0A" w:rsidP="00047B0A">
      <w:pPr>
        <w:pStyle w:val="Citas"/>
      </w:pPr>
      <w:r w:rsidRPr="00047B0A">
        <w:rPr>
          <w:b/>
        </w:rPr>
        <w:t>Artículo 164.</w:t>
      </w:r>
      <w:r w:rsidRPr="00047B0A">
        <w:t xml:space="preserve"> </w:t>
      </w:r>
      <w:r w:rsidRPr="00047B0A">
        <w:rPr>
          <w:b/>
          <w:bCs/>
          <w:u w:val="single"/>
        </w:rPr>
        <w:t>El acceso se dará en la modalidad de entrega</w:t>
      </w:r>
      <w:r w:rsidRPr="00047B0A">
        <w:rPr>
          <w:b/>
          <w:bCs/>
        </w:rPr>
        <w:t xml:space="preserve"> y, en su caso, de envío </w:t>
      </w:r>
      <w:r w:rsidRPr="00047B0A">
        <w:rPr>
          <w:b/>
          <w:bCs/>
          <w:u w:val="single"/>
        </w:rPr>
        <w:t>elegidos por el solicitante</w:t>
      </w:r>
      <w:r w:rsidRPr="00047B0A">
        <w:rPr>
          <w:b/>
          <w:bCs/>
        </w:rPr>
        <w:t>.</w:t>
      </w:r>
      <w:r w:rsidRPr="00047B0A">
        <w:t xml:space="preserve"> Cuando la información no pueda entregarse o enviarse en la modalidad solicitada, el sujeto obligado deberá ofrecer otra u otras modalidades de entrega. </w:t>
      </w:r>
    </w:p>
    <w:p w14:paraId="65ED4C81" w14:textId="77777777" w:rsidR="00047B0A" w:rsidRPr="00047B0A" w:rsidRDefault="00047B0A" w:rsidP="00047B0A">
      <w:pPr>
        <w:pStyle w:val="Citas"/>
      </w:pPr>
      <w:r w:rsidRPr="00047B0A">
        <w:t>En cualquier caso, se deberá fundar y motivar la necesidad de ofrecer otras modalidades.</w:t>
      </w:r>
    </w:p>
    <w:p w14:paraId="5B9CDBA2" w14:textId="77777777" w:rsidR="00047B0A" w:rsidRPr="00047B0A" w:rsidRDefault="00047B0A" w:rsidP="00047B0A">
      <w:pPr>
        <w:pStyle w:val="Citas"/>
      </w:pPr>
      <w:r w:rsidRPr="00047B0A">
        <w:rPr>
          <w:b/>
        </w:rPr>
        <w:t>Artículo 165</w:t>
      </w:r>
      <w:r w:rsidRPr="00047B0A">
        <w:t xml:space="preserve">. Los sujetos obligados establecerán la forma y términos en que darán trámite interno a las solicitudes en materia de acceso a la información. </w:t>
      </w:r>
    </w:p>
    <w:p w14:paraId="2BA2CFD6" w14:textId="77777777" w:rsidR="00047B0A" w:rsidRPr="00047B0A" w:rsidRDefault="00047B0A" w:rsidP="00047B0A">
      <w:pPr>
        <w:pStyle w:val="Citas"/>
      </w:pPr>
      <w:r w:rsidRPr="00047B0A">
        <w:lastRenderedPageBreak/>
        <w:t xml:space="preserve">La información que se entregue en versión pública, cuya modalidad de reproducción o envío tenga un costo, procederá una vez que se acredite el pago respectivo. No puede entenderse como reproducción la elaboración de la misma. </w:t>
      </w:r>
    </w:p>
    <w:p w14:paraId="200C137E" w14:textId="77777777" w:rsidR="00047B0A" w:rsidRPr="00047B0A" w:rsidRDefault="00047B0A" w:rsidP="00047B0A">
      <w:pPr>
        <w:pStyle w:val="Citas"/>
      </w:pPr>
      <w:r w:rsidRPr="00047B0A">
        <w:t xml:space="preserve">Ante la falta de respuesta a una solicitud en el plazo previsto y en caso de que proceda el acceso, los costos de reproducción y envío correrán a cargo del sujeto obligado. </w:t>
      </w:r>
    </w:p>
    <w:p w14:paraId="0A549EF2" w14:textId="77777777" w:rsidR="00047B0A" w:rsidRPr="00047B0A" w:rsidRDefault="00047B0A" w:rsidP="00047B0A">
      <w:pPr>
        <w:pStyle w:val="Citas"/>
      </w:pPr>
      <w:r w:rsidRPr="00047B0A">
        <w:rPr>
          <w:b/>
        </w:rPr>
        <w:t>Artículo 174</w:t>
      </w:r>
      <w:r w:rsidRPr="00047B0A">
        <w:t xml:space="preserve">. </w:t>
      </w:r>
      <w:r w:rsidRPr="00047B0A">
        <w:rPr>
          <w:u w:val="single"/>
        </w:rPr>
        <w:t>En caso de existir costos para obtener la información deberán cubrirse de manera previa a la entrega</w:t>
      </w:r>
      <w:r w:rsidRPr="00047B0A">
        <w:t xml:space="preserve"> y no podrán ser superiores a la suma de: </w:t>
      </w:r>
    </w:p>
    <w:p w14:paraId="6B62590B" w14:textId="77777777" w:rsidR="00047B0A" w:rsidRPr="00047B0A" w:rsidRDefault="00047B0A" w:rsidP="00047B0A">
      <w:pPr>
        <w:pStyle w:val="Citas"/>
      </w:pPr>
      <w:r w:rsidRPr="00047B0A">
        <w:t xml:space="preserve">I. </w:t>
      </w:r>
      <w:r w:rsidRPr="00047B0A">
        <w:tab/>
        <w:t xml:space="preserve">El costo de los materiales utilizados en la reproducción de la información; </w:t>
      </w:r>
    </w:p>
    <w:p w14:paraId="36FEDE80" w14:textId="77777777" w:rsidR="00047B0A" w:rsidRPr="00047B0A" w:rsidRDefault="00047B0A" w:rsidP="00047B0A">
      <w:pPr>
        <w:pStyle w:val="Citas"/>
      </w:pPr>
      <w:r w:rsidRPr="00047B0A">
        <w:t>II.</w:t>
      </w:r>
      <w:r w:rsidRPr="00047B0A">
        <w:tab/>
        <w:t xml:space="preserve">El costo de envío, en su caso; y </w:t>
      </w:r>
    </w:p>
    <w:p w14:paraId="6AAAB6BB" w14:textId="77777777" w:rsidR="00047B0A" w:rsidRPr="00047B0A" w:rsidRDefault="00047B0A" w:rsidP="00047B0A">
      <w:pPr>
        <w:pStyle w:val="Citas"/>
      </w:pPr>
      <w:r w:rsidRPr="00047B0A">
        <w:t>III.</w:t>
      </w:r>
      <w:r w:rsidRPr="00047B0A">
        <w:tab/>
        <w:t>El pago de la certificación de los documentos, cuando proceda.</w:t>
      </w:r>
    </w:p>
    <w:p w14:paraId="323102CB" w14:textId="77777777" w:rsidR="00047B0A" w:rsidRPr="00047B0A" w:rsidRDefault="00047B0A" w:rsidP="00047B0A">
      <w:pPr>
        <w:pStyle w:val="Citas"/>
        <w:rPr>
          <w:b/>
          <w:bCs/>
        </w:rPr>
      </w:pPr>
      <w:r w:rsidRPr="00047B0A">
        <w:rPr>
          <w:b/>
          <w:bCs/>
          <w:u w:val="single"/>
        </w:rPr>
        <w:t>Las cuotas de los derechos aplicables deberán establecerse, en su caso, en el Código Financiero del Estado de México y Municipios y demás disposiciones jurídicas aplicables</w:t>
      </w:r>
      <w:r w:rsidRPr="00047B0A">
        <w:rPr>
          <w:b/>
          <w:bCs/>
        </w:rPr>
        <w:t>,</w:t>
      </w:r>
      <w:r w:rsidRPr="00047B0A">
        <w:t xml:space="preserve"> las cuales se publicarán en los sitios de internet de los sujetos obligados. </w:t>
      </w:r>
      <w:r w:rsidRPr="00047B0A">
        <w:rPr>
          <w:b/>
          <w:bCs/>
          <w:u w:val="single"/>
        </w:rPr>
        <w:t>En su determinación se deberá considerar que los montos permitan o faciliten el ejercicio del derecho de acceso a la información</w:t>
      </w:r>
      <w:r w:rsidRPr="00047B0A">
        <w:rPr>
          <w:b/>
          <w:bCs/>
        </w:rPr>
        <w:t xml:space="preserve">. </w:t>
      </w:r>
    </w:p>
    <w:p w14:paraId="1D44FDF0" w14:textId="77777777" w:rsidR="00047B0A" w:rsidRPr="00047B0A" w:rsidRDefault="00047B0A" w:rsidP="00047B0A">
      <w:pPr>
        <w:pStyle w:val="Citas"/>
      </w:pPr>
      <w:r w:rsidRPr="00047B0A">
        <w:t xml:space="preserve">Los sujetos obligados a los que no les sea aplicable el Código Financiero del Estado de México y Municipios deberán establecer cuotas que no sean mayores a las dispuestas en dicho ordenamiento. </w:t>
      </w:r>
    </w:p>
    <w:p w14:paraId="7ACEB202" w14:textId="77777777" w:rsidR="00047B0A" w:rsidRPr="00047B0A" w:rsidRDefault="00047B0A" w:rsidP="00047B0A">
      <w:pPr>
        <w:pStyle w:val="Citas"/>
        <w:rPr>
          <w:b/>
          <w:bCs/>
        </w:rPr>
      </w:pPr>
      <w:r w:rsidRPr="00047B0A">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047B0A">
        <w:rPr>
          <w:b/>
          <w:bCs/>
        </w:rPr>
        <w:t>(Sic)</w:t>
      </w:r>
    </w:p>
    <w:p w14:paraId="668FDE0D" w14:textId="77777777" w:rsidR="00047B0A" w:rsidRPr="00F1278E" w:rsidRDefault="00047B0A" w:rsidP="00047B0A">
      <w:pPr>
        <w:rPr>
          <w:rFonts w:cs="Arial"/>
          <w:highlight w:val="cyan"/>
        </w:rPr>
      </w:pPr>
    </w:p>
    <w:p w14:paraId="38468525"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lastRenderedPageBreak/>
        <w:t>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046EAFEA"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255F64D3"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57ABAAB3"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 xml:space="preserve">Por lo antes señalado, se insiste, que si bien el acceso a la información pública es gratuito de conformidad con la normatividad aplicable, la entrega de información </w:t>
      </w:r>
      <w:r w:rsidRPr="00047B0A">
        <w:rPr>
          <w:rFonts w:ascii="Palatino Linotype" w:hAnsi="Palatino Linotype"/>
          <w:sz w:val="24"/>
          <w:szCs w:val="24"/>
        </w:rPr>
        <w:lastRenderedPageBreak/>
        <w:t xml:space="preserve">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6FC069C5"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43A6951D"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 xml:space="preserve">Por ello, es que se estima que el cobro de derechos por la expedición de copias certificadas deberá ceñirse, en apego al principio de estricto derecho, a las disposiciones en materia tributaria y presupuestaria. </w:t>
      </w:r>
    </w:p>
    <w:p w14:paraId="68B35EC3"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444747E4"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 xml:space="preserve">Establecido lo anterior, no debe olvidarse que, en cuanto a la certificación de documentos en su poder, los sujetos obligados a los cuales les resulta aplicable el </w:t>
      </w:r>
      <w:r w:rsidRPr="00047B0A">
        <w:rPr>
          <w:rFonts w:ascii="Palatino Linotype" w:hAnsi="Palatino Linotype"/>
          <w:sz w:val="24"/>
          <w:szCs w:val="24"/>
        </w:rPr>
        <w:lastRenderedPageBreak/>
        <w:t>Código Financiero del Estado de México y Municipios, por lo que, indiscutiblemente deben emitir respuesta de acuerdo a lo establecido por la misma, puesto que no se encuentran facultados para no aplicar la misma.</w:t>
      </w:r>
    </w:p>
    <w:p w14:paraId="7D9DC2A0"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28407B4C" w14:textId="77777777" w:rsidR="00047B0A" w:rsidRPr="00047B0A"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4CC6E029" w14:textId="77777777" w:rsidR="00047B0A" w:rsidRPr="00F1278E" w:rsidRDefault="00047B0A" w:rsidP="00047B0A">
      <w:pPr>
        <w:spacing w:line="360" w:lineRule="auto"/>
        <w:jc w:val="both"/>
        <w:rPr>
          <w:rFonts w:ascii="Palatino Linotype" w:hAnsi="Palatino Linotype"/>
          <w:sz w:val="24"/>
          <w:szCs w:val="24"/>
        </w:rPr>
      </w:pPr>
      <w:r w:rsidRPr="00047B0A">
        <w:rPr>
          <w:rFonts w:ascii="Palatino Linotype" w:hAnsi="Palatino Linotype"/>
          <w:sz w:val="24"/>
          <w:szCs w:val="24"/>
        </w:rPr>
        <w:t xml:space="preserve">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w:t>
      </w:r>
      <w:r w:rsidRPr="00047B0A">
        <w:rPr>
          <w:rFonts w:ascii="Palatino Linotype" w:hAnsi="Palatino Linotype"/>
          <w:b/>
          <w:sz w:val="24"/>
          <w:szCs w:val="24"/>
          <w:u w:val="single"/>
        </w:rPr>
        <w:t xml:space="preserve">se deberá informar al particular el costo total, el lugar y procedimiento para realizar el pago correspondiente; y los horarios en los cuales </w:t>
      </w:r>
      <w:r w:rsidRPr="00047B0A">
        <w:rPr>
          <w:rFonts w:ascii="Palatino Linotype" w:hAnsi="Palatino Linotype"/>
          <w:b/>
          <w:sz w:val="24"/>
          <w:szCs w:val="24"/>
          <w:u w:val="single"/>
        </w:rPr>
        <w:lastRenderedPageBreak/>
        <w:t>estará a su disposición la información solicitada</w:t>
      </w:r>
      <w:r w:rsidRPr="00047B0A">
        <w:rPr>
          <w:rFonts w:ascii="Palatino Linotype" w:hAnsi="Palatino Linotype"/>
          <w:sz w:val="24"/>
          <w:szCs w:val="24"/>
        </w:rPr>
        <w:t>, en consecuencia resulta dable ordenar la entrega de la información en la modalidad de copias certificadas con costo.</w:t>
      </w:r>
    </w:p>
    <w:p w14:paraId="1FFB200A" w14:textId="77777777" w:rsidR="00280F31" w:rsidRPr="00360DF2" w:rsidRDefault="00280F31"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w:t>
      </w:r>
      <w:r w:rsidRPr="008D27DD">
        <w:rPr>
          <w:rFonts w:ascii="Palatino Linotype" w:eastAsia="Palatino Linotype" w:hAnsi="Palatino Linotype" w:cs="Palatino Linotype"/>
          <w:sz w:val="24"/>
          <w:szCs w:val="24"/>
        </w:rPr>
        <w:lastRenderedPageBreak/>
        <w:t xml:space="preserve">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w:t>
      </w:r>
      <w:r w:rsidRPr="00DB6C2D">
        <w:rPr>
          <w:rFonts w:ascii="Palatino Linotype" w:eastAsia="Palatino Linotype" w:hAnsi="Palatino Linotype" w:cs="Palatino Linotype"/>
        </w:rPr>
        <w:lastRenderedPageBreak/>
        <w:t>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lastRenderedPageBreak/>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2D04BDC6" w14:textId="5C4F4814" w:rsidR="009459B4" w:rsidRPr="003562EB" w:rsidRDefault="0009491C" w:rsidP="00B34049">
      <w:pPr>
        <w:autoSpaceDE w:val="0"/>
        <w:autoSpaceDN w:val="0"/>
        <w:adjustRightInd w:val="0"/>
        <w:spacing w:after="0" w:line="360" w:lineRule="auto"/>
        <w:jc w:val="both"/>
        <w:rPr>
          <w:rFonts w:ascii="Palatino Linotype" w:hAnsi="Palatino Linotype" w:cs="Arial"/>
          <w:bCs/>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8E64C8">
        <w:rPr>
          <w:rFonts w:ascii="Palatino Linotype" w:hAnsi="Palatino Linotype" w:cs="Arial"/>
          <w:b/>
          <w:sz w:val="24"/>
          <w:szCs w:val="24"/>
        </w:rPr>
        <w:t>00125/RAYON/IP/2024</w:t>
      </w:r>
      <w:r w:rsidR="003562EB">
        <w:rPr>
          <w:rFonts w:ascii="Palatino Linotype" w:hAnsi="Palatino Linotype" w:cs="Arial"/>
          <w:b/>
          <w:sz w:val="24"/>
          <w:szCs w:val="24"/>
        </w:rPr>
        <w:t xml:space="preserve">, </w:t>
      </w:r>
      <w:r w:rsidR="003562EB">
        <w:rPr>
          <w:rFonts w:ascii="Palatino Linotype" w:hAnsi="Palatino Linotype" w:cs="Arial"/>
          <w:bCs/>
          <w:sz w:val="24"/>
          <w:szCs w:val="24"/>
        </w:rPr>
        <w:t xml:space="preserve">que ha sido materia del presente fallo. </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3930952A" w14:textId="77777777" w:rsidR="00EA4E95" w:rsidRDefault="00EA4E95" w:rsidP="00FA4E69">
      <w:pPr>
        <w:spacing w:after="0" w:line="360" w:lineRule="auto"/>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2297B46B" w:rsidR="0009491C" w:rsidRDefault="0009491C" w:rsidP="00B34049">
      <w:pPr>
        <w:tabs>
          <w:tab w:val="left" w:pos="8647"/>
        </w:tabs>
        <w:spacing w:after="0" w:line="360" w:lineRule="auto"/>
        <w:ind w:right="51"/>
        <w:jc w:val="both"/>
        <w:rPr>
          <w:rFonts w:ascii="Palatino Linotype" w:hAnsi="Palatino Linotype" w:cs="Arial"/>
          <w:b/>
          <w:sz w:val="24"/>
          <w:szCs w:val="24"/>
        </w:rPr>
      </w:pPr>
      <w:r w:rsidRPr="00360DF2">
        <w:rPr>
          <w:rFonts w:ascii="Palatino Linotype" w:hAnsi="Palatino Linotype" w:cs="Arial"/>
          <w:b/>
          <w:sz w:val="28"/>
          <w:szCs w:val="24"/>
        </w:rPr>
        <w:lastRenderedPageBreak/>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8E64C8">
        <w:rPr>
          <w:rFonts w:ascii="Palatino Linotype" w:hAnsi="Palatino Linotype" w:cs="Arial"/>
          <w:b/>
          <w:sz w:val="24"/>
          <w:szCs w:val="24"/>
        </w:rPr>
        <w:t>00125/RAYON/IP/2024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 xml:space="preserve">vía </w:t>
      </w:r>
      <w:r w:rsidR="00047B0A">
        <w:rPr>
          <w:rFonts w:ascii="Palatino Linotype" w:hAnsi="Palatino Linotype" w:cs="Arial"/>
          <w:sz w:val="24"/>
          <w:szCs w:val="24"/>
        </w:rPr>
        <w:t xml:space="preserve">copias certificadas (con costo),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63D49383" w14:textId="77777777" w:rsidR="00047B0A" w:rsidRPr="00047B0A" w:rsidRDefault="00047B0A" w:rsidP="00047B0A">
      <w:pPr>
        <w:pStyle w:val="infoem"/>
        <w:ind w:left="0" w:right="0"/>
        <w:rPr>
          <w:i w:val="0"/>
          <w:iCs/>
          <w:sz w:val="24"/>
        </w:rPr>
      </w:pPr>
      <w:r w:rsidRPr="00047B0A">
        <w:rPr>
          <w:i w:val="0"/>
          <w:iCs/>
          <w:sz w:val="24"/>
        </w:rPr>
        <w:t>Para la entrega de la información en copias certificadas, el Sujeto Obligado a través del SAIMEX, deberá indicar el procedimiento para el pago, monto a cubrir por los derechos respectivos, los días y horarios de atención, el domicilio de la Unidad de Transparencia y el nombre del servidor público que le atenderá.</w:t>
      </w:r>
    </w:p>
    <w:p w14:paraId="2D58E92B" w14:textId="77777777" w:rsidR="00047B0A" w:rsidRDefault="00047B0A" w:rsidP="00B34049">
      <w:pPr>
        <w:tabs>
          <w:tab w:val="left" w:pos="8647"/>
        </w:tabs>
        <w:spacing w:after="0" w:line="360" w:lineRule="auto"/>
        <w:ind w:right="51"/>
        <w:jc w:val="both"/>
        <w:rPr>
          <w:rFonts w:ascii="Palatino Linotype" w:hAnsi="Palatino Linotype" w:cs="Arial"/>
          <w:b/>
          <w:sz w:val="24"/>
          <w:szCs w:val="24"/>
        </w:rPr>
      </w:pP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 xml:space="preserve">vía Sistema de Acceso a la Información Mexiquense </w:t>
      </w:r>
      <w:r w:rsidR="004D1A2D" w:rsidRPr="00F60902">
        <w:rPr>
          <w:rFonts w:ascii="Palatino Linotype" w:hAnsi="Palatino Linotype" w:cs="Arial"/>
          <w:b/>
          <w:bCs/>
          <w:sz w:val="24"/>
          <w:szCs w:val="24"/>
        </w:rPr>
        <w:t>(SAIMEX),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 xml:space="preserve">artículo 196, de la Ley de </w:t>
      </w:r>
      <w:r w:rsidR="004D1A2D" w:rsidRPr="00FB2EA3">
        <w:rPr>
          <w:rFonts w:ascii="Palatino Linotype" w:hAnsi="Palatino Linotype"/>
          <w:sz w:val="24"/>
          <w:szCs w:val="24"/>
          <w:lang w:eastAsia="es-ES_tradnl"/>
        </w:rPr>
        <w:lastRenderedPageBreak/>
        <w:t>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180C9E54" w14:textId="57418998" w:rsidR="00E14C9D" w:rsidRPr="00204C9A" w:rsidRDefault="00E14C9D" w:rsidP="00E14C9D">
      <w:pPr>
        <w:pStyle w:val="Prrafodelista"/>
        <w:autoSpaceDE w:val="0"/>
        <w:autoSpaceDN w:val="0"/>
        <w:adjustRightInd w:val="0"/>
        <w:spacing w:before="240" w:after="160" w:line="360" w:lineRule="auto"/>
        <w:ind w:left="0"/>
        <w:jc w:val="both"/>
        <w:rPr>
          <w:rFonts w:ascii="Palatino Linotype" w:hAnsi="Palatino Linotype" w:cs="Arial"/>
          <w:sz w:val="22"/>
          <w:szCs w:val="22"/>
          <w:lang w:val="es-MX"/>
        </w:rPr>
      </w:pPr>
      <w:r w:rsidRPr="00204C9A">
        <w:rPr>
          <w:rFonts w:ascii="Palatino Linotype" w:hAnsi="Palatino Linotype" w:cs="Arial"/>
          <w:sz w:val="22"/>
          <w:szCs w:val="22"/>
          <w:lang w:val="es-MX"/>
        </w:rPr>
        <w:t>ASÍ LO ACORDÓ, POR UNANIMIDAD DE VOTOS, EL PLENO DEL</w:t>
      </w:r>
      <w:r w:rsidRPr="00204C9A">
        <w:rPr>
          <w:rFonts w:ascii="Palatino Linotype" w:eastAsia="Arial Unicode MS" w:hAnsi="Palatino Linotype" w:cs="Arial"/>
          <w:sz w:val="22"/>
          <w:szCs w:val="22"/>
          <w:lang w:val="es-MX"/>
        </w:rPr>
        <w:t xml:space="preserve"> INSTITUTO DE TRANSPARENCIA, ACCESO A LA INFORMACIÓN PÚBLICA Y PROTECCIÓN DE DATOS PERSONALES DEL ESTADO DE MÉXICO Y MUNICIPIOS</w:t>
      </w:r>
      <w:r w:rsidRPr="00204C9A">
        <w:rPr>
          <w:rFonts w:ascii="Palatino Linotype" w:hAnsi="Palatino Linotype" w:cs="Arial"/>
          <w:sz w:val="22"/>
          <w:szCs w:val="22"/>
          <w:lang w:val="es-MX"/>
        </w:rPr>
        <w:t>, CONFORMADO POR LOS COMISIONADOS JOSÉ MARTÍNEZ VILCHIS, MARÍA DEL ROSARIO MEJÍA AYALA, SHA</w:t>
      </w:r>
      <w:r w:rsidR="00FA4E69">
        <w:rPr>
          <w:rFonts w:ascii="Palatino Linotype" w:hAnsi="Palatino Linotype" w:cs="Arial"/>
          <w:sz w:val="22"/>
          <w:szCs w:val="22"/>
          <w:lang w:val="es-MX"/>
        </w:rPr>
        <w:t xml:space="preserve">RON CRISTINA MORALES MARTÍNEZ, </w:t>
      </w:r>
      <w:r w:rsidRPr="00204C9A">
        <w:rPr>
          <w:rFonts w:ascii="Palatino Linotype" w:hAnsi="Palatino Linotype" w:cs="Arial"/>
          <w:sz w:val="22"/>
          <w:szCs w:val="22"/>
          <w:lang w:val="es-MX"/>
        </w:rPr>
        <w:t>LUIS GUSTAVO PARRA NORIEGA Y GUADALUPE RAMÍREZ PEÑA</w:t>
      </w:r>
      <w:r w:rsidR="008E64C8" w:rsidRPr="00204C9A">
        <w:rPr>
          <w:rFonts w:ascii="Palatino Linotype" w:hAnsi="Palatino Linotype" w:cs="Arial"/>
          <w:sz w:val="22"/>
          <w:szCs w:val="22"/>
          <w:lang w:val="es-MX"/>
        </w:rPr>
        <w:t xml:space="preserve">; </w:t>
      </w:r>
      <w:r w:rsidRPr="00204C9A">
        <w:rPr>
          <w:rFonts w:ascii="Palatino Linotype" w:hAnsi="Palatino Linotype" w:cs="Arial"/>
          <w:sz w:val="22"/>
          <w:szCs w:val="22"/>
          <w:lang w:val="es-MX"/>
        </w:rPr>
        <w:t xml:space="preserve">EN LA </w:t>
      </w:r>
      <w:r w:rsidR="00001FDC" w:rsidRPr="00204C9A">
        <w:rPr>
          <w:rFonts w:ascii="Palatino Linotype" w:hAnsi="Palatino Linotype" w:cs="Arial"/>
          <w:sz w:val="22"/>
          <w:szCs w:val="22"/>
          <w:lang w:val="es-MX"/>
        </w:rPr>
        <w:t xml:space="preserve">TRIGÉSIMA </w:t>
      </w:r>
      <w:r w:rsidR="00204C9A" w:rsidRPr="00204C9A">
        <w:rPr>
          <w:rFonts w:ascii="Palatino Linotype" w:hAnsi="Palatino Linotype" w:cs="Arial"/>
          <w:sz w:val="22"/>
          <w:szCs w:val="22"/>
          <w:lang w:val="es-MX"/>
        </w:rPr>
        <w:t>OCTAVA</w:t>
      </w:r>
      <w:r w:rsidR="003562EB" w:rsidRPr="00204C9A">
        <w:rPr>
          <w:rFonts w:ascii="Palatino Linotype" w:hAnsi="Palatino Linotype" w:cs="Arial"/>
          <w:sz w:val="22"/>
          <w:szCs w:val="22"/>
          <w:lang w:val="es-MX"/>
        </w:rPr>
        <w:t xml:space="preserve"> </w:t>
      </w:r>
      <w:r w:rsidRPr="00204C9A">
        <w:rPr>
          <w:rFonts w:ascii="Palatino Linotype" w:hAnsi="Palatino Linotype" w:cs="Arial"/>
          <w:sz w:val="22"/>
          <w:szCs w:val="22"/>
          <w:lang w:val="es-MX"/>
        </w:rPr>
        <w:t xml:space="preserve">SESIÓN ORDINARIA CELEBRADA EL </w:t>
      </w:r>
      <w:r w:rsidR="00204C9A" w:rsidRPr="00204C9A">
        <w:rPr>
          <w:rFonts w:ascii="Palatino Linotype" w:hAnsi="Palatino Linotype" w:cs="Arial"/>
          <w:sz w:val="22"/>
          <w:szCs w:val="22"/>
          <w:lang w:val="es-MX"/>
        </w:rPr>
        <w:t>SEIS DE NOVIEMBRE</w:t>
      </w:r>
      <w:r w:rsidRPr="00204C9A">
        <w:rPr>
          <w:rFonts w:ascii="Palatino Linotype" w:hAnsi="Palatino Linotype" w:cs="Arial"/>
          <w:sz w:val="22"/>
          <w:szCs w:val="22"/>
          <w:lang w:val="es-MX"/>
        </w:rPr>
        <w:t xml:space="preserve"> DE DOS MIL VEINTICUATRO, ANTE EL SECRETARIO TÉCNICO DEL PLENO, ALEXIS TAPIA RAMÍREZ. </w:t>
      </w:r>
    </w:p>
    <w:p w14:paraId="3722CDE3" w14:textId="77777777" w:rsidR="00E14C9D" w:rsidRPr="00204C9A" w:rsidRDefault="00E14C9D" w:rsidP="00E14C9D">
      <w:pPr>
        <w:pStyle w:val="Prrafodelista"/>
        <w:autoSpaceDE w:val="0"/>
        <w:autoSpaceDN w:val="0"/>
        <w:adjustRightInd w:val="0"/>
        <w:spacing w:before="240" w:after="160" w:line="360" w:lineRule="auto"/>
        <w:ind w:left="0"/>
        <w:jc w:val="both"/>
        <w:rPr>
          <w:rFonts w:ascii="Palatino Linotype" w:hAnsi="Palatino Linotype"/>
          <w:bCs/>
          <w:sz w:val="16"/>
          <w:szCs w:val="16"/>
          <w:lang w:val="es-MX"/>
        </w:rPr>
      </w:pPr>
      <w:r w:rsidRPr="00204C9A">
        <w:rPr>
          <w:rFonts w:ascii="Palatino Linotype" w:hAnsi="Palatino Linotype"/>
          <w:bCs/>
          <w:sz w:val="16"/>
          <w:szCs w:val="16"/>
          <w:lang w:val="es-MX"/>
        </w:rPr>
        <w:t>CCR/JCMA</w:t>
      </w:r>
    </w:p>
    <w:p w14:paraId="413413B9"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CED0E09"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BD4ECA"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BEA1FD2"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382E3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3F4BE3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59FE97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489BC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59BA29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4C2A5"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9936850"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942683"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AA4D7FE"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4C140B1"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E2A36BB"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1CE90A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07D052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A3B578" w14:textId="77777777" w:rsidR="00DC59ED" w:rsidRDefault="00DC59ED" w:rsidP="00B34049">
      <w:pPr>
        <w:spacing w:after="0"/>
      </w:pPr>
    </w:p>
    <w:p w14:paraId="782ED6E4" w14:textId="77777777" w:rsidR="006415FA" w:rsidRDefault="006415FA"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0FBAC" w14:textId="77777777" w:rsidR="009C44DD" w:rsidRDefault="009C44DD" w:rsidP="0009491C">
      <w:pPr>
        <w:spacing w:after="0" w:line="240" w:lineRule="auto"/>
      </w:pPr>
      <w:r>
        <w:separator/>
      </w:r>
    </w:p>
  </w:endnote>
  <w:endnote w:type="continuationSeparator" w:id="0">
    <w:p w14:paraId="08728A8E" w14:textId="77777777" w:rsidR="009C44DD" w:rsidRDefault="009C44DD"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608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608D">
              <w:rPr>
                <w:rFonts w:ascii="Palatino Linotype" w:hAnsi="Palatino Linotype"/>
                <w:bCs/>
                <w:noProof/>
                <w:sz w:val="20"/>
              </w:rPr>
              <w:t>21</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608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608D">
      <w:rPr>
        <w:rFonts w:ascii="Palatino Linotype" w:hAnsi="Palatino Linotype"/>
        <w:bCs/>
        <w:noProof/>
        <w:sz w:val="20"/>
      </w:rPr>
      <w:t>21</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80DB" w14:textId="77777777" w:rsidR="009C44DD" w:rsidRDefault="009C44DD" w:rsidP="0009491C">
      <w:pPr>
        <w:spacing w:after="0" w:line="240" w:lineRule="auto"/>
      </w:pPr>
      <w:r>
        <w:separator/>
      </w:r>
    </w:p>
  </w:footnote>
  <w:footnote w:type="continuationSeparator" w:id="0">
    <w:p w14:paraId="162E3F6B" w14:textId="77777777" w:rsidR="009C44DD" w:rsidRDefault="009C44DD"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3DD06BA4" w:rsidR="00DC59ED" w:rsidRPr="00641471" w:rsidRDefault="00E14C9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D91D6D">
            <w:rPr>
              <w:rFonts w:ascii="Palatino Linotype" w:hAnsi="Palatino Linotype" w:cs="Arial"/>
              <w:b/>
              <w:bCs/>
              <w:sz w:val="24"/>
              <w:lang w:eastAsia="es-MX"/>
            </w:rPr>
            <w:t>6305</w:t>
          </w:r>
          <w:r w:rsidR="006E6DC1">
            <w:rPr>
              <w:rFonts w:ascii="Palatino Linotype" w:hAnsi="Palatino Linotype" w:cs="Arial"/>
              <w:b/>
              <w:bCs/>
              <w:sz w:val="24"/>
              <w:lang w:eastAsia="es-MX"/>
            </w:rPr>
            <w:t>/INFOEM/IP/RR/202</w:t>
          </w:r>
          <w:r>
            <w:rPr>
              <w:rFonts w:ascii="Palatino Linotype" w:hAnsi="Palatino Linotype" w:cs="Arial"/>
              <w:b/>
              <w:bCs/>
              <w:sz w:val="24"/>
              <w:lang w:eastAsia="es-MX"/>
            </w:rPr>
            <w:t>4</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2DD74838" w:rsidR="00E14C9D" w:rsidRPr="00641471" w:rsidRDefault="00CC3B23"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Ayuntamiento de Rayón</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23EAA2D4" w:rsidR="00DC59ED" w:rsidRPr="00641471" w:rsidRDefault="00B05154"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D91D6D">
            <w:rPr>
              <w:rFonts w:ascii="Palatino Linotype" w:hAnsi="Palatino Linotype" w:cs="Arial"/>
              <w:b/>
              <w:bCs/>
              <w:sz w:val="24"/>
              <w:lang w:eastAsia="es-MX"/>
            </w:rPr>
            <w:t>6305</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29151F96" w:rsidR="00DC59ED" w:rsidRPr="00641471" w:rsidRDefault="00D91D6D"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Ayuntamiento de Rayón</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5D6D156" w:rsidR="00DC59ED" w:rsidRPr="00641471" w:rsidRDefault="00D42741" w:rsidP="00AC608D">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AC608D">
            <w:rPr>
              <w:rFonts w:ascii="Palatino Linotype" w:hAnsi="Palatino Linotype" w:cs="Arial"/>
              <w:b/>
            </w:rPr>
            <w:t>XXXXXXXXXXXXXXXXXXXXX</w:t>
          </w:r>
          <w:r w:rsidR="00D91D6D">
            <w:rPr>
              <w:rFonts w:ascii="Palatino Linotype" w:hAnsi="Palatino Linotype" w:cs="Arial"/>
              <w:b/>
            </w:rPr>
            <w:t xml:space="preserve"> </w:t>
          </w:r>
          <w:r w:rsidR="00865A80">
            <w:rPr>
              <w:rFonts w:ascii="Palatino Linotype" w:hAnsi="Palatino Linotype" w:cs="Arial"/>
              <w:b/>
            </w:rPr>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CD0733"/>
    <w:multiLevelType w:val="hybridMultilevel"/>
    <w:tmpl w:val="D3FE5A6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47B0A"/>
    <w:rsid w:val="0006189E"/>
    <w:rsid w:val="0007277A"/>
    <w:rsid w:val="0009491C"/>
    <w:rsid w:val="0009532D"/>
    <w:rsid w:val="00095986"/>
    <w:rsid w:val="000B12F7"/>
    <w:rsid w:val="00101866"/>
    <w:rsid w:val="00106670"/>
    <w:rsid w:val="00115D6C"/>
    <w:rsid w:val="00167BBD"/>
    <w:rsid w:val="00171EAB"/>
    <w:rsid w:val="00174E4E"/>
    <w:rsid w:val="00181CA1"/>
    <w:rsid w:val="00190E63"/>
    <w:rsid w:val="001E05EB"/>
    <w:rsid w:val="00204C9A"/>
    <w:rsid w:val="0023365E"/>
    <w:rsid w:val="002436FA"/>
    <w:rsid w:val="00252E84"/>
    <w:rsid w:val="00280F31"/>
    <w:rsid w:val="002A03FF"/>
    <w:rsid w:val="002A7480"/>
    <w:rsid w:val="002D1691"/>
    <w:rsid w:val="002D2C0C"/>
    <w:rsid w:val="003162B3"/>
    <w:rsid w:val="00341A68"/>
    <w:rsid w:val="003562EB"/>
    <w:rsid w:val="003B259D"/>
    <w:rsid w:val="0041247E"/>
    <w:rsid w:val="0044350B"/>
    <w:rsid w:val="00460D49"/>
    <w:rsid w:val="00484098"/>
    <w:rsid w:val="0048739B"/>
    <w:rsid w:val="004B0546"/>
    <w:rsid w:val="004D1A2D"/>
    <w:rsid w:val="004F7B2F"/>
    <w:rsid w:val="00503091"/>
    <w:rsid w:val="00530960"/>
    <w:rsid w:val="00552E32"/>
    <w:rsid w:val="00554F9E"/>
    <w:rsid w:val="0059361F"/>
    <w:rsid w:val="0061125D"/>
    <w:rsid w:val="006278C1"/>
    <w:rsid w:val="00636559"/>
    <w:rsid w:val="006365B3"/>
    <w:rsid w:val="006415FA"/>
    <w:rsid w:val="00647509"/>
    <w:rsid w:val="00670ABF"/>
    <w:rsid w:val="00670BA4"/>
    <w:rsid w:val="006B3607"/>
    <w:rsid w:val="006D7B54"/>
    <w:rsid w:val="006E1678"/>
    <w:rsid w:val="006E6DC1"/>
    <w:rsid w:val="00703118"/>
    <w:rsid w:val="007516D7"/>
    <w:rsid w:val="007947A9"/>
    <w:rsid w:val="007B123F"/>
    <w:rsid w:val="007C2B27"/>
    <w:rsid w:val="007E201A"/>
    <w:rsid w:val="00842B42"/>
    <w:rsid w:val="00863BE9"/>
    <w:rsid w:val="00865A80"/>
    <w:rsid w:val="008832C3"/>
    <w:rsid w:val="00890EC8"/>
    <w:rsid w:val="008A04A3"/>
    <w:rsid w:val="008A52F7"/>
    <w:rsid w:val="008B3790"/>
    <w:rsid w:val="008D27DD"/>
    <w:rsid w:val="008E64C8"/>
    <w:rsid w:val="008F4FFA"/>
    <w:rsid w:val="009122C3"/>
    <w:rsid w:val="009459B4"/>
    <w:rsid w:val="00946989"/>
    <w:rsid w:val="009477CE"/>
    <w:rsid w:val="00953ACF"/>
    <w:rsid w:val="00977664"/>
    <w:rsid w:val="009C0E12"/>
    <w:rsid w:val="009C44DD"/>
    <w:rsid w:val="00A0464A"/>
    <w:rsid w:val="00A14BA5"/>
    <w:rsid w:val="00A348F3"/>
    <w:rsid w:val="00A768CA"/>
    <w:rsid w:val="00A95E4F"/>
    <w:rsid w:val="00AC0022"/>
    <w:rsid w:val="00AC608D"/>
    <w:rsid w:val="00AF5D72"/>
    <w:rsid w:val="00AF60A1"/>
    <w:rsid w:val="00B05154"/>
    <w:rsid w:val="00B34049"/>
    <w:rsid w:val="00B37E25"/>
    <w:rsid w:val="00B861B5"/>
    <w:rsid w:val="00BC0FCE"/>
    <w:rsid w:val="00C27A9E"/>
    <w:rsid w:val="00C43AAB"/>
    <w:rsid w:val="00C43CFB"/>
    <w:rsid w:val="00C46F12"/>
    <w:rsid w:val="00C836A2"/>
    <w:rsid w:val="00C92BDF"/>
    <w:rsid w:val="00CA31E0"/>
    <w:rsid w:val="00CC3B23"/>
    <w:rsid w:val="00D14C70"/>
    <w:rsid w:val="00D42741"/>
    <w:rsid w:val="00D80CEC"/>
    <w:rsid w:val="00D91D6D"/>
    <w:rsid w:val="00DC59ED"/>
    <w:rsid w:val="00DD3A4F"/>
    <w:rsid w:val="00E14C9D"/>
    <w:rsid w:val="00E4516C"/>
    <w:rsid w:val="00E54257"/>
    <w:rsid w:val="00E7329E"/>
    <w:rsid w:val="00EA4E95"/>
    <w:rsid w:val="00EE79AF"/>
    <w:rsid w:val="00EF611D"/>
    <w:rsid w:val="00F1703E"/>
    <w:rsid w:val="00F175A2"/>
    <w:rsid w:val="00F2788A"/>
    <w:rsid w:val="00F5432B"/>
    <w:rsid w:val="00F60902"/>
    <w:rsid w:val="00F94B3E"/>
    <w:rsid w:val="00F95494"/>
    <w:rsid w:val="00FA4E69"/>
    <w:rsid w:val="00FD0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customStyle="1" w:styleId="infoem">
    <w:name w:val="infoem"/>
    <w:basedOn w:val="Sinespaciado"/>
    <w:qFormat/>
    <w:rsid w:val="00047B0A"/>
    <w:pPr>
      <w:spacing w:before="240" w:after="160" w:line="360" w:lineRule="auto"/>
      <w:ind w:left="851" w:right="851"/>
      <w:jc w:val="both"/>
    </w:pPr>
    <w:rPr>
      <w:rFonts w:ascii="Palatino Linotype" w:hAnsi="Palatino Linotype" w:cs="Arial"/>
      <w:i/>
      <w:szCs w:val="24"/>
    </w:rPr>
  </w:style>
  <w:style w:type="paragraph" w:styleId="Sinespaciado">
    <w:name w:val="No Spacing"/>
    <w:uiPriority w:val="1"/>
    <w:qFormat/>
    <w:rsid w:val="0004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8F3B-AAD6-4381-AB1F-885AB21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4898</Words>
  <Characters>26939</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dcterms:created xsi:type="dcterms:W3CDTF">2024-10-23T18:18:00Z</dcterms:created>
  <dcterms:modified xsi:type="dcterms:W3CDTF">2024-12-06T16:20:00Z</dcterms:modified>
</cp:coreProperties>
</file>