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F0D2" w14:textId="77777777" w:rsidR="0014176B" w:rsidRDefault="0014176B">
      <w:pPr>
        <w:widowControl w:val="0"/>
        <w:pBdr>
          <w:top w:val="nil"/>
          <w:left w:val="nil"/>
          <w:bottom w:val="nil"/>
          <w:right w:val="nil"/>
          <w:between w:val="nil"/>
        </w:pBdr>
        <w:spacing w:line="276" w:lineRule="auto"/>
      </w:pPr>
    </w:p>
    <w:p w14:paraId="6D8DA139" w14:textId="77777777" w:rsidR="0014176B" w:rsidRDefault="00800E1B">
      <w:pPr>
        <w:tabs>
          <w:tab w:val="left" w:pos="3465"/>
        </w:tabs>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trece (13) de noviembre de dos mil veinticuatro.</w:t>
      </w:r>
    </w:p>
    <w:p w14:paraId="6D6EE823" w14:textId="77777777" w:rsidR="0014176B" w:rsidRDefault="0014176B">
      <w:pPr>
        <w:tabs>
          <w:tab w:val="left" w:pos="3465"/>
        </w:tabs>
        <w:spacing w:line="360" w:lineRule="auto"/>
        <w:ind w:right="-646"/>
        <w:jc w:val="both"/>
        <w:rPr>
          <w:rFonts w:ascii="Palatino Linotype" w:eastAsia="Palatino Linotype" w:hAnsi="Palatino Linotype" w:cs="Palatino Linotype"/>
        </w:rPr>
      </w:pPr>
    </w:p>
    <w:p w14:paraId="52CC7E3A" w14:textId="2604ADAE" w:rsidR="0014176B" w:rsidRDefault="00800E1B">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637B89">
        <w:rPr>
          <w:rFonts w:ascii="Palatino Linotype" w:eastAsia="Palatino Linotype" w:hAnsi="Palatino Linotype" w:cs="Palatino Linotype"/>
        </w:rPr>
        <w:t xml:space="preserve"> </w:t>
      </w:r>
      <w:r w:rsidR="00637B89" w:rsidRPr="00637B89">
        <w:rPr>
          <w:rFonts w:ascii="Palatino Linotype" w:eastAsia="Palatino Linotype" w:hAnsi="Palatino Linotype" w:cs="Palatino Linotype"/>
          <w:b/>
          <w:color w:val="000000"/>
          <w:sz w:val="22"/>
          <w:szCs w:val="22"/>
        </w:rPr>
        <w:t>3173/INFOEM/IP/RR/2024</w:t>
      </w:r>
      <w:r>
        <w:rPr>
          <w:rFonts w:ascii="Palatino Linotype" w:eastAsia="Palatino Linotype" w:hAnsi="Palatino Linotype" w:cs="Palatino Linotype"/>
        </w:rPr>
        <w:t xml:space="preserve"> presentado por </w:t>
      </w:r>
      <w:r w:rsidR="00BE2A9F">
        <w:rPr>
          <w:rFonts w:ascii="Palatino Linotype" w:eastAsia="Palatino Linotype" w:hAnsi="Palatino Linotype" w:cs="Palatino Linotype"/>
          <w:b/>
        </w:rPr>
        <w:t xml:space="preserve">XXX </w:t>
      </w:r>
      <w:proofErr w:type="spellStart"/>
      <w:r w:rsidR="00BE2A9F">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otorgada a la solicitud de información con número de folio </w:t>
      </w:r>
      <w:r>
        <w:rPr>
          <w:rFonts w:ascii="Palatino Linotype" w:eastAsia="Palatino Linotype" w:hAnsi="Palatino Linotype" w:cs="Palatino Linotype"/>
          <w:b/>
        </w:rPr>
        <w:t>00791/TOLUCA/IP/2024</w:t>
      </w:r>
      <w:r>
        <w:rPr>
          <w:rFonts w:ascii="Palatino Linotype" w:eastAsia="Palatino Linotype" w:hAnsi="Palatino Linotype" w:cs="Palatino Linotype"/>
        </w:rPr>
        <w:t xml:space="preserve">, por parte de la </w:t>
      </w:r>
      <w:r>
        <w:rPr>
          <w:rFonts w:ascii="Palatino Linotype" w:eastAsia="Palatino Linotype" w:hAnsi="Palatino Linotype" w:cs="Palatino Linotype"/>
          <w:b/>
        </w:rPr>
        <w:t xml:space="preserve">Ayuntamiento de Toluca </w:t>
      </w:r>
      <w:r>
        <w:rPr>
          <w:rFonts w:ascii="Palatino Linotype" w:eastAsia="Palatino Linotype" w:hAnsi="Palatino Linotype" w:cs="Palatino Linotype"/>
        </w:rPr>
        <w:t xml:space="preserve">en adelante </w:t>
      </w:r>
      <w:r>
        <w:rPr>
          <w:rFonts w:ascii="Palatino Linotype" w:eastAsia="Palatino Linotype" w:hAnsi="Palatino Linotype" w:cs="Palatino Linotype"/>
          <w:b/>
        </w:rPr>
        <w:t>EL SUJETO OBLIGADO</w:t>
      </w:r>
      <w:r>
        <w:rPr>
          <w:rFonts w:ascii="Palatino Linotype" w:eastAsia="Palatino Linotype" w:hAnsi="Palatino Linotype" w:cs="Palatino Linotype"/>
        </w:rPr>
        <w:t>, se emite la presente resolución con base en los siguientes:</w:t>
      </w:r>
    </w:p>
    <w:p w14:paraId="0A134620" w14:textId="77777777" w:rsidR="0014176B" w:rsidRDefault="0014176B">
      <w:pPr>
        <w:spacing w:line="360" w:lineRule="auto"/>
        <w:ind w:right="-646"/>
        <w:jc w:val="both"/>
        <w:rPr>
          <w:rFonts w:ascii="Palatino Linotype" w:eastAsia="Palatino Linotype" w:hAnsi="Palatino Linotype" w:cs="Palatino Linotype"/>
        </w:rPr>
      </w:pPr>
    </w:p>
    <w:p w14:paraId="2075DEF1" w14:textId="77777777" w:rsidR="0014176B" w:rsidRDefault="00800E1B">
      <w:pPr>
        <w:pStyle w:val="Ttulo1"/>
        <w:spacing w:before="0" w:line="360" w:lineRule="auto"/>
        <w:ind w:right="-646"/>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64F6888F" w14:textId="77777777" w:rsidR="0014176B" w:rsidRDefault="0014176B">
      <w:p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u w:val="single"/>
        </w:rPr>
      </w:pPr>
    </w:p>
    <w:p w14:paraId="60E1BAF3" w14:textId="77777777" w:rsidR="0014176B" w:rsidRDefault="00800E1B">
      <w:pPr>
        <w:numPr>
          <w:ilvl w:val="0"/>
          <w:numId w:val="1"/>
        </w:numPr>
        <w:pBdr>
          <w:top w:val="nil"/>
          <w:left w:val="nil"/>
          <w:bottom w:val="nil"/>
          <w:right w:val="nil"/>
          <w:between w:val="nil"/>
        </w:pBdr>
        <w:tabs>
          <w:tab w:val="left" w:pos="0"/>
        </w:tabs>
        <w:spacing w:line="360" w:lineRule="auto"/>
        <w:ind w:left="0" w:right="-646" w:firstLine="0"/>
        <w:jc w:val="both"/>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ocho de abril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4ECDF6C9" w14:textId="77777777" w:rsidR="0014176B" w:rsidRDefault="0014176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4E81562F" w14:textId="77777777" w:rsidR="0014176B" w:rsidRDefault="00800E1B">
      <w:pPr>
        <w:pBdr>
          <w:top w:val="nil"/>
          <w:left w:val="nil"/>
          <w:bottom w:val="nil"/>
          <w:right w:val="nil"/>
          <w:between w:val="nil"/>
        </w:pBdr>
        <w:spacing w:line="360" w:lineRule="auto"/>
        <w:ind w:left="425" w:right="-64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“Por este medio quiero que me entreguen todos los </w:t>
      </w:r>
      <w:proofErr w:type="spellStart"/>
      <w:r>
        <w:rPr>
          <w:rFonts w:ascii="Palatino Linotype" w:eastAsia="Palatino Linotype" w:hAnsi="Palatino Linotype" w:cs="Palatino Linotype"/>
          <w:i/>
          <w:color w:val="000000"/>
        </w:rPr>
        <w:t>ducumentos</w:t>
      </w:r>
      <w:proofErr w:type="spellEnd"/>
      <w:r>
        <w:rPr>
          <w:rFonts w:ascii="Palatino Linotype" w:eastAsia="Palatino Linotype" w:hAnsi="Palatino Linotype" w:cs="Palatino Linotype"/>
          <w:i/>
          <w:color w:val="000000"/>
        </w:rPr>
        <w:t xml:space="preserve"> relacionados al: Recurso de Revisión número 02043/INFOEM/IP/RR/2021, derivados de la solicitud número 00300/TOLUCA/IP/2021. Solicito lo siguiente: Respuesta que se dio a la mencionada Solicitud de información, documentos que se mandaron a las Unidades Administrativas </w:t>
      </w:r>
      <w:proofErr w:type="spellStart"/>
      <w:r>
        <w:rPr>
          <w:rFonts w:ascii="Palatino Linotype" w:eastAsia="Palatino Linotype" w:hAnsi="Palatino Linotype" w:cs="Palatino Linotype"/>
          <w:i/>
          <w:color w:val="000000"/>
        </w:rPr>
        <w:t>ppor</w:t>
      </w:r>
      <w:proofErr w:type="spellEnd"/>
      <w:r>
        <w:rPr>
          <w:rFonts w:ascii="Palatino Linotype" w:eastAsia="Palatino Linotype" w:hAnsi="Palatino Linotype" w:cs="Palatino Linotype"/>
          <w:i/>
          <w:color w:val="000000"/>
        </w:rPr>
        <w:t xml:space="preserve"> parte de la Unidad de Transparencia, documentos recibidos en la Unidad de Transparencia, para atender esta solicitud, oficios que mandó la Titular de la Unidad de Transparencia para dar cumplimiento al Recurso de Revisión a las Unidades Administrativas, documentos recibidos </w:t>
      </w:r>
      <w:r>
        <w:rPr>
          <w:rFonts w:ascii="Palatino Linotype" w:eastAsia="Palatino Linotype" w:hAnsi="Palatino Linotype" w:cs="Palatino Linotype"/>
          <w:i/>
          <w:color w:val="000000"/>
        </w:rPr>
        <w:lastRenderedPageBreak/>
        <w:t xml:space="preserve">en la Unidad de Transparencia para dar cumplimiento a la Resolución, Informe Justificado, etc. Captura de pantalla de la pantalla de SAIMEX, respecto al Seguimiento de solicitud de esta información, oficios enviados a la </w:t>
      </w:r>
      <w:proofErr w:type="spellStart"/>
      <w:r>
        <w:rPr>
          <w:rFonts w:ascii="Palatino Linotype" w:eastAsia="Palatino Linotype" w:hAnsi="Palatino Linotype" w:cs="Palatino Linotype"/>
          <w:i/>
          <w:color w:val="000000"/>
        </w:rPr>
        <w:t>Contraloria</w:t>
      </w:r>
      <w:proofErr w:type="spellEnd"/>
      <w:r>
        <w:rPr>
          <w:rFonts w:ascii="Palatino Linotype" w:eastAsia="Palatino Linotype" w:hAnsi="Palatino Linotype" w:cs="Palatino Linotype"/>
          <w:i/>
          <w:color w:val="000000"/>
        </w:rPr>
        <w:t xml:space="preserve"> que este relacionados con esta solicitud y recursos de revisión. Todo lo anterior lo pido ya que perdí mi usuario y contraseña que utilicé para pedir esta información y necesito tener estos documentos en mi poder.”</w:t>
      </w:r>
    </w:p>
    <w:p w14:paraId="52D428C2" w14:textId="77777777" w:rsidR="0014176B" w:rsidRDefault="0014176B">
      <w:pPr>
        <w:pBdr>
          <w:top w:val="nil"/>
          <w:left w:val="nil"/>
          <w:bottom w:val="nil"/>
          <w:right w:val="nil"/>
          <w:between w:val="nil"/>
        </w:pBdr>
        <w:spacing w:line="360" w:lineRule="auto"/>
        <w:ind w:left="851" w:right="-646"/>
        <w:jc w:val="both"/>
        <w:rPr>
          <w:rFonts w:ascii="Palatino Linotype" w:eastAsia="Palatino Linotype" w:hAnsi="Palatino Linotype" w:cs="Palatino Linotype"/>
          <w:color w:val="000000"/>
        </w:rPr>
      </w:pPr>
    </w:p>
    <w:p w14:paraId="302C7298" w14:textId="77777777" w:rsidR="0014176B" w:rsidRDefault="00800E1B">
      <w:pPr>
        <w:numPr>
          <w:ilvl w:val="0"/>
          <w:numId w:val="4"/>
        </w:numPr>
        <w:pBdr>
          <w:top w:val="nil"/>
          <w:left w:val="nil"/>
          <w:bottom w:val="nil"/>
          <w:right w:val="nil"/>
          <w:between w:val="nil"/>
        </w:pBdr>
        <w:tabs>
          <w:tab w:val="left" w:pos="0"/>
        </w:tabs>
        <w:spacing w:line="360" w:lineRule="auto"/>
        <w:ind w:left="709"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3434FC13" w14:textId="77777777" w:rsidR="0014176B" w:rsidRDefault="0014176B">
      <w:pPr>
        <w:pBdr>
          <w:top w:val="nil"/>
          <w:left w:val="nil"/>
          <w:bottom w:val="nil"/>
          <w:right w:val="nil"/>
          <w:between w:val="nil"/>
        </w:pBdr>
        <w:tabs>
          <w:tab w:val="left" w:pos="0"/>
        </w:tabs>
        <w:spacing w:line="360" w:lineRule="auto"/>
        <w:ind w:right="-646"/>
        <w:jc w:val="both"/>
        <w:rPr>
          <w:rFonts w:ascii="Palatino Linotype" w:eastAsia="Palatino Linotype" w:hAnsi="Palatino Linotype" w:cs="Palatino Linotype"/>
          <w:b/>
          <w:color w:val="000000"/>
          <w:u w:val="single"/>
        </w:rPr>
      </w:pPr>
    </w:p>
    <w:p w14:paraId="6FB729FC" w14:textId="77777777" w:rsidR="0014176B" w:rsidRDefault="00800E1B">
      <w:pPr>
        <w:numPr>
          <w:ilvl w:val="0"/>
          <w:numId w:val="1"/>
        </w:numPr>
        <w:pBdr>
          <w:top w:val="nil"/>
          <w:left w:val="nil"/>
          <w:bottom w:val="nil"/>
          <w:right w:val="nil"/>
          <w:between w:val="nil"/>
        </w:pBdr>
        <w:tabs>
          <w:tab w:val="left" w:pos="0"/>
        </w:tabs>
        <w:spacing w:line="360" w:lineRule="auto"/>
        <w:ind w:left="0" w:right="-646" w:firstLine="0"/>
        <w:jc w:val="both"/>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veintinueve de abril dos mil veinticuatro,</w:t>
      </w:r>
      <w:r>
        <w:rPr>
          <w:rFonts w:ascii="Palatino Linotype" w:eastAsia="Palatino Linotype" w:hAnsi="Palatino Linotype" w:cs="Palatino Linotype"/>
          <w:color w:val="000000"/>
        </w:rPr>
        <w:t xml:space="preserve"> el Sujeto Obligado solicitó una prórroga de siete días hábiles adicionales para dar atención a la solicitud de información, mediante el Acta de la Tricentésima Trigésima Sexta Sesión Extraordinaria del Comité de Transparencia de fecha veintiséis de abril del año dos mil veinticuatro, en razón que derivado del </w:t>
      </w:r>
      <w:r>
        <w:rPr>
          <w:rFonts w:ascii="Palatino Linotype" w:eastAsia="Palatino Linotype" w:hAnsi="Palatino Linotype" w:cs="Palatino Linotype"/>
        </w:rPr>
        <w:t>cúmulo</w:t>
      </w:r>
      <w:r>
        <w:rPr>
          <w:rFonts w:ascii="Palatino Linotype" w:eastAsia="Palatino Linotype" w:hAnsi="Palatino Linotype" w:cs="Palatino Linotype"/>
          <w:color w:val="000000"/>
        </w:rPr>
        <w:t xml:space="preserve"> de solicitudes de información por atender se han rebasado sus capacidades técnicas y humanas del personal.</w:t>
      </w:r>
    </w:p>
    <w:p w14:paraId="60D29484" w14:textId="77777777" w:rsidR="0014176B" w:rsidRDefault="0014176B">
      <w:pPr>
        <w:pBdr>
          <w:top w:val="nil"/>
          <w:left w:val="nil"/>
          <w:bottom w:val="nil"/>
          <w:right w:val="nil"/>
          <w:between w:val="nil"/>
        </w:pBdr>
        <w:tabs>
          <w:tab w:val="left" w:pos="0"/>
        </w:tabs>
        <w:spacing w:line="360" w:lineRule="auto"/>
        <w:ind w:right="-646"/>
        <w:jc w:val="both"/>
        <w:rPr>
          <w:rFonts w:ascii="Palatino Linotype" w:eastAsia="Palatino Linotype" w:hAnsi="Palatino Linotype" w:cs="Palatino Linotype"/>
          <w:color w:val="000000"/>
        </w:rPr>
      </w:pPr>
    </w:p>
    <w:p w14:paraId="0998826B" w14:textId="77777777" w:rsidR="0014176B" w:rsidRDefault="00800E1B">
      <w:pPr>
        <w:numPr>
          <w:ilvl w:val="0"/>
          <w:numId w:val="1"/>
        </w:numPr>
        <w:pBdr>
          <w:top w:val="nil"/>
          <w:left w:val="nil"/>
          <w:bottom w:val="nil"/>
          <w:right w:val="nil"/>
          <w:between w:val="nil"/>
        </w:pBdr>
        <w:tabs>
          <w:tab w:val="left" w:pos="0"/>
        </w:tabs>
        <w:spacing w:line="360" w:lineRule="auto"/>
        <w:ind w:left="0" w:right="-646" w:firstLine="0"/>
        <w:jc w:val="both"/>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diez de mayo de dos mil veinticuatro</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 los siguientes archivos electrónicos: </w:t>
      </w:r>
    </w:p>
    <w:p w14:paraId="3ACFFD04" w14:textId="77777777" w:rsidR="0014176B" w:rsidRDefault="00800E1B">
      <w:pPr>
        <w:numPr>
          <w:ilvl w:val="0"/>
          <w:numId w:val="2"/>
        </w:numPr>
        <w:pBdr>
          <w:top w:val="nil"/>
          <w:left w:val="nil"/>
          <w:bottom w:val="nil"/>
          <w:right w:val="nil"/>
          <w:between w:val="nil"/>
        </w:pBdr>
        <w:tabs>
          <w:tab w:val="left" w:pos="0"/>
        </w:tabs>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ANEXO1.pdf</w:t>
      </w:r>
      <w:r>
        <w:rPr>
          <w:rFonts w:ascii="Palatino Linotype" w:eastAsia="Palatino Linotype" w:hAnsi="Palatino Linotype" w:cs="Palatino Linotype"/>
          <w:color w:val="000000"/>
          <w:sz w:val="22"/>
          <w:szCs w:val="22"/>
        </w:rPr>
        <w:t>: que contiene el Acta de la Tricentésima Quincuagésima Tercera Sesión Extraordinaria 2024 del Comité de Transparencia, a través del cual se aprueba la elaboración en versión simplificada del expediente del Recurso de Revisión 02043/INFOEM/IP/RR/21, derivado de la solicitud número 00300/TOLUCA/IP/2021.</w:t>
      </w:r>
    </w:p>
    <w:p w14:paraId="582A5A7E" w14:textId="77777777" w:rsidR="0014176B" w:rsidRDefault="00800E1B">
      <w:pPr>
        <w:numPr>
          <w:ilvl w:val="0"/>
          <w:numId w:val="2"/>
        </w:numPr>
        <w:pBdr>
          <w:top w:val="nil"/>
          <w:left w:val="nil"/>
          <w:bottom w:val="nil"/>
          <w:right w:val="nil"/>
          <w:between w:val="nil"/>
        </w:pBdr>
        <w:tabs>
          <w:tab w:val="left" w:pos="0"/>
        </w:tabs>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791.pdf</w:t>
      </w:r>
      <w:r>
        <w:rPr>
          <w:rFonts w:ascii="Palatino Linotype" w:eastAsia="Palatino Linotype" w:hAnsi="Palatino Linotype" w:cs="Palatino Linotype"/>
          <w:color w:val="000000"/>
          <w:sz w:val="22"/>
          <w:szCs w:val="22"/>
        </w:rPr>
        <w:t xml:space="preserve">: que contiene un oficio signado por la Titular de la Unidad de Transparencia a través del cual informa al solicitante el número de fojas y los costos que deberá de cubrir por concepto de digitalización de la información, así </w:t>
      </w:r>
      <w:r>
        <w:rPr>
          <w:rFonts w:ascii="Palatino Linotype" w:eastAsia="Palatino Linotype" w:hAnsi="Palatino Linotype" w:cs="Palatino Linotype"/>
          <w:color w:val="000000"/>
          <w:sz w:val="22"/>
          <w:szCs w:val="22"/>
        </w:rPr>
        <w:lastRenderedPageBreak/>
        <w:t xml:space="preserve">como lo pasos a seguir para efectuar el pago; lo anterior en virtud que a decir del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no existe fuente obligacional para detentar la información requerida de manera </w:t>
      </w:r>
      <w:proofErr w:type="gramStart"/>
      <w:r>
        <w:rPr>
          <w:rFonts w:ascii="Palatino Linotype" w:eastAsia="Palatino Linotype" w:hAnsi="Palatino Linotype" w:cs="Palatino Linotype"/>
          <w:color w:val="000000"/>
          <w:sz w:val="22"/>
          <w:szCs w:val="22"/>
        </w:rPr>
        <w:t>digital..</w:t>
      </w:r>
      <w:proofErr w:type="gramEnd"/>
    </w:p>
    <w:p w14:paraId="6BDE7E05" w14:textId="77777777" w:rsidR="0014176B" w:rsidRDefault="0014176B">
      <w:pPr>
        <w:pBdr>
          <w:top w:val="nil"/>
          <w:left w:val="nil"/>
          <w:bottom w:val="nil"/>
          <w:right w:val="nil"/>
          <w:between w:val="nil"/>
        </w:pBdr>
        <w:tabs>
          <w:tab w:val="left" w:pos="0"/>
        </w:tabs>
        <w:spacing w:line="360" w:lineRule="auto"/>
        <w:ind w:right="-646"/>
        <w:jc w:val="both"/>
        <w:rPr>
          <w:rFonts w:ascii="Palatino Linotype" w:eastAsia="Palatino Linotype" w:hAnsi="Palatino Linotype" w:cs="Palatino Linotype"/>
          <w:i/>
          <w:color w:val="000000"/>
          <w:u w:val="single"/>
        </w:rPr>
      </w:pPr>
    </w:p>
    <w:p w14:paraId="51957562" w14:textId="77777777" w:rsidR="0014176B" w:rsidRDefault="00800E1B">
      <w:pPr>
        <w:numPr>
          <w:ilvl w:val="0"/>
          <w:numId w:val="1"/>
        </w:numPr>
        <w:pBdr>
          <w:top w:val="nil"/>
          <w:left w:val="nil"/>
          <w:bottom w:val="nil"/>
          <w:right w:val="nil"/>
          <w:between w:val="nil"/>
        </w:pBdr>
        <w:tabs>
          <w:tab w:val="left" w:pos="0"/>
        </w:tabs>
        <w:spacing w:line="360" w:lineRule="auto"/>
        <w:ind w:left="0" w:right="-646" w:firstLine="0"/>
        <w:jc w:val="both"/>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veinte de mayo de dos mil veinticuatro</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6DC51C45" w14:textId="77777777" w:rsidR="0014176B" w:rsidRDefault="00800E1B">
      <w:pPr>
        <w:numPr>
          <w:ilvl w:val="0"/>
          <w:numId w:val="2"/>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respuesta proporcionada por la Unidad de Transparencia”</w:t>
      </w:r>
    </w:p>
    <w:p w14:paraId="3DDA83F2" w14:textId="77777777" w:rsidR="0014176B" w:rsidRDefault="00800E1B">
      <w:pPr>
        <w:numPr>
          <w:ilvl w:val="0"/>
          <w:numId w:val="2"/>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“La respuesta formulada por la Unidad de Transparencia” </w:t>
      </w:r>
      <w:r>
        <w:rPr>
          <w:rFonts w:ascii="Palatino Linotype" w:eastAsia="Palatino Linotype" w:hAnsi="Palatino Linotype" w:cs="Palatino Linotype"/>
          <w:color w:val="000000"/>
          <w:sz w:val="22"/>
          <w:szCs w:val="22"/>
        </w:rPr>
        <w:t>(Sic)</w:t>
      </w:r>
    </w:p>
    <w:p w14:paraId="03049E94" w14:textId="77777777" w:rsidR="0014176B" w:rsidRDefault="0014176B">
      <w:pPr>
        <w:pBdr>
          <w:top w:val="nil"/>
          <w:left w:val="nil"/>
          <w:bottom w:val="nil"/>
          <w:right w:val="nil"/>
          <w:between w:val="nil"/>
        </w:pBdr>
        <w:tabs>
          <w:tab w:val="left" w:pos="0"/>
        </w:tabs>
        <w:spacing w:line="360" w:lineRule="auto"/>
        <w:ind w:right="-646"/>
        <w:jc w:val="both"/>
        <w:rPr>
          <w:rFonts w:ascii="Palatino Linotype" w:eastAsia="Palatino Linotype" w:hAnsi="Palatino Linotype" w:cs="Palatino Linotype"/>
          <w:i/>
          <w:color w:val="000000"/>
          <w:u w:val="single"/>
        </w:rPr>
      </w:pPr>
    </w:p>
    <w:p w14:paraId="63444810" w14:textId="77777777" w:rsidR="0014176B" w:rsidRDefault="00800E1B">
      <w:pPr>
        <w:numPr>
          <w:ilvl w:val="0"/>
          <w:numId w:val="1"/>
        </w:numPr>
        <w:pBdr>
          <w:top w:val="nil"/>
          <w:left w:val="nil"/>
          <w:bottom w:val="nil"/>
          <w:right w:val="nil"/>
          <w:between w:val="nil"/>
        </w:pBdr>
        <w:spacing w:line="360" w:lineRule="auto"/>
        <w:ind w:left="0" w:right="-646" w:firstLine="0"/>
        <w:jc w:val="both"/>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14:paraId="4D8D85C6" w14:textId="77777777" w:rsidR="0014176B" w:rsidRDefault="0014176B">
      <w:pPr>
        <w:pBdr>
          <w:top w:val="nil"/>
          <w:left w:val="nil"/>
          <w:bottom w:val="nil"/>
          <w:right w:val="nil"/>
          <w:between w:val="nil"/>
        </w:pBdr>
        <w:spacing w:line="360" w:lineRule="auto"/>
        <w:ind w:right="-646"/>
        <w:jc w:val="both"/>
        <w:rPr>
          <w:rFonts w:ascii="Palatino Linotype" w:eastAsia="Palatino Linotype" w:hAnsi="Palatino Linotype" w:cs="Palatino Linotype"/>
          <w:i/>
          <w:color w:val="000000"/>
        </w:rPr>
      </w:pPr>
    </w:p>
    <w:p w14:paraId="4951E65B" w14:textId="77777777" w:rsidR="0014176B" w:rsidRDefault="00800E1B">
      <w:pPr>
        <w:numPr>
          <w:ilvl w:val="0"/>
          <w:numId w:val="1"/>
        </w:numPr>
        <w:pBdr>
          <w:top w:val="nil"/>
          <w:left w:val="nil"/>
          <w:bottom w:val="nil"/>
          <w:right w:val="nil"/>
          <w:between w:val="nil"/>
        </w:pBdr>
        <w:spacing w:line="360" w:lineRule="auto"/>
        <w:ind w:left="0" w:right="-646" w:firstLine="0"/>
        <w:jc w:val="both"/>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presentó informe justificado, cuyo contenido </w:t>
      </w:r>
      <w:r>
        <w:rPr>
          <w:rFonts w:ascii="Palatino Linotype" w:eastAsia="Palatino Linotype" w:hAnsi="Palatino Linotype" w:cs="Palatino Linotype"/>
          <w:color w:val="000000"/>
          <w:u w:val="single"/>
        </w:rPr>
        <w:t>esencial</w:t>
      </w:r>
      <w:r>
        <w:rPr>
          <w:rFonts w:ascii="Palatino Linotype" w:eastAsia="Palatino Linotype" w:hAnsi="Palatino Linotype" w:cs="Palatino Linotype"/>
          <w:color w:val="000000"/>
        </w:rPr>
        <w:t xml:space="preserve"> es el siguiente: </w:t>
      </w:r>
    </w:p>
    <w:p w14:paraId="65FEFA56" w14:textId="77777777" w:rsidR="0014176B" w:rsidRDefault="00800E1B">
      <w:pPr>
        <w:numPr>
          <w:ilvl w:val="0"/>
          <w:numId w:val="3"/>
        </w:numPr>
        <w:pBdr>
          <w:top w:val="nil"/>
          <w:left w:val="nil"/>
          <w:bottom w:val="nil"/>
          <w:right w:val="nil"/>
          <w:between w:val="nil"/>
        </w:pBdr>
        <w:spacing w:line="360" w:lineRule="auto"/>
        <w:ind w:left="709"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3173.pdf:</w:t>
      </w:r>
      <w:r>
        <w:rPr>
          <w:rFonts w:ascii="Palatino Linotype" w:eastAsia="Palatino Linotype" w:hAnsi="Palatino Linotype" w:cs="Palatino Linotype"/>
          <w:color w:val="000000"/>
          <w:sz w:val="22"/>
          <w:szCs w:val="22"/>
        </w:rPr>
        <w:t xml:space="preserve"> se confirma la respuesta inicial relativa a la procedencia de cubrir costos para dar atención a la solicitud de información por concepto de digitalización en virtud que no existe fuente obligacional de contar con lo solicitado de manera digital y, se agrega como elemento novedoso, que no tiene la obligación de generar documentos ad </w:t>
      </w:r>
      <w:proofErr w:type="gramStart"/>
      <w:r>
        <w:rPr>
          <w:rFonts w:ascii="Palatino Linotype" w:eastAsia="Palatino Linotype" w:hAnsi="Palatino Linotype" w:cs="Palatino Linotype"/>
          <w:color w:val="000000"/>
          <w:sz w:val="22"/>
          <w:szCs w:val="22"/>
        </w:rPr>
        <w:t>hoc .</w:t>
      </w:r>
      <w:proofErr w:type="gramEnd"/>
    </w:p>
    <w:p w14:paraId="01D6A7D0" w14:textId="77777777" w:rsidR="0014176B" w:rsidRDefault="0014176B">
      <w:pPr>
        <w:pBdr>
          <w:top w:val="nil"/>
          <w:left w:val="nil"/>
          <w:bottom w:val="nil"/>
          <w:right w:val="nil"/>
          <w:between w:val="nil"/>
        </w:pBdr>
        <w:spacing w:line="360" w:lineRule="auto"/>
        <w:ind w:left="360" w:right="-646"/>
        <w:jc w:val="both"/>
        <w:rPr>
          <w:rFonts w:ascii="Palatino Linotype" w:eastAsia="Palatino Linotype" w:hAnsi="Palatino Linotype" w:cs="Palatino Linotype"/>
          <w:color w:val="000000"/>
        </w:rPr>
      </w:pPr>
    </w:p>
    <w:p w14:paraId="22F07FA0" w14:textId="77777777" w:rsidR="0014176B" w:rsidRDefault="0014176B">
      <w:pPr>
        <w:pBdr>
          <w:top w:val="nil"/>
          <w:left w:val="nil"/>
          <w:bottom w:val="nil"/>
          <w:right w:val="nil"/>
          <w:between w:val="nil"/>
        </w:pBdr>
        <w:tabs>
          <w:tab w:val="left" w:pos="0"/>
        </w:tabs>
        <w:spacing w:line="360" w:lineRule="auto"/>
        <w:ind w:right="-646"/>
        <w:jc w:val="both"/>
        <w:rPr>
          <w:rFonts w:ascii="Palatino Linotype" w:eastAsia="Palatino Linotype" w:hAnsi="Palatino Linotype" w:cs="Palatino Linotype"/>
          <w:i/>
          <w:color w:val="000000"/>
          <w:u w:val="single"/>
        </w:rPr>
      </w:pPr>
    </w:p>
    <w:p w14:paraId="7F5CE548" w14:textId="77777777" w:rsidR="0014176B" w:rsidRDefault="00800E1B">
      <w:pPr>
        <w:numPr>
          <w:ilvl w:val="0"/>
          <w:numId w:val="1"/>
        </w:numPr>
        <w:pBdr>
          <w:top w:val="nil"/>
          <w:left w:val="nil"/>
          <w:bottom w:val="nil"/>
          <w:right w:val="nil"/>
          <w:between w:val="nil"/>
        </w:pBdr>
        <w:spacing w:line="360" w:lineRule="auto"/>
        <w:ind w:left="0" w:right="-646" w:firstLine="0"/>
        <w:jc w:val="both"/>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color w:val="000000"/>
        </w:rPr>
        <w:lastRenderedPageBreak/>
        <w:t xml:space="preserve">Al no existir diligencias o prueba alguna por desahogar, en fecha </w:t>
      </w:r>
      <w:r>
        <w:rPr>
          <w:rFonts w:ascii="Palatino Linotype" w:eastAsia="Palatino Linotype" w:hAnsi="Palatino Linotype" w:cs="Palatino Linotype"/>
          <w:b/>
          <w:color w:val="000000"/>
        </w:rPr>
        <w:t>trece de noviembre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29D4E8EE" w14:textId="77777777" w:rsidR="0014176B" w:rsidRDefault="0014176B">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p>
    <w:p w14:paraId="67F8A9FB" w14:textId="77777777" w:rsidR="0014176B" w:rsidRDefault="00800E1B">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499DF2E0" w14:textId="77777777" w:rsidR="0014176B" w:rsidRDefault="0014176B">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p>
    <w:p w14:paraId="4B7B5C68" w14:textId="77777777" w:rsidR="0014176B" w:rsidRDefault="00800E1B">
      <w:pPr>
        <w:pStyle w:val="Ttulo2"/>
        <w:spacing w:before="0" w:line="360" w:lineRule="auto"/>
        <w:ind w:right="-646"/>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PRIMERA. Competencia</w:t>
      </w:r>
    </w:p>
    <w:p w14:paraId="5694E43C" w14:textId="77777777" w:rsidR="0014176B" w:rsidRDefault="00800E1B">
      <w:pPr>
        <w:numPr>
          <w:ilvl w:val="0"/>
          <w:numId w:val="1"/>
        </w:numPr>
        <w:pBdr>
          <w:top w:val="nil"/>
          <w:left w:val="nil"/>
          <w:bottom w:val="nil"/>
          <w:right w:val="nil"/>
          <w:between w:val="nil"/>
        </w:pBdr>
        <w:spacing w:line="360" w:lineRule="auto"/>
        <w:ind w:left="0" w:right="-646" w:firstLine="0"/>
        <w:jc w:val="both"/>
      </w:pPr>
      <w:r>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904C590" w14:textId="77777777" w:rsidR="0014176B" w:rsidRDefault="0014176B">
      <w:p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rPr>
      </w:pPr>
    </w:p>
    <w:p w14:paraId="371BF124" w14:textId="77777777" w:rsidR="0014176B" w:rsidRDefault="00800E1B">
      <w:pPr>
        <w:pStyle w:val="Ttulo2"/>
        <w:spacing w:before="0" w:line="360" w:lineRule="auto"/>
        <w:ind w:right="-646"/>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SEGUNDA. Procedencia.</w:t>
      </w:r>
    </w:p>
    <w:p w14:paraId="45FEC506"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 xml:space="preserve">toda vez que: el recurso fue presentado dentro del plazo establecido en el </w:t>
      </w:r>
      <w:r>
        <w:rPr>
          <w:rFonts w:ascii="Palatino Linotype" w:eastAsia="Palatino Linotype" w:hAnsi="Palatino Linotype" w:cs="Palatino Linotype"/>
          <w:color w:val="000000"/>
        </w:rPr>
        <w:lastRenderedPageBreak/>
        <w:t>artículo 178 de la Ley de Transparencia y Acceso a la Información Pública del Estado de México y Municipios; asimismo no se tiene conocimiento de que se encuentre en trámite algún medio de defensa presentado por el Recurrente ante otra instancia.</w:t>
      </w:r>
    </w:p>
    <w:p w14:paraId="59D953F1" w14:textId="77777777" w:rsidR="0014176B" w:rsidRDefault="0014176B">
      <w:pPr>
        <w:spacing w:line="360" w:lineRule="auto"/>
        <w:ind w:right="-646"/>
        <w:jc w:val="both"/>
        <w:rPr>
          <w:rFonts w:ascii="Palatino Linotype" w:eastAsia="Palatino Linotype" w:hAnsi="Palatino Linotype" w:cs="Palatino Linotype"/>
        </w:rPr>
      </w:pPr>
    </w:p>
    <w:p w14:paraId="01761973"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2ABAFC89" w14:textId="77777777" w:rsidR="0014176B" w:rsidRDefault="0014176B">
      <w:pPr>
        <w:pBdr>
          <w:top w:val="nil"/>
          <w:left w:val="nil"/>
          <w:bottom w:val="nil"/>
          <w:right w:val="nil"/>
          <w:between w:val="nil"/>
        </w:pBdr>
        <w:spacing w:line="360" w:lineRule="auto"/>
        <w:ind w:right="-646"/>
        <w:rPr>
          <w:rFonts w:ascii="Palatino Linotype" w:eastAsia="Palatino Linotype" w:hAnsi="Palatino Linotype" w:cs="Palatino Linotype"/>
          <w:color w:val="000000"/>
        </w:rPr>
      </w:pPr>
    </w:p>
    <w:p w14:paraId="6276F09B" w14:textId="77777777" w:rsidR="0014176B" w:rsidRDefault="00800E1B">
      <w:pPr>
        <w:pStyle w:val="Ttulo1"/>
        <w:spacing w:before="0" w:line="360" w:lineRule="auto"/>
        <w:ind w:right="-646"/>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TERCERA. Descripción de hechos y planteamiento de la controversia.</w:t>
      </w:r>
    </w:p>
    <w:p w14:paraId="07F951AD" w14:textId="77777777" w:rsidR="0014176B" w:rsidRDefault="00800E1B">
      <w:pPr>
        <w:numPr>
          <w:ilvl w:val="0"/>
          <w:numId w:val="1"/>
        </w:numPr>
        <w:pBdr>
          <w:top w:val="nil"/>
          <w:left w:val="nil"/>
          <w:bottom w:val="nil"/>
          <w:right w:val="nil"/>
          <w:between w:val="nil"/>
        </w:pBdr>
        <w:spacing w:line="360" w:lineRule="auto"/>
        <w:ind w:left="0" w:right="-646" w:firstLine="0"/>
        <w:jc w:val="both"/>
      </w:pPr>
      <w:r>
        <w:rPr>
          <w:rFonts w:ascii="Palatino Linotype" w:eastAsia="Palatino Linotype" w:hAnsi="Palatino Linotype" w:cs="Palatino Linotype"/>
          <w:color w:val="000000"/>
        </w:rPr>
        <w:t>Se solicitó tener acceso, a la información que a continuación se simplifica:</w:t>
      </w:r>
    </w:p>
    <w:p w14:paraId="02BF101A" w14:textId="77777777" w:rsidR="0014176B" w:rsidRDefault="00800E1B">
      <w:pPr>
        <w:numPr>
          <w:ilvl w:val="0"/>
          <w:numId w:val="7"/>
        </w:numPr>
        <w:pBdr>
          <w:top w:val="nil"/>
          <w:left w:val="nil"/>
          <w:bottom w:val="nil"/>
          <w:right w:val="nil"/>
          <w:between w:val="nil"/>
        </w:pBdr>
        <w:spacing w:line="360" w:lineRule="auto"/>
        <w:ind w:right="-7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Todos los documentos relacionados al: Recurso de Revisión número 02043/INFOEM/IP/RR/2021, derivados de la solicitud número 00300/TOLUCA/IP/2021, como lo son de manera enunciativa </w:t>
      </w:r>
      <w:r>
        <w:rPr>
          <w:rFonts w:ascii="Palatino Linotype" w:eastAsia="Palatino Linotype" w:hAnsi="Palatino Linotype" w:cs="Palatino Linotype"/>
          <w:b/>
          <w:sz w:val="22"/>
          <w:szCs w:val="22"/>
        </w:rPr>
        <w:t>más</w:t>
      </w:r>
      <w:r>
        <w:rPr>
          <w:rFonts w:ascii="Palatino Linotype" w:eastAsia="Palatino Linotype" w:hAnsi="Palatino Linotype" w:cs="Palatino Linotype"/>
          <w:b/>
          <w:color w:val="000000"/>
          <w:sz w:val="22"/>
          <w:szCs w:val="22"/>
        </w:rPr>
        <w:t xml:space="preserve"> no limitativa: respuesta, documentos enviados y recibidos entre las Unidades Administrativas y la Unidad de Transparencia, formato de recurso de revisión, Informe Justificado y, soporte documental entregado en cumplimiento al recurso de revisión; y</w:t>
      </w:r>
    </w:p>
    <w:p w14:paraId="76D95609" w14:textId="77777777" w:rsidR="0014176B" w:rsidRDefault="0014176B">
      <w:pPr>
        <w:pBdr>
          <w:top w:val="nil"/>
          <w:left w:val="nil"/>
          <w:bottom w:val="nil"/>
          <w:right w:val="nil"/>
          <w:between w:val="nil"/>
        </w:pBdr>
        <w:spacing w:line="360" w:lineRule="auto"/>
        <w:ind w:left="778" w:right="-79"/>
        <w:jc w:val="both"/>
        <w:rPr>
          <w:rFonts w:ascii="Palatino Linotype" w:eastAsia="Palatino Linotype" w:hAnsi="Palatino Linotype" w:cs="Palatino Linotype"/>
          <w:b/>
          <w:color w:val="000000"/>
          <w:sz w:val="22"/>
          <w:szCs w:val="22"/>
        </w:rPr>
      </w:pPr>
    </w:p>
    <w:p w14:paraId="0AC69801" w14:textId="77777777" w:rsidR="0014176B" w:rsidRDefault="00800E1B">
      <w:pPr>
        <w:numPr>
          <w:ilvl w:val="0"/>
          <w:numId w:val="7"/>
        </w:numPr>
        <w:pBdr>
          <w:top w:val="nil"/>
          <w:left w:val="nil"/>
          <w:bottom w:val="nil"/>
          <w:right w:val="nil"/>
          <w:between w:val="nil"/>
        </w:pBdr>
        <w:spacing w:line="360" w:lineRule="auto"/>
        <w:ind w:right="-7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Captura de pantalla de SAIMEX, respecto al seguimiento de la solicitud de la información de referencia.</w:t>
      </w:r>
    </w:p>
    <w:p w14:paraId="7FC204CC" w14:textId="77777777" w:rsidR="0014176B" w:rsidRDefault="0014176B">
      <w:pPr>
        <w:pBdr>
          <w:top w:val="nil"/>
          <w:left w:val="nil"/>
          <w:bottom w:val="nil"/>
          <w:right w:val="nil"/>
          <w:between w:val="nil"/>
        </w:pBdr>
        <w:spacing w:line="360" w:lineRule="auto"/>
        <w:ind w:left="720" w:right="-646"/>
        <w:rPr>
          <w:rFonts w:ascii="Palatino Linotype" w:eastAsia="Palatino Linotype" w:hAnsi="Palatino Linotype" w:cs="Palatino Linotype"/>
          <w:b/>
          <w:color w:val="000000"/>
        </w:rPr>
      </w:pPr>
    </w:p>
    <w:p w14:paraId="513F0D47"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el archivo ya descrito en el anterior Párrafo 2. Inconforme con la respuesta, se interpuso recurso de revisión argumentando sustancialmente la negativa de la entrega de la información por la respuesta formulada.</w:t>
      </w:r>
    </w:p>
    <w:p w14:paraId="7AED50B4" w14:textId="77777777" w:rsidR="0014176B" w:rsidRDefault="0014176B">
      <w:pPr>
        <w:spacing w:line="360" w:lineRule="auto"/>
        <w:ind w:right="-646"/>
        <w:jc w:val="both"/>
        <w:rPr>
          <w:rFonts w:ascii="Palatino Linotype" w:eastAsia="Palatino Linotype" w:hAnsi="Palatino Linotype" w:cs="Palatino Linotype"/>
          <w:i/>
          <w:color w:val="000000"/>
        </w:rPr>
      </w:pPr>
    </w:p>
    <w:p w14:paraId="7D3E0984"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I</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negativa a la entrega de la información;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4FFFFE2B" w14:textId="77777777" w:rsidR="0014176B" w:rsidRDefault="0014176B">
      <w:pPr>
        <w:spacing w:line="360" w:lineRule="auto"/>
        <w:ind w:right="-646"/>
        <w:rPr>
          <w:rFonts w:ascii="Palatino Linotype" w:eastAsia="Palatino Linotype" w:hAnsi="Palatino Linotype" w:cs="Palatino Linotype"/>
        </w:rPr>
      </w:pPr>
    </w:p>
    <w:p w14:paraId="2AC6A325" w14:textId="77777777" w:rsidR="0014176B" w:rsidRDefault="00800E1B">
      <w:pPr>
        <w:pStyle w:val="Ttulo2"/>
        <w:spacing w:before="0" w:line="360" w:lineRule="auto"/>
        <w:ind w:right="-646"/>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CUARTA. Estudio de la controversia.</w:t>
      </w:r>
    </w:p>
    <w:p w14:paraId="216D8F05"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03147EB9" w14:textId="77777777" w:rsidR="0014176B" w:rsidRDefault="0014176B">
      <w:pPr>
        <w:spacing w:line="360" w:lineRule="auto"/>
        <w:ind w:right="-646"/>
        <w:jc w:val="both"/>
        <w:rPr>
          <w:rFonts w:ascii="Palatino Linotype" w:eastAsia="Palatino Linotype" w:hAnsi="Palatino Linotype" w:cs="Palatino Linotype"/>
        </w:rPr>
      </w:pPr>
    </w:p>
    <w:p w14:paraId="444E32C2"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 xml:space="preserve">Asimismo, es relevante mencionar que el artículo 19 del ordenamiento local de la materia señala que se presume que la información debe existir si se refiere a las facultades, competencias y funciones que los ordenamientos jurídicos aplicables otorgan a los sujetos </w:t>
      </w:r>
      <w:r>
        <w:rPr>
          <w:rFonts w:ascii="Palatino Linotype" w:eastAsia="Palatino Linotype" w:hAnsi="Palatino Linotype" w:cs="Palatino Linotype"/>
        </w:rPr>
        <w:lastRenderedPageBreak/>
        <w:t>obligados y en caso de que dichas facultades no se hayan ejercido, se deberá motivar la respuesta en función de las causas que motivaron tal circunstancia.</w:t>
      </w:r>
    </w:p>
    <w:p w14:paraId="06FE151F" w14:textId="77777777" w:rsidR="0014176B" w:rsidRDefault="0014176B">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5C7D0C2B"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4448B985" w14:textId="77777777" w:rsidR="0014176B" w:rsidRDefault="0014176B">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3501EC5F" w14:textId="77777777" w:rsidR="0014176B" w:rsidRDefault="00800E1B">
      <w:pPr>
        <w:numPr>
          <w:ilvl w:val="0"/>
          <w:numId w:val="7"/>
        </w:numPr>
        <w:pBdr>
          <w:top w:val="nil"/>
          <w:left w:val="nil"/>
          <w:bottom w:val="nil"/>
          <w:right w:val="nil"/>
          <w:between w:val="nil"/>
        </w:pBdr>
        <w:spacing w:line="360" w:lineRule="auto"/>
        <w:ind w:right="-64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respuesta</w:t>
      </w:r>
    </w:p>
    <w:p w14:paraId="25D5D62D"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 xml:space="preserve">Una vez conocidas las respuestas,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interpuso los recursos de revisión que nos ocupan, inconformándose medularmente por la respuesta que se formuló; es decir el cobro pretendido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como condicionante para entregar la información solicitada, ello en virtud de que expresa que debe realizarse una digitalización de la documentación</w:t>
      </w:r>
      <w:r>
        <w:rPr>
          <w:rFonts w:ascii="Palatino Linotype" w:eastAsia="Palatino Linotype" w:hAnsi="Palatino Linotype" w:cs="Palatino Linotype"/>
          <w:color w:val="000000"/>
        </w:rPr>
        <w:t>, al no existir fuente obligacional que le constriña a tenerla de manera digital.</w:t>
      </w:r>
    </w:p>
    <w:p w14:paraId="178631C6" w14:textId="77777777" w:rsidR="0014176B" w:rsidRDefault="0014176B">
      <w:pPr>
        <w:spacing w:line="360" w:lineRule="auto"/>
        <w:ind w:right="-646"/>
        <w:jc w:val="both"/>
        <w:rPr>
          <w:rFonts w:ascii="Palatino Linotype" w:eastAsia="Palatino Linotype" w:hAnsi="Palatino Linotype" w:cs="Palatino Linotype"/>
          <w:color w:val="000000"/>
        </w:rPr>
      </w:pPr>
    </w:p>
    <w:p w14:paraId="12303FF7"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lastRenderedPageBreak/>
        <w:t xml:space="preserve">Admitidos los presentes recursos </w:t>
      </w:r>
      <w:r>
        <w:rPr>
          <w:rFonts w:ascii="Palatino Linotype" w:eastAsia="Palatino Linotype" w:hAnsi="Palatino Linotype" w:cs="Palatino Linotype"/>
        </w:rPr>
        <w:t>de revisión, en términos del artículo 185 fracción II</w:t>
      </w:r>
      <w:r>
        <w:rPr>
          <w:rFonts w:ascii="Palatino Linotype" w:eastAsia="Palatino Linotype" w:hAnsi="Palatino Linotype" w:cs="Palatino Linotype"/>
          <w:vertAlign w:val="superscript"/>
        </w:rPr>
        <w:footnoteReference w:id="1"/>
      </w:r>
      <w:r>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 lo que a su derecho resultara conveniente; teniendo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ratificó los términos de su respuesta inicial, añadiendo que no está obligado a generar documentos </w:t>
      </w:r>
      <w:r>
        <w:rPr>
          <w:rFonts w:ascii="Palatino Linotype" w:eastAsia="Palatino Linotype" w:hAnsi="Palatino Linotype" w:cs="Palatino Linotype"/>
          <w:i/>
        </w:rPr>
        <w:t>ad hoc</w:t>
      </w:r>
      <w:r>
        <w:rPr>
          <w:rFonts w:ascii="Palatino Linotype" w:eastAsia="Palatino Linotype" w:hAnsi="Palatino Linotype" w:cs="Palatino Linotype"/>
        </w:rPr>
        <w:t>, con lo cual se concluye que asume de manera expresa que genera, posee y administra la información; tan es así que informa del número de fojas; no obstante respecto de la procedencia del cobro corresponde a un contexto que se desestima por las siguientes consideraciones.</w:t>
      </w:r>
    </w:p>
    <w:p w14:paraId="6012A1B3" w14:textId="77777777" w:rsidR="0014176B" w:rsidRDefault="0014176B">
      <w:pPr>
        <w:spacing w:line="360" w:lineRule="auto"/>
        <w:ind w:right="-646"/>
        <w:jc w:val="both"/>
        <w:rPr>
          <w:rFonts w:ascii="Palatino Linotype" w:eastAsia="Palatino Linotype" w:hAnsi="Palatino Linotype" w:cs="Palatino Linotype"/>
        </w:rPr>
      </w:pPr>
    </w:p>
    <w:p w14:paraId="45D227FE"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 xml:space="preserve">En primera instancia, </w:t>
      </w:r>
      <w:r>
        <w:rPr>
          <w:rFonts w:ascii="Palatino Linotype" w:eastAsia="Palatino Linotype" w:hAnsi="Palatino Linotype" w:cs="Palatino Linotype"/>
          <w:color w:val="000000"/>
        </w:rPr>
        <w:t xml:space="preserve">del análisis de las constancias que integran los expedientes en los que se actúa, así como de la materia sobre la que versan las solicitudes de acceso a la información pública, se advierte que las razones o motivos de inconformidad devienen fundados, en razón de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proporcionó la información que le fue requerida, a pesar de haber reconocido que cuenta con ella, por tal motivo el derecho de acceso de la parte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no ha quedado colmado, toda vez que se condiciona la entrega de dicha información a la realización de un pago por concepto de derechos.</w:t>
      </w:r>
    </w:p>
    <w:p w14:paraId="2A551E8E"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1E81FAEA"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Derivado de lo anterior, debemos partir de la premisa de que el ejercicio del derecho de acceso a la información, conlleva la observancia de  principios rectores que consisten en las bases, fundamentos o los parámetros fundamentales que permitan el ejercicio de la garantía que posee toda persona para atraerse de información, informar y ser informada, </w:t>
      </w:r>
      <w:r>
        <w:rPr>
          <w:rFonts w:ascii="Palatino Linotype" w:eastAsia="Palatino Linotype" w:hAnsi="Palatino Linotype" w:cs="Palatino Linotype"/>
          <w:color w:val="000000"/>
        </w:rPr>
        <w:lastRenderedPageBreak/>
        <w:t>estableciéndose de manera genérica, los principios de acceso universal, de máxima publicidad, de</w:t>
      </w:r>
      <w:r>
        <w:rPr>
          <w:rFonts w:ascii="Palatino Linotype" w:eastAsia="Palatino Linotype" w:hAnsi="Palatino Linotype" w:cs="Palatino Linotype"/>
          <w:b/>
          <w:i/>
          <w:color w:val="000000"/>
        </w:rPr>
        <w:t xml:space="preserve"> gratuidad</w:t>
      </w:r>
      <w:r>
        <w:rPr>
          <w:rFonts w:ascii="Palatino Linotype" w:eastAsia="Palatino Linotype" w:hAnsi="Palatino Linotype" w:cs="Palatino Linotype"/>
          <w:color w:val="000000"/>
        </w:rPr>
        <w:t>, de certeza, de celeridad, de objetividad,  entre otros.</w:t>
      </w:r>
    </w:p>
    <w:p w14:paraId="7B83A7DD"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04CBC6B8"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Así, a través del principio de gratuidad del acceso a la información pública, se busca que el mayor número posible de personas pueda ejercer el derecho fundamental de acceso a la información, con la finalidad de que la condición económica de las personas, no constituya un obstáculo para el ejercicio de acceso a la información, o bien y en virtud de la modalidad de acceso a la información solicitada, su costo </w:t>
      </w:r>
      <w:r>
        <w:rPr>
          <w:rFonts w:ascii="Palatino Linotype" w:eastAsia="Palatino Linotype" w:hAnsi="Palatino Linotype" w:cs="Palatino Linotype"/>
        </w:rPr>
        <w:t>representa</w:t>
      </w:r>
      <w:r>
        <w:rPr>
          <w:rFonts w:ascii="Palatino Linotype" w:eastAsia="Palatino Linotype" w:hAnsi="Palatino Linotype" w:cs="Palatino Linotype"/>
          <w:color w:val="000000"/>
        </w:rPr>
        <w:t xml:space="preserve"> una barrera fácilmente franqueable.</w:t>
      </w:r>
    </w:p>
    <w:p w14:paraId="18933705"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62B27ACE"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En razón de este principio, se instituye que la consulta de documentos o información en el sitio donde se encontrare no tendrá costo alguno; asimismo, los costos por obtener información no podrán ser superiores a la suma del costo de los materiales utilizados para la </w:t>
      </w:r>
      <w:r>
        <w:rPr>
          <w:rFonts w:ascii="Palatino Linotype" w:eastAsia="Palatino Linotype" w:hAnsi="Palatino Linotype" w:cs="Palatino Linotype"/>
          <w:b/>
          <w:i/>
          <w:color w:val="000000"/>
        </w:rPr>
        <w:t xml:space="preserve">reproducción </w:t>
      </w:r>
      <w:r>
        <w:rPr>
          <w:rFonts w:ascii="Palatino Linotype" w:eastAsia="Palatino Linotype" w:hAnsi="Palatino Linotype" w:cs="Palatino Linotype"/>
          <w:color w:val="000000"/>
        </w:rPr>
        <w:t xml:space="preserve">de la información, y en su caso del costo de </w:t>
      </w:r>
      <w:r>
        <w:rPr>
          <w:rFonts w:ascii="Palatino Linotype" w:eastAsia="Palatino Linotype" w:hAnsi="Palatino Linotype" w:cs="Palatino Linotype"/>
          <w:b/>
          <w:i/>
          <w:color w:val="000000"/>
        </w:rPr>
        <w:t>envío</w:t>
      </w:r>
      <w:r>
        <w:rPr>
          <w:rFonts w:ascii="Palatino Linotype" w:eastAsia="Palatino Linotype" w:hAnsi="Palatino Linotype" w:cs="Palatino Linotype"/>
          <w:color w:val="000000"/>
        </w:rPr>
        <w:t>, finalmente, conlleva implícitamente un esfuerzo por parte de los Sujetos Obligados para reducir los costos de entrega de la información.</w:t>
      </w:r>
    </w:p>
    <w:p w14:paraId="741E0F51"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403E9880"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Atento a lo anterior, nuestra Constitución Federal, así como la Constitución Política de nuestro Estado, contemplan el ejercicio del derecho de acceso a la información bajo el principio de gratuidad, garantizando la protección a un derecho fundamental que tienen dimensión social, al ser un condicionante necesario para el funcionamiento de una sociedad democrática, por lo que cualquier afectación a éste exige una justificación y jamás puede tener efectos recaudatorios, al menos que la reproducción de la información sea en fotocopias, respaldos informativos, entre otros.</w:t>
      </w:r>
    </w:p>
    <w:p w14:paraId="3C6D4CED"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482D058D"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lastRenderedPageBreak/>
        <w:t xml:space="preserve">Por otra parte, la Ley de Transparencia y Acceso a la Información Pública del Estado de México y Municipios, que tiene entre sus objetivos el de proveer lo necesario para garantizar a toda persona el derecho de acceso a la información pública, a través de procedimientos sencillos, expeditos, oportunos y </w:t>
      </w:r>
      <w:r>
        <w:rPr>
          <w:rFonts w:ascii="Palatino Linotype" w:eastAsia="Palatino Linotype" w:hAnsi="Palatino Linotype" w:cs="Palatino Linotype"/>
          <w:b/>
          <w:i/>
          <w:color w:val="000000"/>
        </w:rPr>
        <w:t>gratuitos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 refiere en los artículos 17 y 150, que la búsqueda y acceso a la información es gratuita y </w:t>
      </w:r>
      <w:r>
        <w:rPr>
          <w:rFonts w:ascii="Palatino Linotype" w:eastAsia="Palatino Linotype" w:hAnsi="Palatino Linotype" w:cs="Palatino Linotype"/>
          <w:b/>
          <w:i/>
          <w:color w:val="000000"/>
        </w:rPr>
        <w:t>sólo se cubrirá en su caso, los gastos de reproducción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i/>
          <w:color w:val="000000"/>
          <w:u w:val="single"/>
        </w:rPr>
        <w:t>por la modalidad de entrega solicitada</w:t>
      </w:r>
      <w:r>
        <w:rPr>
          <w:rFonts w:ascii="Palatino Linotype" w:eastAsia="Palatino Linotype" w:hAnsi="Palatino Linotype" w:cs="Palatino Linotype"/>
          <w:color w:val="000000"/>
          <w:u w:val="single"/>
        </w:rPr>
        <w:t xml:space="preserve">, </w:t>
      </w:r>
      <w:r>
        <w:rPr>
          <w:rFonts w:ascii="Palatino Linotype" w:eastAsia="Palatino Linotype" w:hAnsi="Palatino Linotype" w:cs="Palatino Linotype"/>
          <w:b/>
          <w:i/>
          <w:color w:val="000000"/>
          <w:u w:val="single"/>
        </w:rPr>
        <w:t>o por el envío</w:t>
      </w:r>
      <w:r>
        <w:rPr>
          <w:rFonts w:ascii="Palatino Linotype" w:eastAsia="Palatino Linotype" w:hAnsi="Palatino Linotype" w:cs="Palatino Linotype"/>
          <w:color w:val="000000"/>
          <w:u w:val="single"/>
        </w:rPr>
        <w:t xml:space="preserve"> </w:t>
      </w:r>
      <w:r>
        <w:rPr>
          <w:rFonts w:ascii="Palatino Linotype" w:eastAsia="Palatino Linotype" w:hAnsi="Palatino Linotype" w:cs="Palatino Linotype"/>
          <w:color w:val="000000"/>
        </w:rPr>
        <w:t xml:space="preserve">de conformidad con los derechos, productos y aprovechamientos establecidos en la legislación aplicable, en razón de que el procedimiento de acceso a la información es la garantía primaria del derecho en cuestión y </w:t>
      </w:r>
      <w:r>
        <w:rPr>
          <w:rFonts w:ascii="Palatino Linotype" w:eastAsia="Palatino Linotype" w:hAnsi="Palatino Linotype" w:cs="Palatino Linotype"/>
          <w:i/>
          <w:color w:val="000000"/>
        </w:rPr>
        <w:t>se rige por los principios de simplicidad, rapidez, gratuidad,</w:t>
      </w:r>
      <w:r>
        <w:rPr>
          <w:rFonts w:ascii="Palatino Linotype" w:eastAsia="Palatino Linotype" w:hAnsi="Palatino Linotype" w:cs="Palatino Linotype"/>
          <w:color w:val="000000"/>
        </w:rPr>
        <w:t xml:space="preserve"> auxilio y orientación a los particulares, en virtud de que constituye el primer paso para integrar activamente a la ciudadanía en la acción gubernamental, toda vez que con la información proporcionada por medio de las políticas de transparencia, los ciudadanos son </w:t>
      </w:r>
      <w:r>
        <w:rPr>
          <w:rFonts w:ascii="Palatino Linotype" w:eastAsia="Palatino Linotype" w:hAnsi="Palatino Linotype" w:cs="Palatino Linotype"/>
        </w:rPr>
        <w:t>partícipes</w:t>
      </w:r>
      <w:r>
        <w:rPr>
          <w:rFonts w:ascii="Palatino Linotype" w:eastAsia="Palatino Linotype" w:hAnsi="Palatino Linotype" w:cs="Palatino Linotype"/>
          <w:color w:val="000000"/>
        </w:rPr>
        <w:t xml:space="preserve"> de las acciones realizadas por los entes públicos, lo que favorece la rendición de cuentas.</w:t>
      </w:r>
    </w:p>
    <w:p w14:paraId="023AC9D1" w14:textId="77777777" w:rsidR="0014176B" w:rsidRDefault="0014176B">
      <w:pPr>
        <w:spacing w:line="360" w:lineRule="auto"/>
        <w:ind w:right="-646"/>
        <w:jc w:val="both"/>
        <w:rPr>
          <w:rFonts w:ascii="Palatino Linotype" w:eastAsia="Palatino Linotype" w:hAnsi="Palatino Linotype" w:cs="Palatino Linotype"/>
        </w:rPr>
      </w:pPr>
    </w:p>
    <w:p w14:paraId="245D175E"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En este tenor, por regla general la entrega de la información que se solicite en ejercicio del derecho de acceso a la información pública, deberá ser en congruencia con el principio de gratuidad y solamente en casos excepcionales se procederá al cobro para la entrega de la información, lo cual ocurrirá  </w:t>
      </w:r>
      <w:r>
        <w:rPr>
          <w:rFonts w:ascii="Palatino Linotype" w:eastAsia="Palatino Linotype" w:hAnsi="Palatino Linotype" w:cs="Palatino Linotype"/>
          <w:b/>
          <w:i/>
          <w:color w:val="000000"/>
        </w:rPr>
        <w:t>en caso de que se tenga que generar un gasto por la reproducción, por el envío, o por la modalidad de entrega solicitada,</w:t>
      </w:r>
      <w:r>
        <w:rPr>
          <w:rFonts w:ascii="Palatino Linotype" w:eastAsia="Palatino Linotype" w:hAnsi="Palatino Linotype" w:cs="Palatino Linotype"/>
          <w:color w:val="000000"/>
        </w:rPr>
        <w:t xml:space="preserve"> supuestos que encuadran con lo  establecido en los artículos 9 fracción III, 17, 165, 174, 175 de la Ley de Acceso a la Información Pública del Estado de México y Municipios.</w:t>
      </w:r>
    </w:p>
    <w:p w14:paraId="22562CB9"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“Artículo 9. </w:t>
      </w:r>
      <w:r>
        <w:rPr>
          <w:rFonts w:ascii="Palatino Linotype" w:eastAsia="Palatino Linotype" w:hAnsi="Palatino Linotype" w:cs="Palatino Linotype"/>
          <w:i/>
          <w:color w:val="000000"/>
          <w:sz w:val="22"/>
          <w:szCs w:val="22"/>
        </w:rPr>
        <w:t>El Instituto deberá regir su funcionamiento de acuerdo a los siguientes principios:</w:t>
      </w:r>
    </w:p>
    <w:p w14:paraId="5EFE68D5"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w:t>
      </w:r>
    </w:p>
    <w:p w14:paraId="610892FC"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lastRenderedPageBreak/>
        <w:t xml:space="preserve">III. Gratuidad: </w:t>
      </w:r>
      <w:r>
        <w:rPr>
          <w:rFonts w:ascii="Palatino Linotype" w:eastAsia="Palatino Linotype" w:hAnsi="Palatino Linotype" w:cs="Palatino Linotype"/>
          <w:i/>
          <w:color w:val="000000"/>
          <w:sz w:val="22"/>
          <w:szCs w:val="22"/>
        </w:rPr>
        <w:t xml:space="preserve">Consiste en que el acceso a la información pública no genera costo alguno para los solicitantes, </w:t>
      </w:r>
      <w:r>
        <w:rPr>
          <w:rFonts w:ascii="Palatino Linotype" w:eastAsia="Palatino Linotype" w:hAnsi="Palatino Linotype" w:cs="Palatino Linotype"/>
          <w:b/>
          <w:i/>
          <w:color w:val="000000"/>
          <w:sz w:val="22"/>
          <w:szCs w:val="22"/>
        </w:rPr>
        <w:t xml:space="preserve">sólo podrá requerirse el cobro correspondiente a la modalidad de reproducción y entrega solicitada </w:t>
      </w:r>
      <w:r>
        <w:rPr>
          <w:rFonts w:ascii="Palatino Linotype" w:eastAsia="Palatino Linotype" w:hAnsi="Palatino Linotype" w:cs="Palatino Linotype"/>
          <w:i/>
          <w:color w:val="000000"/>
          <w:sz w:val="22"/>
          <w:szCs w:val="22"/>
        </w:rPr>
        <w:t>conforme a lo establecido en la presente Ley y demás disposiciones jurídicas aplicables;</w:t>
      </w:r>
    </w:p>
    <w:p w14:paraId="20FBC50F"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5C39F6C" w14:textId="77777777" w:rsidR="0014176B" w:rsidRDefault="0014176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p>
    <w:p w14:paraId="6CC7DD4E"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Artículo 17. </w:t>
      </w:r>
      <w:r>
        <w:rPr>
          <w:rFonts w:ascii="Palatino Linotype" w:eastAsia="Palatino Linotype" w:hAnsi="Palatino Linotype" w:cs="Palatino Linotype"/>
          <w:i/>
          <w:color w:val="000000"/>
          <w:sz w:val="22"/>
          <w:szCs w:val="22"/>
        </w:rPr>
        <w:t xml:space="preserve">La búsqueda y acceso a la información es gratuita y </w:t>
      </w:r>
      <w:r>
        <w:rPr>
          <w:rFonts w:ascii="Palatino Linotype" w:eastAsia="Palatino Linotype" w:hAnsi="Palatino Linotype" w:cs="Palatino Linotype"/>
          <w:b/>
          <w:i/>
          <w:color w:val="000000"/>
          <w:sz w:val="22"/>
          <w:szCs w:val="22"/>
        </w:rPr>
        <w:t>solo se cubrirán los gastos de reproducción, o por la modalidad de entrega solicitada</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así como por el envío</w:t>
      </w:r>
      <w:r>
        <w:rPr>
          <w:rFonts w:ascii="Palatino Linotype" w:eastAsia="Palatino Linotype" w:hAnsi="Palatino Linotype" w:cs="Palatino Linotype"/>
          <w:i/>
          <w:color w:val="000000"/>
          <w:sz w:val="22"/>
          <w:szCs w:val="22"/>
        </w:rPr>
        <w:t>, que en su caso se genere, de conformidad con los derechos, productos y aprovechamientos establecidos en la legislación aplicable, sin que exceda de los límites establecidos en la presente Ley.</w:t>
      </w:r>
    </w:p>
    <w:p w14:paraId="4A81E8E7"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4D0D196" w14:textId="77777777" w:rsidR="0014176B" w:rsidRDefault="0014176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p>
    <w:p w14:paraId="0A05685F"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Artículo 165. …</w:t>
      </w:r>
    </w:p>
    <w:p w14:paraId="0C81C82D"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La información que se entregue en versión pública, </w:t>
      </w:r>
      <w:r>
        <w:rPr>
          <w:rFonts w:ascii="Palatino Linotype" w:eastAsia="Palatino Linotype" w:hAnsi="Palatino Linotype" w:cs="Palatino Linotype"/>
          <w:b/>
          <w:i/>
          <w:color w:val="000000"/>
          <w:sz w:val="22"/>
          <w:szCs w:val="22"/>
        </w:rPr>
        <w:t xml:space="preserve">cuya modalidad de reproducción o envío tenga un costo, </w:t>
      </w:r>
      <w:r>
        <w:rPr>
          <w:rFonts w:ascii="Palatino Linotype" w:eastAsia="Palatino Linotype" w:hAnsi="Palatino Linotype" w:cs="Palatino Linotype"/>
          <w:i/>
          <w:color w:val="000000"/>
          <w:sz w:val="22"/>
          <w:szCs w:val="22"/>
        </w:rPr>
        <w:t>procederá una vez que se acredite el pago respectivo. No puede entenderse como reproducción la elaboración de la misma.</w:t>
      </w:r>
    </w:p>
    <w:p w14:paraId="69E91AA5"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EB023E7" w14:textId="77777777" w:rsidR="0014176B" w:rsidRDefault="0014176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p>
    <w:p w14:paraId="365E2757"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Artículo 174. En caso de existir costos para obtener la información</w:t>
      </w:r>
      <w:r>
        <w:rPr>
          <w:rFonts w:ascii="Palatino Linotype" w:eastAsia="Palatino Linotype" w:hAnsi="Palatino Linotype" w:cs="Palatino Linotype"/>
          <w:i/>
          <w:color w:val="000000"/>
          <w:sz w:val="22"/>
          <w:szCs w:val="22"/>
        </w:rPr>
        <w:t xml:space="preserve"> deberán cubrirse de manera previa a la entrega y </w:t>
      </w:r>
      <w:r>
        <w:rPr>
          <w:rFonts w:ascii="Palatino Linotype" w:eastAsia="Palatino Linotype" w:hAnsi="Palatino Linotype" w:cs="Palatino Linotype"/>
          <w:b/>
          <w:i/>
          <w:color w:val="000000"/>
          <w:sz w:val="22"/>
          <w:szCs w:val="22"/>
        </w:rPr>
        <w:t>no podrán ser superiores a la suma de</w:t>
      </w:r>
      <w:r>
        <w:rPr>
          <w:rFonts w:ascii="Palatino Linotype" w:eastAsia="Palatino Linotype" w:hAnsi="Palatino Linotype" w:cs="Palatino Linotype"/>
          <w:i/>
          <w:color w:val="000000"/>
          <w:sz w:val="22"/>
          <w:szCs w:val="22"/>
        </w:rPr>
        <w:t>:</w:t>
      </w:r>
    </w:p>
    <w:p w14:paraId="551806F3"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costo de los materiales utilizados en la reproducción</w:t>
      </w:r>
      <w:r>
        <w:rPr>
          <w:rFonts w:ascii="Palatino Linotype" w:eastAsia="Palatino Linotype" w:hAnsi="Palatino Linotype" w:cs="Palatino Linotype"/>
          <w:i/>
          <w:color w:val="000000"/>
          <w:sz w:val="22"/>
          <w:szCs w:val="22"/>
        </w:rPr>
        <w:t xml:space="preserve"> de la información;</w:t>
      </w:r>
    </w:p>
    <w:p w14:paraId="15CF8A05"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costo de envío</w:t>
      </w:r>
      <w:r>
        <w:rPr>
          <w:rFonts w:ascii="Palatino Linotype" w:eastAsia="Palatino Linotype" w:hAnsi="Palatino Linotype" w:cs="Palatino Linotype"/>
          <w:i/>
          <w:color w:val="000000"/>
          <w:sz w:val="22"/>
          <w:szCs w:val="22"/>
        </w:rPr>
        <w:t>, en su caso; y</w:t>
      </w:r>
    </w:p>
    <w:p w14:paraId="55EEB150"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pago de la certificación de los documentos</w:t>
      </w:r>
      <w:r>
        <w:rPr>
          <w:rFonts w:ascii="Palatino Linotype" w:eastAsia="Palatino Linotype" w:hAnsi="Palatino Linotype" w:cs="Palatino Linotype"/>
          <w:i/>
          <w:color w:val="000000"/>
          <w:sz w:val="22"/>
          <w:szCs w:val="22"/>
        </w:rPr>
        <w:t>, cuando proceda.</w:t>
      </w:r>
    </w:p>
    <w:p w14:paraId="41153F8D"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lastRenderedPageBreak/>
        <w:t xml:space="preserve">Las cuotas de los derechos aplicables deberán establecerse, en su caso, en el </w:t>
      </w:r>
      <w:r>
        <w:rPr>
          <w:rFonts w:ascii="Palatino Linotype" w:eastAsia="Palatino Linotype" w:hAnsi="Palatino Linotype" w:cs="Palatino Linotype"/>
          <w:b/>
          <w:i/>
          <w:color w:val="000000"/>
          <w:sz w:val="22"/>
          <w:szCs w:val="22"/>
        </w:rPr>
        <w:t>Código Financiero del Estado de México y Municipios</w:t>
      </w:r>
      <w:r>
        <w:rPr>
          <w:rFonts w:ascii="Palatino Linotype" w:eastAsia="Palatino Linotype" w:hAnsi="Palatino Linotype" w:cs="Palatino Linotype"/>
          <w:i/>
          <w:color w:val="000000"/>
          <w:sz w:val="22"/>
          <w:szCs w:val="22"/>
        </w:rPr>
        <w:t xml:space="preserve"> y demás disposiciones jurídicas aplicables, las cuales se publicarán en los sitios de internet de los sujetos obligados…” </w:t>
      </w:r>
    </w:p>
    <w:p w14:paraId="6733D6DE"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AC6E9E6" w14:textId="77777777" w:rsidR="0014176B" w:rsidRDefault="0014176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p>
    <w:p w14:paraId="4C0801EF"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Artículo 175. </w:t>
      </w:r>
      <w:r>
        <w:rPr>
          <w:rFonts w:ascii="Palatino Linotype" w:eastAsia="Palatino Linotype" w:hAnsi="Palatino Linotype" w:cs="Palatino Linotype"/>
          <w:i/>
          <w:color w:val="000000"/>
          <w:sz w:val="22"/>
          <w:szCs w:val="22"/>
        </w:rPr>
        <w:t>…</w:t>
      </w:r>
    </w:p>
    <w:p w14:paraId="6A3EFE72"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ningún caso, el pago de derechos deberá exceder el</w:t>
      </w:r>
      <w:r>
        <w:rPr>
          <w:rFonts w:ascii="Palatino Linotype" w:eastAsia="Palatino Linotype" w:hAnsi="Palatino Linotype" w:cs="Palatino Linotype"/>
          <w:b/>
          <w:i/>
          <w:color w:val="000000"/>
          <w:sz w:val="22"/>
          <w:szCs w:val="22"/>
        </w:rPr>
        <w:t xml:space="preserve"> costo de reproducción de la información en el material solicitado</w:t>
      </w:r>
      <w:r>
        <w:rPr>
          <w:rFonts w:ascii="Palatino Linotype" w:eastAsia="Palatino Linotype" w:hAnsi="Palatino Linotype" w:cs="Palatino Linotype"/>
          <w:i/>
          <w:color w:val="000000"/>
          <w:sz w:val="22"/>
          <w:szCs w:val="22"/>
        </w:rPr>
        <w:t>.”</w:t>
      </w:r>
    </w:p>
    <w:p w14:paraId="0DB44657" w14:textId="77777777" w:rsidR="0014176B" w:rsidRDefault="0014176B">
      <w:pPr>
        <w:pBdr>
          <w:top w:val="nil"/>
          <w:left w:val="nil"/>
          <w:bottom w:val="nil"/>
          <w:right w:val="nil"/>
          <w:between w:val="nil"/>
        </w:pBdr>
        <w:spacing w:line="360" w:lineRule="auto"/>
        <w:ind w:left="567" w:right="-79"/>
        <w:jc w:val="both"/>
        <w:rPr>
          <w:rFonts w:ascii="Palatino Linotype" w:eastAsia="Palatino Linotype" w:hAnsi="Palatino Linotype" w:cs="Palatino Linotype"/>
          <w:color w:val="000000"/>
          <w:sz w:val="22"/>
          <w:szCs w:val="22"/>
        </w:rPr>
      </w:pPr>
    </w:p>
    <w:p w14:paraId="57FB32CC" w14:textId="77777777" w:rsidR="0014176B" w:rsidRDefault="00800E1B">
      <w:pPr>
        <w:pBdr>
          <w:top w:val="nil"/>
          <w:left w:val="nil"/>
          <w:bottom w:val="nil"/>
          <w:right w:val="nil"/>
          <w:between w:val="nil"/>
        </w:pBdr>
        <w:spacing w:line="360"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4.22</w:t>
      </w:r>
      <w:r>
        <w:rPr>
          <w:rFonts w:ascii="Palatino Linotype" w:eastAsia="Palatino Linotype" w:hAnsi="Palatino Linotype" w:cs="Palatino Linotype"/>
          <w:i/>
          <w:color w:val="000000"/>
          <w:sz w:val="22"/>
          <w:szCs w:val="22"/>
        </w:rPr>
        <w:t>.- Cuando los solicitantes requieran de los sujetos obligados la expedición de copias simples, certificadas o en cualquier otro medio físico que contenga la información solicitada, y que pueda ser reproducida por tener los elementos necesarios para ello, o bien, que por disposiciones legales aplicables puedan ser materia de su reproducción, deberán acreditar previamente el pago por concepto de derechos, productos o aprovechamientos establecidos en el Código Financiero del Estado de México y Municipios, y demás normatividad aplicable. Los términos y plazos para que los sujetos obligados cumplan con las obligaciones correspondientes, se contarán a partir del día en que se acredite debidamente el pago, ante las unidades de información.”</w:t>
      </w:r>
    </w:p>
    <w:p w14:paraId="5AD8A8FB" w14:textId="77777777" w:rsidR="0014176B" w:rsidRDefault="0014176B">
      <w:pPr>
        <w:pBdr>
          <w:top w:val="nil"/>
          <w:left w:val="nil"/>
          <w:bottom w:val="nil"/>
          <w:right w:val="nil"/>
          <w:between w:val="nil"/>
        </w:pBdr>
        <w:spacing w:line="360" w:lineRule="auto"/>
        <w:ind w:left="567" w:right="-646"/>
        <w:jc w:val="both"/>
        <w:rPr>
          <w:rFonts w:ascii="Palatino Linotype" w:eastAsia="Palatino Linotype" w:hAnsi="Palatino Linotype" w:cs="Palatino Linotype"/>
          <w:color w:val="000000"/>
        </w:rPr>
      </w:pPr>
    </w:p>
    <w:p w14:paraId="44D77C1A"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En el caso concreto, si </w:t>
      </w:r>
      <w:r>
        <w:rPr>
          <w:rFonts w:ascii="Palatino Linotype" w:eastAsia="Palatino Linotype" w:hAnsi="Palatino Linotype" w:cs="Palatino Linotype"/>
        </w:rPr>
        <w:t xml:space="preserve">bien es cierto, la información solicitada es mayor a veinte fojas, también lo es que esta fue solicitada por </w:t>
      </w:r>
      <w:r>
        <w:rPr>
          <w:rFonts w:ascii="Palatino Linotype" w:eastAsia="Palatino Linotype" w:hAnsi="Palatino Linotype" w:cs="Palatino Linotype"/>
          <w:b/>
          <w:u w:val="single"/>
        </w:rPr>
        <w:t>medios digitales</w:t>
      </w:r>
      <w:r>
        <w:rPr>
          <w:rFonts w:ascii="Palatino Linotype" w:eastAsia="Palatino Linotype" w:hAnsi="Palatino Linotype" w:cs="Palatino Linotype"/>
        </w:rPr>
        <w:t xml:space="preserve">, por lo que, para que la </w:t>
      </w:r>
      <w:r>
        <w:rPr>
          <w:rFonts w:ascii="Palatino Linotype" w:eastAsia="Palatino Linotype" w:hAnsi="Palatino Linotype" w:cs="Palatino Linotype"/>
          <w:color w:val="000000"/>
        </w:rPr>
        <w:t>información</w:t>
      </w:r>
      <w:r>
        <w:rPr>
          <w:rFonts w:ascii="Palatino Linotype" w:eastAsia="Palatino Linotype" w:hAnsi="Palatino Linotype" w:cs="Palatino Linotype"/>
        </w:rPr>
        <w:t xml:space="preserve"> sea digitalizada,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únicamente deberá pasar el oficio a través de un escáner para obtener un conjunto de datos procesables por una computadora o sistema informático; procedimiento que contrario a lo que sostiene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genera costo alguno, puesto que no se está utilizando algún material físico como papel o tinta de impresión, para su reproducción. </w:t>
      </w:r>
    </w:p>
    <w:p w14:paraId="19C0BFE6"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lastRenderedPageBreak/>
        <w:t xml:space="preserve">Por otro lado, respecto al uso de software para el </w:t>
      </w:r>
      <w:proofErr w:type="spellStart"/>
      <w:r>
        <w:rPr>
          <w:rFonts w:ascii="Palatino Linotype" w:eastAsia="Palatino Linotype" w:hAnsi="Palatino Linotype" w:cs="Palatino Linotype"/>
        </w:rPr>
        <w:t>testado</w:t>
      </w:r>
      <w:proofErr w:type="spellEnd"/>
      <w:r>
        <w:rPr>
          <w:rFonts w:ascii="Palatino Linotype" w:eastAsia="Palatino Linotype" w:hAnsi="Palatino Linotype" w:cs="Palatino Linotype"/>
        </w:rPr>
        <w:t xml:space="preserve"> de la información, es de mencionar que </w:t>
      </w:r>
      <w:r>
        <w:rPr>
          <w:rFonts w:ascii="Palatino Linotype" w:eastAsia="Palatino Linotype" w:hAnsi="Palatino Linotype" w:cs="Palatino Linotype"/>
          <w:color w:val="000000"/>
        </w:rPr>
        <w:t>existen</w:t>
      </w:r>
      <w:r>
        <w:rPr>
          <w:rFonts w:ascii="Palatino Linotype" w:eastAsia="Palatino Linotype" w:hAnsi="Palatino Linotype" w:cs="Palatino Linotype"/>
        </w:rPr>
        <w:t xml:space="preserve"> editores gratuitos que permiten realizar las ediciones a los documentos escaneados, que si bien, pudiesen contar con funciones limitadas, también lo es que cumplen con el objetivo deseado; suprimir la información susceptible de ser clasificada. </w:t>
      </w:r>
    </w:p>
    <w:p w14:paraId="128E94DA" w14:textId="77777777" w:rsidR="0014176B" w:rsidRDefault="0014176B">
      <w:pPr>
        <w:spacing w:line="360" w:lineRule="auto"/>
        <w:ind w:right="-646"/>
        <w:jc w:val="both"/>
        <w:rPr>
          <w:rFonts w:ascii="Palatino Linotype" w:eastAsia="Palatino Linotype" w:hAnsi="Palatino Linotype" w:cs="Palatino Linotype"/>
        </w:rPr>
      </w:pPr>
    </w:p>
    <w:p w14:paraId="02F12ED0"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 xml:space="preserve">Respecto al segundo elemento; </w:t>
      </w:r>
      <w:r>
        <w:rPr>
          <w:rFonts w:ascii="Palatino Linotype" w:eastAsia="Palatino Linotype" w:hAnsi="Palatino Linotype" w:cs="Palatino Linotype"/>
          <w:color w:val="000000"/>
        </w:rPr>
        <w:t xml:space="preserve">no se estima por parte de este Organismo Garante que el </w:t>
      </w:r>
      <w:r>
        <w:rPr>
          <w:rFonts w:ascii="Palatino Linotype" w:eastAsia="Palatino Linotype" w:hAnsi="Palatino Linotype" w:cs="Palatino Linotype"/>
        </w:rPr>
        <w:t>presente</w:t>
      </w:r>
      <w:r>
        <w:rPr>
          <w:rFonts w:ascii="Palatino Linotype" w:eastAsia="Palatino Linotype" w:hAnsi="Palatino Linotype" w:cs="Palatino Linotype"/>
          <w:color w:val="000000"/>
        </w:rPr>
        <w:t xml:space="preserve"> caso actualice alguno de los supuestos previstos en la norma previamente citados, toda vez que la persona solicitante requirió la información a través del sistema SAIMEX, como se advierte en el antecedente 1 de la presente resolución, por lo tanto no se le está requiriendo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que expida copias simples, certificadas o que reproduzca la información que ya asumió poseer, en cualquier otro medio físico, sino que proporcione la información de manera electrónica, en otras palabras, con la finalidad de satisfacer la solicitud, </w:t>
      </w:r>
      <w:r>
        <w:rPr>
          <w:rFonts w:ascii="Palatino Linotype" w:eastAsia="Palatino Linotype" w:hAnsi="Palatino Linotype" w:cs="Palatino Linotype"/>
          <w:b/>
          <w:color w:val="000000"/>
        </w:rPr>
        <w:t>no es necesario que el Sujeto Obligado realice una reproducción física de la información que conserva en sus archivos,</w:t>
      </w:r>
      <w:r>
        <w:rPr>
          <w:rFonts w:ascii="Palatino Linotype" w:eastAsia="Palatino Linotype" w:hAnsi="Palatino Linotype" w:cs="Palatino Linotype"/>
          <w:color w:val="000000"/>
        </w:rPr>
        <w:t xml:space="preserve"> más bien implicaría realizar una digitalización o escaneo de aquellos documentos que por su naturaleza pudieran encontrarse en un medio físico.</w:t>
      </w:r>
    </w:p>
    <w:p w14:paraId="799D9D34"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2EA4C436"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Siendo necesario precisar que la digitalización o escaneo de la información, no conlleva la utilización de materiales que le generen un costo, como podría serlo por ejemplo </w:t>
      </w:r>
      <w:r>
        <w:rPr>
          <w:rFonts w:ascii="Palatino Linotype" w:eastAsia="Palatino Linotype" w:hAnsi="Palatino Linotype" w:cs="Palatino Linotype"/>
        </w:rPr>
        <w:t>hojas</w:t>
      </w:r>
      <w:r>
        <w:rPr>
          <w:rFonts w:ascii="Palatino Linotype" w:eastAsia="Palatino Linotype" w:hAnsi="Palatino Linotype" w:cs="Palatino Linotype"/>
          <w:color w:val="000000"/>
        </w:rPr>
        <w:t xml:space="preserve"> de papel para la emisión de copias; de igual manera, tampoco se actualiza el cobro por certificación, ya que la parte solicitante no requirió la entrega en dicha modalidad, así tampoco se genera un gasto por el envío de la información, ya que una de la finalidades de la utilización del sistema SAIMEX es evitar la generación de gastos tanto para los solicitantes como para los Sujetos Obligados, pues se trata de un sistema </w:t>
      </w:r>
      <w:r>
        <w:rPr>
          <w:rFonts w:ascii="Palatino Linotype" w:eastAsia="Palatino Linotype" w:hAnsi="Palatino Linotype" w:cs="Palatino Linotype"/>
          <w:color w:val="000000"/>
        </w:rPr>
        <w:lastRenderedPageBreak/>
        <w:t>electrónico que para acceder al mismo no necesita recurso alguno, sino solamente la conexión a un sistema de internet.</w:t>
      </w:r>
    </w:p>
    <w:p w14:paraId="020820D1"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0CDF9333"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Aunado a lo anterior, la exposición de motivos de la Ley de Transparencia y Acceso a la Información Pública del Estado de México y Municipios señala que se adoptará una ruta regida por el principio de progresividad en la materia, que implique que haya una plena interconectividad entre las plataformas estatales existentes, las cuales deberán acoplarse a la plataforma nacional, lo que implica, en un primer momento utilizar la información digitalizada por la propia función del gobierno y en datos abiertos, a su vez que en el artículo 24 fracción XXIII dispone como obligación de los entes públicos, la de procurar la digitalización de toda la información pública en su poder, mientras que diverso 175 prevé que la información que deban publicar los Sujetos Obligados en términos de la Ley o deba ser generada de manera electrónica, según lo dispongan las disposiciones legales o administrativas no podrán tener </w:t>
      </w:r>
      <w:r>
        <w:rPr>
          <w:rFonts w:ascii="Palatino Linotype" w:eastAsia="Palatino Linotype" w:hAnsi="Palatino Linotype" w:cs="Palatino Linotype"/>
          <w:b/>
          <w:color w:val="000000"/>
        </w:rPr>
        <w:t xml:space="preserve">ningún costo, </w:t>
      </w:r>
      <w:r>
        <w:rPr>
          <w:rFonts w:ascii="Palatino Linotype" w:eastAsia="Palatino Linotype" w:hAnsi="Palatino Linotype" w:cs="Palatino Linotype"/>
          <w:color w:val="000000"/>
        </w:rPr>
        <w:t>incluyendo aquella que se hubiera digitalizado previamente por cualquier motivo, y aún menos en aquellos casos en que la modalidad de entrega sea por medio de la plataforma o vía electrónica.</w:t>
      </w:r>
    </w:p>
    <w:p w14:paraId="781EB184" w14:textId="77777777" w:rsidR="0014176B" w:rsidRDefault="0014176B">
      <w:pPr>
        <w:spacing w:line="360" w:lineRule="auto"/>
        <w:ind w:right="-646"/>
        <w:jc w:val="both"/>
        <w:rPr>
          <w:rFonts w:ascii="Palatino Linotype" w:eastAsia="Palatino Linotype" w:hAnsi="Palatino Linotype" w:cs="Palatino Linotype"/>
        </w:rPr>
      </w:pPr>
    </w:p>
    <w:p w14:paraId="4C8D094F"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Por lo que no existe presupuesto jurídico que autorice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requerir un pago para entregar la información vía SAIMEX, debido a que dicho sistema fue creado para facilitar el registro y atención de las solicitudes de información, y es su obligación trasladar la información de un soporte físico a uno electrónico y cuidar que los medios electrónicos o impresos en los que conste tanto información pública, como confidencial y reservada se entreguen en versión pública en los casos que eso resulte necesario.</w:t>
      </w:r>
    </w:p>
    <w:p w14:paraId="59AAE9B3"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Pensar lo contrario, sería tanto como reconocer que la utilización del sistema SAIMEX, transgrede o limita el derecho de acceso a la información pública de los </w:t>
      </w:r>
      <w:r>
        <w:rPr>
          <w:rFonts w:ascii="Palatino Linotype" w:eastAsia="Palatino Linotype" w:hAnsi="Palatino Linotype" w:cs="Palatino Linotype"/>
          <w:color w:val="000000"/>
        </w:rPr>
        <w:lastRenderedPageBreak/>
        <w:t>solicitantes, ya que de requerir la entrega de la información a la cual desean acceder a través del mismo, implica la obligación de pagar por la atención a su derecho, cuando se trate de información que no se encuentre contemplada en las obligaciones de transparencia comunes y específicas para los Sujetos Obligados, ya que respecto de cierta información no existe la obligación de tenerla digitalizada.</w:t>
      </w:r>
    </w:p>
    <w:p w14:paraId="0CD4553E"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48D6DD80"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Bajo esta óptica, el derecho del particular de acceder a los documentos que obran en posesión del Sujeto</w:t>
      </w:r>
      <w:r>
        <w:rPr>
          <w:rFonts w:ascii="Palatino Linotype" w:eastAsia="Palatino Linotype" w:hAnsi="Palatino Linotype" w:cs="Palatino Linotype"/>
          <w:b/>
          <w:color w:val="000000"/>
        </w:rPr>
        <w:t xml:space="preserve"> Obligado </w:t>
      </w:r>
      <w:r>
        <w:rPr>
          <w:rFonts w:ascii="Palatino Linotype" w:eastAsia="Palatino Linotype" w:hAnsi="Palatino Linotype" w:cs="Palatino Linotype"/>
          <w:color w:val="000000"/>
        </w:rPr>
        <w:t xml:space="preserve">se encuentra limitado, en virtud de que no le fue proporcionada la información solicitada, incumpliendo así lo previsto en el artículo 4 de la Ley de la Materia.  </w:t>
      </w:r>
    </w:p>
    <w:p w14:paraId="75FC5741"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6CAC5E0F"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Bajo estos argumentos, este Organismo Garante estima procedente ordenar la entrega del soporte documental solicitado mediante el sistema SAIMEX, sin costo para la solicitante, en los términos del considerando siguiente.</w:t>
      </w:r>
    </w:p>
    <w:p w14:paraId="2BA1529F"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66EB6A43"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No pasando desapercibido que todo lo anteriormente enunciado es aplicable a cualquier tipo de solicitud de información que sea presentada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pero además subrayando que del caso concreto dada su propia y especial naturaleza, corresponde a soporte documental que se colige ya se cuenta con ella de manera digital, toda vez que se está solicitando un </w:t>
      </w:r>
      <w:r>
        <w:rPr>
          <w:rFonts w:ascii="Palatino Linotype" w:eastAsia="Palatino Linotype" w:hAnsi="Palatino Linotype" w:cs="Palatino Linotype"/>
          <w:b/>
          <w:color w:val="000000"/>
          <w:u w:val="single"/>
        </w:rPr>
        <w:t>expediente electrónico</w:t>
      </w:r>
      <w:r>
        <w:rPr>
          <w:rFonts w:ascii="Palatino Linotype" w:eastAsia="Palatino Linotype" w:hAnsi="Palatino Linotype" w:cs="Palatino Linotype"/>
          <w:color w:val="000000"/>
          <w:u w:val="single"/>
        </w:rPr>
        <w:t>,</w:t>
      </w:r>
      <w:r>
        <w:rPr>
          <w:rFonts w:ascii="Palatino Linotype" w:eastAsia="Palatino Linotype" w:hAnsi="Palatino Linotype" w:cs="Palatino Linotype"/>
          <w:color w:val="000000"/>
        </w:rPr>
        <w:t xml:space="preserve"> que como su nombre lo indica, ya está digitalizado por sustanciarse en una plataforma digital como lo es el SAIMEX administrada por este Instituto.</w:t>
      </w:r>
    </w:p>
    <w:p w14:paraId="705877A2"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0CF28641"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 xml:space="preserve">En la inteligencia que en </w:t>
      </w:r>
      <w:r>
        <w:rPr>
          <w:rFonts w:ascii="Palatino Linotype" w:eastAsia="Palatino Linotype" w:hAnsi="Palatino Linotype" w:cs="Palatino Linotype"/>
          <w:b/>
        </w:rPr>
        <w:t>expediente electrónico</w:t>
      </w:r>
      <w:r>
        <w:rPr>
          <w:rFonts w:ascii="Palatino Linotype" w:eastAsia="Palatino Linotype" w:hAnsi="Palatino Linotype" w:cs="Palatino Linotype"/>
        </w:rPr>
        <w:t xml:space="preserve"> es un conjunto de documentos y datos digitales organizados para gestionar, almacenar y acceder a información de manera </w:t>
      </w:r>
      <w:r>
        <w:rPr>
          <w:rFonts w:ascii="Palatino Linotype" w:eastAsia="Palatino Linotype" w:hAnsi="Palatino Linotype" w:cs="Palatino Linotype"/>
          <w:color w:val="000000"/>
        </w:rPr>
        <w:t>estructurada</w:t>
      </w:r>
      <w:r>
        <w:rPr>
          <w:rFonts w:ascii="Palatino Linotype" w:eastAsia="Palatino Linotype" w:hAnsi="Palatino Linotype" w:cs="Palatino Linotype"/>
        </w:rPr>
        <w:t xml:space="preserve"> dentro de un sistema electrónico, como lo es el SAIMEX que sustituye al </w:t>
      </w:r>
      <w:r>
        <w:rPr>
          <w:rFonts w:ascii="Palatino Linotype" w:eastAsia="Palatino Linotype" w:hAnsi="Palatino Linotype" w:cs="Palatino Linotype"/>
        </w:rPr>
        <w:lastRenderedPageBreak/>
        <w:t>expediente físico en papel y permite un manejo más ágil y seguro de la información, como lo es en el caso concreto para el ejercicio y la tutela de los derechos de acceso a la información y protección de datos personales.</w:t>
      </w:r>
    </w:p>
    <w:p w14:paraId="4F151D97" w14:textId="77777777" w:rsidR="0014176B" w:rsidRDefault="0014176B">
      <w:pPr>
        <w:spacing w:line="360" w:lineRule="auto"/>
        <w:ind w:left="360" w:right="-646"/>
        <w:jc w:val="both"/>
        <w:rPr>
          <w:rFonts w:ascii="Palatino Linotype" w:eastAsia="Palatino Linotype" w:hAnsi="Palatino Linotype" w:cs="Palatino Linotype"/>
        </w:rPr>
      </w:pPr>
    </w:p>
    <w:p w14:paraId="781D099C"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Derivado de lo expuesto, es evidente que la entrega de la información no implica la generación de documentos para digitalizarlos posteriormente y entregarlos por la vía solicitada, sino más bien, localizar los documentos y remitirlos a la persona solicitante.</w:t>
      </w:r>
    </w:p>
    <w:p w14:paraId="0D06AB1F" w14:textId="77777777" w:rsidR="0014176B" w:rsidRDefault="0014176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53DF8B11"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Con base en lo anterior, en observancia del principio de máxima publicidad, se estima </w:t>
      </w:r>
      <w:r>
        <w:rPr>
          <w:rFonts w:ascii="Palatino Linotype" w:eastAsia="Palatino Linotype" w:hAnsi="Palatino Linotype" w:cs="Palatino Linotype"/>
        </w:rPr>
        <w:t xml:space="preserve">procedente </w:t>
      </w:r>
      <w:r>
        <w:rPr>
          <w:rFonts w:ascii="Palatino Linotype" w:eastAsia="Palatino Linotype" w:hAnsi="Palatino Linotype" w:cs="Palatino Linotype"/>
          <w:b/>
        </w:rPr>
        <w:t>REVOCAR</w:t>
      </w:r>
      <w:r>
        <w:rPr>
          <w:rFonts w:ascii="Palatino Linotype" w:eastAsia="Palatino Linotype" w:hAnsi="Palatino Linotype" w:cs="Palatino Linotype"/>
        </w:rPr>
        <w:t xml:space="preserve"> las respuestas del </w:t>
      </w:r>
      <w:r>
        <w:rPr>
          <w:rFonts w:ascii="Palatino Linotype" w:eastAsia="Palatino Linotype" w:hAnsi="Palatino Linotype" w:cs="Palatino Linotype"/>
          <w:b/>
        </w:rPr>
        <w:t>Sujeto Obligado en el Recurso de Revisión 03173/INFOEM/IP/RR/2024 y  ordenar la entrega</w:t>
      </w:r>
      <w:r>
        <w:rPr>
          <w:rFonts w:ascii="Palatino Linotype" w:eastAsia="Palatino Linotype" w:hAnsi="Palatino Linotype" w:cs="Palatino Linotype"/>
          <w:color w:val="000000"/>
        </w:rPr>
        <w:t xml:space="preserve"> de t</w:t>
      </w:r>
      <w:r>
        <w:rPr>
          <w:rFonts w:ascii="Palatino Linotype" w:eastAsia="Palatino Linotype" w:hAnsi="Palatino Linotype" w:cs="Palatino Linotype"/>
        </w:rPr>
        <w:t>odos los documentos relacionados al: Recurso de Revisión número 02043/INFOEM/IP/RR/2021, derivados de la solicitud número 00300/TOLUCA/IP/2021</w:t>
      </w:r>
      <w:r>
        <w:rPr>
          <w:rFonts w:ascii="Palatino Linotype" w:eastAsia="Palatino Linotype" w:hAnsi="Palatino Linotype" w:cs="Palatino Linotype"/>
          <w:b/>
        </w:rPr>
        <w:t>, como lo son de manera enunciativa mas no limitativa: respuesta, documentos enviados y recibidos entre las Unidades Administrativas y la Unidad de Transparencia, formato de recurso de revisión, Informe Justificado , soporte documental entregado en cumplimiento al recurso de revisión, así como la captura de pantalla de SAIMEX</w:t>
      </w:r>
      <w:r>
        <w:rPr>
          <w:rFonts w:ascii="Palatino Linotype" w:eastAsia="Palatino Linotype" w:hAnsi="Palatino Linotype" w:cs="Palatino Linotype"/>
        </w:rPr>
        <w:t>, respecto al seguimiento de la solicitud de la información de referencia.</w:t>
      </w:r>
    </w:p>
    <w:p w14:paraId="41E6FDF7"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55A9D10F"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 xml:space="preserve">No pasando por desapercibido que de la captura de pantalla solicitada, si bien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puede generar y entregar en un ejercicio de máxima publicidad; también lo es que ciertamente a ese rubro no existe fuente obligacional que lo constriña a contar con una captura de pantalla en los términos específicos que requiere el particular.</w:t>
      </w:r>
    </w:p>
    <w:p w14:paraId="6EC60E9A" w14:textId="77777777" w:rsidR="0014176B" w:rsidRDefault="0014176B">
      <w:pPr>
        <w:pBdr>
          <w:top w:val="nil"/>
          <w:left w:val="nil"/>
          <w:bottom w:val="nil"/>
          <w:right w:val="nil"/>
          <w:between w:val="nil"/>
        </w:pBdr>
        <w:ind w:left="720" w:right="-646"/>
        <w:rPr>
          <w:rFonts w:ascii="Palatino Linotype" w:eastAsia="Palatino Linotype" w:hAnsi="Palatino Linotype" w:cs="Palatino Linotype"/>
          <w:color w:val="000000"/>
        </w:rPr>
      </w:pPr>
    </w:p>
    <w:p w14:paraId="3F2B2833"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lastRenderedPageBreak/>
        <w:t xml:space="preserve">Al respecto, es de explorado derecho que el acceso a la información pública se satisface con la entrega de soporte documental, generado, poseído o administrado por los sujetos obligados en ejercicio de sus funciones de derecho público, previo a la interposición de una solicitud de información, sin que cuenten con la obligación de generar nuevos documentos a efecto de colmar las pretensiones particulares de los solicitantes, dicho de otra forma, a generar documentos </w:t>
      </w:r>
      <w:r>
        <w:rPr>
          <w:rFonts w:ascii="Palatino Linotype" w:eastAsia="Palatino Linotype" w:hAnsi="Palatino Linotype" w:cs="Palatino Linotype"/>
          <w:i/>
        </w:rPr>
        <w:t>ad hoc</w:t>
      </w:r>
      <w:r>
        <w:rPr>
          <w:rFonts w:ascii="Palatino Linotype" w:eastAsia="Palatino Linotype" w:hAnsi="Palatino Linotype" w:cs="Palatino Linotype"/>
        </w:rPr>
        <w:t>.</w:t>
      </w:r>
    </w:p>
    <w:p w14:paraId="75B208E9" w14:textId="77777777" w:rsidR="0014176B" w:rsidRDefault="0014176B">
      <w:pPr>
        <w:spacing w:line="360" w:lineRule="auto"/>
        <w:ind w:right="-646"/>
        <w:jc w:val="both"/>
        <w:rPr>
          <w:rFonts w:ascii="Palatino Linotype" w:eastAsia="Palatino Linotype" w:hAnsi="Palatino Linotype" w:cs="Palatino Linotype"/>
        </w:rPr>
      </w:pPr>
    </w:p>
    <w:p w14:paraId="4A0CD16C"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 xml:space="preserve">Como apoyo a lo anterior, es aplicable por analogía el </w:t>
      </w:r>
      <w:r>
        <w:rPr>
          <w:rFonts w:ascii="Palatino Linotype" w:eastAsia="Palatino Linotype" w:hAnsi="Palatino Linotype" w:cs="Palatino Linotype"/>
          <w:b/>
        </w:rPr>
        <w:t>Criterio 03/17</w:t>
      </w:r>
      <w:r>
        <w:rPr>
          <w:rFonts w:ascii="Palatino Linotype" w:eastAsia="Palatino Linotype" w:hAnsi="Palatino Linotype" w:cs="Palatino Linotype"/>
        </w:rPr>
        <w:t>, emitido por el Pleno del Instituto Nacional de Transparencia, Acceso a la Información y Protección de Datos Personales (INAI), que a la letra dice:</w:t>
      </w:r>
    </w:p>
    <w:p w14:paraId="68CB02F5" w14:textId="77777777" w:rsidR="0014176B" w:rsidRDefault="00800E1B">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F3D7254" w14:textId="77777777" w:rsidR="0014176B" w:rsidRDefault="0014176B">
      <w:pPr>
        <w:pBdr>
          <w:top w:val="nil"/>
          <w:left w:val="nil"/>
          <w:bottom w:val="nil"/>
          <w:right w:val="nil"/>
          <w:between w:val="nil"/>
        </w:pBdr>
        <w:spacing w:line="360" w:lineRule="auto"/>
        <w:ind w:left="567" w:right="-646"/>
        <w:jc w:val="both"/>
        <w:rPr>
          <w:rFonts w:ascii="Palatino Linotype" w:eastAsia="Palatino Linotype" w:hAnsi="Palatino Linotype" w:cs="Palatino Linotype"/>
          <w:i/>
          <w:color w:val="000000"/>
        </w:rPr>
      </w:pPr>
    </w:p>
    <w:p w14:paraId="0357EDFD" w14:textId="77777777" w:rsidR="0014176B" w:rsidRPr="00B425AA" w:rsidRDefault="00B425AA">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Por lo cual </w:t>
      </w:r>
      <w:r w:rsidRPr="00B425AA">
        <w:rPr>
          <w:rFonts w:ascii="Palatino Linotype" w:eastAsia="Palatino Linotype" w:hAnsi="Palatino Linotype" w:cs="Palatino Linotype"/>
          <w:b/>
          <w:color w:val="000000"/>
        </w:rPr>
        <w:t>no es dable ordenar</w:t>
      </w:r>
      <w:r>
        <w:rPr>
          <w:rFonts w:ascii="Palatino Linotype" w:eastAsia="Palatino Linotype" w:hAnsi="Palatino Linotype" w:cs="Palatino Linotype"/>
          <w:color w:val="000000"/>
        </w:rPr>
        <w:t xml:space="preserve"> </w:t>
      </w:r>
      <w:r w:rsidRPr="00B425AA">
        <w:rPr>
          <w:rFonts w:ascii="Palatino Linotype" w:eastAsia="Palatino Linotype" w:hAnsi="Palatino Linotype" w:cs="Palatino Linotype"/>
          <w:b/>
          <w:color w:val="000000"/>
        </w:rPr>
        <w:t>el rubro en comento</w:t>
      </w:r>
      <w:r>
        <w:rPr>
          <w:rFonts w:ascii="Palatino Linotype" w:eastAsia="Palatino Linotype" w:hAnsi="Palatino Linotype" w:cs="Palatino Linotype"/>
          <w:color w:val="000000"/>
        </w:rPr>
        <w:t>, pues no se puede ordenarle a que la genere por ser  el derecho de acceso a la información un derecho que se colma con la entrega de documentos que hayan sido generados, poseídos o administrados en ejercicio de sus funciones de derecho público, previo a la interposición de una solicitud de información.</w:t>
      </w:r>
    </w:p>
    <w:p w14:paraId="5F51C4D8" w14:textId="77777777" w:rsidR="00B425AA" w:rsidRDefault="00B425AA" w:rsidP="00B425AA">
      <w:pPr>
        <w:spacing w:line="360" w:lineRule="auto"/>
        <w:ind w:right="-646"/>
        <w:jc w:val="both"/>
      </w:pPr>
    </w:p>
    <w:p w14:paraId="5EF98CAD"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lastRenderedPageBreak/>
        <w:t xml:space="preserve">Así las cosas, se concluye, que la información generada, obtenida, adquirida, transmitida, </w:t>
      </w:r>
      <w:r>
        <w:rPr>
          <w:rFonts w:ascii="Palatino Linotype" w:eastAsia="Palatino Linotype" w:hAnsi="Palatino Linotype" w:cs="Palatino Linotype"/>
          <w:color w:val="000000"/>
        </w:rPr>
        <w:t>administrada</w:t>
      </w:r>
      <w:r>
        <w:rPr>
          <w:rFonts w:ascii="Palatino Linotype" w:eastAsia="Palatino Linotype" w:hAnsi="Palatino Linotype" w:cs="Palatino Linotype"/>
        </w:rPr>
        <w:t xml:space="preserve"> o en posesión de los Sujetos Obligados, será accesible de manera permanente a cualquier persona, privilegiando el principio de máxima publicidad de la información.</w:t>
      </w:r>
    </w:p>
    <w:p w14:paraId="2696AC81" w14:textId="77777777" w:rsidR="0014176B" w:rsidRDefault="0014176B">
      <w:pPr>
        <w:pBdr>
          <w:top w:val="nil"/>
          <w:left w:val="nil"/>
          <w:bottom w:val="nil"/>
          <w:right w:val="nil"/>
          <w:between w:val="nil"/>
        </w:pBdr>
        <w:spacing w:line="360" w:lineRule="auto"/>
        <w:ind w:left="502" w:right="-646"/>
        <w:jc w:val="both"/>
        <w:rPr>
          <w:rFonts w:ascii="Palatino Linotype" w:eastAsia="Palatino Linotype" w:hAnsi="Palatino Linotype" w:cs="Palatino Linotype"/>
          <w:i/>
          <w:color w:val="000000"/>
        </w:rPr>
      </w:pPr>
    </w:p>
    <w:p w14:paraId="7D649AAA"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 efectuar cálculos o practicar investigaciones; tal y como se señala a continuación: </w:t>
      </w:r>
    </w:p>
    <w:p w14:paraId="178E68BE" w14:textId="77777777" w:rsidR="0014176B" w:rsidRDefault="00800E1B">
      <w:pPr>
        <w:pBdr>
          <w:top w:val="nil"/>
          <w:left w:val="nil"/>
          <w:bottom w:val="nil"/>
          <w:right w:val="nil"/>
          <w:between w:val="nil"/>
        </w:pBdr>
        <w:ind w:left="50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14:paraId="4D54F399" w14:textId="77777777" w:rsidR="0014176B" w:rsidRDefault="0014176B">
      <w:pPr>
        <w:pBdr>
          <w:top w:val="nil"/>
          <w:left w:val="nil"/>
          <w:bottom w:val="nil"/>
          <w:right w:val="nil"/>
          <w:between w:val="nil"/>
        </w:pBdr>
        <w:ind w:left="505" w:right="62"/>
        <w:jc w:val="both"/>
        <w:rPr>
          <w:rFonts w:ascii="Palatino Linotype" w:eastAsia="Palatino Linotype" w:hAnsi="Palatino Linotype" w:cs="Palatino Linotype"/>
          <w:i/>
          <w:color w:val="000000"/>
          <w:sz w:val="22"/>
          <w:szCs w:val="22"/>
        </w:rPr>
      </w:pPr>
    </w:p>
    <w:p w14:paraId="4F1225B9" w14:textId="77777777" w:rsidR="0014176B" w:rsidRDefault="0014176B">
      <w:pPr>
        <w:pBdr>
          <w:top w:val="nil"/>
          <w:left w:val="nil"/>
          <w:bottom w:val="nil"/>
          <w:right w:val="nil"/>
          <w:between w:val="nil"/>
        </w:pBdr>
        <w:ind w:left="505" w:right="62"/>
        <w:jc w:val="both"/>
        <w:rPr>
          <w:rFonts w:ascii="Palatino Linotype" w:eastAsia="Palatino Linotype" w:hAnsi="Palatino Linotype" w:cs="Palatino Linotype"/>
          <w:b/>
          <w:i/>
          <w:color w:val="000000"/>
          <w:sz w:val="22"/>
          <w:szCs w:val="22"/>
          <w:u w:val="single"/>
        </w:rPr>
      </w:pPr>
    </w:p>
    <w:p w14:paraId="063E0EB1" w14:textId="77777777" w:rsidR="0014176B" w:rsidRDefault="00800E1B">
      <w:pPr>
        <w:pBdr>
          <w:top w:val="nil"/>
          <w:left w:val="nil"/>
          <w:bottom w:val="nil"/>
          <w:right w:val="nil"/>
          <w:between w:val="nil"/>
        </w:pBdr>
        <w:ind w:left="50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eastAsia="Palatino Linotype" w:hAnsi="Palatino Linotype" w:cs="Palatino Linotype"/>
          <w:i/>
          <w:color w:val="000000"/>
          <w:sz w:val="22"/>
          <w:szCs w:val="22"/>
        </w:rPr>
        <w:t>”</w:t>
      </w:r>
    </w:p>
    <w:p w14:paraId="15C63FAB" w14:textId="77777777" w:rsidR="0014176B" w:rsidRDefault="00800E1B">
      <w:pPr>
        <w:pBdr>
          <w:top w:val="nil"/>
          <w:left w:val="nil"/>
          <w:bottom w:val="nil"/>
          <w:right w:val="nil"/>
          <w:between w:val="nil"/>
        </w:pBdr>
        <w:spacing w:line="360" w:lineRule="auto"/>
        <w:ind w:left="505"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718552C4" w14:textId="77777777" w:rsidR="0014176B" w:rsidRDefault="0014176B">
      <w:pPr>
        <w:pBdr>
          <w:top w:val="nil"/>
          <w:left w:val="nil"/>
          <w:bottom w:val="nil"/>
          <w:right w:val="nil"/>
          <w:between w:val="nil"/>
        </w:pBdr>
        <w:spacing w:line="360" w:lineRule="auto"/>
        <w:ind w:left="505" w:right="-646"/>
        <w:jc w:val="both"/>
        <w:rPr>
          <w:rFonts w:ascii="Palatino Linotype" w:eastAsia="Palatino Linotype" w:hAnsi="Palatino Linotype" w:cs="Palatino Linotype"/>
          <w:color w:val="000000"/>
        </w:rPr>
      </w:pPr>
    </w:p>
    <w:p w14:paraId="22C52CA1" w14:textId="77777777" w:rsidR="0014176B" w:rsidRPr="00B425AA"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En síntesis, el derecho de acceso a la información pública se satisface en aquellos casos </w:t>
      </w:r>
      <w:r>
        <w:rPr>
          <w:rFonts w:ascii="Palatino Linotype" w:eastAsia="Palatino Linotype" w:hAnsi="Palatino Linotype" w:cs="Palatino Linotype"/>
        </w:rPr>
        <w:t>en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que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se</w:t>
      </w:r>
      <w:r>
        <w:rPr>
          <w:rFonts w:ascii="Palatino Linotype" w:eastAsia="Palatino Linotype" w:hAnsi="Palatino Linotype" w:cs="Palatino Linotype"/>
          <w:color w:val="000000"/>
        </w:rPr>
        <w:t xml:space="preserve"> entregue el soporte documental en que conste la información pública. Asimismo, el artículo 24, de la Ley de la materia, dispone que los Sujetos Obligados sólo proporcionarán la información pública que </w:t>
      </w:r>
      <w:r>
        <w:rPr>
          <w:rFonts w:ascii="Palatino Linotype" w:eastAsia="Palatino Linotype" w:hAnsi="Palatino Linotype" w:cs="Palatino Linotype"/>
        </w:rPr>
        <w:t>generen</w:t>
      </w:r>
      <w:r>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w:t>
      </w:r>
      <w:r>
        <w:rPr>
          <w:rFonts w:ascii="Palatino Linotype" w:eastAsia="Palatino Linotype" w:hAnsi="Palatino Linotype" w:cs="Palatino Linotype"/>
          <w:color w:val="000000"/>
        </w:rPr>
        <w:lastRenderedPageBreak/>
        <w:t>de cualquier persona, lo que implica que es deber de los Sujetos Obligados, garantizar el derecho de acceso a la información pública.</w:t>
      </w:r>
    </w:p>
    <w:p w14:paraId="014DE70C" w14:textId="77777777" w:rsidR="00B425AA" w:rsidRDefault="00B425AA" w:rsidP="00B425AA">
      <w:pPr>
        <w:spacing w:line="360" w:lineRule="auto"/>
        <w:ind w:right="-646"/>
        <w:jc w:val="both"/>
      </w:pPr>
    </w:p>
    <w:p w14:paraId="24A56092" w14:textId="77777777" w:rsidR="0014176B" w:rsidRDefault="00800E1B">
      <w:pPr>
        <w:keepNext/>
        <w:keepLines/>
        <w:spacing w:line="360" w:lineRule="auto"/>
        <w:ind w:right="-64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77769721" w14:textId="77777777" w:rsidR="0014176B" w:rsidRDefault="00800E1B">
      <w:pPr>
        <w:keepNext/>
        <w:keepLines/>
        <w:numPr>
          <w:ilvl w:val="0"/>
          <w:numId w:val="6"/>
        </w:numPr>
        <w:tabs>
          <w:tab w:val="left" w:pos="284"/>
        </w:tabs>
        <w:spacing w:line="360" w:lineRule="auto"/>
        <w:ind w:left="0" w:right="-646" w:firstLine="0"/>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14:paraId="1B90CD61"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rPr>
        <w:t>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pueden obran datos personales susceptibles de protegerse, como lo es de manera enunciativa </w:t>
      </w:r>
      <w:r>
        <w:rPr>
          <w:rFonts w:ascii="Palatino Linotype" w:eastAsia="Palatino Linotype" w:hAnsi="Palatino Linotype" w:cs="Palatino Linotype"/>
        </w:rPr>
        <w:t>más</w:t>
      </w:r>
      <w:r>
        <w:rPr>
          <w:rFonts w:ascii="Palatino Linotype" w:eastAsia="Palatino Linotype" w:hAnsi="Palatino Linotype" w:cs="Palatino Linotype"/>
          <w:color w:val="000000"/>
        </w:rPr>
        <w:t xml:space="preserve"> no limitativa, nombres de los particulares solicitantes, la cual es susceptible de clasificarse como confidencial,  por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deberá</w:t>
      </w:r>
      <w:r>
        <w:rPr>
          <w:rFonts w:ascii="Palatino Linotype" w:eastAsia="Palatino Linotype" w:hAnsi="Palatino Linotype" w:cs="Palatino Linotype"/>
          <w:color w:val="000000"/>
        </w:rPr>
        <w:t xml:space="preserve"> de hacer la adecuada versión pública, protegiendo los datos que no son susceptibles de ser proporcionados. </w:t>
      </w:r>
    </w:p>
    <w:p w14:paraId="1D23D230" w14:textId="77777777" w:rsidR="0014176B" w:rsidRDefault="0014176B">
      <w:pPr>
        <w:tabs>
          <w:tab w:val="left" w:pos="0"/>
          <w:tab w:val="left" w:pos="284"/>
        </w:tabs>
        <w:spacing w:line="360" w:lineRule="auto"/>
        <w:ind w:right="-646"/>
        <w:jc w:val="both"/>
        <w:rPr>
          <w:rFonts w:ascii="Palatino Linotype" w:eastAsia="Palatino Linotype" w:hAnsi="Palatino Linotype" w:cs="Palatino Linotype"/>
          <w:highlight w:val="yellow"/>
        </w:rPr>
      </w:pPr>
    </w:p>
    <w:p w14:paraId="02434E03"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B148302" w14:textId="77777777" w:rsidR="0014176B" w:rsidRDefault="0014176B">
      <w:pPr>
        <w:tabs>
          <w:tab w:val="left" w:pos="284"/>
        </w:tabs>
        <w:spacing w:line="360" w:lineRule="auto"/>
        <w:ind w:right="-646"/>
        <w:jc w:val="both"/>
        <w:rPr>
          <w:rFonts w:ascii="Palatino Linotype" w:eastAsia="Palatino Linotype" w:hAnsi="Palatino Linotype" w:cs="Palatino Linotype"/>
          <w:color w:val="000000"/>
        </w:rPr>
      </w:pPr>
    </w:p>
    <w:tbl>
      <w:tblPr>
        <w:tblStyle w:val="a"/>
        <w:tblW w:w="948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60"/>
        <w:gridCol w:w="6720"/>
      </w:tblGrid>
      <w:tr w:rsidR="0014176B" w14:paraId="0BC2FCAE" w14:textId="77777777">
        <w:tc>
          <w:tcPr>
            <w:tcW w:w="2760" w:type="dxa"/>
          </w:tcPr>
          <w:p w14:paraId="0CF2CD3B" w14:textId="77777777" w:rsidR="0014176B" w:rsidRDefault="00800E1B">
            <w:pPr>
              <w:tabs>
                <w:tab w:val="left" w:pos="284"/>
              </w:tabs>
              <w:spacing w:line="360" w:lineRule="auto"/>
              <w:ind w:right="-106"/>
              <w:rPr>
                <w:rFonts w:ascii="Palatino Linotype" w:eastAsia="Palatino Linotype" w:hAnsi="Palatino Linotype" w:cs="Palatino Linotype"/>
                <w:b/>
              </w:rPr>
            </w:pPr>
            <w:r>
              <w:rPr>
                <w:rFonts w:ascii="Palatino Linotype" w:eastAsia="Palatino Linotype" w:hAnsi="Palatino Linotype" w:cs="Palatino Linotype"/>
                <w:b/>
              </w:rPr>
              <w:t>a) Requisitos previos.</w:t>
            </w:r>
          </w:p>
        </w:tc>
        <w:tc>
          <w:tcPr>
            <w:tcW w:w="6720" w:type="dxa"/>
          </w:tcPr>
          <w:p w14:paraId="59B81165"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w:t>
            </w:r>
            <w:r>
              <w:rPr>
                <w:rFonts w:ascii="Palatino Linotype" w:eastAsia="Palatino Linotype" w:hAnsi="Palatino Linotype" w:cs="Palatino Linotype"/>
                <w:color w:val="000000"/>
              </w:rPr>
              <w:lastRenderedPageBreak/>
              <w:t xml:space="preserve">áreas proponer su clasificación y no del Comité de Transparencia. </w:t>
            </w:r>
          </w:p>
          <w:p w14:paraId="05803C0B" w14:textId="77777777" w:rsidR="0014176B" w:rsidRDefault="0014176B">
            <w:pPr>
              <w:tabs>
                <w:tab w:val="left" w:pos="284"/>
              </w:tabs>
              <w:spacing w:line="360" w:lineRule="auto"/>
              <w:ind w:right="27"/>
              <w:jc w:val="both"/>
              <w:rPr>
                <w:rFonts w:ascii="Palatino Linotype" w:eastAsia="Palatino Linotype" w:hAnsi="Palatino Linotype" w:cs="Palatino Linotype"/>
                <w:color w:val="000000"/>
              </w:rPr>
            </w:pPr>
          </w:p>
          <w:p w14:paraId="238C1823"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5086BBA6"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5BD9AD57" w14:textId="77777777" w:rsidR="0014176B" w:rsidRDefault="0014176B">
            <w:pPr>
              <w:tabs>
                <w:tab w:val="left" w:pos="284"/>
              </w:tabs>
              <w:spacing w:line="360" w:lineRule="auto"/>
              <w:ind w:right="27"/>
              <w:jc w:val="both"/>
              <w:rPr>
                <w:rFonts w:ascii="Palatino Linotype" w:eastAsia="Palatino Linotype" w:hAnsi="Palatino Linotype" w:cs="Palatino Linotype"/>
                <w:color w:val="000000"/>
              </w:rPr>
            </w:pPr>
          </w:p>
          <w:p w14:paraId="48DBBADF"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u w:val="single"/>
              </w:rPr>
              <w:t>no se puede hacer un acuerdo para clasificar de manera general todos los documentos de un expediente o área, sin</w:t>
            </w:r>
            <w:r>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p w14:paraId="309CD5CE" w14:textId="77777777" w:rsidR="0014176B" w:rsidRDefault="0014176B">
            <w:pPr>
              <w:tabs>
                <w:tab w:val="left" w:pos="284"/>
              </w:tabs>
              <w:spacing w:line="360" w:lineRule="auto"/>
              <w:ind w:right="27"/>
              <w:jc w:val="both"/>
              <w:rPr>
                <w:rFonts w:ascii="Palatino Linotype" w:eastAsia="Palatino Linotype" w:hAnsi="Palatino Linotype" w:cs="Palatino Linotype"/>
              </w:rPr>
            </w:pPr>
          </w:p>
        </w:tc>
      </w:tr>
      <w:tr w:rsidR="0014176B" w14:paraId="03C135B6" w14:textId="77777777">
        <w:tc>
          <w:tcPr>
            <w:tcW w:w="2760" w:type="dxa"/>
          </w:tcPr>
          <w:p w14:paraId="52646591" w14:textId="77777777" w:rsidR="0014176B" w:rsidRDefault="00800E1B">
            <w:pPr>
              <w:tabs>
                <w:tab w:val="left" w:pos="284"/>
              </w:tabs>
              <w:spacing w:line="360" w:lineRule="auto"/>
              <w:ind w:right="-106"/>
              <w:rPr>
                <w:rFonts w:ascii="Palatino Linotype" w:eastAsia="Palatino Linotype" w:hAnsi="Palatino Linotype" w:cs="Palatino Linotype"/>
                <w:b/>
              </w:rPr>
            </w:pPr>
            <w:r>
              <w:rPr>
                <w:rFonts w:ascii="Palatino Linotype" w:eastAsia="Palatino Linotype" w:hAnsi="Palatino Linotype" w:cs="Palatino Linotype"/>
                <w:b/>
              </w:rPr>
              <w:lastRenderedPageBreak/>
              <w:t>b) Supuestos de clasificación.</w:t>
            </w:r>
          </w:p>
        </w:tc>
        <w:tc>
          <w:tcPr>
            <w:tcW w:w="6720" w:type="dxa"/>
          </w:tcPr>
          <w:p w14:paraId="70995B04"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4645A582" w14:textId="77777777" w:rsidR="0014176B" w:rsidRDefault="0014176B">
            <w:pPr>
              <w:tabs>
                <w:tab w:val="left" w:pos="284"/>
              </w:tabs>
              <w:spacing w:line="360" w:lineRule="auto"/>
              <w:ind w:right="27"/>
              <w:jc w:val="both"/>
              <w:rPr>
                <w:rFonts w:ascii="Palatino Linotype" w:eastAsia="Palatino Linotype" w:hAnsi="Palatino Linotype" w:cs="Palatino Linotype"/>
                <w:color w:val="000000"/>
              </w:rPr>
            </w:pPr>
          </w:p>
          <w:p w14:paraId="78EB4C35"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5D7813D" w14:textId="77777777" w:rsidR="0014176B" w:rsidRDefault="0014176B">
            <w:pPr>
              <w:tabs>
                <w:tab w:val="left" w:pos="284"/>
              </w:tabs>
              <w:spacing w:line="360" w:lineRule="auto"/>
              <w:ind w:right="27"/>
              <w:jc w:val="both"/>
              <w:rPr>
                <w:rFonts w:ascii="Palatino Linotype" w:eastAsia="Palatino Linotype" w:hAnsi="Palatino Linotype" w:cs="Palatino Linotype"/>
                <w:color w:val="000000"/>
              </w:rPr>
            </w:pPr>
          </w:p>
          <w:p w14:paraId="67860841"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1BF792A3" w14:textId="77777777" w:rsidR="0014176B" w:rsidRDefault="0014176B">
            <w:pPr>
              <w:tabs>
                <w:tab w:val="left" w:pos="284"/>
              </w:tabs>
              <w:spacing w:line="360" w:lineRule="auto"/>
              <w:ind w:right="27"/>
              <w:jc w:val="both"/>
              <w:rPr>
                <w:rFonts w:ascii="Palatino Linotype" w:eastAsia="Palatino Linotype" w:hAnsi="Palatino Linotype" w:cs="Palatino Linotype"/>
              </w:rPr>
            </w:pPr>
          </w:p>
        </w:tc>
      </w:tr>
      <w:tr w:rsidR="0014176B" w14:paraId="1078787F" w14:textId="77777777">
        <w:tc>
          <w:tcPr>
            <w:tcW w:w="2760" w:type="dxa"/>
          </w:tcPr>
          <w:p w14:paraId="263626F7" w14:textId="77777777" w:rsidR="0014176B" w:rsidRDefault="00800E1B">
            <w:pPr>
              <w:tabs>
                <w:tab w:val="left" w:pos="284"/>
              </w:tabs>
              <w:spacing w:line="360" w:lineRule="auto"/>
              <w:ind w:right="-106"/>
              <w:rPr>
                <w:rFonts w:ascii="Palatino Linotype" w:eastAsia="Palatino Linotype" w:hAnsi="Palatino Linotype" w:cs="Palatino Linotype"/>
                <w:b/>
              </w:rPr>
            </w:pPr>
            <w:r>
              <w:rPr>
                <w:rFonts w:ascii="Palatino Linotype" w:eastAsia="Palatino Linotype" w:hAnsi="Palatino Linotype" w:cs="Palatino Linotype"/>
                <w:b/>
              </w:rPr>
              <w:lastRenderedPageBreak/>
              <w:t>c) Formalidades para emitir el acuerdo de clasificación.</w:t>
            </w:r>
          </w:p>
        </w:tc>
        <w:tc>
          <w:tcPr>
            <w:tcW w:w="6720" w:type="dxa"/>
          </w:tcPr>
          <w:p w14:paraId="06818CC7"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330266DD" w14:textId="77777777" w:rsidR="0014176B" w:rsidRDefault="0014176B">
            <w:pPr>
              <w:tabs>
                <w:tab w:val="left" w:pos="284"/>
              </w:tabs>
              <w:spacing w:line="360" w:lineRule="auto"/>
              <w:ind w:right="27"/>
              <w:jc w:val="both"/>
              <w:rPr>
                <w:rFonts w:ascii="Palatino Linotype" w:eastAsia="Palatino Linotype" w:hAnsi="Palatino Linotype" w:cs="Palatino Linotype"/>
                <w:color w:val="000000"/>
              </w:rPr>
            </w:pPr>
          </w:p>
          <w:p w14:paraId="7E310B71"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14:paraId="3A90E21E"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633F5A4F" w14:textId="77777777" w:rsidR="0014176B" w:rsidRDefault="0014176B">
            <w:pPr>
              <w:tabs>
                <w:tab w:val="left" w:pos="284"/>
              </w:tabs>
              <w:spacing w:line="360" w:lineRule="auto"/>
              <w:ind w:right="27"/>
              <w:jc w:val="both"/>
              <w:rPr>
                <w:rFonts w:ascii="Palatino Linotype" w:eastAsia="Palatino Linotype" w:hAnsi="Palatino Linotype" w:cs="Palatino Linotype"/>
              </w:rPr>
            </w:pPr>
          </w:p>
        </w:tc>
      </w:tr>
      <w:tr w:rsidR="0014176B" w14:paraId="77B89E55" w14:textId="77777777">
        <w:tc>
          <w:tcPr>
            <w:tcW w:w="2760" w:type="dxa"/>
          </w:tcPr>
          <w:p w14:paraId="78B353E9" w14:textId="77777777" w:rsidR="0014176B" w:rsidRDefault="0014176B">
            <w:pPr>
              <w:tabs>
                <w:tab w:val="left" w:pos="284"/>
              </w:tabs>
              <w:spacing w:line="360" w:lineRule="auto"/>
              <w:ind w:right="-106"/>
              <w:rPr>
                <w:rFonts w:ascii="Palatino Linotype" w:eastAsia="Palatino Linotype" w:hAnsi="Palatino Linotype" w:cs="Palatino Linotype"/>
                <w:b/>
              </w:rPr>
            </w:pPr>
          </w:p>
          <w:p w14:paraId="12A6FF31" w14:textId="77777777" w:rsidR="0014176B" w:rsidRDefault="00800E1B">
            <w:pPr>
              <w:tabs>
                <w:tab w:val="left" w:pos="284"/>
              </w:tabs>
              <w:spacing w:line="360" w:lineRule="auto"/>
              <w:ind w:right="-106"/>
              <w:rPr>
                <w:rFonts w:ascii="Palatino Linotype" w:eastAsia="Palatino Linotype" w:hAnsi="Palatino Linotype" w:cs="Palatino Linotype"/>
                <w:b/>
              </w:rPr>
            </w:pPr>
            <w:r>
              <w:rPr>
                <w:rFonts w:ascii="Palatino Linotype" w:eastAsia="Palatino Linotype" w:hAnsi="Palatino Linotype" w:cs="Palatino Linotype"/>
                <w:b/>
                <w:color w:val="000000"/>
              </w:rPr>
              <w:t xml:space="preserve">d) Requisitos de fondo del acuerdo de clasificación. </w:t>
            </w:r>
          </w:p>
        </w:tc>
        <w:tc>
          <w:tcPr>
            <w:tcW w:w="6720" w:type="dxa"/>
          </w:tcPr>
          <w:p w14:paraId="2B98C3DC"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14:paraId="1E9E8639"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considerando que todo acto que la autoridad pronuncie en el ejercicio de sus atribuciones, debe expresar los fundamentos legales que </w:t>
            </w:r>
            <w:r>
              <w:rPr>
                <w:rFonts w:ascii="Palatino Linotype" w:eastAsia="Palatino Linotype" w:hAnsi="Palatino Linotype" w:cs="Palatino Linotype"/>
                <w:color w:val="000000"/>
              </w:rPr>
              <w:lastRenderedPageBreak/>
              <w:t>le dieron origen y las razones por las que se deben aplicar al caso concreto.</w:t>
            </w:r>
          </w:p>
          <w:p w14:paraId="428FEE22" w14:textId="77777777" w:rsidR="0014176B" w:rsidRDefault="0014176B">
            <w:pPr>
              <w:tabs>
                <w:tab w:val="left" w:pos="284"/>
              </w:tabs>
              <w:spacing w:line="360" w:lineRule="auto"/>
              <w:ind w:right="27"/>
              <w:jc w:val="both"/>
              <w:rPr>
                <w:rFonts w:ascii="Palatino Linotype" w:eastAsia="Palatino Linotype" w:hAnsi="Palatino Linotype" w:cs="Palatino Linotype"/>
                <w:color w:val="000000"/>
              </w:rPr>
            </w:pPr>
          </w:p>
          <w:p w14:paraId="26AF5563"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F6B71EF" w14:textId="77777777" w:rsidR="0014176B" w:rsidRDefault="0014176B">
            <w:pPr>
              <w:tabs>
                <w:tab w:val="left" w:pos="284"/>
              </w:tabs>
              <w:spacing w:line="360" w:lineRule="auto"/>
              <w:ind w:right="27"/>
              <w:jc w:val="both"/>
              <w:rPr>
                <w:rFonts w:ascii="Palatino Linotype" w:eastAsia="Palatino Linotype" w:hAnsi="Palatino Linotype" w:cs="Palatino Linotype"/>
                <w:color w:val="000000"/>
              </w:rPr>
            </w:pPr>
          </w:p>
          <w:p w14:paraId="47FEB5CA"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1190E9AA" w14:textId="77777777" w:rsidR="0014176B" w:rsidRDefault="0014176B">
            <w:pPr>
              <w:tabs>
                <w:tab w:val="left" w:pos="284"/>
              </w:tabs>
              <w:spacing w:line="360" w:lineRule="auto"/>
              <w:ind w:right="27"/>
              <w:jc w:val="both"/>
              <w:rPr>
                <w:rFonts w:ascii="Palatino Linotype" w:eastAsia="Palatino Linotype" w:hAnsi="Palatino Linotype" w:cs="Palatino Linotype"/>
                <w:color w:val="000000"/>
              </w:rPr>
            </w:pPr>
          </w:p>
          <w:p w14:paraId="7F60EC15"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w:t>
            </w:r>
            <w:r>
              <w:rPr>
                <w:rFonts w:ascii="Palatino Linotype" w:eastAsia="Palatino Linotype" w:hAnsi="Palatino Linotype" w:cs="Palatino Linotype"/>
                <w:color w:val="000000"/>
              </w:rPr>
              <w:lastRenderedPageBreak/>
              <w:t>postal, cuya titularidad corresponda a particulares, entre otros.</w:t>
            </w:r>
          </w:p>
          <w:p w14:paraId="444DCCDA" w14:textId="77777777" w:rsidR="0014176B" w:rsidRDefault="0014176B">
            <w:pPr>
              <w:tabs>
                <w:tab w:val="left" w:pos="284"/>
              </w:tabs>
              <w:spacing w:line="360" w:lineRule="auto"/>
              <w:ind w:right="27"/>
              <w:jc w:val="both"/>
              <w:rPr>
                <w:rFonts w:ascii="Palatino Linotype" w:eastAsia="Palatino Linotype" w:hAnsi="Palatino Linotype" w:cs="Palatino Linotype"/>
                <w:color w:val="000000"/>
              </w:rPr>
            </w:pPr>
          </w:p>
        </w:tc>
      </w:tr>
      <w:tr w:rsidR="0014176B" w14:paraId="19C79DF4" w14:textId="77777777">
        <w:tc>
          <w:tcPr>
            <w:tcW w:w="2760" w:type="dxa"/>
          </w:tcPr>
          <w:p w14:paraId="009F2C9A" w14:textId="77777777" w:rsidR="0014176B" w:rsidRDefault="00800E1B">
            <w:pPr>
              <w:tabs>
                <w:tab w:val="left" w:pos="284"/>
              </w:tabs>
              <w:spacing w:line="360" w:lineRule="auto"/>
              <w:ind w:right="-106"/>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e) Condiciones especiales de la clasificación de la información como confidencial. </w:t>
            </w:r>
          </w:p>
        </w:tc>
        <w:tc>
          <w:tcPr>
            <w:tcW w:w="6720" w:type="dxa"/>
          </w:tcPr>
          <w:p w14:paraId="757EBE06"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1A4CE139" w14:textId="77777777" w:rsidR="0014176B" w:rsidRDefault="0014176B">
            <w:pPr>
              <w:tabs>
                <w:tab w:val="left" w:pos="284"/>
              </w:tabs>
              <w:spacing w:line="360" w:lineRule="auto"/>
              <w:ind w:right="27"/>
              <w:jc w:val="both"/>
              <w:rPr>
                <w:rFonts w:ascii="Palatino Linotype" w:eastAsia="Palatino Linotype" w:hAnsi="Palatino Linotype" w:cs="Palatino Linotype"/>
                <w:color w:val="000000"/>
              </w:rPr>
            </w:pPr>
          </w:p>
          <w:p w14:paraId="1268FC16" w14:textId="77777777" w:rsidR="0014176B" w:rsidRDefault="00800E1B">
            <w:pPr>
              <w:tabs>
                <w:tab w:val="left" w:pos="284"/>
              </w:tabs>
              <w:spacing w:line="360" w:lineRule="auto"/>
              <w:ind w:right="2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09B8A31" w14:textId="77777777" w:rsidR="0014176B" w:rsidRDefault="0014176B">
            <w:pPr>
              <w:tabs>
                <w:tab w:val="left" w:pos="284"/>
              </w:tabs>
              <w:spacing w:line="360" w:lineRule="auto"/>
              <w:ind w:right="27"/>
              <w:jc w:val="both"/>
              <w:rPr>
                <w:rFonts w:ascii="Palatino Linotype" w:eastAsia="Palatino Linotype" w:hAnsi="Palatino Linotype" w:cs="Palatino Linotype"/>
                <w:color w:val="000000"/>
              </w:rPr>
            </w:pPr>
          </w:p>
          <w:p w14:paraId="4A116E77" w14:textId="77777777" w:rsidR="0014176B" w:rsidRDefault="00800E1B">
            <w:pPr>
              <w:tabs>
                <w:tab w:val="left" w:pos="284"/>
              </w:tabs>
              <w:spacing w:line="360" w:lineRule="auto"/>
              <w:ind w:right="27"/>
              <w:jc w:val="both"/>
              <w:rPr>
                <w:rFonts w:ascii="Palatino Linotype" w:eastAsia="Palatino Linotype" w:hAnsi="Palatino Linotype" w:cs="Palatino Linotype"/>
              </w:rPr>
            </w:pPr>
            <w:r>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A036180"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rPr>
        <w:t xml:space="preserve">Si el </w:t>
      </w:r>
      <w:r>
        <w:rPr>
          <w:rFonts w:ascii="Palatino Linotype" w:eastAsia="Palatino Linotype" w:hAnsi="Palatino Linotype" w:cs="Palatino Linotype"/>
          <w:color w:val="000000"/>
        </w:rPr>
        <w:t>servidor</w:t>
      </w:r>
      <w:r>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legales </w:t>
      </w:r>
      <w:r>
        <w:rPr>
          <w:rFonts w:ascii="Palatino Linotype" w:eastAsia="Palatino Linotype" w:hAnsi="Palatino Linotype" w:cs="Palatino Linotype"/>
          <w:color w:val="000000"/>
        </w:rPr>
        <w:t>establecidas</w:t>
      </w:r>
      <w:r>
        <w:rPr>
          <w:rFonts w:ascii="Palatino Linotype" w:eastAsia="Palatino Linotype" w:hAnsi="Palatino Linotype" w:cs="Palatino Linotype"/>
        </w:rPr>
        <w:t>, asimismo que si entrega un documento testado sin el debido acuerdo de clasificación.</w:t>
      </w:r>
    </w:p>
    <w:p w14:paraId="0EC02666" w14:textId="77777777" w:rsidR="0014176B" w:rsidRDefault="00800E1B">
      <w:pPr>
        <w:numPr>
          <w:ilvl w:val="0"/>
          <w:numId w:val="1"/>
        </w:numPr>
        <w:spacing w:line="360" w:lineRule="auto"/>
        <w:ind w:left="0" w:right="-646" w:firstLine="0"/>
        <w:jc w:val="both"/>
      </w:pPr>
      <w:r>
        <w:rPr>
          <w:rFonts w:ascii="Palatino Linotype" w:eastAsia="Palatino Linotype" w:hAnsi="Palatino Linotype" w:cs="Palatino Linotype"/>
          <w:color w:val="222222"/>
        </w:rPr>
        <w:lastRenderedPageBreak/>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7C8DC1AF" w14:textId="77777777" w:rsidR="0014176B" w:rsidRDefault="0014176B">
      <w:pPr>
        <w:spacing w:line="360" w:lineRule="auto"/>
        <w:ind w:left="360" w:right="-646"/>
        <w:jc w:val="both"/>
        <w:rPr>
          <w:rFonts w:ascii="Palatino Linotype" w:eastAsia="Palatino Linotype" w:hAnsi="Palatino Linotype" w:cs="Palatino Linotype"/>
          <w:color w:val="222222"/>
        </w:rPr>
      </w:pPr>
    </w:p>
    <w:p w14:paraId="654C6456" w14:textId="77777777" w:rsidR="0014176B" w:rsidRDefault="00800E1B">
      <w:pPr>
        <w:keepNext/>
        <w:keepLines/>
        <w:spacing w:line="360" w:lineRule="auto"/>
        <w:ind w:right="-646"/>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3EB22A8F" w14:textId="77777777" w:rsidR="0014176B" w:rsidRDefault="0014176B">
      <w:pPr>
        <w:spacing w:line="360" w:lineRule="auto"/>
        <w:ind w:right="-646"/>
        <w:jc w:val="both"/>
        <w:rPr>
          <w:rFonts w:ascii="Palatino Linotype" w:eastAsia="Palatino Linotype" w:hAnsi="Palatino Linotype" w:cs="Palatino Linotype"/>
          <w:b/>
        </w:rPr>
      </w:pPr>
    </w:p>
    <w:p w14:paraId="54177854" w14:textId="77777777" w:rsidR="0014176B" w:rsidRDefault="00800E1B">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parcialmente fundadas las razones o motivos de inconformidad hechos valer en el Recurso de Revisión </w:t>
      </w:r>
      <w:r>
        <w:rPr>
          <w:rFonts w:ascii="Palatino Linotype" w:eastAsia="Palatino Linotype" w:hAnsi="Palatino Linotype" w:cs="Palatino Linotype"/>
          <w:b/>
        </w:rPr>
        <w:t>03173/INFOEM/IP/RR/2024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w:t>
      </w:r>
      <w:r>
        <w:rPr>
          <w:rFonts w:ascii="Palatino Linotype" w:eastAsia="Palatino Linotype" w:hAnsi="Palatino Linotype" w:cs="Palatino Linotype"/>
        </w:rPr>
        <w:t>y</w:t>
      </w:r>
      <w:r>
        <w:rPr>
          <w:rFonts w:ascii="Palatino Linotype" w:eastAsia="Palatino Linotype" w:hAnsi="Palatino Linotype" w:cs="Palatino Linotype"/>
          <w:b/>
        </w:rPr>
        <w:t xml:space="preserve"> Quinto </w:t>
      </w:r>
      <w:r>
        <w:rPr>
          <w:rFonts w:ascii="Palatino Linotype" w:eastAsia="Palatino Linotype" w:hAnsi="Palatino Linotype" w:cs="Palatino Linotype"/>
        </w:rPr>
        <w:t xml:space="preserve">de la presente Resolución. </w:t>
      </w:r>
    </w:p>
    <w:p w14:paraId="23701A31" w14:textId="77777777" w:rsidR="0014176B" w:rsidRDefault="0014176B">
      <w:pPr>
        <w:spacing w:line="360" w:lineRule="auto"/>
        <w:ind w:right="-646"/>
        <w:jc w:val="both"/>
        <w:rPr>
          <w:rFonts w:ascii="Palatino Linotype" w:eastAsia="Palatino Linotype" w:hAnsi="Palatino Linotype" w:cs="Palatino Linotype"/>
        </w:rPr>
      </w:pPr>
    </w:p>
    <w:p w14:paraId="1EA97DF4" w14:textId="77777777" w:rsidR="0014176B" w:rsidRDefault="00800E1B">
      <w:pPr>
        <w:spacing w:line="360" w:lineRule="auto"/>
        <w:ind w:right="-646"/>
        <w:jc w:val="both"/>
        <w:rPr>
          <w:rFonts w:ascii="Palatino Linotype" w:eastAsia="Palatino Linotype" w:hAnsi="Palatino Linotype" w:cs="Palatino Linotype"/>
        </w:rPr>
      </w:pPr>
      <w:bookmarkStart w:id="8" w:name="_heading=h.4d34og8" w:colFirst="0" w:colLast="0"/>
      <w:bookmarkEnd w:id="8"/>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 xml:space="preserve">la respuesta emitida por el </w:t>
      </w:r>
      <w:r>
        <w:rPr>
          <w:rFonts w:ascii="Palatino Linotype" w:eastAsia="Palatino Linotype" w:hAnsi="Palatino Linotype" w:cs="Palatino Linotype"/>
          <w:b/>
          <w:color w:val="000000"/>
        </w:rPr>
        <w:t xml:space="preserve">Ayuntamiento de Toluca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a través del Sistema de Acceso a la Información Mexiquense (SAIMEX), la siguiente información al </w:t>
      </w:r>
      <w:r>
        <w:rPr>
          <w:rFonts w:ascii="Palatino Linotype" w:eastAsia="Palatino Linotype" w:hAnsi="Palatino Linotype" w:cs="Palatino Linotype"/>
          <w:b/>
          <w:color w:val="000000"/>
        </w:rPr>
        <w:t>8 de abril de 2024</w:t>
      </w:r>
      <w:r>
        <w:rPr>
          <w:rFonts w:ascii="Palatino Linotype" w:eastAsia="Palatino Linotype" w:hAnsi="Palatino Linotype" w:cs="Palatino Linotype"/>
          <w:color w:val="000000"/>
        </w:rPr>
        <w:t>, en versión pública</w:t>
      </w:r>
      <w:r>
        <w:rPr>
          <w:rFonts w:ascii="Palatino Linotype" w:eastAsia="Palatino Linotype" w:hAnsi="Palatino Linotype" w:cs="Palatino Linotype"/>
        </w:rPr>
        <w:t>:</w:t>
      </w:r>
    </w:p>
    <w:p w14:paraId="6751BD4C" w14:textId="77777777" w:rsidR="0014176B" w:rsidRDefault="0014176B">
      <w:pPr>
        <w:spacing w:line="360" w:lineRule="auto"/>
        <w:ind w:right="-646"/>
        <w:jc w:val="both"/>
        <w:rPr>
          <w:rFonts w:ascii="Palatino Linotype" w:eastAsia="Palatino Linotype" w:hAnsi="Palatino Linotype" w:cs="Palatino Linotype"/>
          <w:b/>
        </w:rPr>
      </w:pPr>
    </w:p>
    <w:p w14:paraId="45D80DA3" w14:textId="77777777" w:rsidR="0014176B" w:rsidRDefault="00800E1B" w:rsidP="00B20FA3">
      <w:pPr>
        <w:numPr>
          <w:ilvl w:val="0"/>
          <w:numId w:val="5"/>
        </w:numPr>
        <w:pBdr>
          <w:top w:val="nil"/>
          <w:left w:val="nil"/>
          <w:bottom w:val="nil"/>
          <w:right w:val="nil"/>
          <w:between w:val="nil"/>
        </w:pBdr>
        <w:spacing w:line="360" w:lineRule="auto"/>
        <w:ind w:left="993" w:right="-646"/>
        <w:jc w:val="both"/>
        <w:rPr>
          <w:rFonts w:ascii="Palatino Linotype" w:eastAsia="Palatino Linotype" w:hAnsi="Palatino Linotype" w:cs="Palatino Linotype"/>
          <w:b/>
          <w:color w:val="000000"/>
        </w:rPr>
      </w:pPr>
      <w:bookmarkStart w:id="9" w:name="_heading=h.2s8eyo1" w:colFirst="0" w:colLast="0"/>
      <w:bookmarkEnd w:id="9"/>
      <w:r>
        <w:rPr>
          <w:rFonts w:ascii="Palatino Linotype" w:eastAsia="Palatino Linotype" w:hAnsi="Palatino Linotype" w:cs="Palatino Linotype"/>
          <w:b/>
          <w:color w:val="000000"/>
        </w:rPr>
        <w:t>Soporte documental que integra el expediente del Recurso de Revisión 02043/INFOEM/IP/RR/2021, derivado de la solicitud de información 00300/TOLUCA/IP/2021</w:t>
      </w:r>
      <w:r w:rsidR="00B425AA">
        <w:rPr>
          <w:rFonts w:ascii="Palatino Linotype" w:eastAsia="Palatino Linotype" w:hAnsi="Palatino Linotype" w:cs="Palatino Linotype"/>
          <w:b/>
          <w:color w:val="000000"/>
        </w:rPr>
        <w:t>.</w:t>
      </w:r>
    </w:p>
    <w:p w14:paraId="0C8FF7D1" w14:textId="77777777" w:rsidR="009E1322" w:rsidRDefault="009E1322">
      <w:pPr>
        <w:spacing w:line="360" w:lineRule="auto"/>
        <w:ind w:right="-646"/>
        <w:jc w:val="both"/>
        <w:rPr>
          <w:rFonts w:ascii="Palatino Linotype" w:eastAsia="Palatino Linotype" w:hAnsi="Palatino Linotype" w:cs="Palatino Linotype"/>
          <w:b/>
          <w:color w:val="000000"/>
          <w:sz w:val="32"/>
        </w:rPr>
      </w:pPr>
    </w:p>
    <w:p w14:paraId="0A22B8FD" w14:textId="77777777" w:rsidR="0014176B" w:rsidRDefault="00800E1B">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w:t>
      </w:r>
    </w:p>
    <w:p w14:paraId="711F6DE4" w14:textId="77777777" w:rsidR="00B425AA" w:rsidRDefault="00B425AA">
      <w:pPr>
        <w:spacing w:line="360" w:lineRule="auto"/>
        <w:ind w:right="-646"/>
        <w:jc w:val="both"/>
        <w:rPr>
          <w:rFonts w:ascii="Palatino Linotype" w:eastAsia="Palatino Linotype" w:hAnsi="Palatino Linotype" w:cs="Palatino Linotype"/>
          <w:color w:val="000000"/>
        </w:rPr>
      </w:pPr>
    </w:p>
    <w:p w14:paraId="5DC7B591" w14:textId="77777777" w:rsidR="0014176B" w:rsidRDefault="00800E1B">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8D71B0" w14:textId="77777777" w:rsidR="00B425AA" w:rsidRDefault="00B425AA">
      <w:pPr>
        <w:spacing w:line="360" w:lineRule="auto"/>
        <w:ind w:right="-646"/>
        <w:jc w:val="both"/>
        <w:rPr>
          <w:rFonts w:ascii="Palatino Linotype" w:eastAsia="Palatino Linotype" w:hAnsi="Palatino Linotype" w:cs="Palatino Linotype"/>
        </w:rPr>
      </w:pPr>
    </w:p>
    <w:p w14:paraId="3A4F4A00" w14:textId="77777777" w:rsidR="0014176B" w:rsidRDefault="00800E1B">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0ED6AC68" w14:textId="77777777" w:rsidR="0014176B" w:rsidRDefault="0014176B">
      <w:pPr>
        <w:spacing w:line="360" w:lineRule="auto"/>
        <w:ind w:right="-646"/>
        <w:jc w:val="both"/>
        <w:rPr>
          <w:rFonts w:ascii="Palatino Linotype" w:eastAsia="Palatino Linotype" w:hAnsi="Palatino Linotype" w:cs="Palatino Linotype"/>
        </w:rPr>
      </w:pPr>
    </w:p>
    <w:p w14:paraId="5CA0D36B" w14:textId="77777777" w:rsidR="0014176B" w:rsidRDefault="00800E1B">
      <w:pPr>
        <w:tabs>
          <w:tab w:val="left" w:pos="8080"/>
        </w:tabs>
        <w:spacing w:line="360" w:lineRule="auto"/>
        <w:ind w:right="-646"/>
        <w:jc w:val="both"/>
        <w:rPr>
          <w:rFonts w:ascii="Palatino Linotype" w:eastAsia="Palatino Linotype" w:hAnsi="Palatino Linotype" w:cs="Palatino Linotype"/>
        </w:rPr>
      </w:pPr>
      <w:bookmarkStart w:id="10" w:name="_heading=h.17dp8vu" w:colFirst="0" w:colLast="0"/>
      <w:bookmarkEnd w:id="10"/>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al Recurrente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20DB8E35" w14:textId="77777777" w:rsidR="0014176B" w:rsidRDefault="0014176B">
      <w:pPr>
        <w:tabs>
          <w:tab w:val="left" w:pos="8080"/>
        </w:tabs>
        <w:spacing w:line="360" w:lineRule="auto"/>
        <w:ind w:right="-646"/>
        <w:jc w:val="both"/>
        <w:rPr>
          <w:rFonts w:ascii="Palatino Linotype" w:eastAsia="Palatino Linotype" w:hAnsi="Palatino Linotype" w:cs="Palatino Linotype"/>
        </w:rPr>
      </w:pPr>
    </w:p>
    <w:p w14:paraId="21EB5508" w14:textId="77777777" w:rsidR="0014176B" w:rsidRDefault="00800E1B">
      <w:pPr>
        <w:shd w:val="clear" w:color="auto" w:fill="FFFFFF"/>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5C29DC36" w14:textId="77777777" w:rsidR="0014176B" w:rsidRDefault="0014176B">
      <w:pPr>
        <w:shd w:val="clear" w:color="auto" w:fill="FFFFFF"/>
        <w:spacing w:line="360" w:lineRule="auto"/>
        <w:ind w:right="-646"/>
        <w:jc w:val="both"/>
        <w:rPr>
          <w:rFonts w:ascii="Palatino Linotype" w:eastAsia="Palatino Linotype" w:hAnsi="Palatino Linotype" w:cs="Palatino Linotype"/>
        </w:rPr>
      </w:pPr>
    </w:p>
    <w:p w14:paraId="4CF1E852" w14:textId="77777777" w:rsidR="006058D8" w:rsidRPr="003C7186" w:rsidRDefault="006058D8" w:rsidP="006058D8">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776A706C" w14:textId="77777777" w:rsidR="006058D8" w:rsidRPr="00902BA4" w:rsidRDefault="006058D8" w:rsidP="006058D8">
      <w:pPr>
        <w:widowControl w:val="0"/>
        <w:autoSpaceDE w:val="0"/>
        <w:autoSpaceDN w:val="0"/>
        <w:adjustRightInd w:val="0"/>
        <w:spacing w:after="200" w:line="276" w:lineRule="auto"/>
        <w:ind w:left="-142" w:right="-234"/>
      </w:pPr>
    </w:p>
    <w:p w14:paraId="4967C8E2" w14:textId="77777777" w:rsidR="0014176B" w:rsidRDefault="0014176B">
      <w:pPr>
        <w:spacing w:line="360" w:lineRule="auto"/>
        <w:ind w:right="-646"/>
        <w:rPr>
          <w:rFonts w:ascii="Palatino Linotype" w:eastAsia="Palatino Linotype" w:hAnsi="Palatino Linotype" w:cs="Palatino Linotype"/>
        </w:rPr>
      </w:pPr>
    </w:p>
    <w:p w14:paraId="2D926470" w14:textId="77777777" w:rsidR="0014176B" w:rsidRDefault="0014176B">
      <w:pPr>
        <w:spacing w:line="360" w:lineRule="auto"/>
        <w:ind w:right="-646"/>
        <w:rPr>
          <w:rFonts w:ascii="Palatino Linotype" w:eastAsia="Palatino Linotype" w:hAnsi="Palatino Linotype" w:cs="Palatino Linotype"/>
        </w:rPr>
      </w:pPr>
    </w:p>
    <w:p w14:paraId="6423EA76" w14:textId="77777777" w:rsidR="0014176B" w:rsidRDefault="0014176B">
      <w:pPr>
        <w:spacing w:line="360" w:lineRule="auto"/>
        <w:ind w:right="-646"/>
        <w:rPr>
          <w:rFonts w:ascii="Palatino Linotype" w:eastAsia="Palatino Linotype" w:hAnsi="Palatino Linotype" w:cs="Palatino Linotype"/>
        </w:rPr>
      </w:pPr>
    </w:p>
    <w:p w14:paraId="50E69F89" w14:textId="77777777" w:rsidR="0014176B" w:rsidRDefault="0014176B">
      <w:pPr>
        <w:spacing w:line="360" w:lineRule="auto"/>
        <w:ind w:right="-646"/>
        <w:rPr>
          <w:rFonts w:ascii="Palatino Linotype" w:eastAsia="Palatino Linotype" w:hAnsi="Palatino Linotype" w:cs="Palatino Linotype"/>
        </w:rPr>
      </w:pPr>
    </w:p>
    <w:p w14:paraId="3A832F79" w14:textId="77777777" w:rsidR="0014176B" w:rsidRDefault="0014176B">
      <w:pPr>
        <w:spacing w:line="360" w:lineRule="auto"/>
        <w:ind w:right="-646"/>
        <w:rPr>
          <w:rFonts w:ascii="Palatino Linotype" w:eastAsia="Palatino Linotype" w:hAnsi="Palatino Linotype" w:cs="Palatino Linotype"/>
        </w:rPr>
      </w:pPr>
    </w:p>
    <w:p w14:paraId="55C11397" w14:textId="77777777" w:rsidR="0014176B" w:rsidRDefault="0014176B">
      <w:pPr>
        <w:spacing w:line="360" w:lineRule="auto"/>
        <w:ind w:right="-646"/>
        <w:rPr>
          <w:rFonts w:ascii="Palatino Linotype" w:eastAsia="Palatino Linotype" w:hAnsi="Palatino Linotype" w:cs="Palatino Linotype"/>
        </w:rPr>
      </w:pPr>
    </w:p>
    <w:p w14:paraId="6B197181" w14:textId="77777777" w:rsidR="0014176B" w:rsidRDefault="00800E1B">
      <w:pPr>
        <w:tabs>
          <w:tab w:val="left" w:pos="3374"/>
        </w:tabs>
        <w:spacing w:line="360" w:lineRule="auto"/>
        <w:ind w:right="-646"/>
        <w:rPr>
          <w:rFonts w:ascii="Palatino Linotype" w:eastAsia="Palatino Linotype" w:hAnsi="Palatino Linotype" w:cs="Palatino Linotype"/>
        </w:rPr>
      </w:pPr>
      <w:r>
        <w:rPr>
          <w:rFonts w:ascii="Palatino Linotype" w:eastAsia="Palatino Linotype" w:hAnsi="Palatino Linotype" w:cs="Palatino Linotype"/>
        </w:rPr>
        <w:tab/>
      </w:r>
    </w:p>
    <w:p w14:paraId="4A24400C" w14:textId="77777777" w:rsidR="0014176B" w:rsidRDefault="0014176B">
      <w:pPr>
        <w:tabs>
          <w:tab w:val="left" w:pos="3374"/>
        </w:tabs>
        <w:spacing w:line="360" w:lineRule="auto"/>
        <w:ind w:right="-646"/>
        <w:rPr>
          <w:rFonts w:ascii="Palatino Linotype" w:eastAsia="Palatino Linotype" w:hAnsi="Palatino Linotype" w:cs="Palatino Linotype"/>
        </w:rPr>
      </w:pPr>
    </w:p>
    <w:p w14:paraId="6BB9F2A2" w14:textId="77777777" w:rsidR="0014176B" w:rsidRDefault="0014176B">
      <w:pPr>
        <w:tabs>
          <w:tab w:val="left" w:pos="3374"/>
        </w:tabs>
        <w:spacing w:line="360" w:lineRule="auto"/>
        <w:ind w:right="-646"/>
        <w:rPr>
          <w:rFonts w:ascii="Palatino Linotype" w:eastAsia="Palatino Linotype" w:hAnsi="Palatino Linotype" w:cs="Palatino Linotype"/>
        </w:rPr>
      </w:pPr>
    </w:p>
    <w:p w14:paraId="579E2EBB" w14:textId="77777777" w:rsidR="0014176B" w:rsidRDefault="0014176B">
      <w:pPr>
        <w:tabs>
          <w:tab w:val="left" w:pos="3374"/>
        </w:tabs>
        <w:spacing w:line="360" w:lineRule="auto"/>
        <w:ind w:right="-646"/>
        <w:rPr>
          <w:rFonts w:ascii="Palatino Linotype" w:eastAsia="Palatino Linotype" w:hAnsi="Palatino Linotype" w:cs="Palatino Linotype"/>
        </w:rPr>
      </w:pPr>
    </w:p>
    <w:p w14:paraId="6A739BC4" w14:textId="77777777" w:rsidR="0014176B" w:rsidRDefault="0014176B">
      <w:pPr>
        <w:tabs>
          <w:tab w:val="left" w:pos="3374"/>
        </w:tabs>
        <w:spacing w:line="360" w:lineRule="auto"/>
        <w:ind w:right="-646"/>
        <w:rPr>
          <w:rFonts w:ascii="Palatino Linotype" w:eastAsia="Palatino Linotype" w:hAnsi="Palatino Linotype" w:cs="Palatino Linotype"/>
        </w:rPr>
      </w:pPr>
    </w:p>
    <w:p w14:paraId="702B9441" w14:textId="77777777" w:rsidR="0014176B" w:rsidRDefault="0014176B">
      <w:pPr>
        <w:tabs>
          <w:tab w:val="left" w:pos="3374"/>
        </w:tabs>
        <w:spacing w:line="360" w:lineRule="auto"/>
        <w:ind w:right="-646"/>
        <w:rPr>
          <w:rFonts w:ascii="Palatino Linotype" w:eastAsia="Palatino Linotype" w:hAnsi="Palatino Linotype" w:cs="Palatino Linotype"/>
        </w:rPr>
      </w:pPr>
    </w:p>
    <w:p w14:paraId="52E36A96" w14:textId="77777777" w:rsidR="0014176B" w:rsidRDefault="0014176B">
      <w:pPr>
        <w:tabs>
          <w:tab w:val="left" w:pos="3374"/>
        </w:tabs>
        <w:spacing w:line="360" w:lineRule="auto"/>
        <w:ind w:right="-646"/>
        <w:rPr>
          <w:rFonts w:ascii="Palatino Linotype" w:eastAsia="Palatino Linotype" w:hAnsi="Palatino Linotype" w:cs="Palatino Linotype"/>
        </w:rPr>
      </w:pPr>
    </w:p>
    <w:p w14:paraId="797CE8C3" w14:textId="77777777" w:rsidR="0014176B" w:rsidRDefault="0014176B">
      <w:pPr>
        <w:tabs>
          <w:tab w:val="left" w:pos="3374"/>
        </w:tabs>
        <w:spacing w:line="360" w:lineRule="auto"/>
        <w:ind w:right="-646"/>
        <w:rPr>
          <w:rFonts w:ascii="Palatino Linotype" w:eastAsia="Palatino Linotype" w:hAnsi="Palatino Linotype" w:cs="Palatino Linotype"/>
        </w:rPr>
      </w:pPr>
    </w:p>
    <w:p w14:paraId="47FA6CBD" w14:textId="77777777" w:rsidR="0014176B" w:rsidRDefault="0014176B">
      <w:pPr>
        <w:tabs>
          <w:tab w:val="left" w:pos="3374"/>
        </w:tabs>
        <w:spacing w:line="360" w:lineRule="auto"/>
        <w:ind w:right="-646"/>
        <w:rPr>
          <w:rFonts w:ascii="Palatino Linotype" w:eastAsia="Palatino Linotype" w:hAnsi="Palatino Linotype" w:cs="Palatino Linotype"/>
        </w:rPr>
      </w:pPr>
    </w:p>
    <w:p w14:paraId="6D2A57B6" w14:textId="77777777" w:rsidR="0014176B" w:rsidRDefault="0014176B">
      <w:pPr>
        <w:spacing w:line="360" w:lineRule="auto"/>
        <w:ind w:right="-646"/>
        <w:rPr>
          <w:rFonts w:ascii="Palatino Linotype" w:eastAsia="Palatino Linotype" w:hAnsi="Palatino Linotype" w:cs="Palatino Linotype"/>
        </w:rPr>
      </w:pPr>
    </w:p>
    <w:sectPr w:rsidR="0014176B">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1065" w14:textId="77777777" w:rsidR="00B92ADA" w:rsidRDefault="00B92ADA">
      <w:r>
        <w:separator/>
      </w:r>
    </w:p>
  </w:endnote>
  <w:endnote w:type="continuationSeparator" w:id="0">
    <w:p w14:paraId="4A0929AA" w14:textId="77777777" w:rsidR="00B92ADA" w:rsidRDefault="00B9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29DA" w14:textId="77777777" w:rsidR="0014176B" w:rsidRDefault="00800E1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F5FBD">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F5FBD">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14:paraId="5CEB52E1" w14:textId="77777777" w:rsidR="0014176B" w:rsidRDefault="0014176B">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99A9" w14:textId="77777777" w:rsidR="0014176B" w:rsidRDefault="00800E1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F5FB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F5FBD">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14:paraId="6BE1A2EA" w14:textId="77777777" w:rsidR="0014176B" w:rsidRDefault="0014176B">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A893" w14:textId="77777777" w:rsidR="00B92ADA" w:rsidRDefault="00B92ADA">
      <w:r>
        <w:separator/>
      </w:r>
    </w:p>
  </w:footnote>
  <w:footnote w:type="continuationSeparator" w:id="0">
    <w:p w14:paraId="47CE1A3A" w14:textId="77777777" w:rsidR="00B92ADA" w:rsidRDefault="00B92ADA">
      <w:r>
        <w:continuationSeparator/>
      </w:r>
    </w:p>
  </w:footnote>
  <w:footnote w:id="1">
    <w:p w14:paraId="30AC2D94" w14:textId="77777777" w:rsidR="0014176B" w:rsidRDefault="00800E1B">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85D6420" w14:textId="77777777" w:rsidR="0014176B" w:rsidRDefault="00800E1B">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8A46" w14:textId="77777777" w:rsidR="0014176B" w:rsidRDefault="00B92ADA">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0AFD5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8023" w14:textId="77777777" w:rsidR="0014176B" w:rsidRDefault="0014176B">
    <w:pPr>
      <w:widowControl w:val="0"/>
      <w:pBdr>
        <w:top w:val="nil"/>
        <w:left w:val="nil"/>
        <w:bottom w:val="nil"/>
        <w:right w:val="nil"/>
        <w:between w:val="nil"/>
      </w:pBdr>
      <w:spacing w:line="276" w:lineRule="auto"/>
      <w:rPr>
        <w:rFonts w:eastAsia="Calibri"/>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14176B" w14:paraId="16B72AC0" w14:textId="77777777">
      <w:trPr>
        <w:trHeight w:val="227"/>
      </w:trPr>
      <w:tc>
        <w:tcPr>
          <w:tcW w:w="2976" w:type="dxa"/>
          <w:vAlign w:val="center"/>
        </w:tcPr>
        <w:p w14:paraId="5AAEAE22" w14:textId="77777777" w:rsidR="0014176B" w:rsidRDefault="00800E1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7A5B2C15" w14:textId="77777777" w:rsidR="0014176B" w:rsidRDefault="00800E1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03173/INFOEM/IP/RR/2024</w:t>
          </w:r>
        </w:p>
      </w:tc>
    </w:tr>
    <w:tr w:rsidR="0014176B" w14:paraId="1DC468AC" w14:textId="77777777">
      <w:trPr>
        <w:trHeight w:val="242"/>
      </w:trPr>
      <w:tc>
        <w:tcPr>
          <w:tcW w:w="2976" w:type="dxa"/>
          <w:vAlign w:val="center"/>
        </w:tcPr>
        <w:p w14:paraId="0BEFCAD0" w14:textId="77777777" w:rsidR="0014176B" w:rsidRDefault="00800E1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094456D9" w14:textId="77777777" w:rsidR="0014176B" w:rsidRDefault="00800E1B">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14176B" w14:paraId="464D3E3D" w14:textId="77777777">
      <w:trPr>
        <w:trHeight w:val="342"/>
      </w:trPr>
      <w:tc>
        <w:tcPr>
          <w:tcW w:w="2976" w:type="dxa"/>
          <w:vAlign w:val="center"/>
        </w:tcPr>
        <w:p w14:paraId="12F05DE9" w14:textId="77777777" w:rsidR="0014176B" w:rsidRDefault="00800E1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2A4F7BCD" w14:textId="77777777" w:rsidR="0014176B" w:rsidRDefault="00800E1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C59910A" w14:textId="77777777" w:rsidR="0014176B" w:rsidRDefault="00B92ADA">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34E6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A2BA" w14:textId="77777777" w:rsidR="0014176B" w:rsidRDefault="0014176B">
    <w:pPr>
      <w:widowControl w:val="0"/>
      <w:pBdr>
        <w:top w:val="nil"/>
        <w:left w:val="nil"/>
        <w:bottom w:val="nil"/>
        <w:right w:val="nil"/>
        <w:between w:val="nil"/>
      </w:pBdr>
      <w:spacing w:line="276" w:lineRule="auto"/>
      <w:rPr>
        <w:rFonts w:eastAsia="Calibri"/>
        <w:color w:val="000000"/>
        <w:sz w:val="14"/>
        <w:szCs w:val="14"/>
      </w:rPr>
    </w:pPr>
  </w:p>
  <w:tbl>
    <w:tblPr>
      <w:tblStyle w:val="a1"/>
      <w:tblW w:w="7440" w:type="dxa"/>
      <w:tblInd w:w="2552" w:type="dxa"/>
      <w:tblLayout w:type="fixed"/>
      <w:tblLook w:val="0400" w:firstRow="0" w:lastRow="0" w:firstColumn="0" w:lastColumn="0" w:noHBand="0" w:noVBand="1"/>
    </w:tblPr>
    <w:tblGrid>
      <w:gridCol w:w="3315"/>
      <w:gridCol w:w="4125"/>
    </w:tblGrid>
    <w:tr w:rsidR="0014176B" w14:paraId="3CDAF93F" w14:textId="77777777">
      <w:trPr>
        <w:trHeight w:val="227"/>
      </w:trPr>
      <w:tc>
        <w:tcPr>
          <w:tcW w:w="3315" w:type="dxa"/>
          <w:vAlign w:val="center"/>
        </w:tcPr>
        <w:p w14:paraId="67EB871E" w14:textId="77777777" w:rsidR="0014176B" w:rsidRDefault="00800E1B">
          <w:pPr>
            <w:ind w:left="56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25" w:type="dxa"/>
          <w:vAlign w:val="center"/>
        </w:tcPr>
        <w:p w14:paraId="51AB8A06" w14:textId="77777777" w:rsidR="0014176B" w:rsidRDefault="00800E1B">
          <w:pPr>
            <w:pBdr>
              <w:top w:val="nil"/>
              <w:left w:val="nil"/>
              <w:bottom w:val="nil"/>
              <w:right w:val="nil"/>
              <w:between w:val="nil"/>
            </w:pBdr>
            <w:tabs>
              <w:tab w:val="center" w:pos="4419"/>
              <w:tab w:val="right" w:pos="8838"/>
            </w:tabs>
            <w:ind w:left="22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03173/INFOEM/IP/RR/2024</w:t>
          </w:r>
        </w:p>
      </w:tc>
    </w:tr>
    <w:tr w:rsidR="0014176B" w14:paraId="0B8FAC8F" w14:textId="77777777">
      <w:trPr>
        <w:trHeight w:val="242"/>
      </w:trPr>
      <w:tc>
        <w:tcPr>
          <w:tcW w:w="3315" w:type="dxa"/>
          <w:vAlign w:val="center"/>
        </w:tcPr>
        <w:p w14:paraId="3798C366" w14:textId="77777777" w:rsidR="0014176B" w:rsidRDefault="00800E1B">
          <w:pPr>
            <w:ind w:left="56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25" w:type="dxa"/>
        </w:tcPr>
        <w:p w14:paraId="7A8CEDE7" w14:textId="495AFBD4" w:rsidR="0014176B" w:rsidRDefault="00BE2A9F">
          <w:pPr>
            <w:pBdr>
              <w:top w:val="nil"/>
              <w:left w:val="nil"/>
              <w:bottom w:val="nil"/>
              <w:right w:val="nil"/>
              <w:between w:val="nil"/>
            </w:pBdr>
            <w:tabs>
              <w:tab w:val="center" w:pos="4419"/>
              <w:tab w:val="right" w:pos="8838"/>
              <w:tab w:val="left" w:pos="521"/>
            </w:tabs>
            <w:ind w:left="22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14176B" w14:paraId="451DAE66" w14:textId="77777777">
      <w:trPr>
        <w:trHeight w:val="342"/>
      </w:trPr>
      <w:tc>
        <w:tcPr>
          <w:tcW w:w="3315" w:type="dxa"/>
          <w:vAlign w:val="center"/>
        </w:tcPr>
        <w:p w14:paraId="21DBA452" w14:textId="77777777" w:rsidR="0014176B" w:rsidRDefault="00800E1B">
          <w:pPr>
            <w:ind w:left="56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25" w:type="dxa"/>
          <w:vAlign w:val="center"/>
        </w:tcPr>
        <w:p w14:paraId="023BA460" w14:textId="77777777" w:rsidR="0014176B" w:rsidRDefault="00800E1B">
          <w:pPr>
            <w:pBdr>
              <w:top w:val="nil"/>
              <w:left w:val="nil"/>
              <w:bottom w:val="nil"/>
              <w:right w:val="nil"/>
              <w:between w:val="nil"/>
            </w:pBdr>
            <w:tabs>
              <w:tab w:val="center" w:pos="4419"/>
              <w:tab w:val="right" w:pos="8838"/>
            </w:tabs>
            <w:ind w:left="228"/>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14176B" w14:paraId="3291429B" w14:textId="77777777">
      <w:trPr>
        <w:trHeight w:val="342"/>
      </w:trPr>
      <w:tc>
        <w:tcPr>
          <w:tcW w:w="3315" w:type="dxa"/>
          <w:vAlign w:val="center"/>
        </w:tcPr>
        <w:p w14:paraId="1EB84963" w14:textId="77777777" w:rsidR="0014176B" w:rsidRDefault="00800E1B">
          <w:pPr>
            <w:ind w:left="56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25" w:type="dxa"/>
          <w:vAlign w:val="center"/>
        </w:tcPr>
        <w:p w14:paraId="1EE42CA4" w14:textId="77777777" w:rsidR="0014176B" w:rsidRDefault="00800E1B">
          <w:pPr>
            <w:pBdr>
              <w:top w:val="nil"/>
              <w:left w:val="nil"/>
              <w:bottom w:val="nil"/>
              <w:right w:val="nil"/>
              <w:between w:val="nil"/>
            </w:pBdr>
            <w:tabs>
              <w:tab w:val="center" w:pos="4419"/>
              <w:tab w:val="right" w:pos="8838"/>
            </w:tabs>
            <w:ind w:left="22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09B5028A" w14:textId="77777777" w:rsidR="0014176B" w:rsidRDefault="00B92ADA">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0A711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6424"/>
    <w:multiLevelType w:val="multilevel"/>
    <w:tmpl w:val="E89E80B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16FB5C10"/>
    <w:multiLevelType w:val="multilevel"/>
    <w:tmpl w:val="18106A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7970A1"/>
    <w:multiLevelType w:val="multilevel"/>
    <w:tmpl w:val="268E61C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835496"/>
    <w:multiLevelType w:val="multilevel"/>
    <w:tmpl w:val="AC304E0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50E81DF8"/>
    <w:multiLevelType w:val="multilevel"/>
    <w:tmpl w:val="FAD2163A"/>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 w15:restartNumberingAfterBreak="0">
    <w:nsid w:val="621E7407"/>
    <w:multiLevelType w:val="multilevel"/>
    <w:tmpl w:val="F4B8FF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D214CDE"/>
    <w:multiLevelType w:val="multilevel"/>
    <w:tmpl w:val="451E23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64739000">
    <w:abstractNumId w:val="2"/>
  </w:num>
  <w:num w:numId="2" w16cid:durableId="1628317112">
    <w:abstractNumId w:val="6"/>
  </w:num>
  <w:num w:numId="3" w16cid:durableId="337539619">
    <w:abstractNumId w:val="5"/>
  </w:num>
  <w:num w:numId="4" w16cid:durableId="489443810">
    <w:abstractNumId w:val="0"/>
  </w:num>
  <w:num w:numId="5" w16cid:durableId="679622866">
    <w:abstractNumId w:val="4"/>
  </w:num>
  <w:num w:numId="6" w16cid:durableId="57556723">
    <w:abstractNumId w:val="1"/>
  </w:num>
  <w:num w:numId="7" w16cid:durableId="1189417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6B"/>
    <w:rsid w:val="0014176B"/>
    <w:rsid w:val="006058D8"/>
    <w:rsid w:val="00637B89"/>
    <w:rsid w:val="007675B5"/>
    <w:rsid w:val="00800E1B"/>
    <w:rsid w:val="00925517"/>
    <w:rsid w:val="009E1322"/>
    <w:rsid w:val="00B20FA3"/>
    <w:rsid w:val="00B425AA"/>
    <w:rsid w:val="00B92ADA"/>
    <w:rsid w:val="00BE2A9F"/>
    <w:rsid w:val="00BF5FBD"/>
    <w:rsid w:val="00FE2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CF029"/>
  <w15:docId w15:val="{0FD35E0B-20EE-447D-9AE5-12A35E27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69334B"/>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qFormat/>
    <w:rsid w:val="00AC5C39"/>
    <w:pPr>
      <w:autoSpaceDE w:val="0"/>
      <w:autoSpaceDN w:val="0"/>
      <w:adjustRightInd w:val="0"/>
    </w:pPr>
    <w:rPr>
      <w:rFonts w:ascii="Arial" w:hAnsi="Arial" w:cs="Arial"/>
      <w:color w:val="000000"/>
    </w:rPr>
  </w:style>
  <w:style w:type="character" w:styleId="nfasis">
    <w:name w:val="Emphasis"/>
    <w:basedOn w:val="Fuentedeprrafopredeter"/>
    <w:uiPriority w:val="20"/>
    <w:qFormat/>
    <w:rsid w:val="006B0428"/>
    <w:rPr>
      <w:i/>
      <w:iCs/>
    </w:rPr>
  </w:style>
  <w:style w:type="paragraph" w:styleId="NormalWeb">
    <w:name w:val="Normal (Web)"/>
    <w:basedOn w:val="Normal"/>
    <w:uiPriority w:val="99"/>
    <w:rsid w:val="000F30BC"/>
    <w:pPr>
      <w:spacing w:before="100" w:beforeAutospacing="1" w:after="100" w:afterAutospacing="1"/>
    </w:pPr>
    <w:rPr>
      <w:rFonts w:ascii="Times New Roman" w:eastAsia="Times New Roman" w:hAnsi="Times New Roman" w:cs="Times New Roman"/>
      <w:lang w:val="es-ES" w:eastAsia="es-MX"/>
    </w:rPr>
  </w:style>
  <w:style w:type="character" w:styleId="Textoennegrita">
    <w:name w:val="Strong"/>
    <w:basedOn w:val="Fuentedeprrafopredeter"/>
    <w:uiPriority w:val="22"/>
    <w:qFormat/>
    <w:rsid w:val="00DB3F4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86tIVvBgpUZKaA5krRbTYAQdw==">CgMxLjAyCGguZ2pkZ3hzMgloLjMwajB6bGwyCWguMWZvYjl0ZTIJaC4zem55c2g3MgloLjJldDkycDAyCGgudHlqY3d0MgloLjNkeTZ2a20yCWguMXQzaDVzZjIJaC40ZDM0b2c4MgloLjJzOGV5bzEyCWguMTdkcDh2dTgAciExNGY1dGgtWUZ1T2R3MWpVMHpwYVlZVFpaSWJLYkFUWFA=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6169</Words>
  <Characters>33931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9</cp:revision>
  <cp:lastPrinted>2024-11-14T23:25:00Z</cp:lastPrinted>
  <dcterms:created xsi:type="dcterms:W3CDTF">2024-11-07T16:15:00Z</dcterms:created>
  <dcterms:modified xsi:type="dcterms:W3CDTF">2024-11-27T20:16:00Z</dcterms:modified>
</cp:coreProperties>
</file>