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03057"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once de septiembre de dos mil veinticuatro. </w:t>
      </w:r>
    </w:p>
    <w:p w14:paraId="3D2B34CD" w14:textId="56301364"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b/>
        </w:rPr>
        <w:t>VISTO</w:t>
      </w:r>
      <w:r w:rsidRPr="002423AB">
        <w:rPr>
          <w:rFonts w:ascii="Palatino Linotype" w:eastAsia="Palatino Linotype" w:hAnsi="Palatino Linotype" w:cs="Palatino Linotype"/>
        </w:rPr>
        <w:t xml:space="preserve"> el expediente formado con motivo del recurso de revisión </w:t>
      </w:r>
      <w:r w:rsidRPr="002423AB">
        <w:rPr>
          <w:rFonts w:ascii="Palatino Linotype" w:eastAsia="Palatino Linotype" w:hAnsi="Palatino Linotype" w:cs="Palatino Linotype"/>
          <w:b/>
        </w:rPr>
        <w:t>01584/INFOEM/IP/RR/2024</w:t>
      </w:r>
      <w:r w:rsidRPr="002423AB">
        <w:rPr>
          <w:rFonts w:ascii="Palatino Linotype" w:eastAsia="Palatino Linotype" w:hAnsi="Palatino Linotype" w:cs="Palatino Linotype"/>
        </w:rPr>
        <w:t>, interpuesto por</w:t>
      </w:r>
      <w:r w:rsidRPr="002423AB">
        <w:rPr>
          <w:rFonts w:ascii="Palatino Linotype" w:eastAsia="Palatino Linotype" w:hAnsi="Palatino Linotype" w:cs="Palatino Linotype"/>
          <w:b/>
        </w:rPr>
        <w:t xml:space="preserve"> </w:t>
      </w:r>
      <w:r w:rsidR="00FC5CEF" w:rsidRPr="00FC5CEF">
        <w:rPr>
          <w:rFonts w:ascii="Palatino Linotype" w:eastAsia="Palatino Linotype" w:hAnsi="Palatino Linotype" w:cs="Palatino Linotype"/>
          <w:b/>
        </w:rPr>
        <w:t>XXXXX XXXXXX</w:t>
      </w:r>
      <w:r w:rsidRPr="002423AB">
        <w:rPr>
          <w:rFonts w:ascii="Palatino Linotype" w:eastAsia="Palatino Linotype" w:hAnsi="Palatino Linotype" w:cs="Palatino Linotype"/>
          <w:b/>
        </w:rPr>
        <w:t>,</w:t>
      </w:r>
      <w:r w:rsidRPr="002423AB">
        <w:rPr>
          <w:rFonts w:ascii="Palatino Linotype" w:eastAsia="Palatino Linotype" w:hAnsi="Palatino Linotype" w:cs="Palatino Linotype"/>
        </w:rPr>
        <w:t xml:space="preserve"> en lo sucesivo</w:t>
      </w:r>
      <w:r w:rsidRPr="002423AB">
        <w:rPr>
          <w:rFonts w:ascii="Palatino Linotype" w:eastAsia="Palatino Linotype" w:hAnsi="Palatino Linotype" w:cs="Palatino Linotype"/>
          <w:b/>
        </w:rPr>
        <w:t xml:space="preserve"> </w:t>
      </w:r>
      <w:r w:rsidRPr="002423AB">
        <w:rPr>
          <w:rFonts w:ascii="Palatino Linotype" w:eastAsia="Palatino Linotype" w:hAnsi="Palatino Linotype" w:cs="Palatino Linotype"/>
        </w:rPr>
        <w:t xml:space="preserve">la parte </w:t>
      </w:r>
      <w:r w:rsidRPr="002423AB">
        <w:rPr>
          <w:rFonts w:ascii="Palatino Linotype" w:eastAsia="Palatino Linotype" w:hAnsi="Palatino Linotype" w:cs="Palatino Linotype"/>
          <w:b/>
        </w:rPr>
        <w:t>Recurrente,</w:t>
      </w:r>
      <w:r w:rsidRPr="002423AB">
        <w:rPr>
          <w:rFonts w:ascii="Palatino Linotype" w:eastAsia="Palatino Linotype" w:hAnsi="Palatino Linotype" w:cs="Palatino Linotype"/>
        </w:rPr>
        <w:t xml:space="preserve"> en contra de la respuesta a la solicitud de información con número de folio </w:t>
      </w:r>
      <w:r w:rsidRPr="002423AB">
        <w:rPr>
          <w:rFonts w:ascii="Palatino Linotype" w:eastAsia="Palatino Linotype" w:hAnsi="Palatino Linotype" w:cs="Palatino Linotype"/>
          <w:b/>
        </w:rPr>
        <w:t xml:space="preserve">00136/HRZUM/IP/2024, </w:t>
      </w:r>
      <w:r w:rsidRPr="002423AB">
        <w:rPr>
          <w:rFonts w:ascii="Palatino Linotype" w:eastAsia="Palatino Linotype" w:hAnsi="Palatino Linotype" w:cs="Palatino Linotype"/>
        </w:rPr>
        <w:t xml:space="preserve">por parte del </w:t>
      </w:r>
      <w:r w:rsidRPr="002423AB">
        <w:rPr>
          <w:rFonts w:ascii="Palatino Linotype" w:eastAsia="Palatino Linotype" w:hAnsi="Palatino Linotype" w:cs="Palatino Linotype"/>
          <w:b/>
        </w:rPr>
        <w:t xml:space="preserve">Hospital Regional de Alta Especialidad de Zumpango, </w:t>
      </w:r>
      <w:r w:rsidRPr="002423AB">
        <w:rPr>
          <w:rFonts w:ascii="Palatino Linotype" w:eastAsia="Palatino Linotype" w:hAnsi="Palatino Linotype" w:cs="Palatino Linotype"/>
        </w:rPr>
        <w:t xml:space="preserve">en lo sucesivo el </w:t>
      </w:r>
      <w:r w:rsidRPr="002423AB">
        <w:rPr>
          <w:rFonts w:ascii="Palatino Linotype" w:eastAsia="Palatino Linotype" w:hAnsi="Palatino Linotype" w:cs="Palatino Linotype"/>
          <w:b/>
        </w:rPr>
        <w:t xml:space="preserve">Sujeto Obligado, </w:t>
      </w:r>
      <w:r w:rsidRPr="002423AB">
        <w:rPr>
          <w:rFonts w:ascii="Palatino Linotype" w:eastAsia="Palatino Linotype" w:hAnsi="Palatino Linotype" w:cs="Palatino Linotype"/>
        </w:rPr>
        <w:t xml:space="preserve">se procede a dictar la presente resolución con base en los siguientes: </w:t>
      </w:r>
    </w:p>
    <w:p w14:paraId="3D9562FB" w14:textId="77777777" w:rsidR="003E369A" w:rsidRPr="002423AB" w:rsidRDefault="00D83080">
      <w:pPr>
        <w:spacing w:before="240" w:after="240" w:line="360" w:lineRule="auto"/>
        <w:jc w:val="center"/>
        <w:rPr>
          <w:rFonts w:ascii="Palatino Linotype" w:eastAsia="Palatino Linotype" w:hAnsi="Palatino Linotype" w:cs="Palatino Linotype"/>
          <w:b/>
        </w:rPr>
      </w:pPr>
      <w:r w:rsidRPr="002423AB">
        <w:rPr>
          <w:rFonts w:ascii="Palatino Linotype" w:eastAsia="Palatino Linotype" w:hAnsi="Palatino Linotype" w:cs="Palatino Linotype"/>
          <w:b/>
        </w:rPr>
        <w:t>I. A N T E C E D E N T E S</w:t>
      </w:r>
    </w:p>
    <w:p w14:paraId="27030E1A" w14:textId="77777777" w:rsidR="003E369A" w:rsidRPr="002423AB" w:rsidRDefault="00D83080">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2423AB">
        <w:rPr>
          <w:rFonts w:ascii="Palatino Linotype" w:eastAsia="Palatino Linotype" w:hAnsi="Palatino Linotype" w:cs="Palatino Linotype"/>
          <w:b/>
        </w:rPr>
        <w:t>1. Solicitud de acceso a la información.</w:t>
      </w:r>
      <w:r w:rsidRPr="002423AB">
        <w:rPr>
          <w:rFonts w:ascii="Palatino Linotype" w:eastAsia="Palatino Linotype" w:hAnsi="Palatino Linotype" w:cs="Palatino Linotype"/>
        </w:rPr>
        <w:t xml:space="preserve"> El </w:t>
      </w:r>
      <w:r w:rsidRPr="002423AB">
        <w:rPr>
          <w:rFonts w:ascii="Palatino Linotype" w:eastAsia="Palatino Linotype" w:hAnsi="Palatino Linotype" w:cs="Palatino Linotype"/>
          <w:b/>
        </w:rPr>
        <w:t xml:space="preserve">diecinueve de marzo de dos mil veinticuatro, </w:t>
      </w:r>
      <w:r w:rsidRPr="002423AB">
        <w:rPr>
          <w:rFonts w:ascii="Palatino Linotype" w:eastAsia="Palatino Linotype" w:hAnsi="Palatino Linotype" w:cs="Palatino Linotype"/>
        </w:rPr>
        <w:t xml:space="preserve">la parte </w:t>
      </w:r>
      <w:r w:rsidRPr="002423AB">
        <w:rPr>
          <w:rFonts w:ascii="Palatino Linotype" w:eastAsia="Palatino Linotype" w:hAnsi="Palatino Linotype" w:cs="Palatino Linotype"/>
          <w:b/>
        </w:rPr>
        <w:t xml:space="preserve">Recurrente </w:t>
      </w:r>
      <w:r w:rsidRPr="002423AB">
        <w:rPr>
          <w:rFonts w:ascii="Palatino Linotype" w:eastAsia="Palatino Linotype" w:hAnsi="Palatino Linotype" w:cs="Palatino Linotype"/>
        </w:rPr>
        <w:t xml:space="preserve">presentó, a través del Sistema de Acceso a la Información Mexiquense, en lo subsecuente el </w:t>
      </w:r>
      <w:r w:rsidRPr="002423AB">
        <w:rPr>
          <w:rFonts w:ascii="Palatino Linotype" w:eastAsia="Palatino Linotype" w:hAnsi="Palatino Linotype" w:cs="Palatino Linotype"/>
          <w:b/>
        </w:rPr>
        <w:t xml:space="preserve">SAIMEX, </w:t>
      </w:r>
      <w:r w:rsidRPr="002423AB">
        <w:rPr>
          <w:rFonts w:ascii="Palatino Linotype" w:eastAsia="Palatino Linotype" w:hAnsi="Palatino Linotype" w:cs="Palatino Linotype"/>
        </w:rPr>
        <w:t xml:space="preserve">ante el </w:t>
      </w:r>
      <w:r w:rsidRPr="002423AB">
        <w:rPr>
          <w:rFonts w:ascii="Palatino Linotype" w:eastAsia="Palatino Linotype" w:hAnsi="Palatino Linotype" w:cs="Palatino Linotype"/>
          <w:b/>
        </w:rPr>
        <w:t>Sujeto Obligado</w:t>
      </w:r>
      <w:r w:rsidRPr="002423AB">
        <w:rPr>
          <w:rFonts w:ascii="Palatino Linotype" w:eastAsia="Palatino Linotype" w:hAnsi="Palatino Linotype" w:cs="Palatino Linotype"/>
        </w:rPr>
        <w:t xml:space="preserve">, la solicitud de acceso a la información pública, mediante la cual requirió la información siguiente: </w:t>
      </w:r>
    </w:p>
    <w:p w14:paraId="3B40C9E5" w14:textId="77777777" w:rsidR="003E369A" w:rsidRPr="002423AB" w:rsidRDefault="00D83080">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2423AB">
        <w:rPr>
          <w:rFonts w:ascii="Palatino Linotype" w:eastAsia="Palatino Linotype" w:hAnsi="Palatino Linotype" w:cs="Palatino Linotype"/>
          <w:i/>
          <w:sz w:val="22"/>
          <w:szCs w:val="22"/>
        </w:rPr>
        <w:t xml:space="preserve"> “Solicito el nombre de los y las servidores públicos del hraez que se han visto involucrados en quejas ante la comision de derechos humanos durante el año 2022,2023 y 2024 debiendo indicar el motivo de las quejas, con la evidencia documental del seguimiento.</w:t>
      </w:r>
      <w:r w:rsidRPr="002423AB">
        <w:rPr>
          <w:rFonts w:ascii="Palatino Linotype" w:eastAsia="Palatino Linotype" w:hAnsi="Palatino Linotype" w:cs="Palatino Linotype"/>
          <w:b/>
          <w:i/>
          <w:sz w:val="22"/>
          <w:szCs w:val="22"/>
        </w:rPr>
        <w:t>”</w:t>
      </w:r>
      <w:r w:rsidRPr="002423AB">
        <w:rPr>
          <w:rFonts w:ascii="Palatino Linotype" w:eastAsia="Palatino Linotype" w:hAnsi="Palatino Linotype" w:cs="Palatino Linotype"/>
          <w:i/>
          <w:sz w:val="22"/>
          <w:szCs w:val="22"/>
        </w:rPr>
        <w:t xml:space="preserve"> (sic) </w:t>
      </w:r>
    </w:p>
    <w:p w14:paraId="3F8E36D9" w14:textId="77777777" w:rsidR="003E369A" w:rsidRPr="002423AB" w:rsidRDefault="00D83080">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2423AB">
        <w:rPr>
          <w:rFonts w:ascii="Palatino Linotype" w:eastAsia="Palatino Linotype" w:hAnsi="Palatino Linotype" w:cs="Palatino Linotype"/>
          <w:b/>
        </w:rPr>
        <w:t xml:space="preserve">Modalidad de Entrega: </w:t>
      </w:r>
      <w:r w:rsidRPr="002423AB">
        <w:rPr>
          <w:rFonts w:ascii="Palatino Linotype" w:eastAsia="Palatino Linotype" w:hAnsi="Palatino Linotype" w:cs="Palatino Linotype"/>
        </w:rPr>
        <w:t xml:space="preserve">A través de </w:t>
      </w:r>
      <w:r w:rsidRPr="002423AB">
        <w:rPr>
          <w:rFonts w:ascii="Palatino Linotype" w:eastAsia="Palatino Linotype" w:hAnsi="Palatino Linotype" w:cs="Palatino Linotype"/>
          <w:b/>
        </w:rPr>
        <w:t>SAIMEX.</w:t>
      </w:r>
    </w:p>
    <w:p w14:paraId="4DDB08CF"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b/>
        </w:rPr>
        <w:lastRenderedPageBreak/>
        <w:t xml:space="preserve">2. Respuesta. </w:t>
      </w:r>
      <w:r w:rsidRPr="002423AB">
        <w:rPr>
          <w:rFonts w:ascii="Palatino Linotype" w:eastAsia="Palatino Linotype" w:hAnsi="Palatino Linotype" w:cs="Palatino Linotype"/>
        </w:rPr>
        <w:t xml:space="preserve">El </w:t>
      </w:r>
      <w:r w:rsidRPr="002423AB">
        <w:rPr>
          <w:rFonts w:ascii="Palatino Linotype" w:eastAsia="Palatino Linotype" w:hAnsi="Palatino Linotype" w:cs="Palatino Linotype"/>
          <w:b/>
        </w:rPr>
        <w:t>veintidós de marzo de dos mil veinticuatro</w:t>
      </w:r>
      <w:r w:rsidRPr="002423AB">
        <w:rPr>
          <w:rFonts w:ascii="Palatino Linotype" w:eastAsia="Palatino Linotype" w:hAnsi="Palatino Linotype" w:cs="Palatino Linotype"/>
        </w:rPr>
        <w:t xml:space="preserve">, el </w:t>
      </w:r>
      <w:r w:rsidRPr="002423AB">
        <w:rPr>
          <w:rFonts w:ascii="Palatino Linotype" w:eastAsia="Palatino Linotype" w:hAnsi="Palatino Linotype" w:cs="Palatino Linotype"/>
          <w:b/>
        </w:rPr>
        <w:t xml:space="preserve">Sujeto Obligado </w:t>
      </w:r>
      <w:r w:rsidRPr="002423AB">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6EDCF34" w14:textId="77777777" w:rsidR="003E369A" w:rsidRPr="002423AB" w:rsidRDefault="00D83080">
      <w:pPr>
        <w:spacing w:before="240" w:after="240"/>
        <w:ind w:left="851" w:right="902"/>
        <w:jc w:val="both"/>
        <w:rPr>
          <w:rFonts w:ascii="Palatino Linotype" w:eastAsia="Palatino Linotype" w:hAnsi="Palatino Linotype" w:cs="Palatino Linotype"/>
          <w:i/>
          <w:sz w:val="22"/>
          <w:szCs w:val="22"/>
        </w:rPr>
      </w:pPr>
      <w:bookmarkStart w:id="3" w:name="_heading=h.35nkun2" w:colFirst="0" w:colLast="0"/>
      <w:bookmarkEnd w:id="3"/>
      <w:r w:rsidRPr="002423AB">
        <w:rPr>
          <w:rFonts w:ascii="Palatino Linotype" w:eastAsia="Palatino Linotype" w:hAnsi="Palatino Linotype" w:cs="Palatino Linotype"/>
          <w:i/>
          <w:sz w:val="22"/>
          <w:szCs w:val="22"/>
        </w:rPr>
        <w:t>“…en atención a la solicitud de acceso a la información pública, recibida por este Sujeto Obligado; sírvase encontrar adjunto los archivos que detallan de forma precisa el requerimiento recibido. Con el acto, se cumple en tiempo y forma asegurándose así el derecho de acceso a la información pública de la persona solicitante...” (sic)</w:t>
      </w:r>
    </w:p>
    <w:p w14:paraId="4C32EE35"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El </w:t>
      </w:r>
      <w:r w:rsidRPr="002423AB">
        <w:rPr>
          <w:rFonts w:ascii="Palatino Linotype" w:eastAsia="Palatino Linotype" w:hAnsi="Palatino Linotype" w:cs="Palatino Linotype"/>
          <w:b/>
        </w:rPr>
        <w:t>Sujeto Obligado</w:t>
      </w:r>
      <w:r w:rsidRPr="002423AB">
        <w:rPr>
          <w:rFonts w:ascii="Palatino Linotype" w:eastAsia="Palatino Linotype" w:hAnsi="Palatino Linotype" w:cs="Palatino Linotype"/>
        </w:rPr>
        <w:t xml:space="preserve"> adjuntó el oficio número 208C0404000400S/0236/2024, </w:t>
      </w:r>
      <w:r w:rsidRPr="002423AB">
        <w:rPr>
          <w:rFonts w:ascii="Palatino Linotype" w:eastAsia="Palatino Linotype" w:hAnsi="Palatino Linotype" w:cs="Palatino Linotype"/>
        </w:rPr>
        <w:tab/>
        <w:t>de fecha veintiuno de marzo de dos mil veinticuatro, mediante el cual el Titular del Órgano Interno de Control, manifestó que la solicitud resulta inatendible por el Órgano a su cargo, al no ser competente respecto de las quejas relacionadas con Derechos Humanos, por no encontrarse dentro de sus funciones de conformidad con el Reglamento Interior de la Secretaría de la Contraloría del Gobierno del Estado de México, así como el Manual General de Organización del Hospital Regional de Alta Especialidad de Zumpango, ya que el objetivo de dicha dependencia consiste en la atención de peticiones, quejas, denuncias ciudadanas, la realización de auditorías y la resolución de procedimientos de responsabilidad administrativa por actos u omisiones cometidas por personas servidoras públicas o ex servidoras públicas adscritas al Hospital.</w:t>
      </w:r>
    </w:p>
    <w:p w14:paraId="58E94BCE" w14:textId="77777777" w:rsidR="003E369A" w:rsidRPr="002423AB" w:rsidRDefault="00D83080">
      <w:pPr>
        <w:spacing w:before="240" w:after="240" w:line="360" w:lineRule="auto"/>
        <w:ind w:right="51"/>
        <w:jc w:val="both"/>
        <w:rPr>
          <w:rFonts w:ascii="Palatino Linotype" w:eastAsia="Palatino Linotype" w:hAnsi="Palatino Linotype" w:cs="Palatino Linotype"/>
        </w:rPr>
      </w:pPr>
      <w:r w:rsidRPr="002423AB">
        <w:rPr>
          <w:rFonts w:ascii="Palatino Linotype" w:eastAsia="Palatino Linotype" w:hAnsi="Palatino Linotype" w:cs="Palatino Linotype"/>
        </w:rPr>
        <w:t>Asimismo, refirió que lo solicitado pudiera encontrarse en resguardo de la Comisión Nacional de Derechos Humanos o a Comisión de Derechos Humanos del Estado de México, cuyos datos proporciona para efectos del ejercicio del Derecho de acceso a través de una solicitud de información.</w:t>
      </w:r>
    </w:p>
    <w:p w14:paraId="090E14E7"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b/>
        </w:rPr>
        <w:lastRenderedPageBreak/>
        <w:t xml:space="preserve">3. Interposición del recurso de revisión. </w:t>
      </w:r>
      <w:r w:rsidRPr="002423AB">
        <w:rPr>
          <w:rFonts w:ascii="Palatino Linotype" w:eastAsia="Palatino Linotype" w:hAnsi="Palatino Linotype" w:cs="Palatino Linotype"/>
        </w:rPr>
        <w:t xml:space="preserve">Inconforme con los términos de la respuesta emitida por parte del </w:t>
      </w:r>
      <w:r w:rsidRPr="002423AB">
        <w:rPr>
          <w:rFonts w:ascii="Palatino Linotype" w:eastAsia="Palatino Linotype" w:hAnsi="Palatino Linotype" w:cs="Palatino Linotype"/>
          <w:b/>
        </w:rPr>
        <w:t>Sujeto Obligado</w:t>
      </w:r>
      <w:r w:rsidRPr="002423AB">
        <w:rPr>
          <w:rFonts w:ascii="Palatino Linotype" w:eastAsia="Palatino Linotype" w:hAnsi="Palatino Linotype" w:cs="Palatino Linotype"/>
        </w:rPr>
        <w:t>, el</w:t>
      </w:r>
      <w:r w:rsidRPr="002423AB">
        <w:rPr>
          <w:rFonts w:ascii="Palatino Linotype" w:eastAsia="Palatino Linotype" w:hAnsi="Palatino Linotype" w:cs="Palatino Linotype"/>
          <w:b/>
        </w:rPr>
        <w:t xml:space="preserve"> veintidós de marzo de dos mil veinticuatro, </w:t>
      </w:r>
      <w:r w:rsidRPr="002423AB">
        <w:rPr>
          <w:rFonts w:ascii="Palatino Linotype" w:eastAsia="Palatino Linotype" w:hAnsi="Palatino Linotype" w:cs="Palatino Linotype"/>
        </w:rPr>
        <w:t xml:space="preserve">la parte </w:t>
      </w:r>
      <w:r w:rsidRPr="002423AB">
        <w:rPr>
          <w:rFonts w:ascii="Palatino Linotype" w:eastAsia="Palatino Linotype" w:hAnsi="Palatino Linotype" w:cs="Palatino Linotype"/>
          <w:b/>
        </w:rPr>
        <w:t>Recurrente</w:t>
      </w:r>
      <w:r w:rsidRPr="002423AB">
        <w:rPr>
          <w:rFonts w:ascii="Palatino Linotype" w:eastAsia="Palatino Linotype" w:hAnsi="Palatino Linotype" w:cs="Palatino Linotype"/>
        </w:rPr>
        <w:t xml:space="preserve"> interpuso el recurso de revisión a través de </w:t>
      </w:r>
      <w:r w:rsidRPr="002423AB">
        <w:rPr>
          <w:rFonts w:ascii="Palatino Linotype" w:eastAsia="Palatino Linotype" w:hAnsi="Palatino Linotype" w:cs="Palatino Linotype"/>
          <w:b/>
        </w:rPr>
        <w:t xml:space="preserve">SAIMEX, </w:t>
      </w:r>
      <w:r w:rsidRPr="002423AB">
        <w:rPr>
          <w:rFonts w:ascii="Palatino Linotype" w:eastAsia="Palatino Linotype" w:hAnsi="Palatino Linotype" w:cs="Palatino Linotype"/>
        </w:rPr>
        <w:t>en donde se manifestó de la siguiente manera:</w:t>
      </w:r>
    </w:p>
    <w:p w14:paraId="7C448714" w14:textId="77777777" w:rsidR="003E369A" w:rsidRPr="002423AB" w:rsidRDefault="00D83080">
      <w:pPr>
        <w:tabs>
          <w:tab w:val="left" w:pos="2745"/>
        </w:tabs>
        <w:spacing w:before="240" w:after="240" w:line="360" w:lineRule="auto"/>
        <w:jc w:val="both"/>
        <w:rPr>
          <w:rFonts w:ascii="Palatino Linotype" w:eastAsia="Palatino Linotype" w:hAnsi="Palatino Linotype" w:cs="Palatino Linotype"/>
          <w:b/>
        </w:rPr>
      </w:pPr>
      <w:r w:rsidRPr="002423AB">
        <w:rPr>
          <w:rFonts w:ascii="Palatino Linotype" w:eastAsia="Palatino Linotype" w:hAnsi="Palatino Linotype" w:cs="Palatino Linotype"/>
          <w:b/>
        </w:rPr>
        <w:t xml:space="preserve">Acto impugnado: </w:t>
      </w:r>
    </w:p>
    <w:p w14:paraId="6BFF0E10" w14:textId="77777777" w:rsidR="003E369A" w:rsidRPr="002423AB" w:rsidRDefault="00D83080">
      <w:pPr>
        <w:tabs>
          <w:tab w:val="left" w:pos="2745"/>
        </w:tabs>
        <w:spacing w:before="240" w:after="240"/>
        <w:ind w:left="851" w:right="900"/>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“Negativa de entregar la informacion ya que únicamente contesta el órgano interno del hospital y no es la única unidad administrativa que pudiera tener la información, la titular de la Unidad de transparencia del hospital incurre en responsabilidad porque debe turnar a todas las áreas que pudieran tener la información, además pedí el nombre de los servidores públicos involucrados en quejas ante la derechos humanos, por lo tanto no me deben remitir a otra dependencia ya que el hraez debe tener esa información en sus archivos.” (sic)</w:t>
      </w:r>
    </w:p>
    <w:p w14:paraId="32CB6922" w14:textId="77777777" w:rsidR="003E369A" w:rsidRPr="002423AB" w:rsidRDefault="00D83080">
      <w:pPr>
        <w:spacing w:line="360" w:lineRule="auto"/>
        <w:jc w:val="both"/>
        <w:rPr>
          <w:rFonts w:ascii="Palatino Linotype" w:eastAsia="Palatino Linotype" w:hAnsi="Palatino Linotype" w:cs="Palatino Linotype"/>
        </w:rPr>
      </w:pPr>
      <w:bookmarkStart w:id="4" w:name="_heading=h.30j0zll" w:colFirst="0" w:colLast="0"/>
      <w:bookmarkEnd w:id="4"/>
      <w:r w:rsidRPr="002423AB">
        <w:rPr>
          <w:rFonts w:ascii="Palatino Linotype" w:eastAsia="Palatino Linotype" w:hAnsi="Palatino Linotype" w:cs="Palatino Linotype"/>
          <w:b/>
        </w:rPr>
        <w:t>Y, Razones o motivos de inconformidad</w:t>
      </w:r>
      <w:r w:rsidRPr="002423AB">
        <w:rPr>
          <w:rFonts w:ascii="Palatino Linotype" w:eastAsia="Palatino Linotype" w:hAnsi="Palatino Linotype" w:cs="Palatino Linotype"/>
        </w:rPr>
        <w:t>:</w:t>
      </w:r>
    </w:p>
    <w:p w14:paraId="408D17CA" w14:textId="77777777" w:rsidR="003E369A" w:rsidRPr="002423AB" w:rsidRDefault="00D83080">
      <w:pPr>
        <w:tabs>
          <w:tab w:val="left" w:pos="2745"/>
        </w:tabs>
        <w:spacing w:before="240" w:after="240"/>
        <w:ind w:left="851" w:right="900"/>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“Negativa de entregar la informacion” (sic)</w:t>
      </w:r>
    </w:p>
    <w:p w14:paraId="7FD6836F" w14:textId="77777777" w:rsidR="003E369A" w:rsidRPr="002423AB" w:rsidRDefault="00D83080">
      <w:pPr>
        <w:spacing w:before="240" w:after="240" w:line="360" w:lineRule="auto"/>
        <w:ind w:right="51"/>
        <w:jc w:val="both"/>
        <w:rPr>
          <w:rFonts w:ascii="Palatino Linotype" w:eastAsia="Palatino Linotype" w:hAnsi="Palatino Linotype" w:cs="Palatino Linotype"/>
        </w:rPr>
      </w:pPr>
      <w:r w:rsidRPr="002423AB">
        <w:rPr>
          <w:rFonts w:ascii="Palatino Linotype" w:eastAsia="Palatino Linotype" w:hAnsi="Palatino Linotype" w:cs="Palatino Linotype"/>
          <w:b/>
        </w:rPr>
        <w:t xml:space="preserve">4. Turno. </w:t>
      </w:r>
      <w:r w:rsidRPr="002423A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423AB">
        <w:rPr>
          <w:rFonts w:ascii="Palatino Linotype" w:eastAsia="Palatino Linotype" w:hAnsi="Palatino Linotype" w:cs="Palatino Linotype"/>
          <w:b/>
        </w:rPr>
        <w:t xml:space="preserve">Guadalupe Ramírez Peña, </w:t>
      </w:r>
      <w:r w:rsidRPr="002423AB">
        <w:rPr>
          <w:rFonts w:ascii="Palatino Linotype" w:eastAsia="Palatino Linotype" w:hAnsi="Palatino Linotype" w:cs="Palatino Linotype"/>
        </w:rPr>
        <w:t>a efecto de que analizara sobre su admisión o su desechamiento.</w:t>
      </w:r>
    </w:p>
    <w:p w14:paraId="637D3E78"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b/>
        </w:rPr>
        <w:t>5. Admisión del Recurso de revisión.</w:t>
      </w:r>
      <w:r w:rsidRPr="002423AB">
        <w:rPr>
          <w:rFonts w:ascii="Palatino Linotype" w:eastAsia="Palatino Linotype" w:hAnsi="Palatino Linotype" w:cs="Palatino Linotype"/>
        </w:rPr>
        <w:t xml:space="preserve"> Con fecha</w:t>
      </w:r>
      <w:r w:rsidRPr="002423AB">
        <w:rPr>
          <w:rFonts w:ascii="Palatino Linotype" w:eastAsia="Palatino Linotype" w:hAnsi="Palatino Linotype" w:cs="Palatino Linotype"/>
          <w:b/>
        </w:rPr>
        <w:t xml:space="preserve"> tres de abril de dos mil veinticuatro, </w:t>
      </w:r>
      <w:r w:rsidRPr="002423A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w:t>
      </w:r>
      <w:r w:rsidRPr="002423AB">
        <w:rPr>
          <w:rFonts w:ascii="Palatino Linotype" w:eastAsia="Palatino Linotype" w:hAnsi="Palatino Linotype" w:cs="Palatino Linotype"/>
        </w:rPr>
        <w:lastRenderedPageBreak/>
        <w:t xml:space="preserve">siete días hábiles para que las partes manifestaran lo que a su derecho resultara conveniente, ofrecieran pruebas, formularan alegatos y el </w:t>
      </w:r>
      <w:r w:rsidRPr="002423AB">
        <w:rPr>
          <w:rFonts w:ascii="Palatino Linotype" w:eastAsia="Palatino Linotype" w:hAnsi="Palatino Linotype" w:cs="Palatino Linotype"/>
          <w:b/>
        </w:rPr>
        <w:t xml:space="preserve">Sujeto Obligado </w:t>
      </w:r>
      <w:r w:rsidRPr="002423AB">
        <w:rPr>
          <w:rFonts w:ascii="Palatino Linotype" w:eastAsia="Palatino Linotype" w:hAnsi="Palatino Linotype" w:cs="Palatino Linotype"/>
        </w:rPr>
        <w:t>presentara su informe justificado.</w:t>
      </w:r>
    </w:p>
    <w:p w14:paraId="56D27941" w14:textId="77777777" w:rsidR="003E369A" w:rsidRPr="002423AB" w:rsidRDefault="00D83080">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2423AB">
        <w:rPr>
          <w:rFonts w:ascii="Palatino Linotype" w:eastAsia="Palatino Linotype" w:hAnsi="Palatino Linotype" w:cs="Palatino Linotype"/>
          <w:b/>
        </w:rPr>
        <w:t>6. Manifestaciones</w:t>
      </w:r>
      <w:r w:rsidRPr="002423AB">
        <w:rPr>
          <w:rFonts w:ascii="Palatino Linotype" w:eastAsia="Palatino Linotype" w:hAnsi="Palatino Linotype" w:cs="Palatino Linotype"/>
        </w:rPr>
        <w:t>. El</w:t>
      </w:r>
      <w:r w:rsidRPr="002423AB">
        <w:rPr>
          <w:rFonts w:ascii="Palatino Linotype" w:eastAsia="Palatino Linotype" w:hAnsi="Palatino Linotype" w:cs="Palatino Linotype"/>
          <w:b/>
        </w:rPr>
        <w:t xml:space="preserve"> doce de abril de dos mil veinticuatro, </w:t>
      </w:r>
      <w:r w:rsidRPr="002423AB">
        <w:rPr>
          <w:rFonts w:ascii="Palatino Linotype" w:eastAsia="Palatino Linotype" w:hAnsi="Palatino Linotype" w:cs="Palatino Linotype"/>
        </w:rPr>
        <w:t xml:space="preserve">el </w:t>
      </w:r>
      <w:r w:rsidRPr="002423AB">
        <w:rPr>
          <w:rFonts w:ascii="Palatino Linotype" w:eastAsia="Palatino Linotype" w:hAnsi="Palatino Linotype" w:cs="Palatino Linotype"/>
          <w:b/>
        </w:rPr>
        <w:t xml:space="preserve">Sujeto Obligado </w:t>
      </w:r>
      <w:r w:rsidRPr="002423AB">
        <w:rPr>
          <w:rFonts w:ascii="Palatino Linotype" w:eastAsia="Palatino Linotype" w:hAnsi="Palatino Linotype" w:cs="Palatino Linotype"/>
        </w:rPr>
        <w:t>remitió, a través del SAIMEX, su informe justificado, mediante el cual ratificó en lo sustancial la respuesta emitida en primera instancia, asimismo, refirió que la solicitud fue analizada dentro de las competencias de las Áreas administrativas que pudieran detentar la información requerida, conforme al Manual General de Organización del Hospital Regional de Alta Especialidad de Zumpango, esto es el Órgano Interno de Control, la Unidad Jurídica y de Igualdad de Género, así como la Unidad de Información, Planeación, programación y Evaluación, dentro de las cuales no obra alguna función designada que detente la información solicitada, no obstante, se hizo mención que la autoridad competente que pudiera contar con dicha información es la Comisión Nacional de Derechos Humanos o en su caso, la Comisión de Derechos Humanos del Estado de México.</w:t>
      </w:r>
    </w:p>
    <w:p w14:paraId="63828F86"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Documento que se hizo del conocimiento de la parte </w:t>
      </w:r>
      <w:r w:rsidRPr="002423AB">
        <w:rPr>
          <w:rFonts w:ascii="Palatino Linotype" w:eastAsia="Palatino Linotype" w:hAnsi="Palatino Linotype" w:cs="Palatino Linotype"/>
          <w:b/>
        </w:rPr>
        <w:t>Recurrente</w:t>
      </w:r>
      <w:r w:rsidRPr="002423AB">
        <w:rPr>
          <w:rFonts w:ascii="Palatino Linotype" w:eastAsia="Palatino Linotype" w:hAnsi="Palatino Linotype" w:cs="Palatino Linotype"/>
        </w:rPr>
        <w:t>, con la finalidad de que manifestara lo que a su derecho estimara conveniente, sin embargo, fue omisa en ejercer dicha prerrogativa.</w:t>
      </w:r>
    </w:p>
    <w:p w14:paraId="22C8EA83" w14:textId="77777777" w:rsidR="003E369A" w:rsidRPr="002423AB" w:rsidRDefault="00D83080">
      <w:pPr>
        <w:widowControl w:val="0"/>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b/>
        </w:rPr>
        <w:t>7. Ampliación del término para resolver</w:t>
      </w:r>
      <w:r w:rsidRPr="002423AB">
        <w:rPr>
          <w:rFonts w:ascii="Palatino Linotype" w:eastAsia="Palatino Linotype" w:hAnsi="Palatino Linotype" w:cs="Palatino Linotype"/>
        </w:rPr>
        <w:t xml:space="preserve">. El </w:t>
      </w:r>
      <w:r w:rsidRPr="002423AB">
        <w:rPr>
          <w:rFonts w:ascii="Palatino Linotype" w:eastAsia="Palatino Linotype" w:hAnsi="Palatino Linotype" w:cs="Palatino Linotype"/>
          <w:b/>
        </w:rPr>
        <w:t>cinco de septiembre de dos mil veinticuatro</w:t>
      </w:r>
      <w:r w:rsidRPr="002423AB">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10D96D79"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049722F"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CAE2388"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95E38F"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447D44C" w14:textId="77777777" w:rsidR="003E369A" w:rsidRPr="002423AB" w:rsidRDefault="00D83080">
      <w:pPr>
        <w:spacing w:before="240" w:after="240" w:line="360" w:lineRule="auto"/>
        <w:jc w:val="both"/>
        <w:rPr>
          <w:rFonts w:ascii="Palatino Linotype" w:eastAsia="Palatino Linotype" w:hAnsi="Palatino Linotype" w:cs="Palatino Linotype"/>
          <w:strike/>
        </w:rPr>
      </w:pPr>
      <w:r w:rsidRPr="002423A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2A817F1" w14:textId="77777777" w:rsidR="003E369A" w:rsidRPr="002423AB" w:rsidRDefault="00D83080">
      <w:pPr>
        <w:numPr>
          <w:ilvl w:val="0"/>
          <w:numId w:val="7"/>
        </w:num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25AB3219" w14:textId="77777777" w:rsidR="003E369A" w:rsidRPr="002423AB" w:rsidRDefault="00D83080">
      <w:pPr>
        <w:numPr>
          <w:ilvl w:val="0"/>
          <w:numId w:val="7"/>
        </w:num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Actividad Procesal del interesado. Acciones u omisiones del interesado.</w:t>
      </w:r>
    </w:p>
    <w:p w14:paraId="33ADAFBE" w14:textId="77777777" w:rsidR="003E369A" w:rsidRPr="002423AB" w:rsidRDefault="00D83080">
      <w:pPr>
        <w:numPr>
          <w:ilvl w:val="0"/>
          <w:numId w:val="7"/>
        </w:num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Conducta de la Autoridad: Las Acciones u omisiones realizadas en el procedimiento. Así como si la autoridad actuó con la debida diligencia.</w:t>
      </w:r>
    </w:p>
    <w:p w14:paraId="293BCA84" w14:textId="77777777" w:rsidR="003E369A" w:rsidRPr="002423AB" w:rsidRDefault="00D83080">
      <w:pPr>
        <w:spacing w:before="240" w:after="240" w:line="360" w:lineRule="auto"/>
        <w:ind w:left="567"/>
        <w:jc w:val="both"/>
        <w:rPr>
          <w:rFonts w:ascii="Palatino Linotype" w:eastAsia="Palatino Linotype" w:hAnsi="Palatino Linotype" w:cs="Palatino Linotype"/>
        </w:rPr>
      </w:pPr>
      <w:r w:rsidRPr="002423AB">
        <w:rPr>
          <w:rFonts w:ascii="Palatino Linotype" w:eastAsia="Palatino Linotype" w:hAnsi="Palatino Linotype" w:cs="Palatino Linotype"/>
        </w:rPr>
        <w:t>d) La afectación generada en la situación jurídica de la persona involucrada en el proceso: Violación a sus derechos humanos.</w:t>
      </w:r>
    </w:p>
    <w:p w14:paraId="75D4F028"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0E364E" w14:textId="77777777" w:rsidR="003E369A" w:rsidRPr="002423AB" w:rsidRDefault="00D83080">
      <w:pPr>
        <w:spacing w:before="240" w:after="240" w:line="360" w:lineRule="auto"/>
        <w:jc w:val="both"/>
        <w:rPr>
          <w:rFonts w:ascii="Palatino Linotype" w:eastAsia="Palatino Linotype" w:hAnsi="Palatino Linotype" w:cs="Palatino Linotype"/>
          <w:b/>
        </w:rPr>
      </w:pPr>
      <w:r w:rsidRPr="002423A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423A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423AB">
        <w:rPr>
          <w:rFonts w:ascii="Palatino Linotype" w:eastAsia="Palatino Linotype" w:hAnsi="Palatino Linotype" w:cs="Palatino Linotype"/>
        </w:rPr>
        <w:t>, visible en la Gaceta del Seminario Judicial de la Federación con el registro digital 205635.</w:t>
      </w:r>
    </w:p>
    <w:p w14:paraId="0D4606E9"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283D170"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606A9C1" w14:textId="77777777" w:rsidR="003E369A" w:rsidRPr="002423AB" w:rsidRDefault="00D83080">
      <w:pPr>
        <w:spacing w:before="240" w:after="240"/>
        <w:ind w:left="851" w:right="902"/>
        <w:jc w:val="both"/>
        <w:rPr>
          <w:rFonts w:ascii="Palatino Linotype" w:eastAsia="Palatino Linotype" w:hAnsi="Palatino Linotype" w:cs="Palatino Linotype"/>
          <w:sz w:val="22"/>
          <w:szCs w:val="22"/>
        </w:rPr>
      </w:pPr>
      <w:r w:rsidRPr="002423AB">
        <w:rPr>
          <w:rFonts w:ascii="Palatino Linotype" w:eastAsia="Palatino Linotype" w:hAnsi="Palatino Linotype" w:cs="Palatino Linotype"/>
        </w:rPr>
        <w:t xml:space="preserve"> </w:t>
      </w:r>
      <w:r w:rsidRPr="002423AB">
        <w:rPr>
          <w:rFonts w:ascii="Palatino Linotype" w:eastAsia="Palatino Linotype" w:hAnsi="Palatino Linotype" w:cs="Palatino Linotype"/>
          <w:i/>
          <w:sz w:val="22"/>
          <w:szCs w:val="22"/>
        </w:rPr>
        <w:t>“</w:t>
      </w:r>
      <w:r w:rsidRPr="002423AB">
        <w:rPr>
          <w:rFonts w:ascii="Palatino Linotype" w:eastAsia="Palatino Linotype" w:hAnsi="Palatino Linotype" w:cs="Palatino Linotype"/>
          <w:b/>
          <w:i/>
          <w:sz w:val="22"/>
          <w:szCs w:val="22"/>
        </w:rPr>
        <w:t>PLAZO RAZONABLE PARA RESOLVER. DIMENSIÓN Y EFECTOS DE ESTE CONCEPTO CUANDO SE ADUCE EXCESIVA CARGA DE TRABAJO</w:t>
      </w:r>
      <w:r w:rsidRPr="002423AB">
        <w:rPr>
          <w:rFonts w:ascii="Palatino Linotype" w:eastAsia="Palatino Linotype" w:hAnsi="Palatino Linotype" w:cs="Palatino Linotype"/>
          <w:i/>
          <w:sz w:val="22"/>
          <w:szCs w:val="22"/>
        </w:rPr>
        <w:t>.”</w:t>
      </w:r>
      <w:r w:rsidRPr="002423AB">
        <w:rPr>
          <w:rFonts w:ascii="Palatino Linotype" w:eastAsia="Palatino Linotype" w:hAnsi="Palatino Linotype" w:cs="Palatino Linotype"/>
          <w:sz w:val="22"/>
          <w:szCs w:val="22"/>
        </w:rPr>
        <w:t xml:space="preserve"> consultable en el Seminario Judicial de la Federación y su gaceta, con el registro digital 2002351.</w:t>
      </w:r>
    </w:p>
    <w:p w14:paraId="68AB1273" w14:textId="77777777" w:rsidR="003E369A" w:rsidRPr="002423AB" w:rsidRDefault="00D83080">
      <w:pPr>
        <w:spacing w:before="240" w:after="240"/>
        <w:ind w:left="851" w:right="902"/>
        <w:jc w:val="both"/>
        <w:rPr>
          <w:rFonts w:ascii="Palatino Linotype" w:eastAsia="Palatino Linotype" w:hAnsi="Palatino Linotype" w:cs="Palatino Linotype"/>
          <w:sz w:val="22"/>
          <w:szCs w:val="22"/>
        </w:rPr>
      </w:pPr>
      <w:r w:rsidRPr="002423AB">
        <w:rPr>
          <w:rFonts w:ascii="Palatino Linotype" w:eastAsia="Palatino Linotype" w:hAnsi="Palatino Linotype" w:cs="Palatino Linotype"/>
          <w:i/>
          <w:sz w:val="22"/>
          <w:szCs w:val="22"/>
        </w:rPr>
        <w:t>“</w:t>
      </w:r>
      <w:r w:rsidRPr="002423AB">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2423AB">
        <w:rPr>
          <w:rFonts w:ascii="Palatino Linotype" w:eastAsia="Palatino Linotype" w:hAnsi="Palatino Linotype" w:cs="Palatino Linotype"/>
          <w:i/>
          <w:sz w:val="22"/>
          <w:szCs w:val="22"/>
        </w:rPr>
        <w:t>.”</w:t>
      </w:r>
      <w:r w:rsidRPr="002423AB">
        <w:rPr>
          <w:rFonts w:ascii="Palatino Linotype" w:eastAsia="Palatino Linotype" w:hAnsi="Palatino Linotype" w:cs="Palatino Linotype"/>
          <w:sz w:val="22"/>
          <w:szCs w:val="22"/>
        </w:rPr>
        <w:t>, visible en el Seminario Judicial de la Federación y su gaceta, con el registro digital 2002350.</w:t>
      </w:r>
    </w:p>
    <w:p w14:paraId="05EFAE9B"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70A2834"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b/>
        </w:rPr>
        <w:lastRenderedPageBreak/>
        <w:t>8.</w:t>
      </w:r>
      <w:r w:rsidRPr="002423AB">
        <w:rPr>
          <w:rFonts w:ascii="Palatino Linotype" w:eastAsia="Palatino Linotype" w:hAnsi="Palatino Linotype" w:cs="Palatino Linotype"/>
        </w:rPr>
        <w:t xml:space="preserve"> </w:t>
      </w:r>
      <w:r w:rsidRPr="002423AB">
        <w:rPr>
          <w:rFonts w:ascii="Palatino Linotype" w:eastAsia="Palatino Linotype" w:hAnsi="Palatino Linotype" w:cs="Palatino Linotype"/>
          <w:b/>
        </w:rPr>
        <w:t xml:space="preserve">Cierre de instrucción. </w:t>
      </w:r>
      <w:r w:rsidRPr="002423AB">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2423AB">
        <w:rPr>
          <w:rFonts w:ascii="Palatino Linotype" w:eastAsia="Palatino Linotype" w:hAnsi="Palatino Linotype" w:cs="Palatino Linotype"/>
          <w:b/>
        </w:rPr>
        <w:t>cinco de septiembre de dos mil veinticuatro</w:t>
      </w:r>
      <w:r w:rsidRPr="002423A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BB54010"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367723E" w14:textId="77777777" w:rsidR="003E369A" w:rsidRPr="002423AB" w:rsidRDefault="00D83080">
      <w:pPr>
        <w:widowControl w:val="0"/>
        <w:spacing w:before="240" w:after="240" w:line="360" w:lineRule="auto"/>
        <w:jc w:val="center"/>
        <w:rPr>
          <w:rFonts w:ascii="Palatino Linotype" w:eastAsia="Palatino Linotype" w:hAnsi="Palatino Linotype" w:cs="Palatino Linotype"/>
          <w:b/>
        </w:rPr>
      </w:pPr>
      <w:r w:rsidRPr="002423AB">
        <w:rPr>
          <w:rFonts w:ascii="Palatino Linotype" w:eastAsia="Palatino Linotype" w:hAnsi="Palatino Linotype" w:cs="Palatino Linotype"/>
          <w:b/>
        </w:rPr>
        <w:t>II. C O N S I D E R A N D O S</w:t>
      </w:r>
    </w:p>
    <w:p w14:paraId="2296727E"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b/>
        </w:rPr>
        <w:t>Primero. Competencia.</w:t>
      </w:r>
      <w:r w:rsidRPr="002423A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0B30792" w14:textId="77777777" w:rsidR="003E369A" w:rsidRPr="002423AB" w:rsidRDefault="00D83080">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2423AB">
        <w:rPr>
          <w:rFonts w:ascii="Palatino Linotype" w:eastAsia="Palatino Linotype" w:hAnsi="Palatino Linotype" w:cs="Palatino Linotype"/>
          <w:b/>
        </w:rPr>
        <w:t>Segundo. Oportunidad y Procedibilidad del Recurso de Revisión</w:t>
      </w:r>
      <w:r w:rsidRPr="002423AB">
        <w:rPr>
          <w:rFonts w:ascii="Palatino Linotype" w:eastAsia="Palatino Linotype" w:hAnsi="Palatino Linotype" w:cs="Palatino Linotype"/>
        </w:rPr>
        <w:t xml:space="preserve">. Previo al estudio del fondo del asunto, se procede a analizar los requisitos de oportunidad y </w:t>
      </w:r>
      <w:r w:rsidRPr="002423AB">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14:paraId="6F361D90"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2423AB">
        <w:rPr>
          <w:rFonts w:ascii="Palatino Linotype" w:eastAsia="Palatino Linotype" w:hAnsi="Palatino Linotype" w:cs="Palatino Linotype"/>
          <w:b/>
        </w:rPr>
        <w:t xml:space="preserve">Sujeto Obligado </w:t>
      </w:r>
      <w:r w:rsidRPr="002423AB">
        <w:rPr>
          <w:rFonts w:ascii="Palatino Linotype" w:eastAsia="Palatino Linotype" w:hAnsi="Palatino Linotype" w:cs="Palatino Linotype"/>
        </w:rPr>
        <w:t xml:space="preserve">remitió la respuesta a la solicitud de información el día </w:t>
      </w:r>
      <w:r w:rsidRPr="002423AB">
        <w:rPr>
          <w:rFonts w:ascii="Palatino Linotype" w:eastAsia="Palatino Linotype" w:hAnsi="Palatino Linotype" w:cs="Palatino Linotype"/>
          <w:b/>
        </w:rPr>
        <w:t>veintidós de marzo de dos mil veinticuatro</w:t>
      </w:r>
      <w:r w:rsidRPr="002423AB">
        <w:rPr>
          <w:rFonts w:ascii="Palatino Linotype" w:eastAsia="Palatino Linotype" w:hAnsi="Palatino Linotype" w:cs="Palatino Linotype"/>
        </w:rPr>
        <w:t>,</w:t>
      </w:r>
      <w:r w:rsidRPr="002423AB">
        <w:rPr>
          <w:rFonts w:ascii="Palatino Linotype" w:eastAsia="Palatino Linotype" w:hAnsi="Palatino Linotype" w:cs="Palatino Linotype"/>
          <w:b/>
        </w:rPr>
        <w:t xml:space="preserve"> </w:t>
      </w:r>
      <w:r w:rsidRPr="002423AB">
        <w:rPr>
          <w:rFonts w:ascii="Palatino Linotype" w:eastAsia="Palatino Linotype" w:hAnsi="Palatino Linotype" w:cs="Palatino Linotype"/>
        </w:rPr>
        <w:t xml:space="preserve">mientras que el recurso de revisión interpuesto por la parte </w:t>
      </w:r>
      <w:r w:rsidRPr="002423AB">
        <w:rPr>
          <w:rFonts w:ascii="Palatino Linotype" w:eastAsia="Palatino Linotype" w:hAnsi="Palatino Linotype" w:cs="Palatino Linotype"/>
          <w:b/>
        </w:rPr>
        <w:t>Recurrente</w:t>
      </w:r>
      <w:r w:rsidRPr="002423AB">
        <w:rPr>
          <w:rFonts w:ascii="Palatino Linotype" w:eastAsia="Palatino Linotype" w:hAnsi="Palatino Linotype" w:cs="Palatino Linotype"/>
        </w:rPr>
        <w:t xml:space="preserve">, se tuvo por presentado el día </w:t>
      </w:r>
      <w:r w:rsidRPr="002423AB">
        <w:rPr>
          <w:rFonts w:ascii="Palatino Linotype" w:eastAsia="Palatino Linotype" w:hAnsi="Palatino Linotype" w:cs="Palatino Linotype"/>
          <w:b/>
        </w:rPr>
        <w:t>veintidós de marzo de dos mil veinticuatro</w:t>
      </w:r>
      <w:r w:rsidRPr="002423AB">
        <w:rPr>
          <w:rFonts w:ascii="Palatino Linotype" w:eastAsia="Palatino Linotype" w:hAnsi="Palatino Linotype" w:cs="Palatino Linotype"/>
        </w:rPr>
        <w:t>, esto es el mismo día hábil en que tuvo conocimiento de la respuesta impugnada. En este sentido, se concluye que el presente recurso de revisión se encuentra dentro de los márgenes temporales previstos en las disposiciones legales referidas.</w:t>
      </w:r>
    </w:p>
    <w:p w14:paraId="0A191FFE"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0ED09E6" w14:textId="77777777" w:rsidR="003E369A" w:rsidRPr="002423AB" w:rsidRDefault="00D83080">
      <w:pPr>
        <w:spacing w:before="120" w:after="120"/>
        <w:ind w:left="851" w:right="902"/>
        <w:jc w:val="both"/>
        <w:rPr>
          <w:i/>
          <w:sz w:val="22"/>
          <w:szCs w:val="22"/>
        </w:rPr>
      </w:pPr>
      <w:r w:rsidRPr="002423AB">
        <w:rPr>
          <w:rFonts w:ascii="Palatino Linotype" w:eastAsia="Palatino Linotype" w:hAnsi="Palatino Linotype" w:cs="Palatino Linotype"/>
          <w:b/>
          <w:i/>
          <w:sz w:val="22"/>
          <w:szCs w:val="22"/>
        </w:rPr>
        <w:lastRenderedPageBreak/>
        <w:t>“RECURSO DE RECLAMACIÓN. SU INTERPOSICIÓN NO ES EXTEMPORÁNEA SI SE REALIZA ANTES DE QUE INICIE EL PLAZO PARA HACERLO</w:t>
      </w:r>
      <w:r w:rsidRPr="002423AB">
        <w:rPr>
          <w:rFonts w:ascii="Palatino Linotype" w:eastAsia="Palatino Linotype" w:hAnsi="Palatino Linotype" w:cs="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RPr="002423AB">
        <w:rPr>
          <w:i/>
          <w:sz w:val="22"/>
          <w:szCs w:val="22"/>
        </w:rPr>
        <w:t>.”</w:t>
      </w:r>
    </w:p>
    <w:p w14:paraId="20A17FFE" w14:textId="77777777" w:rsidR="003E369A" w:rsidRPr="002423AB" w:rsidRDefault="00D83080">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2423AB">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EB7F908"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A efecto de sustentar lo anterior, es de suma importancia mencionar que si bien la persona solicitante </w:t>
      </w:r>
      <w:r w:rsidRPr="002423AB">
        <w:rPr>
          <w:rFonts w:ascii="Palatino Linotype" w:eastAsia="Palatino Linotype" w:hAnsi="Palatino Linotype" w:cs="Palatino Linotype"/>
          <w:b/>
        </w:rPr>
        <w:t xml:space="preserve"> no proporcionó nombre completo, </w:t>
      </w:r>
      <w:r w:rsidRPr="002423AB">
        <w:rPr>
          <w:rFonts w:ascii="Palatino Linotype" w:eastAsia="Palatino Linotype" w:hAnsi="Palatino Linotype" w:cs="Palatino Linotype"/>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2D9915F" w14:textId="77777777" w:rsidR="003E369A" w:rsidRPr="002423AB" w:rsidRDefault="00D83080">
      <w:pPr>
        <w:spacing w:before="120" w:after="120"/>
        <w:ind w:left="851" w:right="902"/>
        <w:jc w:val="both"/>
        <w:rPr>
          <w:rFonts w:ascii="Palatino Linotype" w:eastAsia="Palatino Linotype" w:hAnsi="Palatino Linotype" w:cs="Palatino Linotype"/>
          <w:sz w:val="22"/>
          <w:szCs w:val="22"/>
        </w:rPr>
      </w:pPr>
      <w:r w:rsidRPr="002423AB">
        <w:rPr>
          <w:rFonts w:ascii="Palatino Linotype" w:eastAsia="Palatino Linotype" w:hAnsi="Palatino Linotype" w:cs="Palatino Linotype"/>
          <w:i/>
          <w:sz w:val="22"/>
          <w:szCs w:val="22"/>
        </w:rPr>
        <w:t>"</w:t>
      </w:r>
      <w:r w:rsidRPr="002423AB">
        <w:rPr>
          <w:rFonts w:ascii="Palatino Linotype" w:eastAsia="Palatino Linotype" w:hAnsi="Palatino Linotype" w:cs="Palatino Linotype"/>
          <w:b/>
          <w:i/>
          <w:sz w:val="22"/>
          <w:szCs w:val="22"/>
        </w:rPr>
        <w:t>Las solicitudes anónimas</w:t>
      </w:r>
      <w:r w:rsidRPr="002423AB">
        <w:rPr>
          <w:rFonts w:ascii="Palatino Linotype" w:eastAsia="Palatino Linotype" w:hAnsi="Palatino Linotype" w:cs="Palatino Linotype"/>
          <w:i/>
          <w:sz w:val="22"/>
          <w:szCs w:val="22"/>
        </w:rPr>
        <w:t xml:space="preserve">, con nombre incompleto o seudónimo </w:t>
      </w:r>
      <w:r w:rsidRPr="002423AB">
        <w:rPr>
          <w:rFonts w:ascii="Palatino Linotype" w:eastAsia="Palatino Linotype" w:hAnsi="Palatino Linotype" w:cs="Palatino Linotype"/>
          <w:b/>
          <w:i/>
          <w:sz w:val="22"/>
          <w:szCs w:val="22"/>
        </w:rPr>
        <w:t>serán procedentes para su trámite por parte del sujeto obligado ante quien se presente</w:t>
      </w:r>
      <w:r w:rsidRPr="002423AB">
        <w:rPr>
          <w:rFonts w:ascii="Palatino Linotype" w:eastAsia="Palatino Linotype" w:hAnsi="Palatino Linotype" w:cs="Palatino Linotype"/>
          <w:i/>
          <w:sz w:val="22"/>
          <w:szCs w:val="22"/>
        </w:rPr>
        <w:t>. No podrá requerirse información adicional con motivo del nombre proporcionado por el solicitante."</w:t>
      </w:r>
    </w:p>
    <w:p w14:paraId="0FAAA323"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2423AB">
        <w:rPr>
          <w:rFonts w:ascii="Palatino Linotype" w:eastAsia="Palatino Linotype" w:hAnsi="Palatino Linotype" w:cs="Palatino Linotype"/>
          <w:b/>
        </w:rPr>
        <w:t>Recurrente</w:t>
      </w:r>
      <w:r w:rsidRPr="002423AB">
        <w:rPr>
          <w:rFonts w:ascii="Palatino Linotype" w:eastAsia="Palatino Linotype" w:hAnsi="Palatino Linotype" w:cs="Palatino Linotype"/>
        </w:rPr>
        <w:t>, por lo que, en el presente caso, al haber sido presentado el recurso de revisión vía SAIMEX, dicho requisito resulta innecesario.</w:t>
      </w:r>
    </w:p>
    <w:p w14:paraId="20411CFB"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Finalmente, se advierte que resulta procedente la interposición del recurso, según lo manifestado por la parte </w:t>
      </w:r>
      <w:r w:rsidRPr="002423AB">
        <w:rPr>
          <w:rFonts w:ascii="Palatino Linotype" w:eastAsia="Palatino Linotype" w:hAnsi="Palatino Linotype" w:cs="Palatino Linotype"/>
          <w:b/>
        </w:rPr>
        <w:t>Recurrente</w:t>
      </w:r>
      <w:r w:rsidRPr="002423AB">
        <w:rPr>
          <w:rFonts w:ascii="Palatino Linotype" w:eastAsia="Palatino Linotype" w:hAnsi="Palatino Linotype" w:cs="Palatino Linotype"/>
        </w:rPr>
        <w:t xml:space="preserve"> en sus motivos de inconformidad, de acuerdo al artículo 179, fracción I del ordenamiento legal citado, que a la letra dice: </w:t>
      </w:r>
    </w:p>
    <w:p w14:paraId="7D01838D"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w:t>
      </w:r>
      <w:r w:rsidRPr="002423AB">
        <w:rPr>
          <w:rFonts w:ascii="Palatino Linotype" w:eastAsia="Palatino Linotype" w:hAnsi="Palatino Linotype" w:cs="Palatino Linotype"/>
          <w:b/>
          <w:i/>
          <w:sz w:val="22"/>
          <w:szCs w:val="22"/>
        </w:rPr>
        <w:t>Artículo 179.</w:t>
      </w:r>
      <w:r w:rsidRPr="002423A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E20A52B" w14:textId="77777777" w:rsidR="003E369A" w:rsidRPr="002423AB" w:rsidRDefault="00D83080">
      <w:pPr>
        <w:spacing w:before="120" w:after="120"/>
        <w:ind w:left="1134" w:right="900"/>
        <w:jc w:val="both"/>
        <w:rPr>
          <w:rFonts w:ascii="Palatino Linotype" w:eastAsia="Palatino Linotype" w:hAnsi="Palatino Linotype" w:cs="Palatino Linotype"/>
          <w:b/>
          <w:i/>
          <w:sz w:val="22"/>
          <w:szCs w:val="22"/>
        </w:rPr>
      </w:pPr>
      <w:r w:rsidRPr="002423AB">
        <w:rPr>
          <w:rFonts w:ascii="Palatino Linotype" w:eastAsia="Palatino Linotype" w:hAnsi="Palatino Linotype" w:cs="Palatino Linotype"/>
          <w:b/>
          <w:i/>
          <w:sz w:val="22"/>
          <w:szCs w:val="22"/>
        </w:rPr>
        <w:t>I.</w:t>
      </w:r>
      <w:r w:rsidRPr="002423AB">
        <w:rPr>
          <w:rFonts w:ascii="Palatino Linotype" w:eastAsia="Palatino Linotype" w:hAnsi="Palatino Linotype" w:cs="Palatino Linotype"/>
          <w:i/>
          <w:sz w:val="22"/>
          <w:szCs w:val="22"/>
        </w:rPr>
        <w:t xml:space="preserve"> La negativa a la información solicitada; </w:t>
      </w:r>
      <w:r w:rsidRPr="002423AB">
        <w:rPr>
          <w:rFonts w:ascii="Palatino Linotype" w:eastAsia="Palatino Linotype" w:hAnsi="Palatino Linotype" w:cs="Palatino Linotype"/>
          <w:i/>
          <w:sz w:val="22"/>
          <w:szCs w:val="22"/>
        </w:rPr>
        <w:br/>
      </w:r>
      <w:r w:rsidRPr="002423AB">
        <w:rPr>
          <w:rFonts w:ascii="Palatino Linotype" w:eastAsia="Palatino Linotype" w:hAnsi="Palatino Linotype" w:cs="Palatino Linotype"/>
          <w:b/>
          <w:i/>
          <w:sz w:val="22"/>
          <w:szCs w:val="22"/>
        </w:rPr>
        <w:t>…</w:t>
      </w:r>
    </w:p>
    <w:p w14:paraId="056D4083" w14:textId="77777777" w:rsidR="003E369A" w:rsidRPr="002423AB" w:rsidRDefault="00D83080">
      <w:pPr>
        <w:spacing w:before="240" w:after="240" w:line="360" w:lineRule="auto"/>
        <w:jc w:val="both"/>
        <w:rPr>
          <w:rFonts w:ascii="Palatino Linotype" w:eastAsia="Palatino Linotype" w:hAnsi="Palatino Linotype" w:cs="Palatino Linotype"/>
          <w:b/>
        </w:rPr>
      </w:pPr>
      <w:r w:rsidRPr="002423AB">
        <w:rPr>
          <w:rFonts w:ascii="Palatino Linotype" w:eastAsia="Palatino Linotype" w:hAnsi="Palatino Linotype" w:cs="Palatino Linotype"/>
          <w:b/>
        </w:rPr>
        <w:t xml:space="preserve">Tercero. Materia de la revisión. </w:t>
      </w:r>
      <w:r w:rsidRPr="002423A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2423AB">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2423AB">
        <w:rPr>
          <w:rFonts w:ascii="Palatino Linotype" w:eastAsia="Palatino Linotype" w:hAnsi="Palatino Linotype" w:cs="Palatino Linotype"/>
        </w:rPr>
        <w:t xml:space="preserve">de la parte </w:t>
      </w:r>
      <w:r w:rsidRPr="002423AB">
        <w:rPr>
          <w:rFonts w:ascii="Palatino Linotype" w:eastAsia="Palatino Linotype" w:hAnsi="Palatino Linotype" w:cs="Palatino Linotype"/>
          <w:b/>
        </w:rPr>
        <w:t>Recurrente</w:t>
      </w:r>
      <w:r w:rsidRPr="002423AB">
        <w:rPr>
          <w:rFonts w:ascii="Palatino Linotype" w:eastAsia="Palatino Linotype" w:hAnsi="Palatino Linotype" w:cs="Palatino Linotype"/>
        </w:rPr>
        <w:t>, o en su defecto, en caso de ser procedente, ordenar la entrega de información.</w:t>
      </w:r>
    </w:p>
    <w:p w14:paraId="4B50858E" w14:textId="77777777" w:rsidR="003E369A" w:rsidRPr="002423AB" w:rsidRDefault="00D83080">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2423AB">
        <w:rPr>
          <w:rFonts w:ascii="Palatino Linotype" w:eastAsia="Palatino Linotype" w:hAnsi="Palatino Linotype" w:cs="Palatino Linotype"/>
          <w:b/>
        </w:rPr>
        <w:t xml:space="preserve">Cuarto. Estudio del asunto. </w:t>
      </w:r>
      <w:r w:rsidRPr="002423AB">
        <w:rPr>
          <w:rFonts w:ascii="Palatino Linotype" w:eastAsia="Palatino Linotype" w:hAnsi="Palatino Linotype" w:cs="Palatino Linotype"/>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w:t>
      </w:r>
      <w:r w:rsidRPr="002423AB">
        <w:rPr>
          <w:rFonts w:ascii="Palatino Linotype" w:eastAsia="Palatino Linotype" w:hAnsi="Palatino Linotype" w:cs="Palatino Linotype"/>
        </w:rPr>
        <w:lastRenderedPageBreak/>
        <w:t>pública y accesible de manera permanente a cualquier persona, privilegiando el principio de máxima publicidad, como así lo establece dicha determinación, que a continuación se trascribe para un mejor entendimiento:</w:t>
      </w:r>
    </w:p>
    <w:p w14:paraId="6B20799E"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w:t>
      </w:r>
      <w:r w:rsidRPr="002423AB">
        <w:rPr>
          <w:rFonts w:ascii="Palatino Linotype" w:eastAsia="Palatino Linotype" w:hAnsi="Palatino Linotype" w:cs="Palatino Linotype"/>
          <w:b/>
          <w:i/>
          <w:sz w:val="22"/>
          <w:szCs w:val="22"/>
        </w:rPr>
        <w:t>Artículo 4</w:t>
      </w:r>
      <w:r w:rsidRPr="002423A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7E684DA"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423A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18392F6"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423AB">
        <w:rPr>
          <w:rFonts w:ascii="Palatino Linotype" w:eastAsia="Palatino Linotype" w:hAnsi="Palatino Linotype" w:cs="Palatino Linotype"/>
          <w:i/>
          <w:sz w:val="22"/>
          <w:szCs w:val="22"/>
        </w:rPr>
        <w:t>.”</w:t>
      </w:r>
    </w:p>
    <w:p w14:paraId="6FA9B331"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C4C581C"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lastRenderedPageBreak/>
        <w:t>“Artículo 12.-</w:t>
      </w:r>
      <w:r w:rsidRPr="002423A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7DD0701"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423AB">
        <w:rPr>
          <w:rFonts w:ascii="Palatino Linotype" w:eastAsia="Palatino Linotype" w:hAnsi="Palatino Linotype" w:cs="Palatino Linotype"/>
          <w:i/>
          <w:sz w:val="22"/>
          <w:szCs w:val="22"/>
        </w:rPr>
        <w:t xml:space="preserve">. </w:t>
      </w:r>
      <w:r w:rsidRPr="002423A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562B396" w14:textId="77777777" w:rsidR="003E369A" w:rsidRPr="002423AB" w:rsidRDefault="00D83080">
      <w:pPr>
        <w:spacing w:before="240" w:after="240" w:line="360" w:lineRule="auto"/>
        <w:ind w:right="-93"/>
        <w:jc w:val="both"/>
        <w:rPr>
          <w:rFonts w:ascii="Palatino Linotype" w:eastAsia="Palatino Linotype" w:hAnsi="Palatino Linotype" w:cs="Palatino Linotype"/>
        </w:rPr>
      </w:pPr>
      <w:r w:rsidRPr="002423AB">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69075DB" w14:textId="77777777" w:rsidR="003E369A" w:rsidRPr="002423AB" w:rsidRDefault="00D83080">
      <w:pPr>
        <w:spacing w:before="240" w:after="240" w:line="360" w:lineRule="auto"/>
        <w:jc w:val="both"/>
        <w:rPr>
          <w:rFonts w:ascii="Palatino Linotype" w:eastAsia="Palatino Linotype" w:hAnsi="Palatino Linotype" w:cs="Palatino Linotype"/>
          <w:b/>
        </w:rPr>
      </w:pPr>
      <w:r w:rsidRPr="002423AB">
        <w:rPr>
          <w:rFonts w:ascii="Palatino Linotype" w:eastAsia="Palatino Linotype" w:hAnsi="Palatino Linotype" w:cs="Palatino Linotype"/>
        </w:rPr>
        <w:t>Sirve de apoyo a lo anterior, el criterio 03/17, emitido por el Instituto Nacional de Transparencia, Acceso a la Información y Protección de Datos Personales, que por rubro y texto, dispone lo siguiente:</w:t>
      </w:r>
      <w:r w:rsidRPr="002423AB">
        <w:rPr>
          <w:rFonts w:ascii="Palatino Linotype" w:eastAsia="Palatino Linotype" w:hAnsi="Palatino Linotype" w:cs="Palatino Linotype"/>
          <w:b/>
        </w:rPr>
        <w:t xml:space="preserve"> </w:t>
      </w:r>
    </w:p>
    <w:p w14:paraId="4F062FD8"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w:t>
      </w:r>
      <w:r w:rsidRPr="002423AB">
        <w:rPr>
          <w:rFonts w:ascii="Palatino Linotype" w:eastAsia="Palatino Linotype" w:hAnsi="Palatino Linotype" w:cs="Palatino Linotype"/>
          <w:b/>
          <w:i/>
          <w:sz w:val="22"/>
          <w:szCs w:val="22"/>
        </w:rPr>
        <w:t>No existe obligación de elaborar documentos ad hoc para atender las solicitudes de acceso a la información.</w:t>
      </w:r>
      <w:r w:rsidRPr="002423A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2423AB">
        <w:rPr>
          <w:rFonts w:ascii="Palatino Linotype" w:eastAsia="Palatino Linotype" w:hAnsi="Palatino Linotype" w:cs="Palatino Linotype"/>
          <w:i/>
          <w:sz w:val="22"/>
          <w:szCs w:val="22"/>
        </w:rPr>
        <w:lastRenderedPageBreak/>
        <w:t>que la misma obre en sus archivos; sin necesidad de elaborar documentos ad hoc para atender las solicitudes de información.” (Sic)</w:t>
      </w:r>
    </w:p>
    <w:p w14:paraId="3B6650C7" w14:textId="77777777" w:rsidR="003E369A" w:rsidRPr="002423AB" w:rsidRDefault="00D83080">
      <w:pPr>
        <w:spacing w:before="120" w:after="12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F35BDEE" w14:textId="77777777" w:rsidR="003E369A" w:rsidRPr="002423AB" w:rsidRDefault="00D83080">
      <w:pPr>
        <w:spacing w:before="120" w:after="12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BC432EC"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w:t>
      </w:r>
      <w:r w:rsidRPr="002423AB">
        <w:rPr>
          <w:rFonts w:ascii="Palatino Linotype" w:eastAsia="Palatino Linotype" w:hAnsi="Palatino Linotype" w:cs="Palatino Linotype"/>
          <w:b/>
          <w:i/>
          <w:sz w:val="22"/>
          <w:szCs w:val="22"/>
        </w:rPr>
        <w:t xml:space="preserve">Artículo 3. </w:t>
      </w:r>
      <w:r w:rsidRPr="002423AB">
        <w:rPr>
          <w:rFonts w:ascii="Palatino Linotype" w:eastAsia="Palatino Linotype" w:hAnsi="Palatino Linotype" w:cs="Palatino Linotype"/>
          <w:i/>
          <w:sz w:val="22"/>
          <w:szCs w:val="22"/>
        </w:rPr>
        <w:t>Para los efectos de la presente Ley se entenderá por:</w:t>
      </w:r>
    </w:p>
    <w:p w14:paraId="20E24AF3"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w:t>
      </w:r>
    </w:p>
    <w:p w14:paraId="2461FD22"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XI. Documento:</w:t>
      </w:r>
      <w:r w:rsidRPr="002423AB">
        <w:rPr>
          <w:rFonts w:ascii="Palatino Linotype" w:eastAsia="Palatino Linotype" w:hAnsi="Palatino Linotype" w:cs="Palatino Linotype"/>
          <w:i/>
          <w:sz w:val="22"/>
          <w:szCs w:val="22"/>
        </w:rPr>
        <w:t xml:space="preserve"> Los expedientes, reportes, estudios, actas</w:t>
      </w:r>
      <w:r w:rsidRPr="002423AB">
        <w:rPr>
          <w:rFonts w:ascii="Palatino Linotype" w:eastAsia="Palatino Linotype" w:hAnsi="Palatino Linotype" w:cs="Palatino Linotype"/>
          <w:b/>
          <w:i/>
          <w:sz w:val="22"/>
          <w:szCs w:val="22"/>
        </w:rPr>
        <w:t>,</w:t>
      </w:r>
      <w:r w:rsidRPr="002423A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E38C54F"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2F65E3C"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sz w:val="22"/>
          <w:szCs w:val="22"/>
        </w:rPr>
        <w:t>“</w:t>
      </w:r>
      <w:r w:rsidRPr="002423A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423A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08A0B47"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ADF5059"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1A50F4"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30A09827"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1BF9DF38" w14:textId="77777777" w:rsidR="003E369A" w:rsidRPr="002423AB" w:rsidRDefault="00D83080">
      <w:pPr>
        <w:spacing w:before="240" w:after="240" w:line="360" w:lineRule="auto"/>
        <w:ind w:right="51"/>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w:t>
      </w:r>
      <w:r w:rsidRPr="002423AB">
        <w:rPr>
          <w:rFonts w:ascii="Palatino Linotype" w:eastAsia="Palatino Linotype" w:hAnsi="Palatino Linotype" w:cs="Palatino Linotype"/>
        </w:rPr>
        <w:lastRenderedPageBreak/>
        <w:t>transparencia y la versión pública que emita el servidor público habilitado de cada Sujeto Obligado; como así se establece en la Ley de Transparencia y Acceso a la Información Pública del Estado de México y Municipios.</w:t>
      </w:r>
    </w:p>
    <w:p w14:paraId="5BF53305"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8B33230" w14:textId="77777777" w:rsidR="003E369A" w:rsidRPr="002423AB" w:rsidRDefault="00D83080">
      <w:pPr>
        <w:spacing w:before="240" w:after="240" w:line="360" w:lineRule="auto"/>
        <w:ind w:right="51"/>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2423AB">
        <w:rPr>
          <w:rFonts w:ascii="Palatino Linotype" w:eastAsia="Palatino Linotype" w:hAnsi="Palatino Linotype" w:cs="Palatino Linotype"/>
          <w:b/>
        </w:rPr>
        <w:t>Recurrente</w:t>
      </w:r>
      <w:r w:rsidRPr="002423AB">
        <w:rPr>
          <w:rFonts w:ascii="Palatino Linotype" w:eastAsia="Palatino Linotype" w:hAnsi="Palatino Linotype" w:cs="Palatino Linotype"/>
        </w:rPr>
        <w:t xml:space="preserve"> requirió al </w:t>
      </w:r>
      <w:r w:rsidRPr="002423AB">
        <w:rPr>
          <w:rFonts w:ascii="Palatino Linotype" w:eastAsia="Palatino Linotype" w:hAnsi="Palatino Linotype" w:cs="Palatino Linotype"/>
          <w:b/>
        </w:rPr>
        <w:t xml:space="preserve">Sujeto Obligado </w:t>
      </w:r>
      <w:r w:rsidRPr="002423AB">
        <w:rPr>
          <w:rFonts w:ascii="Palatino Linotype" w:eastAsia="Palatino Linotype" w:hAnsi="Palatino Linotype" w:cs="Palatino Linotype"/>
        </w:rPr>
        <w:t>le proporcione, información consistente en lo siguiente:</w:t>
      </w:r>
    </w:p>
    <w:p w14:paraId="3D994071" w14:textId="77777777" w:rsidR="003E369A" w:rsidRPr="002423AB" w:rsidRDefault="00D83080">
      <w:pPr>
        <w:spacing w:before="240" w:after="240" w:line="360" w:lineRule="auto"/>
        <w:ind w:left="426" w:right="51"/>
        <w:jc w:val="both"/>
        <w:rPr>
          <w:rFonts w:ascii="Palatino Linotype" w:eastAsia="Palatino Linotype" w:hAnsi="Palatino Linotype" w:cs="Palatino Linotype"/>
        </w:rPr>
      </w:pPr>
      <w:r w:rsidRPr="002423AB">
        <w:rPr>
          <w:rFonts w:ascii="Palatino Linotype" w:eastAsia="Palatino Linotype" w:hAnsi="Palatino Linotype" w:cs="Palatino Linotype"/>
        </w:rPr>
        <w:t>1. El nombre de los y las servidores públicos del Hospital Regional de Alta Especialidad de Zumpango que se han visto involucrados en quejas ante la Comisión de Derechos Humanos durante los años 2022, 2023 y 2024, el motivo de las quejas, y la evidencia documental del seguimiento que se les haya dado.</w:t>
      </w:r>
    </w:p>
    <w:p w14:paraId="3B4A0332"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En respuesta a la solicitud, el </w:t>
      </w:r>
      <w:r w:rsidRPr="002423AB">
        <w:rPr>
          <w:rFonts w:ascii="Palatino Linotype" w:eastAsia="Palatino Linotype" w:hAnsi="Palatino Linotype" w:cs="Palatino Linotype"/>
          <w:b/>
        </w:rPr>
        <w:t xml:space="preserve">Sujeto Obligado, </w:t>
      </w:r>
      <w:r w:rsidRPr="002423AB">
        <w:rPr>
          <w:rFonts w:ascii="Palatino Linotype" w:eastAsia="Palatino Linotype" w:hAnsi="Palatino Linotype" w:cs="Palatino Linotype"/>
        </w:rPr>
        <w:t>por conducto del Titular del Órgano Interno de Control, manifestó que la solicitud resulta inatendible por el Órgano a su cargo, al no ser competente respecto de las quejas relacionadas con Derechos Humanos, por no encontrarse dentro de sus funciones de conformidad con el Reglamento Interior de la Secretaría de la Contraloría del Gobierno del Estado de México, así como el Manual General de Organización del Hospital Regional de Alta Especialidad de Zumpango, ya que el objetivo de dicha dependencia consiste en la atención de peticiones, quejas, denuncias ciudadanas, la realización de auditorías y la resolución de procedimientos de responsabilidad administrativa por actos u omisiones cometidas por personas servidoras públicas o ex servidoras públicas adscritas al Hospital.</w:t>
      </w:r>
    </w:p>
    <w:p w14:paraId="21696E55"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Asimismo, refirió que lo solicitado pudiera encontrarse en resguardo de la Comisión Nacional de Derechos Humanos o a Comisión de Derechos Humanos del Estado de México, cuyos datos proporciona para efectos del ejercicio del Derecho de acceso a través de una solicitud de información.</w:t>
      </w:r>
    </w:p>
    <w:p w14:paraId="64BA6C32"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No obstante, al no estar conforme con los términos de dicha respuesta, la persona solicitante interpuso el recurso de revisión que nos ocupa, donde manifestó que le fue negada la información, al haber contestado únicamente el Órgano Interno de Control, sin embargo, considera que no es la única unidad administrativa que puede tener la información, es decir, considera que no se turnó a todas las áreas que pueden contar con dicha información.</w:t>
      </w:r>
    </w:p>
    <w:p w14:paraId="5ED5B8A4"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Durante la etapa de manifestaciones el </w:t>
      </w:r>
      <w:r w:rsidRPr="002423AB">
        <w:rPr>
          <w:rFonts w:ascii="Palatino Linotype" w:eastAsia="Palatino Linotype" w:hAnsi="Palatino Linotype" w:cs="Palatino Linotype"/>
          <w:b/>
        </w:rPr>
        <w:t xml:space="preserve">Sujeto Obligado, </w:t>
      </w:r>
      <w:r w:rsidRPr="002423AB">
        <w:rPr>
          <w:rFonts w:ascii="Palatino Linotype" w:eastAsia="Palatino Linotype" w:hAnsi="Palatino Linotype" w:cs="Palatino Linotype"/>
        </w:rPr>
        <w:t>por conducto de la Unidad de Transparencia ratificó en lo sustancial la respuesta emitida en primera instancia, asimismo, refirió que la solicitud fue analizada dentro de las competencias de las Áreas administrativas que pudieran detentar la información requerida, conforme al Manual General de Organización del Hospital Regional de Alta Especialidad de Zumpango, esto es el Órgano Interno de Control, la Unidad Jurídica y de Igualdad de Género, así como la Unidad de Información, Planeación, programación y Evaluación, dentro de las cuales no obra alguna función designada que detente la información solicitada.</w:t>
      </w:r>
    </w:p>
    <w:p w14:paraId="48195CCB"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Una vez expuestas las posturas de las partes se procede al análisis del requerimiento de información y la respuesta proporcionada por el </w:t>
      </w:r>
      <w:r w:rsidRPr="002423AB">
        <w:rPr>
          <w:rFonts w:ascii="Palatino Linotype" w:eastAsia="Palatino Linotype" w:hAnsi="Palatino Linotype" w:cs="Palatino Linotype"/>
          <w:b/>
        </w:rPr>
        <w:t xml:space="preserve">Sujeto Obligado, </w:t>
      </w:r>
      <w:r w:rsidRPr="002423AB">
        <w:rPr>
          <w:rFonts w:ascii="Palatino Linotype" w:eastAsia="Palatino Linotype" w:hAnsi="Palatino Linotype" w:cs="Palatino Linotype"/>
        </w:rPr>
        <w:t xml:space="preserve">en contraposición con los motivos de inconformidad alegados por la parte </w:t>
      </w:r>
      <w:r w:rsidRPr="002423AB">
        <w:rPr>
          <w:rFonts w:ascii="Palatino Linotype" w:eastAsia="Palatino Linotype" w:hAnsi="Palatino Linotype" w:cs="Palatino Linotype"/>
          <w:b/>
        </w:rPr>
        <w:t xml:space="preserve">Recurrente, </w:t>
      </w:r>
      <w:r w:rsidRPr="002423AB">
        <w:rPr>
          <w:rFonts w:ascii="Palatino Linotype" w:eastAsia="Palatino Linotype" w:hAnsi="Palatino Linotype" w:cs="Palatino Linotype"/>
        </w:rPr>
        <w:t>con la finalidad de determinar si el Derecho de acceso se satisfizo, o en su defecto ordenar los documentos mediante los cuales pudiera cumplirse dicho fin, de ser procedente.</w:t>
      </w:r>
    </w:p>
    <w:p w14:paraId="1009C332" w14:textId="77777777" w:rsidR="003E369A" w:rsidRPr="002423AB" w:rsidRDefault="00D83080">
      <w:pPr>
        <w:spacing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En tal contexto, debe mencionarse que, de la lectura de la respuesta emitida por el</w:t>
      </w:r>
      <w:r w:rsidRPr="002423AB">
        <w:rPr>
          <w:rFonts w:ascii="Palatino Linotype" w:eastAsia="Palatino Linotype" w:hAnsi="Palatino Linotype" w:cs="Palatino Linotype"/>
          <w:b/>
        </w:rPr>
        <w:t xml:space="preserve"> Sujeto Obligado</w:t>
      </w:r>
      <w:r w:rsidRPr="002423AB">
        <w:rPr>
          <w:rFonts w:ascii="Palatino Linotype" w:eastAsia="Palatino Linotype" w:hAnsi="Palatino Linotype" w:cs="Palatino Linotype"/>
        </w:rPr>
        <w:t>, se aduce que no genera la información solicitada, de acuerdo con el Manual General de Organización del Hospital Regional de Alta Especialidad de Zumpango, el cual establece su organigrama y las funciones que desempeña, tal y como se advierte a continuación:</w:t>
      </w:r>
    </w:p>
    <w:p w14:paraId="61921AC5" w14:textId="77777777" w:rsidR="003E369A" w:rsidRPr="002423AB" w:rsidRDefault="00D83080">
      <w:pPr>
        <w:spacing w:line="360" w:lineRule="auto"/>
        <w:jc w:val="center"/>
        <w:rPr>
          <w:rFonts w:ascii="Palatino Linotype" w:eastAsia="Palatino Linotype" w:hAnsi="Palatino Linotype" w:cs="Palatino Linotype"/>
        </w:rPr>
      </w:pPr>
      <w:r w:rsidRPr="002423AB">
        <w:rPr>
          <w:noProof/>
        </w:rPr>
        <w:lastRenderedPageBreak/>
        <w:drawing>
          <wp:inline distT="0" distB="0" distL="0" distR="0" wp14:anchorId="6E6CE9B5" wp14:editId="634EC195">
            <wp:extent cx="3531050" cy="4097349"/>
            <wp:effectExtent l="0" t="0" r="0" b="0"/>
            <wp:docPr id="19520824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54847" t="23067" r="13893" b="12448"/>
                    <a:stretch>
                      <a:fillRect/>
                    </a:stretch>
                  </pic:blipFill>
                  <pic:spPr>
                    <a:xfrm>
                      <a:off x="0" y="0"/>
                      <a:ext cx="3531050" cy="4097349"/>
                    </a:xfrm>
                    <a:prstGeom prst="rect">
                      <a:avLst/>
                    </a:prstGeom>
                    <a:ln/>
                  </pic:spPr>
                </pic:pic>
              </a:graphicData>
            </a:graphic>
          </wp:inline>
        </w:drawing>
      </w:r>
    </w:p>
    <w:p w14:paraId="3D19EDF4" w14:textId="77777777" w:rsidR="003E369A" w:rsidRPr="002423AB" w:rsidRDefault="00D83080">
      <w:pPr>
        <w:spacing w:before="240" w:after="240" w:line="360" w:lineRule="auto"/>
        <w:ind w:right="49"/>
        <w:jc w:val="both"/>
        <w:rPr>
          <w:rFonts w:ascii="Palatino Linotype" w:eastAsia="Palatino Linotype" w:hAnsi="Palatino Linotype" w:cs="Palatino Linotype"/>
          <w:b/>
        </w:rPr>
      </w:pPr>
      <w:r w:rsidRPr="002423AB">
        <w:rPr>
          <w:rFonts w:ascii="Palatino Linotype" w:eastAsia="Palatino Linotype" w:hAnsi="Palatino Linotype" w:cs="Palatino Linotype"/>
          <w:b/>
        </w:rPr>
        <w:t xml:space="preserve">208C0401000300S UNIDAD DE INFORMACIÓN, PLANEACIÓN, PROGRAMACIÓN Y EVALUACIÓN </w:t>
      </w:r>
    </w:p>
    <w:p w14:paraId="26CA832F" w14:textId="77777777" w:rsidR="003E369A" w:rsidRPr="002423AB" w:rsidRDefault="00D83080">
      <w:pPr>
        <w:spacing w:before="240" w:after="240" w:line="360" w:lineRule="auto"/>
        <w:ind w:right="49"/>
        <w:jc w:val="both"/>
        <w:rPr>
          <w:rFonts w:ascii="Palatino Linotype" w:eastAsia="Palatino Linotype" w:hAnsi="Palatino Linotype" w:cs="Palatino Linotype"/>
          <w:b/>
        </w:rPr>
      </w:pPr>
      <w:r w:rsidRPr="002423AB">
        <w:rPr>
          <w:rFonts w:ascii="Palatino Linotype" w:eastAsia="Palatino Linotype" w:hAnsi="Palatino Linotype" w:cs="Palatino Linotype"/>
          <w:b/>
        </w:rPr>
        <w:t xml:space="preserve">OBJETIVO: </w:t>
      </w:r>
    </w:p>
    <w:p w14:paraId="421757DF"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Recopilar, sistematizar y emitir la información generada en los procesos de planeación, programación y evaluación, instrumentados en el Hospital Regional de Alta Especialidad de Zumpango, </w:t>
      </w:r>
      <w:r w:rsidRPr="002423AB">
        <w:rPr>
          <w:rFonts w:ascii="Palatino Linotype" w:eastAsia="Palatino Linotype" w:hAnsi="Palatino Linotype" w:cs="Palatino Linotype"/>
          <w:u w:val="single"/>
        </w:rPr>
        <w:t>así como establecer estándares e indicadores de desempeño y de resultados y emitir los informes que coadyuven a la toma de decisiones</w:t>
      </w:r>
      <w:r w:rsidRPr="002423AB">
        <w:rPr>
          <w:rFonts w:ascii="Palatino Linotype" w:eastAsia="Palatino Linotype" w:hAnsi="Palatino Linotype" w:cs="Palatino Linotype"/>
        </w:rPr>
        <w:t xml:space="preserve">. </w:t>
      </w:r>
    </w:p>
    <w:p w14:paraId="1492EFE3" w14:textId="77777777" w:rsidR="003E369A" w:rsidRPr="002423AB" w:rsidRDefault="00D83080">
      <w:pPr>
        <w:spacing w:before="240" w:after="240" w:line="360" w:lineRule="auto"/>
        <w:ind w:right="49"/>
        <w:jc w:val="both"/>
        <w:rPr>
          <w:rFonts w:ascii="Palatino Linotype" w:eastAsia="Palatino Linotype" w:hAnsi="Palatino Linotype" w:cs="Palatino Linotype"/>
          <w:b/>
        </w:rPr>
      </w:pPr>
      <w:r w:rsidRPr="002423AB">
        <w:rPr>
          <w:rFonts w:ascii="Palatino Linotype" w:eastAsia="Palatino Linotype" w:hAnsi="Palatino Linotype" w:cs="Palatino Linotype"/>
          <w:b/>
        </w:rPr>
        <w:lastRenderedPageBreak/>
        <w:t xml:space="preserve">FUNCIONES: </w:t>
      </w:r>
    </w:p>
    <w:p w14:paraId="6409A431"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Recopilar la información de los padecimientos atendidos en el Hospital, a efecto de contar con datos estadísticos que coadyuven en la toma de decisiones en la materia. </w:t>
      </w:r>
    </w:p>
    <w:p w14:paraId="60ECC5A3"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Integrar el anteproyecto del programa operativo anual del Hospital, conjuntamente con la Dirección de Administración y Finanzas, de conformidad con la metodología, las disposiciones generales aplicables y los lineamientos emitidos por la instancia competente y vigentes para el efecto. </w:t>
      </w:r>
    </w:p>
    <w:p w14:paraId="7666F63F"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Integrar la estructura programática de metas físicas por proyecto del Hospital Regional de Alta Especialidad de Zumpango, de conformidad con las disposiciones emitidas por la Secretaría de Salud. </w:t>
      </w:r>
    </w:p>
    <w:p w14:paraId="6701CEA3"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Operar el sistema de evaluación programática del Hospital, así como establecer indicadores de desempeño y de resultados y emitir los informes que coadyuven a la toma de decisiones. </w:t>
      </w:r>
    </w:p>
    <w:p w14:paraId="4B6137E1"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Proporcionar asesoría a las diferentes áreas del Hospital Regional de Alta Especialidad de Zumpango, en la elaboración de sus metas programáticas, estableciendo sus objetivos, unidades de medida y actividades calendarizadas, de acuerdo con el Plan de Desarrollo del Estado de México vigente. </w:t>
      </w:r>
    </w:p>
    <w:p w14:paraId="6BA98575"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Gestionar la integración y, en su caso, actualización o reconducción de los programas anuales que integran los proyectos programáticos del Hospital Regional </w:t>
      </w:r>
      <w:r w:rsidRPr="002423AB">
        <w:rPr>
          <w:rFonts w:ascii="Palatino Linotype" w:eastAsia="Palatino Linotype" w:hAnsi="Palatino Linotype" w:cs="Palatino Linotype"/>
        </w:rPr>
        <w:lastRenderedPageBreak/>
        <w:t xml:space="preserve">de Alta Especialidad de Zumpango, conjuntamente con la Dirección de Administración y Finanzas. </w:t>
      </w:r>
    </w:p>
    <w:p w14:paraId="6171C7B9"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Promover e implementar políticas de transparencia proactiva al interior del Hospital Regional de Alta Especialidad de Zumpango. </w:t>
      </w:r>
    </w:p>
    <w:p w14:paraId="6507E589"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Recibir, tramitar y dar respuesta a las solicitudes de acceso a la información pública de oficio, así como entregar, en su caso, a particulares la información solicitada. </w:t>
      </w:r>
    </w:p>
    <w:p w14:paraId="7AFDB718"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Presidir y convocar al Comité de Transparencia del Hospital Regional de Alta Especialidad de Zumpango. </w:t>
      </w:r>
    </w:p>
    <w:p w14:paraId="72661D5C"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Publicar y mantener actualizada la información relativa a las obligaciones generales de transparencia previstas en la Ley de Transparencia y Acceso a la Información Pública del Estado de México y Municipios y en general aquella que sea de interés público. </w:t>
      </w:r>
    </w:p>
    <w:p w14:paraId="5281462F"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Resguardar la información clasificada como reservada o confidencial. </w:t>
      </w:r>
    </w:p>
    <w:p w14:paraId="446E6B57"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Atender de manera oportuna, los requerimientos, observaciones, recomendaciones y criterios que en materia de transparencia y acceso a la información realiza el Instituto de Transparencia, Acceso a la Información Pública y Protección de Datos Personales del Estado de México y Municipios. </w:t>
      </w:r>
    </w:p>
    <w:p w14:paraId="5B18C285"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 Asegurar la protección de los datos personales en posesión de personas servidoras públicas habilitadas, en términos de la Ley de Protección de Datos Personales del Estado de México y Municipios. </w:t>
      </w:r>
    </w:p>
    <w:p w14:paraId="5FEB40F4"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Desarrollar las funciones inherentes en materia de transparencia y acceso a la información pública, que se encuentren previstas en la Ley de Transparencia y Acceso a la Información Pública del Estado de México y Municipios y en la Ley de Protección de Datos Personales en Posesión de Sujetos Obligados del Estado de México y Municipios.</w:t>
      </w:r>
    </w:p>
    <w:p w14:paraId="5F27CC45"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Recopilar y registrar la información programática del Hospital Regional de Alta Especialidad de Zumpango y entregarla, conforme al calendario emitido, al Instituto de Información e Investigación Geográfica, Estadística y Catastral del Estado de México. </w:t>
      </w:r>
    </w:p>
    <w:p w14:paraId="14D46808"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Elaborar los informes de avance de los formatos de planeación basada en resultados que opera el Hospital, así como los indicadores del Sistema Integral de Evaluación del Desempeño y remitirlos, en forma trimestral, a la Dirección General de Planeación y Gasto Público de la Secretaría de Finanzas y a la Unidad de Información, Planeación, Programación y Evaluación de la Secretaría de Salud del Estado de México. </w:t>
      </w:r>
    </w:p>
    <w:p w14:paraId="33A7C323"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Integrar, registrar e informar al Organismo Superior de Fiscalización de Estado de México de manera trimestral el avance programático del Hospital Regional de Alta Especialidad de Zumpango. </w:t>
      </w:r>
    </w:p>
    <w:p w14:paraId="45F5F373"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 Concentrar, capturar y analizar la información en materia de salud que se genera en el Hospital Regional de Alta Especialidad de Zumpango. </w:t>
      </w:r>
    </w:p>
    <w:p w14:paraId="07896589"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Reportar al Órgano Interno de Control y a la Secretaría de Salud, las desviaciones detectadas, en el cumplimiento de las metas establecidas en los proyectos y programas del Hospital Regional de Alta Especialidad de Zumpango. </w:t>
      </w:r>
    </w:p>
    <w:p w14:paraId="3D08FBAE"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Participar en la elaboración y evaluación de los programas y proyectos del Hospital Regional de Alta Especialidad de Zumpango, así como en la integración, validación, actualización o reconducción de los programas y proyectos anuales, conjuntamente con la Dirección de Administración y Finanzas. </w:t>
      </w:r>
    </w:p>
    <w:p w14:paraId="1CAC23EB"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Proponer y presentar ante la instancia correspondiente de la Secretaría de Salud, los resultados de la evaluación de los servicios de salud del Hospital Regional de Alta Especialidad de Zumpango, para integrarlos a las plataformas de la Dirección General de Información en Salud (DGIS). </w:t>
      </w:r>
    </w:p>
    <w:p w14:paraId="12EAC2D1"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Monitorear y dar seguimiento a los objetivos y metas del Hospital, a efecto de analizar los resultados obtenidos, identificando posibles desviaciones y proponer las medidas correctivas que se consideren pertinentes. </w:t>
      </w:r>
    </w:p>
    <w:p w14:paraId="53409A9A"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Gestionar el uso de la dotación de los certificados de defunción, muerte fetal y nacimiento, así como informar y remitir estos documentos a las instancias y autoridades correspondientes. </w:t>
      </w:r>
    </w:p>
    <w:p w14:paraId="7077D524"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 Participar en la elaboración del Avance Programático Anual para el envío de la cuenta pública informada a la Secretaría de Finanzas del Gobierno del Estado de México. </w:t>
      </w:r>
    </w:p>
    <w:p w14:paraId="4038C60E"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Desarrollar las demás funciones inherentes al área de su competencia. </w:t>
      </w:r>
    </w:p>
    <w:p w14:paraId="5D12EA37"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b/>
        </w:rPr>
        <w:t>08C0401000400S ÓRGANO INTERNO DE CONTROL</w:t>
      </w:r>
      <w:r w:rsidRPr="002423AB">
        <w:rPr>
          <w:rFonts w:ascii="Palatino Linotype" w:eastAsia="Palatino Linotype" w:hAnsi="Palatino Linotype" w:cs="Palatino Linotype"/>
        </w:rPr>
        <w:t xml:space="preserve"> </w:t>
      </w:r>
    </w:p>
    <w:p w14:paraId="39B025BC" w14:textId="77777777" w:rsidR="003E369A" w:rsidRPr="002423AB" w:rsidRDefault="00D83080">
      <w:pPr>
        <w:spacing w:before="240" w:after="240" w:line="360" w:lineRule="auto"/>
        <w:ind w:right="49"/>
        <w:jc w:val="both"/>
        <w:rPr>
          <w:rFonts w:ascii="Palatino Linotype" w:eastAsia="Palatino Linotype" w:hAnsi="Palatino Linotype" w:cs="Palatino Linotype"/>
          <w:b/>
        </w:rPr>
      </w:pPr>
      <w:r w:rsidRPr="002423AB">
        <w:rPr>
          <w:rFonts w:ascii="Palatino Linotype" w:eastAsia="Palatino Linotype" w:hAnsi="Palatino Linotype" w:cs="Palatino Linotype"/>
          <w:b/>
        </w:rPr>
        <w:t xml:space="preserve">OBJETIVO: </w:t>
      </w:r>
    </w:p>
    <w:p w14:paraId="35A46A66"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Supervisar, auditar y dictaminar la operación administrativa y contable del organismo, a través de los mecanismos de control y evaluación establecidos por la Secretaría de Contraloría del Estado de México, que promuevan la transparencia y el apego a la legalidad de las personas servidoras públicas, </w:t>
      </w:r>
      <w:r w:rsidRPr="002423AB">
        <w:rPr>
          <w:rFonts w:ascii="Palatino Linotype" w:eastAsia="Palatino Linotype" w:hAnsi="Palatino Linotype" w:cs="Palatino Linotype"/>
          <w:b/>
        </w:rPr>
        <w:t>la atención de peticiones, quejas y denuncias ciudadanas</w:t>
      </w:r>
      <w:r w:rsidRPr="002423AB">
        <w:rPr>
          <w:rFonts w:ascii="Palatino Linotype" w:eastAsia="Palatino Linotype" w:hAnsi="Palatino Linotype" w:cs="Palatino Linotype"/>
        </w:rPr>
        <w:t xml:space="preserve">, la realización de auditorías </w:t>
      </w:r>
      <w:r w:rsidRPr="002423AB">
        <w:rPr>
          <w:rFonts w:ascii="Palatino Linotype" w:eastAsia="Palatino Linotype" w:hAnsi="Palatino Linotype" w:cs="Palatino Linotype"/>
          <w:b/>
        </w:rPr>
        <w:t>y la resolución de procedimientos de responsabilidad administrativa por actos u omisiones cometidas por personas servidoras o ex servidoras públicas adscritas al Hospital</w:t>
      </w:r>
      <w:r w:rsidRPr="002423AB">
        <w:rPr>
          <w:rFonts w:ascii="Palatino Linotype" w:eastAsia="Palatino Linotype" w:hAnsi="Palatino Linotype" w:cs="Palatino Linotype"/>
        </w:rPr>
        <w:t xml:space="preserve">. </w:t>
      </w:r>
    </w:p>
    <w:p w14:paraId="7F92A15E" w14:textId="77777777" w:rsidR="003E369A" w:rsidRPr="002423AB" w:rsidRDefault="00D83080">
      <w:pPr>
        <w:spacing w:before="240" w:after="240" w:line="360" w:lineRule="auto"/>
        <w:ind w:right="49"/>
        <w:jc w:val="both"/>
        <w:rPr>
          <w:rFonts w:ascii="Palatino Linotype" w:eastAsia="Palatino Linotype" w:hAnsi="Palatino Linotype" w:cs="Palatino Linotype"/>
          <w:b/>
        </w:rPr>
      </w:pPr>
      <w:r w:rsidRPr="002423AB">
        <w:rPr>
          <w:rFonts w:ascii="Palatino Linotype" w:eastAsia="Palatino Linotype" w:hAnsi="Palatino Linotype" w:cs="Palatino Linotype"/>
          <w:b/>
        </w:rPr>
        <w:t xml:space="preserve">FUNCIONES: </w:t>
      </w:r>
    </w:p>
    <w:p w14:paraId="37459CF1"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Coordinar y supervisar la elaboración del Programa Anual de Control y Evaluación del Órgano Interno de Control, conforme a las políticas, normas, lineamientos, procedimientos y demás disposiciones que al efecto establezca la Secretaría de la Contraloría y someterlo a consideración de la Dirección General de Control y Evaluación que corresponda, para su debida autorización, así como dar cumplimiento al mismo.</w:t>
      </w:r>
    </w:p>
    <w:p w14:paraId="04A2A4E4"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 Integrar y coordinar el Programa Anual de Trabajo a fin de informar periódicamente a la Secretaría de la Contraloría de sus avances y resultados. </w:t>
      </w:r>
    </w:p>
    <w:p w14:paraId="6E9C8269"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Llevar a cabo las auditorías programadas de conformidad con las normas y disposiciones vigentes en materia de salud, sistemas de registro y contabilidad, contratación, control y pago de personal, adquisiciones y servicios, contrato de prestación de servicios, uso, destino, afectación, baja de bienes y demás activos y recursos materiales. </w:t>
      </w:r>
    </w:p>
    <w:p w14:paraId="0543F035"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Fungir como Secretario Técnico del Comité de Control y Evaluación del Hospital, así como vigilar el seguimiento y cumplimiento de los acuerdos generados por dicho órgano colegiado. − Establecer los mecanismos para la evaluación de los programas del Hospital con el fin de verificar su cumplimiento en términos de la normatividad vigente. </w:t>
      </w:r>
    </w:p>
    <w:p w14:paraId="1A62D0B0"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Dirigir la evaluación al desempeño de las unidades administrativas del Hospital y recomendar las acciones de mejora derivadas de las funciones de control y evaluación con el propósito de que se realicen las adecuaciones y correcciones que resulten procedentes. </w:t>
      </w:r>
    </w:p>
    <w:p w14:paraId="5BECA296"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Evaluar y realizar el seguimiento del programa operativo anual del Hospital, a efecto de proponer las acciones de mejora y emitir las recomendaciones preventivas y correctivas correspondientes. </w:t>
      </w:r>
    </w:p>
    <w:p w14:paraId="20264C9B"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Instruir la implementación de las acciones de control que resulten procedentes para establecer el criterio que en situaciones específicas deberán observar las </w:t>
      </w:r>
      <w:r w:rsidRPr="002423AB">
        <w:rPr>
          <w:rFonts w:ascii="Palatino Linotype" w:eastAsia="Palatino Linotype" w:hAnsi="Palatino Linotype" w:cs="Palatino Linotype"/>
        </w:rPr>
        <w:lastRenderedPageBreak/>
        <w:t xml:space="preserve">personas servidoras públicas del Hospital en el desempeño de sus empleos, cargos o comisiones. </w:t>
      </w:r>
    </w:p>
    <w:p w14:paraId="7855904D"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Participar como integrante del Comité de Información del Hospital Regional de Alta Especialidad de Zumpango, de conformidad con lo establecido en la Ley de Transparencia y Acceso a la Información Pública del Estado de México y Municipios.</w:t>
      </w:r>
    </w:p>
    <w:p w14:paraId="058DCA72"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Verificar, en el ejercicio del presupuesto autorizado al Hospital, la observancia de las disposiciones de racionalidad, austeridad y disciplina presupuestal contempladas en el presupuesto de egresos correspondiente, así como las medidas de contención emitidas por las dependencias normativas federales y estatales y, en su caso, emitir los informes respecto a las desviaciones detectadas y proponer las acciones pertinentes para su corrección. </w:t>
      </w:r>
    </w:p>
    <w:p w14:paraId="2B9C1D41"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Vigilar que las obligaciones contractuales derivadas del Proyecto de Prestación de Servicios y sus anexos, se cumplan en tiempo y forma. </w:t>
      </w:r>
    </w:p>
    <w:p w14:paraId="1F1B160A"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Vigilar, evaluar y dar seguimiento al cumplimiento de los acuerdos del Órgano de Gobierno del Hospital. </w:t>
      </w:r>
    </w:p>
    <w:p w14:paraId="6D2945C9"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Verificar que las medidas preventivas y correctivas derivadas de las auditorías practicadas a las unidades médico-administrativas del Hospital, se instrumenten conforme a las observaciones establecidas por la Contraloría Interna o por las y los auditores externos. </w:t>
      </w:r>
    </w:p>
    <w:p w14:paraId="63672D26"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 Revisar conjuntamente con sus áreas que las adquisiciones de bienes y prestación de servicios se ajusten a los procedimientos normativos y a los montos establecidos con el objeto de verificar su correcta ejecución. </w:t>
      </w:r>
    </w:p>
    <w:p w14:paraId="083BF1AF"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Coordinar el cumplimiento de la presentación en tiempo y forma de la Declaración de Situación Patrimonial y de Intereses por parte del personal del Hospital obligado a presentarla de conformidad a la normatividad vigente en la materia con el objeto de evitar posibles sanciones. </w:t>
      </w:r>
    </w:p>
    <w:p w14:paraId="7EB3891B"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Verificar el cumplimiento de las recomendaciones que haga el Comité Coordinador del Sistema Estatal Anticorrupción a las unidades administrativas del Hospital, con el objeto de adoptar las medidas necesarias para el fortalecimiento institucional y prevenir faltas administrativas y hechos de corrupción.</w:t>
      </w:r>
    </w:p>
    <w:p w14:paraId="489FDC66"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Facultar al personal del Órgano Interno de Control para testificar los actos de entrega y recepción a fin de verificar su correcto cumplimiento. </w:t>
      </w:r>
    </w:p>
    <w:p w14:paraId="37D71E2E"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b/>
        </w:rPr>
        <w:t>− Coordinar la investigación, substanciación y calificación de las faltas administrativas; así como emitir las resoluciones en caso de faltas administrativas no graves con el objeto de determinar lo que en derecho resulte procedente</w:t>
      </w:r>
      <w:r w:rsidRPr="002423AB">
        <w:rPr>
          <w:rFonts w:ascii="Palatino Linotype" w:eastAsia="Palatino Linotype" w:hAnsi="Palatino Linotype" w:cs="Palatino Linotype"/>
        </w:rPr>
        <w:t xml:space="preserve">. </w:t>
      </w:r>
    </w:p>
    <w:p w14:paraId="52AD9E7B"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b/>
        </w:rPr>
        <w:t>− Elaborar el informe de la presunta responsabilidad de faltas administrativas de oficio, por denuncia</w:t>
      </w:r>
      <w:r w:rsidRPr="002423AB">
        <w:rPr>
          <w:rFonts w:ascii="Palatino Linotype" w:eastAsia="Palatino Linotype" w:hAnsi="Palatino Linotype" w:cs="Palatino Linotype"/>
        </w:rPr>
        <w:t xml:space="preserve"> o derivado de las auditorías practicadas, a fin de determinar lo que en derecho resulte procedente. </w:t>
      </w:r>
    </w:p>
    <w:p w14:paraId="69A5B15E"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 Ordenar la remisión del Informe de Presunta Responsabilidad Administrativa en caso de faltas administrativas graves a la autoridad correspondiente con el objeto de dar cumplimiento a la normatividad aplicable. </w:t>
      </w:r>
    </w:p>
    <w:p w14:paraId="14925771"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b/>
        </w:rPr>
        <w:t>− Recibir las denuncias que se formulen por presuntas infracciones o faltas administrativas derivadas de actos u omisiones cometidas por personas servidoras públicas del organismo</w:t>
      </w:r>
      <w:r w:rsidRPr="002423AB">
        <w:rPr>
          <w:rFonts w:ascii="Palatino Linotype" w:eastAsia="Palatino Linotype" w:hAnsi="Palatino Linotype" w:cs="Palatino Linotype"/>
        </w:rPr>
        <w:t xml:space="preserve">, o de particulares por conductas sancionables, en términos de la Ley de Responsabilidades Administrativas del Estado de México y Municipios; investigar y calificar las faltas administrativas que detecte, así como llevar a cabo las acciones que procedan. </w:t>
      </w:r>
    </w:p>
    <w:p w14:paraId="4D3139EE"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Certificar los actos y resoluciones emitidos por el propio Órgano Interno de Control, cuando así se requiera para su validez. </w:t>
      </w:r>
    </w:p>
    <w:p w14:paraId="74883BEB"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Instruir la imposición y ejecución de sanciones administrativas por faltas administrativas no graves de conformidad con la normatividad vigente para su cumplimiento.</w:t>
      </w:r>
    </w:p>
    <w:p w14:paraId="296FAC1F"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Realizar la defensa jurídica de las resoluciones que emite el Órgano Interno de Control de las diversas instancias jurisdiccionales, así como los informes previos y justificados y desahogo de vista con el objeto de dar cumplimiento a los requerimientos de estas. </w:t>
      </w:r>
    </w:p>
    <w:p w14:paraId="3C2ADD94"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Dirigir el seguimiento a las sentencias emitidas por los Tribunales Jurisdiccionales a fin de observar su cumplimiento o, en su caso, presentar los medios de impugnación procedentes. </w:t>
      </w:r>
    </w:p>
    <w:p w14:paraId="53835912"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 Implementar mecanismos de control interno que resulten procedentes para prevenir actos u omisiones que pudieran constituir responsabilidades administrativas. </w:t>
      </w:r>
    </w:p>
    <w:p w14:paraId="70FCED5D"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Ordenar la ejecución y, en su caso, la verificación de que se hagan efectivas las sanciones administrativas impuestas a las personas servidoras públicas en términos de las leyes respectivas, para su cumplimiento. </w:t>
      </w:r>
    </w:p>
    <w:p w14:paraId="322B0338"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Presentar las denuncias por hechos que las leyes señalen como delitos ante la autoridad estatal o federal competente, a efecto de que estas determinen lo procedente. </w:t>
      </w:r>
    </w:p>
    <w:p w14:paraId="37274D8A"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Certificar o cotejar las copias de los documentos existentes en los archivos del Órgano Interno de Control, cuando así lo señalen las disposiciones jurídicas administrativas. </w:t>
      </w:r>
    </w:p>
    <w:p w14:paraId="79D68AEF"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Desarrollar las demás funciones inherentes al área de su competencia. </w:t>
      </w:r>
    </w:p>
    <w:p w14:paraId="369CF0EE" w14:textId="77777777" w:rsidR="003E369A" w:rsidRPr="002423AB" w:rsidRDefault="00D83080">
      <w:pPr>
        <w:spacing w:before="240" w:after="240" w:line="360" w:lineRule="auto"/>
        <w:ind w:right="49"/>
        <w:jc w:val="both"/>
        <w:rPr>
          <w:rFonts w:ascii="Palatino Linotype" w:eastAsia="Palatino Linotype" w:hAnsi="Palatino Linotype" w:cs="Palatino Linotype"/>
          <w:b/>
        </w:rPr>
      </w:pPr>
      <w:r w:rsidRPr="002423AB">
        <w:rPr>
          <w:rFonts w:ascii="Palatino Linotype" w:eastAsia="Palatino Linotype" w:hAnsi="Palatino Linotype" w:cs="Palatino Linotype"/>
          <w:b/>
        </w:rPr>
        <w:t xml:space="preserve">208C0401000500S UNIDAD JURÍDICA Y DE IGUALDAD DE GÉNERO </w:t>
      </w:r>
    </w:p>
    <w:p w14:paraId="3DD3A8E9" w14:textId="77777777" w:rsidR="003E369A" w:rsidRPr="002423AB" w:rsidRDefault="00D83080">
      <w:pPr>
        <w:spacing w:before="240" w:after="240" w:line="360" w:lineRule="auto"/>
        <w:ind w:right="49"/>
        <w:jc w:val="both"/>
        <w:rPr>
          <w:rFonts w:ascii="Palatino Linotype" w:eastAsia="Palatino Linotype" w:hAnsi="Palatino Linotype" w:cs="Palatino Linotype"/>
          <w:b/>
        </w:rPr>
      </w:pPr>
      <w:r w:rsidRPr="002423AB">
        <w:rPr>
          <w:rFonts w:ascii="Palatino Linotype" w:eastAsia="Palatino Linotype" w:hAnsi="Palatino Linotype" w:cs="Palatino Linotype"/>
          <w:b/>
        </w:rPr>
        <w:t xml:space="preserve">OBJETIVO: </w:t>
      </w:r>
    </w:p>
    <w:p w14:paraId="7C03D34C"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Representar legalmente al Hospital en los asuntos jurídicos en que intervenga, así como proporcionar asesoría en la materia a las unidades médico administrativas del organismo y proponer los instrumentos jurídicos que al efecto se requieran, con estricto apego a la ley, e implementar acciones que aseguren la incorporación de la perspectiva de género en los programas, proyectos, acciones y políticas públicas </w:t>
      </w:r>
      <w:r w:rsidRPr="002423AB">
        <w:rPr>
          <w:rFonts w:ascii="Palatino Linotype" w:eastAsia="Palatino Linotype" w:hAnsi="Palatino Linotype" w:cs="Palatino Linotype"/>
        </w:rPr>
        <w:lastRenderedPageBreak/>
        <w:t xml:space="preserve">competencia del Organismo, con el fin de promover la igualdad de género, erradicar la violencia y discriminación, e impulsar una cultura de respeto, condiciones e igualdad de oportunidades entre mujeres y hombres. </w:t>
      </w:r>
    </w:p>
    <w:p w14:paraId="39CE16F3" w14:textId="77777777" w:rsidR="003E369A" w:rsidRPr="002423AB" w:rsidRDefault="00D83080">
      <w:pPr>
        <w:spacing w:before="240" w:after="240" w:line="360" w:lineRule="auto"/>
        <w:ind w:right="49"/>
        <w:jc w:val="both"/>
        <w:rPr>
          <w:rFonts w:ascii="Palatino Linotype" w:eastAsia="Palatino Linotype" w:hAnsi="Palatino Linotype" w:cs="Palatino Linotype"/>
          <w:b/>
        </w:rPr>
      </w:pPr>
      <w:r w:rsidRPr="002423AB">
        <w:rPr>
          <w:rFonts w:ascii="Palatino Linotype" w:eastAsia="Palatino Linotype" w:hAnsi="Palatino Linotype" w:cs="Palatino Linotype"/>
          <w:b/>
        </w:rPr>
        <w:t xml:space="preserve">FUNCIONES: </w:t>
      </w:r>
    </w:p>
    <w:p w14:paraId="32534A5C"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b/>
        </w:rPr>
        <w:t>− Atender, como representante legal, el despacho de los asuntos que en materia jurídica requiera el Hospital</w:t>
      </w:r>
      <w:r w:rsidRPr="002423AB">
        <w:rPr>
          <w:rFonts w:ascii="Palatino Linotype" w:eastAsia="Palatino Linotype" w:hAnsi="Palatino Linotype" w:cs="Palatino Linotype"/>
        </w:rPr>
        <w:t xml:space="preserve"> y participar en los juicios en que este sea parte.</w:t>
      </w:r>
    </w:p>
    <w:p w14:paraId="40587C58"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Vigilar el cumplimiento de las leyes, decretos, reglamentos, lineamientos, manuales, procedimientos, programas, acuerdos, circulares y demás ordenamientos jurídico-administrativos que regulan el funcionamiento del Hospital. </w:t>
      </w:r>
    </w:p>
    <w:p w14:paraId="1DA71C67"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Asesorar legalmente al Director o Directora General y a las unidades administrativas que lo requieran, a fin de que cumplan con sus funciones, a través de la observancia de las disposiciones jurídicas aplicables. </w:t>
      </w:r>
    </w:p>
    <w:p w14:paraId="2EF96C7E"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w:t>
      </w:r>
      <w:r w:rsidRPr="002423AB">
        <w:rPr>
          <w:rFonts w:ascii="Palatino Linotype" w:eastAsia="Palatino Linotype" w:hAnsi="Palatino Linotype" w:cs="Palatino Linotype"/>
          <w:b/>
        </w:rPr>
        <w:t xml:space="preserve"> Analizar los asuntos jurídicos que someta a su consideración la Dirección General y las unidades administrativas del Hospita</w:t>
      </w:r>
      <w:r w:rsidRPr="002423AB">
        <w:rPr>
          <w:rFonts w:ascii="Palatino Linotype" w:eastAsia="Palatino Linotype" w:hAnsi="Palatino Linotype" w:cs="Palatino Linotype"/>
        </w:rPr>
        <w:t xml:space="preserve">l, emitir opinión de los mismos y, en su caso, efectuar los trámites que se deriven ante las instancias judiciales que procedan. </w:t>
      </w:r>
    </w:p>
    <w:p w14:paraId="31C3E5C8"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Coordinar la integración de los proyectos de reglamentos, acuerdos, convenios, contratos y demás ordenamientos jurídicos de observancia para el organismo. </w:t>
      </w:r>
    </w:p>
    <w:p w14:paraId="4352F27D"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 Identificar los procesos considerados en el Proyecto de Prestación de Servicios (PPS), así como las obligaciones del Hospital y los derechos que, en su caso, puede exigir a la o al proveedor, a efecto de vigilar en términos legales los momentos específicos para su cumplimiento y exigibilidad. </w:t>
      </w:r>
    </w:p>
    <w:p w14:paraId="602D6E2A"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Celebrar convenios y contratos con instituciones públicas y privadas para la gestión y obtención de recursos financieros.</w:t>
      </w:r>
    </w:p>
    <w:p w14:paraId="49E82968"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Identificar los procesos considerados en el Proyecto de Prestación de Servicios (PPS), así como las obligaciones del Hospital y los derechos que, en su caso, puede exigir a la o al proveedor, a efecto de vigilar en términos legales los momentos específicos para su cumplimiento y exigibilidad. </w:t>
      </w:r>
    </w:p>
    <w:p w14:paraId="6A89670D"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Elaborar los contratos, convenios, acuerdos, asignaciones, concesiones y permisos que otorgue y celebre el Hospital con personas físicas o morales o con dependencias y entidades de la administración pública estatal y federal, emitiendo opinión sobre la interpretación, rescisión, nulidad y demás aspectos legales de los mismos. </w:t>
      </w:r>
    </w:p>
    <w:p w14:paraId="3443499F"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Establecer directrices jurídicas que coadyuven en la solución de los asuntos y problemas legales que se presenten en las unidades médico administrativas del Hospital. </w:t>
      </w:r>
    </w:p>
    <w:p w14:paraId="146C21D2"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Establecer mecanismos de comunicación y coordinación con las unidades médico administrativas del Hospital, para apoyarlas en el cumplimiento de las resoluciones jurídicas. </w:t>
      </w:r>
    </w:p>
    <w:p w14:paraId="135A2C97"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 Elaborar y someter a la consideración de la o del Director General los proyectos de ordenamientos legales que contribuyan a garantizar el apego a la legalidad de los actos y acciones del Hospital. </w:t>
      </w:r>
    </w:p>
    <w:p w14:paraId="056D5249"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Compilar, organizar, resguardar y, en su caso, proponer las actualizaciones necesarias a los ordenamientos jurídicos que regulan al Hospital, así como investigar, recopilar y clasificar la información para la elaboración del manual de organización del Hospital, así como el manual de procedimientos de la Unidad Jurídica y de Igualdad de Género. </w:t>
      </w:r>
    </w:p>
    <w:p w14:paraId="4DFA5B30"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Difundir las leyes, reglamentos, decretos, acuerdos, normas oficiales mexicanas y demás disposiciones jurídicas vigentes relacionadas con el Hospital. </w:t>
      </w:r>
    </w:p>
    <w:p w14:paraId="188921C6"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b/>
        </w:rPr>
        <w:t xml:space="preserve">− Asesorar jurídicamente a las unidades médico-administrativas del Hospital respecto de la interpretación y observancia de las disposiciones vigentes en materia de relaciones jurisdiccionales pronunciadas o recomendaciones emitidas por la Comisión de Derechos Humanos del Estado de México </w:t>
      </w:r>
      <w:r w:rsidRPr="002423AB">
        <w:rPr>
          <w:rFonts w:ascii="Palatino Linotype" w:eastAsia="Palatino Linotype" w:hAnsi="Palatino Linotype" w:cs="Palatino Linotype"/>
        </w:rPr>
        <w:t xml:space="preserve">o por la Comisión de Conciliación y Arbitraje Médico del Estado de México. </w:t>
      </w:r>
    </w:p>
    <w:p w14:paraId="5FE15A88"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Proporcionar asesoría en materia jurídica al personal del Hospital, formulando las opiniones, dictámenes o resoluciones que en cada caso procedan. </w:t>
      </w:r>
    </w:p>
    <w:p w14:paraId="635AF6AF"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Representar a la Directora o Director General, ante las autoridades del trabajo, en los conflictos que se susciten con motivo de la aplicación de las leyes laborales, mediante la formulación de dictámenes, contestación de demandas laborales y de las promociones que se requiera en el curso del procedimiento. </w:t>
      </w:r>
    </w:p>
    <w:p w14:paraId="33B68B44"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 Participar en los Comités y Comisiones del Hospital que le señale el marco jurídico o que le encomiende la o el Director General. </w:t>
      </w:r>
    </w:p>
    <w:p w14:paraId="7D09748F"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Intervenir ante las instancias jurisdiccionales en los asuntos jurídicos contenciosos en que el Hospital sea parte, así como en la recuperación de los bienes de su propiedad. </w:t>
      </w:r>
    </w:p>
    <w:p w14:paraId="6EC98F60"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Verificar la legalidad de los documentos que amparan la titularidad de los inmuebles propiedad del Hospital, así como tramitar las escrituras, juicios y documentos con los que se acredite su testimonio. </w:t>
      </w:r>
    </w:p>
    <w:p w14:paraId="458E58A0"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Tramitar ante las autoridades competentes, la recuperación de documentos por cobrar, cuentas por cobrar y otros créditos de naturaleza análoga en los que se hayan agotado los procedimientos prácticos o extrajudiciales, conforme a lo estipulado en la legislación vigente en la materia. </w:t>
      </w:r>
    </w:p>
    <w:p w14:paraId="00EACA9F"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Tramitar y, en su caso, resolver los asuntos jurídicos que se presenten en las unidades médico administrativas del Hospital, orientados a proteger los intereses del organismo. </w:t>
      </w:r>
    </w:p>
    <w:p w14:paraId="4A6BD6BB"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Dictaminar las actas administrativas que se levanten a las personas servidoras públicas del Hospital, por violación o incumplimiento de las disposiciones laborales aplicables. </w:t>
      </w:r>
    </w:p>
    <w:p w14:paraId="26199AC7"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Revisar los contratos de subrogación de servicios que celebre el Hospital con las empresas y entidades indicadas, así como emitir la opinión jurídica correspondiente. </w:t>
      </w:r>
    </w:p>
    <w:p w14:paraId="3F53973D"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 Promover y desistirse de los juicios de amparo cuando el Hospital tenga el carácter de quejoso o, en su caso, intervenir como tercero perjudicado y formular los documentos relacionados con los juicios en cuestión. </w:t>
      </w:r>
    </w:p>
    <w:p w14:paraId="04DDDBED"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Presentar y coadyuvar con la Fiscalía General de Justicia del Estado de México en las denuncias de hechos, querellas y desistimiento legales que procedan derivados del servicio proporcionado en el Hospital, así como colaborar en el trámite de los procesos que afecten al Hospital o que sean de interés jurídico para el mismo. </w:t>
      </w:r>
    </w:p>
    <w:p w14:paraId="4E4AC1A1"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Certificar o cotejar las copias de los documentos existentes en los archivos de la Unidad Jurídica y de Igualdad de Género, cuando así lo señalen las disposiciones jurídicas administrativas. </w:t>
      </w:r>
    </w:p>
    <w:p w14:paraId="24F30F9D"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Verificar la legalidad de los contratos y convenios que celebre el Hospital, mediante el control de los mismos y la custodia correspondiente. </w:t>
      </w:r>
    </w:p>
    <w:p w14:paraId="1BAAB083"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Vigilar el cumplimiento, en tiempo y forma, de cada una de las etapas procesales de los juicios en los que el Hospital sea parte. </w:t>
      </w:r>
    </w:p>
    <w:p w14:paraId="7E424716"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Participar en la elaboración y ejecución del programa de trabajo del consejo, órgano, comité, comisión, etc., en cual sea participe. </w:t>
      </w:r>
    </w:p>
    <w:p w14:paraId="4FAE0B5B"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Elaborar y promover el programa de trabajo de igualdad de género y someterlo a consideración del Director o Directora General para su visto bueno y/o autorización, así como verificar su implementación. </w:t>
      </w:r>
    </w:p>
    <w:p w14:paraId="62F67F58"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 Implementar programas de capacitación dirigidos a las personas servidoras públicas del Hospital, orientados a promover el desarrollo de conocimientos, técnicas y actitudes que permitan la incorporación de la perspectiva de género en los servicios de salud. </w:t>
      </w:r>
    </w:p>
    <w:p w14:paraId="25803248"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Implementar las estrategias necesarias para la utilización del lenguaje incluyente, en la elaboración de documentos e informes, tanto de difusión interna como externa. </w:t>
      </w:r>
    </w:p>
    <w:p w14:paraId="4215A96E"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Promover las acciones encaminadas a fomentar la cultura de la denuncia en caso de ser víctima de violencia, discriminación, hostigamiento y acoso sexual en el organismo. </w:t>
      </w:r>
    </w:p>
    <w:p w14:paraId="5411C06B"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Asesorar a las presuntas víctimas de violencia, discriminación, acoso y hostigamiento sexual sobre las instancias ante las cuales pueden acudir a presentar su denuncia o queja. </w:t>
      </w:r>
    </w:p>
    <w:p w14:paraId="480FB272"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Promover y difundir entre las unidades médico administrativas del Hospital, la correcta actuación e implementación de acciones de perspectiva de género, con el propósito de que existan las mismas oportunidades, condiciones y formas de trato en el organismo. </w:t>
      </w:r>
    </w:p>
    <w:p w14:paraId="1D3D96A2"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Vigilar y participar en la aplicación de políticas laborales para eliminar la discriminación basada en el género, con la finalidad de crear un mecanismo eficiente para la prevención, atención, sanción y erradicación del acoso y hostigamiento sexual, tales como protocolos especializados de atención y resolución de dichos casos. </w:t>
      </w:r>
    </w:p>
    <w:p w14:paraId="5EC888CF"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 xml:space="preserve">− Supervisar la promoción de los derechos de las mujeres con especial énfasis en el fortalecimiento de su ciudadanía y autonomía, a fin de garantizar sus derechos, con independencia de su edad, etnia y condición; la promoción del desarrollo integral e igualdad de oportunidades para las mujeres y de la participación de éstas en el ámbito público. </w:t>
      </w:r>
    </w:p>
    <w:p w14:paraId="4E3563BC"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 Supervisar el cumplimiento de las políticas estatales y sectoriales para la igualdad de género y no discriminación dentro del organismo en el marco y ámbito de su competencia. </w:t>
      </w:r>
    </w:p>
    <w:p w14:paraId="71400AC5"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Desarrollar las demás funciones inherentes al área de su competencia.</w:t>
      </w:r>
    </w:p>
    <w:p w14:paraId="40EA21DA"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De lo anterior, tomando en consideración los objetivos y funciones de las unidades administrativas que integran la estructura orgánica del Hospital Regional de Alta Especialidad de Zumpango, se colige que pudieran tener relación con lo requerido por la parte </w:t>
      </w:r>
      <w:r w:rsidRPr="002423AB">
        <w:rPr>
          <w:rFonts w:ascii="Palatino Linotype" w:eastAsia="Palatino Linotype" w:hAnsi="Palatino Linotype" w:cs="Palatino Linotype"/>
          <w:b/>
        </w:rPr>
        <w:t>Recurrente</w:t>
      </w:r>
      <w:r w:rsidRPr="002423AB">
        <w:rPr>
          <w:rFonts w:ascii="Palatino Linotype" w:eastAsia="Palatino Linotype" w:hAnsi="Palatino Linotype" w:cs="Palatino Linotype"/>
        </w:rPr>
        <w:t xml:space="preserve">, toda vez que el </w:t>
      </w:r>
      <w:r w:rsidRPr="002423AB">
        <w:rPr>
          <w:rFonts w:ascii="Palatino Linotype" w:eastAsia="Palatino Linotype" w:hAnsi="Palatino Linotype" w:cs="Palatino Linotype"/>
          <w:u w:val="single"/>
        </w:rPr>
        <w:t>Órgano Interno de Control</w:t>
      </w:r>
      <w:r w:rsidRPr="002423AB">
        <w:rPr>
          <w:rFonts w:ascii="Palatino Linotype" w:eastAsia="Palatino Linotype" w:hAnsi="Palatino Linotype" w:cs="Palatino Linotype"/>
        </w:rPr>
        <w:t xml:space="preserve"> se encarga de supervisar, auditar y dictaminar la operación administrativa y contable del organismo, a través de los mecanismos de control y evaluación establecidos por la Secretaría de Contraloría del Estado de México, que promuevan la transparencia y el apego a la legalidad de las personas servidoras públicas, </w:t>
      </w:r>
      <w:r w:rsidRPr="002423AB">
        <w:rPr>
          <w:rFonts w:ascii="Palatino Linotype" w:eastAsia="Palatino Linotype" w:hAnsi="Palatino Linotype" w:cs="Palatino Linotype"/>
          <w:b/>
        </w:rPr>
        <w:t>la atención de peticiones, quejas y denuncias ciudadanas</w:t>
      </w:r>
      <w:r w:rsidRPr="002423AB">
        <w:rPr>
          <w:rFonts w:ascii="Palatino Linotype" w:eastAsia="Palatino Linotype" w:hAnsi="Palatino Linotype" w:cs="Palatino Linotype"/>
        </w:rPr>
        <w:t xml:space="preserve">, </w:t>
      </w:r>
      <w:r w:rsidRPr="002423AB">
        <w:rPr>
          <w:rFonts w:ascii="Palatino Linotype" w:eastAsia="Palatino Linotype" w:hAnsi="Palatino Linotype" w:cs="Palatino Linotype"/>
          <w:b/>
        </w:rPr>
        <w:t>la realización de auditorías y la resolución de procedimientos de responsabilidad administrativa por actos u omisiones cometidas por personas servidoras o ex servidoras públicas adscritas al Hospital</w:t>
      </w:r>
      <w:r w:rsidRPr="002423AB">
        <w:rPr>
          <w:rFonts w:ascii="Palatino Linotype" w:eastAsia="Palatino Linotype" w:hAnsi="Palatino Linotype" w:cs="Palatino Linotype"/>
        </w:rPr>
        <w:t xml:space="preserve">, por su parte la </w:t>
      </w:r>
      <w:r w:rsidRPr="002423AB">
        <w:rPr>
          <w:rFonts w:ascii="Palatino Linotype" w:eastAsia="Palatino Linotype" w:hAnsi="Palatino Linotype" w:cs="Palatino Linotype"/>
          <w:u w:val="single"/>
        </w:rPr>
        <w:t>Unidad Jurídica y de Igualdad de Género</w:t>
      </w:r>
      <w:r w:rsidRPr="002423AB">
        <w:rPr>
          <w:rFonts w:ascii="Palatino Linotype" w:eastAsia="Palatino Linotype" w:hAnsi="Palatino Linotype" w:cs="Palatino Linotype"/>
        </w:rPr>
        <w:t xml:space="preserve"> se encarga de representar legalmente al Hospital en los asuntos jurídicos en que intervenga, así </w:t>
      </w:r>
      <w:r w:rsidRPr="002423AB">
        <w:rPr>
          <w:rFonts w:ascii="Palatino Linotype" w:eastAsia="Palatino Linotype" w:hAnsi="Palatino Linotype" w:cs="Palatino Linotype"/>
        </w:rPr>
        <w:lastRenderedPageBreak/>
        <w:t xml:space="preserve">como asesorar jurídicamente a las unidades médico-administrativas del Hospital respecto de la interpretación y observancia de las disposiciones vigentes en materia de relaciones jurisdiccionales pronunciadas o </w:t>
      </w:r>
      <w:r w:rsidRPr="002423AB">
        <w:rPr>
          <w:rFonts w:ascii="Palatino Linotype" w:eastAsia="Palatino Linotype" w:hAnsi="Palatino Linotype" w:cs="Palatino Linotype"/>
          <w:b/>
          <w:u w:val="single"/>
        </w:rPr>
        <w:t>recomendaciones emitidas por la Comisión de Derechos Humanos del Estado de México</w:t>
      </w:r>
      <w:r w:rsidRPr="002423AB">
        <w:rPr>
          <w:rFonts w:ascii="Palatino Linotype" w:eastAsia="Palatino Linotype" w:hAnsi="Palatino Linotype" w:cs="Palatino Linotype"/>
        </w:rPr>
        <w:t>.</w:t>
      </w:r>
    </w:p>
    <w:p w14:paraId="71216C74"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En otras palabras, el </w:t>
      </w:r>
      <w:r w:rsidRPr="002423AB">
        <w:rPr>
          <w:rFonts w:ascii="Palatino Linotype" w:eastAsia="Palatino Linotype" w:hAnsi="Palatino Linotype" w:cs="Palatino Linotype"/>
          <w:b/>
        </w:rPr>
        <w:t>Sujeto Obligado</w:t>
      </w:r>
      <w:r w:rsidRPr="002423AB">
        <w:rPr>
          <w:rFonts w:ascii="Palatino Linotype" w:eastAsia="Palatino Linotype" w:hAnsi="Palatino Linotype" w:cs="Palatino Linotype"/>
        </w:rPr>
        <w:t xml:space="preserve"> a través del Órgano Interno de Control, se encarga de lo relacionado con las quejas y denuncias ciudadanas cometidas por servidores públicos, mientras que </w:t>
      </w:r>
      <w:r w:rsidRPr="002423AB">
        <w:rPr>
          <w:rFonts w:ascii="Palatino Linotype" w:eastAsia="Palatino Linotype" w:hAnsi="Palatino Linotype" w:cs="Palatino Linotype"/>
          <w:b/>
          <w:u w:val="single"/>
        </w:rPr>
        <w:t>la Unidad Jurídica y de Igualdad de Género se encarga de las recomendaciones emitidas por la Comisión de Derechos Humanos del Estado de México</w:t>
      </w:r>
      <w:r w:rsidRPr="002423AB">
        <w:rPr>
          <w:rFonts w:ascii="Palatino Linotype" w:eastAsia="Palatino Linotype" w:hAnsi="Palatino Linotype" w:cs="Palatino Linotype"/>
        </w:rPr>
        <w:t xml:space="preserve">, lo que pudiera indicar la competencia del </w:t>
      </w:r>
      <w:r w:rsidRPr="002423AB">
        <w:rPr>
          <w:rFonts w:ascii="Palatino Linotype" w:eastAsia="Palatino Linotype" w:hAnsi="Palatino Linotype" w:cs="Palatino Linotype"/>
          <w:b/>
        </w:rPr>
        <w:t xml:space="preserve">Sujeto Obligado </w:t>
      </w:r>
      <w:r w:rsidRPr="002423AB">
        <w:rPr>
          <w:rFonts w:ascii="Palatino Linotype" w:eastAsia="Palatino Linotype" w:hAnsi="Palatino Linotype" w:cs="Palatino Linotype"/>
        </w:rPr>
        <w:t xml:space="preserve">para conocer de la información que solicita la parte </w:t>
      </w:r>
      <w:r w:rsidRPr="002423AB">
        <w:rPr>
          <w:rFonts w:ascii="Palatino Linotype" w:eastAsia="Palatino Linotype" w:hAnsi="Palatino Linotype" w:cs="Palatino Linotype"/>
          <w:b/>
        </w:rPr>
        <w:t xml:space="preserve">Recurrente, </w:t>
      </w:r>
      <w:r w:rsidRPr="002423AB">
        <w:rPr>
          <w:rFonts w:ascii="Palatino Linotype" w:eastAsia="Palatino Linotype" w:hAnsi="Palatino Linotype" w:cs="Palatino Linotype"/>
        </w:rPr>
        <w:t xml:space="preserve">al relacionarse dichas recomendaciones, estén relacionadas con las quejas que requiere la parte </w:t>
      </w:r>
      <w:r w:rsidRPr="002423AB">
        <w:rPr>
          <w:rFonts w:ascii="Palatino Linotype" w:eastAsia="Palatino Linotype" w:hAnsi="Palatino Linotype" w:cs="Palatino Linotype"/>
          <w:b/>
        </w:rPr>
        <w:t>Recurrente</w:t>
      </w:r>
      <w:r w:rsidRPr="002423AB">
        <w:rPr>
          <w:rFonts w:ascii="Palatino Linotype" w:eastAsia="Palatino Linotype" w:hAnsi="Palatino Linotype" w:cs="Palatino Linotype"/>
        </w:rPr>
        <w:t xml:space="preserve"> en su solicitud de información, además de que el Órgano Interno de Control es el área encargada de todo lo relacionado con las quejas y denuncias así como el procedimiento de responsabilidad administrativa derivado de los actos u omisiones cometidos por servidores públicos, en los que pudiera encontrarse inmersa la vulneración de Derechos Humanos.</w:t>
      </w:r>
    </w:p>
    <w:p w14:paraId="2A4A8A30" w14:textId="77777777" w:rsidR="003E369A" w:rsidRPr="002423AB" w:rsidRDefault="00D8308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En tal contexto, derivado de las constancias que obran en el expediente electrónico, se advirtió que la Unidad de Transparencia no observó el procedimiento de búsqueda de  la información, el cual se constituye como la garantía primaria del derecho humano de acceso a la información pública, que se rige por los principios de simplicidad, rapidez, gratuidad del procedimiento, auxilio y orientación a las personas solicitantes con el fin de otorgar la protección más amplia de éste derecho, para ello la misma norma establece que los sujetos obligados deberán otorgar el </w:t>
      </w:r>
      <w:r w:rsidRPr="002423AB">
        <w:rPr>
          <w:rFonts w:ascii="Palatino Linotype" w:eastAsia="Palatino Linotype" w:hAnsi="Palatino Linotype" w:cs="Palatino Linotype"/>
        </w:rPr>
        <w:lastRenderedPageBreak/>
        <w:t>acceso a los documentos que obren en sus archivos o que estén obligados a documentar de acuerdo a sus facultades, competencias o funciones; por ende, al recibir una solicitud de acceso a la información pública se tendrá que turnar al área o las áreas  competentes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artículos 160, 162, 163 y 165 de la Ley de Transparencia y Acceso a la Información Pública del Estado de México y Municipios, a saber:</w:t>
      </w:r>
    </w:p>
    <w:p w14:paraId="08A42A6F"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w:t>
      </w:r>
      <w:r w:rsidRPr="002423AB">
        <w:rPr>
          <w:rFonts w:ascii="Palatino Linotype" w:eastAsia="Palatino Linotype" w:hAnsi="Palatino Linotype" w:cs="Palatino Linotype"/>
          <w:b/>
          <w:i/>
          <w:sz w:val="22"/>
          <w:szCs w:val="22"/>
        </w:rPr>
        <w:t>Artículo 160</w:t>
      </w:r>
      <w:r w:rsidRPr="002423AB">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CFC9362"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20AECCC7"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Artículo 162.</w:t>
      </w:r>
      <w:r w:rsidRPr="002423AB">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6CF2AE48"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Artículo 163</w:t>
      </w:r>
      <w:r w:rsidRPr="002423AB">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3514DEA4"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CAE155D"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lastRenderedPageBreak/>
        <w:t>…</w:t>
      </w:r>
    </w:p>
    <w:p w14:paraId="3D767E2E"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Artículo 165.</w:t>
      </w:r>
      <w:r w:rsidRPr="002423AB">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05D38C0C"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1FB059F7"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w:t>
      </w:r>
    </w:p>
    <w:p w14:paraId="4B7815A6"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Lo anterior se afirma así, en virtud de que, si bien la solicitud se turnó al Órgano Interno de Control, </w:t>
      </w:r>
      <w:r w:rsidRPr="002423AB">
        <w:rPr>
          <w:rFonts w:ascii="Palatino Linotype" w:eastAsia="Palatino Linotype" w:hAnsi="Palatino Linotype" w:cs="Palatino Linotype"/>
          <w:b/>
          <w:u w:val="single"/>
        </w:rPr>
        <w:t>no obra constancia de que se hubiera solicitado apoyo de la Unidad Jurídica y de Igualdad de Género</w:t>
      </w:r>
      <w:r w:rsidRPr="002423AB">
        <w:rPr>
          <w:rFonts w:ascii="Palatino Linotype" w:eastAsia="Palatino Linotype" w:hAnsi="Palatino Linotype" w:cs="Palatino Linotype"/>
        </w:rPr>
        <w:t>, por consiguiente, el procedimiento de búsqueda no puede tenerse por cumplido.</w:t>
      </w:r>
    </w:p>
    <w:p w14:paraId="58E34EA1" w14:textId="77777777" w:rsidR="003E369A" w:rsidRPr="002423AB" w:rsidRDefault="00D83080">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Ahora bien, con relación a la respuesta emitida por el servidor público habilitado del Órgano Interno de Control, se tiene que se limitó a referir que su competencia se ceñía a la aplicación de las leyes en materia de responsabilidades administrativas de las personas servidoras públicas, respecto de la investigación por la comisión de presuntas faltas administrativas, la atención de peticiones, quejas y denuncias ciudadanas, la realización de auditorías, y la resolución de procedimientos de responsabilidad administrativa, por lo que las quejas relacionadas con Derechos Humanos no se encuentra dentro de sus funciones, ni son competencia de dicha unidad administrativa, no obstante el servidor público olvida que los procedimientos de responsabilidad administrativa pudieran llevar inmersa la violación a Derechos Humanos, por lo que omitió pronunciarse respecto de las recomendaciones que en su caso hubiera emitido la Comisión de Derechos Humanos del Estado de México, razón por la cual se considera que su respuesta no </w:t>
      </w:r>
      <w:r w:rsidRPr="002423AB">
        <w:rPr>
          <w:rFonts w:ascii="Palatino Linotype" w:eastAsia="Palatino Linotype" w:hAnsi="Palatino Linotype" w:cs="Palatino Linotype"/>
        </w:rPr>
        <w:lastRenderedPageBreak/>
        <w:t>agotó los principios de congruencia y exhaustividad, de conformidad con el criterio de interpretación, con clave de control SO/002/2017 emitido por el Peno del Instituto Nacional de Transparencia y Acceso a la Información y Protección de Datos Personales, INAI, de rubro y texto siguientes:</w:t>
      </w:r>
    </w:p>
    <w:p w14:paraId="234C61B6" w14:textId="77777777" w:rsidR="003E369A" w:rsidRPr="002423AB" w:rsidRDefault="00D83080">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 xml:space="preserve">“Congruencia y exhaustividad. Sus alcances para garantizar el derecho de acceso a la información. </w:t>
      </w:r>
      <w:r w:rsidRPr="002423AB">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423AB">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2423AB">
        <w:rPr>
          <w:rFonts w:ascii="Palatino Linotype" w:eastAsia="Palatino Linotype" w:hAnsi="Palatino Linotype" w:cs="Palatino Linotype"/>
          <w:i/>
          <w:sz w:val="22"/>
          <w:szCs w:val="22"/>
        </w:rPr>
        <w:t xml:space="preserve">; mientras que </w:t>
      </w:r>
      <w:r w:rsidRPr="002423AB">
        <w:rPr>
          <w:rFonts w:ascii="Palatino Linotype" w:eastAsia="Palatino Linotype" w:hAnsi="Palatino Linotype" w:cs="Palatino Linotype"/>
          <w:b/>
          <w:i/>
          <w:sz w:val="22"/>
          <w:szCs w:val="22"/>
        </w:rPr>
        <w:t>la exhaustividad significa que dicha respuesta se refiera expresamente a cada uno de los puntos solicitados</w:t>
      </w:r>
      <w:r w:rsidRPr="002423AB">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44D5A2F"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Bajo estos argumentos, es claro que no puede tenerse por satisfecho el Derecho de acceso de la persona solicitante, por tanto, se estima procedente ordenar que, previa búsqueda exhaustiva y razonable, se haga entrega del soporte documental donde conste lo solicitado, en versión pública de ser procedente, para lo cual es necesario que se turne a todas las áreas que pudieran contar con dicha información, donde no se podrá omitir al Órgano Interno de Control y la Unidad Jurídica y de Igualdad de Género.</w:t>
      </w:r>
    </w:p>
    <w:p w14:paraId="66899975"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Asimismo, para efectos de lo anterior, es necesario hacer las siguientes precisiones:</w:t>
      </w:r>
    </w:p>
    <w:p w14:paraId="47D11C48" w14:textId="77777777" w:rsidR="003E369A" w:rsidRPr="002423AB" w:rsidRDefault="003E369A">
      <w:pPr>
        <w:spacing w:before="240" w:after="240" w:line="360" w:lineRule="auto"/>
        <w:jc w:val="both"/>
        <w:rPr>
          <w:rFonts w:ascii="Palatino Linotype" w:eastAsia="Palatino Linotype" w:hAnsi="Palatino Linotype" w:cs="Palatino Linotype"/>
        </w:rPr>
      </w:pPr>
    </w:p>
    <w:p w14:paraId="3C36DCE2"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En primer lugar, resulta necesario precisar que una recomendación, de conformidad con la información disponible en la página oficial Comisión de Derechos Humanos del Estado de México, CODHEM, es definida como una resolución derivada de una investigación en la que se acreditan violaciones a derechos humanos. El documento incluye la descripción de los hechos, las evidencias reunidas resultado de las diversas diligencias practicadas por personal adscrito a las Visitadurías del Organismo, así como las ponderaciones, que describen y argumentan los derechos humanos vulnerados a las personas por actos u omisiones de las autoridades y servidores públicos en ejercicio de sus funciones. Al final, se incluyen puntos recomendatorios con fines específicos tendentes a hacer prevalecer los derechos fundamentales de las personas, y si bien no son vinculantes, su probada oportunidad, implicaciones éticas y basamento en los derechos humanos la erigen en un instrumento público que permite el correcto funcionamiento de las instituciones al revelar el abuso e irregularidades cometidas por servidores públicos municipales y estatales, así como alternativas que permitan erradicar dichas conductas con el distintivo enfoque del respeto a la dignidad humana.</w:t>
      </w:r>
    </w:p>
    <w:p w14:paraId="1FC4A511"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Cabe señalar que dentro de la página electrónica de la CODHEM,  se encuentran publicadas diversas recomendaciones emitidas, del periodo correspondiente a los años dos mil dieciséis al año dos mil veintitrés, tal y como se muestra a continuación a manera de ejemplo:</w:t>
      </w:r>
    </w:p>
    <w:p w14:paraId="55FD4448" w14:textId="77777777" w:rsidR="003E369A" w:rsidRPr="002423AB" w:rsidRDefault="00D83080">
      <w:pPr>
        <w:spacing w:before="240" w:after="240" w:line="360" w:lineRule="auto"/>
        <w:jc w:val="center"/>
        <w:rPr>
          <w:rFonts w:ascii="Palatino Linotype" w:eastAsia="Palatino Linotype" w:hAnsi="Palatino Linotype" w:cs="Palatino Linotype"/>
        </w:rPr>
      </w:pPr>
      <w:r w:rsidRPr="002423AB">
        <w:rPr>
          <w:rFonts w:ascii="Palatino Linotype" w:eastAsia="Palatino Linotype" w:hAnsi="Palatino Linotype" w:cs="Palatino Linotype"/>
          <w:noProof/>
        </w:rPr>
        <w:lastRenderedPageBreak/>
        <w:drawing>
          <wp:inline distT="0" distB="0" distL="0" distR="0" wp14:anchorId="5F65627E" wp14:editId="4F807528">
            <wp:extent cx="4423187" cy="4765804"/>
            <wp:effectExtent l="0" t="0" r="0" b="0"/>
            <wp:docPr id="19520824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51099" t="4350" r="3225" b="8160"/>
                    <a:stretch>
                      <a:fillRect/>
                    </a:stretch>
                  </pic:blipFill>
                  <pic:spPr>
                    <a:xfrm>
                      <a:off x="0" y="0"/>
                      <a:ext cx="4423187" cy="4765804"/>
                    </a:xfrm>
                    <a:prstGeom prst="rect">
                      <a:avLst/>
                    </a:prstGeom>
                    <a:ln/>
                  </pic:spPr>
                </pic:pic>
              </a:graphicData>
            </a:graphic>
          </wp:inline>
        </w:drawing>
      </w:r>
      <w:r w:rsidRPr="002423AB">
        <w:rPr>
          <w:rFonts w:ascii="Palatino Linotype" w:eastAsia="Palatino Linotype" w:hAnsi="Palatino Linotype" w:cs="Palatino Linotype"/>
          <w:noProof/>
        </w:rPr>
        <w:drawing>
          <wp:inline distT="0" distB="0" distL="0" distR="0" wp14:anchorId="0E1B6344" wp14:editId="4BBBD21D">
            <wp:extent cx="4431499" cy="1953000"/>
            <wp:effectExtent l="0" t="0" r="0" b="0"/>
            <wp:docPr id="19520824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408" r="1201" b="8677"/>
                    <a:stretch>
                      <a:fillRect/>
                    </a:stretch>
                  </pic:blipFill>
                  <pic:spPr>
                    <a:xfrm>
                      <a:off x="0" y="0"/>
                      <a:ext cx="4431499" cy="1953000"/>
                    </a:xfrm>
                    <a:prstGeom prst="rect">
                      <a:avLst/>
                    </a:prstGeom>
                    <a:ln/>
                  </pic:spPr>
                </pic:pic>
              </a:graphicData>
            </a:graphic>
          </wp:inline>
        </w:drawing>
      </w:r>
    </w:p>
    <w:p w14:paraId="70316674" w14:textId="77777777" w:rsidR="003E369A" w:rsidRPr="002423AB" w:rsidRDefault="00D83080">
      <w:pPr>
        <w:spacing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Correlativo a lo anterior, el Reglamento Interno de la Comisión de Derechos Humanos del Estado de México, advierte en su artículo 5, dentro de la organización y adscripción de las unidades administrativas para el despacho de los asuntos de su competencia, las siguientes unidades administrativas:</w:t>
      </w:r>
    </w:p>
    <w:p w14:paraId="32346A5A" w14:textId="77777777" w:rsidR="003E369A" w:rsidRPr="002423AB" w:rsidRDefault="00D83080">
      <w:pPr>
        <w:spacing w:before="120" w:after="120"/>
        <w:ind w:left="851" w:right="900"/>
        <w:jc w:val="both"/>
        <w:rPr>
          <w:rFonts w:ascii="Palatino Linotype" w:eastAsia="Palatino Linotype" w:hAnsi="Palatino Linotype" w:cs="Palatino Linotype"/>
          <w:b/>
          <w:i/>
          <w:sz w:val="22"/>
          <w:szCs w:val="22"/>
        </w:rPr>
      </w:pPr>
      <w:r w:rsidRPr="002423AB">
        <w:rPr>
          <w:rFonts w:ascii="Palatino Linotype" w:eastAsia="Palatino Linotype" w:hAnsi="Palatino Linotype" w:cs="Palatino Linotype"/>
          <w:b/>
          <w:i/>
          <w:sz w:val="22"/>
          <w:szCs w:val="22"/>
        </w:rPr>
        <w:t>“Unidades administrativas</w:t>
      </w:r>
    </w:p>
    <w:p w14:paraId="1FE0BC10" w14:textId="77777777" w:rsidR="003E369A" w:rsidRPr="002423AB" w:rsidRDefault="00D83080">
      <w:pPr>
        <w:spacing w:before="120" w:after="120"/>
        <w:ind w:left="851" w:right="900"/>
        <w:jc w:val="both"/>
        <w:rPr>
          <w:rFonts w:ascii="Palatino Linotype" w:eastAsia="Palatino Linotype" w:hAnsi="Palatino Linotype" w:cs="Palatino Linotype"/>
          <w:b/>
          <w:i/>
          <w:sz w:val="22"/>
          <w:szCs w:val="22"/>
        </w:rPr>
      </w:pPr>
      <w:r w:rsidRPr="002423AB">
        <w:rPr>
          <w:rFonts w:ascii="Palatino Linotype" w:eastAsia="Palatino Linotype" w:hAnsi="Palatino Linotype" w:cs="Palatino Linotype"/>
          <w:b/>
          <w:i/>
          <w:sz w:val="22"/>
          <w:szCs w:val="22"/>
        </w:rPr>
        <w:t>Artículo 5.-</w:t>
      </w:r>
      <w:r w:rsidRPr="002423AB">
        <w:rPr>
          <w:rFonts w:ascii="Palatino Linotype" w:eastAsia="Palatino Linotype" w:hAnsi="Palatino Linotype" w:cs="Palatino Linotype"/>
          <w:i/>
          <w:sz w:val="22"/>
          <w:szCs w:val="22"/>
        </w:rPr>
        <w:t xml:space="preserve"> Para el despacho de los asuntos de su competencia, así como para el cumplimiento de sus objetivos, la Comisión cuenta con las unidades administrativas siguientes:</w:t>
      </w:r>
    </w:p>
    <w:p w14:paraId="0B9B8297" w14:textId="77777777" w:rsidR="003E369A" w:rsidRPr="002423AB" w:rsidRDefault="00D83080">
      <w:pPr>
        <w:tabs>
          <w:tab w:val="left" w:pos="993"/>
        </w:tabs>
        <w:spacing w:before="120" w:after="120"/>
        <w:ind w:left="1134" w:right="900"/>
        <w:jc w:val="both"/>
        <w:rPr>
          <w:rFonts w:ascii="Palatino Linotype" w:eastAsia="Palatino Linotype" w:hAnsi="Palatino Linotype" w:cs="Palatino Linotype"/>
          <w:b/>
          <w:i/>
          <w:sz w:val="22"/>
          <w:szCs w:val="22"/>
        </w:rPr>
      </w:pPr>
      <w:r w:rsidRPr="002423AB">
        <w:rPr>
          <w:rFonts w:ascii="Palatino Linotype" w:eastAsia="Palatino Linotype" w:hAnsi="Palatino Linotype" w:cs="Palatino Linotype"/>
          <w:b/>
          <w:i/>
          <w:sz w:val="22"/>
          <w:szCs w:val="22"/>
        </w:rPr>
        <w:t>I. Primera Visitaduría General;</w:t>
      </w:r>
    </w:p>
    <w:p w14:paraId="67ED86FC" w14:textId="77777777" w:rsidR="003E369A" w:rsidRPr="002423AB" w:rsidRDefault="00D83080">
      <w:pPr>
        <w:tabs>
          <w:tab w:val="left" w:pos="993"/>
        </w:tabs>
        <w:spacing w:before="120" w:after="120"/>
        <w:ind w:left="1134" w:right="900"/>
        <w:jc w:val="both"/>
        <w:rPr>
          <w:rFonts w:ascii="Palatino Linotype" w:eastAsia="Palatino Linotype" w:hAnsi="Palatino Linotype" w:cs="Palatino Linotype"/>
          <w:b/>
          <w:i/>
          <w:sz w:val="22"/>
          <w:szCs w:val="22"/>
        </w:rPr>
      </w:pPr>
      <w:r w:rsidRPr="002423AB">
        <w:rPr>
          <w:rFonts w:ascii="Palatino Linotype" w:eastAsia="Palatino Linotype" w:hAnsi="Palatino Linotype" w:cs="Palatino Linotype"/>
          <w:b/>
          <w:i/>
          <w:sz w:val="22"/>
          <w:szCs w:val="22"/>
        </w:rPr>
        <w:t>I Bis. Segunda Visitaduría General;</w:t>
      </w:r>
    </w:p>
    <w:p w14:paraId="1E60713A" w14:textId="77777777" w:rsidR="003E369A" w:rsidRPr="002423AB" w:rsidRDefault="00D83080">
      <w:pPr>
        <w:tabs>
          <w:tab w:val="left" w:pos="993"/>
        </w:tabs>
        <w:spacing w:before="120" w:after="120"/>
        <w:ind w:left="1134" w:right="900"/>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II. Secretaría General;</w:t>
      </w:r>
    </w:p>
    <w:p w14:paraId="74E48553" w14:textId="77777777" w:rsidR="003E369A" w:rsidRPr="002423AB" w:rsidRDefault="00D83080">
      <w:pPr>
        <w:tabs>
          <w:tab w:val="left" w:pos="993"/>
        </w:tabs>
        <w:spacing w:before="120" w:after="120"/>
        <w:ind w:left="1134" w:right="900"/>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III. Dirección General de Administración y Finanzas;</w:t>
      </w:r>
    </w:p>
    <w:p w14:paraId="7DDBB763" w14:textId="77777777" w:rsidR="003E369A" w:rsidRPr="002423AB" w:rsidRDefault="00D83080">
      <w:pPr>
        <w:tabs>
          <w:tab w:val="left" w:pos="993"/>
        </w:tabs>
        <w:spacing w:before="120" w:after="120"/>
        <w:ind w:left="1134" w:right="900"/>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IV. Áreas de apoyo de la Presidencia;</w:t>
      </w:r>
    </w:p>
    <w:p w14:paraId="711742EE" w14:textId="77777777" w:rsidR="003E369A" w:rsidRPr="002423AB" w:rsidRDefault="00D83080">
      <w:pPr>
        <w:tabs>
          <w:tab w:val="left" w:pos="993"/>
        </w:tabs>
        <w:spacing w:before="120" w:after="120"/>
        <w:ind w:left="1134" w:right="900"/>
        <w:jc w:val="both"/>
        <w:rPr>
          <w:rFonts w:ascii="Palatino Linotype" w:eastAsia="Palatino Linotype" w:hAnsi="Palatino Linotype" w:cs="Palatino Linotype"/>
          <w:b/>
          <w:i/>
          <w:sz w:val="22"/>
          <w:szCs w:val="22"/>
        </w:rPr>
      </w:pPr>
      <w:r w:rsidRPr="002423AB">
        <w:rPr>
          <w:rFonts w:ascii="Palatino Linotype" w:eastAsia="Palatino Linotype" w:hAnsi="Palatino Linotype" w:cs="Palatino Linotype"/>
          <w:b/>
          <w:i/>
          <w:sz w:val="22"/>
          <w:szCs w:val="22"/>
        </w:rPr>
        <w:t>V. Visitadurías Generales;</w:t>
      </w:r>
    </w:p>
    <w:p w14:paraId="246F88F1" w14:textId="77777777" w:rsidR="003E369A" w:rsidRPr="002423AB" w:rsidRDefault="00D83080">
      <w:pPr>
        <w:tabs>
          <w:tab w:val="left" w:pos="993"/>
        </w:tabs>
        <w:spacing w:before="120" w:after="120"/>
        <w:ind w:left="1134" w:right="900"/>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VI. Órgano Interno de Control;</w:t>
      </w:r>
    </w:p>
    <w:p w14:paraId="65E54F5A" w14:textId="77777777" w:rsidR="003E369A" w:rsidRPr="002423AB" w:rsidRDefault="00D83080">
      <w:pPr>
        <w:tabs>
          <w:tab w:val="left" w:pos="993"/>
        </w:tabs>
        <w:spacing w:before="120" w:after="120"/>
        <w:ind w:left="1134" w:right="900"/>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VII. Instituto de Investigaciones y Formación en Derechos Humanos; y</w:t>
      </w:r>
    </w:p>
    <w:p w14:paraId="29222CAD" w14:textId="77777777" w:rsidR="003E369A" w:rsidRPr="002423AB" w:rsidRDefault="00D83080">
      <w:pPr>
        <w:tabs>
          <w:tab w:val="left" w:pos="993"/>
        </w:tabs>
        <w:spacing w:before="120" w:after="120"/>
        <w:ind w:left="1134" w:right="900"/>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VIII. Unidad de Servicios, Orientación y Recepción de Quejas.</w:t>
      </w:r>
    </w:p>
    <w:p w14:paraId="1F18C1CA" w14:textId="77777777" w:rsidR="003E369A" w:rsidRPr="002423AB" w:rsidRDefault="00D83080">
      <w:pPr>
        <w:spacing w:before="120" w:after="120"/>
        <w:ind w:left="851" w:right="900"/>
        <w:jc w:val="both"/>
        <w:rPr>
          <w:rFonts w:ascii="Palatino Linotype" w:eastAsia="Palatino Linotype" w:hAnsi="Palatino Linotype" w:cs="Palatino Linotype"/>
          <w:b/>
          <w:i/>
          <w:sz w:val="22"/>
          <w:szCs w:val="22"/>
        </w:rPr>
      </w:pPr>
      <w:r w:rsidRPr="002423AB">
        <w:rPr>
          <w:rFonts w:ascii="Palatino Linotype" w:eastAsia="Palatino Linotype" w:hAnsi="Palatino Linotype" w:cs="Palatino Linotype"/>
          <w:b/>
          <w:i/>
          <w:sz w:val="22"/>
          <w:szCs w:val="22"/>
        </w:rPr>
        <w:t>…</w:t>
      </w:r>
    </w:p>
    <w:p w14:paraId="13CF2D2A" w14:textId="77777777" w:rsidR="003E369A" w:rsidRPr="002423AB" w:rsidRDefault="00D83080">
      <w:pPr>
        <w:spacing w:before="120" w:after="120"/>
        <w:ind w:left="851" w:right="900"/>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Artículo 7.-</w:t>
      </w:r>
      <w:r w:rsidRPr="002423AB">
        <w:rPr>
          <w:rFonts w:ascii="Palatino Linotype" w:eastAsia="Palatino Linotype" w:hAnsi="Palatino Linotype" w:cs="Palatino Linotype"/>
          <w:i/>
          <w:sz w:val="22"/>
          <w:szCs w:val="22"/>
        </w:rPr>
        <w:t xml:space="preserve"> </w:t>
      </w:r>
      <w:r w:rsidRPr="002423AB">
        <w:rPr>
          <w:rFonts w:ascii="Palatino Linotype" w:eastAsia="Palatino Linotype" w:hAnsi="Palatino Linotype" w:cs="Palatino Linotype"/>
          <w:b/>
          <w:i/>
          <w:sz w:val="22"/>
          <w:szCs w:val="22"/>
        </w:rPr>
        <w:t>Para la atención de quejas</w:t>
      </w:r>
      <w:r w:rsidRPr="002423AB">
        <w:rPr>
          <w:rFonts w:ascii="Palatino Linotype" w:eastAsia="Palatino Linotype" w:hAnsi="Palatino Linotype" w:cs="Palatino Linotype"/>
          <w:i/>
          <w:sz w:val="22"/>
          <w:szCs w:val="22"/>
        </w:rPr>
        <w:t xml:space="preserve"> y denuncias por violaciones a derechos humanos, así como para el despacho de los asuntos competencia del Organismo, y los que señale la Presidencia; </w:t>
      </w:r>
      <w:r w:rsidRPr="002423AB">
        <w:rPr>
          <w:rFonts w:ascii="Palatino Linotype" w:eastAsia="Palatino Linotype" w:hAnsi="Palatino Linotype" w:cs="Palatino Linotype"/>
          <w:b/>
          <w:i/>
          <w:sz w:val="22"/>
          <w:szCs w:val="22"/>
        </w:rPr>
        <w:t>la Primera Visitaduría General y la Segunda Visitaduría General, contarán con las Visitadurías</w:t>
      </w:r>
      <w:r w:rsidRPr="002423AB">
        <w:rPr>
          <w:rFonts w:ascii="Palatino Linotype" w:eastAsia="Palatino Linotype" w:hAnsi="Palatino Linotype" w:cs="Palatino Linotype"/>
          <w:i/>
          <w:sz w:val="22"/>
          <w:szCs w:val="22"/>
        </w:rPr>
        <w:t>, así como con las unidades administrativas que las necesidades del servicio requiera.</w:t>
      </w:r>
    </w:p>
    <w:p w14:paraId="0E046260" w14:textId="77777777" w:rsidR="003E369A" w:rsidRPr="002423AB" w:rsidRDefault="00D83080">
      <w:pPr>
        <w:spacing w:before="120" w:after="120"/>
        <w:ind w:left="851" w:right="900"/>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w:t>
      </w:r>
    </w:p>
    <w:p w14:paraId="593EC69A" w14:textId="77777777" w:rsidR="003E369A" w:rsidRPr="002423AB" w:rsidRDefault="00D83080">
      <w:pPr>
        <w:spacing w:before="120" w:after="120"/>
        <w:ind w:left="851" w:right="900"/>
        <w:jc w:val="both"/>
        <w:rPr>
          <w:rFonts w:ascii="Palatino Linotype" w:eastAsia="Palatino Linotype" w:hAnsi="Palatino Linotype" w:cs="Palatino Linotype"/>
          <w:b/>
          <w:i/>
          <w:sz w:val="22"/>
          <w:szCs w:val="22"/>
        </w:rPr>
      </w:pPr>
      <w:r w:rsidRPr="002423AB">
        <w:rPr>
          <w:rFonts w:ascii="Palatino Linotype" w:eastAsia="Palatino Linotype" w:hAnsi="Palatino Linotype" w:cs="Palatino Linotype"/>
          <w:b/>
          <w:i/>
          <w:sz w:val="22"/>
          <w:szCs w:val="22"/>
        </w:rPr>
        <w:t>Atribuciones de las Visitadurías Generales</w:t>
      </w:r>
    </w:p>
    <w:p w14:paraId="5855F7F5" w14:textId="77777777" w:rsidR="003E369A" w:rsidRPr="002423AB" w:rsidRDefault="00D83080">
      <w:pPr>
        <w:spacing w:before="120" w:after="120"/>
        <w:ind w:left="851" w:right="900"/>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Artículo 14.-</w:t>
      </w:r>
      <w:r w:rsidRPr="002423AB">
        <w:rPr>
          <w:rFonts w:ascii="Palatino Linotype" w:eastAsia="Palatino Linotype" w:hAnsi="Palatino Linotype" w:cs="Palatino Linotype"/>
          <w:i/>
          <w:sz w:val="22"/>
          <w:szCs w:val="22"/>
        </w:rPr>
        <w:t xml:space="preserve"> Las </w:t>
      </w:r>
      <w:r w:rsidRPr="002423AB">
        <w:rPr>
          <w:rFonts w:ascii="Palatino Linotype" w:eastAsia="Palatino Linotype" w:hAnsi="Palatino Linotype" w:cs="Palatino Linotype"/>
          <w:b/>
          <w:i/>
          <w:sz w:val="22"/>
          <w:szCs w:val="22"/>
        </w:rPr>
        <w:t>Visitadurías Generales</w:t>
      </w:r>
      <w:r w:rsidRPr="002423AB">
        <w:rPr>
          <w:rFonts w:ascii="Palatino Linotype" w:eastAsia="Palatino Linotype" w:hAnsi="Palatino Linotype" w:cs="Palatino Linotype"/>
          <w:i/>
          <w:sz w:val="22"/>
          <w:szCs w:val="22"/>
        </w:rPr>
        <w:t xml:space="preserve">, además de las facultades y obligaciones señaladas en la Ley, </w:t>
      </w:r>
      <w:r w:rsidRPr="002423AB">
        <w:rPr>
          <w:rFonts w:ascii="Palatino Linotype" w:eastAsia="Palatino Linotype" w:hAnsi="Palatino Linotype" w:cs="Palatino Linotype"/>
          <w:i/>
          <w:sz w:val="22"/>
          <w:szCs w:val="22"/>
          <w:u w:val="single"/>
        </w:rPr>
        <w:t xml:space="preserve">conocerán de los asuntos y </w:t>
      </w:r>
      <w:r w:rsidRPr="002423AB">
        <w:rPr>
          <w:rFonts w:ascii="Palatino Linotype" w:eastAsia="Palatino Linotype" w:hAnsi="Palatino Linotype" w:cs="Palatino Linotype"/>
          <w:b/>
          <w:i/>
          <w:sz w:val="22"/>
          <w:szCs w:val="22"/>
          <w:u w:val="single"/>
        </w:rPr>
        <w:t>procedimientos que establezcan otras regulaciones, relacionados con presuntas violaciones a derechos humanos</w:t>
      </w:r>
      <w:r w:rsidRPr="002423AB">
        <w:rPr>
          <w:rFonts w:ascii="Palatino Linotype" w:eastAsia="Palatino Linotype" w:hAnsi="Palatino Linotype" w:cs="Palatino Linotype"/>
          <w:i/>
          <w:sz w:val="22"/>
          <w:szCs w:val="22"/>
          <w:u w:val="single"/>
        </w:rPr>
        <w:t xml:space="preserve"> competencia del Organismo</w:t>
      </w:r>
      <w:r w:rsidRPr="002423AB">
        <w:rPr>
          <w:rFonts w:ascii="Palatino Linotype" w:eastAsia="Palatino Linotype" w:hAnsi="Palatino Linotype" w:cs="Palatino Linotype"/>
          <w:i/>
          <w:sz w:val="22"/>
          <w:szCs w:val="22"/>
        </w:rPr>
        <w:t>.”</w:t>
      </w:r>
    </w:p>
    <w:p w14:paraId="75164F10"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De los preceptos legales normativos se desprende que las unidades administrativas con las que cuenta la CODHEM, y que, de acuerdo a sus facultades y atribuciones, son las encargadas de llevar a cabo los procedimientos relacionados con presuntas violaciones a derechos humanos son las Visitadurías Generales de las que se encuentran a cargo Primera Visitaduría General y Segunda Visitaduría General.</w:t>
      </w:r>
    </w:p>
    <w:p w14:paraId="73E40994"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Por otro lado, resulta necesario analizar si procede la entrega de la información, en atención a lo siguiente:</w:t>
      </w:r>
    </w:p>
    <w:p w14:paraId="0E505AD8" w14:textId="77777777" w:rsidR="003E369A" w:rsidRPr="002423AB" w:rsidRDefault="00D83080">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rPr>
      </w:pPr>
      <w:r w:rsidRPr="002423AB">
        <w:rPr>
          <w:rFonts w:ascii="Palatino Linotype" w:eastAsia="Palatino Linotype" w:hAnsi="Palatino Linotype" w:cs="Palatino Linotype"/>
          <w:b/>
          <w:u w:val="single"/>
        </w:rPr>
        <w:t>Procedimiento Administrativo en trámite.</w:t>
      </w:r>
    </w:p>
    <w:p w14:paraId="3BB9CF7C"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Al respecto, el artículo 140, fracción VIII de la Ley de Transparencia y Acceso a la Información Pública del Estado de México y Municipios (homólogo al 113, fracción XI, de la Ley General de Transparencia y Acceso a la Información Pública), establecen que será información </w:t>
      </w:r>
      <w:r w:rsidRPr="002423AB">
        <w:rPr>
          <w:rFonts w:ascii="Palatino Linotype" w:eastAsia="Palatino Linotype" w:hAnsi="Palatino Linotype" w:cs="Palatino Linotype"/>
          <w:b/>
        </w:rPr>
        <w:t>reservada</w:t>
      </w:r>
      <w:r w:rsidRPr="002423AB">
        <w:rPr>
          <w:rFonts w:ascii="Palatino Linotype" w:eastAsia="Palatino Linotype" w:hAnsi="Palatino Linotype" w:cs="Palatino Linotype"/>
        </w:rPr>
        <w:t xml:space="preserve">, aquella que vulnere la conducción de los expedientes judiciales o de los </w:t>
      </w:r>
      <w:r w:rsidRPr="002423AB">
        <w:rPr>
          <w:rFonts w:ascii="Palatino Linotype" w:eastAsia="Palatino Linotype" w:hAnsi="Palatino Linotype" w:cs="Palatino Linotype"/>
          <w:b/>
          <w:u w:val="single"/>
        </w:rPr>
        <w:t>procedimientos administrativos seguidos en forma de juicio</w:t>
      </w:r>
      <w:r w:rsidRPr="002423AB">
        <w:rPr>
          <w:rFonts w:ascii="Palatino Linotype" w:eastAsia="Palatino Linotype" w:hAnsi="Palatino Linotype" w:cs="Palatino Linotype"/>
        </w:rPr>
        <w:t xml:space="preserve">, en tanto no hayan causado estado. </w:t>
      </w:r>
    </w:p>
    <w:p w14:paraId="625998AB"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En ese sentido, los Lineamientos Generales en Materia de Clasificación y Desclasificación de la Información, así como para la Elaboración de Versiones Públicas –Lineamientos Generales-, prevén lo siguiente:</w:t>
      </w:r>
    </w:p>
    <w:p w14:paraId="2242C30C"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“Trigésimo.</w:t>
      </w:r>
      <w:r w:rsidRPr="002423AB">
        <w:rPr>
          <w:rFonts w:ascii="Palatino Linotype" w:eastAsia="Palatino Linotype" w:hAnsi="Palatino Linotype" w:cs="Palatino Linotype"/>
          <w:i/>
          <w:sz w:val="22"/>
          <w:szCs w:val="22"/>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76415E8D"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w:t>
      </w:r>
      <w:r w:rsidRPr="002423AB">
        <w:rPr>
          <w:rFonts w:ascii="Palatino Linotype" w:eastAsia="Palatino Linotype" w:hAnsi="Palatino Linotype" w:cs="Palatino Linotype"/>
          <w:i/>
          <w:sz w:val="22"/>
          <w:szCs w:val="22"/>
        </w:rPr>
        <w:t xml:space="preserve"> La existencia de un juicio o procedimiento administrativo materialmente jurisdiccional, que se encuentre en trámite; </w:t>
      </w:r>
    </w:p>
    <w:p w14:paraId="44D53418"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lastRenderedPageBreak/>
        <w:t>II.</w:t>
      </w:r>
      <w:r w:rsidRPr="002423AB">
        <w:rPr>
          <w:rFonts w:ascii="Palatino Linotype" w:eastAsia="Palatino Linotype" w:hAnsi="Palatino Linotype" w:cs="Palatino Linotype"/>
          <w:i/>
          <w:sz w:val="22"/>
          <w:szCs w:val="22"/>
        </w:rPr>
        <w:t xml:space="preserve"> Que la información solicitada se refiera a actuaciones, diligencias o constancias propias del procedimiento; y</w:t>
      </w:r>
    </w:p>
    <w:p w14:paraId="423C53B6"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III.</w:t>
      </w:r>
      <w:r w:rsidRPr="002423AB">
        <w:rPr>
          <w:rFonts w:ascii="Palatino Linotype" w:eastAsia="Palatino Linotype" w:hAnsi="Palatino Linotype" w:cs="Palatino Linotype"/>
          <w:i/>
          <w:sz w:val="22"/>
          <w:szCs w:val="22"/>
        </w:rPr>
        <w:t xml:space="preserve"> Que su difusión afecte o interrumpa la libertad de decisión de las autoridades dentro del juicio o procedimiento administrativo seguido en forma de juicio.</w:t>
      </w:r>
    </w:p>
    <w:p w14:paraId="1F64428A"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 xml:space="preserve">Para los efectos del primer párrafo de este numeral, se considera procedimiento seguido en forma de juicio a aquel formalmente administrativo, pero materialmente jurisdiccional; esto es, en el que concurran los siguientes elementos: </w:t>
      </w:r>
    </w:p>
    <w:p w14:paraId="64595E4E"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1.</w:t>
      </w:r>
      <w:r w:rsidRPr="002423AB">
        <w:rPr>
          <w:rFonts w:ascii="Palatino Linotype" w:eastAsia="Palatino Linotype" w:hAnsi="Palatino Linotype" w:cs="Palatino Linotype"/>
          <w:i/>
          <w:sz w:val="22"/>
          <w:szCs w:val="22"/>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5383BCB0"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2.</w:t>
      </w:r>
      <w:r w:rsidRPr="002423AB">
        <w:rPr>
          <w:rFonts w:ascii="Palatino Linotype" w:eastAsia="Palatino Linotype" w:hAnsi="Palatino Linotype" w:cs="Palatino Linotype"/>
          <w:i/>
          <w:sz w:val="22"/>
          <w:szCs w:val="22"/>
        </w:rPr>
        <w:t xml:space="preserve"> Que se cumplan las formalidades esenciales del procedimiento. </w:t>
      </w:r>
    </w:p>
    <w:p w14:paraId="7FEA8A6B"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63CD2CF2"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De la normatividad citada, se desprende que el supuesto de clasificación, prevé que como información </w:t>
      </w:r>
      <w:r w:rsidRPr="002423AB">
        <w:rPr>
          <w:rFonts w:ascii="Palatino Linotype" w:eastAsia="Palatino Linotype" w:hAnsi="Palatino Linotype" w:cs="Palatino Linotype"/>
          <w:b/>
        </w:rPr>
        <w:t>reservada</w:t>
      </w:r>
      <w:r w:rsidRPr="002423AB">
        <w:rPr>
          <w:rFonts w:ascii="Palatino Linotype" w:eastAsia="Palatino Linotype" w:hAnsi="Palatino Linotype" w:cs="Palatino Linotype"/>
        </w:rPr>
        <w:t xml:space="preserve"> podrá clasificarse aquella que vulnere la conducción de los expedientes judiciales o de </w:t>
      </w:r>
      <w:r w:rsidRPr="002423AB">
        <w:rPr>
          <w:rFonts w:ascii="Palatino Linotype" w:eastAsia="Palatino Linotype" w:hAnsi="Palatino Linotype" w:cs="Palatino Linotype"/>
          <w:b/>
          <w:u w:val="single"/>
        </w:rPr>
        <w:t>los procedimientos administrativos seguidos en forma de juicio, en tanto no hayan causado estado</w:t>
      </w:r>
      <w:r w:rsidRPr="002423AB">
        <w:rPr>
          <w:rFonts w:ascii="Palatino Linotype" w:eastAsia="Palatino Linotype" w:hAnsi="Palatino Linotype" w:cs="Palatino Linotype"/>
        </w:rPr>
        <w:t>. Por lo cual, para considerar que se actualiza dicha causal es necesario que se configuren los siguientes elementos:</w:t>
      </w:r>
    </w:p>
    <w:p w14:paraId="51422657" w14:textId="77777777" w:rsidR="003E369A" w:rsidRPr="002423AB" w:rsidRDefault="00D83080">
      <w:pPr>
        <w:numPr>
          <w:ilvl w:val="0"/>
          <w:numId w:val="2"/>
        </w:numPr>
        <w:tabs>
          <w:tab w:val="left" w:pos="709"/>
        </w:tabs>
        <w:spacing w:before="240" w:after="240" w:line="360" w:lineRule="auto"/>
        <w:ind w:left="426" w:firstLine="0"/>
        <w:jc w:val="both"/>
        <w:rPr>
          <w:rFonts w:ascii="Palatino Linotype" w:eastAsia="Palatino Linotype" w:hAnsi="Palatino Linotype" w:cs="Palatino Linotype"/>
        </w:rPr>
      </w:pPr>
      <w:r w:rsidRPr="002423AB">
        <w:rPr>
          <w:rFonts w:ascii="Palatino Linotype" w:eastAsia="Palatino Linotype" w:hAnsi="Palatino Linotype" w:cs="Palatino Linotype"/>
        </w:rPr>
        <w:t>La existencia de un juicio o procedimiento administrativo materialmente jurisdiccional, que se encuentre en trámite;</w:t>
      </w:r>
    </w:p>
    <w:p w14:paraId="71C5BD0E" w14:textId="77777777" w:rsidR="003E369A" w:rsidRPr="002423AB" w:rsidRDefault="00D83080">
      <w:pPr>
        <w:numPr>
          <w:ilvl w:val="0"/>
          <w:numId w:val="2"/>
        </w:numPr>
        <w:tabs>
          <w:tab w:val="left" w:pos="709"/>
        </w:tabs>
        <w:spacing w:before="240" w:after="240" w:line="360" w:lineRule="auto"/>
        <w:ind w:left="426" w:firstLine="0"/>
        <w:jc w:val="both"/>
        <w:rPr>
          <w:rFonts w:ascii="Palatino Linotype" w:eastAsia="Palatino Linotype" w:hAnsi="Palatino Linotype" w:cs="Palatino Linotype"/>
        </w:rPr>
      </w:pPr>
      <w:r w:rsidRPr="002423AB">
        <w:rPr>
          <w:rFonts w:ascii="Palatino Linotype" w:eastAsia="Palatino Linotype" w:hAnsi="Palatino Linotype" w:cs="Palatino Linotype"/>
        </w:rPr>
        <w:t>Que la información solicitada se refiera a actuaciones, diligencias o constancias propias del procedimiento, y</w:t>
      </w:r>
    </w:p>
    <w:p w14:paraId="49F2C00A" w14:textId="77777777" w:rsidR="003E369A" w:rsidRPr="002423AB" w:rsidRDefault="00D83080">
      <w:pPr>
        <w:numPr>
          <w:ilvl w:val="0"/>
          <w:numId w:val="2"/>
        </w:numPr>
        <w:tabs>
          <w:tab w:val="left" w:pos="709"/>
        </w:tabs>
        <w:spacing w:before="240" w:after="240" w:line="360" w:lineRule="auto"/>
        <w:ind w:left="426" w:firstLine="0"/>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Que su difusión afecte o interrumpa la libertad de decisión de las autoridades dentro del juicio o procedimiento administrativo seguido en forma de juicio.</w:t>
      </w:r>
    </w:p>
    <w:p w14:paraId="00BE2683" w14:textId="77777777" w:rsidR="003E369A" w:rsidRPr="002423AB" w:rsidRDefault="00D83080">
      <w:pPr>
        <w:spacing w:before="240" w:after="240" w:line="360" w:lineRule="auto"/>
        <w:jc w:val="both"/>
        <w:rPr>
          <w:rFonts w:ascii="Palatino Linotype" w:eastAsia="Palatino Linotype" w:hAnsi="Palatino Linotype" w:cs="Palatino Linotype"/>
        </w:rPr>
      </w:pPr>
      <w:bookmarkStart w:id="9" w:name="_heading=h.1ksv4uv" w:colFirst="0" w:colLast="0"/>
      <w:bookmarkEnd w:id="9"/>
      <w:r w:rsidRPr="002423AB">
        <w:rPr>
          <w:rFonts w:ascii="Palatino Linotype" w:eastAsia="Palatino Linotype" w:hAnsi="Palatino Linotype" w:cs="Palatino Linotype"/>
        </w:rPr>
        <w:t xml:space="preserve">Con base en lo expuesto, se advierte que la información susceptible de clasificarse como </w:t>
      </w:r>
      <w:r w:rsidRPr="002423AB">
        <w:rPr>
          <w:rFonts w:ascii="Palatino Linotype" w:eastAsia="Palatino Linotype" w:hAnsi="Palatino Linotype" w:cs="Palatino Linotype"/>
          <w:b/>
        </w:rPr>
        <w:t>reservada</w:t>
      </w:r>
      <w:r w:rsidRPr="002423AB">
        <w:rPr>
          <w:rFonts w:ascii="Palatino Linotype" w:eastAsia="Palatino Linotype" w:hAnsi="Palatino Linotype" w:cs="Palatino Linotype"/>
        </w:rPr>
        <w:t>, es aquella cuya difusión vulnere la conducción de los expedientes judiciales o procedimientos administrativos seguidos en forma de juicio, en tanto no hayan causado estado.</w:t>
      </w:r>
    </w:p>
    <w:p w14:paraId="19D83221" w14:textId="77777777" w:rsidR="007762A4" w:rsidRPr="002423AB" w:rsidRDefault="007762A4" w:rsidP="007762A4">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En relación con lo anterior, es menester precisar que para que se trate de un</w:t>
      </w:r>
      <w:r w:rsidRPr="002423AB">
        <w:rPr>
          <w:rFonts w:ascii="Palatino Linotype" w:eastAsia="Palatino Linotype" w:hAnsi="Palatino Linotype" w:cs="Palatino Linotype"/>
          <w:b/>
        </w:rPr>
        <w:t xml:space="preserve"> </w:t>
      </w:r>
      <w:r w:rsidRPr="002423AB">
        <w:rPr>
          <w:rFonts w:ascii="Palatino Linotype" w:eastAsia="Palatino Linotype" w:hAnsi="Palatino Linotype" w:cs="Palatino Linotype"/>
        </w:rPr>
        <w:t xml:space="preserve">juicio o procedimiento administrativo materialmente jurisdiccional, debe cumplirse con lo dispuesto en los Lineamientos Generales, así como lo sostenido por la Segunda Sala de la Suprema Corte de Justicia de la Nación, en la Tesis 2a./J. 22/2003, consistente en que un “procedimiento en forma de juicio”, debe entenderse </w:t>
      </w:r>
      <w:r w:rsidRPr="002423AB">
        <w:rPr>
          <w:rFonts w:ascii="Palatino Linotype" w:eastAsia="Palatino Linotype" w:hAnsi="Palatino Linotype" w:cs="Palatino Linotype"/>
          <w:i/>
        </w:rPr>
        <w:t>lato sensu</w:t>
      </w:r>
      <w:r w:rsidRPr="002423AB">
        <w:rPr>
          <w:rFonts w:ascii="Palatino Linotype" w:eastAsia="Palatino Linotype" w:hAnsi="Palatino Linotype" w:cs="Palatino Linotype"/>
        </w:rPr>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2423AB">
        <w:rPr>
          <w:rFonts w:ascii="Palatino Linotype" w:eastAsia="Palatino Linotype" w:hAnsi="Palatino Linotype" w:cs="Palatino Linotype"/>
          <w:b/>
        </w:rPr>
        <w:t xml:space="preserve"> </w:t>
      </w:r>
      <w:r w:rsidRPr="002423AB">
        <w:rPr>
          <w:rFonts w:ascii="Palatino Linotype" w:eastAsia="Palatino Linotype" w:hAnsi="Palatino Linotype" w:cs="Palatino Linotype"/>
        </w:rPr>
        <w:t>tal como se muestra a continuación:</w:t>
      </w:r>
    </w:p>
    <w:p w14:paraId="1607DADB" w14:textId="77777777" w:rsidR="007762A4" w:rsidRPr="002423AB" w:rsidRDefault="007762A4" w:rsidP="007762A4">
      <w:pPr>
        <w:ind w:left="851" w:right="900"/>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sz w:val="22"/>
          <w:szCs w:val="22"/>
        </w:rPr>
        <w:t>“</w:t>
      </w:r>
      <w:r w:rsidRPr="002423AB">
        <w:rPr>
          <w:rFonts w:ascii="Palatino Linotype" w:eastAsia="Palatino Linotype" w:hAnsi="Palatino Linotype" w:cs="Palatino Linotype"/>
          <w:b/>
          <w:i/>
          <w:sz w:val="22"/>
          <w:szCs w:val="22"/>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2423AB">
        <w:rPr>
          <w:rFonts w:ascii="Palatino Linotype" w:eastAsia="Palatino Linotype" w:hAnsi="Palatino Linotype" w:cs="Palatino Linotype"/>
          <w:i/>
          <w:sz w:val="22"/>
          <w:szCs w:val="22"/>
        </w:rPr>
        <w:t xml:space="preserve">La Ley de Amparo establece que tratándose de actos dentro de un procedimiento, la regla general, con algunas excepciones, es que el juicio constitucional sólo procede hasta </w:t>
      </w:r>
      <w:r w:rsidRPr="002423AB">
        <w:rPr>
          <w:rFonts w:ascii="Palatino Linotype" w:eastAsia="Palatino Linotype" w:hAnsi="Palatino Linotype" w:cs="Palatino Linotype"/>
          <w:i/>
          <w:sz w:val="22"/>
          <w:szCs w:val="22"/>
        </w:rPr>
        <w:lastRenderedPageBreak/>
        <w:t xml:space="preserve">la resolución definitiva, ocasión en la cual cabe alegar tanto violaciones de fondo como de procedimiento, sistema que tiene el propósito de armonizar la protección de las garantías constitucionales del gobernado, con la necesidad de asegurar la expeditez de las diligencias procedimentales. Tal es la estructura que dicha Ley adopta en el amparo directo, así como en los procedimientos de ejecución y en los procedimientos de remate, como lo establece en sus artículos </w:t>
      </w:r>
      <w:hyperlink r:id="rId11">
        <w:r w:rsidRPr="002423AB">
          <w:rPr>
            <w:i/>
            <w:sz w:val="22"/>
            <w:szCs w:val="22"/>
            <w:u w:val="single"/>
          </w:rPr>
          <w:t>158</w:t>
        </w:r>
      </w:hyperlink>
      <w:r w:rsidRPr="002423AB">
        <w:rPr>
          <w:rFonts w:ascii="Palatino Linotype" w:eastAsia="Palatino Linotype" w:hAnsi="Palatino Linotype" w:cs="Palatino Linotype"/>
          <w:i/>
          <w:sz w:val="22"/>
          <w:szCs w:val="22"/>
        </w:rPr>
        <w:t xml:space="preserve"> y </w:t>
      </w:r>
      <w:hyperlink r:id="rId12">
        <w:r w:rsidRPr="002423AB">
          <w:rPr>
            <w:i/>
            <w:sz w:val="22"/>
            <w:szCs w:val="22"/>
            <w:u w:val="single"/>
          </w:rPr>
          <w:t>114, fracción III</w:t>
        </w:r>
      </w:hyperlink>
      <w:r w:rsidRPr="002423AB">
        <w:rPr>
          <w:rFonts w:ascii="Palatino Linotype" w:eastAsia="Palatino Linotype" w:hAnsi="Palatino Linotype" w:cs="Palatino Linotype"/>
          <w:i/>
          <w:sz w:val="22"/>
          <w:szCs w:val="22"/>
        </w:rPr>
        <w:t>, respectivamente. Por tanto, 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debe interpretarse de manera amplia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p>
    <w:p w14:paraId="4663D1BF"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Por lo cual, se procede analizar cada uno de los requisitos señalados en los Lineamientos Generales, con la finalidad de verificar si se configura la hipótesis de reserva en estudio:</w:t>
      </w:r>
    </w:p>
    <w:p w14:paraId="7E7267D5" w14:textId="77777777" w:rsidR="003E369A" w:rsidRPr="002423AB" w:rsidRDefault="00D83080">
      <w:pPr>
        <w:numPr>
          <w:ilvl w:val="0"/>
          <w:numId w:val="5"/>
        </w:numPr>
        <w:spacing w:before="240" w:after="240" w:line="360" w:lineRule="auto"/>
        <w:jc w:val="both"/>
        <w:rPr>
          <w:rFonts w:ascii="Palatino Linotype" w:eastAsia="Palatino Linotype" w:hAnsi="Palatino Linotype" w:cs="Palatino Linotype"/>
          <w:b/>
        </w:rPr>
      </w:pPr>
      <w:r w:rsidRPr="002423AB">
        <w:rPr>
          <w:rFonts w:ascii="Palatino Linotype" w:eastAsia="Palatino Linotype" w:hAnsi="Palatino Linotype" w:cs="Palatino Linotype"/>
          <w:b/>
        </w:rPr>
        <w:t>La existencia de un juicio o procedimiento administrativo materialmente jurisdiccional, que se encuentre en trámite.</w:t>
      </w:r>
    </w:p>
    <w:p w14:paraId="06065E01" w14:textId="77777777" w:rsidR="007762A4" w:rsidRPr="002423AB" w:rsidRDefault="007762A4" w:rsidP="007762A4">
      <w:pPr>
        <w:spacing w:before="240" w:after="240" w:line="360" w:lineRule="auto"/>
        <w:jc w:val="both"/>
        <w:rPr>
          <w:rFonts w:ascii="Palatino Linotype" w:eastAsia="Palatino Linotype" w:hAnsi="Palatino Linotype" w:cs="Palatino Linotype"/>
          <w:b/>
        </w:rPr>
      </w:pPr>
      <w:r w:rsidRPr="002423AB">
        <w:rPr>
          <w:rFonts w:ascii="Palatino Linotype" w:hAnsi="Palatino Linotype"/>
        </w:rPr>
        <w:t>Al respecto, el presente requisito se acreditaría, con el hecho de que, a la fecha de la solicitud, se encontrará aún en trámite el Procedimiento Administrativo, ante la autoridad resolutora.</w:t>
      </w:r>
    </w:p>
    <w:p w14:paraId="3D50F6FF" w14:textId="77777777" w:rsidR="003E369A" w:rsidRPr="002423AB" w:rsidRDefault="00D83080">
      <w:pPr>
        <w:numPr>
          <w:ilvl w:val="0"/>
          <w:numId w:val="5"/>
        </w:numPr>
        <w:spacing w:before="240" w:after="240" w:line="360" w:lineRule="auto"/>
        <w:jc w:val="both"/>
        <w:rPr>
          <w:rFonts w:ascii="Palatino Linotype" w:eastAsia="Palatino Linotype" w:hAnsi="Palatino Linotype" w:cs="Palatino Linotype"/>
          <w:b/>
        </w:rPr>
      </w:pPr>
      <w:r w:rsidRPr="002423AB">
        <w:rPr>
          <w:rFonts w:ascii="Palatino Linotype" w:eastAsia="Palatino Linotype" w:hAnsi="Palatino Linotype" w:cs="Palatino Linotype"/>
          <w:b/>
        </w:rPr>
        <w:t>Que la información solicitada se refiera a actuaciones, diligencias o constancias propias del procedimiento.</w:t>
      </w:r>
    </w:p>
    <w:p w14:paraId="66207C09" w14:textId="77777777" w:rsidR="003E369A" w:rsidRPr="002423AB" w:rsidRDefault="00D83080">
      <w:pPr>
        <w:spacing w:before="240" w:after="240" w:line="360" w:lineRule="auto"/>
        <w:ind w:right="-30"/>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Al respecto, es necesario precisar que los Informes de Seguimiento y de Cumplimiento son documentos propios del procedimiento, en los cuales se manifiesta el cumplimiento de la recomendación por parte de quien la recibe y otro por quien la genera, por lo que, es claro que se acredita el segundo requisito establecido.</w:t>
      </w:r>
    </w:p>
    <w:p w14:paraId="07435897" w14:textId="77777777" w:rsidR="003E369A" w:rsidRPr="002423AB" w:rsidRDefault="00D83080">
      <w:pPr>
        <w:numPr>
          <w:ilvl w:val="0"/>
          <w:numId w:val="5"/>
        </w:numPr>
        <w:spacing w:before="240" w:after="240" w:line="360" w:lineRule="auto"/>
        <w:jc w:val="both"/>
        <w:rPr>
          <w:rFonts w:ascii="Palatino Linotype" w:eastAsia="Palatino Linotype" w:hAnsi="Palatino Linotype" w:cs="Palatino Linotype"/>
          <w:b/>
        </w:rPr>
      </w:pPr>
      <w:r w:rsidRPr="002423AB">
        <w:rPr>
          <w:rFonts w:ascii="Palatino Linotype" w:eastAsia="Palatino Linotype" w:hAnsi="Palatino Linotype" w:cs="Palatino Linotype"/>
          <w:b/>
        </w:rPr>
        <w:t>Que su difusión afecte o interrumpa la libertad de decisión de las autoridades dentro del juicio o procedimiento administrativo seguido en forma de juicio.</w:t>
      </w:r>
    </w:p>
    <w:p w14:paraId="3DAA3AE0" w14:textId="77777777" w:rsidR="003E369A" w:rsidRPr="002423AB" w:rsidRDefault="00D83080">
      <w:pPr>
        <w:spacing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El expediente, contiene las razones por las cuales se inició el procedimiento administrativo respectivo, el cual su divulgación podría afectar la decisión de las autoridades, por lo que, en su caso, se acreditaría el requisito referido.</w:t>
      </w:r>
    </w:p>
    <w:p w14:paraId="46A168AF" w14:textId="77777777" w:rsidR="003E369A" w:rsidRPr="002423AB" w:rsidRDefault="00D83080">
      <w:pPr>
        <w:tabs>
          <w:tab w:val="left" w:pos="4962"/>
        </w:tabs>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Conforme a lo anterior,</w:t>
      </w:r>
      <w:r w:rsidR="007762A4" w:rsidRPr="002423AB">
        <w:rPr>
          <w:rFonts w:ascii="Palatino Linotype" w:eastAsia="Palatino Linotype" w:hAnsi="Palatino Linotype" w:cs="Palatino Linotype"/>
        </w:rPr>
        <w:t xml:space="preserve"> </w:t>
      </w:r>
      <w:r w:rsidR="007762A4" w:rsidRPr="002423AB">
        <w:rPr>
          <w:rFonts w:ascii="Palatino Linotype" w:hAnsi="Palatino Linotype"/>
        </w:rPr>
        <w:t xml:space="preserve">en el caso, de que se encuentre en trámite el procedimiento administrativo, el Sujeto Obligado deberá desarrollar </w:t>
      </w:r>
      <w:r w:rsidRPr="002423AB">
        <w:rPr>
          <w:rFonts w:ascii="Palatino Linotype" w:eastAsia="Palatino Linotype" w:hAnsi="Palatino Linotype" w:cs="Palatino Linotype"/>
        </w:rPr>
        <w:t>una prueba de daño específica, acreditando las circunstancias analizadas por este Instituto, para lo cual, deberá tomar en cuenta lo establecido en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3939DC17" w14:textId="77777777" w:rsidR="003E369A" w:rsidRPr="002423AB" w:rsidRDefault="00D83080">
      <w:pPr>
        <w:numPr>
          <w:ilvl w:val="0"/>
          <w:numId w:val="1"/>
        </w:numPr>
        <w:tabs>
          <w:tab w:val="left" w:pos="851"/>
          <w:tab w:val="left" w:pos="4962"/>
        </w:tabs>
        <w:spacing w:before="240" w:after="240" w:line="360" w:lineRule="auto"/>
        <w:ind w:left="426" w:hanging="12"/>
        <w:jc w:val="both"/>
        <w:rPr>
          <w:rFonts w:ascii="Palatino Linotype" w:eastAsia="Palatino Linotype" w:hAnsi="Palatino Linotype" w:cs="Palatino Linotype"/>
        </w:rPr>
      </w:pPr>
      <w:r w:rsidRPr="002423AB">
        <w:rPr>
          <w:rFonts w:ascii="Palatino Linotype" w:eastAsia="Palatino Linotype" w:hAnsi="Palatino Linotype" w:cs="Palatino Linotype"/>
        </w:rPr>
        <w:t>La divulgación de la información representa un riesgo real, demostrable e identificable de perjuicio significativo al interés público o a la seguridad nacional.</w:t>
      </w:r>
    </w:p>
    <w:p w14:paraId="7BBD2203" w14:textId="77777777" w:rsidR="003E369A" w:rsidRPr="002423AB" w:rsidRDefault="00D83080">
      <w:pPr>
        <w:numPr>
          <w:ilvl w:val="0"/>
          <w:numId w:val="1"/>
        </w:numPr>
        <w:tabs>
          <w:tab w:val="left" w:pos="851"/>
          <w:tab w:val="left" w:pos="4962"/>
        </w:tabs>
        <w:spacing w:before="240" w:after="240" w:line="360" w:lineRule="auto"/>
        <w:ind w:left="426" w:hanging="12"/>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El riesgo de perjuicio supera el interés público general de que se difunda.</w:t>
      </w:r>
    </w:p>
    <w:p w14:paraId="21CECE1E" w14:textId="77777777" w:rsidR="003E369A" w:rsidRPr="002423AB" w:rsidRDefault="00D83080">
      <w:pPr>
        <w:numPr>
          <w:ilvl w:val="0"/>
          <w:numId w:val="1"/>
        </w:numPr>
        <w:tabs>
          <w:tab w:val="left" w:pos="851"/>
          <w:tab w:val="left" w:pos="4962"/>
        </w:tabs>
        <w:spacing w:before="240" w:after="240" w:line="360" w:lineRule="auto"/>
        <w:ind w:left="426" w:hanging="12"/>
        <w:jc w:val="both"/>
        <w:rPr>
          <w:rFonts w:ascii="Palatino Linotype" w:eastAsia="Palatino Linotype" w:hAnsi="Palatino Linotype" w:cs="Palatino Linotype"/>
        </w:rPr>
      </w:pPr>
      <w:r w:rsidRPr="002423AB">
        <w:rPr>
          <w:rFonts w:ascii="Palatino Linotype" w:eastAsia="Palatino Linotype" w:hAnsi="Palatino Linotype" w:cs="Palatino Linotype"/>
        </w:rPr>
        <w:t>Que la limitación se adecua al principio de proporcionalidad y representa el medio menos restrictivo disponible para evitar el perjuicio.</w:t>
      </w:r>
    </w:p>
    <w:p w14:paraId="15C62680"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Asimismo, 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w:t>
      </w:r>
    </w:p>
    <w:p w14:paraId="6DBFA88E"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Por otra parte,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6CB2484B" w14:textId="77777777" w:rsidR="003E369A" w:rsidRPr="002423AB" w:rsidRDefault="00D83080">
      <w:pPr>
        <w:spacing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Conforme a lo anterior, para el caso que el expediente se encuentre en trámite, el </w:t>
      </w:r>
      <w:r w:rsidRPr="002423AB">
        <w:rPr>
          <w:rFonts w:ascii="Palatino Linotype" w:eastAsia="Palatino Linotype" w:hAnsi="Palatino Linotype" w:cs="Palatino Linotype"/>
          <w:b/>
        </w:rPr>
        <w:t>Sujeto Obligado</w:t>
      </w:r>
      <w:r w:rsidRPr="002423AB">
        <w:rPr>
          <w:rFonts w:ascii="Palatino Linotype" w:eastAsia="Palatino Linotype" w:hAnsi="Palatino Linotype" w:cs="Palatino Linotype"/>
        </w:rPr>
        <w:t>, a través de su Comité de Transparencia, deberá emitir el Acuerdo mediante el cual se confirme la clasificación de manera fundada y motivada, mediante la realización de la prueba de daño establecida en los Lineamientos Generales y la Ley de Transparencia y Acceso a la Información Pública del Estado de México y Municipios.</w:t>
      </w:r>
    </w:p>
    <w:p w14:paraId="0E8C5711" w14:textId="77777777" w:rsidR="007762A4" w:rsidRPr="002423AB" w:rsidRDefault="007762A4">
      <w:pPr>
        <w:spacing w:line="360" w:lineRule="auto"/>
        <w:jc w:val="both"/>
        <w:rPr>
          <w:rFonts w:ascii="Palatino Linotype" w:eastAsia="Palatino Linotype" w:hAnsi="Palatino Linotype" w:cs="Palatino Linotype"/>
        </w:rPr>
      </w:pPr>
    </w:p>
    <w:p w14:paraId="38F4D75B" w14:textId="77777777" w:rsidR="003E369A" w:rsidRPr="002423AB" w:rsidRDefault="003E369A">
      <w:pPr>
        <w:spacing w:line="360" w:lineRule="auto"/>
        <w:jc w:val="both"/>
        <w:rPr>
          <w:rFonts w:ascii="Palatino Linotype" w:eastAsia="Palatino Linotype" w:hAnsi="Palatino Linotype" w:cs="Palatino Linotype"/>
          <w:i/>
        </w:rPr>
      </w:pPr>
    </w:p>
    <w:p w14:paraId="23F69008" w14:textId="77777777" w:rsidR="003E369A" w:rsidRPr="002423AB" w:rsidRDefault="00D83080">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u w:val="single"/>
        </w:rPr>
      </w:pPr>
      <w:r w:rsidRPr="002423AB">
        <w:rPr>
          <w:rFonts w:ascii="Palatino Linotype" w:eastAsia="Palatino Linotype" w:hAnsi="Palatino Linotype" w:cs="Palatino Linotype"/>
          <w:b/>
          <w:u w:val="single"/>
        </w:rPr>
        <w:lastRenderedPageBreak/>
        <w:t>Procedimiento Administrativo Concluido</w:t>
      </w:r>
    </w:p>
    <w:p w14:paraId="450051CE"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Ahora bien, para el caso de que el procedimiento administrativo se encuentre concluido, ya no se actualizaría la causal de </w:t>
      </w:r>
      <w:r w:rsidRPr="002423AB">
        <w:rPr>
          <w:rFonts w:ascii="Palatino Linotype" w:eastAsia="Palatino Linotype" w:hAnsi="Palatino Linotype" w:cs="Palatino Linotype"/>
          <w:b/>
        </w:rPr>
        <w:t>reserva</w:t>
      </w:r>
      <w:r w:rsidRPr="002423AB">
        <w:rPr>
          <w:rFonts w:ascii="Palatino Linotype" w:eastAsia="Palatino Linotype" w:hAnsi="Palatino Linotype" w:cs="Palatino Linotype"/>
        </w:rPr>
        <w:t>, pues no se actualizaría el primero de los requisitos establecidos en el Trigésimo de los Lineamientos Generales, por lo que, tendría que proporcionar la información en versión pública.</w:t>
      </w:r>
    </w:p>
    <w:p w14:paraId="384F2FF1"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Lo anterior, toma sustento con los artículos 3°, fracción XXI y 111 de la Ley General de Transparencia y Acceso a la Información Pública, 3°, fracción XLV, y 137 de la Ley de Transparencia y Acceso a la Información Pública del Estado de México y Municipios y los numerales Segundo, fracción XVIII, y Quincuagésimo sexto de los Lineamientos Generales que establecen que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documento que deberá ser aprobado por el Comité de Transparencia.</w:t>
      </w:r>
    </w:p>
    <w:p w14:paraId="50EEFDCD" w14:textId="77777777" w:rsidR="003E369A" w:rsidRPr="002423AB" w:rsidRDefault="00D83080">
      <w:pPr>
        <w:spacing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Al respecto, resulta necesario precisar que la Suprema Corte de Justicia de la Nación ha reconocido como derechos fundamentales de las personas, </w:t>
      </w:r>
      <w:r w:rsidRPr="002423AB">
        <w:rPr>
          <w:rFonts w:ascii="Palatino Linotype" w:eastAsia="Palatino Linotype" w:hAnsi="Palatino Linotype" w:cs="Palatino Linotype"/>
          <w:b/>
        </w:rPr>
        <w:t>el derecho a la intimidad</w:t>
      </w:r>
      <w:r w:rsidRPr="002423AB">
        <w:rPr>
          <w:rFonts w:ascii="Palatino Linotype" w:eastAsia="Palatino Linotype" w:hAnsi="Palatino Linotype" w:cs="Palatino Linotype"/>
        </w:rPr>
        <w:t>, en el siguiente criterio:</w:t>
      </w:r>
    </w:p>
    <w:p w14:paraId="7B8B85B9" w14:textId="77777777" w:rsidR="003E369A" w:rsidRPr="002423AB" w:rsidRDefault="00D83080">
      <w:pPr>
        <w:ind w:left="851" w:right="900"/>
        <w:jc w:val="both"/>
        <w:rPr>
          <w:rFonts w:ascii="Palatino Linotype" w:eastAsia="Palatino Linotype" w:hAnsi="Palatino Linotype" w:cs="Palatino Linotype"/>
          <w:b/>
          <w:i/>
          <w:sz w:val="22"/>
          <w:szCs w:val="22"/>
        </w:rPr>
      </w:pPr>
      <w:r w:rsidRPr="002423AB">
        <w:rPr>
          <w:rFonts w:ascii="Palatino Linotype" w:eastAsia="Palatino Linotype" w:hAnsi="Palatino Linotype" w:cs="Palatino Linotype"/>
          <w:i/>
          <w:sz w:val="22"/>
          <w:szCs w:val="22"/>
        </w:rPr>
        <w:t>“</w:t>
      </w:r>
      <w:r w:rsidRPr="002423AB">
        <w:rPr>
          <w:rFonts w:ascii="Palatino Linotype" w:eastAsia="Palatino Linotype" w:hAnsi="Palatino Linotype" w:cs="Palatino Linotype"/>
          <w:b/>
          <w:i/>
          <w:sz w:val="22"/>
          <w:szCs w:val="22"/>
        </w:rPr>
        <w:t xml:space="preserve">DERECHOS A LA INTIMIDAD, PROPIA IMAGEN, IDENTIDAD PERSONAL Y SEXUAL. CONSTITUYEN DERECHOS DE DEFENSA Y GARANTÍA ESENCIAL PARA LA CONDICIÓN HUMANA.  </w:t>
      </w:r>
      <w:r w:rsidRPr="002423AB">
        <w:rPr>
          <w:rFonts w:ascii="Palatino Linotype" w:eastAsia="Palatino Linotype" w:hAnsi="Palatino Linotype" w:cs="Palatino Linotype"/>
          <w:i/>
          <w:sz w:val="22"/>
          <w:szCs w:val="22"/>
        </w:rPr>
        <w:t xml:space="preserve">Dentro de los derechos personalísimos se encuentran necesariamente comprendidos el </w:t>
      </w:r>
      <w:r w:rsidRPr="002423AB">
        <w:rPr>
          <w:rFonts w:ascii="Palatino Linotype" w:eastAsia="Palatino Linotype" w:hAnsi="Palatino Linotype" w:cs="Palatino Linotype"/>
          <w:b/>
          <w:i/>
          <w:sz w:val="22"/>
          <w:szCs w:val="22"/>
        </w:rPr>
        <w:t>derecho a la intimidad y a la propia imagen</w:t>
      </w:r>
      <w:r w:rsidRPr="002423AB">
        <w:rPr>
          <w:rFonts w:ascii="Palatino Linotype" w:eastAsia="Palatino Linotype" w:hAnsi="Palatino Linotype" w:cs="Palatino Linotype"/>
          <w:i/>
          <w:sz w:val="22"/>
          <w:szCs w:val="22"/>
        </w:rPr>
        <w:t xml:space="preserve">, así como a la </w:t>
      </w:r>
      <w:r w:rsidRPr="002423AB">
        <w:rPr>
          <w:rFonts w:ascii="Palatino Linotype" w:eastAsia="Palatino Linotype" w:hAnsi="Palatino Linotype" w:cs="Palatino Linotype"/>
          <w:b/>
          <w:i/>
          <w:sz w:val="22"/>
          <w:szCs w:val="22"/>
        </w:rPr>
        <w:t>identidad personal</w:t>
      </w:r>
      <w:r w:rsidRPr="002423AB">
        <w:rPr>
          <w:rFonts w:ascii="Palatino Linotype" w:eastAsia="Palatino Linotype" w:hAnsi="Palatino Linotype" w:cs="Palatino Linotype"/>
          <w:i/>
          <w:sz w:val="22"/>
          <w:szCs w:val="22"/>
        </w:rPr>
        <w:t xml:space="preserve"> y sexual; entendiéndose por el primero, </w:t>
      </w:r>
      <w:r w:rsidRPr="002423AB">
        <w:rPr>
          <w:rFonts w:ascii="Palatino Linotype" w:eastAsia="Palatino Linotype" w:hAnsi="Palatino Linotype" w:cs="Palatino Linotype"/>
          <w:b/>
          <w:i/>
          <w:sz w:val="22"/>
          <w:szCs w:val="22"/>
        </w:rPr>
        <w:t>el derecho del individuo a no ser conocido por otros en ciertos aspectos de su vida</w:t>
      </w:r>
      <w:r w:rsidRPr="002423AB">
        <w:rPr>
          <w:rFonts w:ascii="Palatino Linotype" w:eastAsia="Palatino Linotype" w:hAnsi="Palatino Linotype" w:cs="Palatino Linotype"/>
          <w:i/>
          <w:sz w:val="22"/>
          <w:szCs w:val="22"/>
        </w:rPr>
        <w:t xml:space="preserve"> y, </w:t>
      </w:r>
      <w:r w:rsidRPr="002423AB">
        <w:rPr>
          <w:rFonts w:ascii="Palatino Linotype" w:eastAsia="Palatino Linotype" w:hAnsi="Palatino Linotype" w:cs="Palatino Linotype"/>
          <w:b/>
          <w:i/>
          <w:sz w:val="22"/>
          <w:szCs w:val="22"/>
        </w:rPr>
        <w:t xml:space="preserve">por ende, el </w:t>
      </w:r>
      <w:r w:rsidRPr="002423AB">
        <w:rPr>
          <w:rFonts w:ascii="Palatino Linotype" w:eastAsia="Palatino Linotype" w:hAnsi="Palatino Linotype" w:cs="Palatino Linotype"/>
          <w:b/>
          <w:i/>
          <w:sz w:val="22"/>
          <w:szCs w:val="22"/>
        </w:rPr>
        <w:lastRenderedPageBreak/>
        <w:t>poder de decisión sobre la publicidad o información de datos relativos a su persona</w:t>
      </w:r>
      <w:r w:rsidRPr="002423AB">
        <w:rPr>
          <w:rFonts w:ascii="Palatino Linotype" w:eastAsia="Palatino Linotype" w:hAnsi="Palatino Linotype" w:cs="Palatino Linotype"/>
          <w:i/>
          <w:sz w:val="22"/>
          <w:szCs w:val="22"/>
        </w:rPr>
        <w:t>, familia, pensamientos o sentimientos;</w:t>
      </w:r>
      <w:r w:rsidRPr="002423AB">
        <w:rPr>
          <w:rFonts w:ascii="Palatino Linotype" w:eastAsia="Palatino Linotype" w:hAnsi="Palatino Linotype" w:cs="Palatino Linotype"/>
          <w:b/>
          <w:i/>
          <w:sz w:val="22"/>
          <w:szCs w:val="22"/>
        </w:rPr>
        <w:t xml:space="preserve"> </w:t>
      </w:r>
      <w:r w:rsidRPr="002423AB">
        <w:rPr>
          <w:rFonts w:ascii="Palatino Linotype" w:eastAsia="Palatino Linotype" w:hAnsi="Palatino Linotype" w:cs="Palatino Linotype"/>
          <w:i/>
          <w:sz w:val="22"/>
          <w:szCs w:val="22"/>
        </w:rPr>
        <w:t xml:space="preserve">a la </w:t>
      </w:r>
      <w:r w:rsidRPr="002423AB">
        <w:rPr>
          <w:rFonts w:ascii="Palatino Linotype" w:eastAsia="Palatino Linotype" w:hAnsi="Palatino Linotype" w:cs="Palatino Linotype"/>
          <w:b/>
          <w:i/>
          <w:sz w:val="22"/>
          <w:szCs w:val="22"/>
        </w:rPr>
        <w:t>propia imagen, como aquel derecho de decidir, en forma libre, sobre la manera en que elige mostrarse frente a los demás</w:t>
      </w:r>
      <w:r w:rsidRPr="002423AB">
        <w:rPr>
          <w:rFonts w:ascii="Palatino Linotype" w:eastAsia="Palatino Linotype" w:hAnsi="Palatino Linotype" w:cs="Palatino Linotype"/>
          <w:i/>
          <w:sz w:val="22"/>
          <w:szCs w:val="22"/>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2423AB">
        <w:rPr>
          <w:rFonts w:ascii="Palatino Linotype" w:eastAsia="Palatino Linotype" w:hAnsi="Palatino Linotype" w:cs="Palatino Linotype"/>
          <w:b/>
          <w:i/>
          <w:sz w:val="22"/>
          <w:szCs w:val="22"/>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2423AB">
        <w:rPr>
          <w:rFonts w:ascii="Palatino Linotype" w:eastAsia="Palatino Linotype" w:hAnsi="Palatino Linotype" w:cs="Palatino Linotype"/>
          <w:i/>
          <w:sz w:val="22"/>
          <w:szCs w:val="22"/>
        </w:rPr>
        <w:t>”</w:t>
      </w:r>
    </w:p>
    <w:p w14:paraId="32960BC2" w14:textId="77777777" w:rsidR="003E369A" w:rsidRPr="002423AB" w:rsidRDefault="00D83080">
      <w:pPr>
        <w:spacing w:before="240" w:after="240" w:line="360" w:lineRule="auto"/>
        <w:ind w:right="-91"/>
        <w:jc w:val="both"/>
        <w:rPr>
          <w:rFonts w:ascii="Palatino Linotype" w:eastAsia="Palatino Linotype" w:hAnsi="Palatino Linotype" w:cs="Palatino Linotype"/>
          <w:b/>
        </w:rPr>
      </w:pPr>
      <w:r w:rsidRPr="002423AB">
        <w:rPr>
          <w:rFonts w:ascii="Palatino Linotype" w:eastAsia="Palatino Linotype" w:hAnsi="Palatino Linotype" w:cs="Palatino Linotype"/>
        </w:rPr>
        <w:t xml:space="preserve"> En ese sentido, es derecho de todo individuo a no ser conocido por otros en ciertos aspectos de su vida y, por ende, el poder de decisión sobre la publicidad o información de datos relativos a su persona </w:t>
      </w:r>
      <w:r w:rsidRPr="002423AB">
        <w:rPr>
          <w:rFonts w:ascii="Palatino Linotype" w:eastAsia="Palatino Linotype" w:hAnsi="Palatino Linotype" w:cs="Palatino Linotype"/>
          <w:b/>
        </w:rPr>
        <w:t>(derecho a la intimidad).</w:t>
      </w:r>
    </w:p>
    <w:p w14:paraId="414DED90" w14:textId="77777777" w:rsidR="003E369A" w:rsidRPr="002423AB" w:rsidRDefault="00D83080">
      <w:pPr>
        <w:spacing w:before="240" w:after="240" w:line="360" w:lineRule="auto"/>
        <w:ind w:right="-91"/>
        <w:jc w:val="both"/>
        <w:rPr>
          <w:rFonts w:ascii="Palatino Linotype" w:eastAsia="Palatino Linotype" w:hAnsi="Palatino Linotype" w:cs="Palatino Linotype"/>
        </w:rPr>
      </w:pPr>
      <w:r w:rsidRPr="002423AB">
        <w:rPr>
          <w:rFonts w:ascii="Palatino Linotype" w:eastAsia="Palatino Linotype" w:hAnsi="Palatino Linotype" w:cs="Palatino Linotype"/>
        </w:rPr>
        <w:t>Además, cabe señalar que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659F9037" w14:textId="77777777" w:rsidR="003E369A" w:rsidRPr="002423AB" w:rsidRDefault="00D83080">
      <w:pPr>
        <w:spacing w:before="240" w:after="24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lastRenderedPageBreak/>
        <w:t>“</w:t>
      </w:r>
      <w:r w:rsidRPr="002423AB">
        <w:rPr>
          <w:rFonts w:ascii="Palatino Linotype" w:eastAsia="Palatino Linotype" w:hAnsi="Palatino Linotype" w:cs="Palatino Linotype"/>
          <w:b/>
          <w:i/>
          <w:sz w:val="22"/>
          <w:szCs w:val="22"/>
        </w:rPr>
        <w:t xml:space="preserve">DERECHO A LA VIDA PRIVADA. SU CONTENIDO GENERAL Y LA IMPORTANCIA DE NO DESCONTEXTUALIZAR LAS REFERENCIAS A LA MISMA. </w:t>
      </w:r>
      <w:r w:rsidRPr="002423AB">
        <w:rPr>
          <w:rFonts w:ascii="Palatino Linotype" w:eastAsia="Palatino Linotype" w:hAnsi="Palatino Linotype" w:cs="Palatino Linotype"/>
          <w:i/>
          <w:sz w:val="22"/>
          <w:szCs w:val="22"/>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2423AB">
        <w:rPr>
          <w:rFonts w:ascii="Palatino Linotype" w:eastAsia="Palatino Linotype" w:hAnsi="Palatino Linotype" w:cs="Palatino Linotype"/>
          <w:b/>
          <w:i/>
          <w:sz w:val="22"/>
          <w:szCs w:val="22"/>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2423AB">
        <w:rPr>
          <w:rFonts w:ascii="Palatino Linotype" w:eastAsia="Palatino Linotype" w:hAnsi="Palatino Linotype" w:cs="Palatino Linotype"/>
          <w:i/>
          <w:sz w:val="22"/>
          <w:szCs w:val="22"/>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w:t>
      </w:r>
      <w:r w:rsidRPr="002423AB">
        <w:rPr>
          <w:rFonts w:ascii="Palatino Linotype" w:eastAsia="Palatino Linotype" w:hAnsi="Palatino Linotype" w:cs="Palatino Linotype"/>
          <w:i/>
          <w:sz w:val="22"/>
          <w:szCs w:val="22"/>
        </w:rPr>
        <w:lastRenderedPageBreak/>
        <w:t xml:space="preserve">invadan sin su consentimiento. </w:t>
      </w:r>
      <w:r w:rsidRPr="002423AB">
        <w:rPr>
          <w:rFonts w:ascii="Palatino Linotype" w:eastAsia="Palatino Linotype" w:hAnsi="Palatino Linotype" w:cs="Palatino Linotype"/>
          <w:b/>
          <w:i/>
          <w:sz w:val="22"/>
          <w:szCs w:val="22"/>
        </w:rPr>
        <w:t>En un sentido amplio, entonces, la protección constitucional de la vida privada implica poder conducir parte de la vida de uno protegido de la mirada y las injerencias de los demás</w:t>
      </w:r>
      <w:r w:rsidRPr="002423AB">
        <w:rPr>
          <w:rFonts w:ascii="Palatino Linotype" w:eastAsia="Palatino Linotype" w:hAnsi="Palatino Linotype" w:cs="Palatino Linotype"/>
          <w:i/>
          <w:sz w:val="22"/>
          <w:szCs w:val="22"/>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356C8531" w14:textId="77777777" w:rsidR="003E369A" w:rsidRPr="002423AB" w:rsidRDefault="00D83080" w:rsidP="007762A4">
      <w:pPr>
        <w:spacing w:before="240" w:after="240" w:line="360" w:lineRule="auto"/>
        <w:ind w:right="-91"/>
        <w:jc w:val="both"/>
        <w:rPr>
          <w:rFonts w:ascii="Palatino Linotype" w:eastAsia="Palatino Linotype" w:hAnsi="Palatino Linotype" w:cs="Palatino Linotype"/>
          <w:b/>
        </w:rPr>
      </w:pPr>
      <w:r w:rsidRPr="002423AB">
        <w:rPr>
          <w:rFonts w:ascii="Palatino Linotype" w:eastAsia="Palatino Linotype" w:hAnsi="Palatino Linotype" w:cs="Palatino Linotype"/>
        </w:rPr>
        <w:t xml:space="preserve">De conformidad con lo señalado, se colige que </w:t>
      </w:r>
      <w:r w:rsidRPr="002423AB">
        <w:rPr>
          <w:rFonts w:ascii="Palatino Linotype" w:eastAsia="Palatino Linotype" w:hAnsi="Palatino Linotype" w:cs="Palatino Linotype"/>
          <w:b/>
        </w:rPr>
        <w:t>las actividades que realicen los particulares, dentro del ámbito privado, o dentro de la esfera particular, es información que debe protegerse.</w:t>
      </w:r>
    </w:p>
    <w:p w14:paraId="1F3E8244" w14:textId="77777777" w:rsidR="003E369A" w:rsidRPr="002423AB" w:rsidRDefault="00D83080" w:rsidP="007762A4">
      <w:pPr>
        <w:spacing w:before="240" w:after="240" w:line="360" w:lineRule="auto"/>
        <w:ind w:right="-91"/>
        <w:jc w:val="both"/>
        <w:rPr>
          <w:rFonts w:ascii="Palatino Linotype" w:eastAsia="Palatino Linotype" w:hAnsi="Palatino Linotype" w:cs="Palatino Linotype"/>
        </w:rPr>
      </w:pPr>
      <w:r w:rsidRPr="002423AB">
        <w:rPr>
          <w:rFonts w:ascii="Palatino Linotype" w:eastAsia="Palatino Linotype" w:hAnsi="Palatino Linotype" w:cs="Palatino Linotype"/>
        </w:rPr>
        <w:t>En ese contexto, los documentos a entregarse podrían conformarse de información que hace identificable alguna de las partes, o bien, que sean totalmente referentes a la vida privada o íntima de alguna estas; cuya revelación iría en contra del derecho a la vida privada.</w:t>
      </w:r>
    </w:p>
    <w:p w14:paraId="3C183FE6" w14:textId="77777777" w:rsidR="003E369A" w:rsidRPr="002423AB" w:rsidRDefault="00D83080">
      <w:pPr>
        <w:tabs>
          <w:tab w:val="left" w:pos="709"/>
        </w:tabs>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Sin embargo, no se omite señalar que los artículos 115 de la Ley General de Transparencia y Acceso a la Información Pública, 142 de la Ley de Transparencia y Acceso a la Información Pública del Estado de México y Municipios, y el Lineamiento Trigésimo Séptimo de los Lineamientos Generales, establecen que no podrá invocarse con el carácter de reservada, aquella información que se encuentre relacionada con posibles violaciones a derechos humanos delitos de lesa humanidad</w:t>
      </w:r>
      <w:r w:rsidRPr="002423AB">
        <w:t xml:space="preserve"> </w:t>
      </w:r>
      <w:r w:rsidRPr="002423AB">
        <w:rPr>
          <w:rFonts w:ascii="Palatino Linotype" w:eastAsia="Palatino Linotype" w:hAnsi="Palatino Linotype" w:cs="Palatino Linotype"/>
        </w:rPr>
        <w:t>o actos de corrupción, preceptos legales que establecen lo siguiente:</w:t>
      </w:r>
    </w:p>
    <w:p w14:paraId="09582231" w14:textId="77777777" w:rsidR="003E369A" w:rsidRPr="002423AB" w:rsidRDefault="00D83080">
      <w:pPr>
        <w:tabs>
          <w:tab w:val="left" w:pos="709"/>
        </w:tabs>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lastRenderedPageBreak/>
        <w:t>“Artículo 115.</w:t>
      </w:r>
      <w:r w:rsidRPr="002423AB">
        <w:rPr>
          <w:rFonts w:ascii="Palatino Linotype" w:eastAsia="Palatino Linotype" w:hAnsi="Palatino Linotype" w:cs="Palatino Linotype"/>
          <w:i/>
          <w:sz w:val="22"/>
          <w:szCs w:val="22"/>
        </w:rPr>
        <w:t xml:space="preserve"> No podrá invocarse el carácter de reservado cuando:</w:t>
      </w:r>
    </w:p>
    <w:p w14:paraId="152457CB" w14:textId="77777777" w:rsidR="003E369A" w:rsidRPr="002423AB" w:rsidRDefault="00D83080">
      <w:pPr>
        <w:tabs>
          <w:tab w:val="left" w:pos="709"/>
        </w:tabs>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I. Se trate de violaciones graves de derechos humanos o delitos de lesa humanidad, o</w:t>
      </w:r>
    </w:p>
    <w:p w14:paraId="2E48BDBF" w14:textId="77777777" w:rsidR="003E369A" w:rsidRPr="002423AB" w:rsidRDefault="00D83080">
      <w:pPr>
        <w:tabs>
          <w:tab w:val="left" w:pos="709"/>
        </w:tabs>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II. Se trate de información relacionada con actos de corrupción de acuerdo con las leyes aplicables.”</w:t>
      </w:r>
    </w:p>
    <w:p w14:paraId="37A4084D" w14:textId="77777777" w:rsidR="003E369A" w:rsidRPr="002423AB" w:rsidRDefault="00D83080">
      <w:pPr>
        <w:tabs>
          <w:tab w:val="left" w:pos="709"/>
        </w:tabs>
        <w:spacing w:before="120" w:after="120"/>
        <w:ind w:left="851" w:right="902"/>
        <w:jc w:val="both"/>
        <w:rPr>
          <w:rFonts w:ascii="Palatino Linotype" w:eastAsia="Palatino Linotype" w:hAnsi="Palatino Linotype" w:cs="Palatino Linotype"/>
          <w:b/>
          <w:i/>
          <w:sz w:val="22"/>
          <w:szCs w:val="22"/>
        </w:rPr>
      </w:pPr>
      <w:r w:rsidRPr="002423AB">
        <w:rPr>
          <w:rFonts w:ascii="Palatino Linotype" w:eastAsia="Palatino Linotype" w:hAnsi="Palatino Linotype" w:cs="Palatino Linotype"/>
          <w:b/>
          <w:i/>
          <w:sz w:val="22"/>
          <w:szCs w:val="22"/>
        </w:rPr>
        <w:t>...</w:t>
      </w:r>
    </w:p>
    <w:p w14:paraId="2ADF497E" w14:textId="77777777" w:rsidR="003E369A" w:rsidRPr="002423AB" w:rsidRDefault="00D83080">
      <w:pPr>
        <w:tabs>
          <w:tab w:val="left" w:pos="709"/>
        </w:tabs>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Artículo 142.</w:t>
      </w:r>
      <w:r w:rsidRPr="002423AB">
        <w:rPr>
          <w:rFonts w:ascii="Palatino Linotype" w:eastAsia="Palatino Linotype" w:hAnsi="Palatino Linotype" w:cs="Palatino Linotype"/>
          <w:i/>
          <w:sz w:val="22"/>
          <w:szCs w:val="22"/>
        </w:rPr>
        <w:t xml:space="preserve"> Bajo ninguna circunstancia podrá invocarse el carácter de reservado cuando:</w:t>
      </w:r>
    </w:p>
    <w:p w14:paraId="5313203E" w14:textId="77777777" w:rsidR="003E369A" w:rsidRPr="002423AB" w:rsidRDefault="00D83080">
      <w:pPr>
        <w:tabs>
          <w:tab w:val="left" w:pos="709"/>
        </w:tabs>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 xml:space="preserve">I. </w:t>
      </w:r>
      <w:r w:rsidRPr="002423AB">
        <w:rPr>
          <w:rFonts w:ascii="Palatino Linotype" w:eastAsia="Palatino Linotype" w:hAnsi="Palatino Linotype" w:cs="Palatino Linotype"/>
          <w:i/>
          <w:sz w:val="22"/>
          <w:szCs w:val="22"/>
        </w:rPr>
        <w:t>Se trate de violaciones graves de derechos humanos, calificada así por autoridad competente;</w:t>
      </w:r>
    </w:p>
    <w:p w14:paraId="1FC8D094" w14:textId="77777777" w:rsidR="003E369A" w:rsidRPr="002423AB" w:rsidRDefault="00D83080">
      <w:pPr>
        <w:tabs>
          <w:tab w:val="left" w:pos="709"/>
        </w:tabs>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II.</w:t>
      </w:r>
      <w:r w:rsidRPr="002423AB">
        <w:rPr>
          <w:rFonts w:ascii="Palatino Linotype" w:eastAsia="Palatino Linotype" w:hAnsi="Palatino Linotype" w:cs="Palatino Linotype"/>
          <w:i/>
          <w:sz w:val="22"/>
          <w:szCs w:val="22"/>
        </w:rPr>
        <w:t xml:space="preserve">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75F68060" w14:textId="77777777" w:rsidR="003E369A" w:rsidRPr="002423AB" w:rsidRDefault="00D83080">
      <w:pPr>
        <w:tabs>
          <w:tab w:val="left" w:pos="709"/>
        </w:tabs>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III.</w:t>
      </w:r>
      <w:r w:rsidRPr="002423AB">
        <w:rPr>
          <w:rFonts w:ascii="Palatino Linotype" w:eastAsia="Palatino Linotype" w:hAnsi="Palatino Linotype" w:cs="Palatino Linotype"/>
          <w:i/>
          <w:sz w:val="22"/>
          <w:szCs w:val="22"/>
        </w:rPr>
        <w:t xml:space="preserve">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0CA7CF13" w14:textId="77777777" w:rsidR="003E369A" w:rsidRPr="002423AB" w:rsidRDefault="00D83080">
      <w:pPr>
        <w:tabs>
          <w:tab w:val="left" w:pos="709"/>
        </w:tabs>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IV.</w:t>
      </w:r>
      <w:r w:rsidRPr="002423AB">
        <w:rPr>
          <w:rFonts w:ascii="Palatino Linotype" w:eastAsia="Palatino Linotype" w:hAnsi="Palatino Linotype" w:cs="Palatino Linotype"/>
          <w:i/>
          <w:sz w:val="22"/>
          <w:szCs w:val="22"/>
        </w:rPr>
        <w:t xml:space="preserve"> Se trate de información relacionada con actos de corrupción de conformidad con las disposiciones jurídicas aplicables.</w:t>
      </w:r>
    </w:p>
    <w:p w14:paraId="1CBFCA78" w14:textId="77777777" w:rsidR="003E369A" w:rsidRPr="002423AB" w:rsidRDefault="00D83080">
      <w:pPr>
        <w:tabs>
          <w:tab w:val="left" w:pos="709"/>
        </w:tabs>
        <w:spacing w:before="120" w:after="120"/>
        <w:ind w:left="851" w:right="902"/>
        <w:jc w:val="center"/>
        <w:rPr>
          <w:rFonts w:ascii="Palatino Linotype" w:eastAsia="Palatino Linotype" w:hAnsi="Palatino Linotype" w:cs="Palatino Linotype"/>
          <w:b/>
          <w:i/>
          <w:sz w:val="22"/>
          <w:szCs w:val="22"/>
        </w:rPr>
      </w:pPr>
      <w:r w:rsidRPr="002423AB">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4C72AC6" w14:textId="77777777" w:rsidR="003E369A" w:rsidRPr="002423AB" w:rsidRDefault="00D83080">
      <w:pPr>
        <w:tabs>
          <w:tab w:val="left" w:pos="709"/>
        </w:tabs>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Trigésimo séptimo. No podrá invocarse el carácter de reservado de la información cuando:</w:t>
      </w:r>
    </w:p>
    <w:p w14:paraId="67C0A4DA" w14:textId="77777777" w:rsidR="003E369A" w:rsidRPr="002423AB" w:rsidRDefault="00D83080">
      <w:pPr>
        <w:tabs>
          <w:tab w:val="left" w:pos="1276"/>
          <w:tab w:val="left" w:pos="1418"/>
        </w:tabs>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I.        Se trate de violaciones graves de derechos humanos;</w:t>
      </w:r>
    </w:p>
    <w:p w14:paraId="64811E81" w14:textId="77777777" w:rsidR="003E369A" w:rsidRPr="002423AB" w:rsidRDefault="00D83080">
      <w:pPr>
        <w:tabs>
          <w:tab w:val="left" w:pos="1276"/>
          <w:tab w:val="left" w:pos="1418"/>
        </w:tabs>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487C1680" w14:textId="77777777" w:rsidR="003E369A" w:rsidRPr="002423AB" w:rsidRDefault="00D83080">
      <w:pPr>
        <w:tabs>
          <w:tab w:val="left" w:pos="1276"/>
          <w:tab w:val="left" w:pos="1418"/>
          <w:tab w:val="left" w:pos="1985"/>
        </w:tabs>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w:t>
      </w:r>
      <w:r w:rsidRPr="002423AB">
        <w:rPr>
          <w:rFonts w:ascii="Palatino Linotype" w:eastAsia="Palatino Linotype" w:hAnsi="Palatino Linotype" w:cs="Palatino Linotype"/>
          <w:i/>
          <w:sz w:val="22"/>
          <w:szCs w:val="22"/>
        </w:rPr>
        <w:lastRenderedPageBreak/>
        <w:t>públicos o realice actos de autoridad en el ámbito federal, estatal y municipal, y de acuerdo con las leyes aplicables y los tratados internacionales ratificados por el Estado mexicano; o</w:t>
      </w:r>
    </w:p>
    <w:p w14:paraId="5B780BF5" w14:textId="77777777" w:rsidR="003E369A" w:rsidRPr="002423AB" w:rsidRDefault="00D83080">
      <w:pPr>
        <w:tabs>
          <w:tab w:val="left" w:pos="1276"/>
          <w:tab w:val="left" w:pos="1418"/>
          <w:tab w:val="left" w:pos="1985"/>
        </w:tabs>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IV.      Cuando se trate de información relativa a la asignación y ejercicio de los gastos de campañas, precampañas y gastos en general de partidos políticos con cuenta al presupuesto público, ni las aportaciones de cualquier tipo o especie que realicen los particulares sin importar el destino de los recursos aportados; lo anterior de conformidad con lo establecido en la Ley General de Partidos Políticos.</w:t>
      </w:r>
    </w:p>
    <w:p w14:paraId="276F9F94"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Al respecto, derivado de la excepción establecida en los preceptos legales antes citados, resulta oportuno mencionar que en tal supuesto, </w:t>
      </w:r>
      <w:r w:rsidR="009B7FFE" w:rsidRPr="002423AB">
        <w:rPr>
          <w:rFonts w:ascii="Palatino Linotype" w:eastAsia="Palatino Linotype" w:hAnsi="Palatino Linotype" w:cs="Palatino Linotype"/>
        </w:rPr>
        <w:t>se</w:t>
      </w:r>
      <w:r w:rsidRPr="002423AB">
        <w:rPr>
          <w:rFonts w:ascii="Palatino Linotype" w:eastAsia="Palatino Linotype" w:hAnsi="Palatino Linotype" w:cs="Palatino Linotype"/>
        </w:rPr>
        <w:t xml:space="preserve"> considera que si la información del expediente que originó</w:t>
      </w:r>
      <w:r w:rsidR="009B7FFE" w:rsidRPr="002423AB">
        <w:rPr>
          <w:rFonts w:ascii="Palatino Linotype" w:eastAsia="Palatino Linotype" w:hAnsi="Palatino Linotype" w:cs="Palatino Linotype"/>
        </w:rPr>
        <w:t xml:space="preserve"> la recomendación </w:t>
      </w:r>
      <w:r w:rsidRPr="002423AB">
        <w:rPr>
          <w:rFonts w:ascii="Palatino Linotype" w:eastAsia="Palatino Linotype" w:hAnsi="Palatino Linotype" w:cs="Palatino Linotype"/>
        </w:rPr>
        <w:t xml:space="preserve">se encuentra </w:t>
      </w:r>
      <w:r w:rsidR="009B7FFE" w:rsidRPr="002423AB">
        <w:rPr>
          <w:rFonts w:ascii="Palatino Linotype" w:eastAsia="Palatino Linotype" w:hAnsi="Palatino Linotype" w:cs="Palatino Linotype"/>
        </w:rPr>
        <w:t>rel</w:t>
      </w:r>
      <w:r w:rsidRPr="002423AB">
        <w:rPr>
          <w:rFonts w:ascii="Palatino Linotype" w:eastAsia="Palatino Linotype" w:hAnsi="Palatino Linotype" w:cs="Palatino Linotype"/>
        </w:rPr>
        <w:t>a</w:t>
      </w:r>
      <w:r w:rsidR="009B7FFE" w:rsidRPr="002423AB">
        <w:rPr>
          <w:rFonts w:ascii="Palatino Linotype" w:eastAsia="Palatino Linotype" w:hAnsi="Palatino Linotype" w:cs="Palatino Linotype"/>
        </w:rPr>
        <w:t>cionada</w:t>
      </w:r>
      <w:r w:rsidRPr="002423AB">
        <w:rPr>
          <w:rFonts w:ascii="Palatino Linotype" w:eastAsia="Palatino Linotype" w:hAnsi="Palatino Linotype" w:cs="Palatino Linotype"/>
        </w:rPr>
        <w:t xml:space="preserve"> </w:t>
      </w:r>
      <w:r w:rsidR="009B7FFE" w:rsidRPr="002423AB">
        <w:rPr>
          <w:rFonts w:ascii="Palatino Linotype" w:eastAsia="Palatino Linotype" w:hAnsi="Palatino Linotype" w:cs="Palatino Linotype"/>
        </w:rPr>
        <w:t xml:space="preserve">con </w:t>
      </w:r>
      <w:r w:rsidRPr="002423AB">
        <w:rPr>
          <w:rFonts w:ascii="Palatino Linotype" w:eastAsia="Palatino Linotype" w:hAnsi="Palatino Linotype" w:cs="Palatino Linotype"/>
        </w:rPr>
        <w:t xml:space="preserve">alguna de las fracciones de los artículos 115 de la Ley General de Transparencia y Acceso a la Información Pública, 142 de la Ley de Transparencia y Acceso a la Información Pública del Estado de México y Municipios, y Trigésimo Séptimo de los Lineamientos Generales en Materia de Clasificación y Desclasificación de la Información, así como para la Elaboración de Versiones Públicas; </w:t>
      </w:r>
      <w:r w:rsidRPr="002423AB">
        <w:rPr>
          <w:rFonts w:ascii="Palatino Linotype" w:eastAsia="Palatino Linotype" w:hAnsi="Palatino Linotype" w:cs="Palatino Linotype"/>
          <w:b/>
          <w:u w:val="single"/>
        </w:rPr>
        <w:t>no podrá invocarse con el carácter de clasificada</w:t>
      </w:r>
      <w:r w:rsidRPr="002423AB">
        <w:rPr>
          <w:rFonts w:ascii="Palatino Linotype" w:eastAsia="Palatino Linotype" w:hAnsi="Palatino Linotype" w:cs="Palatino Linotype"/>
        </w:rPr>
        <w:t>.</w:t>
      </w:r>
    </w:p>
    <w:p w14:paraId="0049C7FD" w14:textId="77777777" w:rsidR="00E86FDF" w:rsidRPr="002423AB" w:rsidRDefault="00E86FDF">
      <w:pPr>
        <w:spacing w:before="240" w:after="240" w:line="360" w:lineRule="auto"/>
        <w:jc w:val="both"/>
        <w:rPr>
          <w:rFonts w:ascii="Palatino Linotype" w:hAnsi="Palatino Linotype"/>
        </w:rPr>
      </w:pPr>
      <w:r w:rsidRPr="002423AB">
        <w:rPr>
          <w:rFonts w:ascii="Palatino Linotype" w:eastAsia="Palatino Linotype" w:hAnsi="Palatino Linotype" w:cs="Palatino Linotype"/>
        </w:rPr>
        <w:t>Finalmente, no obsta mencionar que de conformidad con el artículo 92, fracción XXXIX, de la Ley de Transparencia y Acceso a la Información Pública del Estado de México y Municipios, los Sujetos Obligados cuentan con el deber de poner a disposición del público, a través de sus portales de internet, entre otra información, la relacionada con l</w:t>
      </w:r>
      <w:r w:rsidRPr="002423AB">
        <w:rPr>
          <w:rFonts w:ascii="Palatino Linotype" w:hAnsi="Palatino Linotype"/>
        </w:rPr>
        <w:t>as recomendaciones emitidas por los órganos públicos del Estado mexicano u organismos internacionales garantes de los derechos humanos, así como las acciones que han llevado a cabo para su atención.</w:t>
      </w:r>
    </w:p>
    <w:p w14:paraId="2989D282" w14:textId="77777777" w:rsidR="00E86FDF" w:rsidRPr="002423AB" w:rsidRDefault="00E86FDF" w:rsidP="00E86FDF">
      <w:pPr>
        <w:spacing w:before="240" w:after="240" w:line="360" w:lineRule="auto"/>
        <w:jc w:val="both"/>
        <w:rPr>
          <w:rFonts w:ascii="Palatino Linotype" w:hAnsi="Palatino Linotype"/>
        </w:rPr>
      </w:pPr>
      <w:r w:rsidRPr="002423AB">
        <w:rPr>
          <w:rFonts w:ascii="Palatino Linotype" w:hAnsi="Palatino Linotype"/>
        </w:rPr>
        <w:lastRenderedPageBreak/>
        <w:t>Dicha información debe publicarse de conformidad con lo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los cuales señalan lo siguiente:</w:t>
      </w:r>
    </w:p>
    <w:p w14:paraId="275D9567" w14:textId="77777777" w:rsidR="00E86FDF" w:rsidRPr="002423AB" w:rsidRDefault="00E86FDF" w:rsidP="000F1EFF">
      <w:pPr>
        <w:spacing w:before="120" w:after="120"/>
        <w:ind w:left="851" w:right="760"/>
        <w:jc w:val="both"/>
        <w:rPr>
          <w:rFonts w:ascii="Palatino Linotype" w:hAnsi="Palatino Linotype"/>
          <w:i/>
          <w:sz w:val="22"/>
        </w:rPr>
      </w:pPr>
      <w:r w:rsidRPr="002423AB">
        <w:rPr>
          <w:rFonts w:ascii="Palatino Linotype" w:hAnsi="Palatino Linotype"/>
          <w:i/>
          <w:sz w:val="22"/>
        </w:rPr>
        <w:t xml:space="preserve">“En cumplimiento de la presente fracción todos los sujetos obligados publicarán un listado con información relativa a las recomendaciones que le han sido emitidas por parte de la Comisión Nacional de los Derechos Humanos (CNDH), los organismos estatales de protección de los derechos humanos y los internacionales en la materia, independientemente de que se hayan aceptado o rechazado, así como la información relativa al seguimiento de las mismas. </w:t>
      </w:r>
    </w:p>
    <w:p w14:paraId="4C395FEB" w14:textId="77777777" w:rsidR="00E86FDF" w:rsidRPr="002423AB" w:rsidRDefault="00E86FDF" w:rsidP="000F1EFF">
      <w:pPr>
        <w:spacing w:before="120" w:after="120"/>
        <w:ind w:left="851" w:right="760"/>
        <w:jc w:val="both"/>
        <w:rPr>
          <w:rFonts w:ascii="Palatino Linotype" w:hAnsi="Palatino Linotype"/>
          <w:i/>
          <w:sz w:val="22"/>
        </w:rPr>
      </w:pPr>
      <w:r w:rsidRPr="002423AB">
        <w:rPr>
          <w:rFonts w:ascii="Palatino Linotype" w:hAnsi="Palatino Linotype"/>
          <w:i/>
          <w:sz w:val="22"/>
        </w:rPr>
        <w:t xml:space="preserve">Se incluirán los datos relacionados con el documento oficial por medio del cual se notifica al organismo estatal de derechos humanos que corresponda, la aceptación o rechazo de las recomendaciones. </w:t>
      </w:r>
    </w:p>
    <w:p w14:paraId="5021897F" w14:textId="77777777" w:rsidR="00E86FDF" w:rsidRPr="002423AB" w:rsidRDefault="00E86FDF" w:rsidP="000F1EFF">
      <w:pPr>
        <w:spacing w:before="120" w:after="120"/>
        <w:ind w:left="851" w:right="760"/>
        <w:jc w:val="both"/>
        <w:rPr>
          <w:rFonts w:ascii="Palatino Linotype" w:hAnsi="Palatino Linotype"/>
          <w:i/>
          <w:sz w:val="22"/>
        </w:rPr>
      </w:pPr>
      <w:r w:rsidRPr="002423AB">
        <w:rPr>
          <w:rFonts w:ascii="Palatino Linotype" w:hAnsi="Palatino Linotype"/>
          <w:i/>
          <w:sz w:val="22"/>
        </w:rPr>
        <w:t xml:space="preserve">Respecto de los sujetos obligados que no hayan recibido recomendaciones en materia de derechos humanos de ningún tipo, realizarán la aclaración mediante una nota actualizada al periodo correspondiente. </w:t>
      </w:r>
    </w:p>
    <w:p w14:paraId="31A49FC9" w14:textId="77777777" w:rsidR="00E86FDF" w:rsidRPr="002423AB" w:rsidRDefault="00E86FDF" w:rsidP="000F1EFF">
      <w:pPr>
        <w:spacing w:before="120" w:after="120"/>
        <w:ind w:left="851" w:right="760"/>
        <w:jc w:val="both"/>
        <w:rPr>
          <w:rFonts w:ascii="Palatino Linotype" w:hAnsi="Palatino Linotype"/>
          <w:i/>
          <w:sz w:val="22"/>
        </w:rPr>
      </w:pPr>
      <w:r w:rsidRPr="002423AB">
        <w:rPr>
          <w:rFonts w:ascii="Palatino Linotype" w:hAnsi="Palatino Linotype"/>
          <w:i/>
          <w:sz w:val="22"/>
        </w:rPr>
        <w:t>En cuanto a las recomendaciones que no sean aceptadas y aun cuando así se haya notificado a la CNDH y/o a los organismos estatales de protección de los derechos humanos, se dará a conocer la información relativa a la comparecencia de las autoridades o personas servidoras públicas y/o toda persona que desempeñe un empleo, cargo o comisión y/o ejerza actos de autoridad y/o funja como responsable ante la Cámara de Senadores, en su caso, la Comisión Permanente o las legislaturas de las entidades federativas, según corresponda, para explicar el motivo de su negativa a aceptar o cumplir las recomendaciones emitidas. Asimismo, se especificarán claramente los obstáculos previstos para su cumplimiento según lo que cada sujeto obligado haya determinado o, en su caso, la Unidad para la Defensa de los Derechos Humanos, previo a la comparecencia.</w:t>
      </w:r>
    </w:p>
    <w:p w14:paraId="1392A2E9" w14:textId="77777777" w:rsidR="00E86FDF" w:rsidRPr="002423AB" w:rsidRDefault="00E86FDF" w:rsidP="000F1EFF">
      <w:pPr>
        <w:spacing w:before="120" w:after="120"/>
        <w:ind w:left="851" w:right="760"/>
        <w:jc w:val="both"/>
        <w:rPr>
          <w:rFonts w:ascii="Palatino Linotype" w:hAnsi="Palatino Linotype"/>
          <w:i/>
          <w:sz w:val="22"/>
        </w:rPr>
      </w:pPr>
      <w:r w:rsidRPr="002423AB">
        <w:rPr>
          <w:rFonts w:ascii="Palatino Linotype" w:hAnsi="Palatino Linotype"/>
          <w:i/>
          <w:sz w:val="22"/>
        </w:rPr>
        <w:t xml:space="preserve">Finalmente, los sujetos obligados publicarán la determinación de la CNDH y/o del organismo estatal de protección de los derechos humanos ante la negativa de los </w:t>
      </w:r>
      <w:r w:rsidRPr="002423AB">
        <w:rPr>
          <w:rFonts w:ascii="Palatino Linotype" w:hAnsi="Palatino Linotype"/>
          <w:i/>
          <w:sz w:val="22"/>
        </w:rPr>
        <w:lastRenderedPageBreak/>
        <w:t>sujetos obligados de aceptar la recomendación. Por lo que respecta a las recomendaciones aceptadas, los sujetos obligados deberán especificar de cuáles recomendaciones solicitó a la Unidad responsable su opinión en cuanto a acciones y forma de llevar a cabo la reparación del daño; registrarán en los casos que así corresponda, las dependencias y entidades federativas que hayan colaborado para dar cumplimiento a las recomendaciones recibidas, aun cuando no se trate de la autoridad responsable, así como la fecha en la que se notificó a la CNDH u órgano estatal garante de los derechos humanos el cumplimiento a cada punto recomendatorio.</w:t>
      </w:r>
    </w:p>
    <w:p w14:paraId="7B8083A8" w14:textId="77777777" w:rsidR="00E86FDF" w:rsidRPr="002423AB" w:rsidRDefault="00E86FDF" w:rsidP="000F1EFF">
      <w:pPr>
        <w:spacing w:before="120" w:after="120"/>
        <w:ind w:left="851" w:right="760"/>
        <w:jc w:val="both"/>
        <w:rPr>
          <w:rFonts w:ascii="Palatino Linotype" w:hAnsi="Palatino Linotype"/>
          <w:i/>
          <w:sz w:val="22"/>
        </w:rPr>
      </w:pPr>
      <w:r w:rsidRPr="002423AB">
        <w:rPr>
          <w:rFonts w:ascii="Palatino Linotype" w:hAnsi="Palatino Linotype"/>
          <w:i/>
          <w:sz w:val="22"/>
        </w:rPr>
        <w:t>La información se organizará en un formato que permita identificar, por tipo, todas las recomendaciones recibidas por parte de la CNDH o el organismo local (recomendación específica, recomendación por violaciones graves, recomendaciones generales o de cualquier otra índole) y las que contemplen las leyes locales en la materia. Además, de cada recomendación que se reporte, se incluirá el estado del cumplimiento de lo ordenado por la misma, a saber: con pruebas de cumplimiento total; con pruebas de cumplimiento parcial; sin pruebas de cumplimiento; con cumplimiento insatisfactorio; en tiempo para presentar pruebas de cumplimiento; en tiempo de ser contestadas; cuyo cumplimiento reviste características peculiares</w:t>
      </w:r>
      <w:r w:rsidR="004F0B25" w:rsidRPr="002423AB">
        <w:rPr>
          <w:rFonts w:ascii="Palatino Linotype" w:hAnsi="Palatino Linotype"/>
          <w:i/>
          <w:sz w:val="22"/>
        </w:rPr>
        <w:t>.</w:t>
      </w:r>
      <w:r w:rsidRPr="002423AB">
        <w:rPr>
          <w:rFonts w:ascii="Palatino Linotype" w:hAnsi="Palatino Linotype"/>
          <w:i/>
          <w:sz w:val="22"/>
        </w:rPr>
        <w:t>”</w:t>
      </w:r>
    </w:p>
    <w:p w14:paraId="0C47BB05" w14:textId="77777777" w:rsidR="00E86FDF" w:rsidRPr="002423AB" w:rsidRDefault="00BB5164">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El formato a través del cual se publica la información es el siguiente</w:t>
      </w:r>
      <w:r w:rsidR="00862B0B" w:rsidRPr="002423AB">
        <w:rPr>
          <w:rFonts w:ascii="Palatino Linotype" w:eastAsia="Palatino Linotype" w:hAnsi="Palatino Linotype" w:cs="Palatino Linotype"/>
        </w:rPr>
        <w:t>:</w:t>
      </w:r>
    </w:p>
    <w:p w14:paraId="36DE7360" w14:textId="77777777" w:rsidR="00862B0B" w:rsidRPr="002423AB" w:rsidRDefault="00862B0B">
      <w:pPr>
        <w:spacing w:before="240" w:after="240" w:line="360" w:lineRule="auto"/>
        <w:jc w:val="both"/>
        <w:rPr>
          <w:noProof/>
        </w:rPr>
      </w:pPr>
      <w:r w:rsidRPr="002423AB">
        <w:rPr>
          <w:noProof/>
        </w:rPr>
        <w:drawing>
          <wp:inline distT="0" distB="0" distL="0" distR="0" wp14:anchorId="7F787507" wp14:editId="4B2E8D38">
            <wp:extent cx="5612130" cy="24193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8790"/>
                    <a:stretch/>
                  </pic:blipFill>
                  <pic:spPr bwMode="auto">
                    <a:xfrm>
                      <a:off x="0" y="0"/>
                      <a:ext cx="5612130" cy="2419350"/>
                    </a:xfrm>
                    <a:prstGeom prst="rect">
                      <a:avLst/>
                    </a:prstGeom>
                    <a:ln>
                      <a:noFill/>
                    </a:ln>
                    <a:extLst>
                      <a:ext uri="{53640926-AAD7-44D8-BBD7-CCE9431645EC}">
                        <a14:shadowObscured xmlns:a14="http://schemas.microsoft.com/office/drawing/2010/main"/>
                      </a:ext>
                    </a:extLst>
                  </pic:spPr>
                </pic:pic>
              </a:graphicData>
            </a:graphic>
          </wp:inline>
        </w:drawing>
      </w:r>
      <w:r w:rsidRPr="002423AB">
        <w:rPr>
          <w:noProof/>
        </w:rPr>
        <w:t xml:space="preserve"> </w:t>
      </w:r>
    </w:p>
    <w:p w14:paraId="0EFD0B6F" w14:textId="77777777" w:rsidR="00862B0B" w:rsidRPr="002423AB" w:rsidRDefault="00862B0B">
      <w:pPr>
        <w:spacing w:before="240" w:after="240" w:line="360" w:lineRule="auto"/>
        <w:jc w:val="both"/>
      </w:pPr>
      <w:r w:rsidRPr="002423AB">
        <w:rPr>
          <w:noProof/>
        </w:rPr>
        <w:lastRenderedPageBreak/>
        <w:drawing>
          <wp:inline distT="0" distB="0" distL="0" distR="0" wp14:anchorId="53EC8AF7" wp14:editId="349BF59B">
            <wp:extent cx="5612130" cy="21717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4032"/>
                    <a:stretch/>
                  </pic:blipFill>
                  <pic:spPr bwMode="auto">
                    <a:xfrm>
                      <a:off x="0" y="0"/>
                      <a:ext cx="5612130" cy="2171700"/>
                    </a:xfrm>
                    <a:prstGeom prst="rect">
                      <a:avLst/>
                    </a:prstGeom>
                    <a:ln>
                      <a:noFill/>
                    </a:ln>
                    <a:extLst>
                      <a:ext uri="{53640926-AAD7-44D8-BBD7-CCE9431645EC}">
                        <a14:shadowObscured xmlns:a14="http://schemas.microsoft.com/office/drawing/2010/main"/>
                      </a:ext>
                    </a:extLst>
                  </pic:spPr>
                </pic:pic>
              </a:graphicData>
            </a:graphic>
          </wp:inline>
        </w:drawing>
      </w:r>
      <w:r w:rsidRPr="002423AB">
        <w:rPr>
          <w:noProof/>
        </w:rPr>
        <w:drawing>
          <wp:inline distT="0" distB="0" distL="0" distR="0" wp14:anchorId="5E2A06E9" wp14:editId="0D57FD0D">
            <wp:extent cx="5612130" cy="45148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5386"/>
                    <a:stretch/>
                  </pic:blipFill>
                  <pic:spPr bwMode="auto">
                    <a:xfrm>
                      <a:off x="0" y="0"/>
                      <a:ext cx="5612130" cy="4514850"/>
                    </a:xfrm>
                    <a:prstGeom prst="rect">
                      <a:avLst/>
                    </a:prstGeom>
                    <a:ln>
                      <a:noFill/>
                    </a:ln>
                    <a:extLst>
                      <a:ext uri="{53640926-AAD7-44D8-BBD7-CCE9431645EC}">
                        <a14:shadowObscured xmlns:a14="http://schemas.microsoft.com/office/drawing/2010/main"/>
                      </a:ext>
                    </a:extLst>
                  </pic:spPr>
                </pic:pic>
              </a:graphicData>
            </a:graphic>
          </wp:inline>
        </w:drawing>
      </w:r>
    </w:p>
    <w:p w14:paraId="1CAC67D6" w14:textId="77777777" w:rsidR="00862B0B" w:rsidRPr="002423AB" w:rsidRDefault="00862B0B">
      <w:pPr>
        <w:spacing w:before="240" w:after="240" w:line="360" w:lineRule="auto"/>
        <w:jc w:val="both"/>
      </w:pPr>
      <w:r w:rsidRPr="002423AB">
        <w:rPr>
          <w:noProof/>
        </w:rPr>
        <w:lastRenderedPageBreak/>
        <w:drawing>
          <wp:inline distT="0" distB="0" distL="0" distR="0" wp14:anchorId="03939E7D" wp14:editId="5133CED1">
            <wp:extent cx="5612130" cy="7334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7470" b="-1215"/>
                    <a:stretch/>
                  </pic:blipFill>
                  <pic:spPr bwMode="auto">
                    <a:xfrm>
                      <a:off x="0" y="0"/>
                      <a:ext cx="5612130" cy="733425"/>
                    </a:xfrm>
                    <a:prstGeom prst="rect">
                      <a:avLst/>
                    </a:prstGeom>
                    <a:ln>
                      <a:noFill/>
                    </a:ln>
                    <a:extLst>
                      <a:ext uri="{53640926-AAD7-44D8-BBD7-CCE9431645EC}">
                        <a14:shadowObscured xmlns:a14="http://schemas.microsoft.com/office/drawing/2010/main"/>
                      </a:ext>
                    </a:extLst>
                  </pic:spPr>
                </pic:pic>
              </a:graphicData>
            </a:graphic>
          </wp:inline>
        </w:drawing>
      </w:r>
    </w:p>
    <w:p w14:paraId="1D182D4C" w14:textId="77777777" w:rsidR="003E369A" w:rsidRPr="002423AB" w:rsidRDefault="007762A4">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Sin contrariar lo anterior, </w:t>
      </w:r>
      <w:r w:rsidR="00D83080" w:rsidRPr="002423AB">
        <w:rPr>
          <w:rFonts w:ascii="Palatino Linotype" w:eastAsia="Palatino Linotype" w:hAnsi="Palatino Linotype" w:cs="Palatino Linotype"/>
        </w:rPr>
        <w:t>se precisa que si derivado de la búsqueda que se ordena, no se llegara a localizar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438E8B0F"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w:t>
      </w:r>
      <w:r w:rsidRPr="002423AB">
        <w:rPr>
          <w:rFonts w:ascii="Palatino Linotype" w:eastAsia="Palatino Linotype" w:hAnsi="Palatino Linotype" w:cs="Palatino Linotype"/>
          <w:b/>
          <w:i/>
          <w:sz w:val="22"/>
          <w:szCs w:val="22"/>
        </w:rPr>
        <w:t>Artículo 19</w:t>
      </w:r>
      <w:r w:rsidRPr="002423AB">
        <w:rPr>
          <w:rFonts w:ascii="Palatino Linotype" w:eastAsia="Palatino Linotype" w:hAnsi="Palatino Linotype" w:cs="Palatino Linotype"/>
          <w:i/>
          <w:sz w:val="22"/>
          <w:szCs w:val="22"/>
        </w:rPr>
        <w:t>…</w:t>
      </w:r>
    </w:p>
    <w:p w14:paraId="4E799F1B"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AD9B4CA" w14:textId="77777777" w:rsidR="003E369A" w:rsidRPr="002423AB" w:rsidRDefault="00D83080">
      <w:pPr>
        <w:spacing w:before="240" w:after="240" w:line="360" w:lineRule="auto"/>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rPr>
        <w:t xml:space="preserve">En tal supuesto, es improcedente la entrega de documento alguno, o en su caso, el Acuerdo de Inexistencia, toda vez que el pronunciamiento del </w:t>
      </w:r>
      <w:r w:rsidRPr="002423AB">
        <w:rPr>
          <w:rFonts w:ascii="Palatino Linotype" w:eastAsia="Palatino Linotype" w:hAnsi="Palatino Linotype" w:cs="Palatino Linotype"/>
          <w:b/>
        </w:rPr>
        <w:t>Sujeto Obligado</w:t>
      </w:r>
      <w:r w:rsidRPr="002423AB">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w:t>
      </w:r>
      <w:r w:rsidRPr="002423AB">
        <w:rPr>
          <w:rFonts w:ascii="Palatino Linotype" w:eastAsia="Palatino Linotype" w:hAnsi="Palatino Linotype" w:cs="Palatino Linotype"/>
          <w:vertAlign w:val="superscript"/>
        </w:rPr>
        <w:footnoteReference w:id="1"/>
      </w:r>
      <w:r w:rsidRPr="002423AB">
        <w:rPr>
          <w:rFonts w:ascii="Palatino Linotype" w:eastAsia="Palatino Linotype" w:hAnsi="Palatino Linotype" w:cs="Palatino Linotype"/>
        </w:rPr>
        <w:t xml:space="preserve"> de la Ley de Transparencia y Acceso a la Información Pública del Estado de México y Municipios.</w:t>
      </w:r>
    </w:p>
    <w:p w14:paraId="7CF96506"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De lo hasta aquí expuesto, se concluye que los motivos de inconformidad de la parte </w:t>
      </w:r>
      <w:r w:rsidRPr="002423AB">
        <w:rPr>
          <w:rFonts w:ascii="Palatino Linotype" w:eastAsia="Palatino Linotype" w:hAnsi="Palatino Linotype" w:cs="Palatino Linotype"/>
          <w:b/>
        </w:rPr>
        <w:t xml:space="preserve">Recurrente </w:t>
      </w:r>
      <w:r w:rsidRPr="002423AB">
        <w:rPr>
          <w:rFonts w:ascii="Palatino Linotype" w:eastAsia="Palatino Linotype" w:hAnsi="Palatino Linotype" w:cs="Palatino Linotype"/>
        </w:rPr>
        <w:t xml:space="preserve">devienen parcialmente fundados, siendo procedente </w:t>
      </w:r>
      <w:r w:rsidRPr="002423AB">
        <w:rPr>
          <w:rFonts w:ascii="Palatino Linotype" w:eastAsia="Palatino Linotype" w:hAnsi="Palatino Linotype" w:cs="Palatino Linotype"/>
          <w:i/>
        </w:rPr>
        <w:t xml:space="preserve">Modificar </w:t>
      </w:r>
      <w:r w:rsidRPr="002423AB">
        <w:rPr>
          <w:rFonts w:ascii="Palatino Linotype" w:eastAsia="Palatino Linotype" w:hAnsi="Palatino Linotype" w:cs="Palatino Linotype"/>
        </w:rPr>
        <w:t xml:space="preserve">la </w:t>
      </w:r>
      <w:r w:rsidRPr="002423AB">
        <w:rPr>
          <w:rFonts w:ascii="Palatino Linotype" w:eastAsia="Palatino Linotype" w:hAnsi="Palatino Linotype" w:cs="Palatino Linotype"/>
        </w:rPr>
        <w:lastRenderedPageBreak/>
        <w:t xml:space="preserve">respuesta proporcionada por el </w:t>
      </w:r>
      <w:r w:rsidRPr="002423AB">
        <w:rPr>
          <w:rFonts w:ascii="Palatino Linotype" w:eastAsia="Palatino Linotype" w:hAnsi="Palatino Linotype" w:cs="Palatino Linotype"/>
          <w:b/>
        </w:rPr>
        <w:t xml:space="preserve">Sujeto Obligado </w:t>
      </w:r>
      <w:r w:rsidRPr="002423AB">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06A58780"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b/>
        </w:rPr>
        <w:t>Quinto. Versión Pública.</w:t>
      </w:r>
      <w:r w:rsidRPr="002423AB">
        <w:rPr>
          <w:rFonts w:ascii="Palatino Linotype" w:eastAsia="Palatino Linotype" w:hAnsi="Palatino Linotype" w:cs="Palatino Linotype"/>
          <w:sz w:val="28"/>
          <w:szCs w:val="28"/>
        </w:rPr>
        <w:t xml:space="preserve"> </w:t>
      </w:r>
      <w:r w:rsidRPr="002423AB">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2423AB">
        <w:rPr>
          <w:rFonts w:ascii="Palatino Linotype" w:eastAsia="Palatino Linotype" w:hAnsi="Palatino Linotype" w:cs="Palatino Linotype"/>
          <w:b/>
        </w:rPr>
        <w:t>Sujeto Obligado</w:t>
      </w:r>
      <w:r w:rsidRPr="002423AB">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2423AB">
        <w:rPr>
          <w:rFonts w:ascii="Palatino Linotype" w:eastAsia="Palatino Linotype" w:hAnsi="Palatino Linotype" w:cs="Palatino Linotype"/>
          <w:b/>
        </w:rPr>
        <w:t>Recurrente,</w:t>
      </w:r>
      <w:r w:rsidRPr="002423AB">
        <w:rPr>
          <w:rFonts w:ascii="Palatino Linotype" w:eastAsia="Palatino Linotype" w:hAnsi="Palatino Linotype" w:cs="Palatino Linotype"/>
        </w:rPr>
        <w:t xml:space="preserve"> sin menoscabo al derecho a la protección de los datos personales de terceros, que les identifiquen o les hagan identificables.</w:t>
      </w:r>
    </w:p>
    <w:p w14:paraId="174BF7C5"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Lo anterior de conformidad con lo que señalan los artículos 3 fracciones IX, XX, XXI y XLV, 91, 132, 137 y 143, fracción I de la Ley de Transparencia y Acceso a la Información Pública del Estado de México y Municipios que establecen:</w:t>
      </w:r>
    </w:p>
    <w:p w14:paraId="586CF1DE"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w:t>
      </w:r>
      <w:r w:rsidRPr="002423AB">
        <w:rPr>
          <w:rFonts w:ascii="Palatino Linotype" w:eastAsia="Palatino Linotype" w:hAnsi="Palatino Linotype" w:cs="Palatino Linotype"/>
          <w:b/>
          <w:i/>
          <w:sz w:val="22"/>
          <w:szCs w:val="22"/>
        </w:rPr>
        <w:t>Artículo 3</w:t>
      </w:r>
      <w:r w:rsidRPr="002423AB">
        <w:rPr>
          <w:rFonts w:ascii="Palatino Linotype" w:eastAsia="Palatino Linotype" w:hAnsi="Palatino Linotype" w:cs="Palatino Linotype"/>
          <w:i/>
          <w:sz w:val="22"/>
          <w:szCs w:val="22"/>
        </w:rPr>
        <w:t>. Para los efectos de la presente Ley se entenderá por:</w:t>
      </w:r>
    </w:p>
    <w:p w14:paraId="6687BF6B"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w:t>
      </w:r>
    </w:p>
    <w:p w14:paraId="00C749AF"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IX. Datos personales</w:t>
      </w:r>
      <w:r w:rsidRPr="002423A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86281EE"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XX. Información clasificada</w:t>
      </w:r>
      <w:r w:rsidRPr="002423AB">
        <w:rPr>
          <w:rFonts w:ascii="Palatino Linotype" w:eastAsia="Palatino Linotype" w:hAnsi="Palatino Linotype" w:cs="Palatino Linotype"/>
          <w:i/>
          <w:sz w:val="22"/>
          <w:szCs w:val="22"/>
        </w:rPr>
        <w:t>: Aquella considerada por la presente Ley como reservada o confidencial;</w:t>
      </w:r>
    </w:p>
    <w:p w14:paraId="761F92FA"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 xml:space="preserve">XXI. Información confidencial: </w:t>
      </w:r>
      <w:r w:rsidRPr="002423AB">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4566E71"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lastRenderedPageBreak/>
        <w:t>XLV. Versión pública:</w:t>
      </w:r>
      <w:r w:rsidRPr="002423A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2D7B4FF"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w:t>
      </w:r>
    </w:p>
    <w:p w14:paraId="58479392"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Artículo 91.</w:t>
      </w:r>
      <w:r w:rsidRPr="002423A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CF52852"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Artículo 132.</w:t>
      </w:r>
      <w:r w:rsidRPr="002423AB">
        <w:rPr>
          <w:rFonts w:ascii="Palatino Linotype" w:eastAsia="Palatino Linotype" w:hAnsi="Palatino Linotype" w:cs="Palatino Linotype"/>
          <w:i/>
          <w:sz w:val="22"/>
          <w:szCs w:val="22"/>
        </w:rPr>
        <w:t xml:space="preserve"> La clasificación de la información se llevará a cabo en el momento en que:</w:t>
      </w:r>
    </w:p>
    <w:p w14:paraId="7418BB49"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w:t>
      </w:r>
      <w:r w:rsidRPr="002423AB">
        <w:rPr>
          <w:rFonts w:ascii="Palatino Linotype" w:eastAsia="Palatino Linotype" w:hAnsi="Palatino Linotype" w:cs="Palatino Linotype"/>
          <w:i/>
          <w:sz w:val="22"/>
          <w:szCs w:val="22"/>
        </w:rPr>
        <w:t>. Se reciba una solicitud de acceso a la información;</w:t>
      </w:r>
    </w:p>
    <w:p w14:paraId="73D5D621"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II.</w:t>
      </w:r>
      <w:r w:rsidRPr="002423AB">
        <w:rPr>
          <w:rFonts w:ascii="Palatino Linotype" w:eastAsia="Palatino Linotype" w:hAnsi="Palatino Linotype" w:cs="Palatino Linotype"/>
          <w:i/>
          <w:sz w:val="22"/>
          <w:szCs w:val="22"/>
        </w:rPr>
        <w:t xml:space="preserve"> Se determine mediante resolución de autoridad competente; o</w:t>
      </w:r>
    </w:p>
    <w:p w14:paraId="6D849E81"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III.</w:t>
      </w:r>
      <w:r w:rsidRPr="002423A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3C1B812"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w:t>
      </w:r>
    </w:p>
    <w:p w14:paraId="09BF5219"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Artículo 137.</w:t>
      </w:r>
      <w:r w:rsidRPr="002423A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BBD4E78" w14:textId="77777777" w:rsidR="003E369A" w:rsidRPr="002423AB" w:rsidRDefault="00D83080">
      <w:pPr>
        <w:spacing w:before="120" w:after="120"/>
        <w:ind w:left="851" w:right="902"/>
        <w:jc w:val="both"/>
        <w:rPr>
          <w:rFonts w:ascii="Palatino Linotype" w:eastAsia="Palatino Linotype" w:hAnsi="Palatino Linotype" w:cs="Palatino Linotype"/>
          <w:b/>
          <w:i/>
          <w:sz w:val="22"/>
          <w:szCs w:val="22"/>
        </w:rPr>
      </w:pPr>
      <w:r w:rsidRPr="002423AB">
        <w:rPr>
          <w:rFonts w:ascii="Palatino Linotype" w:eastAsia="Palatino Linotype" w:hAnsi="Palatino Linotype" w:cs="Palatino Linotype"/>
          <w:b/>
          <w:i/>
          <w:sz w:val="22"/>
          <w:szCs w:val="22"/>
        </w:rPr>
        <w:t>…</w:t>
      </w:r>
    </w:p>
    <w:p w14:paraId="78780CB6"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Artículo 143</w:t>
      </w:r>
      <w:r w:rsidRPr="002423A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08C8805" w14:textId="77777777" w:rsidR="003E369A" w:rsidRPr="002423AB" w:rsidRDefault="00D83080">
      <w:pP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w:t>
      </w:r>
      <w:r w:rsidRPr="002423A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A4B02DB"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w:t>
      </w:r>
      <w:r w:rsidRPr="002423AB">
        <w:rPr>
          <w:rFonts w:ascii="Palatino Linotype" w:eastAsia="Palatino Linotype" w:hAnsi="Palatino Linotype" w:cs="Palatino Linotype"/>
        </w:rPr>
        <w:lastRenderedPageBreak/>
        <w:t>desclasificarán y generarán, en su caso, versiones públicas de expedientes o documentos que contengan partes o secciones clasificadas.</w:t>
      </w:r>
    </w:p>
    <w:p w14:paraId="4AB959A2"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423AB">
        <w:rPr>
          <w:rFonts w:ascii="Palatino Linotype" w:eastAsia="Palatino Linotype" w:hAnsi="Palatino Linotype" w:cs="Palatino Linotype"/>
          <w:b/>
        </w:rPr>
        <w:t>Sujeto Obligado</w:t>
      </w:r>
      <w:r w:rsidRPr="002423AB">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3B08008" w14:textId="77777777" w:rsidR="003E369A" w:rsidRPr="002423AB" w:rsidRDefault="00D8308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Respecto a las formalidades que deberá llevar el acuerdo de clasificación que deberá emitir el </w:t>
      </w:r>
      <w:r w:rsidRPr="002423AB">
        <w:rPr>
          <w:rFonts w:ascii="Palatino Linotype" w:eastAsia="Palatino Linotype" w:hAnsi="Palatino Linotype" w:cs="Palatino Linotype"/>
          <w:b/>
        </w:rPr>
        <w:t>Sujeto Obligado</w:t>
      </w:r>
      <w:r w:rsidRPr="002423AB">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652C8720"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 xml:space="preserve"> “Quincuagésimo. </w:t>
      </w:r>
      <w:r w:rsidRPr="002423AB">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848B6C1" w14:textId="77777777" w:rsidR="003E369A" w:rsidRPr="002423AB" w:rsidRDefault="00D8308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 xml:space="preserve">Quincuagésimo primero. </w:t>
      </w:r>
      <w:r w:rsidRPr="002423AB">
        <w:rPr>
          <w:rFonts w:ascii="Palatino Linotype" w:eastAsia="Palatino Linotype" w:hAnsi="Palatino Linotype" w:cs="Palatino Linotype"/>
          <w:i/>
          <w:sz w:val="22"/>
          <w:szCs w:val="22"/>
        </w:rPr>
        <w:t xml:space="preserve">Toda acta del Comité de Transparencia deberá contener: </w:t>
      </w:r>
    </w:p>
    <w:p w14:paraId="18980C0B" w14:textId="77777777" w:rsidR="003E369A" w:rsidRPr="002423AB" w:rsidRDefault="00D8308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w:t>
      </w:r>
      <w:r w:rsidRPr="002423AB">
        <w:rPr>
          <w:rFonts w:ascii="Palatino Linotype" w:eastAsia="Palatino Linotype" w:hAnsi="Palatino Linotype" w:cs="Palatino Linotype"/>
          <w:i/>
          <w:sz w:val="22"/>
          <w:szCs w:val="22"/>
        </w:rPr>
        <w:t xml:space="preserve"> El número de sesión y fecha; </w:t>
      </w:r>
    </w:p>
    <w:p w14:paraId="1C12B420" w14:textId="77777777" w:rsidR="003E369A" w:rsidRPr="002423AB" w:rsidRDefault="00D8308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lastRenderedPageBreak/>
        <w:t>II</w:t>
      </w:r>
      <w:r w:rsidRPr="002423AB">
        <w:rPr>
          <w:rFonts w:ascii="Palatino Linotype" w:eastAsia="Palatino Linotype" w:hAnsi="Palatino Linotype" w:cs="Palatino Linotype"/>
          <w:i/>
          <w:sz w:val="22"/>
          <w:szCs w:val="22"/>
        </w:rPr>
        <w:t xml:space="preserve">. El nombre del área que solicitó la clasificación de información; </w:t>
      </w:r>
    </w:p>
    <w:p w14:paraId="1494F6F6" w14:textId="77777777" w:rsidR="003E369A" w:rsidRPr="002423AB" w:rsidRDefault="00D8308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III</w:t>
      </w:r>
      <w:r w:rsidRPr="002423AB">
        <w:rPr>
          <w:rFonts w:ascii="Palatino Linotype" w:eastAsia="Palatino Linotype" w:hAnsi="Palatino Linotype" w:cs="Palatino Linotype"/>
          <w:i/>
          <w:sz w:val="22"/>
          <w:szCs w:val="22"/>
        </w:rPr>
        <w:t xml:space="preserve">. La fundamentación legal y motivación correspondiente; </w:t>
      </w:r>
    </w:p>
    <w:p w14:paraId="31D2EBD9" w14:textId="77777777" w:rsidR="003E369A" w:rsidRPr="002423AB" w:rsidRDefault="00D8308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IV</w:t>
      </w:r>
      <w:r w:rsidRPr="002423AB">
        <w:rPr>
          <w:rFonts w:ascii="Palatino Linotype" w:eastAsia="Palatino Linotype" w:hAnsi="Palatino Linotype" w:cs="Palatino Linotype"/>
          <w:i/>
          <w:sz w:val="22"/>
          <w:szCs w:val="22"/>
        </w:rPr>
        <w:t xml:space="preserve">. La resolución o resoluciones aprobadas; y </w:t>
      </w:r>
    </w:p>
    <w:p w14:paraId="03AEAB51" w14:textId="77777777" w:rsidR="003E369A" w:rsidRPr="002423AB" w:rsidRDefault="00D8308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V</w:t>
      </w:r>
      <w:r w:rsidRPr="002423AB">
        <w:rPr>
          <w:rFonts w:ascii="Palatino Linotype" w:eastAsia="Palatino Linotype" w:hAnsi="Palatino Linotype" w:cs="Palatino Linotype"/>
          <w:i/>
          <w:sz w:val="22"/>
          <w:szCs w:val="22"/>
        </w:rPr>
        <w:t xml:space="preserve">. La rúbrica o firma digital de cada integrante del Comité de Transparencia. </w:t>
      </w:r>
    </w:p>
    <w:p w14:paraId="5EEF00D7" w14:textId="77777777" w:rsidR="003E369A" w:rsidRPr="002423AB" w:rsidRDefault="00D8308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2001DB6" w14:textId="77777777" w:rsidR="003E369A" w:rsidRPr="002423AB" w:rsidRDefault="00D8308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w:t>
      </w:r>
      <w:r w:rsidRPr="002423AB">
        <w:rPr>
          <w:rFonts w:ascii="Palatino Linotype" w:eastAsia="Palatino Linotype" w:hAnsi="Palatino Linotype" w:cs="Palatino Linotype"/>
          <w:i/>
          <w:sz w:val="22"/>
          <w:szCs w:val="22"/>
        </w:rPr>
        <w:t xml:space="preserve"> Los motivos y razonamientos que sustenten la confirmación o modificación de la prueba de daño;</w:t>
      </w:r>
    </w:p>
    <w:p w14:paraId="29808E49" w14:textId="77777777" w:rsidR="003E369A" w:rsidRPr="002423AB" w:rsidRDefault="00D83080">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2423AB">
        <w:rPr>
          <w:rFonts w:ascii="Palatino Linotype" w:eastAsia="Palatino Linotype" w:hAnsi="Palatino Linotype" w:cs="Palatino Linotype"/>
          <w:b/>
          <w:i/>
          <w:sz w:val="22"/>
          <w:szCs w:val="22"/>
        </w:rPr>
        <w:t>II</w:t>
      </w:r>
      <w:r w:rsidRPr="002423AB">
        <w:rPr>
          <w:rFonts w:ascii="Palatino Linotype" w:eastAsia="Palatino Linotype" w:hAnsi="Palatino Linotype" w:cs="Palatino Linotype"/>
          <w:i/>
          <w:sz w:val="22"/>
          <w:szCs w:val="22"/>
        </w:rPr>
        <w:t>. Descripción de las partes o secciones reservadas, en caso de clasificación parcial</w:t>
      </w:r>
      <w:r w:rsidRPr="002423AB">
        <w:rPr>
          <w:rFonts w:ascii="Palatino Linotype" w:eastAsia="Palatino Linotype" w:hAnsi="Palatino Linotype" w:cs="Palatino Linotype"/>
          <w:b/>
          <w:i/>
          <w:sz w:val="22"/>
          <w:szCs w:val="22"/>
        </w:rPr>
        <w:t xml:space="preserve">; </w:t>
      </w:r>
    </w:p>
    <w:p w14:paraId="43DF3EB7" w14:textId="77777777" w:rsidR="003E369A" w:rsidRPr="002423AB" w:rsidRDefault="00D8308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III.</w:t>
      </w:r>
      <w:r w:rsidRPr="002423AB">
        <w:rPr>
          <w:rFonts w:ascii="Palatino Linotype" w:eastAsia="Palatino Linotype" w:hAnsi="Palatino Linotype" w:cs="Palatino Linotype"/>
          <w:i/>
          <w:sz w:val="22"/>
          <w:szCs w:val="22"/>
        </w:rPr>
        <w:t xml:space="preserve"> El periodo por el que mantendrá su clasificación y fecha de expiración; y </w:t>
      </w:r>
    </w:p>
    <w:p w14:paraId="6675D529" w14:textId="77777777" w:rsidR="003E369A" w:rsidRPr="002423AB" w:rsidRDefault="00D8308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2"/>
          <w:szCs w:val="22"/>
        </w:rPr>
        <w:t>IV.</w:t>
      </w:r>
      <w:r w:rsidRPr="002423AB">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17F6833" w14:textId="77777777" w:rsidR="003E369A" w:rsidRPr="002423AB" w:rsidRDefault="00D8308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FCD525B" w14:textId="77777777" w:rsidR="003E369A" w:rsidRPr="002423AB" w:rsidRDefault="00D8308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2DD4121"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Asimismo, para la elaboración de las versiones públicas se deberán observar las formalidades establecidas en los Lineamientos Quincuagésimo segundo, Quincuagésimo cuarto, Quincuagésimo quinto, Quincuagésimo séptimo y Quincuagésimo octavo, que establecen lo siguiente:</w:t>
      </w:r>
    </w:p>
    <w:p w14:paraId="1D186130" w14:textId="77777777" w:rsidR="003E369A" w:rsidRPr="002423AB" w:rsidRDefault="00D83080">
      <w:pPr>
        <w:spacing w:before="120" w:after="120"/>
        <w:ind w:left="851" w:right="900"/>
        <w:jc w:val="both"/>
        <w:rPr>
          <w:rFonts w:ascii="Palatino Linotype" w:eastAsia="Palatino Linotype" w:hAnsi="Palatino Linotype" w:cs="Palatino Linotype"/>
          <w:i/>
          <w:sz w:val="21"/>
          <w:szCs w:val="21"/>
        </w:rPr>
      </w:pPr>
      <w:r w:rsidRPr="002423AB">
        <w:rPr>
          <w:rFonts w:ascii="Palatino Linotype" w:eastAsia="Palatino Linotype" w:hAnsi="Palatino Linotype" w:cs="Palatino Linotype"/>
          <w:i/>
          <w:sz w:val="21"/>
          <w:szCs w:val="21"/>
        </w:rPr>
        <w:t>“</w:t>
      </w:r>
      <w:r w:rsidRPr="002423AB">
        <w:rPr>
          <w:rFonts w:ascii="Palatino Linotype" w:eastAsia="Palatino Linotype" w:hAnsi="Palatino Linotype" w:cs="Palatino Linotype"/>
          <w:b/>
          <w:i/>
          <w:sz w:val="21"/>
          <w:szCs w:val="21"/>
        </w:rPr>
        <w:t>Quincuagésimo segundo</w:t>
      </w:r>
      <w:r w:rsidRPr="002423AB">
        <w:rPr>
          <w:rFonts w:ascii="Palatino Linotype" w:eastAsia="Palatino Linotype" w:hAnsi="Palatino Linotype" w:cs="Palatino Linotype"/>
          <w:i/>
          <w:sz w:val="21"/>
          <w:szCs w:val="21"/>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B552BE1" w14:textId="77777777" w:rsidR="003E369A" w:rsidRPr="002423AB" w:rsidRDefault="00D83080">
      <w:pPr>
        <w:spacing w:before="120" w:after="120"/>
        <w:ind w:left="851" w:right="900"/>
        <w:jc w:val="both"/>
        <w:rPr>
          <w:rFonts w:ascii="Palatino Linotype" w:eastAsia="Palatino Linotype" w:hAnsi="Palatino Linotype" w:cs="Palatino Linotype"/>
          <w:i/>
          <w:sz w:val="21"/>
          <w:szCs w:val="21"/>
        </w:rPr>
      </w:pPr>
      <w:r w:rsidRPr="002423AB">
        <w:rPr>
          <w:rFonts w:ascii="Palatino Linotype" w:eastAsia="Palatino Linotype" w:hAnsi="Palatino Linotype" w:cs="Palatino Linotype"/>
          <w:i/>
          <w:sz w:val="21"/>
          <w:szCs w:val="21"/>
        </w:rPr>
        <w:t xml:space="preserve">En el caso específico de la clasificación y elaboración de versiones públicas de documentos que contengan información confidencial, las áreas de los sujetos obligados deberán: </w:t>
      </w:r>
    </w:p>
    <w:p w14:paraId="1D812E7B" w14:textId="77777777" w:rsidR="003E369A" w:rsidRPr="002423AB" w:rsidRDefault="00D83080">
      <w:pPr>
        <w:spacing w:before="120" w:after="120"/>
        <w:ind w:left="1134" w:right="900"/>
        <w:jc w:val="both"/>
        <w:rPr>
          <w:rFonts w:ascii="Palatino Linotype" w:eastAsia="Palatino Linotype" w:hAnsi="Palatino Linotype" w:cs="Palatino Linotype"/>
          <w:i/>
          <w:sz w:val="21"/>
          <w:szCs w:val="21"/>
        </w:rPr>
      </w:pPr>
      <w:r w:rsidRPr="002423AB">
        <w:rPr>
          <w:rFonts w:ascii="Palatino Linotype" w:eastAsia="Palatino Linotype" w:hAnsi="Palatino Linotype" w:cs="Palatino Linotype"/>
          <w:b/>
          <w:i/>
          <w:sz w:val="21"/>
          <w:szCs w:val="21"/>
        </w:rPr>
        <w:lastRenderedPageBreak/>
        <w:t>I.</w:t>
      </w:r>
      <w:r w:rsidRPr="002423AB">
        <w:rPr>
          <w:rFonts w:ascii="Palatino Linotype" w:eastAsia="Palatino Linotype" w:hAnsi="Palatino Linotype" w:cs="Palatino Linotype"/>
          <w:i/>
          <w:sz w:val="21"/>
          <w:szCs w:val="21"/>
        </w:rPr>
        <w:t xml:space="preserve"> Fijar la fecha en que se elaboró la versión pública y la fecha en la cual el Comité de Transparencia confirmó dicha versión;</w:t>
      </w:r>
    </w:p>
    <w:p w14:paraId="7FE0F30E" w14:textId="77777777" w:rsidR="003E369A" w:rsidRPr="002423AB" w:rsidRDefault="00D83080">
      <w:pPr>
        <w:spacing w:before="120" w:after="120"/>
        <w:ind w:left="1134" w:right="900"/>
        <w:jc w:val="both"/>
        <w:rPr>
          <w:rFonts w:ascii="Palatino Linotype" w:eastAsia="Palatino Linotype" w:hAnsi="Palatino Linotype" w:cs="Palatino Linotype"/>
          <w:i/>
          <w:sz w:val="21"/>
          <w:szCs w:val="21"/>
        </w:rPr>
      </w:pPr>
      <w:r w:rsidRPr="002423AB">
        <w:rPr>
          <w:rFonts w:ascii="Palatino Linotype" w:eastAsia="Palatino Linotype" w:hAnsi="Palatino Linotype" w:cs="Palatino Linotype"/>
          <w:b/>
          <w:i/>
          <w:sz w:val="21"/>
          <w:szCs w:val="21"/>
        </w:rPr>
        <w:t>II.</w:t>
      </w:r>
      <w:r w:rsidRPr="002423AB">
        <w:rPr>
          <w:rFonts w:ascii="Palatino Linotype" w:eastAsia="Palatino Linotype" w:hAnsi="Palatino Linotype" w:cs="Palatino Linotype"/>
          <w:i/>
          <w:sz w:val="21"/>
          <w:szCs w:val="21"/>
        </w:rPr>
        <w:t xml:space="preserve"> Señalar dentro del documento el tipo de información confidencial que fue testada en cada caso específico, de conformidad con el lineamiento trigésimo octavo; y</w:t>
      </w:r>
    </w:p>
    <w:p w14:paraId="73D96023" w14:textId="77777777" w:rsidR="003E369A" w:rsidRPr="002423AB" w:rsidRDefault="00D83080">
      <w:pPr>
        <w:spacing w:before="120" w:after="120"/>
        <w:ind w:left="1134" w:right="900"/>
        <w:jc w:val="both"/>
        <w:rPr>
          <w:rFonts w:ascii="Palatino Linotype" w:eastAsia="Palatino Linotype" w:hAnsi="Palatino Linotype" w:cs="Palatino Linotype"/>
          <w:i/>
          <w:sz w:val="21"/>
          <w:szCs w:val="21"/>
        </w:rPr>
      </w:pPr>
      <w:r w:rsidRPr="002423AB">
        <w:rPr>
          <w:rFonts w:ascii="Palatino Linotype" w:eastAsia="Palatino Linotype" w:hAnsi="Palatino Linotype" w:cs="Palatino Linotype"/>
          <w:b/>
          <w:i/>
          <w:sz w:val="21"/>
          <w:szCs w:val="21"/>
        </w:rPr>
        <w:t>III.</w:t>
      </w:r>
      <w:r w:rsidRPr="002423AB">
        <w:rPr>
          <w:rFonts w:ascii="Palatino Linotype" w:eastAsia="Palatino Linotype" w:hAnsi="Palatino Linotype" w:cs="Palatino Linotype"/>
          <w:i/>
          <w:sz w:val="21"/>
          <w:szCs w:val="21"/>
        </w:rPr>
        <w:t xml:space="preserve"> Señalar las personas o instancias autorizadas a acceder a la información clasificada.</w:t>
      </w:r>
    </w:p>
    <w:p w14:paraId="754A08E3" w14:textId="77777777" w:rsidR="003E369A" w:rsidRPr="002423AB" w:rsidRDefault="00D83080">
      <w:pPr>
        <w:spacing w:before="120" w:after="120"/>
        <w:ind w:left="851" w:right="900"/>
        <w:jc w:val="both"/>
        <w:rPr>
          <w:rFonts w:ascii="Palatino Linotype" w:eastAsia="Palatino Linotype" w:hAnsi="Palatino Linotype" w:cs="Palatino Linotype"/>
          <w:i/>
          <w:sz w:val="21"/>
          <w:szCs w:val="21"/>
        </w:rPr>
      </w:pPr>
      <w:r w:rsidRPr="002423AB">
        <w:rPr>
          <w:rFonts w:ascii="Palatino Linotype" w:eastAsia="Palatino Linotype" w:hAnsi="Palatino Linotype" w:cs="Palatino Linotype"/>
          <w:i/>
          <w:sz w:val="21"/>
          <w:szCs w:val="21"/>
        </w:rPr>
        <w:t>En los documentos de difusión electrónica, señalar en la primera hoja y en el nombre del archivo, que la versión pública corresponde a un documento que contiene información confidencial.”</w:t>
      </w:r>
    </w:p>
    <w:p w14:paraId="3443D524" w14:textId="77777777" w:rsidR="003E369A" w:rsidRPr="002423AB" w:rsidRDefault="00D83080">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1"/>
          <w:szCs w:val="21"/>
        </w:rPr>
      </w:pPr>
      <w:r w:rsidRPr="002423AB">
        <w:rPr>
          <w:rFonts w:ascii="Palatino Linotype" w:eastAsia="Palatino Linotype" w:hAnsi="Palatino Linotype" w:cs="Palatino Linotype"/>
          <w:i/>
          <w:sz w:val="21"/>
          <w:szCs w:val="21"/>
        </w:rPr>
        <w:t>…</w:t>
      </w:r>
    </w:p>
    <w:p w14:paraId="2954967A" w14:textId="77777777" w:rsidR="003E369A" w:rsidRPr="002423AB" w:rsidRDefault="00D83080">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1"/>
          <w:szCs w:val="21"/>
        </w:rPr>
      </w:pPr>
      <w:r w:rsidRPr="002423AB">
        <w:rPr>
          <w:rFonts w:ascii="Palatino Linotype" w:eastAsia="Palatino Linotype" w:hAnsi="Palatino Linotype" w:cs="Palatino Linotype"/>
          <w:b/>
          <w:i/>
          <w:sz w:val="21"/>
          <w:szCs w:val="21"/>
        </w:rPr>
        <w:t xml:space="preserve">Quincuagésimo cuarto. </w:t>
      </w:r>
      <w:r w:rsidRPr="002423AB">
        <w:rPr>
          <w:rFonts w:ascii="Palatino Linotype" w:eastAsia="Palatino Linotype" w:hAnsi="Palatino Linotype" w:cs="Palatino Linotype"/>
          <w:i/>
          <w:sz w:val="21"/>
          <w:szCs w:val="21"/>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2423AB">
        <w:rPr>
          <w:rFonts w:ascii="Palatino Linotype" w:eastAsia="Palatino Linotype" w:hAnsi="Palatino Linotype" w:cs="Palatino Linotype"/>
          <w:b/>
          <w:i/>
          <w:sz w:val="21"/>
          <w:szCs w:val="21"/>
        </w:rPr>
        <w:t xml:space="preserve"> </w:t>
      </w:r>
    </w:p>
    <w:p w14:paraId="2D1D9C57" w14:textId="77777777" w:rsidR="003E369A" w:rsidRPr="002423AB" w:rsidRDefault="00D83080">
      <w:pPr>
        <w:spacing w:before="120" w:after="120"/>
        <w:ind w:left="851" w:right="902"/>
        <w:jc w:val="both"/>
        <w:rPr>
          <w:rFonts w:ascii="Palatino Linotype" w:eastAsia="Palatino Linotype" w:hAnsi="Palatino Linotype" w:cs="Palatino Linotype"/>
          <w:i/>
          <w:sz w:val="21"/>
          <w:szCs w:val="21"/>
        </w:rPr>
      </w:pPr>
      <w:r w:rsidRPr="002423AB">
        <w:rPr>
          <w:rFonts w:ascii="Palatino Linotype" w:eastAsia="Palatino Linotype" w:hAnsi="Palatino Linotype" w:cs="Palatino Linotype"/>
          <w:b/>
          <w:i/>
          <w:sz w:val="21"/>
          <w:szCs w:val="21"/>
        </w:rPr>
        <w:t xml:space="preserve">Quincuagésimo quinto. </w:t>
      </w:r>
      <w:r w:rsidRPr="002423AB">
        <w:rPr>
          <w:rFonts w:ascii="Palatino Linotype" w:eastAsia="Palatino Linotype" w:hAnsi="Palatino Linotype" w:cs="Palatino Linotype"/>
          <w:i/>
          <w:sz w:val="21"/>
          <w:szCs w:val="21"/>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4037D29" w14:textId="77777777" w:rsidR="003E369A" w:rsidRPr="002423AB" w:rsidRDefault="00D83080">
      <w:pPr>
        <w:spacing w:before="120" w:after="120"/>
        <w:ind w:left="851" w:right="902"/>
        <w:jc w:val="both"/>
        <w:rPr>
          <w:rFonts w:ascii="Palatino Linotype" w:eastAsia="Palatino Linotype" w:hAnsi="Palatino Linotype" w:cs="Palatino Linotype"/>
          <w:b/>
          <w:i/>
          <w:sz w:val="21"/>
          <w:szCs w:val="21"/>
        </w:rPr>
      </w:pPr>
      <w:r w:rsidRPr="002423AB">
        <w:rPr>
          <w:rFonts w:ascii="Palatino Linotype" w:eastAsia="Palatino Linotype" w:hAnsi="Palatino Linotype" w:cs="Palatino Linotype"/>
          <w:b/>
          <w:i/>
          <w:sz w:val="21"/>
          <w:szCs w:val="21"/>
        </w:rPr>
        <w:t>...</w:t>
      </w:r>
    </w:p>
    <w:p w14:paraId="74E579A3" w14:textId="77777777" w:rsidR="003E369A" w:rsidRPr="002423AB" w:rsidRDefault="00D83080">
      <w:pPr>
        <w:spacing w:before="120" w:after="120"/>
        <w:ind w:left="851" w:right="902"/>
        <w:jc w:val="both"/>
        <w:rPr>
          <w:rFonts w:ascii="Palatino Linotype" w:eastAsia="Palatino Linotype" w:hAnsi="Palatino Linotype" w:cs="Palatino Linotype"/>
          <w:i/>
          <w:sz w:val="21"/>
          <w:szCs w:val="21"/>
        </w:rPr>
      </w:pPr>
      <w:r w:rsidRPr="002423AB">
        <w:rPr>
          <w:rFonts w:ascii="Palatino Linotype" w:eastAsia="Palatino Linotype" w:hAnsi="Palatino Linotype" w:cs="Palatino Linotype"/>
          <w:b/>
          <w:i/>
          <w:sz w:val="21"/>
          <w:szCs w:val="21"/>
        </w:rPr>
        <w:t>Quincuagésimo séptimo</w:t>
      </w:r>
      <w:r w:rsidRPr="002423AB">
        <w:rPr>
          <w:rFonts w:ascii="Palatino Linotype" w:eastAsia="Palatino Linotype" w:hAnsi="Palatino Linotype" w:cs="Palatino Linotype"/>
          <w:i/>
          <w:sz w:val="21"/>
          <w:szCs w:val="21"/>
        </w:rPr>
        <w:t xml:space="preserve">. Se considera, en principio, como información pública y no podrá omitirse de las versiones públicas la siguiente: </w:t>
      </w:r>
    </w:p>
    <w:p w14:paraId="22786A10" w14:textId="77777777" w:rsidR="003E369A" w:rsidRPr="002423AB" w:rsidRDefault="00D83080">
      <w:pPr>
        <w:spacing w:before="120" w:after="120"/>
        <w:ind w:left="1134" w:right="902"/>
        <w:jc w:val="both"/>
        <w:rPr>
          <w:rFonts w:ascii="Palatino Linotype" w:eastAsia="Palatino Linotype" w:hAnsi="Palatino Linotype" w:cs="Palatino Linotype"/>
          <w:i/>
          <w:sz w:val="21"/>
          <w:szCs w:val="21"/>
        </w:rPr>
      </w:pPr>
      <w:r w:rsidRPr="002423AB">
        <w:rPr>
          <w:rFonts w:ascii="Palatino Linotype" w:eastAsia="Palatino Linotype" w:hAnsi="Palatino Linotype" w:cs="Palatino Linotype"/>
          <w:b/>
          <w:i/>
          <w:sz w:val="21"/>
          <w:szCs w:val="21"/>
        </w:rPr>
        <w:t>I</w:t>
      </w:r>
      <w:r w:rsidRPr="002423AB">
        <w:rPr>
          <w:rFonts w:ascii="Palatino Linotype" w:eastAsia="Palatino Linotype" w:hAnsi="Palatino Linotype" w:cs="Palatino Linotype"/>
          <w:i/>
          <w:sz w:val="21"/>
          <w:szCs w:val="21"/>
        </w:rPr>
        <w:t xml:space="preserve">. La relativa a las Obligaciones de Transparencia que contempla el Título V de la Ley General y las demás disposiciones legales aplicables; </w:t>
      </w:r>
    </w:p>
    <w:p w14:paraId="0089A76E" w14:textId="77777777" w:rsidR="003E369A" w:rsidRPr="002423AB" w:rsidRDefault="00D83080">
      <w:pPr>
        <w:spacing w:before="120" w:after="120"/>
        <w:ind w:left="1134" w:right="902"/>
        <w:jc w:val="both"/>
        <w:rPr>
          <w:rFonts w:ascii="Palatino Linotype" w:eastAsia="Palatino Linotype" w:hAnsi="Palatino Linotype" w:cs="Palatino Linotype"/>
          <w:i/>
          <w:sz w:val="21"/>
          <w:szCs w:val="21"/>
        </w:rPr>
      </w:pPr>
      <w:r w:rsidRPr="002423AB">
        <w:rPr>
          <w:rFonts w:ascii="Palatino Linotype" w:eastAsia="Palatino Linotype" w:hAnsi="Palatino Linotype" w:cs="Palatino Linotype"/>
          <w:b/>
          <w:i/>
          <w:sz w:val="21"/>
          <w:szCs w:val="21"/>
        </w:rPr>
        <w:t>II.</w:t>
      </w:r>
      <w:r w:rsidRPr="002423AB">
        <w:rPr>
          <w:rFonts w:ascii="Palatino Linotype" w:eastAsia="Palatino Linotype" w:hAnsi="Palatino Linotype" w:cs="Palatino Linotype"/>
          <w:i/>
          <w:sz w:val="21"/>
          <w:szCs w:val="21"/>
        </w:rPr>
        <w:t xml:space="preserve"> El nombre de los integrantes de los sujetos obligados en los documentos, y sus firmas autógrafas o digitales, cuando sean utilizados en el ejercicio de las facultades conferidas para el desempeño del servicio público, y</w:t>
      </w:r>
    </w:p>
    <w:p w14:paraId="3BE8E29B" w14:textId="77777777" w:rsidR="003E369A" w:rsidRPr="002423AB" w:rsidRDefault="00D83080">
      <w:pPr>
        <w:spacing w:before="120" w:after="120"/>
        <w:ind w:left="1134" w:right="902"/>
        <w:jc w:val="both"/>
        <w:rPr>
          <w:rFonts w:ascii="Palatino Linotype" w:eastAsia="Palatino Linotype" w:hAnsi="Palatino Linotype" w:cs="Palatino Linotype"/>
          <w:i/>
          <w:sz w:val="21"/>
          <w:szCs w:val="21"/>
        </w:rPr>
      </w:pPr>
      <w:r w:rsidRPr="002423AB">
        <w:rPr>
          <w:rFonts w:ascii="Palatino Linotype" w:eastAsia="Palatino Linotype" w:hAnsi="Palatino Linotype" w:cs="Palatino Linotype"/>
          <w:b/>
          <w:i/>
          <w:sz w:val="21"/>
          <w:szCs w:val="21"/>
        </w:rPr>
        <w:t>III</w:t>
      </w:r>
      <w:r w:rsidRPr="002423AB">
        <w:rPr>
          <w:rFonts w:ascii="Palatino Linotype" w:eastAsia="Palatino Linotype" w:hAnsi="Palatino Linotype" w:cs="Palatino Linotype"/>
          <w:i/>
          <w:sz w:val="21"/>
          <w:szCs w:val="21"/>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04A1E43" w14:textId="77777777" w:rsidR="003E369A" w:rsidRPr="002423AB" w:rsidRDefault="00D83080">
      <w:pPr>
        <w:spacing w:before="120" w:after="120"/>
        <w:ind w:left="851" w:right="902"/>
        <w:jc w:val="both"/>
        <w:rPr>
          <w:rFonts w:ascii="Palatino Linotype" w:eastAsia="Palatino Linotype" w:hAnsi="Palatino Linotype" w:cs="Palatino Linotype"/>
          <w:i/>
          <w:sz w:val="21"/>
          <w:szCs w:val="21"/>
        </w:rPr>
      </w:pPr>
      <w:r w:rsidRPr="002423AB">
        <w:rPr>
          <w:rFonts w:ascii="Palatino Linotype" w:eastAsia="Palatino Linotype" w:hAnsi="Palatino Linotype" w:cs="Palatino Linotype"/>
          <w:i/>
          <w:sz w:val="21"/>
          <w:szCs w:val="21"/>
        </w:rPr>
        <w:t xml:space="preserve">Lo anterior, siempre y cuando no se acredite alguna causal de clasificación, prevista en las leyes o en los tratados internacionales suscritas por el Estado mexicano.  </w:t>
      </w:r>
    </w:p>
    <w:p w14:paraId="6677E05B" w14:textId="77777777" w:rsidR="003E369A" w:rsidRPr="002423AB" w:rsidRDefault="00D83080">
      <w:pPr>
        <w:spacing w:before="120" w:after="120"/>
        <w:ind w:left="851" w:right="902"/>
        <w:jc w:val="both"/>
        <w:rPr>
          <w:rFonts w:ascii="Palatino Linotype" w:eastAsia="Palatino Linotype" w:hAnsi="Palatino Linotype" w:cs="Palatino Linotype"/>
          <w:i/>
          <w:sz w:val="22"/>
          <w:szCs w:val="22"/>
        </w:rPr>
      </w:pPr>
      <w:r w:rsidRPr="002423AB">
        <w:rPr>
          <w:rFonts w:ascii="Palatino Linotype" w:eastAsia="Palatino Linotype" w:hAnsi="Palatino Linotype" w:cs="Palatino Linotype"/>
          <w:b/>
          <w:i/>
          <w:sz w:val="21"/>
          <w:szCs w:val="21"/>
        </w:rPr>
        <w:lastRenderedPageBreak/>
        <w:t>Quincuagésimo octavo</w:t>
      </w:r>
      <w:r w:rsidRPr="002423AB">
        <w:rPr>
          <w:rFonts w:ascii="Palatino Linotype" w:eastAsia="Palatino Linotype" w:hAnsi="Palatino Linotype" w:cs="Palatino Linotype"/>
          <w:i/>
          <w:sz w:val="21"/>
          <w:szCs w:val="21"/>
        </w:rPr>
        <w:t>. Los sujetos obligados garantizarán que los sistemas o medios empleados para eliminar la información en las versiones públicas sean irreversibles, de tal forma que no permitan su recuperación o la visualización de la misma</w:t>
      </w:r>
      <w:r w:rsidRPr="002423AB">
        <w:rPr>
          <w:rFonts w:ascii="Palatino Linotype" w:eastAsia="Palatino Linotype" w:hAnsi="Palatino Linotype" w:cs="Palatino Linotype"/>
          <w:i/>
          <w:sz w:val="22"/>
          <w:szCs w:val="22"/>
        </w:rPr>
        <w:t>.”</w:t>
      </w:r>
    </w:p>
    <w:p w14:paraId="1FE6F22E"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79E5907F" w14:textId="77777777" w:rsidR="003E369A" w:rsidRPr="002423AB" w:rsidRDefault="00D8308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423AB">
        <w:rPr>
          <w:rFonts w:ascii="Palatino Linotype" w:eastAsia="Palatino Linotype" w:hAnsi="Palatino Linotype" w:cs="Palatino Linotype"/>
          <w:b/>
        </w:rPr>
        <w:t>III. R E S U E L V E</w:t>
      </w:r>
    </w:p>
    <w:p w14:paraId="76E54468" w14:textId="77777777" w:rsidR="003E369A" w:rsidRPr="002423AB" w:rsidRDefault="00D83080">
      <w:pPr>
        <w:spacing w:before="240" w:after="240" w:line="360" w:lineRule="auto"/>
        <w:jc w:val="both"/>
        <w:rPr>
          <w:rFonts w:ascii="Palatino Linotype" w:eastAsia="Palatino Linotype" w:hAnsi="Palatino Linotype" w:cs="Palatino Linotype"/>
        </w:rPr>
      </w:pPr>
      <w:bookmarkStart w:id="10" w:name="_heading=h.26in1rg" w:colFirst="0" w:colLast="0"/>
      <w:bookmarkEnd w:id="10"/>
      <w:r w:rsidRPr="002423AB">
        <w:rPr>
          <w:rFonts w:ascii="Palatino Linotype" w:eastAsia="Palatino Linotype" w:hAnsi="Palatino Linotype" w:cs="Palatino Linotype"/>
          <w:b/>
        </w:rPr>
        <w:t xml:space="preserve">Primero. </w:t>
      </w:r>
      <w:r w:rsidRPr="002423AB">
        <w:rPr>
          <w:rFonts w:ascii="Palatino Linotype" w:eastAsia="Palatino Linotype" w:hAnsi="Palatino Linotype" w:cs="Palatino Linotype"/>
        </w:rPr>
        <w:t>Resultan</w:t>
      </w:r>
      <w:r w:rsidRPr="002423AB">
        <w:rPr>
          <w:rFonts w:ascii="Palatino Linotype" w:eastAsia="Palatino Linotype" w:hAnsi="Palatino Linotype" w:cs="Palatino Linotype"/>
          <w:b/>
        </w:rPr>
        <w:t xml:space="preserve"> parcialmente fundadas</w:t>
      </w:r>
      <w:r w:rsidRPr="002423AB">
        <w:rPr>
          <w:rFonts w:ascii="Palatino Linotype" w:eastAsia="Palatino Linotype" w:hAnsi="Palatino Linotype" w:cs="Palatino Linotype"/>
        </w:rPr>
        <w:t xml:space="preserve"> las razones o motivos de inconformidad hechos valer por la parte</w:t>
      </w:r>
      <w:r w:rsidRPr="002423AB">
        <w:rPr>
          <w:rFonts w:ascii="Palatino Linotype" w:eastAsia="Palatino Linotype" w:hAnsi="Palatino Linotype" w:cs="Palatino Linotype"/>
          <w:b/>
        </w:rPr>
        <w:t xml:space="preserve"> Recurrente</w:t>
      </w:r>
      <w:r w:rsidRPr="002423AB">
        <w:rPr>
          <w:rFonts w:ascii="Palatino Linotype" w:eastAsia="Palatino Linotype" w:hAnsi="Palatino Linotype" w:cs="Palatino Linotype"/>
        </w:rPr>
        <w:t xml:space="preserve"> en el recurso de revisión </w:t>
      </w:r>
      <w:r w:rsidRPr="002423AB">
        <w:rPr>
          <w:rFonts w:ascii="Palatino Linotype" w:eastAsia="Palatino Linotype" w:hAnsi="Palatino Linotype" w:cs="Palatino Linotype"/>
          <w:b/>
        </w:rPr>
        <w:t>01584/INFOEM/IP/RR/2024</w:t>
      </w:r>
      <w:r w:rsidRPr="002423AB">
        <w:rPr>
          <w:rFonts w:ascii="Palatino Linotype" w:eastAsia="Palatino Linotype" w:hAnsi="Palatino Linotype" w:cs="Palatino Linotype"/>
        </w:rPr>
        <w:t xml:space="preserve">; por lo que, en términos del </w:t>
      </w:r>
      <w:r w:rsidRPr="002423AB">
        <w:rPr>
          <w:rFonts w:ascii="Palatino Linotype" w:eastAsia="Palatino Linotype" w:hAnsi="Palatino Linotype" w:cs="Palatino Linotype"/>
          <w:b/>
        </w:rPr>
        <w:t>Considerando</w:t>
      </w:r>
      <w:r w:rsidRPr="002423AB">
        <w:rPr>
          <w:rFonts w:ascii="Palatino Linotype" w:eastAsia="Palatino Linotype" w:hAnsi="Palatino Linotype" w:cs="Palatino Linotype"/>
        </w:rPr>
        <w:t xml:space="preserve"> </w:t>
      </w:r>
      <w:r w:rsidRPr="002423AB">
        <w:rPr>
          <w:rFonts w:ascii="Palatino Linotype" w:eastAsia="Palatino Linotype" w:hAnsi="Palatino Linotype" w:cs="Palatino Linotype"/>
          <w:b/>
        </w:rPr>
        <w:t xml:space="preserve">Cuarto </w:t>
      </w:r>
      <w:r w:rsidRPr="002423AB">
        <w:rPr>
          <w:rFonts w:ascii="Palatino Linotype" w:eastAsia="Palatino Linotype" w:hAnsi="Palatino Linotype" w:cs="Palatino Linotype"/>
        </w:rPr>
        <w:t xml:space="preserve">de esta resolución, se </w:t>
      </w:r>
      <w:r w:rsidRPr="002423AB">
        <w:rPr>
          <w:rFonts w:ascii="Palatino Linotype" w:eastAsia="Palatino Linotype" w:hAnsi="Palatino Linotype" w:cs="Palatino Linotype"/>
          <w:b/>
        </w:rPr>
        <w:t xml:space="preserve">Modifica </w:t>
      </w:r>
      <w:r w:rsidRPr="002423AB">
        <w:rPr>
          <w:rFonts w:ascii="Palatino Linotype" w:eastAsia="Palatino Linotype" w:hAnsi="Palatino Linotype" w:cs="Palatino Linotype"/>
        </w:rPr>
        <w:t xml:space="preserve">la respuesta emitida por el </w:t>
      </w:r>
      <w:r w:rsidRPr="002423AB">
        <w:rPr>
          <w:rFonts w:ascii="Palatino Linotype" w:eastAsia="Palatino Linotype" w:hAnsi="Palatino Linotype" w:cs="Palatino Linotype"/>
          <w:b/>
        </w:rPr>
        <w:t xml:space="preserve">Sujeto Obligado. </w:t>
      </w:r>
    </w:p>
    <w:p w14:paraId="547E35C1" w14:textId="77777777" w:rsidR="003E369A" w:rsidRPr="002423AB" w:rsidRDefault="00D83080">
      <w:pPr>
        <w:tabs>
          <w:tab w:val="left" w:pos="5040"/>
        </w:tabs>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b/>
        </w:rPr>
        <w:t xml:space="preserve">Segundo. </w:t>
      </w:r>
      <w:r w:rsidRPr="002423AB">
        <w:rPr>
          <w:rFonts w:ascii="Palatino Linotype" w:eastAsia="Palatino Linotype" w:hAnsi="Palatino Linotype" w:cs="Palatino Linotype"/>
        </w:rPr>
        <w:t xml:space="preserve">Se </w:t>
      </w:r>
      <w:r w:rsidRPr="002423AB">
        <w:rPr>
          <w:rFonts w:ascii="Palatino Linotype" w:eastAsia="Palatino Linotype" w:hAnsi="Palatino Linotype" w:cs="Palatino Linotype"/>
          <w:b/>
        </w:rPr>
        <w:t xml:space="preserve">Ordena </w:t>
      </w:r>
      <w:r w:rsidRPr="002423AB">
        <w:rPr>
          <w:rFonts w:ascii="Palatino Linotype" w:eastAsia="Palatino Linotype" w:hAnsi="Palatino Linotype" w:cs="Palatino Linotype"/>
        </w:rPr>
        <w:t xml:space="preserve">al </w:t>
      </w:r>
      <w:r w:rsidRPr="002423AB">
        <w:rPr>
          <w:rFonts w:ascii="Palatino Linotype" w:eastAsia="Palatino Linotype" w:hAnsi="Palatino Linotype" w:cs="Palatino Linotype"/>
          <w:b/>
        </w:rPr>
        <w:t xml:space="preserve">Sujeto Obligado, </w:t>
      </w:r>
      <w:r w:rsidRPr="002423AB">
        <w:rPr>
          <w:rFonts w:ascii="Palatino Linotype" w:eastAsia="Palatino Linotype" w:hAnsi="Palatino Linotype" w:cs="Palatino Linotype"/>
        </w:rPr>
        <w:t xml:space="preserve">en términos de los </w:t>
      </w:r>
      <w:r w:rsidRPr="002423AB">
        <w:rPr>
          <w:rFonts w:ascii="Palatino Linotype" w:eastAsia="Palatino Linotype" w:hAnsi="Palatino Linotype" w:cs="Palatino Linotype"/>
          <w:b/>
        </w:rPr>
        <w:t>Considerandos</w:t>
      </w:r>
      <w:r w:rsidRPr="002423AB">
        <w:rPr>
          <w:rFonts w:ascii="Palatino Linotype" w:eastAsia="Palatino Linotype" w:hAnsi="Palatino Linotype" w:cs="Palatino Linotype"/>
        </w:rPr>
        <w:t xml:space="preserve"> </w:t>
      </w:r>
      <w:r w:rsidRPr="002423AB">
        <w:rPr>
          <w:rFonts w:ascii="Palatino Linotype" w:eastAsia="Palatino Linotype" w:hAnsi="Palatino Linotype" w:cs="Palatino Linotype"/>
          <w:b/>
        </w:rPr>
        <w:t xml:space="preserve">Cuarto </w:t>
      </w:r>
      <w:r w:rsidRPr="002423AB">
        <w:rPr>
          <w:rFonts w:ascii="Palatino Linotype" w:eastAsia="Palatino Linotype" w:hAnsi="Palatino Linotype" w:cs="Palatino Linotype"/>
        </w:rPr>
        <w:t xml:space="preserve">y </w:t>
      </w:r>
      <w:r w:rsidRPr="002423AB">
        <w:rPr>
          <w:rFonts w:ascii="Palatino Linotype" w:eastAsia="Palatino Linotype" w:hAnsi="Palatino Linotype" w:cs="Palatino Linotype"/>
          <w:b/>
        </w:rPr>
        <w:t xml:space="preserve">Quinto </w:t>
      </w:r>
      <w:r w:rsidRPr="002423AB">
        <w:rPr>
          <w:rFonts w:ascii="Palatino Linotype" w:eastAsia="Palatino Linotype" w:hAnsi="Palatino Linotype" w:cs="Palatino Linotype"/>
        </w:rPr>
        <w:t xml:space="preserve">de esta resolución, haga entrega, vía </w:t>
      </w:r>
      <w:r w:rsidRPr="002423AB">
        <w:rPr>
          <w:rFonts w:ascii="Palatino Linotype" w:eastAsia="Palatino Linotype" w:hAnsi="Palatino Linotype" w:cs="Palatino Linotype"/>
          <w:b/>
        </w:rPr>
        <w:t>SAIMEX</w:t>
      </w:r>
      <w:r w:rsidRPr="002423AB">
        <w:rPr>
          <w:rFonts w:ascii="Palatino Linotype" w:eastAsia="Palatino Linotype" w:hAnsi="Palatino Linotype" w:cs="Palatino Linotype"/>
        </w:rPr>
        <w:t>, previa búsqueda exhaustiva y razonable, en versión pública de ser procedente, de lo siguiente:</w:t>
      </w:r>
    </w:p>
    <w:p w14:paraId="08E0FD37" w14:textId="77777777" w:rsidR="003E369A" w:rsidRPr="002423AB" w:rsidRDefault="00D83080">
      <w:pPr>
        <w:spacing w:before="240" w:after="240" w:line="360" w:lineRule="auto"/>
        <w:ind w:right="49"/>
        <w:jc w:val="both"/>
        <w:rPr>
          <w:rFonts w:ascii="Palatino Linotype" w:eastAsia="Palatino Linotype" w:hAnsi="Palatino Linotype" w:cs="Palatino Linotype"/>
        </w:rPr>
      </w:pPr>
      <w:r w:rsidRPr="002423AB">
        <w:rPr>
          <w:rFonts w:ascii="Palatino Linotype" w:eastAsia="Palatino Linotype" w:hAnsi="Palatino Linotype" w:cs="Palatino Linotype"/>
        </w:rPr>
        <w:t>Del periodo comprendido del uno de enero de dos mil veintidós al diecinueve de marzo de dos mil veinticuatro:</w:t>
      </w:r>
    </w:p>
    <w:p w14:paraId="3A5EE120" w14:textId="77777777" w:rsidR="003E369A" w:rsidRPr="002423AB" w:rsidRDefault="00D83080">
      <w:pPr>
        <w:numPr>
          <w:ilvl w:val="0"/>
          <w:numId w:val="6"/>
        </w:numPr>
        <w:pBdr>
          <w:top w:val="nil"/>
          <w:left w:val="nil"/>
          <w:bottom w:val="nil"/>
          <w:right w:val="nil"/>
          <w:between w:val="nil"/>
        </w:pBdr>
        <w:spacing w:before="240" w:after="240" w:line="360" w:lineRule="auto"/>
        <w:ind w:left="426" w:right="49" w:firstLine="0"/>
        <w:jc w:val="both"/>
        <w:rPr>
          <w:rFonts w:ascii="Palatino Linotype" w:eastAsia="Palatino Linotype" w:hAnsi="Palatino Linotype" w:cs="Palatino Linotype"/>
        </w:rPr>
      </w:pPr>
      <w:r w:rsidRPr="002423AB">
        <w:rPr>
          <w:rFonts w:ascii="Palatino Linotype" w:eastAsia="Palatino Linotype" w:hAnsi="Palatino Linotype" w:cs="Palatino Linotype"/>
        </w:rPr>
        <w:t>El o los documentos en donde consten las quejas presentadas en contra de los servidores públicos que hayan dado origen a una recomendación</w:t>
      </w:r>
      <w:r w:rsidRPr="002423AB">
        <w:t xml:space="preserve"> </w:t>
      </w:r>
      <w:r w:rsidRPr="002423AB">
        <w:rPr>
          <w:rFonts w:ascii="Palatino Linotype" w:eastAsia="Palatino Linotype" w:hAnsi="Palatino Linotype" w:cs="Palatino Linotype"/>
        </w:rPr>
        <w:t>emitida por la Comisión de Derechos Humanos del Estado de México.</w:t>
      </w:r>
    </w:p>
    <w:p w14:paraId="64EF60AA" w14:textId="77777777" w:rsidR="003E369A" w:rsidRPr="002423AB" w:rsidRDefault="00D83080">
      <w:pPr>
        <w:numPr>
          <w:ilvl w:val="0"/>
          <w:numId w:val="6"/>
        </w:numPr>
        <w:pBdr>
          <w:top w:val="nil"/>
          <w:left w:val="nil"/>
          <w:bottom w:val="nil"/>
          <w:right w:val="nil"/>
          <w:between w:val="nil"/>
        </w:pBdr>
        <w:spacing w:before="240" w:after="240" w:line="360" w:lineRule="auto"/>
        <w:ind w:left="426" w:right="141" w:firstLine="0"/>
        <w:jc w:val="both"/>
        <w:rPr>
          <w:rFonts w:ascii="Palatino Linotype" w:eastAsia="Palatino Linotype" w:hAnsi="Palatino Linotype" w:cs="Palatino Linotype"/>
        </w:rPr>
      </w:pPr>
      <w:r w:rsidRPr="002423AB">
        <w:rPr>
          <w:rFonts w:ascii="Palatino Linotype" w:eastAsia="Palatino Linotype" w:hAnsi="Palatino Linotype" w:cs="Palatino Linotype"/>
        </w:rPr>
        <w:lastRenderedPageBreak/>
        <w:t>El Acuerdo emitido por el Comité de Transparencia en el que clasifique como información reservada, las quejas que formen parte de algún procedimiento que se encuentre en trámite o no haya causado estado.</w:t>
      </w:r>
    </w:p>
    <w:p w14:paraId="4E5C4401" w14:textId="77777777" w:rsidR="003E369A" w:rsidRPr="002423AB" w:rsidRDefault="00D83080">
      <w:pPr>
        <w:pBdr>
          <w:top w:val="nil"/>
          <w:left w:val="nil"/>
          <w:bottom w:val="nil"/>
          <w:right w:val="nil"/>
          <w:between w:val="nil"/>
        </w:pBdr>
        <w:ind w:left="426" w:right="49"/>
        <w:jc w:val="both"/>
        <w:rPr>
          <w:rFonts w:ascii="Palatino Linotype" w:eastAsia="Palatino Linotype" w:hAnsi="Palatino Linotype" w:cs="Palatino Linotype"/>
          <w:i/>
          <w:sz w:val="20"/>
          <w:szCs w:val="20"/>
        </w:rPr>
      </w:pPr>
      <w:r w:rsidRPr="002423AB">
        <w:rPr>
          <w:rFonts w:ascii="Palatino Linotype" w:eastAsia="Palatino Linotype" w:hAnsi="Palatino Linotype" w:cs="Palatino Linotype"/>
          <w:i/>
          <w:sz w:val="20"/>
          <w:szCs w:val="20"/>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4A9C9EE" w14:textId="77777777" w:rsidR="003E369A" w:rsidRPr="002423AB" w:rsidRDefault="00D83080">
      <w:pPr>
        <w:spacing w:before="240" w:after="240"/>
        <w:ind w:left="426" w:right="49"/>
        <w:jc w:val="both"/>
        <w:rPr>
          <w:rFonts w:ascii="Palatino Linotype" w:eastAsia="Palatino Linotype" w:hAnsi="Palatino Linotype" w:cs="Palatino Linotype"/>
          <w:i/>
          <w:sz w:val="20"/>
          <w:szCs w:val="20"/>
        </w:rPr>
      </w:pPr>
      <w:r w:rsidRPr="002423AB">
        <w:rPr>
          <w:rFonts w:ascii="Palatino Linotype" w:eastAsia="Palatino Linotype" w:hAnsi="Palatino Linotype" w:cs="Palatino Linotype"/>
          <w:i/>
          <w:sz w:val="20"/>
          <w:szCs w:val="20"/>
        </w:rPr>
        <w:t xml:space="preserve">En el supuesto que la información ordenada no obre en los archivos del </w:t>
      </w:r>
      <w:r w:rsidRPr="002423AB">
        <w:rPr>
          <w:rFonts w:ascii="Palatino Linotype" w:eastAsia="Palatino Linotype" w:hAnsi="Palatino Linotype" w:cs="Palatino Linotype"/>
          <w:b/>
          <w:i/>
          <w:sz w:val="20"/>
          <w:szCs w:val="20"/>
        </w:rPr>
        <w:t xml:space="preserve">Sujeto Obligado </w:t>
      </w:r>
      <w:r w:rsidRPr="002423AB">
        <w:rPr>
          <w:rFonts w:ascii="Palatino Linotype" w:eastAsia="Palatino Linotype" w:hAnsi="Palatino Linotype" w:cs="Palatino Linotype"/>
          <w:i/>
          <w:sz w:val="20"/>
          <w:szCs w:val="20"/>
        </w:rPr>
        <w:t xml:space="preserve">por no haberse generado, bastará con que así lo haga del conocimiento de la parte </w:t>
      </w:r>
      <w:r w:rsidRPr="002423AB">
        <w:rPr>
          <w:rFonts w:ascii="Palatino Linotype" w:eastAsia="Palatino Linotype" w:hAnsi="Palatino Linotype" w:cs="Palatino Linotype"/>
          <w:b/>
          <w:i/>
          <w:sz w:val="20"/>
          <w:szCs w:val="20"/>
        </w:rPr>
        <w:t>Recurrente</w:t>
      </w:r>
      <w:r w:rsidRPr="002423AB">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 para tener por colmado el requerimiento de información.</w:t>
      </w:r>
    </w:p>
    <w:p w14:paraId="40B49B0F"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b/>
        </w:rPr>
        <w:t xml:space="preserve">Tercero. Notifíquese, </w:t>
      </w:r>
      <w:r w:rsidRPr="002423AB">
        <w:rPr>
          <w:rFonts w:ascii="Palatino Linotype" w:eastAsia="Palatino Linotype" w:hAnsi="Palatino Linotype" w:cs="Palatino Linotype"/>
        </w:rPr>
        <w:t xml:space="preserve">vía </w:t>
      </w:r>
      <w:r w:rsidRPr="002423AB">
        <w:rPr>
          <w:rFonts w:ascii="Palatino Linotype" w:eastAsia="Palatino Linotype" w:hAnsi="Palatino Linotype" w:cs="Palatino Linotype"/>
          <w:b/>
        </w:rPr>
        <w:t>SAIMEX</w:t>
      </w:r>
      <w:r w:rsidRPr="002423AB">
        <w:rPr>
          <w:rFonts w:ascii="Palatino Linotype" w:eastAsia="Palatino Linotype" w:hAnsi="Palatino Linotype" w:cs="Palatino Linotype"/>
        </w:rPr>
        <w:t xml:space="preserve">, al Titular de la Unidad de Transparencia del </w:t>
      </w:r>
      <w:r w:rsidRPr="002423AB">
        <w:rPr>
          <w:rFonts w:ascii="Palatino Linotype" w:eastAsia="Palatino Linotype" w:hAnsi="Palatino Linotype" w:cs="Palatino Linotype"/>
          <w:b/>
        </w:rPr>
        <w:t>Sujeto Obligado,</w:t>
      </w:r>
      <w:r w:rsidRPr="002423AB">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BAD61FE" w14:textId="77777777" w:rsidR="003E369A" w:rsidRPr="002423AB" w:rsidRDefault="00D83080">
      <w:pPr>
        <w:spacing w:before="240" w:after="240" w:line="360" w:lineRule="auto"/>
        <w:jc w:val="both"/>
        <w:rPr>
          <w:rFonts w:ascii="Palatino Linotype" w:eastAsia="Palatino Linotype" w:hAnsi="Palatino Linotype" w:cs="Palatino Linotype"/>
        </w:rPr>
      </w:pPr>
      <w:r w:rsidRPr="002423A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2423AB">
        <w:rPr>
          <w:rFonts w:ascii="Palatino Linotype" w:eastAsia="Palatino Linotype" w:hAnsi="Palatino Linotype" w:cs="Palatino Linotype"/>
          <w:b/>
        </w:rPr>
        <w:t>Sujeto Obligado</w:t>
      </w:r>
      <w:r w:rsidRPr="002423AB">
        <w:rPr>
          <w:rFonts w:ascii="Palatino Linotype" w:eastAsia="Palatino Linotype" w:hAnsi="Palatino Linotype" w:cs="Palatino Linotype"/>
        </w:rPr>
        <w:t xml:space="preserve"> de manera fundada y motivada, podrá solicitar una ampliación de plazo para el cumplimiento de la presente resolución.</w:t>
      </w:r>
    </w:p>
    <w:p w14:paraId="75953B6A" w14:textId="77777777" w:rsidR="003E369A" w:rsidRPr="002423AB" w:rsidRDefault="00D83080">
      <w:pPr>
        <w:spacing w:before="240" w:after="240" w:line="360" w:lineRule="auto"/>
        <w:jc w:val="both"/>
        <w:rPr>
          <w:rFonts w:ascii="Palatino Linotype" w:eastAsia="Palatino Linotype" w:hAnsi="Palatino Linotype" w:cs="Palatino Linotype"/>
        </w:rPr>
      </w:pPr>
      <w:bookmarkStart w:id="11" w:name="_heading=h.17dp8vu" w:colFirst="0" w:colLast="0"/>
      <w:bookmarkEnd w:id="11"/>
      <w:r w:rsidRPr="002423AB">
        <w:rPr>
          <w:rFonts w:ascii="Palatino Linotype" w:eastAsia="Palatino Linotype" w:hAnsi="Palatino Linotype" w:cs="Palatino Linotype"/>
          <w:b/>
        </w:rPr>
        <w:lastRenderedPageBreak/>
        <w:t xml:space="preserve">Cuarto.  Notifíquese, </w:t>
      </w:r>
      <w:r w:rsidRPr="002423AB">
        <w:rPr>
          <w:rFonts w:ascii="Palatino Linotype" w:eastAsia="Palatino Linotype" w:hAnsi="Palatino Linotype" w:cs="Palatino Linotype"/>
        </w:rPr>
        <w:t xml:space="preserve">vía </w:t>
      </w:r>
      <w:r w:rsidRPr="002423AB">
        <w:rPr>
          <w:rFonts w:ascii="Palatino Linotype" w:eastAsia="Palatino Linotype" w:hAnsi="Palatino Linotype" w:cs="Palatino Linotype"/>
          <w:b/>
        </w:rPr>
        <w:t>SAIMEX</w:t>
      </w:r>
      <w:r w:rsidRPr="002423AB">
        <w:rPr>
          <w:rFonts w:ascii="Palatino Linotype" w:eastAsia="Palatino Linotype" w:hAnsi="Palatino Linotype" w:cs="Palatino Linotype"/>
        </w:rPr>
        <w:t xml:space="preserve">, a la parte </w:t>
      </w:r>
      <w:r w:rsidRPr="002423AB">
        <w:rPr>
          <w:rFonts w:ascii="Palatino Linotype" w:eastAsia="Palatino Linotype" w:hAnsi="Palatino Linotype" w:cs="Palatino Linotype"/>
          <w:b/>
        </w:rPr>
        <w:t>Recurrente</w:t>
      </w:r>
      <w:r w:rsidRPr="002423AB">
        <w:rPr>
          <w:rFonts w:ascii="Palatino Linotype" w:eastAsia="Palatino Linotype" w:hAnsi="Palatino Linotype" w:cs="Palatino Linotype"/>
        </w:rPr>
        <w:t xml:space="preserve"> la presente resolución, así como, que de conformidad con lo establecido en los artículos 159 y 160 de la Ley General de Transparencia y Acceso a la Información Pública, y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14:paraId="79155228" w14:textId="77777777" w:rsidR="003E369A" w:rsidRPr="002423AB" w:rsidRDefault="00D83080">
      <w:pPr>
        <w:spacing w:line="360" w:lineRule="auto"/>
        <w:jc w:val="both"/>
        <w:rPr>
          <w:rFonts w:ascii="Palatino Linotype" w:eastAsia="Palatino Linotype" w:hAnsi="Palatino Linotype" w:cs="Palatino Linotype"/>
        </w:rPr>
      </w:pPr>
      <w:bookmarkStart w:id="12" w:name="_heading=h.lnxbz9" w:colFirst="0" w:colLast="0"/>
      <w:bookmarkEnd w:id="12"/>
      <w:r w:rsidRPr="002423A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2423AB" w:rsidRPr="002423AB">
        <w:rPr>
          <w:rFonts w:ascii="Palatino Linotype" w:eastAsia="Palatino Linotype" w:hAnsi="Palatino Linotype" w:cs="Palatino Linotype"/>
        </w:rPr>
        <w:t xml:space="preserve"> (</w:t>
      </w:r>
      <w:r w:rsidR="00CE10BD" w:rsidRPr="002423AB">
        <w:rPr>
          <w:rFonts w:ascii="Palatino Linotype" w:eastAsia="Palatino Linotype" w:hAnsi="Palatino Linotype" w:cs="Palatino Linotype"/>
        </w:rPr>
        <w:t>EMITIENDO VOTO PARTICULAR</w:t>
      </w:r>
      <w:r w:rsidR="002423AB" w:rsidRPr="002423AB">
        <w:rPr>
          <w:rFonts w:ascii="Palatino Linotype" w:eastAsia="Palatino Linotype" w:hAnsi="Palatino Linotype" w:cs="Palatino Linotype"/>
        </w:rPr>
        <w:t>)</w:t>
      </w:r>
      <w:r w:rsidRPr="002423AB">
        <w:rPr>
          <w:rFonts w:ascii="Palatino Linotype" w:eastAsia="Palatino Linotype" w:hAnsi="Palatino Linotype" w:cs="Palatino Linotype"/>
        </w:rPr>
        <w:t>; Y GUADALUPE RAMÍREZ PEÑA, EN LA TRIGÉSIMA SEGUNDA SESIÓN ORDINARIA CELEBRADA EL ONCE DE SEPTIEMBRE DE DOS MIL VEINTICUATRO, ANTE EL SECRETARIO TÉCNICO DEL PLENO ALEXIS TAPIA RAMÍREZ.</w:t>
      </w:r>
    </w:p>
    <w:p w14:paraId="41FDC417" w14:textId="77777777" w:rsidR="003E369A" w:rsidRPr="002423AB" w:rsidRDefault="003E369A">
      <w:pPr>
        <w:spacing w:line="360" w:lineRule="auto"/>
        <w:jc w:val="both"/>
        <w:rPr>
          <w:rFonts w:ascii="Palatino Linotype" w:eastAsia="Palatino Linotype" w:hAnsi="Palatino Linotype" w:cs="Palatino Linotype"/>
        </w:rPr>
      </w:pPr>
      <w:bookmarkStart w:id="13" w:name="_heading=h.1fob9te" w:colFirst="0" w:colLast="0"/>
      <w:bookmarkEnd w:id="13"/>
    </w:p>
    <w:p w14:paraId="3F586E10" w14:textId="77777777" w:rsidR="003E369A" w:rsidRPr="002423AB" w:rsidRDefault="003E369A">
      <w:pPr>
        <w:rPr>
          <w:rFonts w:ascii="Palatino Linotype" w:eastAsia="Palatino Linotype" w:hAnsi="Palatino Linotype" w:cs="Palatino Linotype"/>
        </w:rPr>
      </w:pPr>
    </w:p>
    <w:p w14:paraId="3E832F22" w14:textId="77777777" w:rsidR="003E369A" w:rsidRPr="002423AB" w:rsidRDefault="003E369A">
      <w:pPr>
        <w:rPr>
          <w:rFonts w:ascii="Palatino Linotype" w:eastAsia="Palatino Linotype" w:hAnsi="Palatino Linotype" w:cs="Palatino Linotype"/>
        </w:rPr>
      </w:pPr>
    </w:p>
    <w:p w14:paraId="49B40497" w14:textId="77777777" w:rsidR="003E369A" w:rsidRPr="002423AB" w:rsidRDefault="003E369A">
      <w:pPr>
        <w:rPr>
          <w:rFonts w:ascii="Palatino Linotype" w:eastAsia="Palatino Linotype" w:hAnsi="Palatino Linotype" w:cs="Palatino Linotype"/>
        </w:rPr>
      </w:pPr>
    </w:p>
    <w:p w14:paraId="1A20FB83" w14:textId="77777777" w:rsidR="003E369A" w:rsidRPr="002423AB" w:rsidRDefault="003E369A">
      <w:pPr>
        <w:rPr>
          <w:rFonts w:ascii="Palatino Linotype" w:eastAsia="Palatino Linotype" w:hAnsi="Palatino Linotype" w:cs="Palatino Linotype"/>
        </w:rPr>
      </w:pPr>
    </w:p>
    <w:p w14:paraId="7E5D7E38" w14:textId="77777777" w:rsidR="003E369A" w:rsidRPr="002423AB" w:rsidRDefault="003E369A">
      <w:pPr>
        <w:rPr>
          <w:rFonts w:ascii="Palatino Linotype" w:eastAsia="Palatino Linotype" w:hAnsi="Palatino Linotype" w:cs="Palatino Linotype"/>
        </w:rPr>
      </w:pPr>
    </w:p>
    <w:p w14:paraId="63C01BEF" w14:textId="77777777" w:rsidR="003E369A" w:rsidRPr="002423AB" w:rsidRDefault="003E369A">
      <w:pPr>
        <w:rPr>
          <w:rFonts w:ascii="Palatino Linotype" w:eastAsia="Palatino Linotype" w:hAnsi="Palatino Linotype" w:cs="Palatino Linotype"/>
        </w:rPr>
      </w:pPr>
    </w:p>
    <w:p w14:paraId="5BFC87C0" w14:textId="77777777" w:rsidR="003E369A" w:rsidRPr="002423AB" w:rsidRDefault="003E369A">
      <w:pPr>
        <w:rPr>
          <w:rFonts w:ascii="Palatino Linotype" w:eastAsia="Palatino Linotype" w:hAnsi="Palatino Linotype" w:cs="Palatino Linotype"/>
        </w:rPr>
      </w:pPr>
    </w:p>
    <w:p w14:paraId="01F0A81F" w14:textId="77777777" w:rsidR="003E369A" w:rsidRPr="002423AB" w:rsidRDefault="003E369A">
      <w:pPr>
        <w:rPr>
          <w:rFonts w:ascii="Palatino Linotype" w:eastAsia="Palatino Linotype" w:hAnsi="Palatino Linotype" w:cs="Palatino Linotype"/>
        </w:rPr>
      </w:pPr>
    </w:p>
    <w:p w14:paraId="086E58CC" w14:textId="77777777" w:rsidR="003E369A" w:rsidRPr="002423AB" w:rsidRDefault="003E369A">
      <w:pPr>
        <w:rPr>
          <w:rFonts w:ascii="Palatino Linotype" w:eastAsia="Palatino Linotype" w:hAnsi="Palatino Linotype" w:cs="Palatino Linotype"/>
        </w:rPr>
      </w:pPr>
    </w:p>
    <w:p w14:paraId="0C51520C" w14:textId="77777777" w:rsidR="003E369A" w:rsidRPr="002423AB" w:rsidRDefault="003E369A">
      <w:pPr>
        <w:spacing w:line="360" w:lineRule="auto"/>
        <w:jc w:val="both"/>
        <w:rPr>
          <w:rFonts w:ascii="Palatino Linotype" w:eastAsia="Palatino Linotype" w:hAnsi="Palatino Linotype" w:cs="Palatino Linotype"/>
        </w:rPr>
      </w:pPr>
      <w:bookmarkStart w:id="14" w:name="_heading=h.3rdcrjn" w:colFirst="0" w:colLast="0"/>
      <w:bookmarkEnd w:id="14"/>
    </w:p>
    <w:p w14:paraId="26C548DB" w14:textId="77777777" w:rsidR="003E369A" w:rsidRPr="002423AB" w:rsidRDefault="003E369A">
      <w:pPr>
        <w:spacing w:line="360" w:lineRule="auto"/>
        <w:jc w:val="both"/>
        <w:rPr>
          <w:rFonts w:ascii="Palatino Linotype" w:eastAsia="Palatino Linotype" w:hAnsi="Palatino Linotype" w:cs="Palatino Linotype"/>
        </w:rPr>
      </w:pPr>
    </w:p>
    <w:p w14:paraId="7988AE1C" w14:textId="77777777" w:rsidR="003E369A" w:rsidRPr="002423AB" w:rsidRDefault="003E369A">
      <w:pPr>
        <w:spacing w:line="360" w:lineRule="auto"/>
        <w:jc w:val="both"/>
        <w:rPr>
          <w:rFonts w:ascii="Palatino Linotype" w:eastAsia="Palatino Linotype" w:hAnsi="Palatino Linotype" w:cs="Palatino Linotype"/>
        </w:rPr>
      </w:pPr>
    </w:p>
    <w:p w14:paraId="0B8C5618" w14:textId="77777777" w:rsidR="003E369A" w:rsidRPr="002423AB" w:rsidRDefault="003E369A">
      <w:pPr>
        <w:spacing w:line="360" w:lineRule="auto"/>
        <w:jc w:val="both"/>
        <w:rPr>
          <w:rFonts w:ascii="Palatino Linotype" w:eastAsia="Palatino Linotype" w:hAnsi="Palatino Linotype" w:cs="Palatino Linotype"/>
        </w:rPr>
      </w:pPr>
      <w:bookmarkStart w:id="15" w:name="_heading=h.1t3h5sf" w:colFirst="0" w:colLast="0"/>
      <w:bookmarkEnd w:id="15"/>
    </w:p>
    <w:p w14:paraId="21CF9C2E" w14:textId="77777777" w:rsidR="003E369A" w:rsidRPr="002423AB" w:rsidRDefault="003E369A">
      <w:pPr>
        <w:spacing w:line="360" w:lineRule="auto"/>
        <w:jc w:val="both"/>
        <w:rPr>
          <w:rFonts w:ascii="Palatino Linotype" w:eastAsia="Palatino Linotype" w:hAnsi="Palatino Linotype" w:cs="Palatino Linotype"/>
        </w:rPr>
      </w:pPr>
    </w:p>
    <w:p w14:paraId="34A752CC" w14:textId="77777777" w:rsidR="003E369A" w:rsidRPr="002423AB" w:rsidRDefault="003E369A">
      <w:pPr>
        <w:spacing w:line="360" w:lineRule="auto"/>
        <w:jc w:val="both"/>
        <w:rPr>
          <w:rFonts w:ascii="Palatino Linotype" w:eastAsia="Palatino Linotype" w:hAnsi="Palatino Linotype" w:cs="Palatino Linotype"/>
        </w:rPr>
      </w:pPr>
    </w:p>
    <w:p w14:paraId="12203DE5" w14:textId="77777777" w:rsidR="003E369A" w:rsidRPr="002423AB" w:rsidRDefault="003E369A">
      <w:pPr>
        <w:spacing w:line="360" w:lineRule="auto"/>
        <w:jc w:val="both"/>
        <w:rPr>
          <w:rFonts w:ascii="Palatino Linotype" w:eastAsia="Palatino Linotype" w:hAnsi="Palatino Linotype" w:cs="Palatino Linotype"/>
        </w:rPr>
      </w:pPr>
    </w:p>
    <w:p w14:paraId="79F32F3D" w14:textId="77777777" w:rsidR="003E369A" w:rsidRPr="002423AB" w:rsidRDefault="003E369A">
      <w:pPr>
        <w:spacing w:line="360" w:lineRule="auto"/>
        <w:jc w:val="both"/>
        <w:rPr>
          <w:rFonts w:ascii="Palatino Linotype" w:eastAsia="Palatino Linotype" w:hAnsi="Palatino Linotype" w:cs="Palatino Linotype"/>
        </w:rPr>
      </w:pPr>
    </w:p>
    <w:p w14:paraId="01682815" w14:textId="77777777" w:rsidR="003E369A" w:rsidRPr="002423AB" w:rsidRDefault="003E369A">
      <w:pPr>
        <w:spacing w:line="360" w:lineRule="auto"/>
        <w:jc w:val="both"/>
        <w:rPr>
          <w:rFonts w:ascii="Palatino Linotype" w:eastAsia="Palatino Linotype" w:hAnsi="Palatino Linotype" w:cs="Palatino Linotype"/>
        </w:rPr>
      </w:pPr>
    </w:p>
    <w:p w14:paraId="13D656EB" w14:textId="77777777" w:rsidR="003E369A" w:rsidRPr="002423AB" w:rsidRDefault="003E369A">
      <w:pPr>
        <w:spacing w:line="360" w:lineRule="auto"/>
        <w:jc w:val="both"/>
        <w:rPr>
          <w:rFonts w:ascii="Palatino Linotype" w:eastAsia="Palatino Linotype" w:hAnsi="Palatino Linotype" w:cs="Palatino Linotype"/>
        </w:rPr>
      </w:pPr>
    </w:p>
    <w:p w14:paraId="20D12C12" w14:textId="77777777" w:rsidR="003E369A" w:rsidRPr="002423AB" w:rsidRDefault="003E369A">
      <w:pPr>
        <w:spacing w:line="360" w:lineRule="auto"/>
        <w:jc w:val="both"/>
        <w:rPr>
          <w:rFonts w:ascii="Palatino Linotype" w:eastAsia="Palatino Linotype" w:hAnsi="Palatino Linotype" w:cs="Palatino Linotype"/>
        </w:rPr>
      </w:pPr>
    </w:p>
    <w:p w14:paraId="13948473" w14:textId="77777777" w:rsidR="003E369A" w:rsidRPr="002423AB" w:rsidRDefault="003E369A">
      <w:pPr>
        <w:spacing w:line="360" w:lineRule="auto"/>
        <w:jc w:val="both"/>
        <w:rPr>
          <w:rFonts w:ascii="Palatino Linotype" w:eastAsia="Palatino Linotype" w:hAnsi="Palatino Linotype" w:cs="Palatino Linotype"/>
        </w:rPr>
      </w:pPr>
    </w:p>
    <w:p w14:paraId="43A9D9B3" w14:textId="77777777" w:rsidR="003E369A" w:rsidRPr="002423AB" w:rsidRDefault="003E369A">
      <w:pPr>
        <w:spacing w:line="360" w:lineRule="auto"/>
        <w:jc w:val="both"/>
        <w:rPr>
          <w:rFonts w:ascii="Palatino Linotype" w:eastAsia="Palatino Linotype" w:hAnsi="Palatino Linotype" w:cs="Palatino Linotype"/>
        </w:rPr>
      </w:pPr>
    </w:p>
    <w:p w14:paraId="661186C6" w14:textId="77777777" w:rsidR="003E369A" w:rsidRPr="002423AB" w:rsidRDefault="003E369A">
      <w:pPr>
        <w:spacing w:line="360" w:lineRule="auto"/>
        <w:jc w:val="both"/>
        <w:rPr>
          <w:rFonts w:ascii="Palatino Linotype" w:eastAsia="Palatino Linotype" w:hAnsi="Palatino Linotype" w:cs="Palatino Linotype"/>
        </w:rPr>
      </w:pPr>
    </w:p>
    <w:p w14:paraId="496C3AE3" w14:textId="77777777" w:rsidR="003E369A" w:rsidRPr="002423AB" w:rsidRDefault="003E369A">
      <w:pPr>
        <w:spacing w:line="360" w:lineRule="auto"/>
        <w:jc w:val="both"/>
        <w:rPr>
          <w:rFonts w:ascii="Palatino Linotype" w:eastAsia="Palatino Linotype" w:hAnsi="Palatino Linotype" w:cs="Palatino Linotype"/>
        </w:rPr>
      </w:pPr>
    </w:p>
    <w:p w14:paraId="581BF1F3" w14:textId="77777777" w:rsidR="003E369A" w:rsidRPr="002423AB" w:rsidRDefault="003E369A">
      <w:pPr>
        <w:spacing w:line="360" w:lineRule="auto"/>
        <w:jc w:val="both"/>
        <w:rPr>
          <w:rFonts w:ascii="Palatino Linotype" w:eastAsia="Palatino Linotype" w:hAnsi="Palatino Linotype" w:cs="Palatino Linotype"/>
        </w:rPr>
      </w:pPr>
    </w:p>
    <w:p w14:paraId="431DEF2A" w14:textId="77777777" w:rsidR="003E369A" w:rsidRPr="002423AB" w:rsidRDefault="003E369A">
      <w:pPr>
        <w:spacing w:line="360" w:lineRule="auto"/>
        <w:jc w:val="both"/>
        <w:rPr>
          <w:rFonts w:ascii="Palatino Linotype" w:eastAsia="Palatino Linotype" w:hAnsi="Palatino Linotype" w:cs="Palatino Linotype"/>
        </w:rPr>
      </w:pPr>
    </w:p>
    <w:sectPr w:rsidR="003E369A" w:rsidRPr="002423AB">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11011" w14:textId="77777777" w:rsidR="00691C81" w:rsidRDefault="00691C81">
      <w:r>
        <w:separator/>
      </w:r>
    </w:p>
  </w:endnote>
  <w:endnote w:type="continuationSeparator" w:id="0">
    <w:p w14:paraId="1A85B739" w14:textId="77777777" w:rsidR="00691C81" w:rsidRDefault="0069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6D8C3" w14:textId="77777777" w:rsidR="003E369A" w:rsidRDefault="00D8308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423AB">
      <w:rPr>
        <w:rFonts w:ascii="Palatino Linotype" w:eastAsia="Palatino Linotype" w:hAnsi="Palatino Linotype" w:cs="Palatino Linotype"/>
        <w:b/>
        <w:noProof/>
        <w:color w:val="000000"/>
        <w:sz w:val="20"/>
        <w:szCs w:val="20"/>
      </w:rPr>
      <w:t>67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423AB">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5C16740D" w14:textId="77777777" w:rsidR="003E369A" w:rsidRDefault="003E369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EAC7" w14:textId="77777777" w:rsidR="003E369A" w:rsidRDefault="00D8308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423A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423AB">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29278260" w14:textId="77777777" w:rsidR="003E369A" w:rsidRDefault="003E369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03F0B" w14:textId="77777777" w:rsidR="00691C81" w:rsidRDefault="00691C81">
      <w:r>
        <w:separator/>
      </w:r>
    </w:p>
  </w:footnote>
  <w:footnote w:type="continuationSeparator" w:id="0">
    <w:p w14:paraId="7C289967" w14:textId="77777777" w:rsidR="00691C81" w:rsidRDefault="00691C81">
      <w:r>
        <w:continuationSeparator/>
      </w:r>
    </w:p>
  </w:footnote>
  <w:footnote w:id="1">
    <w:p w14:paraId="4A18A0AD" w14:textId="77777777" w:rsidR="003E369A" w:rsidRDefault="00D8308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2DD8D827" w14:textId="77777777" w:rsidR="003E369A" w:rsidRDefault="00D8308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227F6" w14:textId="77777777" w:rsidR="003E369A" w:rsidRDefault="00D83080">
    <w:pPr>
      <w:rPr>
        <w:rFonts w:ascii="Cambria" w:eastAsia="Cambria" w:hAnsi="Cambria" w:cs="Cambria"/>
        <w:color w:val="000000"/>
      </w:rPr>
    </w:pPr>
    <w:r>
      <w:rPr>
        <w:noProof/>
      </w:rPr>
      <w:drawing>
        <wp:anchor distT="0" distB="0" distL="0" distR="0" simplePos="0" relativeHeight="251658240" behindDoc="1" locked="0" layoutInCell="1" hidden="0" allowOverlap="1" wp14:anchorId="3BED3BED" wp14:editId="1720B6E9">
          <wp:simplePos x="0" y="0"/>
          <wp:positionH relativeFrom="column">
            <wp:posOffset>-1080105</wp:posOffset>
          </wp:positionH>
          <wp:positionV relativeFrom="paragraph">
            <wp:posOffset>-488280</wp:posOffset>
          </wp:positionV>
          <wp:extent cx="7809865" cy="10165715"/>
          <wp:effectExtent l="0" t="0" r="0" b="0"/>
          <wp:wrapNone/>
          <wp:docPr id="19520824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3E369A" w14:paraId="60577496" w14:textId="77777777">
      <w:tc>
        <w:tcPr>
          <w:tcW w:w="2489" w:type="dxa"/>
          <w:shd w:val="clear" w:color="auto" w:fill="auto"/>
        </w:tcPr>
        <w:p w14:paraId="0E03D3C0" w14:textId="77777777" w:rsidR="003E369A" w:rsidRDefault="00D830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3DF15E3" w14:textId="77777777" w:rsidR="003E369A" w:rsidRDefault="00D8308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01584/INFOEM/IP/RR/2024</w:t>
          </w:r>
        </w:p>
      </w:tc>
    </w:tr>
    <w:tr w:rsidR="003E369A" w14:paraId="5100DB21" w14:textId="77777777">
      <w:trPr>
        <w:trHeight w:val="228"/>
      </w:trPr>
      <w:tc>
        <w:tcPr>
          <w:tcW w:w="2489" w:type="dxa"/>
          <w:shd w:val="clear" w:color="auto" w:fill="auto"/>
          <w:vAlign w:val="center"/>
        </w:tcPr>
        <w:p w14:paraId="16209781" w14:textId="77777777" w:rsidR="003E369A" w:rsidRDefault="00D830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B60F0BF" w14:textId="77777777" w:rsidR="003E369A" w:rsidRDefault="00D8308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Hospital Regional de Alta Especialidad de Zumpango</w:t>
          </w:r>
        </w:p>
      </w:tc>
    </w:tr>
    <w:tr w:rsidR="003E369A" w14:paraId="2502EAAB" w14:textId="77777777">
      <w:tc>
        <w:tcPr>
          <w:tcW w:w="2489" w:type="dxa"/>
          <w:shd w:val="clear" w:color="auto" w:fill="auto"/>
          <w:vAlign w:val="center"/>
        </w:tcPr>
        <w:p w14:paraId="28E351B0" w14:textId="77777777" w:rsidR="003E369A" w:rsidRDefault="00D8308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3C19877" w14:textId="77777777" w:rsidR="003E369A" w:rsidRDefault="00D8308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F16900" w14:textId="77777777" w:rsidR="003E369A" w:rsidRDefault="00D8308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AFA84" w14:textId="77777777" w:rsidR="003E369A" w:rsidRDefault="00D8308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5D15CAE1" wp14:editId="28150975">
          <wp:simplePos x="0" y="0"/>
          <wp:positionH relativeFrom="column">
            <wp:posOffset>-1080131</wp:posOffset>
          </wp:positionH>
          <wp:positionV relativeFrom="paragraph">
            <wp:posOffset>-369908</wp:posOffset>
          </wp:positionV>
          <wp:extent cx="7809865" cy="10165715"/>
          <wp:effectExtent l="0" t="0" r="0" b="0"/>
          <wp:wrapNone/>
          <wp:docPr id="19520824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953" w:type="dxa"/>
      <w:tblInd w:w="3261" w:type="dxa"/>
      <w:tblLayout w:type="fixed"/>
      <w:tblLook w:val="0400" w:firstRow="0" w:lastRow="0" w:firstColumn="0" w:lastColumn="0" w:noHBand="0" w:noVBand="1"/>
    </w:tblPr>
    <w:tblGrid>
      <w:gridCol w:w="2489"/>
      <w:gridCol w:w="3464"/>
    </w:tblGrid>
    <w:tr w:rsidR="003E369A" w14:paraId="33B33259" w14:textId="77777777">
      <w:tc>
        <w:tcPr>
          <w:tcW w:w="2489" w:type="dxa"/>
          <w:shd w:val="clear" w:color="auto" w:fill="auto"/>
        </w:tcPr>
        <w:p w14:paraId="505943C3" w14:textId="77777777" w:rsidR="003E369A" w:rsidRDefault="00D830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B897752" w14:textId="77777777" w:rsidR="003E369A" w:rsidRDefault="00D8308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01584/INFOEM/IP/RR/2024</w:t>
          </w:r>
        </w:p>
      </w:tc>
    </w:tr>
    <w:tr w:rsidR="003E369A" w14:paraId="6821B4E8" w14:textId="77777777">
      <w:tc>
        <w:tcPr>
          <w:tcW w:w="2489" w:type="dxa"/>
          <w:shd w:val="clear" w:color="auto" w:fill="auto"/>
        </w:tcPr>
        <w:p w14:paraId="7C9F4497" w14:textId="77777777" w:rsidR="003E369A" w:rsidRDefault="00D830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051740E8" w14:textId="4F07D72A" w:rsidR="003E369A" w:rsidRDefault="00FC5CE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w:t>
          </w:r>
        </w:p>
      </w:tc>
    </w:tr>
    <w:tr w:rsidR="003E369A" w14:paraId="45F77AC2" w14:textId="77777777">
      <w:trPr>
        <w:trHeight w:val="228"/>
      </w:trPr>
      <w:tc>
        <w:tcPr>
          <w:tcW w:w="2489" w:type="dxa"/>
          <w:shd w:val="clear" w:color="auto" w:fill="auto"/>
          <w:vAlign w:val="center"/>
        </w:tcPr>
        <w:p w14:paraId="7026240F" w14:textId="77777777" w:rsidR="003E369A" w:rsidRDefault="00D830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242565A" w14:textId="77777777" w:rsidR="003E369A" w:rsidRDefault="00D8308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Hospital Regional de Alta Especialidad de Zumpango</w:t>
          </w:r>
        </w:p>
      </w:tc>
    </w:tr>
    <w:tr w:rsidR="003E369A" w14:paraId="0DDFDCD3" w14:textId="77777777">
      <w:tc>
        <w:tcPr>
          <w:tcW w:w="2489" w:type="dxa"/>
          <w:shd w:val="clear" w:color="auto" w:fill="auto"/>
          <w:vAlign w:val="center"/>
        </w:tcPr>
        <w:p w14:paraId="422D49EF" w14:textId="77777777" w:rsidR="003E369A" w:rsidRDefault="00D8308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E7A1E0E" w14:textId="77777777" w:rsidR="003E369A" w:rsidRDefault="00D8308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027470B" w14:textId="77777777" w:rsidR="003E369A" w:rsidRDefault="003E36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C43E6"/>
    <w:multiLevelType w:val="multilevel"/>
    <w:tmpl w:val="1B6C85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40506A"/>
    <w:multiLevelType w:val="multilevel"/>
    <w:tmpl w:val="647E8E6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AA0F53"/>
    <w:multiLevelType w:val="multilevel"/>
    <w:tmpl w:val="2EB66A5A"/>
    <w:lvl w:ilvl="0">
      <w:start w:val="1"/>
      <w:numFmt w:val="lowerRoman"/>
      <w:lvlText w:val="%1)"/>
      <w:lvlJc w:val="left"/>
      <w:pPr>
        <w:ind w:left="19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ED7F10"/>
    <w:multiLevelType w:val="multilevel"/>
    <w:tmpl w:val="C36A4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A67A6F"/>
    <w:multiLevelType w:val="multilevel"/>
    <w:tmpl w:val="A1A246D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73234D1E"/>
    <w:multiLevelType w:val="multilevel"/>
    <w:tmpl w:val="947A895C"/>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A86B6A"/>
    <w:multiLevelType w:val="multilevel"/>
    <w:tmpl w:val="3BFC9910"/>
    <w:lvl w:ilvl="0">
      <w:start w:val="1"/>
      <w:numFmt w:val="decimal"/>
      <w:pStyle w:val="Listaconvietas3"/>
      <w:lvlText w:val="%1)"/>
      <w:lvlJc w:val="left"/>
      <w:pPr>
        <w:ind w:left="720" w:hanging="360"/>
      </w:pPr>
      <w:rPr>
        <w:b/>
      </w:rPr>
    </w:lvl>
    <w:lvl w:ilvl="1">
      <w:numFmt w:val="decimal"/>
      <w:lvlText w:val="o"/>
      <w:lvlJc w:val="left"/>
      <w:pPr>
        <w:ind w:left="1440" w:hanging="360"/>
      </w:pPr>
      <w:rPr>
        <w:rFonts w:ascii="Courier New" w:eastAsia="Courier New" w:hAnsi="Courier New" w:cs="Courier New"/>
      </w:rPr>
    </w:lvl>
    <w:lvl w:ilvl="2">
      <w:numFmt w:val="decimal"/>
      <w:lvlText w:val=""/>
      <w:lvlJc w:val="left"/>
      <w:pPr>
        <w:ind w:left="2160" w:hanging="360"/>
      </w:pPr>
      <w:rPr>
        <w:rFonts w:ascii="Noto Sans Symbols" w:eastAsia="Noto Sans Symbols" w:hAnsi="Noto Sans Symbols" w:cs="Noto Sans Symbols"/>
      </w:rPr>
    </w:lvl>
    <w:lvl w:ilvl="3">
      <w:numFmt w:val="decimal"/>
      <w:lvlText w:val=""/>
      <w:lvlJc w:val="left"/>
      <w:pPr>
        <w:ind w:left="2880" w:hanging="360"/>
      </w:pPr>
      <w:rPr>
        <w:rFonts w:ascii="Noto Sans Symbols" w:eastAsia="Noto Sans Symbols" w:hAnsi="Noto Sans Symbols" w:cs="Noto Sans Symbols"/>
      </w:rPr>
    </w:lvl>
    <w:lvl w:ilvl="4">
      <w:numFmt w:val="decimal"/>
      <w:lvlText w:val="o"/>
      <w:lvlJc w:val="left"/>
      <w:pPr>
        <w:ind w:left="3600" w:hanging="360"/>
      </w:pPr>
      <w:rPr>
        <w:rFonts w:ascii="Courier New" w:eastAsia="Courier New" w:hAnsi="Courier New" w:cs="Courier New"/>
      </w:rPr>
    </w:lvl>
    <w:lvl w:ilvl="5">
      <w:numFmt w:val="decimal"/>
      <w:lvlText w:val=""/>
      <w:lvlJc w:val="left"/>
      <w:pPr>
        <w:ind w:left="4320" w:hanging="360"/>
      </w:pPr>
      <w:rPr>
        <w:rFonts w:ascii="Noto Sans Symbols" w:eastAsia="Noto Sans Symbols" w:hAnsi="Noto Sans Symbols" w:cs="Noto Sans Symbols"/>
      </w:rPr>
    </w:lvl>
    <w:lvl w:ilvl="6">
      <w:numFmt w:val="decimal"/>
      <w:lvlText w:val=""/>
      <w:lvlJc w:val="left"/>
      <w:pPr>
        <w:ind w:left="5040" w:hanging="360"/>
      </w:pPr>
      <w:rPr>
        <w:rFonts w:ascii="Noto Sans Symbols" w:eastAsia="Noto Sans Symbols" w:hAnsi="Noto Sans Symbols" w:cs="Noto Sans Symbols"/>
      </w:rPr>
    </w:lvl>
    <w:lvl w:ilvl="7">
      <w:numFmt w:val="decimal"/>
      <w:lvlText w:val="o"/>
      <w:lvlJc w:val="left"/>
      <w:pPr>
        <w:ind w:left="5760" w:hanging="360"/>
      </w:pPr>
      <w:rPr>
        <w:rFonts w:ascii="Courier New" w:eastAsia="Courier New" w:hAnsi="Courier New" w:cs="Courier New"/>
      </w:rPr>
    </w:lvl>
    <w:lvl w:ilvl="8">
      <w:numFmt w:val="decimal"/>
      <w:lvlText w:val=""/>
      <w:lvlJc w:val="left"/>
      <w:pPr>
        <w:ind w:left="6480" w:hanging="360"/>
      </w:pPr>
      <w:rPr>
        <w:rFonts w:ascii="Noto Sans Symbols" w:eastAsia="Noto Sans Symbols" w:hAnsi="Noto Sans Symbols" w:cs="Noto Sans Symbols"/>
      </w:rPr>
    </w:lvl>
  </w:abstractNum>
  <w:num w:numId="1">
    <w:abstractNumId w:val="1"/>
  </w:num>
  <w:num w:numId="2">
    <w:abstractNumId w:val="6"/>
  </w:num>
  <w:num w:numId="3">
    <w:abstractNumId w:val="2"/>
  </w:num>
  <w:num w:numId="4">
    <w:abstractNumId w:val="3"/>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69A"/>
    <w:rsid w:val="00013240"/>
    <w:rsid w:val="00072E58"/>
    <w:rsid w:val="000F1EFF"/>
    <w:rsid w:val="00137F57"/>
    <w:rsid w:val="002423AB"/>
    <w:rsid w:val="002F711D"/>
    <w:rsid w:val="003E369A"/>
    <w:rsid w:val="004F0B25"/>
    <w:rsid w:val="005B3A9C"/>
    <w:rsid w:val="00691C81"/>
    <w:rsid w:val="007762A4"/>
    <w:rsid w:val="007D24EB"/>
    <w:rsid w:val="00806D06"/>
    <w:rsid w:val="00862B0B"/>
    <w:rsid w:val="00965C67"/>
    <w:rsid w:val="009764B4"/>
    <w:rsid w:val="00981BFA"/>
    <w:rsid w:val="009B7FFE"/>
    <w:rsid w:val="00A539CA"/>
    <w:rsid w:val="00BB5164"/>
    <w:rsid w:val="00CE10BD"/>
    <w:rsid w:val="00D83080"/>
    <w:rsid w:val="00DE61FE"/>
    <w:rsid w:val="00E86FDF"/>
    <w:rsid w:val="00F52B52"/>
    <w:rsid w:val="00FC5CEF"/>
    <w:rsid w:val="00FF71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E75C7"/>
  <w15:docId w15:val="{D4F72365-AB7A-4B3A-A96F-80A2B2DB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171"/>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character" w:customStyle="1" w:styleId="object">
    <w:name w:val="object"/>
    <w:basedOn w:val="Fuentedeprrafopredeter"/>
    <w:rsid w:val="003E1B7B"/>
  </w:style>
  <w:style w:type="character" w:styleId="Textoennegrita">
    <w:name w:val="Strong"/>
    <w:basedOn w:val="Fuentedeprrafopredeter"/>
    <w:uiPriority w:val="22"/>
    <w:qFormat/>
    <w:rsid w:val="003E1B7B"/>
    <w:rPr>
      <w:b/>
      <w:bCs/>
    </w:r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Zuja3ij041KDp/l8cYOh3Kc3JQ==">CgMxLjAyCWguNGQzNG9nODIIaC5namRneHMyCWguM2R5NnZrbTIJaC4zNW5rdW4yMgloLjMwajB6bGwyCWguMnM4ZXlvMTIIaC50eWpjd3QyCWguM3pueXNoNzIJaC4yZXQ5MnAwMgloLjFrc3Y0dXYyCWguMjZpbjFyZzIJaC4xN2RwOHZ1MghoLmxueGJ6OTIJaC4xZm9iOXRlMgloLjNyZGNyam4yCWguMXQzaDVzZjgAciExTlRRNmROclFJQmNGcmwtZmtualVPanZhUktmU3l1b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16511</Words>
  <Characters>90812</Characters>
  <Application>Microsoft Office Word</Application>
  <DocSecurity>0</DocSecurity>
  <Lines>756</Lines>
  <Paragraphs>214</Paragraphs>
  <ScaleCrop>false</ScaleCrop>
  <Company>HP Inc.</Company>
  <LinksUpToDate>false</LinksUpToDate>
  <CharactersWithSpaces>107109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2024-09-13T07:32:00Z</cp:lastPrinted>
  <dcterms:created xsi:type="dcterms:W3CDTF">2024-09-23T19:10:00Z</dcterms:created>
  <dcterms:modified xsi:type="dcterms:W3CDTF">2024-09-23T19:10:00Z</dcterms:modified>
</cp:coreProperties>
</file>