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390C" w:rsidRPr="00D355C3" w:rsidRDefault="00E40C6A">
      <w:pPr>
        <w:spacing w:before="240" w:after="240" w:line="360" w:lineRule="auto"/>
        <w:jc w:val="both"/>
        <w:rPr>
          <w:rFonts w:ascii="Palatino Linotype" w:eastAsia="Palatino Linotype" w:hAnsi="Palatino Linotype" w:cs="Palatino Linotype"/>
        </w:rPr>
      </w:pPr>
      <w:r w:rsidRPr="00D355C3">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treinta y uno de enero de dos mil veinticuatro. </w:t>
      </w:r>
    </w:p>
    <w:p w:rsidR="00BB390C" w:rsidRPr="00D355C3" w:rsidRDefault="00E40C6A">
      <w:pPr>
        <w:spacing w:before="240" w:after="240" w:line="360" w:lineRule="auto"/>
        <w:jc w:val="both"/>
        <w:rPr>
          <w:rFonts w:ascii="Palatino Linotype" w:eastAsia="Palatino Linotype" w:hAnsi="Palatino Linotype" w:cs="Palatino Linotype"/>
        </w:rPr>
      </w:pPr>
      <w:r w:rsidRPr="00D355C3">
        <w:rPr>
          <w:rFonts w:ascii="Palatino Linotype" w:eastAsia="Palatino Linotype" w:hAnsi="Palatino Linotype" w:cs="Palatino Linotype"/>
          <w:b/>
        </w:rPr>
        <w:t>VISTO</w:t>
      </w:r>
      <w:r w:rsidRPr="00D355C3">
        <w:rPr>
          <w:rFonts w:ascii="Palatino Linotype" w:eastAsia="Palatino Linotype" w:hAnsi="Palatino Linotype" w:cs="Palatino Linotype"/>
        </w:rPr>
        <w:t xml:space="preserve"> el expediente formado con motivo del recurso de revisión </w:t>
      </w:r>
      <w:r w:rsidRPr="00D355C3">
        <w:rPr>
          <w:rFonts w:ascii="Palatino Linotype" w:eastAsia="Palatino Linotype" w:hAnsi="Palatino Linotype" w:cs="Palatino Linotype"/>
          <w:b/>
        </w:rPr>
        <w:t>03864/INFOEM/IP/RR/2023</w:t>
      </w:r>
      <w:r w:rsidRPr="00D355C3">
        <w:rPr>
          <w:rFonts w:ascii="Palatino Linotype" w:eastAsia="Palatino Linotype" w:hAnsi="Palatino Linotype" w:cs="Palatino Linotype"/>
        </w:rPr>
        <w:t xml:space="preserve">, interpuesto por </w:t>
      </w:r>
      <w:r w:rsidR="00BC4143">
        <w:rPr>
          <w:rFonts w:ascii="Palatino Linotype" w:eastAsia="Palatino Linotype" w:hAnsi="Palatino Linotype" w:cs="Palatino Linotype"/>
          <w:b/>
        </w:rPr>
        <w:t>XXXXX XXXXXX XXXXXXX</w:t>
      </w:r>
      <w:bookmarkStart w:id="0" w:name="_GoBack"/>
      <w:bookmarkEnd w:id="0"/>
      <w:r w:rsidRPr="00D355C3">
        <w:rPr>
          <w:rFonts w:ascii="Palatino Linotype" w:eastAsia="Palatino Linotype" w:hAnsi="Palatino Linotype" w:cs="Palatino Linotype"/>
          <w:b/>
        </w:rPr>
        <w:t>,</w:t>
      </w:r>
      <w:r w:rsidRPr="00D355C3">
        <w:rPr>
          <w:rFonts w:ascii="Palatino Linotype" w:eastAsia="Palatino Linotype" w:hAnsi="Palatino Linotype" w:cs="Palatino Linotype"/>
        </w:rPr>
        <w:t xml:space="preserve"> en lo sucesivo</w:t>
      </w:r>
      <w:r w:rsidRPr="00D355C3">
        <w:rPr>
          <w:rFonts w:ascii="Palatino Linotype" w:eastAsia="Palatino Linotype" w:hAnsi="Palatino Linotype" w:cs="Palatino Linotype"/>
          <w:b/>
        </w:rPr>
        <w:t xml:space="preserve"> </w:t>
      </w:r>
      <w:r w:rsidRPr="00D355C3">
        <w:rPr>
          <w:rFonts w:ascii="Palatino Linotype" w:eastAsia="Palatino Linotype" w:hAnsi="Palatino Linotype" w:cs="Palatino Linotype"/>
        </w:rPr>
        <w:t xml:space="preserve">la parte </w:t>
      </w:r>
      <w:r w:rsidRPr="00D355C3">
        <w:rPr>
          <w:rFonts w:ascii="Palatino Linotype" w:eastAsia="Palatino Linotype" w:hAnsi="Palatino Linotype" w:cs="Palatino Linotype"/>
          <w:b/>
        </w:rPr>
        <w:t>Recurrente,</w:t>
      </w:r>
      <w:r w:rsidRPr="00D355C3">
        <w:rPr>
          <w:rFonts w:ascii="Palatino Linotype" w:eastAsia="Palatino Linotype" w:hAnsi="Palatino Linotype" w:cs="Palatino Linotype"/>
        </w:rPr>
        <w:t xml:space="preserve"> en contra de la respuesta a su solicitud por parte del </w:t>
      </w:r>
      <w:r w:rsidRPr="00D355C3">
        <w:rPr>
          <w:rFonts w:ascii="Palatino Linotype" w:eastAsia="Palatino Linotype" w:hAnsi="Palatino Linotype" w:cs="Palatino Linotype"/>
          <w:b/>
        </w:rPr>
        <w:t xml:space="preserve">Universidad Mexiquense del Bicentenario, </w:t>
      </w:r>
      <w:r w:rsidRPr="00D355C3">
        <w:rPr>
          <w:rFonts w:ascii="Palatino Linotype" w:eastAsia="Palatino Linotype" w:hAnsi="Palatino Linotype" w:cs="Palatino Linotype"/>
        </w:rPr>
        <w:t xml:space="preserve">en lo sucesivo el </w:t>
      </w:r>
      <w:r w:rsidRPr="00D355C3">
        <w:rPr>
          <w:rFonts w:ascii="Palatino Linotype" w:eastAsia="Palatino Linotype" w:hAnsi="Palatino Linotype" w:cs="Palatino Linotype"/>
          <w:b/>
        </w:rPr>
        <w:t xml:space="preserve">Sujeto Obligado, </w:t>
      </w:r>
      <w:r w:rsidRPr="00D355C3">
        <w:rPr>
          <w:rFonts w:ascii="Palatino Linotype" w:eastAsia="Palatino Linotype" w:hAnsi="Palatino Linotype" w:cs="Palatino Linotype"/>
        </w:rPr>
        <w:t xml:space="preserve">se procede a dictar la presente resolución con base en los siguientes: </w:t>
      </w:r>
    </w:p>
    <w:p w:rsidR="00BB390C" w:rsidRPr="00D355C3" w:rsidRDefault="00E40C6A">
      <w:pPr>
        <w:spacing w:before="240" w:after="240" w:line="360" w:lineRule="auto"/>
        <w:jc w:val="center"/>
        <w:rPr>
          <w:rFonts w:ascii="Palatino Linotype" w:eastAsia="Palatino Linotype" w:hAnsi="Palatino Linotype" w:cs="Palatino Linotype"/>
          <w:b/>
        </w:rPr>
      </w:pPr>
      <w:r w:rsidRPr="00D355C3">
        <w:rPr>
          <w:rFonts w:ascii="Palatino Linotype" w:eastAsia="Palatino Linotype" w:hAnsi="Palatino Linotype" w:cs="Palatino Linotype"/>
          <w:b/>
        </w:rPr>
        <w:t>I. A N T E C E D E N T E S</w:t>
      </w:r>
    </w:p>
    <w:p w:rsidR="00BB390C" w:rsidRPr="00D355C3" w:rsidRDefault="00E40C6A">
      <w:pPr>
        <w:spacing w:before="240" w:after="240" w:line="360" w:lineRule="auto"/>
        <w:jc w:val="both"/>
        <w:rPr>
          <w:rFonts w:ascii="Palatino Linotype" w:eastAsia="Palatino Linotype" w:hAnsi="Palatino Linotype" w:cs="Palatino Linotype"/>
        </w:rPr>
      </w:pPr>
      <w:r w:rsidRPr="00D355C3">
        <w:rPr>
          <w:rFonts w:ascii="Palatino Linotype" w:eastAsia="Palatino Linotype" w:hAnsi="Palatino Linotype" w:cs="Palatino Linotype"/>
          <w:b/>
        </w:rPr>
        <w:t>1. Solicitud de acceso a la información.</w:t>
      </w:r>
      <w:r w:rsidRPr="00D355C3">
        <w:rPr>
          <w:rFonts w:ascii="Palatino Linotype" w:eastAsia="Palatino Linotype" w:hAnsi="Palatino Linotype" w:cs="Palatino Linotype"/>
        </w:rPr>
        <w:t xml:space="preserve"> Con fecha </w:t>
      </w:r>
      <w:r w:rsidRPr="00D355C3">
        <w:rPr>
          <w:rFonts w:ascii="Palatino Linotype" w:eastAsia="Palatino Linotype" w:hAnsi="Palatino Linotype" w:cs="Palatino Linotype"/>
          <w:b/>
        </w:rPr>
        <w:t>doce de junio de dos mil veintitrés,</w:t>
      </w:r>
      <w:r w:rsidRPr="00D355C3">
        <w:rPr>
          <w:rFonts w:ascii="Palatino Linotype" w:eastAsia="Palatino Linotype" w:hAnsi="Palatino Linotype" w:cs="Palatino Linotype"/>
        </w:rPr>
        <w:t xml:space="preserve"> la parte </w:t>
      </w:r>
      <w:r w:rsidRPr="00D355C3">
        <w:rPr>
          <w:rFonts w:ascii="Palatino Linotype" w:eastAsia="Palatino Linotype" w:hAnsi="Palatino Linotype" w:cs="Palatino Linotype"/>
          <w:b/>
        </w:rPr>
        <w:t xml:space="preserve">Recurrente </w:t>
      </w:r>
      <w:r w:rsidRPr="00D355C3">
        <w:rPr>
          <w:rFonts w:ascii="Palatino Linotype" w:eastAsia="Palatino Linotype" w:hAnsi="Palatino Linotype" w:cs="Palatino Linotype"/>
        </w:rPr>
        <w:t xml:space="preserve">presentó, a través del Sistema de Acceso a la Información Mexiquense, en lo subsecuente el </w:t>
      </w:r>
      <w:r w:rsidRPr="00D355C3">
        <w:rPr>
          <w:rFonts w:ascii="Palatino Linotype" w:eastAsia="Palatino Linotype" w:hAnsi="Palatino Linotype" w:cs="Palatino Linotype"/>
          <w:b/>
        </w:rPr>
        <w:t>SAIMEX,</w:t>
      </w:r>
      <w:r w:rsidRPr="00D355C3">
        <w:rPr>
          <w:rFonts w:ascii="Palatino Linotype" w:eastAsia="Palatino Linotype" w:hAnsi="Palatino Linotype" w:cs="Palatino Linotype"/>
        </w:rPr>
        <w:t xml:space="preserve"> ante el </w:t>
      </w:r>
      <w:r w:rsidRPr="00D355C3">
        <w:rPr>
          <w:rFonts w:ascii="Palatino Linotype" w:eastAsia="Palatino Linotype" w:hAnsi="Palatino Linotype" w:cs="Palatino Linotype"/>
          <w:b/>
        </w:rPr>
        <w:t>Sujeto Obligado</w:t>
      </w:r>
      <w:r w:rsidRPr="00D355C3">
        <w:rPr>
          <w:rFonts w:ascii="Palatino Linotype" w:eastAsia="Palatino Linotype" w:hAnsi="Palatino Linotype" w:cs="Palatino Linotype"/>
        </w:rPr>
        <w:t>, la solicitud de acceso a la información pública, a la que se le asignó el número</w:t>
      </w:r>
      <w:r w:rsidRPr="00D355C3">
        <w:rPr>
          <w:rFonts w:ascii="Palatino Linotype" w:eastAsia="Palatino Linotype" w:hAnsi="Palatino Linotype" w:cs="Palatino Linotype"/>
          <w:b/>
        </w:rPr>
        <w:t xml:space="preserve"> 00022/UMB/IP/2023, </w:t>
      </w:r>
      <w:r w:rsidRPr="00D355C3">
        <w:rPr>
          <w:rFonts w:ascii="Palatino Linotype" w:eastAsia="Palatino Linotype" w:hAnsi="Palatino Linotype" w:cs="Palatino Linotype"/>
        </w:rPr>
        <w:t xml:space="preserve">mediante la cual requirió la información siguiente: </w:t>
      </w:r>
    </w:p>
    <w:p w:rsidR="00BB390C" w:rsidRPr="00D355C3" w:rsidRDefault="00E40C6A">
      <w:pPr>
        <w:spacing w:before="240" w:after="240"/>
        <w:ind w:left="851" w:right="902"/>
        <w:jc w:val="both"/>
        <w:rPr>
          <w:rFonts w:ascii="Palatino Linotype" w:eastAsia="Palatino Linotype" w:hAnsi="Palatino Linotype" w:cs="Palatino Linotype"/>
          <w:b/>
          <w:i/>
          <w:sz w:val="22"/>
          <w:szCs w:val="22"/>
        </w:rPr>
      </w:pPr>
      <w:bookmarkStart w:id="1" w:name="_heading=h.gjdgxs" w:colFirst="0" w:colLast="0"/>
      <w:bookmarkEnd w:id="1"/>
      <w:r w:rsidRPr="00D355C3">
        <w:rPr>
          <w:rFonts w:ascii="Palatino Linotype" w:eastAsia="Palatino Linotype" w:hAnsi="Palatino Linotype" w:cs="Palatino Linotype"/>
          <w:i/>
          <w:sz w:val="22"/>
          <w:szCs w:val="22"/>
        </w:rPr>
        <w:t xml:space="preserve">“UNIVERSIDAD MEXIQUENSE DEL BICENTENARIO P R E S E N T E Enviando un respetuoso saludo, atendiendo a mi derecho humano de acceso a la información, consagrado en el </w:t>
      </w:r>
      <w:proofErr w:type="spellStart"/>
      <w:r w:rsidRPr="00D355C3">
        <w:rPr>
          <w:rFonts w:ascii="Palatino Linotype" w:eastAsia="Palatino Linotype" w:hAnsi="Palatino Linotype" w:cs="Palatino Linotype"/>
          <w:i/>
          <w:sz w:val="22"/>
          <w:szCs w:val="22"/>
        </w:rPr>
        <w:t>articulo</w:t>
      </w:r>
      <w:proofErr w:type="spellEnd"/>
      <w:r w:rsidRPr="00D355C3">
        <w:rPr>
          <w:rFonts w:ascii="Palatino Linotype" w:eastAsia="Palatino Linotype" w:hAnsi="Palatino Linotype" w:cs="Palatino Linotype"/>
          <w:i/>
          <w:sz w:val="22"/>
          <w:szCs w:val="22"/>
        </w:rPr>
        <w:t xml:space="preserve"> 6 de la Constitución Política de los Estados Unidos Mexicanos, así como el 8 Constitucional y legislación del Estado de México, solicito atentamente lo siguiente: 1. Del periodo que comprende del 01 de enero de 2023 al 31 de mayo de 2023 ¿cuántos servidores públicos con plaza operativa han causado ALTA en la nómina de la Universidad Mexiquense del Bicentenario? 2. Del periodo que comprende del 01 de enero de 2023 al 31 de mayo de 2023 ¿cuántos servidores públicos con plaza operativa han causado BAJA DEFINITIVA en la nómina de la Universidad Mexiquense del </w:t>
      </w:r>
      <w:r w:rsidRPr="00D355C3">
        <w:rPr>
          <w:rFonts w:ascii="Palatino Linotype" w:eastAsia="Palatino Linotype" w:hAnsi="Palatino Linotype" w:cs="Palatino Linotype"/>
          <w:i/>
          <w:sz w:val="22"/>
          <w:szCs w:val="22"/>
        </w:rPr>
        <w:lastRenderedPageBreak/>
        <w:t xml:space="preserve">Bicentenario? 3. Del periodo que comprende del 01 de enero de 2023 al 31 de mayo de 2023 ¿cuántos servidores públicos de mando medio, es decir de Jefe de Departamento a Director de área, han renunciado a su puesto? 4. Diga el nombre y área de adscripción de los servidores públicos con categoría de mando medio que renunciaron a su puesto del 01 de enero de 2023 al 31 de mayo de 2023. 5. De los servidores públicos de mando medio que renunciaron a su puesto del 01 de enero de 2023 al 31 de mayo de 2023, quienes causaron BAJA DEFINITIVA de la Universidad Mexiquense del Bicentenario. 6. De los servidores públicos de mando medio que renunciaron a su puesto del 01 de enero de 2023 al 31 de mayo de 2023, quienes cambiaron a una plaza operativa. 7. Diga el nombre, puesto y adscripción de los servidores públicos de mando medio que cambiaron a una plaza operativa. 8. ¿Cuáles son los requisitos para que un servidor público con Seguro de Ahorro Voluntario que cause baja pueda retirar sus aportaciones de la Aseguradora que tenga contratada la Institución, en este caso la Universidad Mexiquense del Bicentenario? 9. ¿Cuáles son los requisitos para que a un servidor público de mando medio le sea entregado su documento de baja para el retiro total de sus aportaciones del Seguro de Ahorro Voluntario? 10. De los servidores públicos de mando medio que renunciaron a su puesto ¿cuántos han solicitado su documento de baja para el retiro total de sus aportaciones del Seguro de Ahorro Voluntario que se tiene con AP Vida? 11. ¿A </w:t>
      </w:r>
      <w:proofErr w:type="spellStart"/>
      <w:r w:rsidRPr="00D355C3">
        <w:rPr>
          <w:rFonts w:ascii="Palatino Linotype" w:eastAsia="Palatino Linotype" w:hAnsi="Palatino Linotype" w:cs="Palatino Linotype"/>
          <w:i/>
          <w:sz w:val="22"/>
          <w:szCs w:val="22"/>
        </w:rPr>
        <w:t>cuantos</w:t>
      </w:r>
      <w:proofErr w:type="spellEnd"/>
      <w:r w:rsidRPr="00D355C3">
        <w:rPr>
          <w:rFonts w:ascii="Palatino Linotype" w:eastAsia="Palatino Linotype" w:hAnsi="Palatino Linotype" w:cs="Palatino Linotype"/>
          <w:i/>
          <w:sz w:val="22"/>
          <w:szCs w:val="22"/>
        </w:rPr>
        <w:t xml:space="preserve"> servidores públicos de mando medio que renunciaron a su puesto se les ha entregado su documento de baja para el retiro total de sus aportaciones del Seguro de Ahorro Voluntario que se tiene con AP Vida? 12. ¿Cuál es el término legal para la entrega del oficio de baja una vez que el servidor público de mando medio solicita al área correspondiente? 13. ¿Qué área es la encargada de entregar las bajas de los servidores públicos dentro de la Universidad Mexiquense del Bicentenario? 14. ¿Cuál es el nombre del Titular del área encargada de entregar las bajas de los servidores públicos? Agradeciendo la atención, esperando la respuesta a mi solicitud dentro de los términos legales establecidos por la normatividad aplicable, quedo de Usted.</w:t>
      </w:r>
      <w:r w:rsidRPr="00D355C3">
        <w:rPr>
          <w:rFonts w:ascii="Palatino Linotype" w:eastAsia="Palatino Linotype" w:hAnsi="Palatino Linotype" w:cs="Palatino Linotype"/>
          <w:b/>
          <w:i/>
          <w:sz w:val="22"/>
          <w:szCs w:val="22"/>
        </w:rPr>
        <w:t>”</w:t>
      </w:r>
      <w:r w:rsidRPr="00D355C3">
        <w:rPr>
          <w:rFonts w:ascii="Palatino Linotype" w:eastAsia="Palatino Linotype" w:hAnsi="Palatino Linotype" w:cs="Palatino Linotype"/>
          <w:i/>
          <w:sz w:val="22"/>
          <w:szCs w:val="22"/>
        </w:rPr>
        <w:t xml:space="preserve"> (</w:t>
      </w:r>
      <w:proofErr w:type="gramStart"/>
      <w:r w:rsidRPr="00D355C3">
        <w:rPr>
          <w:rFonts w:ascii="Palatino Linotype" w:eastAsia="Palatino Linotype" w:hAnsi="Palatino Linotype" w:cs="Palatino Linotype"/>
          <w:i/>
          <w:sz w:val="22"/>
          <w:szCs w:val="22"/>
        </w:rPr>
        <w:t>sic</w:t>
      </w:r>
      <w:proofErr w:type="gramEnd"/>
      <w:r w:rsidRPr="00D355C3">
        <w:rPr>
          <w:rFonts w:ascii="Palatino Linotype" w:eastAsia="Palatino Linotype" w:hAnsi="Palatino Linotype" w:cs="Palatino Linotype"/>
          <w:i/>
          <w:sz w:val="22"/>
          <w:szCs w:val="22"/>
        </w:rPr>
        <w:t xml:space="preserve">) </w:t>
      </w:r>
    </w:p>
    <w:p w:rsidR="00BB390C" w:rsidRPr="00D355C3" w:rsidRDefault="00E40C6A">
      <w:pPr>
        <w:spacing w:before="240" w:after="240" w:line="360" w:lineRule="auto"/>
        <w:jc w:val="both"/>
        <w:rPr>
          <w:rFonts w:ascii="Palatino Linotype" w:eastAsia="Palatino Linotype" w:hAnsi="Palatino Linotype" w:cs="Palatino Linotype"/>
        </w:rPr>
      </w:pPr>
      <w:r w:rsidRPr="00D355C3">
        <w:rPr>
          <w:rFonts w:ascii="Palatino Linotype" w:eastAsia="Palatino Linotype" w:hAnsi="Palatino Linotype" w:cs="Palatino Linotype"/>
          <w:b/>
        </w:rPr>
        <w:t>Modalidad de Entrega:</w:t>
      </w:r>
      <w:r w:rsidRPr="00D355C3">
        <w:rPr>
          <w:rFonts w:ascii="Palatino Linotype" w:eastAsia="Palatino Linotype" w:hAnsi="Palatino Linotype" w:cs="Palatino Linotype"/>
        </w:rPr>
        <w:t xml:space="preserve"> a través </w:t>
      </w:r>
      <w:r w:rsidRPr="00D355C3">
        <w:rPr>
          <w:rFonts w:ascii="Palatino Linotype" w:eastAsia="Palatino Linotype" w:hAnsi="Palatino Linotype" w:cs="Palatino Linotype"/>
          <w:b/>
        </w:rPr>
        <w:t>de SAIMEX</w:t>
      </w:r>
    </w:p>
    <w:p w:rsidR="00BB390C" w:rsidRPr="00D355C3" w:rsidRDefault="00E40C6A">
      <w:pPr>
        <w:spacing w:before="240" w:after="240" w:line="360" w:lineRule="auto"/>
        <w:jc w:val="both"/>
        <w:rPr>
          <w:rFonts w:ascii="Palatino Linotype" w:eastAsia="Palatino Linotype" w:hAnsi="Palatino Linotype" w:cs="Palatino Linotype"/>
          <w:b/>
        </w:rPr>
      </w:pPr>
      <w:bookmarkStart w:id="2" w:name="_heading=h.3dy6vkm" w:colFirst="0" w:colLast="0"/>
      <w:bookmarkEnd w:id="2"/>
      <w:r w:rsidRPr="00D355C3">
        <w:rPr>
          <w:rFonts w:ascii="Palatino Linotype" w:eastAsia="Palatino Linotype" w:hAnsi="Palatino Linotype" w:cs="Palatino Linotype"/>
          <w:b/>
        </w:rPr>
        <w:t xml:space="preserve">2. Respuesta. </w:t>
      </w:r>
      <w:r w:rsidRPr="00D355C3">
        <w:rPr>
          <w:rFonts w:ascii="Palatino Linotype" w:eastAsia="Palatino Linotype" w:hAnsi="Palatino Linotype" w:cs="Palatino Linotype"/>
        </w:rPr>
        <w:t>Con fecha</w:t>
      </w:r>
      <w:r w:rsidRPr="00D355C3">
        <w:rPr>
          <w:rFonts w:ascii="Palatino Linotype" w:eastAsia="Palatino Linotype" w:hAnsi="Palatino Linotype" w:cs="Palatino Linotype"/>
          <w:b/>
        </w:rPr>
        <w:t xml:space="preserve"> tres de julio de dos mil veintitrés</w:t>
      </w:r>
      <w:r w:rsidRPr="00D355C3">
        <w:rPr>
          <w:rFonts w:ascii="Palatino Linotype" w:eastAsia="Palatino Linotype" w:hAnsi="Palatino Linotype" w:cs="Palatino Linotype"/>
        </w:rPr>
        <w:t xml:space="preserve">, el </w:t>
      </w:r>
      <w:r w:rsidRPr="00D355C3">
        <w:rPr>
          <w:rFonts w:ascii="Palatino Linotype" w:eastAsia="Palatino Linotype" w:hAnsi="Palatino Linotype" w:cs="Palatino Linotype"/>
          <w:b/>
        </w:rPr>
        <w:t xml:space="preserve">Sujeto Obligado </w:t>
      </w:r>
      <w:r w:rsidRPr="00D355C3">
        <w:rPr>
          <w:rFonts w:ascii="Palatino Linotype" w:eastAsia="Palatino Linotype" w:hAnsi="Palatino Linotype" w:cs="Palatino Linotype"/>
        </w:rPr>
        <w:t xml:space="preserve">envió su respuesta a la solicitud de acceso a la información a través de SAIMEX, sustancialmente en los términos siguientes:   </w:t>
      </w:r>
    </w:p>
    <w:p w:rsidR="00BB390C" w:rsidRPr="00D355C3" w:rsidRDefault="00E40C6A">
      <w:pPr>
        <w:spacing w:before="240" w:after="240"/>
        <w:ind w:left="851" w:right="902"/>
        <w:jc w:val="both"/>
        <w:rPr>
          <w:rFonts w:ascii="Palatino Linotype" w:eastAsia="Palatino Linotype" w:hAnsi="Palatino Linotype" w:cs="Palatino Linotype"/>
          <w:b/>
          <w:i/>
          <w:sz w:val="22"/>
          <w:szCs w:val="22"/>
        </w:rPr>
      </w:pPr>
      <w:r w:rsidRPr="00D355C3">
        <w:rPr>
          <w:rFonts w:ascii="Palatino Linotype" w:eastAsia="Palatino Linotype" w:hAnsi="Palatino Linotype" w:cs="Palatino Linotype"/>
          <w:i/>
          <w:sz w:val="22"/>
          <w:szCs w:val="22"/>
        </w:rPr>
        <w:lastRenderedPageBreak/>
        <w:t>“…De conformidad con la Ley de Transparencia y Acceso a la Información Pública del Estado de México y Municipios, adjunto al presente sírvase encontrar el oficio número UMB/210C3001000100S-0666/2023, por medio del cual se da atención a su requerimiento; así como los anexos correspondientes...” (</w:t>
      </w:r>
      <w:proofErr w:type="gramStart"/>
      <w:r w:rsidRPr="00D355C3">
        <w:rPr>
          <w:rFonts w:ascii="Palatino Linotype" w:eastAsia="Palatino Linotype" w:hAnsi="Palatino Linotype" w:cs="Palatino Linotype"/>
          <w:i/>
          <w:sz w:val="22"/>
          <w:szCs w:val="22"/>
        </w:rPr>
        <w:t>sic</w:t>
      </w:r>
      <w:proofErr w:type="gramEnd"/>
      <w:r w:rsidRPr="00D355C3">
        <w:rPr>
          <w:rFonts w:ascii="Palatino Linotype" w:eastAsia="Palatino Linotype" w:hAnsi="Palatino Linotype" w:cs="Palatino Linotype"/>
          <w:i/>
          <w:sz w:val="22"/>
          <w:szCs w:val="22"/>
        </w:rPr>
        <w:t>)</w:t>
      </w:r>
    </w:p>
    <w:p w:rsidR="00BB390C" w:rsidRPr="00D355C3" w:rsidRDefault="00E40C6A">
      <w:pPr>
        <w:spacing w:before="240" w:after="240" w:line="360" w:lineRule="auto"/>
        <w:ind w:right="49"/>
        <w:jc w:val="both"/>
        <w:rPr>
          <w:rFonts w:ascii="Palatino Linotype" w:eastAsia="Palatino Linotype" w:hAnsi="Palatino Linotype" w:cs="Palatino Linotype"/>
        </w:rPr>
      </w:pPr>
      <w:r w:rsidRPr="00D355C3">
        <w:rPr>
          <w:rFonts w:ascii="Palatino Linotype" w:eastAsia="Palatino Linotype" w:hAnsi="Palatino Linotype" w:cs="Palatino Linotype"/>
        </w:rPr>
        <w:t xml:space="preserve">El </w:t>
      </w:r>
      <w:r w:rsidRPr="00D355C3">
        <w:rPr>
          <w:rFonts w:ascii="Palatino Linotype" w:eastAsia="Palatino Linotype" w:hAnsi="Palatino Linotype" w:cs="Palatino Linotype"/>
          <w:b/>
        </w:rPr>
        <w:t xml:space="preserve">Sujeto Obligado </w:t>
      </w:r>
      <w:r w:rsidRPr="00D355C3">
        <w:rPr>
          <w:rFonts w:ascii="Palatino Linotype" w:eastAsia="Palatino Linotype" w:hAnsi="Palatino Linotype" w:cs="Palatino Linotype"/>
        </w:rPr>
        <w:t>adjuntó lo siguiente:</w:t>
      </w:r>
    </w:p>
    <w:p w:rsidR="00BB390C" w:rsidRPr="00D355C3" w:rsidRDefault="00E40C6A">
      <w:pPr>
        <w:spacing w:before="240" w:after="240" w:line="360" w:lineRule="auto"/>
        <w:ind w:left="284" w:right="49"/>
        <w:jc w:val="both"/>
        <w:rPr>
          <w:rFonts w:ascii="Palatino Linotype" w:eastAsia="Palatino Linotype" w:hAnsi="Palatino Linotype" w:cs="Palatino Linotype"/>
        </w:rPr>
      </w:pPr>
      <w:r w:rsidRPr="00D355C3">
        <w:rPr>
          <w:rFonts w:ascii="Palatino Linotype" w:eastAsia="Palatino Linotype" w:hAnsi="Palatino Linotype" w:cs="Palatino Linotype"/>
        </w:rPr>
        <w:t xml:space="preserve">- Oficio número UMB/210C3001000100S-0666/2023, de fecha treinta de junio de dos mil veintitrés, signado por el Titular de la Unidad de Transparencia, mediante el cual notifica la respuesta proporcionada por el Departamento de Recursos Humanos,  asimismo, en relación al numeral 4 de la solicitud, refiere que el Directorio de la Universidad puede ser consultado en la plataforma IPOMEX del </w:t>
      </w:r>
      <w:r w:rsidRPr="00D355C3">
        <w:rPr>
          <w:rFonts w:ascii="Palatino Linotype" w:eastAsia="Palatino Linotype" w:hAnsi="Palatino Linotype" w:cs="Palatino Linotype"/>
          <w:b/>
        </w:rPr>
        <w:t xml:space="preserve">Sujeto Obligado, </w:t>
      </w:r>
      <w:r w:rsidRPr="00D355C3">
        <w:rPr>
          <w:rFonts w:ascii="Palatino Linotype" w:eastAsia="Palatino Linotype" w:hAnsi="Palatino Linotype" w:cs="Palatino Linotype"/>
        </w:rPr>
        <w:t>proporcionando la liga electrónica para tal efecto, y, respecto de los numerales 5, 6 y 7, refiere que cuando un servidor público renuncia, es una baja definitiva, en virtud de que la renuncia es la separación de la relación laboral, es decir, termina el acuerdo laboral que se tenía con la parte empleadora, por ende, no tiene congruencia una renuncia o recisión laboral, con un cambio de adscripción, o cambio de plaza.</w:t>
      </w:r>
    </w:p>
    <w:p w:rsidR="00BB390C" w:rsidRPr="00D355C3" w:rsidRDefault="00E40C6A">
      <w:pPr>
        <w:spacing w:before="240" w:after="240" w:line="360" w:lineRule="auto"/>
        <w:ind w:left="284" w:right="49"/>
        <w:jc w:val="both"/>
        <w:rPr>
          <w:rFonts w:ascii="Palatino Linotype" w:eastAsia="Palatino Linotype" w:hAnsi="Palatino Linotype" w:cs="Palatino Linotype"/>
        </w:rPr>
      </w:pPr>
      <w:r w:rsidRPr="00D355C3">
        <w:rPr>
          <w:rFonts w:ascii="Palatino Linotype" w:eastAsia="Palatino Linotype" w:hAnsi="Palatino Linotype" w:cs="Palatino Linotype"/>
        </w:rPr>
        <w:t>- Oficio número UMB/210C3001040101L/423-BIS/2023, de fecha veintisiete de junio de dos mil veintitrés, signado por la Jefa del Departamento de Recursos Humanos, mediante el cual da atención a la solicitud de información en los siguientes términos:</w:t>
      </w:r>
    </w:p>
    <w:p w:rsidR="00BB390C" w:rsidRPr="00D355C3" w:rsidRDefault="00E40C6A">
      <w:pPr>
        <w:spacing w:before="240" w:after="240" w:line="360" w:lineRule="auto"/>
        <w:ind w:left="284" w:right="49"/>
        <w:jc w:val="center"/>
        <w:rPr>
          <w:rFonts w:ascii="Palatino Linotype" w:eastAsia="Palatino Linotype" w:hAnsi="Palatino Linotype" w:cs="Palatino Linotype"/>
        </w:rPr>
      </w:pPr>
      <w:r w:rsidRPr="00D355C3">
        <w:rPr>
          <w:noProof/>
        </w:rPr>
        <w:lastRenderedPageBreak/>
        <w:drawing>
          <wp:inline distT="0" distB="0" distL="0" distR="0">
            <wp:extent cx="4860000" cy="1310407"/>
            <wp:effectExtent l="0" t="0" r="0" b="0"/>
            <wp:docPr id="201975760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4860000" cy="1310407"/>
                    </a:xfrm>
                    <a:prstGeom prst="rect">
                      <a:avLst/>
                    </a:prstGeom>
                    <a:ln/>
                  </pic:spPr>
                </pic:pic>
              </a:graphicData>
            </a:graphic>
          </wp:inline>
        </w:drawing>
      </w:r>
    </w:p>
    <w:p w:rsidR="00BB390C" w:rsidRPr="00D355C3" w:rsidRDefault="00E40C6A">
      <w:pPr>
        <w:spacing w:before="240" w:after="240" w:line="360" w:lineRule="auto"/>
        <w:ind w:left="284" w:right="49"/>
        <w:jc w:val="center"/>
        <w:rPr>
          <w:rFonts w:ascii="Palatino Linotype" w:eastAsia="Palatino Linotype" w:hAnsi="Palatino Linotype" w:cs="Palatino Linotype"/>
        </w:rPr>
      </w:pPr>
      <w:r w:rsidRPr="00D355C3">
        <w:rPr>
          <w:noProof/>
        </w:rPr>
        <w:drawing>
          <wp:inline distT="0" distB="0" distL="0" distR="0">
            <wp:extent cx="4860000" cy="4759448"/>
            <wp:effectExtent l="0" t="0" r="0" b="0"/>
            <wp:docPr id="201975760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a:stretch>
                      <a:fillRect/>
                    </a:stretch>
                  </pic:blipFill>
                  <pic:spPr>
                    <a:xfrm>
                      <a:off x="0" y="0"/>
                      <a:ext cx="4860000" cy="4759448"/>
                    </a:xfrm>
                    <a:prstGeom prst="rect">
                      <a:avLst/>
                    </a:prstGeom>
                    <a:ln/>
                  </pic:spPr>
                </pic:pic>
              </a:graphicData>
            </a:graphic>
          </wp:inline>
        </w:drawing>
      </w:r>
    </w:p>
    <w:p w:rsidR="00BB390C" w:rsidRPr="00D355C3" w:rsidRDefault="00E40C6A">
      <w:pPr>
        <w:spacing w:before="240" w:after="240" w:line="360" w:lineRule="auto"/>
        <w:ind w:left="284" w:right="49"/>
        <w:jc w:val="both"/>
        <w:rPr>
          <w:rFonts w:ascii="Palatino Linotype" w:eastAsia="Palatino Linotype" w:hAnsi="Palatino Linotype" w:cs="Palatino Linotype"/>
        </w:rPr>
      </w:pPr>
      <w:r w:rsidRPr="00D355C3">
        <w:rPr>
          <w:rFonts w:ascii="Palatino Linotype" w:eastAsia="Palatino Linotype" w:hAnsi="Palatino Linotype" w:cs="Palatino Linotype"/>
        </w:rPr>
        <w:t xml:space="preserve">Asimismo, hace del conocimiento de la persona solicitante la dirección electrónica </w:t>
      </w:r>
      <w:hyperlink r:id="rId10">
        <w:r w:rsidRPr="00D355C3">
          <w:rPr>
            <w:rFonts w:ascii="Palatino Linotype" w:eastAsia="Palatino Linotype" w:hAnsi="Palatino Linotype" w:cs="Palatino Linotype"/>
            <w:u w:val="single"/>
          </w:rPr>
          <w:t>https://umb.edomex.gob.mx/marco_juridico</w:t>
        </w:r>
      </w:hyperlink>
      <w:r w:rsidRPr="00D355C3">
        <w:rPr>
          <w:rFonts w:ascii="Palatino Linotype" w:eastAsia="Palatino Linotype" w:hAnsi="Palatino Linotype" w:cs="Palatino Linotype"/>
        </w:rPr>
        <w:t xml:space="preserve"> de la página oficial del </w:t>
      </w:r>
      <w:r w:rsidRPr="00D355C3">
        <w:rPr>
          <w:rFonts w:ascii="Palatino Linotype" w:eastAsia="Palatino Linotype" w:hAnsi="Palatino Linotype" w:cs="Palatino Linotype"/>
          <w:b/>
        </w:rPr>
        <w:t xml:space="preserve">Sujeto Obligado, </w:t>
      </w:r>
      <w:r w:rsidRPr="00D355C3">
        <w:rPr>
          <w:rFonts w:ascii="Palatino Linotype" w:eastAsia="Palatino Linotype" w:hAnsi="Palatino Linotype" w:cs="Palatino Linotype"/>
        </w:rPr>
        <w:t xml:space="preserve">donde se encuentra la normatividad aplicable al mismo. </w:t>
      </w:r>
    </w:p>
    <w:p w:rsidR="00BB390C" w:rsidRPr="00D355C3" w:rsidRDefault="00E40C6A">
      <w:pPr>
        <w:spacing w:before="240" w:after="240" w:line="360" w:lineRule="auto"/>
        <w:ind w:right="49"/>
        <w:jc w:val="both"/>
        <w:rPr>
          <w:rFonts w:ascii="Palatino Linotype" w:eastAsia="Palatino Linotype" w:hAnsi="Palatino Linotype" w:cs="Palatino Linotype"/>
          <w:b/>
        </w:rPr>
      </w:pPr>
      <w:r w:rsidRPr="00D355C3">
        <w:rPr>
          <w:rFonts w:ascii="Palatino Linotype" w:eastAsia="Palatino Linotype" w:hAnsi="Palatino Linotype" w:cs="Palatino Linotype"/>
          <w:b/>
        </w:rPr>
        <w:lastRenderedPageBreak/>
        <w:t xml:space="preserve">3. Interposición del recurso de revisión. </w:t>
      </w:r>
      <w:r w:rsidRPr="00D355C3">
        <w:rPr>
          <w:rFonts w:ascii="Palatino Linotype" w:eastAsia="Palatino Linotype" w:hAnsi="Palatino Linotype" w:cs="Palatino Linotype"/>
        </w:rPr>
        <w:t xml:space="preserve">Inconforme con los términos de la respuesta emitida por parte del </w:t>
      </w:r>
      <w:r w:rsidRPr="00D355C3">
        <w:rPr>
          <w:rFonts w:ascii="Palatino Linotype" w:eastAsia="Palatino Linotype" w:hAnsi="Palatino Linotype" w:cs="Palatino Linotype"/>
          <w:b/>
        </w:rPr>
        <w:t>Sujeto Obligado</w:t>
      </w:r>
      <w:r w:rsidRPr="00D355C3">
        <w:rPr>
          <w:rFonts w:ascii="Palatino Linotype" w:eastAsia="Palatino Linotype" w:hAnsi="Palatino Linotype" w:cs="Palatino Linotype"/>
        </w:rPr>
        <w:t xml:space="preserve">, el </w:t>
      </w:r>
      <w:r w:rsidRPr="00D355C3">
        <w:rPr>
          <w:rFonts w:ascii="Palatino Linotype" w:eastAsia="Palatino Linotype" w:hAnsi="Palatino Linotype" w:cs="Palatino Linotype"/>
          <w:b/>
        </w:rPr>
        <w:t>tres de julio de dos mil veintitrés,</w:t>
      </w:r>
      <w:r w:rsidRPr="00D355C3">
        <w:rPr>
          <w:rFonts w:ascii="Palatino Linotype" w:eastAsia="Palatino Linotype" w:hAnsi="Palatino Linotype" w:cs="Palatino Linotype"/>
        </w:rPr>
        <w:t xml:space="preserve"> la parte </w:t>
      </w:r>
      <w:r w:rsidRPr="00D355C3">
        <w:rPr>
          <w:rFonts w:ascii="Palatino Linotype" w:eastAsia="Palatino Linotype" w:hAnsi="Palatino Linotype" w:cs="Palatino Linotype"/>
          <w:b/>
        </w:rPr>
        <w:t>Recurrente</w:t>
      </w:r>
      <w:r w:rsidRPr="00D355C3">
        <w:rPr>
          <w:rFonts w:ascii="Palatino Linotype" w:eastAsia="Palatino Linotype" w:hAnsi="Palatino Linotype" w:cs="Palatino Linotype"/>
        </w:rPr>
        <w:t xml:space="preserve"> interpuso el recurso de revisión a través de </w:t>
      </w:r>
      <w:r w:rsidRPr="00D355C3">
        <w:rPr>
          <w:rFonts w:ascii="Palatino Linotype" w:eastAsia="Palatino Linotype" w:hAnsi="Palatino Linotype" w:cs="Palatino Linotype"/>
          <w:b/>
        </w:rPr>
        <w:t xml:space="preserve">SAIMEX, </w:t>
      </w:r>
      <w:r w:rsidRPr="00D355C3">
        <w:rPr>
          <w:rFonts w:ascii="Palatino Linotype" w:eastAsia="Palatino Linotype" w:hAnsi="Palatino Linotype" w:cs="Palatino Linotype"/>
        </w:rPr>
        <w:t>en donde se manifestó de la siguiente manera:</w:t>
      </w:r>
    </w:p>
    <w:p w:rsidR="00BB390C" w:rsidRPr="00D355C3" w:rsidRDefault="00E40C6A">
      <w:pPr>
        <w:tabs>
          <w:tab w:val="left" w:pos="2745"/>
        </w:tabs>
        <w:spacing w:before="240" w:after="240" w:line="360" w:lineRule="auto"/>
        <w:jc w:val="both"/>
        <w:rPr>
          <w:rFonts w:ascii="Palatino Linotype" w:eastAsia="Palatino Linotype" w:hAnsi="Palatino Linotype" w:cs="Palatino Linotype"/>
          <w:b/>
        </w:rPr>
      </w:pPr>
      <w:r w:rsidRPr="00D355C3">
        <w:rPr>
          <w:rFonts w:ascii="Palatino Linotype" w:eastAsia="Palatino Linotype" w:hAnsi="Palatino Linotype" w:cs="Palatino Linotype"/>
          <w:b/>
        </w:rPr>
        <w:t xml:space="preserve">Acto impugnado: </w:t>
      </w:r>
    </w:p>
    <w:p w:rsidR="00BB390C" w:rsidRPr="00D355C3" w:rsidRDefault="00E40C6A">
      <w:pPr>
        <w:tabs>
          <w:tab w:val="left" w:pos="2745"/>
        </w:tabs>
        <w:spacing w:before="240" w:after="240"/>
        <w:ind w:left="851" w:right="900"/>
        <w:jc w:val="both"/>
        <w:rPr>
          <w:rFonts w:ascii="Palatino Linotype" w:eastAsia="Palatino Linotype" w:hAnsi="Palatino Linotype" w:cs="Palatino Linotype"/>
          <w:i/>
          <w:sz w:val="22"/>
          <w:szCs w:val="22"/>
        </w:rPr>
      </w:pPr>
      <w:r w:rsidRPr="00D355C3">
        <w:rPr>
          <w:rFonts w:ascii="Palatino Linotype" w:eastAsia="Palatino Linotype" w:hAnsi="Palatino Linotype" w:cs="Palatino Linotype"/>
          <w:i/>
          <w:sz w:val="22"/>
          <w:szCs w:val="22"/>
        </w:rPr>
        <w:t>“La contestación INCOMPLETA a mi solicitud de información 00022/UMB/IP/2023 de fecha 12 de junio de 2023, por parte del Titular de la Abogacía General e Igualdad de Género y Titular de la Unidad de Transparencia mediante oficio UMB/210C3001000100S-0666/2023 de fecha 30 de junio de 2023 y por consecuencia de la Titular del Departamento de Recursos Humanos mediante oficio UMB/210C3001040101L/423-BIS/2024 de fecha 27 de junio de 2023.” (</w:t>
      </w:r>
      <w:proofErr w:type="gramStart"/>
      <w:r w:rsidRPr="00D355C3">
        <w:rPr>
          <w:rFonts w:ascii="Palatino Linotype" w:eastAsia="Palatino Linotype" w:hAnsi="Palatino Linotype" w:cs="Palatino Linotype"/>
          <w:i/>
          <w:sz w:val="22"/>
          <w:szCs w:val="22"/>
        </w:rPr>
        <w:t>sic</w:t>
      </w:r>
      <w:proofErr w:type="gramEnd"/>
      <w:r w:rsidRPr="00D355C3">
        <w:rPr>
          <w:rFonts w:ascii="Palatino Linotype" w:eastAsia="Palatino Linotype" w:hAnsi="Palatino Linotype" w:cs="Palatino Linotype"/>
          <w:i/>
          <w:sz w:val="22"/>
          <w:szCs w:val="22"/>
        </w:rPr>
        <w:t>)</w:t>
      </w:r>
    </w:p>
    <w:p w:rsidR="00BB390C" w:rsidRPr="00D355C3" w:rsidRDefault="00E40C6A">
      <w:pPr>
        <w:spacing w:line="360" w:lineRule="auto"/>
        <w:jc w:val="both"/>
        <w:rPr>
          <w:rFonts w:ascii="Palatino Linotype" w:eastAsia="Palatino Linotype" w:hAnsi="Palatino Linotype" w:cs="Palatino Linotype"/>
        </w:rPr>
      </w:pPr>
      <w:bookmarkStart w:id="3" w:name="_heading=h.30j0zll" w:colFirst="0" w:colLast="0"/>
      <w:bookmarkEnd w:id="3"/>
      <w:r w:rsidRPr="00D355C3">
        <w:rPr>
          <w:rFonts w:ascii="Palatino Linotype" w:eastAsia="Palatino Linotype" w:hAnsi="Palatino Linotype" w:cs="Palatino Linotype"/>
          <w:b/>
        </w:rPr>
        <w:t>Y Razones o motivos de inconformidad</w:t>
      </w:r>
      <w:r w:rsidRPr="00D355C3">
        <w:rPr>
          <w:rFonts w:ascii="Palatino Linotype" w:eastAsia="Palatino Linotype" w:hAnsi="Palatino Linotype" w:cs="Palatino Linotype"/>
        </w:rPr>
        <w:t xml:space="preserve">: </w:t>
      </w:r>
    </w:p>
    <w:p w:rsidR="00BB390C" w:rsidRPr="00D355C3" w:rsidRDefault="00E40C6A">
      <w:pPr>
        <w:tabs>
          <w:tab w:val="left" w:pos="2745"/>
        </w:tabs>
        <w:spacing w:before="240" w:after="240"/>
        <w:ind w:left="851" w:right="900"/>
        <w:jc w:val="both"/>
        <w:rPr>
          <w:rFonts w:ascii="Palatino Linotype" w:eastAsia="Palatino Linotype" w:hAnsi="Palatino Linotype" w:cs="Palatino Linotype"/>
          <w:i/>
          <w:sz w:val="22"/>
          <w:szCs w:val="22"/>
        </w:rPr>
      </w:pPr>
      <w:bookmarkStart w:id="4" w:name="_heading=h.2et92p0" w:colFirst="0" w:colLast="0"/>
      <w:bookmarkEnd w:id="4"/>
      <w:r w:rsidRPr="00D355C3">
        <w:rPr>
          <w:rFonts w:ascii="Palatino Linotype" w:eastAsia="Palatino Linotype" w:hAnsi="Palatino Linotype" w:cs="Palatino Linotype"/>
          <w:i/>
          <w:sz w:val="22"/>
          <w:szCs w:val="22"/>
        </w:rPr>
        <w:t xml:space="preserve">“Mediante plataforma SAIMEX (solicitud de información 00022/UMB/IP/2023 de fecha 12 de junio de 2023), requerí información a la Universidad Mexiquense del Bicentenario (Sujeto obligado), misma que fue contestada con argucias legaloides, para lo cual me permito exponer lo siguiente: </w:t>
      </w:r>
      <w:r w:rsidRPr="00D355C3">
        <w:rPr>
          <w:rFonts w:ascii="Palatino Linotype" w:eastAsia="Palatino Linotype" w:hAnsi="Palatino Linotype" w:cs="Palatino Linotype"/>
          <w:b/>
          <w:i/>
          <w:sz w:val="22"/>
          <w:szCs w:val="22"/>
        </w:rPr>
        <w:t>Por cuanto hace al oficio UMB/210C3001040101L/423-BIS/2024</w:t>
      </w:r>
      <w:r w:rsidRPr="00D355C3">
        <w:rPr>
          <w:rFonts w:ascii="Palatino Linotype" w:eastAsia="Palatino Linotype" w:hAnsi="Palatino Linotype" w:cs="Palatino Linotype"/>
          <w:i/>
          <w:sz w:val="22"/>
          <w:szCs w:val="22"/>
        </w:rPr>
        <w:t xml:space="preserve"> de fecha 27 de junio de 2023, firmado por </w:t>
      </w:r>
      <w:r w:rsidRPr="00D355C3">
        <w:rPr>
          <w:rFonts w:ascii="Palatino Linotype" w:eastAsia="Palatino Linotype" w:hAnsi="Palatino Linotype" w:cs="Palatino Linotype"/>
          <w:b/>
          <w:i/>
          <w:sz w:val="22"/>
          <w:szCs w:val="22"/>
        </w:rPr>
        <w:t>la Titular del Departamento de Recursos Humanos</w:t>
      </w:r>
      <w:r w:rsidRPr="00D355C3">
        <w:rPr>
          <w:rFonts w:ascii="Palatino Linotype" w:eastAsia="Palatino Linotype" w:hAnsi="Palatino Linotype" w:cs="Palatino Linotype"/>
          <w:i/>
          <w:sz w:val="22"/>
          <w:szCs w:val="22"/>
        </w:rPr>
        <w:t xml:space="preserve">: La Titular del Departamento de Recursos Humanos a través de argucias legaloides responde de manera parcial y </w:t>
      </w:r>
      <w:r w:rsidRPr="00D355C3">
        <w:rPr>
          <w:rFonts w:ascii="Palatino Linotype" w:eastAsia="Palatino Linotype" w:hAnsi="Palatino Linotype" w:cs="Palatino Linotype"/>
          <w:b/>
          <w:i/>
          <w:sz w:val="22"/>
          <w:szCs w:val="22"/>
        </w:rPr>
        <w:t>omite dar respuestas concretas</w:t>
      </w:r>
      <w:r w:rsidRPr="00D355C3">
        <w:rPr>
          <w:rFonts w:ascii="Palatino Linotype" w:eastAsia="Palatino Linotype" w:hAnsi="Palatino Linotype" w:cs="Palatino Linotype"/>
          <w:i/>
          <w:sz w:val="22"/>
          <w:szCs w:val="22"/>
        </w:rPr>
        <w:t xml:space="preserve">, es decir no responde conforme a lo solicitado, para lo cual me permito exponer lo siguiente: En la </w:t>
      </w:r>
      <w:r w:rsidRPr="00D355C3">
        <w:rPr>
          <w:rFonts w:ascii="Palatino Linotype" w:eastAsia="Palatino Linotype" w:hAnsi="Palatino Linotype" w:cs="Palatino Linotype"/>
          <w:b/>
          <w:i/>
          <w:sz w:val="22"/>
          <w:szCs w:val="22"/>
          <w:u w:val="single"/>
        </w:rPr>
        <w:t>petición 4</w:t>
      </w:r>
      <w:r w:rsidRPr="00D355C3">
        <w:rPr>
          <w:rFonts w:ascii="Palatino Linotype" w:eastAsia="Palatino Linotype" w:hAnsi="Palatino Linotype" w:cs="Palatino Linotype"/>
          <w:i/>
          <w:sz w:val="22"/>
          <w:szCs w:val="22"/>
        </w:rPr>
        <w:t xml:space="preserve"> misma que dice “4. Diga el nombre y área de adscripción de los servidores públicos con categoría de mando medio que renunciaron a su puesto del 01 de enero de 2023 al 31 de mayo de 2023”, la Titular del Departamento de Recursos Humanos </w:t>
      </w:r>
      <w:r w:rsidRPr="00D355C3">
        <w:rPr>
          <w:rFonts w:ascii="Palatino Linotype" w:eastAsia="Palatino Linotype" w:hAnsi="Palatino Linotype" w:cs="Palatino Linotype"/>
          <w:b/>
          <w:i/>
          <w:sz w:val="22"/>
          <w:szCs w:val="22"/>
        </w:rPr>
        <w:t>OMITE dar el NOMBRE de los servidores públicos que renunciaron en el periodo que se señala</w:t>
      </w:r>
      <w:r w:rsidRPr="00D355C3">
        <w:rPr>
          <w:rFonts w:ascii="Palatino Linotype" w:eastAsia="Palatino Linotype" w:hAnsi="Palatino Linotype" w:cs="Palatino Linotype"/>
          <w:i/>
          <w:sz w:val="22"/>
          <w:szCs w:val="22"/>
        </w:rPr>
        <w:t xml:space="preserve">; siendo una OBLIGACIÓN de los Sujetos Obligados y/o Instituciones Públicas el otorgar la información solicitada por lo que </w:t>
      </w:r>
      <w:r w:rsidRPr="00D355C3">
        <w:rPr>
          <w:rFonts w:ascii="Palatino Linotype" w:eastAsia="Palatino Linotype" w:hAnsi="Palatino Linotype" w:cs="Palatino Linotype"/>
          <w:b/>
          <w:i/>
          <w:sz w:val="22"/>
          <w:szCs w:val="22"/>
        </w:rPr>
        <w:t>debe señalar el nombre completo de los servidores públicos que renunciaron</w:t>
      </w:r>
      <w:r w:rsidRPr="00D355C3">
        <w:rPr>
          <w:rFonts w:ascii="Palatino Linotype" w:eastAsia="Palatino Linotype" w:hAnsi="Palatino Linotype" w:cs="Palatino Linotype"/>
          <w:i/>
          <w:sz w:val="22"/>
          <w:szCs w:val="22"/>
        </w:rPr>
        <w:t xml:space="preserve">, de igual manera es importante aclarar que el nombre no es información confidencial. En la </w:t>
      </w:r>
      <w:r w:rsidRPr="00D355C3">
        <w:rPr>
          <w:rFonts w:ascii="Palatino Linotype" w:eastAsia="Palatino Linotype" w:hAnsi="Palatino Linotype" w:cs="Palatino Linotype"/>
          <w:b/>
          <w:i/>
          <w:sz w:val="22"/>
          <w:szCs w:val="22"/>
          <w:u w:val="single"/>
        </w:rPr>
        <w:t>petición 12</w:t>
      </w:r>
      <w:r w:rsidRPr="00D355C3">
        <w:rPr>
          <w:rFonts w:ascii="Palatino Linotype" w:eastAsia="Palatino Linotype" w:hAnsi="Palatino Linotype" w:cs="Palatino Linotype"/>
          <w:i/>
          <w:sz w:val="22"/>
          <w:szCs w:val="22"/>
        </w:rPr>
        <w:t xml:space="preserve"> en la que se señala lo siguiente “12 ¿Cuál es el término legal para la entrega del oficio de baja una vez que el servidor </w:t>
      </w:r>
      <w:r w:rsidRPr="00D355C3">
        <w:rPr>
          <w:rFonts w:ascii="Palatino Linotype" w:eastAsia="Palatino Linotype" w:hAnsi="Palatino Linotype" w:cs="Palatino Linotype"/>
          <w:i/>
          <w:sz w:val="22"/>
          <w:szCs w:val="22"/>
        </w:rPr>
        <w:lastRenderedPageBreak/>
        <w:t xml:space="preserve">público de mando medio solicita al área correspondiente?” al Titular del Departamento de Recursos Humanos refiere “NO EXISTE OFICIO DE BAJA, APLICA LA RESPUESTA DEL NUMERAL 9” en ese orden de ideas </w:t>
      </w:r>
      <w:r w:rsidRPr="00D355C3">
        <w:rPr>
          <w:rFonts w:ascii="Palatino Linotype" w:eastAsia="Palatino Linotype" w:hAnsi="Palatino Linotype" w:cs="Palatino Linotype"/>
          <w:b/>
          <w:i/>
          <w:sz w:val="22"/>
          <w:szCs w:val="22"/>
        </w:rPr>
        <w:t>si no existe oficio de baja y si un Formato Único de Movimiento de Personal, OMITE señalar el término legal de entrega del referido documento</w:t>
      </w:r>
      <w:r w:rsidRPr="00D355C3">
        <w:rPr>
          <w:rFonts w:ascii="Palatino Linotype" w:eastAsia="Palatino Linotype" w:hAnsi="Palatino Linotype" w:cs="Palatino Linotype"/>
          <w:i/>
          <w:sz w:val="22"/>
          <w:szCs w:val="22"/>
        </w:rPr>
        <w:t xml:space="preserve">. Referente a la </w:t>
      </w:r>
      <w:r w:rsidRPr="00D355C3">
        <w:rPr>
          <w:rFonts w:ascii="Palatino Linotype" w:eastAsia="Palatino Linotype" w:hAnsi="Palatino Linotype" w:cs="Palatino Linotype"/>
          <w:b/>
          <w:i/>
          <w:sz w:val="22"/>
          <w:szCs w:val="22"/>
          <w:u w:val="single"/>
        </w:rPr>
        <w:t>petición 13</w:t>
      </w:r>
      <w:r w:rsidRPr="00D355C3">
        <w:rPr>
          <w:rFonts w:ascii="Palatino Linotype" w:eastAsia="Palatino Linotype" w:hAnsi="Palatino Linotype" w:cs="Palatino Linotype"/>
          <w:i/>
          <w:sz w:val="22"/>
          <w:szCs w:val="22"/>
        </w:rPr>
        <w:t xml:space="preserve">, en la que se señala “13. ¿Qué área es la encargada de entregar las bajas de los servidores públicos dentro de la Universidad Mexiquense del Bicentenario?” la Titular del Departamento de Recursos Humanos </w:t>
      </w:r>
      <w:r w:rsidRPr="00D355C3">
        <w:rPr>
          <w:rFonts w:ascii="Palatino Linotype" w:eastAsia="Palatino Linotype" w:hAnsi="Palatino Linotype" w:cs="Palatino Linotype"/>
          <w:b/>
          <w:i/>
          <w:sz w:val="22"/>
          <w:szCs w:val="22"/>
        </w:rPr>
        <w:t>señala “DE CONFORMIDAD CON LAS ATRIBUCIONES ESTABLECIDAS EN EL MANUAL GENERAL DE ORGANIZACIÓN</w:t>
      </w:r>
      <w:r w:rsidRPr="00D355C3">
        <w:rPr>
          <w:rFonts w:ascii="Palatino Linotype" w:eastAsia="Palatino Linotype" w:hAnsi="Palatino Linotype" w:cs="Palatino Linotype"/>
          <w:i/>
          <w:sz w:val="22"/>
          <w:szCs w:val="22"/>
        </w:rPr>
        <w:t xml:space="preserve">” sin embargo </w:t>
      </w:r>
      <w:r w:rsidRPr="00D355C3">
        <w:rPr>
          <w:rFonts w:ascii="Palatino Linotype" w:eastAsia="Palatino Linotype" w:hAnsi="Palatino Linotype" w:cs="Palatino Linotype"/>
          <w:b/>
          <w:i/>
          <w:sz w:val="22"/>
          <w:szCs w:val="22"/>
        </w:rPr>
        <w:t>no fue lo que se preguntó</w:t>
      </w:r>
      <w:r w:rsidRPr="00D355C3">
        <w:rPr>
          <w:rFonts w:ascii="Palatino Linotype" w:eastAsia="Palatino Linotype" w:hAnsi="Palatino Linotype" w:cs="Palatino Linotype"/>
          <w:i/>
          <w:sz w:val="22"/>
          <w:szCs w:val="22"/>
        </w:rPr>
        <w:t xml:space="preserve"> por lo que no queda claro si se trata de falta de comprensión en la pregunta o contesta con dolo, </w:t>
      </w:r>
      <w:r w:rsidRPr="00D355C3">
        <w:rPr>
          <w:rFonts w:ascii="Palatino Linotype" w:eastAsia="Palatino Linotype" w:hAnsi="Palatino Linotype" w:cs="Palatino Linotype"/>
          <w:b/>
          <w:i/>
          <w:sz w:val="22"/>
          <w:szCs w:val="22"/>
        </w:rPr>
        <w:t>ya que se cuestiona “QUÉ AREA ES LA ENCARGADA DE ENTREGAR LAS BAJAS” no el fundamento por el cual se entrega</w:t>
      </w:r>
      <w:r w:rsidRPr="00D355C3">
        <w:rPr>
          <w:rFonts w:ascii="Palatino Linotype" w:eastAsia="Palatino Linotype" w:hAnsi="Palatino Linotype" w:cs="Palatino Linotype"/>
          <w:i/>
          <w:sz w:val="22"/>
          <w:szCs w:val="22"/>
        </w:rPr>
        <w:t xml:space="preserve">. De igual manera en la </w:t>
      </w:r>
      <w:r w:rsidRPr="00D355C3">
        <w:rPr>
          <w:rFonts w:ascii="Palatino Linotype" w:eastAsia="Palatino Linotype" w:hAnsi="Palatino Linotype" w:cs="Palatino Linotype"/>
          <w:b/>
          <w:i/>
          <w:sz w:val="22"/>
          <w:szCs w:val="22"/>
          <w:u w:val="single"/>
        </w:rPr>
        <w:t>petición con arábigo 14</w:t>
      </w:r>
      <w:r w:rsidRPr="00D355C3">
        <w:rPr>
          <w:rFonts w:ascii="Palatino Linotype" w:eastAsia="Palatino Linotype" w:hAnsi="Palatino Linotype" w:cs="Palatino Linotype"/>
          <w:i/>
          <w:sz w:val="22"/>
          <w:szCs w:val="22"/>
        </w:rPr>
        <w:t xml:space="preserve"> se solicita mencione “14. ¿Cuál es el nombre del Titular del área encargada de entregar las bajas de los servidores públicos?” y la Titular del Departamento de Recursos Humanos nuevamente </w:t>
      </w:r>
      <w:r w:rsidRPr="00D355C3">
        <w:rPr>
          <w:rFonts w:ascii="Palatino Linotype" w:eastAsia="Palatino Linotype" w:hAnsi="Palatino Linotype" w:cs="Palatino Linotype"/>
          <w:b/>
          <w:i/>
          <w:sz w:val="22"/>
          <w:szCs w:val="22"/>
        </w:rPr>
        <w:t>evade concretarse a la respuesta señalando que aplica la respuesta del numeral 13 y señala que se podrá consultar en un link.</w:t>
      </w:r>
      <w:r w:rsidRPr="00D355C3">
        <w:rPr>
          <w:rFonts w:ascii="Palatino Linotype" w:eastAsia="Palatino Linotype" w:hAnsi="Palatino Linotype" w:cs="Palatino Linotype"/>
          <w:i/>
          <w:sz w:val="22"/>
          <w:szCs w:val="22"/>
        </w:rPr>
        <w:t xml:space="preserve"> </w:t>
      </w:r>
      <w:r w:rsidRPr="00D355C3">
        <w:rPr>
          <w:rFonts w:ascii="Palatino Linotype" w:eastAsia="Palatino Linotype" w:hAnsi="Palatino Linotype" w:cs="Palatino Linotype"/>
          <w:b/>
          <w:i/>
          <w:sz w:val="22"/>
          <w:szCs w:val="22"/>
        </w:rPr>
        <w:t>Referente al oficio UMB/210C3001000100S-0666/2023</w:t>
      </w:r>
      <w:r w:rsidRPr="00D355C3">
        <w:rPr>
          <w:rFonts w:ascii="Palatino Linotype" w:eastAsia="Palatino Linotype" w:hAnsi="Palatino Linotype" w:cs="Palatino Linotype"/>
          <w:i/>
          <w:sz w:val="22"/>
          <w:szCs w:val="22"/>
        </w:rPr>
        <w:t xml:space="preserve"> de fecha 30 de junio de 2023 </w:t>
      </w:r>
      <w:r w:rsidRPr="00D355C3">
        <w:rPr>
          <w:rFonts w:ascii="Palatino Linotype" w:eastAsia="Palatino Linotype" w:hAnsi="Palatino Linotype" w:cs="Palatino Linotype"/>
          <w:b/>
          <w:i/>
          <w:sz w:val="22"/>
          <w:szCs w:val="22"/>
        </w:rPr>
        <w:t>firmado por el Titular de la Abogacía General e Igualdad de Género y Titular de la Unidad de Transparencia</w:t>
      </w:r>
      <w:r w:rsidRPr="00D355C3">
        <w:rPr>
          <w:rFonts w:ascii="Palatino Linotype" w:eastAsia="Palatino Linotype" w:hAnsi="Palatino Linotype" w:cs="Palatino Linotype"/>
          <w:i/>
          <w:sz w:val="22"/>
          <w:szCs w:val="22"/>
        </w:rPr>
        <w:t xml:space="preserve">: De igual manera para simular una adecuada contestación </w:t>
      </w:r>
      <w:r w:rsidRPr="00D355C3">
        <w:rPr>
          <w:rFonts w:ascii="Palatino Linotype" w:eastAsia="Palatino Linotype" w:hAnsi="Palatino Linotype" w:cs="Palatino Linotype"/>
          <w:b/>
          <w:i/>
          <w:sz w:val="22"/>
          <w:szCs w:val="22"/>
        </w:rPr>
        <w:t>refiere un link que dicho sea de paso resulta difícil acceder,</w:t>
      </w:r>
      <w:r w:rsidRPr="00D355C3">
        <w:rPr>
          <w:rFonts w:ascii="Palatino Linotype" w:eastAsia="Palatino Linotype" w:hAnsi="Palatino Linotype" w:cs="Palatino Linotype"/>
          <w:i/>
          <w:sz w:val="22"/>
          <w:szCs w:val="22"/>
        </w:rPr>
        <w:t xml:space="preserve"> por lo que a todas luces </w:t>
      </w:r>
      <w:r w:rsidRPr="00D355C3">
        <w:rPr>
          <w:rFonts w:ascii="Palatino Linotype" w:eastAsia="Palatino Linotype" w:hAnsi="Palatino Linotype" w:cs="Palatino Linotype"/>
          <w:b/>
          <w:i/>
          <w:sz w:val="22"/>
          <w:szCs w:val="22"/>
        </w:rPr>
        <w:t>se muestra la clara intención de obstaculizar la obtención de información</w:t>
      </w:r>
      <w:r w:rsidRPr="00D355C3">
        <w:rPr>
          <w:rFonts w:ascii="Palatino Linotype" w:eastAsia="Palatino Linotype" w:hAnsi="Palatino Linotype" w:cs="Palatino Linotype"/>
          <w:i/>
          <w:sz w:val="22"/>
          <w:szCs w:val="22"/>
        </w:rPr>
        <w:t xml:space="preserve"> Expuesto lo anterior, el sujeto obligado DEBE ENTREGAR TODA LA INFORMACIÓN que sea pública al sujeto y/o gobernado que solicita la misma y NO DEBE CONDICIONAR al peticionario a buscar en otras plataformas o a OBSTACULIZAR las peticiones de los gobernados ya que VIOLA FLAGRANTEMENTE el Derecho Humano del gobernado de solicitar y recibir información, derecho consagrado en la Constitución Política de los Estados Unidos Mexicanos, específicamente en el Artículo 6 en relación el artículo 4 de la Ley General de Transparencia y Acceso a la Información Pública.” (</w:t>
      </w:r>
      <w:proofErr w:type="gramStart"/>
      <w:r w:rsidRPr="00D355C3">
        <w:rPr>
          <w:rFonts w:ascii="Palatino Linotype" w:eastAsia="Palatino Linotype" w:hAnsi="Palatino Linotype" w:cs="Palatino Linotype"/>
          <w:i/>
          <w:sz w:val="22"/>
          <w:szCs w:val="22"/>
        </w:rPr>
        <w:t>sic</w:t>
      </w:r>
      <w:proofErr w:type="gramEnd"/>
      <w:r w:rsidRPr="00D355C3">
        <w:rPr>
          <w:rFonts w:ascii="Palatino Linotype" w:eastAsia="Palatino Linotype" w:hAnsi="Palatino Linotype" w:cs="Palatino Linotype"/>
          <w:i/>
          <w:sz w:val="22"/>
          <w:szCs w:val="22"/>
        </w:rPr>
        <w:t>)</w:t>
      </w:r>
    </w:p>
    <w:p w:rsidR="00BB390C" w:rsidRPr="00D355C3" w:rsidRDefault="00E40C6A">
      <w:pPr>
        <w:spacing w:before="240" w:after="240" w:line="360" w:lineRule="auto"/>
        <w:ind w:right="51"/>
        <w:jc w:val="both"/>
        <w:rPr>
          <w:rFonts w:ascii="Palatino Linotype" w:eastAsia="Palatino Linotype" w:hAnsi="Palatino Linotype" w:cs="Palatino Linotype"/>
        </w:rPr>
      </w:pPr>
      <w:r w:rsidRPr="00D355C3">
        <w:rPr>
          <w:rFonts w:ascii="Palatino Linotype" w:eastAsia="Palatino Linotype" w:hAnsi="Palatino Linotype" w:cs="Palatino Linotype"/>
          <w:b/>
        </w:rPr>
        <w:t xml:space="preserve">4. Turno. </w:t>
      </w:r>
      <w:r w:rsidRPr="00D355C3">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w:t>
      </w:r>
      <w:r w:rsidRPr="00D355C3">
        <w:rPr>
          <w:rFonts w:ascii="Palatino Linotype" w:eastAsia="Palatino Linotype" w:hAnsi="Palatino Linotype" w:cs="Palatino Linotype"/>
        </w:rPr>
        <w:lastRenderedPageBreak/>
        <w:t xml:space="preserve">del Estado de México y Municipios, a la Comisionada </w:t>
      </w:r>
      <w:r w:rsidRPr="00D355C3">
        <w:rPr>
          <w:rFonts w:ascii="Palatino Linotype" w:eastAsia="Palatino Linotype" w:hAnsi="Palatino Linotype" w:cs="Palatino Linotype"/>
          <w:b/>
        </w:rPr>
        <w:t xml:space="preserve">Guadalupe Ramírez Peña, </w:t>
      </w:r>
      <w:r w:rsidRPr="00D355C3">
        <w:rPr>
          <w:rFonts w:ascii="Palatino Linotype" w:eastAsia="Palatino Linotype" w:hAnsi="Palatino Linotype" w:cs="Palatino Linotype"/>
        </w:rPr>
        <w:t xml:space="preserve">a efecto de que analizara sobre su admisión o su </w:t>
      </w:r>
      <w:proofErr w:type="spellStart"/>
      <w:r w:rsidRPr="00D355C3">
        <w:rPr>
          <w:rFonts w:ascii="Palatino Linotype" w:eastAsia="Palatino Linotype" w:hAnsi="Palatino Linotype" w:cs="Palatino Linotype"/>
        </w:rPr>
        <w:t>desechamiento</w:t>
      </w:r>
      <w:proofErr w:type="spellEnd"/>
      <w:r w:rsidRPr="00D355C3">
        <w:rPr>
          <w:rFonts w:ascii="Palatino Linotype" w:eastAsia="Palatino Linotype" w:hAnsi="Palatino Linotype" w:cs="Palatino Linotype"/>
        </w:rPr>
        <w:t>.</w:t>
      </w:r>
    </w:p>
    <w:p w:rsidR="00BB390C" w:rsidRPr="00D355C3" w:rsidRDefault="00E40C6A">
      <w:pPr>
        <w:spacing w:before="240" w:after="240" w:line="360" w:lineRule="auto"/>
        <w:jc w:val="both"/>
        <w:rPr>
          <w:rFonts w:ascii="Palatino Linotype" w:eastAsia="Palatino Linotype" w:hAnsi="Palatino Linotype" w:cs="Palatino Linotype"/>
        </w:rPr>
      </w:pPr>
      <w:r w:rsidRPr="00D355C3">
        <w:rPr>
          <w:rFonts w:ascii="Palatino Linotype" w:eastAsia="Palatino Linotype" w:hAnsi="Palatino Linotype" w:cs="Palatino Linotype"/>
          <w:b/>
        </w:rPr>
        <w:t>5. Admisión del Recurso de revisión.</w:t>
      </w:r>
      <w:r w:rsidRPr="00D355C3">
        <w:rPr>
          <w:rFonts w:ascii="Palatino Linotype" w:eastAsia="Palatino Linotype" w:hAnsi="Palatino Linotype" w:cs="Palatino Linotype"/>
        </w:rPr>
        <w:t xml:space="preserve"> Con fecha</w:t>
      </w:r>
      <w:r w:rsidRPr="00D355C3">
        <w:rPr>
          <w:rFonts w:ascii="Palatino Linotype" w:eastAsia="Palatino Linotype" w:hAnsi="Palatino Linotype" w:cs="Palatino Linotype"/>
          <w:b/>
        </w:rPr>
        <w:t xml:space="preserve"> seis de julio de dos mil veintitrés, </w:t>
      </w:r>
      <w:r w:rsidRPr="00D355C3">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D355C3">
        <w:rPr>
          <w:rFonts w:ascii="Palatino Linotype" w:eastAsia="Palatino Linotype" w:hAnsi="Palatino Linotype" w:cs="Palatino Linotype"/>
          <w:b/>
        </w:rPr>
        <w:t xml:space="preserve">Sujeto Obligado </w:t>
      </w:r>
      <w:r w:rsidRPr="00D355C3">
        <w:rPr>
          <w:rFonts w:ascii="Palatino Linotype" w:eastAsia="Palatino Linotype" w:hAnsi="Palatino Linotype" w:cs="Palatino Linotype"/>
        </w:rPr>
        <w:t>presentara su informe justificado.</w:t>
      </w:r>
    </w:p>
    <w:p w:rsidR="00BB390C" w:rsidRPr="00D355C3" w:rsidRDefault="00E40C6A">
      <w:pPr>
        <w:spacing w:before="240" w:after="240" w:line="360" w:lineRule="auto"/>
        <w:jc w:val="both"/>
        <w:rPr>
          <w:rFonts w:ascii="Palatino Linotype" w:eastAsia="Palatino Linotype" w:hAnsi="Palatino Linotype" w:cs="Palatino Linotype"/>
        </w:rPr>
      </w:pPr>
      <w:bookmarkStart w:id="5" w:name="_heading=h.2s8eyo1" w:colFirst="0" w:colLast="0"/>
      <w:bookmarkEnd w:id="5"/>
      <w:r w:rsidRPr="00D355C3">
        <w:rPr>
          <w:rFonts w:ascii="Palatino Linotype" w:eastAsia="Palatino Linotype" w:hAnsi="Palatino Linotype" w:cs="Palatino Linotype"/>
          <w:b/>
        </w:rPr>
        <w:t>6. Manifestaciones</w:t>
      </w:r>
      <w:r w:rsidRPr="00D355C3">
        <w:rPr>
          <w:rFonts w:ascii="Palatino Linotype" w:eastAsia="Palatino Linotype" w:hAnsi="Palatino Linotype" w:cs="Palatino Linotype"/>
        </w:rPr>
        <w:t xml:space="preserve">. En fecha </w:t>
      </w:r>
      <w:r w:rsidRPr="00D355C3">
        <w:rPr>
          <w:rFonts w:ascii="Palatino Linotype" w:eastAsia="Palatino Linotype" w:hAnsi="Palatino Linotype" w:cs="Palatino Linotype"/>
          <w:b/>
        </w:rPr>
        <w:t xml:space="preserve">doce de julio de dos mil veintitrés, </w:t>
      </w:r>
      <w:r w:rsidRPr="00D355C3">
        <w:rPr>
          <w:rFonts w:ascii="Palatino Linotype" w:eastAsia="Palatino Linotype" w:hAnsi="Palatino Linotype" w:cs="Palatino Linotype"/>
        </w:rPr>
        <w:t xml:space="preserve">el </w:t>
      </w:r>
      <w:r w:rsidRPr="00D355C3">
        <w:rPr>
          <w:rFonts w:ascii="Palatino Linotype" w:eastAsia="Palatino Linotype" w:hAnsi="Palatino Linotype" w:cs="Palatino Linotype"/>
          <w:b/>
        </w:rPr>
        <w:t xml:space="preserve">Sujeto Obligado </w:t>
      </w:r>
      <w:r w:rsidRPr="00D355C3">
        <w:rPr>
          <w:rFonts w:ascii="Palatino Linotype" w:eastAsia="Palatino Linotype" w:hAnsi="Palatino Linotype" w:cs="Palatino Linotype"/>
        </w:rPr>
        <w:t xml:space="preserve">remitió, a través de SAIMEX, su informe justificado, mediante el cual el Titular de la Unidad de Transparencia manifestó que solicitó al Departamento de Recursos Humanos un informe respecto de los supuestos agravios argüidos por la parte </w:t>
      </w:r>
      <w:r w:rsidRPr="00D355C3">
        <w:rPr>
          <w:rFonts w:ascii="Palatino Linotype" w:eastAsia="Palatino Linotype" w:hAnsi="Palatino Linotype" w:cs="Palatino Linotype"/>
          <w:b/>
        </w:rPr>
        <w:t xml:space="preserve">Recurrente, </w:t>
      </w:r>
      <w:r w:rsidRPr="00D355C3">
        <w:rPr>
          <w:rFonts w:ascii="Palatino Linotype" w:eastAsia="Palatino Linotype" w:hAnsi="Palatino Linotype" w:cs="Palatino Linotype"/>
        </w:rPr>
        <w:t xml:space="preserve">cuyo servidor público habilitado, respecto de los puntos 4, 12, 13 y 14 de la solicitud, refirió el nombre y área de adscripción de los servidores públicos con categoría de mando medio que renunciaron a su puesto en el periodo comprendido del uno de enero al treinta y uno de mayo de dos mil veintitrés; mencionó que la Institución Educativa no emite oficios de baja, sin embargo, genera el Formato Único de Movimiento de Personal, FUMP, para cuya tramitación no existe un término fijado, sino que es generado a la brevedad, siempre y cuando se cumpla con los requisitos establecidos, el cual debe contar con las firmas autógrafas del solicitante y de los titulares correspondientes; y, finalmente, señaló que el área encargada de generar el Formato Único de Movimiento de Personal es el Departamento de </w:t>
      </w:r>
      <w:r w:rsidRPr="00D355C3">
        <w:rPr>
          <w:rFonts w:ascii="Palatino Linotype" w:eastAsia="Palatino Linotype" w:hAnsi="Palatino Linotype" w:cs="Palatino Linotype"/>
        </w:rPr>
        <w:lastRenderedPageBreak/>
        <w:t>Recursos Humanos, de conformidad con el Manual de Organización de la Universidad Mexiquense del Bicentenario, siendo la Maestra Brenda del Carmen Gómez Noyola, Jefa de dicho Departamento.</w:t>
      </w:r>
    </w:p>
    <w:p w:rsidR="00BB390C" w:rsidRPr="00D355C3" w:rsidRDefault="00E40C6A">
      <w:pPr>
        <w:spacing w:before="240" w:after="240" w:line="360" w:lineRule="auto"/>
        <w:jc w:val="both"/>
        <w:rPr>
          <w:rFonts w:ascii="Palatino Linotype" w:eastAsia="Palatino Linotype" w:hAnsi="Palatino Linotype" w:cs="Palatino Linotype"/>
        </w:rPr>
      </w:pPr>
      <w:r w:rsidRPr="00D355C3">
        <w:rPr>
          <w:rFonts w:ascii="Palatino Linotype" w:eastAsia="Palatino Linotype" w:hAnsi="Palatino Linotype" w:cs="Palatino Linotype"/>
        </w:rPr>
        <w:t>Anexos:</w:t>
      </w:r>
    </w:p>
    <w:p w:rsidR="00BB390C" w:rsidRPr="00D355C3" w:rsidRDefault="00E40C6A">
      <w:pPr>
        <w:spacing w:before="240" w:after="240" w:line="360" w:lineRule="auto"/>
        <w:ind w:left="284"/>
        <w:jc w:val="both"/>
        <w:rPr>
          <w:rFonts w:ascii="Palatino Linotype" w:eastAsia="Palatino Linotype" w:hAnsi="Palatino Linotype" w:cs="Palatino Linotype"/>
        </w:rPr>
      </w:pPr>
      <w:r w:rsidRPr="00D355C3">
        <w:rPr>
          <w:rFonts w:ascii="Palatino Linotype" w:eastAsia="Palatino Linotype" w:hAnsi="Palatino Linotype" w:cs="Palatino Linotype"/>
        </w:rPr>
        <w:t>- Acuse de la solicitud de información 00025/UMB/IP/2023, interpuesta por la persona solicitante.</w:t>
      </w:r>
    </w:p>
    <w:p w:rsidR="00BB390C" w:rsidRPr="00D355C3" w:rsidRDefault="00E40C6A">
      <w:pPr>
        <w:spacing w:before="240" w:after="240" w:line="360" w:lineRule="auto"/>
        <w:ind w:left="284"/>
        <w:jc w:val="both"/>
        <w:rPr>
          <w:rFonts w:ascii="Palatino Linotype" w:eastAsia="Palatino Linotype" w:hAnsi="Palatino Linotype" w:cs="Palatino Linotype"/>
        </w:rPr>
      </w:pPr>
      <w:r w:rsidRPr="00D355C3">
        <w:rPr>
          <w:rFonts w:ascii="Palatino Linotype" w:eastAsia="Palatino Linotype" w:hAnsi="Palatino Linotype" w:cs="Palatino Linotype"/>
        </w:rPr>
        <w:t>- Oficio número UMB/210C3001000100S-0603/2023, de fecha quince de junio de dos mil veintitrés, mediante el cual la Titular de la Unidad de Transparencia requiere a la Jefa del Departamento de Recursos Humanos su colaboración a efecto de dar atención a la solicitud 00025/UMB/IP/2023.</w:t>
      </w:r>
    </w:p>
    <w:p w:rsidR="00BB390C" w:rsidRPr="00D355C3" w:rsidRDefault="00E40C6A">
      <w:pPr>
        <w:spacing w:before="240" w:after="240" w:line="360" w:lineRule="auto"/>
        <w:ind w:left="284"/>
        <w:jc w:val="both"/>
        <w:rPr>
          <w:rFonts w:ascii="Palatino Linotype" w:eastAsia="Palatino Linotype" w:hAnsi="Palatino Linotype" w:cs="Palatino Linotype"/>
        </w:rPr>
      </w:pPr>
      <w:r w:rsidRPr="00D355C3">
        <w:rPr>
          <w:rFonts w:ascii="Palatino Linotype" w:eastAsia="Palatino Linotype" w:hAnsi="Palatino Linotype" w:cs="Palatino Linotype"/>
        </w:rPr>
        <w:t>- Oficio número UMB/210C3001040101L/423-BIS/2023, referido en el antecedente 2 de la presente resolución.</w:t>
      </w:r>
    </w:p>
    <w:p w:rsidR="00BB390C" w:rsidRPr="00D355C3" w:rsidRDefault="00E40C6A">
      <w:pPr>
        <w:spacing w:before="240" w:after="240" w:line="360" w:lineRule="auto"/>
        <w:ind w:left="284"/>
        <w:jc w:val="both"/>
        <w:rPr>
          <w:rFonts w:ascii="Palatino Linotype" w:eastAsia="Palatino Linotype" w:hAnsi="Palatino Linotype" w:cs="Palatino Linotype"/>
        </w:rPr>
      </w:pPr>
      <w:r w:rsidRPr="00D355C3">
        <w:rPr>
          <w:rFonts w:ascii="Palatino Linotype" w:eastAsia="Palatino Linotype" w:hAnsi="Palatino Linotype" w:cs="Palatino Linotype"/>
        </w:rPr>
        <w:t>- Oficio número UMB/210C3001000100S-0666/2023, referido en el antecedente 2 de la presente resolución.</w:t>
      </w:r>
    </w:p>
    <w:p w:rsidR="00BB390C" w:rsidRPr="00D355C3" w:rsidRDefault="00E40C6A">
      <w:pPr>
        <w:spacing w:before="240" w:after="240" w:line="360" w:lineRule="auto"/>
        <w:ind w:left="284"/>
        <w:jc w:val="both"/>
        <w:rPr>
          <w:rFonts w:ascii="Palatino Linotype" w:eastAsia="Palatino Linotype" w:hAnsi="Palatino Linotype" w:cs="Palatino Linotype"/>
        </w:rPr>
      </w:pPr>
      <w:r w:rsidRPr="00D355C3">
        <w:rPr>
          <w:rFonts w:ascii="Palatino Linotype" w:eastAsia="Palatino Linotype" w:hAnsi="Palatino Linotype" w:cs="Palatino Linotype"/>
        </w:rPr>
        <w:t xml:space="preserve">- Oficio número UMB/210C3001000100S-0687/2023, de fecha cinco de julio de dos mil veintitrés, mediante el cual la Titular de la Unidad de Transparencia solicita a la Jefa del Departamento de Recursos Humanos proporcionar a la Unidad de Transparencia el informe justificado correspondiente respecto de las supuestas deficiencias u omisiones aludidas por la parte </w:t>
      </w:r>
      <w:r w:rsidRPr="00D355C3">
        <w:rPr>
          <w:rFonts w:ascii="Palatino Linotype" w:eastAsia="Palatino Linotype" w:hAnsi="Palatino Linotype" w:cs="Palatino Linotype"/>
          <w:b/>
        </w:rPr>
        <w:t xml:space="preserve">Recurrente </w:t>
      </w:r>
      <w:r w:rsidRPr="00D355C3">
        <w:rPr>
          <w:rFonts w:ascii="Palatino Linotype" w:eastAsia="Palatino Linotype" w:hAnsi="Palatino Linotype" w:cs="Palatino Linotype"/>
        </w:rPr>
        <w:t>en el recurso de revisión.</w:t>
      </w:r>
    </w:p>
    <w:p w:rsidR="00BB390C" w:rsidRPr="00D355C3" w:rsidRDefault="00E40C6A">
      <w:pPr>
        <w:spacing w:before="240" w:after="240" w:line="360" w:lineRule="auto"/>
        <w:ind w:left="284" w:right="49"/>
        <w:jc w:val="both"/>
        <w:rPr>
          <w:rFonts w:ascii="Palatino Linotype" w:eastAsia="Palatino Linotype" w:hAnsi="Palatino Linotype" w:cs="Palatino Linotype"/>
        </w:rPr>
      </w:pPr>
      <w:r w:rsidRPr="00D355C3">
        <w:rPr>
          <w:rFonts w:ascii="Palatino Linotype" w:eastAsia="Palatino Linotype" w:hAnsi="Palatino Linotype" w:cs="Palatino Linotype"/>
        </w:rPr>
        <w:lastRenderedPageBreak/>
        <w:t>- Oficio número UMB/210C3001040101L/447/2023, de fecha seis de julio de dos mil veintitrés, signado por la Jefa del Departamento de Recursos Humanos, mediante el cual da atención a los puntos 4, 12, 13 y 14 de la solicitud de información en los siguientes términos:</w:t>
      </w:r>
    </w:p>
    <w:p w:rsidR="00BB390C" w:rsidRPr="00D355C3" w:rsidRDefault="00E40C6A">
      <w:pPr>
        <w:spacing w:before="240" w:after="240" w:line="360" w:lineRule="auto"/>
        <w:ind w:left="284" w:right="49"/>
        <w:jc w:val="center"/>
        <w:rPr>
          <w:rFonts w:ascii="Palatino Linotype" w:eastAsia="Palatino Linotype" w:hAnsi="Palatino Linotype" w:cs="Palatino Linotype"/>
        </w:rPr>
      </w:pPr>
      <w:r w:rsidRPr="00D355C3">
        <w:rPr>
          <w:noProof/>
        </w:rPr>
        <w:drawing>
          <wp:inline distT="0" distB="0" distL="0" distR="0">
            <wp:extent cx="4860000" cy="2372261"/>
            <wp:effectExtent l="0" t="0" r="0" b="0"/>
            <wp:docPr id="201975760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4860000" cy="2372261"/>
                    </a:xfrm>
                    <a:prstGeom prst="rect">
                      <a:avLst/>
                    </a:prstGeom>
                    <a:ln/>
                  </pic:spPr>
                </pic:pic>
              </a:graphicData>
            </a:graphic>
          </wp:inline>
        </w:drawing>
      </w:r>
    </w:p>
    <w:p w:rsidR="00BB390C" w:rsidRPr="00D355C3" w:rsidRDefault="00E40C6A">
      <w:pPr>
        <w:spacing w:before="240" w:after="240" w:line="360" w:lineRule="auto"/>
        <w:ind w:left="284" w:right="49"/>
        <w:jc w:val="center"/>
        <w:rPr>
          <w:rFonts w:ascii="Palatino Linotype" w:eastAsia="Palatino Linotype" w:hAnsi="Palatino Linotype" w:cs="Palatino Linotype"/>
        </w:rPr>
      </w:pPr>
      <w:r w:rsidRPr="00D355C3">
        <w:rPr>
          <w:noProof/>
        </w:rPr>
        <w:drawing>
          <wp:inline distT="0" distB="0" distL="0" distR="0">
            <wp:extent cx="4860000" cy="1767923"/>
            <wp:effectExtent l="0" t="0" r="0" b="0"/>
            <wp:docPr id="201975761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4860000" cy="1767923"/>
                    </a:xfrm>
                    <a:prstGeom prst="rect">
                      <a:avLst/>
                    </a:prstGeom>
                    <a:ln/>
                  </pic:spPr>
                </pic:pic>
              </a:graphicData>
            </a:graphic>
          </wp:inline>
        </w:drawing>
      </w:r>
    </w:p>
    <w:p w:rsidR="00BB390C" w:rsidRPr="00D355C3" w:rsidRDefault="00E40C6A">
      <w:pPr>
        <w:spacing w:before="240" w:after="240" w:line="360" w:lineRule="auto"/>
        <w:ind w:left="284"/>
        <w:jc w:val="center"/>
        <w:rPr>
          <w:rFonts w:ascii="Palatino Linotype" w:eastAsia="Palatino Linotype" w:hAnsi="Palatino Linotype" w:cs="Palatino Linotype"/>
        </w:rPr>
      </w:pPr>
      <w:r w:rsidRPr="00D355C3">
        <w:rPr>
          <w:noProof/>
        </w:rPr>
        <w:drawing>
          <wp:inline distT="0" distB="0" distL="0" distR="0">
            <wp:extent cx="4860000" cy="1090998"/>
            <wp:effectExtent l="0" t="0" r="0" b="0"/>
            <wp:docPr id="201975760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a:stretch>
                      <a:fillRect/>
                    </a:stretch>
                  </pic:blipFill>
                  <pic:spPr>
                    <a:xfrm>
                      <a:off x="0" y="0"/>
                      <a:ext cx="4860000" cy="1090998"/>
                    </a:xfrm>
                    <a:prstGeom prst="rect">
                      <a:avLst/>
                    </a:prstGeom>
                    <a:ln/>
                  </pic:spPr>
                </pic:pic>
              </a:graphicData>
            </a:graphic>
          </wp:inline>
        </w:drawing>
      </w:r>
    </w:p>
    <w:p w:rsidR="00BB390C" w:rsidRPr="00D355C3" w:rsidRDefault="00E40C6A">
      <w:pPr>
        <w:spacing w:before="240" w:after="240" w:line="360" w:lineRule="auto"/>
        <w:ind w:left="284"/>
        <w:jc w:val="center"/>
        <w:rPr>
          <w:rFonts w:ascii="Palatino Linotype" w:eastAsia="Palatino Linotype" w:hAnsi="Palatino Linotype" w:cs="Palatino Linotype"/>
        </w:rPr>
      </w:pPr>
      <w:r w:rsidRPr="00D355C3">
        <w:rPr>
          <w:noProof/>
        </w:rPr>
        <w:lastRenderedPageBreak/>
        <w:drawing>
          <wp:inline distT="0" distB="0" distL="0" distR="0">
            <wp:extent cx="4860000" cy="1350477"/>
            <wp:effectExtent l="0" t="0" r="0" b="0"/>
            <wp:docPr id="201975761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b="37857"/>
                    <a:stretch>
                      <a:fillRect/>
                    </a:stretch>
                  </pic:blipFill>
                  <pic:spPr>
                    <a:xfrm>
                      <a:off x="0" y="0"/>
                      <a:ext cx="4860000" cy="1350477"/>
                    </a:xfrm>
                    <a:prstGeom prst="rect">
                      <a:avLst/>
                    </a:prstGeom>
                    <a:ln/>
                  </pic:spPr>
                </pic:pic>
              </a:graphicData>
            </a:graphic>
          </wp:inline>
        </w:drawing>
      </w:r>
    </w:p>
    <w:p w:rsidR="00BB390C" w:rsidRPr="00D355C3" w:rsidRDefault="00E40C6A">
      <w:pPr>
        <w:spacing w:before="240" w:after="240" w:line="360" w:lineRule="auto"/>
        <w:ind w:left="284"/>
        <w:jc w:val="both"/>
        <w:rPr>
          <w:rFonts w:ascii="Palatino Linotype" w:eastAsia="Palatino Linotype" w:hAnsi="Palatino Linotype" w:cs="Palatino Linotype"/>
        </w:rPr>
      </w:pPr>
      <w:r w:rsidRPr="00D355C3">
        <w:rPr>
          <w:rFonts w:ascii="Palatino Linotype" w:eastAsia="Palatino Linotype" w:hAnsi="Palatino Linotype" w:cs="Palatino Linotype"/>
        </w:rPr>
        <w:t xml:space="preserve">De igual forma, reiteró que la normatividad aplicable a la Universidad Mexiquense del Bicentenario, se encuentra disponible en la dirección electrónica </w:t>
      </w:r>
      <w:hyperlink r:id="rId15">
        <w:r w:rsidRPr="00D355C3">
          <w:rPr>
            <w:rFonts w:ascii="Palatino Linotype" w:eastAsia="Palatino Linotype" w:hAnsi="Palatino Linotype" w:cs="Palatino Linotype"/>
            <w:u w:val="single"/>
          </w:rPr>
          <w:t>https://umb.edomex.gob.mx/marco_juridico</w:t>
        </w:r>
      </w:hyperlink>
      <w:r w:rsidRPr="00D355C3">
        <w:rPr>
          <w:rFonts w:ascii="Palatino Linotype" w:eastAsia="Palatino Linotype" w:hAnsi="Palatino Linotype" w:cs="Palatino Linotype"/>
        </w:rPr>
        <w:t xml:space="preserve"> de la página oficial del Sujeto Obligado. </w:t>
      </w:r>
    </w:p>
    <w:p w:rsidR="00BB390C" w:rsidRPr="00D355C3" w:rsidRDefault="00E40C6A">
      <w:pPr>
        <w:spacing w:before="240" w:after="240" w:line="360" w:lineRule="auto"/>
        <w:jc w:val="both"/>
        <w:rPr>
          <w:rFonts w:ascii="Palatino Linotype" w:eastAsia="Palatino Linotype" w:hAnsi="Palatino Linotype" w:cs="Palatino Linotype"/>
        </w:rPr>
      </w:pPr>
      <w:r w:rsidRPr="00D355C3">
        <w:rPr>
          <w:rFonts w:ascii="Palatino Linotype" w:eastAsia="Palatino Linotype" w:hAnsi="Palatino Linotype" w:cs="Palatino Linotype"/>
        </w:rPr>
        <w:t>Una vez analizados los documentos referidos, se determinó hacerlos del conocimiento de la persona solicitante con la finalidad de que manifestara lo que a su derecho estimara conveniente, siendo omisa en ejercer dicha prerrogativa.</w:t>
      </w:r>
    </w:p>
    <w:p w:rsidR="00BB390C" w:rsidRPr="00D355C3" w:rsidRDefault="00E40C6A">
      <w:pPr>
        <w:spacing w:before="240" w:after="240" w:line="360" w:lineRule="auto"/>
        <w:jc w:val="both"/>
        <w:rPr>
          <w:rFonts w:ascii="Palatino Linotype" w:eastAsia="Palatino Linotype" w:hAnsi="Palatino Linotype" w:cs="Palatino Linotype"/>
        </w:rPr>
      </w:pPr>
      <w:r w:rsidRPr="00D355C3">
        <w:rPr>
          <w:rFonts w:ascii="Palatino Linotype" w:eastAsia="Palatino Linotype" w:hAnsi="Palatino Linotype" w:cs="Palatino Linotype"/>
          <w:b/>
        </w:rPr>
        <w:t>7. Ampliación del término para resolver</w:t>
      </w:r>
      <w:r w:rsidRPr="00D355C3">
        <w:rPr>
          <w:rFonts w:ascii="Palatino Linotype" w:eastAsia="Palatino Linotype" w:hAnsi="Palatino Linotype" w:cs="Palatino Linotype"/>
        </w:rPr>
        <w:t xml:space="preserve">. En fecha </w:t>
      </w:r>
      <w:r w:rsidRPr="00D355C3">
        <w:rPr>
          <w:rFonts w:ascii="Palatino Linotype" w:eastAsia="Palatino Linotype" w:hAnsi="Palatino Linotype" w:cs="Palatino Linotype"/>
          <w:b/>
        </w:rPr>
        <w:t>nueve de octubre de dos mil veintitrés</w:t>
      </w:r>
      <w:r w:rsidRPr="00D355C3">
        <w:rPr>
          <w:rFonts w:ascii="Palatino Linotype" w:eastAsia="Palatino Linotype" w:hAnsi="Palatino Linotype" w:cs="Palatino Linotype"/>
        </w:rPr>
        <w:t>, se amplió el término para resolver el recurso de revisión en términos del artículo 181 párrafo tercero de la Ley de Transparencia y Acceso a la Información Pública del Estado de México y Municipios.</w:t>
      </w:r>
    </w:p>
    <w:p w:rsidR="00BB390C" w:rsidRPr="00D355C3" w:rsidRDefault="00E40C6A">
      <w:pPr>
        <w:spacing w:before="240" w:after="240" w:line="360" w:lineRule="auto"/>
        <w:jc w:val="both"/>
        <w:rPr>
          <w:rFonts w:ascii="Palatino Linotype" w:eastAsia="Palatino Linotype" w:hAnsi="Palatino Linotype" w:cs="Palatino Linotype"/>
        </w:rPr>
      </w:pPr>
      <w:r w:rsidRPr="00D355C3">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rsidR="00BB390C" w:rsidRPr="00D355C3" w:rsidRDefault="00E40C6A">
      <w:pPr>
        <w:spacing w:before="240" w:after="240" w:line="360" w:lineRule="auto"/>
        <w:jc w:val="both"/>
        <w:rPr>
          <w:rFonts w:ascii="Palatino Linotype" w:eastAsia="Palatino Linotype" w:hAnsi="Palatino Linotype" w:cs="Palatino Linotype"/>
        </w:rPr>
      </w:pPr>
      <w:r w:rsidRPr="00D355C3">
        <w:rPr>
          <w:rFonts w:ascii="Palatino Linotype" w:eastAsia="Palatino Linotype" w:hAnsi="Palatino Linotype" w:cs="Palatino Linotype"/>
        </w:rPr>
        <w:lastRenderedPageBreak/>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rsidR="00BB390C" w:rsidRPr="00D355C3" w:rsidRDefault="00E40C6A">
      <w:pPr>
        <w:spacing w:before="240" w:after="240" w:line="360" w:lineRule="auto"/>
        <w:jc w:val="both"/>
        <w:rPr>
          <w:rFonts w:ascii="Palatino Linotype" w:eastAsia="Palatino Linotype" w:hAnsi="Palatino Linotype" w:cs="Palatino Linotype"/>
        </w:rPr>
      </w:pPr>
      <w:r w:rsidRPr="00D355C3">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BB390C" w:rsidRPr="00D355C3" w:rsidRDefault="00E40C6A">
      <w:pPr>
        <w:spacing w:before="240" w:after="240" w:line="360" w:lineRule="auto"/>
        <w:jc w:val="both"/>
        <w:rPr>
          <w:rFonts w:ascii="Palatino Linotype" w:eastAsia="Palatino Linotype" w:hAnsi="Palatino Linotype" w:cs="Palatino Linotype"/>
        </w:rPr>
      </w:pPr>
      <w:r w:rsidRPr="00D355C3">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BB390C" w:rsidRPr="00D355C3" w:rsidRDefault="00E40C6A">
      <w:pPr>
        <w:spacing w:before="240" w:after="240" w:line="360" w:lineRule="auto"/>
        <w:jc w:val="both"/>
        <w:rPr>
          <w:rFonts w:ascii="Palatino Linotype" w:eastAsia="Palatino Linotype" w:hAnsi="Palatino Linotype" w:cs="Palatino Linotype"/>
          <w:strike/>
        </w:rPr>
      </w:pPr>
      <w:r w:rsidRPr="00D355C3">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rsidR="00BB390C" w:rsidRPr="00D355C3" w:rsidRDefault="00E40C6A">
      <w:pPr>
        <w:numPr>
          <w:ilvl w:val="0"/>
          <w:numId w:val="1"/>
        </w:numPr>
        <w:spacing w:before="240" w:after="240" w:line="360" w:lineRule="auto"/>
        <w:jc w:val="both"/>
        <w:rPr>
          <w:rFonts w:ascii="Palatino Linotype" w:eastAsia="Palatino Linotype" w:hAnsi="Palatino Linotype" w:cs="Palatino Linotype"/>
        </w:rPr>
      </w:pPr>
      <w:r w:rsidRPr="00D355C3">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rsidR="00BB390C" w:rsidRPr="00D355C3" w:rsidRDefault="00E40C6A">
      <w:pPr>
        <w:numPr>
          <w:ilvl w:val="0"/>
          <w:numId w:val="1"/>
        </w:numPr>
        <w:spacing w:before="240" w:after="240" w:line="360" w:lineRule="auto"/>
        <w:jc w:val="both"/>
        <w:rPr>
          <w:rFonts w:ascii="Palatino Linotype" w:eastAsia="Palatino Linotype" w:hAnsi="Palatino Linotype" w:cs="Palatino Linotype"/>
        </w:rPr>
      </w:pPr>
      <w:r w:rsidRPr="00D355C3">
        <w:rPr>
          <w:rFonts w:ascii="Palatino Linotype" w:eastAsia="Palatino Linotype" w:hAnsi="Palatino Linotype" w:cs="Palatino Linotype"/>
        </w:rPr>
        <w:t>Actividad Procesal del interesado. Acciones u omisiones del interesado.</w:t>
      </w:r>
    </w:p>
    <w:p w:rsidR="00BB390C" w:rsidRPr="00D355C3" w:rsidRDefault="00E40C6A">
      <w:pPr>
        <w:numPr>
          <w:ilvl w:val="0"/>
          <w:numId w:val="1"/>
        </w:numPr>
        <w:spacing w:before="240" w:after="240" w:line="360" w:lineRule="auto"/>
        <w:jc w:val="both"/>
        <w:rPr>
          <w:rFonts w:ascii="Palatino Linotype" w:eastAsia="Palatino Linotype" w:hAnsi="Palatino Linotype" w:cs="Palatino Linotype"/>
        </w:rPr>
      </w:pPr>
      <w:r w:rsidRPr="00D355C3">
        <w:rPr>
          <w:rFonts w:ascii="Palatino Linotype" w:eastAsia="Palatino Linotype" w:hAnsi="Palatino Linotype" w:cs="Palatino Linotype"/>
        </w:rPr>
        <w:lastRenderedPageBreak/>
        <w:t>Conducta de la Autoridad: Las Acciones u omisiones realizadas en el procedimiento. Así como si la autoridad actuó con la debida diligencia.</w:t>
      </w:r>
    </w:p>
    <w:p w:rsidR="00BB390C" w:rsidRPr="00D355C3" w:rsidRDefault="00E40C6A">
      <w:pPr>
        <w:spacing w:before="240" w:after="240" w:line="360" w:lineRule="auto"/>
        <w:ind w:left="567"/>
        <w:jc w:val="both"/>
        <w:rPr>
          <w:rFonts w:ascii="Palatino Linotype" w:eastAsia="Palatino Linotype" w:hAnsi="Palatino Linotype" w:cs="Palatino Linotype"/>
        </w:rPr>
      </w:pPr>
      <w:r w:rsidRPr="00D355C3">
        <w:rPr>
          <w:rFonts w:ascii="Palatino Linotype" w:eastAsia="Palatino Linotype" w:hAnsi="Palatino Linotype" w:cs="Palatino Linotype"/>
        </w:rPr>
        <w:t>d) La afectación generada en la situación jurídica de la persona involucrada en el proceso: Violación a sus derechos humanos.</w:t>
      </w:r>
    </w:p>
    <w:p w:rsidR="00BB390C" w:rsidRPr="00D355C3" w:rsidRDefault="00E40C6A">
      <w:pPr>
        <w:spacing w:before="240" w:after="240" w:line="360" w:lineRule="auto"/>
        <w:jc w:val="both"/>
        <w:rPr>
          <w:rFonts w:ascii="Palatino Linotype" w:eastAsia="Palatino Linotype" w:hAnsi="Palatino Linotype" w:cs="Palatino Linotype"/>
        </w:rPr>
      </w:pPr>
      <w:r w:rsidRPr="00D355C3">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BB390C" w:rsidRPr="00D355C3" w:rsidRDefault="00E40C6A">
      <w:pPr>
        <w:spacing w:before="240" w:after="240" w:line="360" w:lineRule="auto"/>
        <w:jc w:val="both"/>
        <w:rPr>
          <w:rFonts w:ascii="Palatino Linotype" w:eastAsia="Palatino Linotype" w:hAnsi="Palatino Linotype" w:cs="Palatino Linotype"/>
          <w:b/>
        </w:rPr>
      </w:pPr>
      <w:r w:rsidRPr="00D355C3">
        <w:rPr>
          <w:rFonts w:ascii="Palatino Linotype" w:eastAsia="Palatino Linotype" w:hAnsi="Palatino Linotype" w:cs="Palatino Linotype"/>
        </w:rPr>
        <w:t>Argumento que encuentra sustento en la jurisprudencia P</w:t>
      </w:r>
      <w:proofErr w:type="gramStart"/>
      <w:r w:rsidRPr="00D355C3">
        <w:rPr>
          <w:rFonts w:ascii="Palatino Linotype" w:eastAsia="Palatino Linotype" w:hAnsi="Palatino Linotype" w:cs="Palatino Linotype"/>
        </w:rPr>
        <w:t>./</w:t>
      </w:r>
      <w:proofErr w:type="gramEnd"/>
      <w:r w:rsidRPr="00D355C3">
        <w:rPr>
          <w:rFonts w:ascii="Palatino Linotype" w:eastAsia="Palatino Linotype" w:hAnsi="Palatino Linotype" w:cs="Palatino Linotype"/>
        </w:rPr>
        <w:t xml:space="preserve">J. 32/92 emitida por el Pleno de la Suprema Corte de Justicia de la Nación de rubro </w:t>
      </w:r>
      <w:r w:rsidRPr="00D355C3">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D355C3">
        <w:rPr>
          <w:rFonts w:ascii="Palatino Linotype" w:eastAsia="Palatino Linotype" w:hAnsi="Palatino Linotype" w:cs="Palatino Linotype"/>
        </w:rPr>
        <w:t>, visible en la Gaceta del Seminario Judicial de la Federación con el registro digital 205635.</w:t>
      </w:r>
    </w:p>
    <w:p w:rsidR="00BB390C" w:rsidRPr="00D355C3" w:rsidRDefault="00E40C6A">
      <w:pPr>
        <w:spacing w:before="240" w:after="240" w:line="360" w:lineRule="auto"/>
        <w:jc w:val="both"/>
        <w:rPr>
          <w:rFonts w:ascii="Palatino Linotype" w:eastAsia="Palatino Linotype" w:hAnsi="Palatino Linotype" w:cs="Palatino Linotype"/>
        </w:rPr>
      </w:pPr>
      <w:r w:rsidRPr="00D355C3">
        <w:rPr>
          <w:rFonts w:ascii="Palatino Linotype" w:eastAsia="Palatino Linotype" w:hAnsi="Palatino Linotype" w:cs="Palatino Linotype"/>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w:t>
      </w:r>
      <w:r w:rsidRPr="00D355C3">
        <w:rPr>
          <w:rFonts w:ascii="Palatino Linotype" w:eastAsia="Palatino Linotype" w:hAnsi="Palatino Linotype" w:cs="Palatino Linotype"/>
        </w:rPr>
        <w:lastRenderedPageBreak/>
        <w:t>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BB390C" w:rsidRPr="00D355C3" w:rsidRDefault="00E40C6A">
      <w:pPr>
        <w:spacing w:before="240" w:after="240" w:line="360" w:lineRule="auto"/>
        <w:jc w:val="both"/>
        <w:rPr>
          <w:rFonts w:ascii="Palatino Linotype" w:eastAsia="Palatino Linotype" w:hAnsi="Palatino Linotype" w:cs="Palatino Linotype"/>
        </w:rPr>
      </w:pPr>
      <w:r w:rsidRPr="00D355C3">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rsidR="00BB390C" w:rsidRPr="00D355C3" w:rsidRDefault="00E40C6A">
      <w:pPr>
        <w:spacing w:before="240" w:after="240"/>
        <w:ind w:left="851" w:right="902"/>
        <w:jc w:val="both"/>
        <w:rPr>
          <w:rFonts w:ascii="Palatino Linotype" w:eastAsia="Palatino Linotype" w:hAnsi="Palatino Linotype" w:cs="Palatino Linotype"/>
          <w:sz w:val="22"/>
          <w:szCs w:val="22"/>
        </w:rPr>
      </w:pPr>
      <w:r w:rsidRPr="00D355C3">
        <w:rPr>
          <w:rFonts w:ascii="Palatino Linotype" w:eastAsia="Palatino Linotype" w:hAnsi="Palatino Linotype" w:cs="Palatino Linotype"/>
        </w:rPr>
        <w:t xml:space="preserve"> </w:t>
      </w:r>
      <w:r w:rsidRPr="00D355C3">
        <w:rPr>
          <w:rFonts w:ascii="Palatino Linotype" w:eastAsia="Palatino Linotype" w:hAnsi="Palatino Linotype" w:cs="Palatino Linotype"/>
          <w:i/>
          <w:sz w:val="22"/>
          <w:szCs w:val="22"/>
        </w:rPr>
        <w:t>“</w:t>
      </w:r>
      <w:r w:rsidRPr="00D355C3">
        <w:rPr>
          <w:rFonts w:ascii="Palatino Linotype" w:eastAsia="Palatino Linotype" w:hAnsi="Palatino Linotype" w:cs="Palatino Linotype"/>
          <w:b/>
          <w:i/>
          <w:sz w:val="22"/>
          <w:szCs w:val="22"/>
        </w:rPr>
        <w:t>PLAZO RAZONABLE PARA RESOLVER. DIMENSIÓN Y EFECTOS DE ESTE CONCEPTO CUANDO SE ADUCE EXCESIVA CARGA DE TRABAJO</w:t>
      </w:r>
      <w:r w:rsidRPr="00D355C3">
        <w:rPr>
          <w:rFonts w:ascii="Palatino Linotype" w:eastAsia="Palatino Linotype" w:hAnsi="Palatino Linotype" w:cs="Palatino Linotype"/>
          <w:i/>
          <w:sz w:val="22"/>
          <w:szCs w:val="22"/>
        </w:rPr>
        <w:t>.”</w:t>
      </w:r>
      <w:r w:rsidRPr="00D355C3">
        <w:rPr>
          <w:rFonts w:ascii="Palatino Linotype" w:eastAsia="Palatino Linotype" w:hAnsi="Palatino Linotype" w:cs="Palatino Linotype"/>
          <w:sz w:val="22"/>
          <w:szCs w:val="22"/>
        </w:rPr>
        <w:t xml:space="preserve"> consultable en el Seminario Judicial de la Federación y su gaceta, con el registro digital 2002351.</w:t>
      </w:r>
    </w:p>
    <w:p w:rsidR="00BB390C" w:rsidRPr="00D355C3" w:rsidRDefault="00E40C6A">
      <w:pPr>
        <w:spacing w:before="240" w:after="240"/>
        <w:ind w:left="851" w:right="902"/>
        <w:jc w:val="both"/>
        <w:rPr>
          <w:rFonts w:ascii="Palatino Linotype" w:eastAsia="Palatino Linotype" w:hAnsi="Palatino Linotype" w:cs="Palatino Linotype"/>
          <w:sz w:val="22"/>
          <w:szCs w:val="22"/>
        </w:rPr>
      </w:pPr>
      <w:r w:rsidRPr="00D355C3">
        <w:rPr>
          <w:rFonts w:ascii="Palatino Linotype" w:eastAsia="Palatino Linotype" w:hAnsi="Palatino Linotype" w:cs="Palatino Linotype"/>
          <w:i/>
          <w:sz w:val="22"/>
          <w:szCs w:val="22"/>
        </w:rPr>
        <w:t>“</w:t>
      </w:r>
      <w:r w:rsidRPr="00D355C3">
        <w:rPr>
          <w:rFonts w:ascii="Palatino Linotype" w:eastAsia="Palatino Linotype" w:hAnsi="Palatino Linotype" w:cs="Palatino Linotype"/>
          <w:b/>
          <w:i/>
          <w:sz w:val="22"/>
          <w:szCs w:val="22"/>
        </w:rPr>
        <w:t>PLAZO RAZONABLE PARA RESOLVER. CONCEPTO Y ELEMENTOS QUE LO INTEGRAN A LA LUZ DEL DERECHO INTERNACIONAL DE LOS DERECHOS HUMANOS</w:t>
      </w:r>
      <w:r w:rsidRPr="00D355C3">
        <w:rPr>
          <w:rFonts w:ascii="Palatino Linotype" w:eastAsia="Palatino Linotype" w:hAnsi="Palatino Linotype" w:cs="Palatino Linotype"/>
          <w:i/>
          <w:sz w:val="22"/>
          <w:szCs w:val="22"/>
        </w:rPr>
        <w:t>.”</w:t>
      </w:r>
      <w:r w:rsidRPr="00D355C3">
        <w:rPr>
          <w:rFonts w:ascii="Palatino Linotype" w:eastAsia="Palatino Linotype" w:hAnsi="Palatino Linotype" w:cs="Palatino Linotype"/>
          <w:sz w:val="22"/>
          <w:szCs w:val="22"/>
        </w:rPr>
        <w:t>, visible en el Seminario Judicial de la Federación y su gaceta, con el registro digital 2002350.</w:t>
      </w:r>
    </w:p>
    <w:p w:rsidR="00BB390C" w:rsidRPr="00D355C3" w:rsidRDefault="00E40C6A">
      <w:pPr>
        <w:spacing w:before="240" w:after="240" w:line="360" w:lineRule="auto"/>
        <w:jc w:val="both"/>
        <w:rPr>
          <w:rFonts w:ascii="Palatino Linotype" w:eastAsia="Palatino Linotype" w:hAnsi="Palatino Linotype" w:cs="Palatino Linotype"/>
        </w:rPr>
      </w:pPr>
      <w:r w:rsidRPr="00D355C3">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rsidR="00BB390C" w:rsidRPr="00D355C3" w:rsidRDefault="00E40C6A">
      <w:pPr>
        <w:spacing w:before="240" w:after="240" w:line="360" w:lineRule="auto"/>
        <w:jc w:val="both"/>
        <w:rPr>
          <w:rFonts w:ascii="Palatino Linotype" w:eastAsia="Palatino Linotype" w:hAnsi="Palatino Linotype" w:cs="Palatino Linotype"/>
        </w:rPr>
      </w:pPr>
      <w:r w:rsidRPr="00D355C3">
        <w:rPr>
          <w:rFonts w:ascii="Palatino Linotype" w:eastAsia="Palatino Linotype" w:hAnsi="Palatino Linotype" w:cs="Palatino Linotype"/>
          <w:b/>
        </w:rPr>
        <w:t xml:space="preserve">8. Cierre de instrucción. </w:t>
      </w:r>
      <w:r w:rsidRPr="00D355C3">
        <w:rPr>
          <w:rFonts w:ascii="Palatino Linotype" w:eastAsia="Palatino Linotype" w:hAnsi="Palatino Linotype" w:cs="Palatino Linotype"/>
        </w:rPr>
        <w:t xml:space="preserve">Una vez transcurrido el periodo otorgado a las partes para realizar sus manifestaciones y no habiendo documentos que integrar al expediente, con fecha </w:t>
      </w:r>
      <w:r w:rsidRPr="00D355C3">
        <w:rPr>
          <w:rFonts w:ascii="Palatino Linotype" w:eastAsia="Palatino Linotype" w:hAnsi="Palatino Linotype" w:cs="Palatino Linotype"/>
          <w:b/>
        </w:rPr>
        <w:t>veintinueve de enero de dos mil veinticuatro</w:t>
      </w:r>
      <w:r w:rsidRPr="00D355C3">
        <w:rPr>
          <w:rFonts w:ascii="Palatino Linotype" w:eastAsia="Palatino Linotype" w:hAnsi="Palatino Linotype" w:cs="Palatino Linotype"/>
        </w:rPr>
        <w:t xml:space="preserve"> la Comisionada Ponente determinó el cierre de instrucción en términos de la fracción VI del artículo 185 de </w:t>
      </w:r>
      <w:r w:rsidRPr="00D355C3">
        <w:rPr>
          <w:rFonts w:ascii="Palatino Linotype" w:eastAsia="Palatino Linotype" w:hAnsi="Palatino Linotype" w:cs="Palatino Linotype"/>
        </w:rPr>
        <w:lastRenderedPageBreak/>
        <w:t>la Ley de Transparencia y Acceso a la Información Pública del Estado de México y Municipios</w:t>
      </w:r>
    </w:p>
    <w:p w:rsidR="00BB390C" w:rsidRPr="00D355C3" w:rsidRDefault="00E40C6A">
      <w:pPr>
        <w:spacing w:before="240" w:after="240" w:line="360" w:lineRule="auto"/>
        <w:jc w:val="both"/>
        <w:rPr>
          <w:rFonts w:ascii="Palatino Linotype" w:eastAsia="Palatino Linotype" w:hAnsi="Palatino Linotype" w:cs="Palatino Linotype"/>
        </w:rPr>
      </w:pPr>
      <w:r w:rsidRPr="00D355C3">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rsidR="00BB390C" w:rsidRPr="00D355C3" w:rsidRDefault="00E40C6A">
      <w:pPr>
        <w:widowControl w:val="0"/>
        <w:spacing w:before="240" w:after="240" w:line="360" w:lineRule="auto"/>
        <w:jc w:val="center"/>
        <w:rPr>
          <w:rFonts w:ascii="Palatino Linotype" w:eastAsia="Palatino Linotype" w:hAnsi="Palatino Linotype" w:cs="Palatino Linotype"/>
          <w:b/>
        </w:rPr>
      </w:pPr>
      <w:r w:rsidRPr="00D355C3">
        <w:rPr>
          <w:rFonts w:ascii="Palatino Linotype" w:eastAsia="Palatino Linotype" w:hAnsi="Palatino Linotype" w:cs="Palatino Linotype"/>
          <w:b/>
        </w:rPr>
        <w:t>II. C O N S I D E R A N D O S</w:t>
      </w:r>
    </w:p>
    <w:p w:rsidR="00BB390C" w:rsidRPr="00D355C3" w:rsidRDefault="00E40C6A">
      <w:pPr>
        <w:spacing w:before="240" w:after="240" w:line="360" w:lineRule="auto"/>
        <w:jc w:val="both"/>
        <w:rPr>
          <w:rFonts w:ascii="Palatino Linotype" w:eastAsia="Palatino Linotype" w:hAnsi="Palatino Linotype" w:cs="Palatino Linotype"/>
        </w:rPr>
      </w:pPr>
      <w:r w:rsidRPr="00D355C3">
        <w:rPr>
          <w:rFonts w:ascii="Palatino Linotype" w:eastAsia="Palatino Linotype" w:hAnsi="Palatino Linotype" w:cs="Palatino Linotype"/>
          <w:b/>
        </w:rPr>
        <w:t>Primero. Competencia.</w:t>
      </w:r>
      <w:r w:rsidRPr="00D355C3">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rsidR="00BB390C" w:rsidRPr="00D355C3" w:rsidRDefault="00E40C6A">
      <w:pPr>
        <w:spacing w:before="240" w:after="240" w:line="360" w:lineRule="auto"/>
        <w:jc w:val="both"/>
        <w:rPr>
          <w:rFonts w:ascii="Palatino Linotype" w:eastAsia="Palatino Linotype" w:hAnsi="Palatino Linotype" w:cs="Palatino Linotype"/>
        </w:rPr>
      </w:pPr>
      <w:bookmarkStart w:id="6" w:name="_heading=h.tyjcwt" w:colFirst="0" w:colLast="0"/>
      <w:bookmarkEnd w:id="6"/>
      <w:r w:rsidRPr="00D355C3">
        <w:rPr>
          <w:rFonts w:ascii="Palatino Linotype" w:eastAsia="Palatino Linotype" w:hAnsi="Palatino Linotype" w:cs="Palatino Linotype"/>
          <w:b/>
        </w:rPr>
        <w:t xml:space="preserve">Segundo. Oportunidad y </w:t>
      </w:r>
      <w:proofErr w:type="spellStart"/>
      <w:r w:rsidRPr="00D355C3">
        <w:rPr>
          <w:rFonts w:ascii="Palatino Linotype" w:eastAsia="Palatino Linotype" w:hAnsi="Palatino Linotype" w:cs="Palatino Linotype"/>
          <w:b/>
        </w:rPr>
        <w:t>Procedibilidad</w:t>
      </w:r>
      <w:proofErr w:type="spellEnd"/>
      <w:r w:rsidRPr="00D355C3">
        <w:rPr>
          <w:rFonts w:ascii="Palatino Linotype" w:eastAsia="Palatino Linotype" w:hAnsi="Palatino Linotype" w:cs="Palatino Linotype"/>
          <w:b/>
        </w:rPr>
        <w:t xml:space="preserve"> del Recurso de Revisión</w:t>
      </w:r>
      <w:r w:rsidRPr="00D355C3">
        <w:rPr>
          <w:rFonts w:ascii="Palatino Linotype" w:eastAsia="Palatino Linotype" w:hAnsi="Palatino Linotype" w:cs="Palatino Linotype"/>
        </w:rPr>
        <w:t xml:space="preserve">. Previo al estudio del fondo del asunto, se procede a analizar los requisitos de oportunidad y </w:t>
      </w:r>
      <w:proofErr w:type="spellStart"/>
      <w:r w:rsidRPr="00D355C3">
        <w:rPr>
          <w:rFonts w:ascii="Palatino Linotype" w:eastAsia="Palatino Linotype" w:hAnsi="Palatino Linotype" w:cs="Palatino Linotype"/>
        </w:rPr>
        <w:t>procedibilidad</w:t>
      </w:r>
      <w:proofErr w:type="spellEnd"/>
      <w:r w:rsidRPr="00D355C3">
        <w:rPr>
          <w:rFonts w:ascii="Palatino Linotype" w:eastAsia="Palatino Linotype" w:hAnsi="Palatino Linotype" w:cs="Palatino Linotype"/>
        </w:rPr>
        <w:t xml:space="preserve"> que debe reunir el recurso de revisión interpuesto, previstos en los artículos 178 y 180 de la Ley de Transparencia y Acceso a la Información Pública del Estado de México y Municipios.</w:t>
      </w:r>
    </w:p>
    <w:p w:rsidR="00BB390C" w:rsidRPr="00D355C3" w:rsidRDefault="00E40C6A">
      <w:pPr>
        <w:spacing w:before="240" w:after="240" w:line="360" w:lineRule="auto"/>
        <w:jc w:val="both"/>
        <w:rPr>
          <w:rFonts w:ascii="Palatino Linotype" w:eastAsia="Palatino Linotype" w:hAnsi="Palatino Linotype" w:cs="Palatino Linotype"/>
        </w:rPr>
      </w:pPr>
      <w:r w:rsidRPr="00D355C3">
        <w:rPr>
          <w:rFonts w:ascii="Palatino Linotype" w:eastAsia="Palatino Linotype" w:hAnsi="Palatino Linotype" w:cs="Palatino Linotype"/>
        </w:rPr>
        <w:lastRenderedPageBreak/>
        <w:t xml:space="preserve">El recurso de revisión fue interpuesto dentro del plazo de quince días hábiles, previsto en el artículo 178 de la Ley de Transparencia y Acceso a la Información Pública del Estado de México y Municipios, toda vez que el </w:t>
      </w:r>
      <w:r w:rsidRPr="00D355C3">
        <w:rPr>
          <w:rFonts w:ascii="Palatino Linotype" w:eastAsia="Palatino Linotype" w:hAnsi="Palatino Linotype" w:cs="Palatino Linotype"/>
          <w:b/>
        </w:rPr>
        <w:t xml:space="preserve">Sujeto Obligado </w:t>
      </w:r>
      <w:r w:rsidRPr="00D355C3">
        <w:rPr>
          <w:rFonts w:ascii="Palatino Linotype" w:eastAsia="Palatino Linotype" w:hAnsi="Palatino Linotype" w:cs="Palatino Linotype"/>
        </w:rPr>
        <w:t xml:space="preserve">remitió la respuesta a la solicitud de información el día </w:t>
      </w:r>
      <w:r w:rsidRPr="00D355C3">
        <w:rPr>
          <w:rFonts w:ascii="Palatino Linotype" w:eastAsia="Palatino Linotype" w:hAnsi="Palatino Linotype" w:cs="Palatino Linotype"/>
          <w:b/>
        </w:rPr>
        <w:t xml:space="preserve">tres de julio de dos mil veintitrés, </w:t>
      </w:r>
      <w:r w:rsidRPr="00D355C3">
        <w:rPr>
          <w:rFonts w:ascii="Palatino Linotype" w:eastAsia="Palatino Linotype" w:hAnsi="Palatino Linotype" w:cs="Palatino Linotype"/>
        </w:rPr>
        <w:t xml:space="preserve">mientras que el recurso de revisión interpuesto por la parte </w:t>
      </w:r>
      <w:r w:rsidRPr="00D355C3">
        <w:rPr>
          <w:rFonts w:ascii="Palatino Linotype" w:eastAsia="Palatino Linotype" w:hAnsi="Palatino Linotype" w:cs="Palatino Linotype"/>
          <w:b/>
        </w:rPr>
        <w:t>Recurrente</w:t>
      </w:r>
      <w:r w:rsidRPr="00D355C3">
        <w:rPr>
          <w:rFonts w:ascii="Palatino Linotype" w:eastAsia="Palatino Linotype" w:hAnsi="Palatino Linotype" w:cs="Palatino Linotype"/>
        </w:rPr>
        <w:t xml:space="preserve">, se tuvo por presentado el día </w:t>
      </w:r>
      <w:r w:rsidRPr="00D355C3">
        <w:rPr>
          <w:rFonts w:ascii="Palatino Linotype" w:eastAsia="Palatino Linotype" w:hAnsi="Palatino Linotype" w:cs="Palatino Linotype"/>
          <w:b/>
        </w:rPr>
        <w:t>tres de julio de dos mil veintitrés</w:t>
      </w:r>
      <w:r w:rsidRPr="00D355C3">
        <w:rPr>
          <w:rFonts w:ascii="Palatino Linotype" w:eastAsia="Palatino Linotype" w:hAnsi="Palatino Linotype" w:cs="Palatino Linotype"/>
        </w:rPr>
        <w:t>, esto es el mismo día en que tuvo conocimiento de la respuesta impugnada. En este sentido, se concluye que el presente recurso de revisión se encuentra dentro de los márgenes temporales previstos en las disposiciones legales referidas.</w:t>
      </w:r>
    </w:p>
    <w:p w:rsidR="00BB390C" w:rsidRPr="00D355C3" w:rsidRDefault="00E40C6A">
      <w:pPr>
        <w:spacing w:before="240" w:after="240" w:line="360" w:lineRule="auto"/>
        <w:jc w:val="both"/>
        <w:rPr>
          <w:rFonts w:ascii="Palatino Linotype" w:eastAsia="Palatino Linotype" w:hAnsi="Palatino Linotype" w:cs="Palatino Linotype"/>
        </w:rPr>
      </w:pPr>
      <w:r w:rsidRPr="00D355C3">
        <w:rPr>
          <w:rFonts w:ascii="Palatino Linotype" w:eastAsia="Palatino Linotype" w:hAnsi="Palatino Linotype" w:cs="Palatino Linotype"/>
        </w:rPr>
        <w:t>Sin que contraríe a lo anterior, el artículo 178 en análisis, refiere que el plazo de quince días hábiles se contará a partir del día siguiente de la fecha en que el afectado tuvo conocimiento de la resolución materia de impugnación, ya que ello debe entenderse para el efecto de que transcurrido dicho plazo ya no podrá presentarse el medio de impugnación o si es que se presenta, el mismo se considerará extemporáneo, no así cuando el medio de defensa se interponga antes de que comience a correr el plazo legal; tiene aplicación por analogía, la jurisprudencia 1ª. /J.41/2015, publicada en el Semanario Judicial de la Federación y su Gaceta, Libro 19, Junio de 2015, Tomo I, página 569 de la Décima época que lleva por rubro y texto los siguientes:</w:t>
      </w:r>
    </w:p>
    <w:p w:rsidR="00BB390C" w:rsidRPr="00D355C3" w:rsidRDefault="00E40C6A">
      <w:pPr>
        <w:spacing w:before="120" w:after="120"/>
        <w:ind w:left="851" w:right="902"/>
        <w:jc w:val="both"/>
        <w:rPr>
          <w:rFonts w:ascii="Palatino Linotype" w:eastAsia="Palatino Linotype" w:hAnsi="Palatino Linotype" w:cs="Palatino Linotype"/>
          <w:i/>
          <w:sz w:val="22"/>
          <w:szCs w:val="22"/>
        </w:rPr>
      </w:pPr>
      <w:r w:rsidRPr="00D355C3">
        <w:rPr>
          <w:rFonts w:ascii="Palatino Linotype" w:eastAsia="Palatino Linotype" w:hAnsi="Palatino Linotype" w:cs="Palatino Linotype"/>
          <w:b/>
          <w:i/>
          <w:sz w:val="22"/>
          <w:szCs w:val="22"/>
        </w:rPr>
        <w:t>“RECURSO DE RECLAMACIÓN. SU INTERPOSICIÓN NO ES EXTEMPORÁNEA SI SE REALIZA ANTES DE QUE INICIE EL PLAZO PARA HACERLO</w:t>
      </w:r>
      <w:r w:rsidRPr="00D355C3">
        <w:rPr>
          <w:rFonts w:ascii="Palatino Linotype" w:eastAsia="Palatino Linotype" w:hAnsi="Palatino Linotype" w:cs="Palatino Linotype"/>
          <w:i/>
          <w:sz w:val="22"/>
          <w:szCs w:val="22"/>
        </w:rPr>
        <w:t xml:space="preserve">. 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w:t>
      </w:r>
      <w:r w:rsidRPr="00D355C3">
        <w:rPr>
          <w:rFonts w:ascii="Palatino Linotype" w:eastAsia="Palatino Linotype" w:hAnsi="Palatino Linotype" w:cs="Palatino Linotype"/>
          <w:i/>
          <w:sz w:val="22"/>
          <w:szCs w:val="22"/>
        </w:rPr>
        <w:lastRenderedPageBreak/>
        <w:t>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rsidR="00BB390C" w:rsidRPr="00D355C3" w:rsidRDefault="00E40C6A">
      <w:pPr>
        <w:tabs>
          <w:tab w:val="left" w:pos="7938"/>
        </w:tabs>
        <w:spacing w:before="240" w:after="240" w:line="360" w:lineRule="auto"/>
        <w:jc w:val="both"/>
        <w:rPr>
          <w:rFonts w:ascii="Palatino Linotype" w:eastAsia="Palatino Linotype" w:hAnsi="Palatino Linotype" w:cs="Palatino Linotype"/>
        </w:rPr>
      </w:pPr>
      <w:bookmarkStart w:id="7" w:name="_heading=h.3znysh7" w:colFirst="0" w:colLast="0"/>
      <w:bookmarkEnd w:id="7"/>
      <w:r w:rsidRPr="00D355C3">
        <w:rPr>
          <w:rFonts w:ascii="Palatino Linotype" w:eastAsia="Palatino Linotype" w:hAnsi="Palatino Linotype" w:cs="Palatino Linotype"/>
        </w:rPr>
        <w:t xml:space="preserve">Al mismo tiempo, por cuanto hace a la </w:t>
      </w:r>
      <w:proofErr w:type="spellStart"/>
      <w:r w:rsidRPr="00D355C3">
        <w:rPr>
          <w:rFonts w:ascii="Palatino Linotype" w:eastAsia="Palatino Linotype" w:hAnsi="Palatino Linotype" w:cs="Palatino Linotype"/>
        </w:rPr>
        <w:t>procedibilidad</w:t>
      </w:r>
      <w:proofErr w:type="spellEnd"/>
      <w:r w:rsidRPr="00D355C3">
        <w:rPr>
          <w:rFonts w:ascii="Palatino Linotype" w:eastAsia="Palatino Linotype" w:hAnsi="Palatino Linotype" w:cs="Palatino Linotype"/>
        </w:rPr>
        <w:t xml:space="preserve"> del recurso de revisión, una vez realizado el análisis del formato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rsidR="00BB390C" w:rsidRPr="00D355C3" w:rsidRDefault="00E40C6A">
      <w:pPr>
        <w:spacing w:before="240" w:after="240" w:line="360" w:lineRule="auto"/>
        <w:jc w:val="both"/>
        <w:rPr>
          <w:rFonts w:ascii="Palatino Linotype" w:eastAsia="Palatino Linotype" w:hAnsi="Palatino Linotype" w:cs="Palatino Linotype"/>
        </w:rPr>
      </w:pPr>
      <w:r w:rsidRPr="00D355C3">
        <w:rPr>
          <w:rFonts w:ascii="Palatino Linotype" w:eastAsia="Palatino Linotype" w:hAnsi="Palatino Linotype" w:cs="Palatino Linotype"/>
        </w:rPr>
        <w:t xml:space="preserve">Finalmente, se advierte que resulta procedente la interposición del recurso, según lo manifestado por la parte </w:t>
      </w:r>
      <w:r w:rsidRPr="00D355C3">
        <w:rPr>
          <w:rFonts w:ascii="Palatino Linotype" w:eastAsia="Palatino Linotype" w:hAnsi="Palatino Linotype" w:cs="Palatino Linotype"/>
          <w:b/>
        </w:rPr>
        <w:t>Recurrente</w:t>
      </w:r>
      <w:r w:rsidRPr="00D355C3">
        <w:rPr>
          <w:rFonts w:ascii="Palatino Linotype" w:eastAsia="Palatino Linotype" w:hAnsi="Palatino Linotype" w:cs="Palatino Linotype"/>
        </w:rPr>
        <w:t xml:space="preserve"> en sus motivos de inconformidad, de acuerdo al artículo 179, fracción V del ordenamiento legal citado, que a la letra dice: </w:t>
      </w:r>
    </w:p>
    <w:p w:rsidR="00BB390C" w:rsidRPr="00D355C3" w:rsidRDefault="00E40C6A">
      <w:pPr>
        <w:spacing w:before="120" w:after="120"/>
        <w:ind w:left="851" w:right="902"/>
        <w:jc w:val="both"/>
        <w:rPr>
          <w:rFonts w:ascii="Palatino Linotype" w:eastAsia="Palatino Linotype" w:hAnsi="Palatino Linotype" w:cs="Palatino Linotype"/>
          <w:i/>
          <w:sz w:val="22"/>
          <w:szCs w:val="22"/>
        </w:rPr>
      </w:pPr>
      <w:r w:rsidRPr="00D355C3">
        <w:rPr>
          <w:rFonts w:ascii="Palatino Linotype" w:eastAsia="Palatino Linotype" w:hAnsi="Palatino Linotype" w:cs="Palatino Linotype"/>
          <w:i/>
          <w:sz w:val="22"/>
          <w:szCs w:val="22"/>
        </w:rPr>
        <w:t>“</w:t>
      </w:r>
      <w:r w:rsidRPr="00D355C3">
        <w:rPr>
          <w:rFonts w:ascii="Palatino Linotype" w:eastAsia="Palatino Linotype" w:hAnsi="Palatino Linotype" w:cs="Palatino Linotype"/>
          <w:b/>
          <w:i/>
          <w:sz w:val="22"/>
          <w:szCs w:val="22"/>
        </w:rPr>
        <w:t>Artículo 179.</w:t>
      </w:r>
      <w:r w:rsidRPr="00D355C3">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rsidR="00BB390C" w:rsidRPr="00D355C3" w:rsidRDefault="00E40C6A">
      <w:pPr>
        <w:spacing w:before="120" w:after="120"/>
        <w:ind w:left="1134"/>
        <w:rPr>
          <w:rFonts w:ascii="Palatino Linotype" w:eastAsia="Palatino Linotype" w:hAnsi="Palatino Linotype" w:cs="Palatino Linotype"/>
          <w:b/>
          <w:i/>
          <w:sz w:val="22"/>
          <w:szCs w:val="22"/>
        </w:rPr>
      </w:pPr>
      <w:r w:rsidRPr="00D355C3">
        <w:rPr>
          <w:rFonts w:ascii="Palatino Linotype" w:eastAsia="Palatino Linotype" w:hAnsi="Palatino Linotype" w:cs="Palatino Linotype"/>
          <w:b/>
          <w:i/>
          <w:sz w:val="22"/>
          <w:szCs w:val="22"/>
        </w:rPr>
        <w:t>...</w:t>
      </w:r>
    </w:p>
    <w:p w:rsidR="00BB390C" w:rsidRPr="00D355C3" w:rsidRDefault="00E40C6A">
      <w:pPr>
        <w:spacing w:before="120" w:after="120"/>
        <w:ind w:left="1134"/>
        <w:rPr>
          <w:rFonts w:ascii="Palatino Linotype" w:eastAsia="Palatino Linotype" w:hAnsi="Palatino Linotype" w:cs="Palatino Linotype"/>
          <w:i/>
          <w:sz w:val="22"/>
          <w:szCs w:val="22"/>
        </w:rPr>
      </w:pPr>
      <w:r w:rsidRPr="00D355C3">
        <w:rPr>
          <w:rFonts w:ascii="Palatino Linotype" w:eastAsia="Palatino Linotype" w:hAnsi="Palatino Linotype" w:cs="Palatino Linotype"/>
          <w:b/>
          <w:i/>
          <w:sz w:val="22"/>
          <w:szCs w:val="22"/>
        </w:rPr>
        <w:t xml:space="preserve">V. </w:t>
      </w:r>
      <w:r w:rsidRPr="00D355C3">
        <w:rPr>
          <w:rFonts w:ascii="Palatino Linotype" w:eastAsia="Palatino Linotype" w:hAnsi="Palatino Linotype" w:cs="Palatino Linotype"/>
          <w:i/>
          <w:sz w:val="22"/>
          <w:szCs w:val="22"/>
        </w:rPr>
        <w:t>La entrega de información incompleta;”</w:t>
      </w:r>
    </w:p>
    <w:p w:rsidR="00BB390C" w:rsidRPr="00D355C3" w:rsidRDefault="00E40C6A">
      <w:pPr>
        <w:spacing w:before="240" w:after="240" w:line="360" w:lineRule="auto"/>
        <w:jc w:val="both"/>
        <w:rPr>
          <w:rFonts w:ascii="Palatino Linotype" w:eastAsia="Palatino Linotype" w:hAnsi="Palatino Linotype" w:cs="Palatino Linotype"/>
        </w:rPr>
      </w:pPr>
      <w:r w:rsidRPr="00D355C3">
        <w:rPr>
          <w:rFonts w:ascii="Palatino Linotype" w:eastAsia="Palatino Linotype" w:hAnsi="Palatino Linotype" w:cs="Palatino Linotype"/>
          <w:b/>
        </w:rPr>
        <w:t>Tercero. Análisis de las causales de sobreseimiento del recurso de revisión.</w:t>
      </w:r>
      <w:r w:rsidRPr="00D355C3">
        <w:rPr>
          <w:rFonts w:ascii="Palatino Linotype" w:eastAsia="Palatino Linotype" w:hAnsi="Palatino Linotype" w:cs="Palatino Linotype"/>
        </w:rPr>
        <w:t xml:space="preserve"> En primera instancia, debe apuntarse que del análisis al recurso de revisión que ahora se resuelve, se tiene que se actualiza la causal de sobreseimiento del recurso de revisión establecido en la fracción III del artículo 192</w:t>
      </w:r>
      <w:r w:rsidRPr="00D355C3">
        <w:rPr>
          <w:rFonts w:ascii="Palatino Linotype" w:eastAsia="Palatino Linotype" w:hAnsi="Palatino Linotype" w:cs="Palatino Linotype"/>
          <w:vertAlign w:val="superscript"/>
        </w:rPr>
        <w:footnoteReference w:id="1"/>
      </w:r>
      <w:r w:rsidRPr="00D355C3">
        <w:rPr>
          <w:rFonts w:ascii="Palatino Linotype" w:eastAsia="Palatino Linotype" w:hAnsi="Palatino Linotype" w:cs="Palatino Linotype"/>
        </w:rPr>
        <w:t xml:space="preserve"> en relación con el diverso 186 </w:t>
      </w:r>
      <w:r w:rsidRPr="00D355C3">
        <w:rPr>
          <w:rFonts w:ascii="Palatino Linotype" w:eastAsia="Palatino Linotype" w:hAnsi="Palatino Linotype" w:cs="Palatino Linotype"/>
        </w:rPr>
        <w:lastRenderedPageBreak/>
        <w:t>fracción I</w:t>
      </w:r>
      <w:r w:rsidRPr="00D355C3">
        <w:rPr>
          <w:rFonts w:ascii="Palatino Linotype" w:eastAsia="Palatino Linotype" w:hAnsi="Palatino Linotype" w:cs="Palatino Linotype"/>
          <w:vertAlign w:val="superscript"/>
        </w:rPr>
        <w:footnoteReference w:id="2"/>
      </w:r>
      <w:r w:rsidRPr="00D355C3">
        <w:rPr>
          <w:rFonts w:ascii="Palatino Linotype" w:eastAsia="Palatino Linotype" w:hAnsi="Palatino Linotype" w:cs="Palatino Linotype"/>
        </w:rPr>
        <w:t xml:space="preserve">, ambos de la Ley de Transparencia y Acceso a la Información Pública del Estado de México y Municipios, derivado del contenido del informe justificado rendido por el </w:t>
      </w:r>
      <w:r w:rsidRPr="00D355C3">
        <w:rPr>
          <w:rFonts w:ascii="Palatino Linotype" w:eastAsia="Palatino Linotype" w:hAnsi="Palatino Linotype" w:cs="Palatino Linotype"/>
          <w:b/>
        </w:rPr>
        <w:t>Sujeto Obligado.</w:t>
      </w:r>
      <w:r w:rsidRPr="00D355C3">
        <w:rPr>
          <w:rFonts w:ascii="Palatino Linotype" w:eastAsia="Palatino Linotype" w:hAnsi="Palatino Linotype" w:cs="Palatino Linotype"/>
        </w:rPr>
        <w:t xml:space="preserve"> </w:t>
      </w:r>
    </w:p>
    <w:p w:rsidR="00BB390C" w:rsidRPr="00D355C3" w:rsidRDefault="00E40C6A">
      <w:pPr>
        <w:tabs>
          <w:tab w:val="left" w:pos="7513"/>
        </w:tabs>
        <w:spacing w:after="240" w:line="360" w:lineRule="auto"/>
        <w:ind w:right="49"/>
        <w:jc w:val="both"/>
        <w:rPr>
          <w:rFonts w:ascii="Palatino Linotype" w:eastAsia="Palatino Linotype" w:hAnsi="Palatino Linotype" w:cs="Palatino Linotype"/>
        </w:rPr>
      </w:pPr>
      <w:r w:rsidRPr="00D355C3">
        <w:rPr>
          <w:rFonts w:ascii="Palatino Linotype" w:eastAsia="Palatino Linotype" w:hAnsi="Palatino Linotype" w:cs="Palatino Linotype"/>
        </w:rPr>
        <w:t>Para una mejor comprensión del asunto, de las constancias que obran en el expediente electrónico, valoradas anteriormente, destacan por su importancia los antecedentes siguientes:</w:t>
      </w:r>
    </w:p>
    <w:p w:rsidR="00BB390C" w:rsidRPr="00D355C3" w:rsidRDefault="00E40C6A">
      <w:pPr>
        <w:tabs>
          <w:tab w:val="left" w:pos="7513"/>
        </w:tabs>
        <w:spacing w:before="240" w:after="240" w:line="360" w:lineRule="auto"/>
        <w:ind w:right="49"/>
        <w:jc w:val="both"/>
        <w:rPr>
          <w:rFonts w:ascii="Palatino Linotype" w:eastAsia="Palatino Linotype" w:hAnsi="Palatino Linotype" w:cs="Palatino Linotype"/>
        </w:rPr>
      </w:pPr>
      <w:r w:rsidRPr="00D355C3">
        <w:rPr>
          <w:rFonts w:ascii="Palatino Linotype" w:eastAsia="Palatino Linotype" w:hAnsi="Palatino Linotype" w:cs="Palatino Linotype"/>
        </w:rPr>
        <w:t xml:space="preserve">En la solicitud de información materia del presente recurso, la parte solicitante requirió al </w:t>
      </w:r>
      <w:r w:rsidRPr="00D355C3">
        <w:rPr>
          <w:rFonts w:ascii="Palatino Linotype" w:eastAsia="Palatino Linotype" w:hAnsi="Palatino Linotype" w:cs="Palatino Linotype"/>
          <w:b/>
        </w:rPr>
        <w:t>Sujeto Obligado,</w:t>
      </w:r>
      <w:r w:rsidRPr="00D355C3">
        <w:rPr>
          <w:rFonts w:ascii="Palatino Linotype" w:eastAsia="Palatino Linotype" w:hAnsi="Palatino Linotype" w:cs="Palatino Linotype"/>
        </w:rPr>
        <w:t xml:space="preserve"> lo siguiente:</w:t>
      </w:r>
    </w:p>
    <w:p w:rsidR="00BB390C" w:rsidRPr="00D355C3" w:rsidRDefault="00E40C6A">
      <w:pPr>
        <w:spacing w:before="240" w:after="240" w:line="360" w:lineRule="auto"/>
        <w:ind w:left="284" w:right="49"/>
        <w:jc w:val="both"/>
        <w:rPr>
          <w:rFonts w:ascii="Palatino Linotype" w:eastAsia="Palatino Linotype" w:hAnsi="Palatino Linotype" w:cs="Palatino Linotype"/>
        </w:rPr>
      </w:pPr>
      <w:r w:rsidRPr="00D355C3">
        <w:rPr>
          <w:rFonts w:ascii="Palatino Linotype" w:eastAsia="Palatino Linotype" w:hAnsi="Palatino Linotype" w:cs="Palatino Linotype"/>
        </w:rPr>
        <w:t xml:space="preserve">1. Del periodo que comprende del 01 de enero de 2023 al 31 de mayo de 2023 ¿cuántos servidores públicos con plaza operativa han causado ALTA en la nómina de la Universidad Mexiquense del Bicentenario? </w:t>
      </w:r>
    </w:p>
    <w:p w:rsidR="00BB390C" w:rsidRPr="00D355C3" w:rsidRDefault="00E40C6A">
      <w:pPr>
        <w:spacing w:before="240" w:after="240" w:line="360" w:lineRule="auto"/>
        <w:ind w:left="284" w:right="49"/>
        <w:jc w:val="both"/>
        <w:rPr>
          <w:rFonts w:ascii="Palatino Linotype" w:eastAsia="Palatino Linotype" w:hAnsi="Palatino Linotype" w:cs="Palatino Linotype"/>
        </w:rPr>
      </w:pPr>
      <w:r w:rsidRPr="00D355C3">
        <w:rPr>
          <w:rFonts w:ascii="Palatino Linotype" w:eastAsia="Palatino Linotype" w:hAnsi="Palatino Linotype" w:cs="Palatino Linotype"/>
        </w:rPr>
        <w:t xml:space="preserve">2. Del periodo que comprende del 01 de enero de 2023 al 31 de mayo de 2023 ¿cuántos servidores públicos con plaza operativa han causado BAJA DEFINITIVA en la nómina de la Universidad Mexiquense del Bicentenario? </w:t>
      </w:r>
    </w:p>
    <w:p w:rsidR="00BB390C" w:rsidRPr="00D355C3" w:rsidRDefault="00E40C6A">
      <w:pPr>
        <w:spacing w:before="240" w:after="240" w:line="360" w:lineRule="auto"/>
        <w:ind w:left="284" w:right="49"/>
        <w:jc w:val="both"/>
        <w:rPr>
          <w:rFonts w:ascii="Palatino Linotype" w:eastAsia="Palatino Linotype" w:hAnsi="Palatino Linotype" w:cs="Palatino Linotype"/>
        </w:rPr>
      </w:pPr>
      <w:r w:rsidRPr="00D355C3">
        <w:rPr>
          <w:rFonts w:ascii="Palatino Linotype" w:eastAsia="Palatino Linotype" w:hAnsi="Palatino Linotype" w:cs="Palatino Linotype"/>
        </w:rPr>
        <w:t xml:space="preserve">3. Del periodo que comprende del 01 de enero de 2023 al 31 de mayo de 2023 ¿cuántos servidores públicos de mando medio, es decir de Jefe de Departamento a Director de área, han renunciado a su puesto? </w:t>
      </w:r>
    </w:p>
    <w:p w:rsidR="00BB390C" w:rsidRPr="00D355C3" w:rsidRDefault="00E40C6A">
      <w:pPr>
        <w:spacing w:before="240" w:after="240" w:line="360" w:lineRule="auto"/>
        <w:ind w:left="284" w:right="49"/>
        <w:jc w:val="both"/>
        <w:rPr>
          <w:rFonts w:ascii="Palatino Linotype" w:eastAsia="Palatino Linotype" w:hAnsi="Palatino Linotype" w:cs="Palatino Linotype"/>
          <w:b/>
        </w:rPr>
      </w:pPr>
      <w:r w:rsidRPr="00D355C3">
        <w:rPr>
          <w:rFonts w:ascii="Palatino Linotype" w:eastAsia="Palatino Linotype" w:hAnsi="Palatino Linotype" w:cs="Palatino Linotype"/>
          <w:b/>
        </w:rPr>
        <w:lastRenderedPageBreak/>
        <w:t>4. Diga el nombre y área de adscripción de los servidores públicos con categoría de mando medio que renunciaron a su puesto del 01 de enero de 2023 al 31 de mayo de 2023.</w:t>
      </w:r>
    </w:p>
    <w:p w:rsidR="00BB390C" w:rsidRPr="00D355C3" w:rsidRDefault="00E40C6A">
      <w:pPr>
        <w:spacing w:before="240" w:after="240" w:line="360" w:lineRule="auto"/>
        <w:ind w:left="284" w:right="49"/>
        <w:jc w:val="both"/>
        <w:rPr>
          <w:rFonts w:ascii="Palatino Linotype" w:eastAsia="Palatino Linotype" w:hAnsi="Palatino Linotype" w:cs="Palatino Linotype"/>
        </w:rPr>
      </w:pPr>
      <w:r w:rsidRPr="00D355C3">
        <w:rPr>
          <w:rFonts w:ascii="Palatino Linotype" w:eastAsia="Palatino Linotype" w:hAnsi="Palatino Linotype" w:cs="Palatino Linotype"/>
        </w:rPr>
        <w:t xml:space="preserve">5. De los servidores públicos de mando medio que renunciaron a su puesto del 01 de enero de 2023 al 31 de mayo de 2023, quienes causaron BAJA DEFINITIVA de la Universidad Mexiquense del Bicentenario. </w:t>
      </w:r>
    </w:p>
    <w:p w:rsidR="00BB390C" w:rsidRPr="00D355C3" w:rsidRDefault="00E40C6A">
      <w:pPr>
        <w:spacing w:before="240" w:after="240" w:line="360" w:lineRule="auto"/>
        <w:ind w:left="284" w:right="49"/>
        <w:jc w:val="both"/>
        <w:rPr>
          <w:rFonts w:ascii="Palatino Linotype" w:eastAsia="Palatino Linotype" w:hAnsi="Palatino Linotype" w:cs="Palatino Linotype"/>
        </w:rPr>
      </w:pPr>
      <w:r w:rsidRPr="00D355C3">
        <w:rPr>
          <w:rFonts w:ascii="Palatino Linotype" w:eastAsia="Palatino Linotype" w:hAnsi="Palatino Linotype" w:cs="Palatino Linotype"/>
        </w:rPr>
        <w:t xml:space="preserve">6. De los servidores públicos de mando medio que renunciaron a su puesto del 01 de enero de 2023 al 31 de mayo de 2023, quienes cambiaron a una plaza operativa. </w:t>
      </w:r>
    </w:p>
    <w:p w:rsidR="00BB390C" w:rsidRPr="00D355C3" w:rsidRDefault="00E40C6A">
      <w:pPr>
        <w:spacing w:before="240" w:after="240" w:line="360" w:lineRule="auto"/>
        <w:ind w:left="284" w:right="49"/>
        <w:jc w:val="both"/>
        <w:rPr>
          <w:rFonts w:ascii="Palatino Linotype" w:eastAsia="Palatino Linotype" w:hAnsi="Palatino Linotype" w:cs="Palatino Linotype"/>
        </w:rPr>
      </w:pPr>
      <w:r w:rsidRPr="00D355C3">
        <w:rPr>
          <w:rFonts w:ascii="Palatino Linotype" w:eastAsia="Palatino Linotype" w:hAnsi="Palatino Linotype" w:cs="Palatino Linotype"/>
        </w:rPr>
        <w:t xml:space="preserve">7. Diga el nombre, puesto y adscripción de los servidores públicos de mando medio que cambiaron a una plaza operativa. </w:t>
      </w:r>
    </w:p>
    <w:p w:rsidR="00BB390C" w:rsidRPr="00D355C3" w:rsidRDefault="00E40C6A">
      <w:pPr>
        <w:spacing w:before="240" w:after="240" w:line="360" w:lineRule="auto"/>
        <w:ind w:left="284" w:right="49"/>
        <w:jc w:val="both"/>
        <w:rPr>
          <w:rFonts w:ascii="Palatino Linotype" w:eastAsia="Palatino Linotype" w:hAnsi="Palatino Linotype" w:cs="Palatino Linotype"/>
        </w:rPr>
      </w:pPr>
      <w:r w:rsidRPr="00D355C3">
        <w:rPr>
          <w:rFonts w:ascii="Palatino Linotype" w:eastAsia="Palatino Linotype" w:hAnsi="Palatino Linotype" w:cs="Palatino Linotype"/>
        </w:rPr>
        <w:t xml:space="preserve">8. ¿Cuáles son los requisitos para que un servidor público con Seguro de Ahorro Voluntario que cause baja pueda retirar sus aportaciones de la Aseguradora que tenga contratada la Institución, en este caso la Universidad Mexiquense del Bicentenario? </w:t>
      </w:r>
    </w:p>
    <w:p w:rsidR="00BB390C" w:rsidRPr="00D355C3" w:rsidRDefault="00E40C6A">
      <w:pPr>
        <w:spacing w:before="240" w:after="240" w:line="360" w:lineRule="auto"/>
        <w:ind w:left="284" w:right="49"/>
        <w:jc w:val="both"/>
        <w:rPr>
          <w:rFonts w:ascii="Palatino Linotype" w:eastAsia="Palatino Linotype" w:hAnsi="Palatino Linotype" w:cs="Palatino Linotype"/>
        </w:rPr>
      </w:pPr>
      <w:r w:rsidRPr="00D355C3">
        <w:rPr>
          <w:rFonts w:ascii="Palatino Linotype" w:eastAsia="Palatino Linotype" w:hAnsi="Palatino Linotype" w:cs="Palatino Linotype"/>
        </w:rPr>
        <w:t xml:space="preserve">9. ¿Cuáles son los requisitos para que a un servidor público de mando medio le sea entregado su documento de baja para el retiro total de sus aportaciones del Seguro de Ahorro Voluntario? </w:t>
      </w:r>
    </w:p>
    <w:p w:rsidR="00BB390C" w:rsidRPr="00D355C3" w:rsidRDefault="00E40C6A">
      <w:pPr>
        <w:spacing w:before="240" w:after="240" w:line="360" w:lineRule="auto"/>
        <w:ind w:left="284" w:right="49"/>
        <w:jc w:val="both"/>
        <w:rPr>
          <w:rFonts w:ascii="Palatino Linotype" w:eastAsia="Palatino Linotype" w:hAnsi="Palatino Linotype" w:cs="Palatino Linotype"/>
        </w:rPr>
      </w:pPr>
      <w:r w:rsidRPr="00D355C3">
        <w:rPr>
          <w:rFonts w:ascii="Palatino Linotype" w:eastAsia="Palatino Linotype" w:hAnsi="Palatino Linotype" w:cs="Palatino Linotype"/>
        </w:rPr>
        <w:t xml:space="preserve">10. De los servidores públicos de mando medio que renunciaron a su puesto ¿cuántos han solicitado su documento de baja para el retiro total de sus aportaciones del Seguro de Ahorro Voluntario que se tiene con AP Vida? </w:t>
      </w:r>
    </w:p>
    <w:p w:rsidR="00BB390C" w:rsidRPr="00D355C3" w:rsidRDefault="00E40C6A">
      <w:pPr>
        <w:spacing w:before="240" w:after="240" w:line="360" w:lineRule="auto"/>
        <w:ind w:left="284" w:right="49"/>
        <w:jc w:val="both"/>
        <w:rPr>
          <w:rFonts w:ascii="Palatino Linotype" w:eastAsia="Palatino Linotype" w:hAnsi="Palatino Linotype" w:cs="Palatino Linotype"/>
        </w:rPr>
      </w:pPr>
      <w:r w:rsidRPr="00D355C3">
        <w:rPr>
          <w:rFonts w:ascii="Palatino Linotype" w:eastAsia="Palatino Linotype" w:hAnsi="Palatino Linotype" w:cs="Palatino Linotype"/>
        </w:rPr>
        <w:lastRenderedPageBreak/>
        <w:t xml:space="preserve">11. ¿A cuántos servidores públicos de mando medio que renunciaron a su puesto se les ha entregado su documento de baja para el retiro total de sus aportaciones del Seguro de Ahorro Voluntario que se tiene con AP Vida? </w:t>
      </w:r>
    </w:p>
    <w:p w:rsidR="00BB390C" w:rsidRPr="00D355C3" w:rsidRDefault="00E40C6A">
      <w:pPr>
        <w:spacing w:before="240" w:after="240" w:line="360" w:lineRule="auto"/>
        <w:ind w:left="284" w:right="49"/>
        <w:jc w:val="both"/>
        <w:rPr>
          <w:rFonts w:ascii="Palatino Linotype" w:eastAsia="Palatino Linotype" w:hAnsi="Palatino Linotype" w:cs="Palatino Linotype"/>
          <w:b/>
        </w:rPr>
      </w:pPr>
      <w:r w:rsidRPr="00D355C3">
        <w:rPr>
          <w:rFonts w:ascii="Palatino Linotype" w:eastAsia="Palatino Linotype" w:hAnsi="Palatino Linotype" w:cs="Palatino Linotype"/>
          <w:b/>
        </w:rPr>
        <w:t xml:space="preserve">12. ¿Cuál es el término legal para la entrega del oficio de baja una vez que el servidor público de mando medio solicita al área correspondiente? </w:t>
      </w:r>
    </w:p>
    <w:p w:rsidR="00BB390C" w:rsidRPr="00D355C3" w:rsidRDefault="00E40C6A">
      <w:pPr>
        <w:spacing w:before="240" w:after="240" w:line="360" w:lineRule="auto"/>
        <w:ind w:left="284" w:right="49"/>
        <w:jc w:val="both"/>
        <w:rPr>
          <w:rFonts w:ascii="Palatino Linotype" w:eastAsia="Palatino Linotype" w:hAnsi="Palatino Linotype" w:cs="Palatino Linotype"/>
          <w:b/>
        </w:rPr>
      </w:pPr>
      <w:r w:rsidRPr="00D355C3">
        <w:rPr>
          <w:rFonts w:ascii="Palatino Linotype" w:eastAsia="Palatino Linotype" w:hAnsi="Palatino Linotype" w:cs="Palatino Linotype"/>
          <w:b/>
        </w:rPr>
        <w:t>13. ¿Qué área es la encargada de entregar las bajas de los servidores públicos dentro de la Universidad Mexiquense del Bicentenario?</w:t>
      </w:r>
    </w:p>
    <w:p w:rsidR="00BB390C" w:rsidRPr="00D355C3" w:rsidRDefault="00E40C6A">
      <w:pPr>
        <w:spacing w:before="240" w:after="240" w:line="360" w:lineRule="auto"/>
        <w:ind w:left="284" w:right="49"/>
        <w:jc w:val="both"/>
        <w:rPr>
          <w:rFonts w:ascii="Palatino Linotype" w:eastAsia="Palatino Linotype" w:hAnsi="Palatino Linotype" w:cs="Palatino Linotype"/>
          <w:b/>
        </w:rPr>
      </w:pPr>
      <w:r w:rsidRPr="00D355C3">
        <w:rPr>
          <w:rFonts w:ascii="Palatino Linotype" w:eastAsia="Palatino Linotype" w:hAnsi="Palatino Linotype" w:cs="Palatino Linotype"/>
          <w:b/>
        </w:rPr>
        <w:t xml:space="preserve">14. ¿Cuál es el nombre del Titular del área encargada de entregar las bajas de los servidores públicos? </w:t>
      </w:r>
    </w:p>
    <w:p w:rsidR="00BB390C" w:rsidRPr="00D355C3" w:rsidRDefault="00E40C6A">
      <w:pPr>
        <w:spacing w:before="240" w:after="240" w:line="360" w:lineRule="auto"/>
        <w:ind w:right="49"/>
        <w:jc w:val="both"/>
        <w:rPr>
          <w:rFonts w:ascii="Palatino Linotype" w:eastAsia="Palatino Linotype" w:hAnsi="Palatino Linotype" w:cs="Palatino Linotype"/>
        </w:rPr>
      </w:pPr>
      <w:r w:rsidRPr="00D355C3">
        <w:rPr>
          <w:rFonts w:ascii="Palatino Linotype" w:eastAsia="Palatino Linotype" w:hAnsi="Palatino Linotype" w:cs="Palatino Linotype"/>
        </w:rPr>
        <w:t>En atención a la solicitud de información la Jefa del Departamento de Recursos Humanos, en el ámbito de sus atribuciones, dio respuesta de manera puntual a cada uno de los requerimientos de información planteados por la persona solicitante, mientras que el Titular de la Unidad de Transparencia se pronuncia respecto de los requerimientos de información 4, 5, 6 y 7, como se observa en el antecedente 2 de la presente resolución.</w:t>
      </w:r>
    </w:p>
    <w:p w:rsidR="00BB390C" w:rsidRPr="00D355C3" w:rsidRDefault="00E40C6A">
      <w:pPr>
        <w:spacing w:before="240" w:after="240" w:line="360" w:lineRule="auto"/>
        <w:ind w:right="49"/>
        <w:jc w:val="both"/>
        <w:rPr>
          <w:rFonts w:ascii="Palatino Linotype" w:eastAsia="Palatino Linotype" w:hAnsi="Palatino Linotype" w:cs="Palatino Linotype"/>
          <w:b/>
        </w:rPr>
      </w:pPr>
      <w:r w:rsidRPr="00D355C3">
        <w:rPr>
          <w:rFonts w:ascii="Palatino Linotype" w:eastAsia="Palatino Linotype" w:hAnsi="Palatino Linotype" w:cs="Palatino Linotype"/>
        </w:rPr>
        <w:t xml:space="preserve">No obstante, la persona solicitante interpuso el recurso de revisión que nos ocupa, mediante el cual se inconformó por la respuesta proporcionada a los puntos 4, 12, 13 y 14, refiriendo que la Titular del Departamento de Recursos Humanos omitió proporcionar el nombre de los servidores públicos que renunciaron en el periodo que señala, así como el término legal de entrega del Formato Único de Movimiento de Personal que se genera derivado de la baja, respecto de los puntos 4 y 12; que en </w:t>
      </w:r>
      <w:r w:rsidRPr="00D355C3">
        <w:rPr>
          <w:rFonts w:ascii="Palatino Linotype" w:eastAsia="Palatino Linotype" w:hAnsi="Palatino Linotype" w:cs="Palatino Linotype"/>
        </w:rPr>
        <w:lastRenderedPageBreak/>
        <w:t>el punto 13 se solicitó se informara el área que es encargada de entregar las bajas, no el fundamento por el cual se entrega; y finalmente, respecto del punto 14, indicó que la servidora pública habilitada evadió concretarse a la respuesta señalando que aplica la respuesta del requerimiento número 13 que puede consultarse en un link. Respecto a la respuesta del Titular de la Unidad de Transparencia, manifestó que si bien refirió un link -</w:t>
      </w:r>
      <w:r w:rsidRPr="00D355C3">
        <w:rPr>
          <w:rFonts w:ascii="Palatino Linotype" w:eastAsia="Palatino Linotype" w:hAnsi="Palatino Linotype" w:cs="Palatino Linotype"/>
          <w:sz w:val="22"/>
          <w:szCs w:val="22"/>
        </w:rPr>
        <w:t>para consultar la información relativa al punto 4</w:t>
      </w:r>
      <w:r w:rsidRPr="00D355C3">
        <w:rPr>
          <w:rFonts w:ascii="Palatino Linotype" w:eastAsia="Palatino Linotype" w:hAnsi="Palatino Linotype" w:cs="Palatino Linotype"/>
        </w:rPr>
        <w:t xml:space="preserve">-, era difícil acceder al mismo.  </w:t>
      </w:r>
    </w:p>
    <w:p w:rsidR="00BB390C" w:rsidRPr="00D355C3" w:rsidRDefault="00E40C6A">
      <w:pPr>
        <w:spacing w:before="240" w:after="240" w:line="360" w:lineRule="auto"/>
        <w:jc w:val="both"/>
        <w:rPr>
          <w:rFonts w:ascii="Palatino Linotype" w:eastAsia="Palatino Linotype" w:hAnsi="Palatino Linotype" w:cs="Palatino Linotype"/>
        </w:rPr>
      </w:pPr>
      <w:r w:rsidRPr="00D355C3">
        <w:rPr>
          <w:rFonts w:ascii="Palatino Linotype" w:eastAsia="Palatino Linotype" w:hAnsi="Palatino Linotype" w:cs="Palatino Linotype"/>
        </w:rPr>
        <w:t xml:space="preserve">En este sentido, no pasa inadvertido para este Organismo Garante que los motivos de inconformidad aducidos, no versan sobre la totalidad de la información proporcionada por el </w:t>
      </w:r>
      <w:r w:rsidRPr="00D355C3">
        <w:rPr>
          <w:rFonts w:ascii="Palatino Linotype" w:eastAsia="Palatino Linotype" w:hAnsi="Palatino Linotype" w:cs="Palatino Linotype"/>
          <w:b/>
        </w:rPr>
        <w:t xml:space="preserve">Sujeto Obligado, </w:t>
      </w:r>
      <w:r w:rsidRPr="00D355C3">
        <w:rPr>
          <w:rFonts w:ascii="Palatino Linotype" w:eastAsia="Palatino Linotype" w:hAnsi="Palatino Linotype" w:cs="Palatino Linotype"/>
        </w:rPr>
        <w:t xml:space="preserve">pues la parte </w:t>
      </w:r>
      <w:r w:rsidRPr="00D355C3">
        <w:rPr>
          <w:rFonts w:ascii="Palatino Linotype" w:eastAsia="Palatino Linotype" w:hAnsi="Palatino Linotype" w:cs="Palatino Linotype"/>
          <w:b/>
        </w:rPr>
        <w:t>Recurrente</w:t>
      </w:r>
      <w:r w:rsidRPr="00D355C3">
        <w:rPr>
          <w:rFonts w:ascii="Palatino Linotype" w:eastAsia="Palatino Linotype" w:hAnsi="Palatino Linotype" w:cs="Palatino Linotype"/>
        </w:rPr>
        <w:t xml:space="preserve"> manifestó, de manera expresa, su inconformidad respecto de los puntos 4, 12, 13 y 14.</w:t>
      </w:r>
    </w:p>
    <w:p w:rsidR="00BB390C" w:rsidRPr="00D355C3" w:rsidRDefault="00E40C6A">
      <w:pPr>
        <w:spacing w:before="240" w:after="240" w:line="360" w:lineRule="auto"/>
        <w:jc w:val="both"/>
        <w:rPr>
          <w:rFonts w:ascii="Palatino Linotype" w:eastAsia="Palatino Linotype" w:hAnsi="Palatino Linotype" w:cs="Palatino Linotype"/>
        </w:rPr>
      </w:pPr>
      <w:r w:rsidRPr="00D355C3">
        <w:rPr>
          <w:rFonts w:ascii="Palatino Linotype" w:eastAsia="Palatino Linotype" w:hAnsi="Palatino Linotype" w:cs="Palatino Linotype"/>
        </w:rPr>
        <w:t xml:space="preserve">En este orden de ideas, la parte de la respuesta que no fue impugnada, referente a los puntos 1, 2, 3, 5, 6, 7, 8, 9, 10 y 11, debe declararse consentida, toda vez que, al no haber realizado manifestaciones de inconformidad al respecto, no pueden producirse efectos jurídicos tendentes a revocar, confirmar o modificar el acto reclamado, ya que, en el caso concreto se infiere que la información proporcionada por el </w:t>
      </w:r>
      <w:r w:rsidRPr="00D355C3">
        <w:rPr>
          <w:rFonts w:ascii="Palatino Linotype" w:eastAsia="Palatino Linotype" w:hAnsi="Palatino Linotype" w:cs="Palatino Linotype"/>
          <w:b/>
        </w:rPr>
        <w:t>Sujeto Obligado</w:t>
      </w:r>
      <w:r w:rsidRPr="00D355C3">
        <w:rPr>
          <w:rFonts w:ascii="Palatino Linotype" w:eastAsia="Palatino Linotype" w:hAnsi="Palatino Linotype" w:cs="Palatino Linotype"/>
        </w:rPr>
        <w:t>, satisface la solicitud presentada, respecto de los requerimientos que no fueron combatidos.</w:t>
      </w:r>
    </w:p>
    <w:p w:rsidR="00BB390C" w:rsidRPr="00D355C3" w:rsidRDefault="00E40C6A">
      <w:pPr>
        <w:spacing w:before="240" w:after="360" w:line="360" w:lineRule="auto"/>
        <w:jc w:val="both"/>
        <w:rPr>
          <w:rFonts w:ascii="Palatino Linotype" w:eastAsia="Palatino Linotype" w:hAnsi="Palatino Linotype" w:cs="Palatino Linotype"/>
        </w:rPr>
      </w:pPr>
      <w:r w:rsidRPr="00D355C3">
        <w:rPr>
          <w:rFonts w:ascii="Palatino Linotype" w:eastAsia="Palatino Linotype" w:hAnsi="Palatino Linotype" w:cs="Palatino Linotype"/>
        </w:rPr>
        <w:t xml:space="preserve">Lo anterior es así, debido a que cuando la parte </w:t>
      </w:r>
      <w:r w:rsidRPr="00D355C3">
        <w:rPr>
          <w:rFonts w:ascii="Palatino Linotype" w:eastAsia="Palatino Linotype" w:hAnsi="Palatino Linotype" w:cs="Palatino Linotype"/>
          <w:b/>
        </w:rPr>
        <w:t>Recurrente</w:t>
      </w:r>
      <w:r w:rsidRPr="00D355C3">
        <w:rPr>
          <w:rFonts w:ascii="Palatino Linotype" w:eastAsia="Palatino Linotype" w:hAnsi="Palatino Linotype" w:cs="Palatino Linotype"/>
        </w:rPr>
        <w:t xml:space="preserve"> impugna la respuesta del </w:t>
      </w:r>
      <w:r w:rsidRPr="00D355C3">
        <w:rPr>
          <w:rFonts w:ascii="Palatino Linotype" w:eastAsia="Palatino Linotype" w:hAnsi="Palatino Linotype" w:cs="Palatino Linotype"/>
          <w:b/>
        </w:rPr>
        <w:t>Sujeto Obligado</w:t>
      </w:r>
      <w:r w:rsidRPr="00D355C3">
        <w:rPr>
          <w:rFonts w:ascii="Palatino Linotype" w:eastAsia="Palatino Linotype" w:hAnsi="Palatino Linotype" w:cs="Palatino Linotype"/>
        </w:rPr>
        <w:t xml:space="preserve">, y éste no expresa Razón o Motivo de Inconformidad en contra de todos los rubros solicitados, dichos rubros deben declararse atendidos, pues se entiende que la parte </w:t>
      </w:r>
      <w:r w:rsidRPr="00D355C3">
        <w:rPr>
          <w:rFonts w:ascii="Palatino Linotype" w:eastAsia="Palatino Linotype" w:hAnsi="Palatino Linotype" w:cs="Palatino Linotype"/>
          <w:b/>
        </w:rPr>
        <w:t>Recurrente</w:t>
      </w:r>
      <w:r w:rsidRPr="00D355C3">
        <w:rPr>
          <w:rFonts w:ascii="Palatino Linotype" w:eastAsia="Palatino Linotype" w:hAnsi="Palatino Linotype" w:cs="Palatino Linotype"/>
        </w:rPr>
        <w:t xml:space="preserve"> ésta conforme con la información entregada al no </w:t>
      </w:r>
      <w:r w:rsidRPr="00D355C3">
        <w:rPr>
          <w:rFonts w:ascii="Palatino Linotype" w:eastAsia="Palatino Linotype" w:hAnsi="Palatino Linotype" w:cs="Palatino Linotype"/>
        </w:rPr>
        <w:lastRenderedPageBreak/>
        <w:t>contravenir la misma. Sirve de Apoyo a lo anterior, por analogía la Tesis Jurisprudencial Número 3ª./J.7/91, Publicada en el Semanario Judicial de la Federación y su Gaceta bajo el número de registro 174,177, que establece lo siguiente:</w:t>
      </w:r>
    </w:p>
    <w:p w:rsidR="00BB390C" w:rsidRPr="00D355C3" w:rsidRDefault="00E40C6A">
      <w:pPr>
        <w:spacing w:before="240" w:after="360"/>
        <w:ind w:left="851" w:right="900"/>
        <w:jc w:val="both"/>
        <w:rPr>
          <w:rFonts w:ascii="Palatino Linotype" w:eastAsia="Palatino Linotype" w:hAnsi="Palatino Linotype" w:cs="Palatino Linotype"/>
          <w:i/>
          <w:sz w:val="22"/>
          <w:szCs w:val="22"/>
        </w:rPr>
      </w:pPr>
      <w:r w:rsidRPr="00D355C3">
        <w:rPr>
          <w:rFonts w:ascii="Palatino Linotype" w:eastAsia="Palatino Linotype" w:hAnsi="Palatino Linotype" w:cs="Palatino Linotype"/>
          <w:b/>
          <w:i/>
          <w:sz w:val="22"/>
          <w:szCs w:val="22"/>
        </w:rPr>
        <w:t xml:space="preserve">“REVISIÓN EN AMPARO. LOS RESOLUTIVOS NO COMBATIDOS DEBEN DECLARARSE FIRMES. </w:t>
      </w:r>
      <w:r w:rsidRPr="00D355C3">
        <w:rPr>
          <w:rFonts w:ascii="Palatino Linotype" w:eastAsia="Palatino Linotype" w:hAnsi="Palatino Linotype" w:cs="Palatino Linotype"/>
          <w:i/>
          <w:sz w:val="22"/>
          <w:szCs w:val="22"/>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rsidR="00BB390C" w:rsidRPr="00D355C3" w:rsidRDefault="00E40C6A">
      <w:pPr>
        <w:spacing w:before="240" w:after="240" w:line="360" w:lineRule="auto"/>
        <w:jc w:val="both"/>
        <w:rPr>
          <w:rFonts w:ascii="Palatino Linotype" w:eastAsia="Palatino Linotype" w:hAnsi="Palatino Linotype" w:cs="Palatino Linotype"/>
        </w:rPr>
      </w:pPr>
      <w:bookmarkStart w:id="8" w:name="_heading=h.17dp8vu" w:colFirst="0" w:colLast="0"/>
      <w:bookmarkEnd w:id="8"/>
      <w:r w:rsidRPr="00D355C3">
        <w:rPr>
          <w:rFonts w:ascii="Palatino Linotype" w:eastAsia="Palatino Linotype" w:hAnsi="Palatino Linotype" w:cs="Palatino Linotype"/>
        </w:rPr>
        <w:t>Consecuentemente, se insiste, ante la falta de impugnación eficaz, la respuesta entregada debe declararse consentida por persona solicitante.</w:t>
      </w:r>
    </w:p>
    <w:p w:rsidR="00BB390C" w:rsidRPr="00D355C3" w:rsidRDefault="00E40C6A">
      <w:pPr>
        <w:spacing w:before="240" w:after="240" w:line="360" w:lineRule="auto"/>
        <w:jc w:val="both"/>
        <w:rPr>
          <w:rFonts w:ascii="Palatino Linotype" w:eastAsia="Palatino Linotype" w:hAnsi="Palatino Linotype" w:cs="Palatino Linotype"/>
        </w:rPr>
      </w:pPr>
      <w:r w:rsidRPr="00D355C3">
        <w:rPr>
          <w:rFonts w:ascii="Palatino Linotype" w:eastAsia="Palatino Linotype" w:hAnsi="Palatino Linotype" w:cs="Palatino Linotype"/>
        </w:rPr>
        <w:t xml:space="preserve">Lo anterior se sustenta con lo plasmado en el criterio 01/20 emitido por el Instituto Nacional de Transparencia, Acceso a la Información, y Protección de Datos Personales, INAI, que lleva por rubro y texto los siguientes: </w:t>
      </w:r>
    </w:p>
    <w:p w:rsidR="00BB390C" w:rsidRPr="00D355C3" w:rsidRDefault="00E40C6A">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D355C3">
        <w:rPr>
          <w:rFonts w:ascii="Palatino Linotype" w:eastAsia="Palatino Linotype" w:hAnsi="Palatino Linotype" w:cs="Palatino Linotype"/>
          <w:i/>
          <w:sz w:val="22"/>
          <w:szCs w:val="22"/>
        </w:rPr>
        <w:t>“</w:t>
      </w:r>
      <w:r w:rsidRPr="00D355C3">
        <w:rPr>
          <w:rFonts w:ascii="Palatino Linotype" w:eastAsia="Palatino Linotype" w:hAnsi="Palatino Linotype" w:cs="Palatino Linotype"/>
          <w:b/>
          <w:i/>
          <w:sz w:val="22"/>
          <w:szCs w:val="22"/>
        </w:rPr>
        <w:t xml:space="preserve">Actos consentidos tácitamente. Improcedencia de su análisis. </w:t>
      </w:r>
      <w:r w:rsidRPr="00D355C3">
        <w:rPr>
          <w:rFonts w:ascii="Palatino Linotype" w:eastAsia="Palatino Linotype" w:hAnsi="Palatino Linotype" w:cs="Palatino Linotype"/>
          <w:i/>
          <w:sz w:val="22"/>
          <w:szCs w:val="22"/>
        </w:rPr>
        <w:t>Si en su recurso de revisión, la persona recurrente no expresó inconformidad alguna con ciertas partes de la respuesta otorgada, se entienden tácitamente consentidas, por ende, no deben formar parte del estudio de fondo de la resolución que emite el Instituto.”</w:t>
      </w:r>
    </w:p>
    <w:p w:rsidR="00BB390C" w:rsidRPr="00D355C3" w:rsidRDefault="00E40C6A">
      <w:pPr>
        <w:spacing w:before="240" w:after="240" w:line="360" w:lineRule="auto"/>
        <w:jc w:val="both"/>
        <w:rPr>
          <w:rFonts w:ascii="Palatino Linotype" w:eastAsia="Palatino Linotype" w:hAnsi="Palatino Linotype" w:cs="Palatino Linotype"/>
        </w:rPr>
      </w:pPr>
      <w:r w:rsidRPr="00D355C3">
        <w:rPr>
          <w:rFonts w:ascii="Palatino Linotype" w:eastAsia="Palatino Linotype" w:hAnsi="Palatino Linotype" w:cs="Palatino Linotype"/>
        </w:rPr>
        <w:t>Asimismo, resulta aplicable por analogía la tesis jurisprudencial número VI.3o.C. J/60, publicada en el Semanario Judicial de la Federación y su Gaceta bajo el número de registro 176,608 que a la letra dice:</w:t>
      </w:r>
    </w:p>
    <w:p w:rsidR="00BB390C" w:rsidRPr="00D355C3" w:rsidRDefault="00E40C6A">
      <w:pPr>
        <w:ind w:left="851" w:right="900"/>
        <w:jc w:val="both"/>
        <w:rPr>
          <w:rFonts w:ascii="Palatino Linotype" w:eastAsia="Palatino Linotype" w:hAnsi="Palatino Linotype" w:cs="Palatino Linotype"/>
          <w:i/>
          <w:sz w:val="22"/>
          <w:szCs w:val="22"/>
        </w:rPr>
      </w:pPr>
      <w:r w:rsidRPr="00D355C3">
        <w:rPr>
          <w:rFonts w:ascii="Palatino Linotype" w:eastAsia="Palatino Linotype" w:hAnsi="Palatino Linotype" w:cs="Palatino Linotype"/>
          <w:b/>
          <w:i/>
          <w:smallCaps/>
          <w:sz w:val="22"/>
          <w:szCs w:val="22"/>
        </w:rPr>
        <w:lastRenderedPageBreak/>
        <w:t xml:space="preserve">“ACTOS CONSENTIDOS. SON LOS QUE NO SE IMPUGNAN MEDIANTE EL RECURSO IDÓNEO. </w:t>
      </w:r>
      <w:r w:rsidRPr="00D355C3">
        <w:rPr>
          <w:rFonts w:ascii="Palatino Linotype" w:eastAsia="Palatino Linotype" w:hAnsi="Palatino Linotype" w:cs="Palatino Linotype"/>
          <w:i/>
          <w:sz w:val="22"/>
          <w:szCs w:val="22"/>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rsidR="00BB390C" w:rsidRPr="00D355C3" w:rsidRDefault="00E40C6A">
      <w:pPr>
        <w:spacing w:before="240" w:after="240" w:line="360" w:lineRule="auto"/>
        <w:ind w:right="49"/>
        <w:jc w:val="both"/>
        <w:rPr>
          <w:rFonts w:ascii="Palatino Linotype" w:eastAsia="Palatino Linotype" w:hAnsi="Palatino Linotype" w:cs="Palatino Linotype"/>
        </w:rPr>
      </w:pPr>
      <w:r w:rsidRPr="00D355C3">
        <w:rPr>
          <w:rFonts w:ascii="Palatino Linotype" w:eastAsia="Palatino Linotype" w:hAnsi="Palatino Linotype" w:cs="Palatino Linotype"/>
        </w:rPr>
        <w:t>Una vez admitido el presente recurso de revisión se integró el expediente y se puso a disposición de las partes para que manifestaran lo que a su derecho resultara conveniente.</w:t>
      </w:r>
    </w:p>
    <w:p w:rsidR="00BB390C" w:rsidRPr="00D355C3" w:rsidRDefault="00E40C6A">
      <w:pPr>
        <w:spacing w:before="240" w:after="240" w:line="360" w:lineRule="auto"/>
        <w:ind w:right="49"/>
        <w:jc w:val="both"/>
        <w:rPr>
          <w:rFonts w:ascii="Palatino Linotype" w:eastAsia="Palatino Linotype" w:hAnsi="Palatino Linotype" w:cs="Palatino Linotype"/>
        </w:rPr>
      </w:pPr>
      <w:r w:rsidRPr="00D355C3">
        <w:rPr>
          <w:rFonts w:ascii="Palatino Linotype" w:eastAsia="Palatino Linotype" w:hAnsi="Palatino Linotype" w:cs="Palatino Linotype"/>
        </w:rPr>
        <w:t xml:space="preserve">En tal sentido, en atención a los requerimientos combatidos el </w:t>
      </w:r>
      <w:r w:rsidRPr="00D355C3">
        <w:rPr>
          <w:rFonts w:ascii="Palatino Linotype" w:eastAsia="Palatino Linotype" w:hAnsi="Palatino Linotype" w:cs="Palatino Linotype"/>
          <w:b/>
        </w:rPr>
        <w:t xml:space="preserve">Sujeto Obligado, </w:t>
      </w:r>
      <w:r w:rsidRPr="00D355C3">
        <w:rPr>
          <w:rFonts w:ascii="Palatino Linotype" w:eastAsia="Palatino Linotype" w:hAnsi="Palatino Linotype" w:cs="Palatino Linotype"/>
        </w:rPr>
        <w:t>a través de la Jefa del Departamento de Recursos Humanos, se pronunció en los siguientes términos:</w:t>
      </w:r>
    </w:p>
    <w:p w:rsidR="00BB390C" w:rsidRPr="00D355C3" w:rsidRDefault="00E40C6A">
      <w:pPr>
        <w:spacing w:before="240" w:after="240" w:line="360" w:lineRule="auto"/>
        <w:ind w:right="49"/>
        <w:jc w:val="center"/>
        <w:rPr>
          <w:rFonts w:ascii="Palatino Linotype" w:eastAsia="Palatino Linotype" w:hAnsi="Palatino Linotype" w:cs="Palatino Linotype"/>
        </w:rPr>
      </w:pPr>
      <w:r w:rsidRPr="00D355C3">
        <w:rPr>
          <w:noProof/>
        </w:rPr>
        <w:drawing>
          <wp:inline distT="0" distB="0" distL="0" distR="0">
            <wp:extent cx="4860000" cy="2372261"/>
            <wp:effectExtent l="0" t="0" r="0" b="0"/>
            <wp:docPr id="20197576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4860000" cy="2372261"/>
                    </a:xfrm>
                    <a:prstGeom prst="rect">
                      <a:avLst/>
                    </a:prstGeom>
                    <a:ln/>
                  </pic:spPr>
                </pic:pic>
              </a:graphicData>
            </a:graphic>
          </wp:inline>
        </w:drawing>
      </w:r>
    </w:p>
    <w:p w:rsidR="00BB390C" w:rsidRPr="00D355C3" w:rsidRDefault="00E40C6A">
      <w:pPr>
        <w:spacing w:before="240" w:after="240" w:line="360" w:lineRule="auto"/>
        <w:ind w:right="49"/>
        <w:jc w:val="center"/>
        <w:rPr>
          <w:rFonts w:ascii="Palatino Linotype" w:eastAsia="Palatino Linotype" w:hAnsi="Palatino Linotype" w:cs="Palatino Linotype"/>
        </w:rPr>
      </w:pPr>
      <w:r w:rsidRPr="00D355C3">
        <w:rPr>
          <w:noProof/>
        </w:rPr>
        <w:lastRenderedPageBreak/>
        <w:drawing>
          <wp:inline distT="0" distB="0" distL="0" distR="0">
            <wp:extent cx="4860000" cy="1767923"/>
            <wp:effectExtent l="0" t="0" r="0" b="0"/>
            <wp:docPr id="201975761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4860000" cy="1767923"/>
                    </a:xfrm>
                    <a:prstGeom prst="rect">
                      <a:avLst/>
                    </a:prstGeom>
                    <a:ln/>
                  </pic:spPr>
                </pic:pic>
              </a:graphicData>
            </a:graphic>
          </wp:inline>
        </w:drawing>
      </w:r>
    </w:p>
    <w:p w:rsidR="00BB390C" w:rsidRPr="00D355C3" w:rsidRDefault="002F4C45">
      <w:pPr>
        <w:spacing w:before="240" w:after="240" w:line="360" w:lineRule="auto"/>
        <w:ind w:right="49"/>
        <w:jc w:val="center"/>
        <w:rPr>
          <w:rFonts w:ascii="Palatino Linotype" w:eastAsia="Palatino Linotype" w:hAnsi="Palatino Linotype" w:cs="Palatino Linotype"/>
        </w:rPr>
      </w:pPr>
      <w:r w:rsidRPr="00D355C3">
        <w:rPr>
          <w:rFonts w:ascii="Palatino Linotype" w:eastAsia="Palatino Linotype" w:hAnsi="Palatino Linotype" w:cs="Palatino Linotype"/>
        </w:rPr>
        <w:t xml:space="preserve"> </w:t>
      </w:r>
      <w:r w:rsidR="00E40C6A" w:rsidRPr="00D355C3">
        <w:rPr>
          <w:noProof/>
        </w:rPr>
        <w:drawing>
          <wp:inline distT="0" distB="0" distL="0" distR="0">
            <wp:extent cx="4860000" cy="1090998"/>
            <wp:effectExtent l="0" t="0" r="0" b="0"/>
            <wp:docPr id="201975761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a:stretch>
                      <a:fillRect/>
                    </a:stretch>
                  </pic:blipFill>
                  <pic:spPr>
                    <a:xfrm>
                      <a:off x="0" y="0"/>
                      <a:ext cx="4860000" cy="1090998"/>
                    </a:xfrm>
                    <a:prstGeom prst="rect">
                      <a:avLst/>
                    </a:prstGeom>
                    <a:ln/>
                  </pic:spPr>
                </pic:pic>
              </a:graphicData>
            </a:graphic>
          </wp:inline>
        </w:drawing>
      </w:r>
    </w:p>
    <w:p w:rsidR="00BB390C" w:rsidRPr="00D355C3" w:rsidRDefault="00E40C6A">
      <w:pPr>
        <w:spacing w:before="240" w:after="240" w:line="360" w:lineRule="auto"/>
        <w:ind w:right="49"/>
        <w:jc w:val="center"/>
        <w:rPr>
          <w:rFonts w:ascii="Palatino Linotype" w:eastAsia="Palatino Linotype" w:hAnsi="Palatino Linotype" w:cs="Palatino Linotype"/>
        </w:rPr>
      </w:pPr>
      <w:r w:rsidRPr="00D355C3">
        <w:rPr>
          <w:noProof/>
        </w:rPr>
        <w:drawing>
          <wp:inline distT="0" distB="0" distL="0" distR="0">
            <wp:extent cx="4860000" cy="1350477"/>
            <wp:effectExtent l="0" t="0" r="0" b="0"/>
            <wp:docPr id="201975761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b="37857"/>
                    <a:stretch>
                      <a:fillRect/>
                    </a:stretch>
                  </pic:blipFill>
                  <pic:spPr>
                    <a:xfrm>
                      <a:off x="0" y="0"/>
                      <a:ext cx="4860000" cy="1350477"/>
                    </a:xfrm>
                    <a:prstGeom prst="rect">
                      <a:avLst/>
                    </a:prstGeom>
                    <a:ln/>
                  </pic:spPr>
                </pic:pic>
              </a:graphicData>
            </a:graphic>
          </wp:inline>
        </w:drawing>
      </w:r>
    </w:p>
    <w:p w:rsidR="00BB390C" w:rsidRPr="00D355C3" w:rsidRDefault="00E40C6A">
      <w:pPr>
        <w:spacing w:before="240" w:after="240" w:line="360" w:lineRule="auto"/>
        <w:jc w:val="both"/>
        <w:rPr>
          <w:rFonts w:ascii="Palatino Linotype" w:eastAsia="Palatino Linotype" w:hAnsi="Palatino Linotype" w:cs="Palatino Linotype"/>
        </w:rPr>
      </w:pPr>
      <w:r w:rsidRPr="00D355C3">
        <w:rPr>
          <w:rFonts w:ascii="Palatino Linotype" w:eastAsia="Palatino Linotype" w:hAnsi="Palatino Linotype" w:cs="Palatino Linotype"/>
        </w:rPr>
        <w:t>Como se advierte, la servidora pública habilitada del Departamento de Recursos Humanos:</w:t>
      </w:r>
    </w:p>
    <w:p w:rsidR="00BB390C" w:rsidRPr="00D355C3" w:rsidRDefault="00E40C6A">
      <w:pPr>
        <w:spacing w:before="240" w:after="240" w:line="360" w:lineRule="auto"/>
        <w:ind w:left="284"/>
        <w:jc w:val="both"/>
        <w:rPr>
          <w:rFonts w:ascii="Palatino Linotype" w:eastAsia="Palatino Linotype" w:hAnsi="Palatino Linotype" w:cs="Palatino Linotype"/>
        </w:rPr>
      </w:pPr>
      <w:r w:rsidRPr="00D355C3">
        <w:rPr>
          <w:rFonts w:ascii="Palatino Linotype" w:eastAsia="Palatino Linotype" w:hAnsi="Palatino Linotype" w:cs="Palatino Linotype"/>
        </w:rPr>
        <w:t>- Proporcionó el nombre y área de adscripción de los servidores públicos con categoría de mando medio que renunciaron a su puesto en el periodo comprendido del uno de enero al treinta y uno de mayo de dos mil veintitrés.</w:t>
      </w:r>
    </w:p>
    <w:p w:rsidR="00BB390C" w:rsidRPr="00D355C3" w:rsidRDefault="00E40C6A">
      <w:pPr>
        <w:spacing w:before="240" w:after="240" w:line="360" w:lineRule="auto"/>
        <w:ind w:left="284"/>
        <w:jc w:val="both"/>
        <w:rPr>
          <w:rFonts w:ascii="Palatino Linotype" w:eastAsia="Palatino Linotype" w:hAnsi="Palatino Linotype" w:cs="Palatino Linotype"/>
        </w:rPr>
      </w:pPr>
      <w:r w:rsidRPr="00D355C3">
        <w:rPr>
          <w:rFonts w:ascii="Palatino Linotype" w:eastAsia="Palatino Linotype" w:hAnsi="Palatino Linotype" w:cs="Palatino Linotype"/>
        </w:rPr>
        <w:t xml:space="preserve">- Mencionó que no existe un término fijado para emitir el Formato Único de Movimiento de Personal, FUMP, por baja, sino que es generado a la brevedad, </w:t>
      </w:r>
      <w:r w:rsidRPr="00D355C3">
        <w:rPr>
          <w:rFonts w:ascii="Palatino Linotype" w:eastAsia="Palatino Linotype" w:hAnsi="Palatino Linotype" w:cs="Palatino Linotype"/>
        </w:rPr>
        <w:lastRenderedPageBreak/>
        <w:t>siempre y cuando se cumpla con los requisitos establecidos, el cual debe contar con las firmas autógrafas del solicitante y de los titulares correspondientes.</w:t>
      </w:r>
    </w:p>
    <w:p w:rsidR="00BB390C" w:rsidRPr="00D355C3" w:rsidRDefault="00E40C6A">
      <w:pPr>
        <w:spacing w:before="240" w:after="240" w:line="360" w:lineRule="auto"/>
        <w:ind w:left="284"/>
        <w:jc w:val="both"/>
        <w:rPr>
          <w:rFonts w:ascii="Palatino Linotype" w:eastAsia="Palatino Linotype" w:hAnsi="Palatino Linotype" w:cs="Palatino Linotype"/>
        </w:rPr>
      </w:pPr>
      <w:r w:rsidRPr="00D355C3">
        <w:rPr>
          <w:rFonts w:ascii="Palatino Linotype" w:eastAsia="Palatino Linotype" w:hAnsi="Palatino Linotype" w:cs="Palatino Linotype"/>
        </w:rPr>
        <w:t>- Señaló que el área encargada de generar el Formato Único de Movimiento de Personal es el</w:t>
      </w:r>
      <w:r w:rsidRPr="00D355C3">
        <w:rPr>
          <w:rFonts w:ascii="Palatino Linotype" w:eastAsia="Palatino Linotype" w:hAnsi="Palatino Linotype" w:cs="Palatino Linotype"/>
          <w:b/>
        </w:rPr>
        <w:t xml:space="preserve"> Departamento de Recursos Humanos</w:t>
      </w:r>
      <w:r w:rsidRPr="00D355C3">
        <w:rPr>
          <w:rFonts w:ascii="Palatino Linotype" w:eastAsia="Palatino Linotype" w:hAnsi="Palatino Linotype" w:cs="Palatino Linotype"/>
        </w:rPr>
        <w:t>, de conformidad con el Manual de Organización de la Universidad Mexiquense del Bicentenario.</w:t>
      </w:r>
    </w:p>
    <w:p w:rsidR="00BB390C" w:rsidRPr="00D355C3" w:rsidRDefault="00E40C6A">
      <w:pPr>
        <w:spacing w:before="240" w:after="240" w:line="360" w:lineRule="auto"/>
        <w:ind w:left="284"/>
        <w:jc w:val="both"/>
        <w:rPr>
          <w:rFonts w:ascii="Palatino Linotype" w:eastAsia="Palatino Linotype" w:hAnsi="Palatino Linotype" w:cs="Palatino Linotype"/>
        </w:rPr>
      </w:pPr>
      <w:r w:rsidRPr="00D355C3">
        <w:rPr>
          <w:rFonts w:ascii="Palatino Linotype" w:eastAsia="Palatino Linotype" w:hAnsi="Palatino Linotype" w:cs="Palatino Linotype"/>
        </w:rPr>
        <w:t>- Proporcionó el nombre de la Titular del Departamento de Recursos Humanos.</w:t>
      </w:r>
    </w:p>
    <w:p w:rsidR="00BB390C" w:rsidRPr="00D355C3" w:rsidRDefault="00E40C6A">
      <w:pPr>
        <w:spacing w:before="240" w:after="240" w:line="360" w:lineRule="auto"/>
        <w:jc w:val="both"/>
        <w:rPr>
          <w:rFonts w:ascii="Palatino Linotype" w:eastAsia="Palatino Linotype" w:hAnsi="Palatino Linotype" w:cs="Palatino Linotype"/>
        </w:rPr>
      </w:pPr>
      <w:r w:rsidRPr="00D355C3">
        <w:rPr>
          <w:rFonts w:ascii="Palatino Linotype" w:eastAsia="Palatino Linotype" w:hAnsi="Palatino Linotype" w:cs="Palatino Linotype"/>
        </w:rPr>
        <w:t xml:space="preserve">En este tenor, no obsta mencionar que de conformidad con el Manual General de Organización de la Universidad Mexiquense del Bicentenario, el objetivo del Departamento de Recursos Humanos, consiste en </w:t>
      </w:r>
      <w:r w:rsidRPr="00D355C3">
        <w:rPr>
          <w:rFonts w:ascii="Palatino Linotype" w:eastAsia="Palatino Linotype" w:hAnsi="Palatino Linotype" w:cs="Palatino Linotype"/>
          <w:b/>
        </w:rPr>
        <w:t>llevar a cabo las acciones de selección, ingreso, contratación, inducción, registro, control, capacitación y desarrollo del personal</w:t>
      </w:r>
      <w:r w:rsidRPr="00D355C3">
        <w:rPr>
          <w:rFonts w:ascii="Palatino Linotype" w:eastAsia="Palatino Linotype" w:hAnsi="Palatino Linotype" w:cs="Palatino Linotype"/>
        </w:rPr>
        <w:t xml:space="preserve"> y establecer los mecanismos necesarios para el pago oportuno de sus remuneraciones, con base en los lineamientos establecidos en la materia, así como operar los sistemas de administración, seguridad y bienestar social, para mejorar las contribuciones productivas del personal hacia la Institución, para lo cual se le confieren las siguientes funciones en su parte conducente:</w:t>
      </w:r>
    </w:p>
    <w:p w:rsidR="00BB390C" w:rsidRPr="00D355C3" w:rsidRDefault="00E40C6A">
      <w:pPr>
        <w:spacing w:before="240" w:after="240" w:line="360" w:lineRule="auto"/>
        <w:ind w:left="284"/>
        <w:jc w:val="both"/>
        <w:rPr>
          <w:rFonts w:ascii="Palatino Linotype" w:eastAsia="Palatino Linotype" w:hAnsi="Palatino Linotype" w:cs="Palatino Linotype"/>
        </w:rPr>
      </w:pPr>
      <w:r w:rsidRPr="00D355C3">
        <w:rPr>
          <w:rFonts w:ascii="Palatino Linotype" w:eastAsia="Palatino Linotype" w:hAnsi="Palatino Linotype" w:cs="Palatino Linotype"/>
        </w:rPr>
        <w:t>- Elaborar, integrar y verificar que los contratos o nombramientos y la asignación de sueldos u honorarios, se ajusten a los tabuladores autorizados y a los lineamientos legales y administrativos establecidos.</w:t>
      </w:r>
    </w:p>
    <w:p w:rsidR="00BB390C" w:rsidRPr="00D355C3" w:rsidRDefault="00E40C6A">
      <w:pPr>
        <w:spacing w:before="240" w:after="240" w:line="360" w:lineRule="auto"/>
        <w:ind w:left="284"/>
        <w:jc w:val="both"/>
        <w:rPr>
          <w:rFonts w:ascii="Palatino Linotype" w:eastAsia="Palatino Linotype" w:hAnsi="Palatino Linotype" w:cs="Palatino Linotype"/>
        </w:rPr>
      </w:pPr>
      <w:r w:rsidRPr="00D355C3">
        <w:rPr>
          <w:rFonts w:ascii="Palatino Linotype" w:eastAsia="Palatino Linotype" w:hAnsi="Palatino Linotype" w:cs="Palatino Linotype"/>
        </w:rPr>
        <w:t xml:space="preserve">- </w:t>
      </w:r>
      <w:r w:rsidRPr="00D355C3">
        <w:rPr>
          <w:rFonts w:ascii="Palatino Linotype" w:eastAsia="Palatino Linotype" w:hAnsi="Palatino Linotype" w:cs="Palatino Linotype"/>
          <w:b/>
        </w:rPr>
        <w:t>Registrar y tramitar</w:t>
      </w:r>
      <w:r w:rsidRPr="00D355C3">
        <w:rPr>
          <w:rFonts w:ascii="Palatino Linotype" w:eastAsia="Palatino Linotype" w:hAnsi="Palatino Linotype" w:cs="Palatino Linotype"/>
        </w:rPr>
        <w:t xml:space="preserve"> los nombramientos, altas, </w:t>
      </w:r>
      <w:r w:rsidRPr="00D355C3">
        <w:rPr>
          <w:rFonts w:ascii="Palatino Linotype" w:eastAsia="Palatino Linotype" w:hAnsi="Palatino Linotype" w:cs="Palatino Linotype"/>
          <w:b/>
        </w:rPr>
        <w:t>bajas</w:t>
      </w:r>
      <w:r w:rsidRPr="00D355C3">
        <w:rPr>
          <w:rFonts w:ascii="Palatino Linotype" w:eastAsia="Palatino Linotype" w:hAnsi="Palatino Linotype" w:cs="Palatino Linotype"/>
        </w:rPr>
        <w:t xml:space="preserve">, avisos de cambios de adscripción, </w:t>
      </w:r>
      <w:r w:rsidRPr="00D355C3">
        <w:rPr>
          <w:rFonts w:ascii="Palatino Linotype" w:eastAsia="Palatino Linotype" w:hAnsi="Palatino Linotype" w:cs="Palatino Linotype"/>
          <w:b/>
        </w:rPr>
        <w:t>actualización de registros y de expedientes</w:t>
      </w:r>
      <w:r w:rsidRPr="00D355C3">
        <w:rPr>
          <w:rFonts w:ascii="Palatino Linotype" w:eastAsia="Palatino Linotype" w:hAnsi="Palatino Linotype" w:cs="Palatino Linotype"/>
        </w:rPr>
        <w:t xml:space="preserve">, control de asistencia, </w:t>
      </w:r>
      <w:r w:rsidRPr="00D355C3">
        <w:rPr>
          <w:rFonts w:ascii="Palatino Linotype" w:eastAsia="Palatino Linotype" w:hAnsi="Palatino Linotype" w:cs="Palatino Linotype"/>
        </w:rPr>
        <w:lastRenderedPageBreak/>
        <w:t>vacaciones, movimientos, promoción y demás incidencias del personal, conforme a las políticas y lineamientos establecidos.</w:t>
      </w:r>
    </w:p>
    <w:p w:rsidR="00BB390C" w:rsidRPr="00D355C3" w:rsidRDefault="00E40C6A">
      <w:pPr>
        <w:spacing w:before="240" w:after="240" w:line="360" w:lineRule="auto"/>
        <w:ind w:left="284"/>
        <w:jc w:val="both"/>
        <w:rPr>
          <w:rFonts w:ascii="Palatino Linotype" w:eastAsia="Palatino Linotype" w:hAnsi="Palatino Linotype" w:cs="Palatino Linotype"/>
        </w:rPr>
      </w:pPr>
      <w:r w:rsidRPr="00D355C3">
        <w:rPr>
          <w:rFonts w:ascii="Palatino Linotype" w:eastAsia="Palatino Linotype" w:hAnsi="Palatino Linotype" w:cs="Palatino Linotype"/>
        </w:rPr>
        <w:t xml:space="preserve">- Proporcionar la información necesaria y efectuar las acciones de inducción para el personal de nuevo ingreso, así como </w:t>
      </w:r>
      <w:r w:rsidRPr="00D355C3">
        <w:rPr>
          <w:rFonts w:ascii="Palatino Linotype" w:eastAsia="Palatino Linotype" w:hAnsi="Palatino Linotype" w:cs="Palatino Linotype"/>
          <w:b/>
        </w:rPr>
        <w:t>registrar, controlar y mantener actualizada la documentación relativa a los expedientes del personal.</w:t>
      </w:r>
    </w:p>
    <w:p w:rsidR="00BB390C" w:rsidRPr="00D355C3" w:rsidRDefault="00E40C6A">
      <w:pPr>
        <w:spacing w:before="240" w:after="240" w:line="360" w:lineRule="auto"/>
        <w:jc w:val="both"/>
        <w:rPr>
          <w:rFonts w:ascii="Palatino Linotype" w:eastAsia="Palatino Linotype" w:hAnsi="Palatino Linotype" w:cs="Palatino Linotype"/>
        </w:rPr>
      </w:pPr>
      <w:r w:rsidRPr="00D355C3">
        <w:rPr>
          <w:rFonts w:ascii="Palatino Linotype" w:eastAsia="Palatino Linotype" w:hAnsi="Palatino Linotype" w:cs="Palatino Linotype"/>
        </w:rPr>
        <w:t>Además, respecto del término legal para la entrega del Formato Único de Movimiento del Personal, po</w:t>
      </w:r>
      <w:r w:rsidR="0031006F" w:rsidRPr="00D355C3">
        <w:rPr>
          <w:rFonts w:ascii="Palatino Linotype" w:eastAsia="Palatino Linotype" w:hAnsi="Palatino Linotype" w:cs="Palatino Linotype"/>
        </w:rPr>
        <w:t xml:space="preserve">r baja, es oportuno referir que el Procedimiento Elaboración y Pago de Finiquito del Personal de la UMB, </w:t>
      </w:r>
      <w:r w:rsidRPr="00D355C3">
        <w:rPr>
          <w:rFonts w:ascii="Palatino Linotype" w:eastAsia="Palatino Linotype" w:hAnsi="Palatino Linotype" w:cs="Palatino Linotype"/>
        </w:rPr>
        <w:t xml:space="preserve">de conformidad con el Manual de Procedimientos del Departamento de Recursos Humanos de la Universidad Mexiquense del Bicentenario, </w:t>
      </w:r>
      <w:r w:rsidR="0031006F" w:rsidRPr="00D355C3">
        <w:rPr>
          <w:rFonts w:ascii="Palatino Linotype" w:eastAsia="Palatino Linotype" w:hAnsi="Palatino Linotype" w:cs="Palatino Linotype"/>
        </w:rPr>
        <w:t>dispone lo siguiente</w:t>
      </w:r>
      <w:r w:rsidRPr="00D355C3">
        <w:rPr>
          <w:rFonts w:ascii="Palatino Linotype" w:eastAsia="Palatino Linotype" w:hAnsi="Palatino Linotype" w:cs="Palatino Linotype"/>
        </w:rPr>
        <w:t>:</w:t>
      </w:r>
    </w:p>
    <w:p w:rsidR="00BB390C" w:rsidRPr="00D355C3" w:rsidRDefault="00E40C6A">
      <w:pPr>
        <w:spacing w:before="240" w:after="240" w:line="360" w:lineRule="auto"/>
        <w:jc w:val="center"/>
        <w:rPr>
          <w:rFonts w:ascii="Palatino Linotype" w:eastAsia="Palatino Linotype" w:hAnsi="Palatino Linotype" w:cs="Palatino Linotype"/>
        </w:rPr>
      </w:pPr>
      <w:r w:rsidRPr="00D355C3">
        <w:rPr>
          <w:noProof/>
        </w:rPr>
        <w:drawing>
          <wp:inline distT="0" distB="0" distL="0" distR="0">
            <wp:extent cx="5400000" cy="3628807"/>
            <wp:effectExtent l="0" t="0" r="0" b="0"/>
            <wp:docPr id="201975761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b="40136"/>
                    <a:stretch>
                      <a:fillRect/>
                    </a:stretch>
                  </pic:blipFill>
                  <pic:spPr>
                    <a:xfrm>
                      <a:off x="0" y="0"/>
                      <a:ext cx="5400000" cy="3628807"/>
                    </a:xfrm>
                    <a:prstGeom prst="rect">
                      <a:avLst/>
                    </a:prstGeom>
                    <a:ln/>
                  </pic:spPr>
                </pic:pic>
              </a:graphicData>
            </a:graphic>
          </wp:inline>
        </w:drawing>
      </w:r>
    </w:p>
    <w:p w:rsidR="00BB390C" w:rsidRPr="00D355C3" w:rsidRDefault="00E40C6A">
      <w:pPr>
        <w:spacing w:before="240" w:after="240" w:line="360" w:lineRule="auto"/>
        <w:jc w:val="center"/>
        <w:rPr>
          <w:rFonts w:ascii="Palatino Linotype" w:eastAsia="Palatino Linotype" w:hAnsi="Palatino Linotype" w:cs="Palatino Linotype"/>
        </w:rPr>
      </w:pPr>
      <w:r w:rsidRPr="00D355C3">
        <w:rPr>
          <w:noProof/>
        </w:rPr>
        <w:lastRenderedPageBreak/>
        <w:drawing>
          <wp:inline distT="0" distB="0" distL="0" distR="0">
            <wp:extent cx="5400000" cy="2465690"/>
            <wp:effectExtent l="0" t="0" r="0" b="0"/>
            <wp:docPr id="201975761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t="59211" b="110"/>
                    <a:stretch>
                      <a:fillRect/>
                    </a:stretch>
                  </pic:blipFill>
                  <pic:spPr>
                    <a:xfrm>
                      <a:off x="0" y="0"/>
                      <a:ext cx="5400000" cy="2465690"/>
                    </a:xfrm>
                    <a:prstGeom prst="rect">
                      <a:avLst/>
                    </a:prstGeom>
                    <a:ln/>
                  </pic:spPr>
                </pic:pic>
              </a:graphicData>
            </a:graphic>
          </wp:inline>
        </w:drawing>
      </w:r>
    </w:p>
    <w:p w:rsidR="00E60E9E" w:rsidRPr="00D355C3" w:rsidRDefault="00E40C6A" w:rsidP="00E60E9E">
      <w:pPr>
        <w:spacing w:before="240" w:after="240" w:line="360" w:lineRule="auto"/>
        <w:jc w:val="both"/>
        <w:rPr>
          <w:rFonts w:ascii="Palatino Linotype" w:eastAsia="Palatino Linotype" w:hAnsi="Palatino Linotype" w:cs="Palatino Linotype"/>
          <w:b/>
        </w:rPr>
      </w:pPr>
      <w:r w:rsidRPr="00D355C3">
        <w:rPr>
          <w:rFonts w:ascii="Palatino Linotype" w:eastAsia="Palatino Linotype" w:hAnsi="Palatino Linotype" w:cs="Palatino Linotype"/>
        </w:rPr>
        <w:t xml:space="preserve">Como se advierte, una vez que el servidor público entrega la renuncia a la Unidad Administrativa inmediata superior y esta revisa que no tenga adeudos, la documentación correspondiente se remite al Departamento de Recursos Humanos; este a su vez, </w:t>
      </w:r>
      <w:r w:rsidR="0031006F" w:rsidRPr="00D355C3">
        <w:rPr>
          <w:rFonts w:ascii="Palatino Linotype" w:eastAsia="Palatino Linotype" w:hAnsi="Palatino Linotype" w:cs="Palatino Linotype"/>
        </w:rPr>
        <w:t xml:space="preserve">retira de la nómina al servidor público, </w:t>
      </w:r>
      <w:r w:rsidRPr="00D355C3">
        <w:rPr>
          <w:rFonts w:ascii="Palatino Linotype" w:eastAsia="Palatino Linotype" w:hAnsi="Palatino Linotype" w:cs="Palatino Linotype"/>
        </w:rPr>
        <w:t xml:space="preserve">genera la baja ante el </w:t>
      </w:r>
      <w:proofErr w:type="spellStart"/>
      <w:r w:rsidRPr="00D355C3">
        <w:rPr>
          <w:rFonts w:ascii="Palatino Linotype" w:eastAsia="Palatino Linotype" w:hAnsi="Palatino Linotype" w:cs="Palatino Linotype"/>
        </w:rPr>
        <w:t>ISSEMyM</w:t>
      </w:r>
      <w:proofErr w:type="spellEnd"/>
      <w:r w:rsidRPr="00D355C3">
        <w:rPr>
          <w:rFonts w:ascii="Palatino Linotype" w:eastAsia="Palatino Linotype" w:hAnsi="Palatino Linotype" w:cs="Palatino Linotype"/>
        </w:rPr>
        <w:t>, así como el cálculo de finiquito</w:t>
      </w:r>
      <w:r w:rsidR="0031006F" w:rsidRPr="00D355C3">
        <w:rPr>
          <w:rFonts w:ascii="Palatino Linotype" w:eastAsia="Palatino Linotype" w:hAnsi="Palatino Linotype" w:cs="Palatino Linotype"/>
        </w:rPr>
        <w:t>,</w:t>
      </w:r>
      <w:r w:rsidRPr="00D355C3">
        <w:rPr>
          <w:rFonts w:ascii="Palatino Linotype" w:eastAsia="Palatino Linotype" w:hAnsi="Palatino Linotype" w:cs="Palatino Linotype"/>
        </w:rPr>
        <w:t xml:space="preserve"> que es enviado de manera económica al Departamento de Contabilidad para elaborar cheque y póliza; una vez que el Departamento de Recursos Humanos, recibe cheque y póliza, elabora el FUMP (FO-UMB-RH-15) de baja en dos tantos y turna de manera económica a la Subdirección de Administración y Finanzas para firma; una vez firmado, esta última turna de manera económica a la o al Rector para recabar su firma de autorizac</w:t>
      </w:r>
      <w:r w:rsidR="0031006F" w:rsidRPr="00D355C3">
        <w:rPr>
          <w:rFonts w:ascii="Palatino Linotype" w:eastAsia="Palatino Linotype" w:hAnsi="Palatino Linotype" w:cs="Palatino Linotype"/>
        </w:rPr>
        <w:t>ión. U</w:t>
      </w:r>
      <w:r w:rsidRPr="00D355C3">
        <w:rPr>
          <w:rFonts w:ascii="Palatino Linotype" w:eastAsia="Palatino Linotype" w:hAnsi="Palatino Linotype" w:cs="Palatino Linotype"/>
        </w:rPr>
        <w:t xml:space="preserve">na vez firmado por el Rector y la persona titular de la Subdirección de Administración y Finanzas, se entrega al Departamento de Recursos Humanos para recabar la firma del Servidor Público; </w:t>
      </w:r>
      <w:r w:rsidR="002F4C45" w:rsidRPr="00D355C3">
        <w:rPr>
          <w:rFonts w:ascii="Palatino Linotype" w:eastAsia="Palatino Linotype" w:hAnsi="Palatino Linotype" w:cs="Palatino Linotype"/>
        </w:rPr>
        <w:t xml:space="preserve">finalmente, </w:t>
      </w:r>
      <w:r w:rsidRPr="00D355C3">
        <w:rPr>
          <w:rFonts w:ascii="Palatino Linotype" w:eastAsia="Palatino Linotype" w:hAnsi="Palatino Linotype" w:cs="Palatino Linotype"/>
        </w:rPr>
        <w:t xml:space="preserve">una vez firmado por este, </w:t>
      </w:r>
      <w:r w:rsidR="0031006F" w:rsidRPr="00D355C3">
        <w:rPr>
          <w:rFonts w:ascii="Palatino Linotype" w:eastAsia="Palatino Linotype" w:hAnsi="Palatino Linotype" w:cs="Palatino Linotype"/>
        </w:rPr>
        <w:t xml:space="preserve">el FUMP por baja le es entregado </w:t>
      </w:r>
      <w:r w:rsidR="00E60E9E" w:rsidRPr="00D355C3">
        <w:rPr>
          <w:rFonts w:ascii="Palatino Linotype" w:eastAsia="Palatino Linotype" w:hAnsi="Palatino Linotype" w:cs="Palatino Linotype"/>
        </w:rPr>
        <w:t xml:space="preserve"> junto con </w:t>
      </w:r>
      <w:r w:rsidR="00E60E9E" w:rsidRPr="00D355C3">
        <w:rPr>
          <w:rFonts w:ascii="Palatino Linotype" w:eastAsia="Palatino Linotype" w:hAnsi="Palatino Linotype" w:cs="Palatino Linotype"/>
          <w:b/>
        </w:rPr>
        <w:t xml:space="preserve">la baja de </w:t>
      </w:r>
      <w:proofErr w:type="spellStart"/>
      <w:r w:rsidR="00E60E9E" w:rsidRPr="00D355C3">
        <w:rPr>
          <w:rFonts w:ascii="Palatino Linotype" w:eastAsia="Palatino Linotype" w:hAnsi="Palatino Linotype" w:cs="Palatino Linotype"/>
          <w:b/>
        </w:rPr>
        <w:t>ISSEMyM</w:t>
      </w:r>
      <w:proofErr w:type="spellEnd"/>
      <w:r w:rsidR="00E60E9E" w:rsidRPr="00D355C3">
        <w:rPr>
          <w:rFonts w:ascii="Palatino Linotype" w:eastAsia="Palatino Linotype" w:hAnsi="Palatino Linotype" w:cs="Palatino Linotype"/>
          <w:b/>
        </w:rPr>
        <w:t xml:space="preserve"> y el cheque de finiquito.</w:t>
      </w:r>
    </w:p>
    <w:p w:rsidR="00BB390C" w:rsidRPr="00D355C3" w:rsidRDefault="0031006F">
      <w:pPr>
        <w:spacing w:before="240" w:after="240" w:line="360" w:lineRule="auto"/>
        <w:jc w:val="both"/>
        <w:rPr>
          <w:rFonts w:ascii="Palatino Linotype" w:eastAsia="Palatino Linotype" w:hAnsi="Palatino Linotype" w:cs="Palatino Linotype"/>
        </w:rPr>
      </w:pPr>
      <w:r w:rsidRPr="00D355C3">
        <w:rPr>
          <w:rFonts w:ascii="Palatino Linotype" w:eastAsia="Palatino Linotype" w:hAnsi="Palatino Linotype" w:cs="Palatino Linotype"/>
        </w:rPr>
        <w:lastRenderedPageBreak/>
        <w:t>Asimismo, d</w:t>
      </w:r>
      <w:r w:rsidR="00E60E9E" w:rsidRPr="00D355C3">
        <w:rPr>
          <w:rFonts w:ascii="Palatino Linotype" w:eastAsia="Palatino Linotype" w:hAnsi="Palatino Linotype" w:cs="Palatino Linotype"/>
        </w:rPr>
        <w:t xml:space="preserve">entro de las políticas establecidas para este procedimiento se señala de manera expresa lo siguiente: </w:t>
      </w:r>
    </w:p>
    <w:p w:rsidR="00E60E9E" w:rsidRPr="00D355C3" w:rsidRDefault="0031006F">
      <w:pPr>
        <w:spacing w:before="240" w:after="240" w:line="360" w:lineRule="auto"/>
        <w:jc w:val="both"/>
        <w:rPr>
          <w:rFonts w:ascii="Palatino Linotype" w:eastAsia="Palatino Linotype" w:hAnsi="Palatino Linotype" w:cs="Palatino Linotype"/>
        </w:rPr>
      </w:pPr>
      <w:r w:rsidRPr="00D355C3">
        <w:rPr>
          <w:rFonts w:ascii="Palatino Linotype" w:eastAsia="Palatino Linotype" w:hAnsi="Palatino Linotype" w:cs="Palatino Linotype"/>
          <w:noProof/>
        </w:rPr>
        <mc:AlternateContent>
          <mc:Choice Requires="wps">
            <w:drawing>
              <wp:anchor distT="0" distB="0" distL="114300" distR="114300" simplePos="0" relativeHeight="251659264" behindDoc="0" locked="0" layoutInCell="1" allowOverlap="1" wp14:anchorId="688C337E" wp14:editId="65A0600F">
                <wp:simplePos x="0" y="0"/>
                <wp:positionH relativeFrom="margin">
                  <wp:posOffset>48895</wp:posOffset>
                </wp:positionH>
                <wp:positionV relativeFrom="paragraph">
                  <wp:posOffset>2621801</wp:posOffset>
                </wp:positionV>
                <wp:extent cx="5486400" cy="128417"/>
                <wp:effectExtent l="57150" t="38100" r="76200" b="100330"/>
                <wp:wrapNone/>
                <wp:docPr id="3" name="Rectángulo 3"/>
                <wp:cNvGraphicFramePr/>
                <a:graphic xmlns:a="http://schemas.openxmlformats.org/drawingml/2006/main">
                  <a:graphicData uri="http://schemas.microsoft.com/office/word/2010/wordprocessingShape">
                    <wps:wsp>
                      <wps:cNvSpPr/>
                      <wps:spPr>
                        <a:xfrm>
                          <a:off x="0" y="0"/>
                          <a:ext cx="5486400" cy="128417"/>
                        </a:xfrm>
                        <a:prstGeom prst="rect">
                          <a:avLst/>
                        </a:prstGeom>
                        <a:noFill/>
                        <a:ln w="28575">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6CDE95" id="Rectángulo 3" o:spid="_x0000_s1026" style="position:absolute;margin-left:3.85pt;margin-top:206.45pt;width:6in;height:10.1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" filled="f" strokecolor="#c00000" strokeweight="2.25pt">
                <v:shadow on="t" color="black" opacity="22937f" origin=",.5" offset="0,.63889mm"/>
                <w10:wrap anchorx="margin"/>
              </v:rect>
            </w:pict>
          </mc:Fallback>
        </mc:AlternateContent>
      </w:r>
      <w:r w:rsidRPr="00D355C3">
        <w:rPr>
          <w:rFonts w:ascii="Palatino Linotype" w:eastAsia="Palatino Linotype" w:hAnsi="Palatino Linotype" w:cs="Palatino Linotype"/>
          <w:noProof/>
        </w:rPr>
        <w:drawing>
          <wp:inline distT="0" distB="0" distL="0" distR="0" wp14:anchorId="455D801C" wp14:editId="2F0889D7">
            <wp:extent cx="5612130" cy="2302510"/>
            <wp:effectExtent l="0" t="0" r="7620" b="254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12130" cy="2302510"/>
                    </a:xfrm>
                    <a:prstGeom prst="rect">
                      <a:avLst/>
                    </a:prstGeom>
                  </pic:spPr>
                </pic:pic>
              </a:graphicData>
            </a:graphic>
          </wp:inline>
        </w:drawing>
      </w:r>
      <w:r w:rsidRPr="00D355C3">
        <w:rPr>
          <w:rFonts w:ascii="Palatino Linotype" w:eastAsia="Palatino Linotype" w:hAnsi="Palatino Linotype" w:cs="Palatino Linotype"/>
          <w:noProof/>
        </w:rPr>
        <w:drawing>
          <wp:inline distT="0" distB="0" distL="0" distR="0" wp14:anchorId="6AED2D1B" wp14:editId="1AEEB0D6">
            <wp:extent cx="5612130" cy="967105"/>
            <wp:effectExtent l="0" t="0" r="7620" b="4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12130" cy="967105"/>
                    </a:xfrm>
                    <a:prstGeom prst="rect">
                      <a:avLst/>
                    </a:prstGeom>
                  </pic:spPr>
                </pic:pic>
              </a:graphicData>
            </a:graphic>
          </wp:inline>
        </w:drawing>
      </w:r>
    </w:p>
    <w:p w:rsidR="003E438D" w:rsidRPr="00D355C3" w:rsidRDefault="003E438D" w:rsidP="003E438D">
      <w:pPr>
        <w:spacing w:before="240" w:after="240" w:line="360" w:lineRule="auto"/>
        <w:jc w:val="both"/>
        <w:rPr>
          <w:rFonts w:ascii="Palatino Linotype" w:eastAsia="Palatino Linotype" w:hAnsi="Palatino Linotype" w:cs="Palatino Linotype"/>
          <w:b/>
        </w:rPr>
      </w:pPr>
      <w:r w:rsidRPr="00D355C3">
        <w:rPr>
          <w:rFonts w:ascii="Palatino Linotype" w:eastAsia="Palatino Linotype" w:hAnsi="Palatino Linotype" w:cs="Palatino Linotype"/>
        </w:rPr>
        <w:t>Atento a lo anterior, es de señalar que, como lo refirió la Jefa del Departamento de Recursos Humanos, dentro de la normativa no</w:t>
      </w:r>
      <w:r w:rsidR="0031006F" w:rsidRPr="00D355C3">
        <w:rPr>
          <w:rFonts w:ascii="Palatino Linotype" w:eastAsia="Palatino Linotype" w:hAnsi="Palatino Linotype" w:cs="Palatino Linotype"/>
        </w:rPr>
        <w:t xml:space="preserve"> se</w:t>
      </w:r>
      <w:r w:rsidRPr="00D355C3">
        <w:rPr>
          <w:rFonts w:ascii="Palatino Linotype" w:eastAsia="Palatino Linotype" w:hAnsi="Palatino Linotype" w:cs="Palatino Linotype"/>
        </w:rPr>
        <w:t xml:space="preserve"> contempla un plazo determinado para entregar el Formato Único de Movimiento de Personal, FUMP, por baja, pues se tiene que observar un procedimiento que implica la realización de diversas gestiones, que no cuentan con un plazo establecido para llevarse a cabo, sin embargo, no debe perderse de vista que </w:t>
      </w:r>
      <w:r w:rsidRPr="00D355C3">
        <w:rPr>
          <w:rFonts w:ascii="Palatino Linotype" w:eastAsia="Palatino Linotype" w:hAnsi="Palatino Linotype" w:cs="Palatino Linotype"/>
          <w:b/>
        </w:rPr>
        <w:t>dicho formato es entregado junto con el</w:t>
      </w:r>
      <w:r w:rsidRPr="00D355C3">
        <w:rPr>
          <w:rFonts w:ascii="Palatino Linotype" w:eastAsia="Palatino Linotype" w:hAnsi="Palatino Linotype" w:cs="Palatino Linotype"/>
        </w:rPr>
        <w:t xml:space="preserve"> </w:t>
      </w:r>
      <w:r w:rsidRPr="00D355C3">
        <w:rPr>
          <w:rFonts w:ascii="Palatino Linotype" w:eastAsia="Palatino Linotype" w:hAnsi="Palatino Linotype" w:cs="Palatino Linotype"/>
          <w:b/>
        </w:rPr>
        <w:t xml:space="preserve">cheque de finiquito, para cuyo pago si se contempla un plazo de conformidad con las políticas del Manual de Procedimientos del Departamento de Recursos Humanos de la Universidad Mexiquense del Bicentenario, por lo que se colige </w:t>
      </w:r>
      <w:r w:rsidR="00CF05FB" w:rsidRPr="00D355C3">
        <w:rPr>
          <w:rFonts w:ascii="Palatino Linotype" w:eastAsia="Palatino Linotype" w:hAnsi="Palatino Linotype" w:cs="Palatino Linotype"/>
          <w:b/>
        </w:rPr>
        <w:t xml:space="preserve">o se pudiera interpretar, </w:t>
      </w:r>
      <w:r w:rsidRPr="00D355C3">
        <w:rPr>
          <w:rFonts w:ascii="Palatino Linotype" w:eastAsia="Palatino Linotype" w:hAnsi="Palatino Linotype" w:cs="Palatino Linotype"/>
          <w:b/>
        </w:rPr>
        <w:t xml:space="preserve">que el plazo máximo para la entrega del Formato Único de </w:t>
      </w:r>
      <w:r w:rsidRPr="00D355C3">
        <w:rPr>
          <w:rFonts w:ascii="Palatino Linotype" w:eastAsia="Palatino Linotype" w:hAnsi="Palatino Linotype" w:cs="Palatino Linotype"/>
          <w:b/>
        </w:rPr>
        <w:lastRenderedPageBreak/>
        <w:t>Movimiento de Personal, FUMP, por baja, corre la misma suerte</w:t>
      </w:r>
      <w:r w:rsidR="00CF05FB" w:rsidRPr="00D355C3">
        <w:rPr>
          <w:rFonts w:ascii="Palatino Linotype" w:eastAsia="Palatino Linotype" w:hAnsi="Palatino Linotype" w:cs="Palatino Linotype"/>
          <w:b/>
        </w:rPr>
        <w:t xml:space="preserve">, esto es, máximo dentro de los treinta días en que se generó la baja. </w:t>
      </w:r>
    </w:p>
    <w:p w:rsidR="003E438D" w:rsidRPr="00D355C3" w:rsidRDefault="003E438D" w:rsidP="003E438D">
      <w:pPr>
        <w:spacing w:before="240" w:after="240" w:line="360" w:lineRule="auto"/>
        <w:jc w:val="both"/>
        <w:rPr>
          <w:rFonts w:ascii="Palatino Linotype" w:eastAsia="Palatino Linotype" w:hAnsi="Palatino Linotype" w:cs="Palatino Linotype"/>
          <w:b/>
        </w:rPr>
      </w:pPr>
      <w:r w:rsidRPr="00D355C3">
        <w:rPr>
          <w:rFonts w:ascii="Palatino Linotype" w:eastAsia="Palatino Linotype" w:hAnsi="Palatino Linotype" w:cs="Palatino Linotype"/>
        </w:rPr>
        <w:t>No obstante</w:t>
      </w:r>
      <w:r w:rsidRPr="00D355C3">
        <w:rPr>
          <w:rFonts w:ascii="Palatino Linotype" w:eastAsia="Palatino Linotype" w:hAnsi="Palatino Linotype" w:cs="Palatino Linotype"/>
          <w:b/>
        </w:rPr>
        <w:t xml:space="preserve">, </w:t>
      </w:r>
      <w:r w:rsidRPr="00D355C3">
        <w:rPr>
          <w:rFonts w:ascii="Palatino Linotype" w:eastAsia="Palatino Linotype" w:hAnsi="Palatino Linotype" w:cs="Palatino Linotype"/>
          <w:b/>
          <w:u w:val="single"/>
        </w:rPr>
        <w:t>no existe dentro de este documento disposición expresa</w:t>
      </w:r>
      <w:r w:rsidRPr="00D355C3">
        <w:rPr>
          <w:rFonts w:ascii="Palatino Linotype" w:eastAsia="Palatino Linotype" w:hAnsi="Palatino Linotype" w:cs="Palatino Linotype"/>
          <w:b/>
        </w:rPr>
        <w:t xml:space="preserve"> que establezca el plazo que requiere </w:t>
      </w:r>
      <w:r w:rsidR="0031006F" w:rsidRPr="00D355C3">
        <w:rPr>
          <w:rFonts w:ascii="Palatino Linotype" w:eastAsia="Palatino Linotype" w:hAnsi="Palatino Linotype" w:cs="Palatino Linotype"/>
          <w:b/>
        </w:rPr>
        <w:t>la persona solicitante</w:t>
      </w:r>
      <w:r w:rsidRPr="00D355C3">
        <w:rPr>
          <w:rFonts w:ascii="Palatino Linotype" w:eastAsia="Palatino Linotype" w:hAnsi="Palatino Linotype" w:cs="Palatino Linotype"/>
          <w:b/>
        </w:rPr>
        <w:t xml:space="preserve">, </w:t>
      </w:r>
      <w:r w:rsidRPr="00D355C3">
        <w:rPr>
          <w:rFonts w:ascii="Palatino Linotype" w:eastAsia="Palatino Linotype" w:hAnsi="Palatino Linotype" w:cs="Palatino Linotype"/>
        </w:rPr>
        <w:t>de igual forma,</w:t>
      </w:r>
      <w:r w:rsidRPr="00D355C3">
        <w:rPr>
          <w:rFonts w:ascii="Palatino Linotype" w:eastAsia="Palatino Linotype" w:hAnsi="Palatino Linotype" w:cs="Palatino Linotype"/>
          <w:b/>
        </w:rPr>
        <w:t xml:space="preserve"> dentro del análisis que se realizó a la normativa aplicable</w:t>
      </w:r>
      <w:r w:rsidR="00665820" w:rsidRPr="00D355C3">
        <w:rPr>
          <w:rFonts w:ascii="Palatino Linotype" w:eastAsia="Palatino Linotype" w:hAnsi="Palatino Linotype" w:cs="Palatino Linotype"/>
          <w:b/>
        </w:rPr>
        <w:t>,</w:t>
      </w:r>
      <w:r w:rsidRPr="00D355C3">
        <w:rPr>
          <w:rFonts w:ascii="Palatino Linotype" w:eastAsia="Palatino Linotype" w:hAnsi="Palatino Linotype" w:cs="Palatino Linotype"/>
          <w:b/>
        </w:rPr>
        <w:t xml:space="preserve"> </w:t>
      </w:r>
      <w:r w:rsidRPr="00D355C3">
        <w:rPr>
          <w:rFonts w:ascii="Palatino Linotype" w:eastAsia="Palatino Linotype" w:hAnsi="Palatino Linotype" w:cs="Palatino Linotype"/>
          <w:b/>
          <w:u w:val="single"/>
        </w:rPr>
        <w:t>no fue posible localizar el fundamento que establezca el plazo requerido.</w:t>
      </w:r>
      <w:r w:rsidRPr="00D355C3">
        <w:rPr>
          <w:rFonts w:ascii="Palatino Linotype" w:eastAsia="Palatino Linotype" w:hAnsi="Palatino Linotype" w:cs="Palatino Linotype"/>
          <w:b/>
        </w:rPr>
        <w:t xml:space="preserve"> </w:t>
      </w:r>
    </w:p>
    <w:p w:rsidR="00BB390C" w:rsidRPr="00D355C3" w:rsidRDefault="00E40C6A">
      <w:pPr>
        <w:spacing w:before="240" w:after="240" w:line="360" w:lineRule="auto"/>
        <w:jc w:val="both"/>
        <w:rPr>
          <w:rFonts w:ascii="Palatino Linotype" w:eastAsia="Palatino Linotype" w:hAnsi="Palatino Linotype" w:cs="Palatino Linotype"/>
        </w:rPr>
      </w:pPr>
      <w:bookmarkStart w:id="9" w:name="_heading=h.4d34og8" w:colFirst="0" w:colLast="0"/>
      <w:bookmarkEnd w:id="9"/>
      <w:r w:rsidRPr="00D355C3">
        <w:rPr>
          <w:rFonts w:ascii="Palatino Linotype" w:eastAsia="Palatino Linotype" w:hAnsi="Palatino Linotype" w:cs="Palatino Linotype"/>
        </w:rPr>
        <w:t>Con base en lo expuesto, se colige que los requerimientos de información fueron atendidos por el área facultada para generar, administrar o poseer la información que es del interés de la persona solicitante, por lo que, al haber existido un pronunciamiento respecto de la materia de la solicitud, este Organismo Garante no está facultado para manifestarse sobre la veracidad de lo expresado por parte de este, pues no existe precepto legal alguno en la Ley de la materia que lo faculte para ello.</w:t>
      </w:r>
    </w:p>
    <w:p w:rsidR="00BB390C" w:rsidRPr="00D355C3" w:rsidRDefault="00E40C6A">
      <w:pPr>
        <w:spacing w:before="240" w:after="360" w:line="360" w:lineRule="auto"/>
        <w:ind w:right="18"/>
        <w:jc w:val="both"/>
        <w:rPr>
          <w:rFonts w:ascii="Palatino Linotype" w:eastAsia="Palatino Linotype" w:hAnsi="Palatino Linotype" w:cs="Palatino Linotype"/>
        </w:rPr>
      </w:pPr>
      <w:r w:rsidRPr="00D355C3">
        <w:rPr>
          <w:rFonts w:ascii="Palatino Linotype" w:eastAsia="Palatino Linotype" w:hAnsi="Palatino Linotype" w:cs="Palatino Linotype"/>
        </w:rPr>
        <w:t xml:space="preserve">Lo anterior se sustenta con lo plasmado en el criterio 31/10 emitido por el entonces Instituto Federal de Acceso a la Información y Protección de Datos (IFAI) ahora Instituto Nacional de Transparencia, Acceso a la Información, y Protección de Datos Personales (INAI), que lleva por rubro y texto los siguientes: </w:t>
      </w:r>
    </w:p>
    <w:p w:rsidR="00BB390C" w:rsidRPr="00D355C3" w:rsidRDefault="00E40C6A">
      <w:pPr>
        <w:spacing w:before="240" w:after="240"/>
        <w:ind w:left="993" w:right="1041"/>
        <w:jc w:val="both"/>
        <w:rPr>
          <w:rFonts w:ascii="Palatino Linotype" w:eastAsia="Palatino Linotype" w:hAnsi="Palatino Linotype" w:cs="Palatino Linotype"/>
          <w:i/>
          <w:sz w:val="22"/>
          <w:szCs w:val="22"/>
        </w:rPr>
      </w:pPr>
      <w:r w:rsidRPr="00D355C3">
        <w:rPr>
          <w:rFonts w:ascii="Palatino Linotype" w:eastAsia="Palatino Linotype" w:hAnsi="Palatino Linotype" w:cs="Palatino Linotype"/>
          <w:i/>
          <w:sz w:val="22"/>
          <w:szCs w:val="22"/>
        </w:rPr>
        <w:t>“</w:t>
      </w:r>
      <w:r w:rsidRPr="00D355C3">
        <w:rPr>
          <w:rFonts w:ascii="Palatino Linotype" w:eastAsia="Palatino Linotype" w:hAnsi="Palatino Linotype" w:cs="Palatino Linotype"/>
          <w:b/>
          <w:i/>
          <w:sz w:val="22"/>
          <w:szCs w:val="22"/>
        </w:rPr>
        <w:t>El Instituto Federal de Acceso a la Información y Protección de Datos no cuenta con facultades para pronunciarse respecto de la veracidad de los documentos proporcionados por los sujetos obligados.</w:t>
      </w:r>
      <w:r w:rsidRPr="00D355C3">
        <w:rPr>
          <w:rFonts w:ascii="Palatino Linotype" w:eastAsia="Palatino Linotype" w:hAnsi="Palatino Linotype" w:cs="Palatino Linotype"/>
          <w:i/>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w:t>
      </w:r>
      <w:r w:rsidRPr="00D355C3">
        <w:rPr>
          <w:rFonts w:ascii="Palatino Linotype" w:eastAsia="Palatino Linotype" w:hAnsi="Palatino Linotype" w:cs="Palatino Linotype"/>
          <w:i/>
          <w:sz w:val="22"/>
          <w:szCs w:val="22"/>
        </w:rPr>
        <w:lastRenderedPageBreak/>
        <w:t>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BB390C" w:rsidRPr="00D355C3" w:rsidRDefault="00E40C6A">
      <w:pPr>
        <w:spacing w:before="240" w:after="240" w:line="360" w:lineRule="auto"/>
        <w:jc w:val="both"/>
        <w:rPr>
          <w:rFonts w:ascii="Palatino Linotype" w:eastAsia="Palatino Linotype" w:hAnsi="Palatino Linotype" w:cs="Palatino Linotype"/>
        </w:rPr>
      </w:pPr>
      <w:r w:rsidRPr="00D355C3">
        <w:rPr>
          <w:rFonts w:ascii="Palatino Linotype" w:eastAsia="Palatino Linotype" w:hAnsi="Palatino Linotype" w:cs="Palatino Linotype"/>
        </w:rPr>
        <w:t>En este tenor, se estima que el presente caso actualiza el supuesto previsto en el artículo 192, fracción III de la Ley de Transparencia y Acceso a la Información Pública del Estado de México y Municipios vigente, a saber:</w:t>
      </w:r>
    </w:p>
    <w:p w:rsidR="00BB390C" w:rsidRPr="00D355C3" w:rsidRDefault="00E40C6A">
      <w:pPr>
        <w:spacing w:before="240" w:after="240"/>
        <w:ind w:left="851" w:right="900"/>
        <w:jc w:val="both"/>
        <w:rPr>
          <w:rFonts w:ascii="Palatino Linotype" w:eastAsia="Palatino Linotype" w:hAnsi="Palatino Linotype" w:cs="Palatino Linotype"/>
          <w:i/>
          <w:sz w:val="22"/>
          <w:szCs w:val="22"/>
        </w:rPr>
      </w:pPr>
      <w:r w:rsidRPr="00D355C3">
        <w:rPr>
          <w:rFonts w:ascii="Palatino Linotype" w:eastAsia="Palatino Linotype" w:hAnsi="Palatino Linotype" w:cs="Palatino Linotype"/>
          <w:i/>
          <w:sz w:val="22"/>
          <w:szCs w:val="22"/>
        </w:rPr>
        <w:t>“</w:t>
      </w:r>
      <w:r w:rsidRPr="00D355C3">
        <w:rPr>
          <w:rFonts w:ascii="Palatino Linotype" w:eastAsia="Palatino Linotype" w:hAnsi="Palatino Linotype" w:cs="Palatino Linotype"/>
          <w:b/>
          <w:i/>
          <w:sz w:val="22"/>
          <w:szCs w:val="22"/>
        </w:rPr>
        <w:t>Artículo 192</w:t>
      </w:r>
      <w:r w:rsidRPr="00D355C3">
        <w:rPr>
          <w:rFonts w:ascii="Palatino Linotype" w:eastAsia="Palatino Linotype" w:hAnsi="Palatino Linotype" w:cs="Palatino Linotype"/>
          <w:i/>
          <w:sz w:val="22"/>
          <w:szCs w:val="22"/>
        </w:rPr>
        <w:t xml:space="preserve">. </w:t>
      </w:r>
      <w:r w:rsidRPr="00D355C3">
        <w:rPr>
          <w:rFonts w:ascii="Palatino Linotype" w:eastAsia="Palatino Linotype" w:hAnsi="Palatino Linotype" w:cs="Palatino Linotype"/>
          <w:b/>
          <w:i/>
          <w:sz w:val="22"/>
          <w:szCs w:val="22"/>
        </w:rPr>
        <w:t>El recurso será sobreseído</w:t>
      </w:r>
      <w:r w:rsidRPr="00D355C3">
        <w:rPr>
          <w:rFonts w:ascii="Palatino Linotype" w:eastAsia="Palatino Linotype" w:hAnsi="Palatino Linotype" w:cs="Palatino Linotype"/>
          <w:i/>
          <w:sz w:val="22"/>
          <w:szCs w:val="22"/>
        </w:rPr>
        <w:t xml:space="preserve">, </w:t>
      </w:r>
      <w:r w:rsidRPr="00D355C3">
        <w:rPr>
          <w:rFonts w:ascii="Palatino Linotype" w:eastAsia="Palatino Linotype" w:hAnsi="Palatino Linotype" w:cs="Palatino Linotype"/>
          <w:b/>
          <w:i/>
          <w:sz w:val="22"/>
          <w:szCs w:val="22"/>
        </w:rPr>
        <w:t>en todo o en parte,</w:t>
      </w:r>
      <w:r w:rsidRPr="00D355C3">
        <w:rPr>
          <w:rFonts w:ascii="Palatino Linotype" w:eastAsia="Palatino Linotype" w:hAnsi="Palatino Linotype" w:cs="Palatino Linotype"/>
          <w:i/>
          <w:sz w:val="22"/>
          <w:szCs w:val="22"/>
        </w:rPr>
        <w:t xml:space="preserve"> </w:t>
      </w:r>
      <w:r w:rsidRPr="00D355C3">
        <w:rPr>
          <w:rFonts w:ascii="Palatino Linotype" w:eastAsia="Palatino Linotype" w:hAnsi="Palatino Linotype" w:cs="Palatino Linotype"/>
          <w:b/>
          <w:i/>
          <w:sz w:val="22"/>
          <w:szCs w:val="22"/>
        </w:rPr>
        <w:t>cuando una vez admitido, se actualicen alguno de los siguientes supuestos</w:t>
      </w:r>
      <w:r w:rsidRPr="00D355C3">
        <w:rPr>
          <w:rFonts w:ascii="Palatino Linotype" w:eastAsia="Palatino Linotype" w:hAnsi="Palatino Linotype" w:cs="Palatino Linotype"/>
          <w:i/>
          <w:sz w:val="22"/>
          <w:szCs w:val="22"/>
        </w:rPr>
        <w:t xml:space="preserve">: </w:t>
      </w:r>
    </w:p>
    <w:p w:rsidR="00BB390C" w:rsidRPr="00D355C3" w:rsidRDefault="00E40C6A">
      <w:pPr>
        <w:spacing w:before="240" w:after="240"/>
        <w:ind w:left="1134" w:right="900"/>
        <w:jc w:val="both"/>
        <w:rPr>
          <w:rFonts w:ascii="Palatino Linotype" w:eastAsia="Palatino Linotype" w:hAnsi="Palatino Linotype" w:cs="Palatino Linotype"/>
          <w:i/>
          <w:sz w:val="22"/>
          <w:szCs w:val="22"/>
        </w:rPr>
      </w:pPr>
      <w:r w:rsidRPr="00D355C3">
        <w:rPr>
          <w:rFonts w:ascii="Palatino Linotype" w:eastAsia="Palatino Linotype" w:hAnsi="Palatino Linotype" w:cs="Palatino Linotype"/>
          <w:i/>
          <w:sz w:val="22"/>
          <w:szCs w:val="22"/>
        </w:rPr>
        <w:t>(…)</w:t>
      </w:r>
    </w:p>
    <w:p w:rsidR="00BB390C" w:rsidRPr="00D355C3" w:rsidRDefault="00E40C6A">
      <w:pPr>
        <w:spacing w:before="240" w:after="240"/>
        <w:ind w:left="1134" w:right="900"/>
        <w:jc w:val="both"/>
        <w:rPr>
          <w:rFonts w:ascii="Palatino Linotype" w:eastAsia="Palatino Linotype" w:hAnsi="Palatino Linotype" w:cs="Palatino Linotype"/>
          <w:i/>
          <w:sz w:val="22"/>
          <w:szCs w:val="22"/>
        </w:rPr>
      </w:pPr>
      <w:r w:rsidRPr="00D355C3">
        <w:rPr>
          <w:rFonts w:ascii="Palatino Linotype" w:eastAsia="Palatino Linotype" w:hAnsi="Palatino Linotype" w:cs="Palatino Linotype"/>
          <w:b/>
          <w:i/>
          <w:sz w:val="22"/>
          <w:szCs w:val="22"/>
        </w:rPr>
        <w:t>III. El sujeto obligado responsable del acto, lo modifique o revoque de tal manera que el recurso de revisión quede sin materia...</w:t>
      </w:r>
      <w:r w:rsidRPr="00D355C3">
        <w:rPr>
          <w:rFonts w:ascii="Palatino Linotype" w:eastAsia="Palatino Linotype" w:hAnsi="Palatino Linotype" w:cs="Palatino Linotype"/>
          <w:i/>
          <w:sz w:val="22"/>
          <w:szCs w:val="22"/>
        </w:rPr>
        <w:t>”</w:t>
      </w:r>
    </w:p>
    <w:p w:rsidR="00BB390C" w:rsidRPr="00D355C3" w:rsidRDefault="00E40C6A">
      <w:pPr>
        <w:spacing w:before="240" w:after="240" w:line="360" w:lineRule="auto"/>
        <w:jc w:val="both"/>
        <w:rPr>
          <w:rFonts w:ascii="Palatino Linotype" w:eastAsia="Palatino Linotype" w:hAnsi="Palatino Linotype" w:cs="Palatino Linotype"/>
        </w:rPr>
      </w:pPr>
      <w:r w:rsidRPr="00D355C3">
        <w:rPr>
          <w:rFonts w:ascii="Palatino Linotype" w:eastAsia="Palatino Linotype" w:hAnsi="Palatino Linotype" w:cs="Palatino Linotype"/>
        </w:rPr>
        <w:t>De lo establecido en el precepto legal citado se advierte que el sobreseimiento del recurso de revisión procede en los siguientes casos</w:t>
      </w:r>
    </w:p>
    <w:p w:rsidR="00BB390C" w:rsidRPr="00D355C3" w:rsidRDefault="00E40C6A">
      <w:pPr>
        <w:spacing w:before="240" w:after="240" w:line="360" w:lineRule="auto"/>
        <w:ind w:left="284"/>
        <w:jc w:val="both"/>
        <w:rPr>
          <w:rFonts w:ascii="Palatino Linotype" w:eastAsia="Palatino Linotype" w:hAnsi="Palatino Linotype" w:cs="Palatino Linotype"/>
        </w:rPr>
      </w:pPr>
      <w:r w:rsidRPr="00D355C3">
        <w:rPr>
          <w:rFonts w:ascii="Palatino Linotype" w:eastAsia="Palatino Linotype" w:hAnsi="Palatino Linotype" w:cs="Palatino Linotype"/>
        </w:rPr>
        <w:t xml:space="preserve">a) Cuando el sujeto obligado modifique el acto impugnado. </w:t>
      </w:r>
    </w:p>
    <w:p w:rsidR="00BB390C" w:rsidRPr="00D355C3" w:rsidRDefault="00E40C6A">
      <w:pPr>
        <w:spacing w:before="240" w:after="240" w:line="360" w:lineRule="auto"/>
        <w:ind w:left="284"/>
        <w:jc w:val="both"/>
        <w:rPr>
          <w:rFonts w:ascii="Palatino Linotype" w:eastAsia="Palatino Linotype" w:hAnsi="Palatino Linotype" w:cs="Palatino Linotype"/>
        </w:rPr>
      </w:pPr>
      <w:r w:rsidRPr="00D355C3">
        <w:rPr>
          <w:rFonts w:ascii="Palatino Linotype" w:eastAsia="Palatino Linotype" w:hAnsi="Palatino Linotype" w:cs="Palatino Linotype"/>
        </w:rPr>
        <w:t xml:space="preserve">b) Cuando el sujeto obligado revoque el acto impugnado; </w:t>
      </w:r>
    </w:p>
    <w:p w:rsidR="00BB390C" w:rsidRPr="00D355C3" w:rsidRDefault="00E40C6A">
      <w:pPr>
        <w:spacing w:before="240" w:after="240" w:line="360" w:lineRule="auto"/>
        <w:jc w:val="both"/>
        <w:rPr>
          <w:rFonts w:ascii="Palatino Linotype" w:eastAsia="Palatino Linotype" w:hAnsi="Palatino Linotype" w:cs="Palatino Linotype"/>
        </w:rPr>
      </w:pPr>
      <w:r w:rsidRPr="00D355C3">
        <w:rPr>
          <w:rFonts w:ascii="Palatino Linotype" w:eastAsia="Palatino Linotype" w:hAnsi="Palatino Linotype" w:cs="Palatino Linotype"/>
        </w:rPr>
        <w:t>Quedando en ambos casos el acto combatido sin materia o sin efectos.</w:t>
      </w:r>
    </w:p>
    <w:p w:rsidR="00BB390C" w:rsidRPr="00D355C3" w:rsidRDefault="00E40C6A">
      <w:pPr>
        <w:spacing w:before="240" w:after="240" w:line="360" w:lineRule="auto"/>
        <w:jc w:val="both"/>
        <w:rPr>
          <w:rFonts w:ascii="Palatino Linotype" w:eastAsia="Palatino Linotype" w:hAnsi="Palatino Linotype" w:cs="Palatino Linotype"/>
          <w:b/>
        </w:rPr>
      </w:pPr>
      <w:r w:rsidRPr="00D355C3">
        <w:rPr>
          <w:rFonts w:ascii="Palatino Linotype" w:eastAsia="Palatino Linotype" w:hAnsi="Palatino Linotype" w:cs="Palatino Linotype"/>
        </w:rPr>
        <w:t xml:space="preserve">Como se observa de lo anterior, un acto impugnado es modificado en aquellos casos en los que el Sujeto Obligado después de haber otorgado una respuesta, o haber omitido hacerlo (acto de no hacer), emite una o una diversa de manera posterior y </w:t>
      </w:r>
      <w:r w:rsidRPr="00D355C3">
        <w:rPr>
          <w:rFonts w:ascii="Palatino Linotype" w:eastAsia="Palatino Linotype" w:hAnsi="Palatino Linotype" w:cs="Palatino Linotype"/>
        </w:rPr>
        <w:lastRenderedPageBreak/>
        <w:t>en ésta subsana las deficiencias que hubiera tenido, quedando satisfecho el derecho subjetivo accionado por la parte Recurrente</w:t>
      </w:r>
      <w:r w:rsidRPr="00D355C3">
        <w:rPr>
          <w:rFonts w:ascii="Palatino Linotype" w:eastAsia="Palatino Linotype" w:hAnsi="Palatino Linotype" w:cs="Palatino Linotype"/>
          <w:b/>
        </w:rPr>
        <w:t>.</w:t>
      </w:r>
    </w:p>
    <w:p w:rsidR="00BB390C" w:rsidRPr="00D355C3" w:rsidRDefault="00E40C6A">
      <w:pPr>
        <w:spacing w:before="240" w:after="240" w:line="360" w:lineRule="auto"/>
        <w:jc w:val="both"/>
        <w:rPr>
          <w:rFonts w:ascii="Palatino Linotype" w:eastAsia="Palatino Linotype" w:hAnsi="Palatino Linotype" w:cs="Palatino Linotype"/>
        </w:rPr>
      </w:pPr>
      <w:r w:rsidRPr="00D355C3">
        <w:rPr>
          <w:rFonts w:ascii="Palatino Linotype" w:eastAsia="Palatino Linotype" w:hAnsi="Palatino Linotype" w:cs="Palatino Linotype"/>
        </w:rPr>
        <w:t>Por lo que hace a la revocación, esta se actualiza cuando el Sujeto Obligado deja sin efectos la primera respuesta o su primer acto y en su lugar emite otro con las características y cualidades suficientes para dejar satisfecho el ejercicio del derecho al acceso a la información pública.</w:t>
      </w:r>
    </w:p>
    <w:p w:rsidR="00BB390C" w:rsidRPr="00D355C3" w:rsidRDefault="00E40C6A">
      <w:pPr>
        <w:spacing w:before="240" w:after="240" w:line="360" w:lineRule="auto"/>
        <w:jc w:val="both"/>
        <w:rPr>
          <w:rFonts w:ascii="Palatino Linotype" w:eastAsia="Palatino Linotype" w:hAnsi="Palatino Linotype" w:cs="Palatino Linotype"/>
        </w:rPr>
      </w:pPr>
      <w:r w:rsidRPr="00D355C3">
        <w:rPr>
          <w:rFonts w:ascii="Palatino Linotype" w:eastAsia="Palatino Linotype" w:hAnsi="Palatino Linotype" w:cs="Palatino Linotype"/>
        </w:rPr>
        <w:t>En este orden de ideas, un acto impugnado queda sin efectos, cuando aun existiendo jurídicamente (esto es, que no se ha modificado, ni revocado) ya no genera ninguna consecuencia legal.</w:t>
      </w:r>
    </w:p>
    <w:p w:rsidR="00BB390C" w:rsidRPr="00D355C3" w:rsidRDefault="00E40C6A">
      <w:pPr>
        <w:spacing w:before="240" w:after="240" w:line="360" w:lineRule="auto"/>
        <w:jc w:val="both"/>
        <w:rPr>
          <w:rFonts w:ascii="Palatino Linotype" w:eastAsia="Palatino Linotype" w:hAnsi="Palatino Linotype" w:cs="Palatino Linotype"/>
        </w:rPr>
      </w:pPr>
      <w:r w:rsidRPr="00D355C3">
        <w:rPr>
          <w:rFonts w:ascii="Palatino Linotype" w:eastAsia="Palatino Linotype" w:hAnsi="Palatino Linotype" w:cs="Palatino Linotype"/>
        </w:rPr>
        <w:t>En tanto que, un acto impugnado queda sin materia, cuando ha sido satisfecha la pretensión del recurrente de manera que el Sujeto Obligado entrega una respuesta, aunque sea posterior a los términos previstos en la ley y mediante ésta concede la información solicitada.</w:t>
      </w:r>
    </w:p>
    <w:p w:rsidR="00BB390C" w:rsidRPr="00D355C3" w:rsidRDefault="00E40C6A">
      <w:pPr>
        <w:spacing w:before="240" w:after="240" w:line="360" w:lineRule="auto"/>
        <w:jc w:val="both"/>
        <w:rPr>
          <w:rFonts w:ascii="Palatino Linotype" w:eastAsia="Palatino Linotype" w:hAnsi="Palatino Linotype" w:cs="Palatino Linotype"/>
        </w:rPr>
      </w:pPr>
      <w:r w:rsidRPr="00D355C3">
        <w:rPr>
          <w:rFonts w:ascii="Palatino Linotype" w:eastAsia="Palatino Linotype" w:hAnsi="Palatino Linotype" w:cs="Palatino Linotype"/>
        </w:rPr>
        <w:t xml:space="preserve">De lo hasta aquí expuesto, resulta evidente que el </w:t>
      </w:r>
      <w:r w:rsidRPr="00D355C3">
        <w:rPr>
          <w:rFonts w:ascii="Palatino Linotype" w:eastAsia="Palatino Linotype" w:hAnsi="Palatino Linotype" w:cs="Palatino Linotype"/>
          <w:b/>
        </w:rPr>
        <w:t>Sujeto Obligado</w:t>
      </w:r>
      <w:r w:rsidRPr="00D355C3">
        <w:rPr>
          <w:rFonts w:ascii="Palatino Linotype" w:eastAsia="Palatino Linotype" w:hAnsi="Palatino Linotype" w:cs="Palatino Linotype"/>
        </w:rPr>
        <w:t xml:space="preserve"> modificó la respuesta a la solicitud de la persona solicitante, aunque ello haya sido de manera posterior a su respuesta inicial, información que se hizo del conocimiento de la parte </w:t>
      </w:r>
      <w:r w:rsidRPr="00D355C3">
        <w:rPr>
          <w:rFonts w:ascii="Palatino Linotype" w:eastAsia="Palatino Linotype" w:hAnsi="Palatino Linotype" w:cs="Palatino Linotype"/>
          <w:b/>
        </w:rPr>
        <w:t>Recurrente</w:t>
      </w:r>
      <w:r w:rsidRPr="00D355C3">
        <w:rPr>
          <w:rFonts w:ascii="Palatino Linotype" w:eastAsia="Palatino Linotype" w:hAnsi="Palatino Linotype" w:cs="Palatino Linotype"/>
        </w:rPr>
        <w:t xml:space="preserve"> con la finalidad de que manifestara lo que a su derecho estimara conveniente, sin que obre constancia en el expediente electrónico de que hubiera ejercido dicha prerrogativa hasta el momento de decretar el cierre de instrucción correspondiente, por lo que se entiende que ha quedado conforme con la misma.</w:t>
      </w:r>
    </w:p>
    <w:p w:rsidR="00BB390C" w:rsidRPr="00D355C3" w:rsidRDefault="00E40C6A">
      <w:pPr>
        <w:spacing w:before="240" w:after="240" w:line="360" w:lineRule="auto"/>
        <w:jc w:val="both"/>
        <w:rPr>
          <w:rFonts w:ascii="Palatino Linotype" w:eastAsia="Palatino Linotype" w:hAnsi="Palatino Linotype" w:cs="Palatino Linotype"/>
        </w:rPr>
      </w:pPr>
      <w:r w:rsidRPr="00D355C3">
        <w:rPr>
          <w:rFonts w:ascii="Palatino Linotype" w:eastAsia="Palatino Linotype" w:hAnsi="Palatino Linotype" w:cs="Palatino Linotype"/>
        </w:rPr>
        <w:lastRenderedPageBreak/>
        <w:t xml:space="preserve">Asimismo, cabe señalar que el derecho de acceso a la información pública se satisface en aquellos casos en que se entregue el soporte documental en que conste la información pública, sin la necesidad de elaborar documentos </w:t>
      </w:r>
      <w:r w:rsidRPr="00D355C3">
        <w:rPr>
          <w:rFonts w:ascii="Palatino Linotype" w:eastAsia="Palatino Linotype" w:hAnsi="Palatino Linotype" w:cs="Palatino Linotype"/>
          <w:i/>
        </w:rPr>
        <w:t>ad hoc</w:t>
      </w:r>
      <w:r w:rsidRPr="00D355C3">
        <w:rPr>
          <w:rFonts w:ascii="Palatino Linotype" w:eastAsia="Palatino Linotype" w:hAnsi="Palatino Linotype" w:cs="Palatino Linotype"/>
        </w:rPr>
        <w:t xml:space="preserve">; lo cual, toma sustento en el artículo 160 de la Ley de Transparencia y Acceso a la Información Pública del Estado de México y Municipios, el cual refiere que los Sujetos Obligados deberán entregar la información que obre en sus archivos; sin embargo, se aprecia que el </w:t>
      </w:r>
      <w:r w:rsidRPr="00D355C3">
        <w:rPr>
          <w:rFonts w:ascii="Palatino Linotype" w:eastAsia="Palatino Linotype" w:hAnsi="Palatino Linotype" w:cs="Palatino Linotype"/>
          <w:b/>
        </w:rPr>
        <w:t>Sujeto Obligado</w:t>
      </w:r>
      <w:r w:rsidRPr="00D355C3">
        <w:rPr>
          <w:rFonts w:ascii="Palatino Linotype" w:eastAsia="Palatino Linotype" w:hAnsi="Palatino Linotype" w:cs="Palatino Linotype"/>
        </w:rPr>
        <w:t xml:space="preserve">, elaboró un documento ad hoc para dar cabal cumplimiento al derecho de acceso a la información de la persona solicitante, aún y </w:t>
      </w:r>
      <w:r w:rsidRPr="00D355C3">
        <w:rPr>
          <w:rFonts w:ascii="Palatino Linotype" w:eastAsia="Palatino Linotype" w:hAnsi="Palatino Linotype" w:cs="Palatino Linotype"/>
          <w:b/>
        </w:rPr>
        <w:t>cuando no es una obligación de las autoridades</w:t>
      </w:r>
      <w:r w:rsidRPr="00D355C3">
        <w:rPr>
          <w:rFonts w:ascii="Palatino Linotype" w:eastAsia="Palatino Linotype" w:hAnsi="Palatino Linotype" w:cs="Palatino Linotype"/>
        </w:rPr>
        <w:t xml:space="preserve"> tal y como lo señala el Criterio de Interpretación 03/17, emitido por el Pleno del Instituto Nacional de Transparencia, Acceso a la Información y Protección de Datos Personales,  INAI, que dice:</w:t>
      </w:r>
      <w:r w:rsidRPr="00D355C3">
        <w:rPr>
          <w:rFonts w:ascii="Palatino Linotype" w:eastAsia="Palatino Linotype" w:hAnsi="Palatino Linotype" w:cs="Palatino Linotype"/>
          <w:b/>
        </w:rPr>
        <w:t> </w:t>
      </w:r>
    </w:p>
    <w:p w:rsidR="00BB390C" w:rsidRPr="00D355C3" w:rsidRDefault="00E40C6A">
      <w:pPr>
        <w:pBdr>
          <w:top w:val="nil"/>
          <w:left w:val="nil"/>
          <w:bottom w:val="nil"/>
          <w:right w:val="nil"/>
          <w:between w:val="nil"/>
        </w:pBdr>
        <w:spacing w:before="120" w:after="120"/>
        <w:ind w:left="851" w:right="851"/>
        <w:jc w:val="both"/>
      </w:pPr>
      <w:r w:rsidRPr="00D355C3">
        <w:rPr>
          <w:rFonts w:ascii="Palatino Linotype" w:eastAsia="Palatino Linotype" w:hAnsi="Palatino Linotype" w:cs="Palatino Linotype"/>
          <w:i/>
        </w:rPr>
        <w:t>“</w:t>
      </w:r>
      <w:r w:rsidRPr="00D355C3">
        <w:rPr>
          <w:rFonts w:ascii="Palatino Linotype" w:eastAsia="Palatino Linotype" w:hAnsi="Palatino Linotype" w:cs="Palatino Linotype"/>
          <w:b/>
          <w:i/>
          <w:sz w:val="22"/>
          <w:szCs w:val="22"/>
        </w:rPr>
        <w:t xml:space="preserve">No existe obligación de elaborar documentos ad hoc para atender las solicitudes de acceso a la información. </w:t>
      </w:r>
      <w:r w:rsidRPr="00D355C3">
        <w:rPr>
          <w:rFonts w:ascii="Palatino Linotype" w:eastAsia="Palatino Linotype" w:hAnsi="Palatino Linotype" w:cs="Palatino Linotype"/>
          <w:i/>
          <w:sz w:val="22"/>
          <w:szCs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BB390C" w:rsidRPr="00D355C3" w:rsidRDefault="00E40C6A">
      <w:pPr>
        <w:pBdr>
          <w:top w:val="nil"/>
          <w:left w:val="nil"/>
          <w:bottom w:val="nil"/>
          <w:right w:val="nil"/>
          <w:between w:val="nil"/>
        </w:pBdr>
        <w:spacing w:before="240" w:after="240" w:line="360" w:lineRule="auto"/>
        <w:ind w:right="-93"/>
        <w:jc w:val="both"/>
        <w:rPr>
          <w:rFonts w:ascii="Palatino Linotype" w:eastAsia="Palatino Linotype" w:hAnsi="Palatino Linotype" w:cs="Palatino Linotype"/>
        </w:rPr>
      </w:pPr>
      <w:r w:rsidRPr="00D355C3">
        <w:rPr>
          <w:rFonts w:ascii="Palatino Linotype" w:eastAsia="Palatino Linotype" w:hAnsi="Palatino Linotype" w:cs="Palatino Linotype"/>
        </w:rPr>
        <w:t xml:space="preserve">Entonces, dado a que el criterio en mención establece que las autoridades </w:t>
      </w:r>
      <w:r w:rsidRPr="00D355C3">
        <w:rPr>
          <w:rFonts w:ascii="Palatino Linotype" w:eastAsia="Palatino Linotype" w:hAnsi="Palatino Linotype" w:cs="Palatino Linotype"/>
          <w:b/>
        </w:rPr>
        <w:t xml:space="preserve">no están obligadas a generar documentos “ad hoc” </w:t>
      </w:r>
      <w:r w:rsidRPr="00D355C3">
        <w:rPr>
          <w:rFonts w:ascii="Palatino Linotype" w:eastAsia="Palatino Linotype" w:hAnsi="Palatino Linotype" w:cs="Palatino Linotype"/>
        </w:rPr>
        <w:t>en contrario sensu, dicho criterio se puede interpretar resultando que las autoridades no están impedidas a generar documentos “ad hoc”, esto, siempre que con dicho documento elaborado se dé cabal cumplimiento a los requerimientos planteados.</w:t>
      </w:r>
    </w:p>
    <w:p w:rsidR="00BB390C" w:rsidRPr="00D355C3" w:rsidRDefault="00E40C6A">
      <w:pPr>
        <w:spacing w:before="240" w:after="240" w:line="360" w:lineRule="auto"/>
        <w:jc w:val="both"/>
        <w:rPr>
          <w:rFonts w:ascii="Palatino Linotype" w:eastAsia="Palatino Linotype" w:hAnsi="Palatino Linotype" w:cs="Palatino Linotype"/>
        </w:rPr>
      </w:pPr>
      <w:r w:rsidRPr="00D355C3">
        <w:rPr>
          <w:rFonts w:ascii="Palatino Linotype" w:eastAsia="Palatino Linotype" w:hAnsi="Palatino Linotype" w:cs="Palatino Linotype"/>
        </w:rPr>
        <w:lastRenderedPageBreak/>
        <w:t xml:space="preserve">Con base en los argumentos vertidos, se concluye que la información remitida por el </w:t>
      </w:r>
      <w:r w:rsidRPr="00D355C3">
        <w:rPr>
          <w:rFonts w:ascii="Palatino Linotype" w:eastAsia="Palatino Linotype" w:hAnsi="Palatino Linotype" w:cs="Palatino Linotype"/>
          <w:b/>
        </w:rPr>
        <w:t xml:space="preserve">Sujeto Obligado </w:t>
      </w:r>
      <w:r w:rsidRPr="00D355C3">
        <w:rPr>
          <w:rFonts w:ascii="Palatino Linotype" w:eastAsia="Palatino Linotype" w:hAnsi="Palatino Linotype" w:cs="Palatino Linotype"/>
        </w:rPr>
        <w:t xml:space="preserve">en la etapa de manifestaciones satisface la solicitud planteada, con lo cual quedo sin materia el presente recurso de revisión, </w:t>
      </w:r>
      <w:proofErr w:type="spellStart"/>
      <w:r w:rsidRPr="00D355C3">
        <w:rPr>
          <w:rFonts w:ascii="Palatino Linotype" w:eastAsia="Palatino Linotype" w:hAnsi="Palatino Linotype" w:cs="Palatino Linotype"/>
        </w:rPr>
        <w:t>actualizándo</w:t>
      </w:r>
      <w:proofErr w:type="spellEnd"/>
      <w:r w:rsidRPr="00D355C3">
        <w:rPr>
          <w:rFonts w:ascii="Palatino Linotype" w:eastAsia="Palatino Linotype" w:hAnsi="Palatino Linotype" w:cs="Palatino Linotype"/>
        </w:rPr>
        <w:t xml:space="preserve"> entonces la causal prevista en la fracción III del artículo 192 de la Ley de la Materia vigente en la Entidad, antes transcrita. </w:t>
      </w:r>
    </w:p>
    <w:p w:rsidR="00BB390C" w:rsidRPr="00D355C3" w:rsidRDefault="00E40C6A">
      <w:pPr>
        <w:spacing w:before="240" w:after="240" w:line="360" w:lineRule="auto"/>
        <w:jc w:val="both"/>
        <w:rPr>
          <w:rFonts w:ascii="Palatino Linotype" w:eastAsia="Palatino Linotype" w:hAnsi="Palatino Linotype" w:cs="Palatino Linotype"/>
          <w:b/>
        </w:rPr>
      </w:pPr>
      <w:r w:rsidRPr="00D355C3">
        <w:rPr>
          <w:rFonts w:ascii="Palatino Linotype" w:eastAsia="Palatino Linotype" w:hAnsi="Palatino Linotype" w:cs="Palatino Linotype"/>
        </w:rPr>
        <w:t xml:space="preserve">Siendo el </w:t>
      </w:r>
      <w:r w:rsidRPr="00D355C3">
        <w:rPr>
          <w:rFonts w:ascii="Palatino Linotype" w:eastAsia="Palatino Linotype" w:hAnsi="Palatino Linotype" w:cs="Palatino Linotype"/>
          <w:i/>
        </w:rPr>
        <w:t>sobreseimiento</w:t>
      </w:r>
      <w:r w:rsidRPr="00D355C3">
        <w:rPr>
          <w:rFonts w:ascii="Palatino Linotype" w:eastAsia="Palatino Linotype" w:hAnsi="Palatino Linotype" w:cs="Palatino Linotype"/>
        </w:rPr>
        <w:t xml:space="preserve"> un acto que da por terminado el procedimiento administrativo de impugnación por alguna causa sobreviniente en el juicio de que se trate, que impide a la autoridad referirse a lo sustancial de lo planteado por el recurrente teniendo como consecuencia dar por concluido el medio de impugnación, este Instituto se encuentra imposibilitado para entrar al estudio de fondo del recurso de revisión, lo anterior con apoyo en el criterio del Poder Judicial de la Federación con rubro: </w:t>
      </w:r>
      <w:r w:rsidRPr="00D355C3">
        <w:rPr>
          <w:rFonts w:ascii="Palatino Linotype" w:eastAsia="Palatino Linotype" w:hAnsi="Palatino Linotype" w:cs="Palatino Linotype"/>
          <w:b/>
        </w:rPr>
        <w:t>SOBRESEIMIENTO, NO PERMITE ENTRAR AL ESTUDIO DE LAS CUESTIONES DE FONDO</w:t>
      </w:r>
      <w:r w:rsidRPr="00D355C3">
        <w:rPr>
          <w:rFonts w:ascii="Palatino Linotype" w:eastAsia="Palatino Linotype" w:hAnsi="Palatino Linotype" w:cs="Palatino Linotype"/>
          <w:b/>
          <w:vertAlign w:val="superscript"/>
        </w:rPr>
        <w:footnoteReference w:id="3"/>
      </w:r>
      <w:r w:rsidRPr="00D355C3">
        <w:rPr>
          <w:rFonts w:ascii="Palatino Linotype" w:eastAsia="Palatino Linotype" w:hAnsi="Palatino Linotype" w:cs="Palatino Linotype"/>
          <w:b/>
        </w:rPr>
        <w:t>.</w:t>
      </w:r>
    </w:p>
    <w:p w:rsidR="00BB390C" w:rsidRPr="00D355C3" w:rsidRDefault="00E40C6A">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D355C3">
        <w:rPr>
          <w:rFonts w:ascii="Palatino Linotype" w:eastAsia="Palatino Linotype" w:hAnsi="Palatino Linotype" w:cs="Palatino Linotype"/>
        </w:rPr>
        <w:t>Así, con fundamento en lo prescrito en los artículos 5 párrafos trigésimo segundo, trigésimo tercero y trigésimo cuarto de la Constitución Política del Estado Libre y Soberano de México; 2, fracción II; 29, 36 fracciones I y II; 176, 178, 181, 185 y 186 fracción II de la Ley de Transparencia y Acceso a la Información Pública del Estado de México y Municipios, este Pleno:</w:t>
      </w:r>
    </w:p>
    <w:p w:rsidR="00BB390C" w:rsidRPr="00D355C3" w:rsidRDefault="00BB390C">
      <w:pPr>
        <w:pBdr>
          <w:top w:val="nil"/>
          <w:left w:val="nil"/>
          <w:bottom w:val="nil"/>
          <w:right w:val="nil"/>
          <w:between w:val="nil"/>
        </w:pBdr>
        <w:spacing w:before="240" w:after="240" w:line="360" w:lineRule="auto"/>
        <w:jc w:val="both"/>
        <w:rPr>
          <w:rFonts w:ascii="Palatino Linotype" w:eastAsia="Palatino Linotype" w:hAnsi="Palatino Linotype" w:cs="Palatino Linotype"/>
        </w:rPr>
      </w:pPr>
    </w:p>
    <w:p w:rsidR="00BB390C" w:rsidRPr="00D355C3" w:rsidRDefault="00E40C6A">
      <w:pPr>
        <w:pBdr>
          <w:top w:val="nil"/>
          <w:left w:val="nil"/>
          <w:bottom w:val="nil"/>
          <w:right w:val="nil"/>
          <w:between w:val="nil"/>
        </w:pBdr>
        <w:spacing w:before="240" w:after="240" w:line="360" w:lineRule="auto"/>
        <w:jc w:val="center"/>
        <w:rPr>
          <w:rFonts w:ascii="Palatino Linotype" w:eastAsia="Palatino Linotype" w:hAnsi="Palatino Linotype" w:cs="Palatino Linotype"/>
          <w:b/>
        </w:rPr>
      </w:pPr>
      <w:bookmarkStart w:id="10" w:name="_heading=h.lnxbz9" w:colFirst="0" w:colLast="0"/>
      <w:bookmarkEnd w:id="10"/>
      <w:r w:rsidRPr="00D355C3">
        <w:rPr>
          <w:rFonts w:ascii="Palatino Linotype" w:eastAsia="Palatino Linotype" w:hAnsi="Palatino Linotype" w:cs="Palatino Linotype"/>
          <w:b/>
        </w:rPr>
        <w:lastRenderedPageBreak/>
        <w:t>III. R E S U E L V E</w:t>
      </w:r>
    </w:p>
    <w:p w:rsidR="00BB390C" w:rsidRPr="00D355C3" w:rsidRDefault="00E40C6A">
      <w:pPr>
        <w:spacing w:before="160" w:line="360" w:lineRule="auto"/>
        <w:jc w:val="both"/>
        <w:rPr>
          <w:rFonts w:ascii="Palatino Linotype" w:eastAsia="Palatino Linotype" w:hAnsi="Palatino Linotype" w:cs="Palatino Linotype"/>
        </w:rPr>
      </w:pPr>
      <w:bookmarkStart w:id="11" w:name="_heading=h.1fob9te" w:colFirst="0" w:colLast="0"/>
      <w:bookmarkEnd w:id="11"/>
      <w:r w:rsidRPr="00D355C3">
        <w:rPr>
          <w:rFonts w:ascii="Palatino Linotype" w:eastAsia="Palatino Linotype" w:hAnsi="Palatino Linotype" w:cs="Palatino Linotype"/>
          <w:b/>
        </w:rPr>
        <w:t xml:space="preserve">Primero. </w:t>
      </w:r>
      <w:r w:rsidRPr="00D355C3">
        <w:rPr>
          <w:rFonts w:ascii="Palatino Linotype" w:eastAsia="Palatino Linotype" w:hAnsi="Palatino Linotype" w:cs="Palatino Linotype"/>
        </w:rPr>
        <w:t>Se</w:t>
      </w:r>
      <w:r w:rsidRPr="00D355C3">
        <w:rPr>
          <w:rFonts w:ascii="Palatino Linotype" w:eastAsia="Palatino Linotype" w:hAnsi="Palatino Linotype" w:cs="Palatino Linotype"/>
          <w:b/>
        </w:rPr>
        <w:t xml:space="preserve"> Sobresee </w:t>
      </w:r>
      <w:r w:rsidRPr="00D355C3">
        <w:rPr>
          <w:rFonts w:ascii="Palatino Linotype" w:eastAsia="Palatino Linotype" w:hAnsi="Palatino Linotype" w:cs="Palatino Linotype"/>
        </w:rPr>
        <w:t xml:space="preserve">el recurso de revisión número </w:t>
      </w:r>
      <w:r w:rsidRPr="00D355C3">
        <w:rPr>
          <w:rFonts w:ascii="Palatino Linotype" w:eastAsia="Palatino Linotype" w:hAnsi="Palatino Linotype" w:cs="Palatino Linotype"/>
          <w:b/>
        </w:rPr>
        <w:t xml:space="preserve">03864/INFOEM/IP/RR/2023, </w:t>
      </w:r>
      <w:r w:rsidRPr="00D355C3">
        <w:rPr>
          <w:rFonts w:ascii="Palatino Linotype" w:eastAsia="Palatino Linotype" w:hAnsi="Palatino Linotype" w:cs="Palatino Linotype"/>
        </w:rPr>
        <w:t xml:space="preserve">porque al </w:t>
      </w:r>
      <w:r w:rsidRPr="00D355C3">
        <w:rPr>
          <w:rFonts w:ascii="Palatino Linotype" w:eastAsia="Palatino Linotype" w:hAnsi="Palatino Linotype" w:cs="Palatino Linotype"/>
          <w:b/>
        </w:rPr>
        <w:t>modificar la respuesta</w:t>
      </w:r>
      <w:r w:rsidRPr="00D355C3">
        <w:rPr>
          <w:rFonts w:ascii="Palatino Linotype" w:eastAsia="Palatino Linotype" w:hAnsi="Palatino Linotype" w:cs="Palatino Linotype"/>
        </w:rPr>
        <w:t xml:space="preserve"> se actualizó la causal prevista en el artículo 192, fracción III, de la Ley de Transparencia y Acceso a la Información Pública del Estado de México y Municipios, quedando sin materia en términos del considerando </w:t>
      </w:r>
      <w:r w:rsidRPr="00D355C3">
        <w:rPr>
          <w:rFonts w:ascii="Palatino Linotype" w:eastAsia="Palatino Linotype" w:hAnsi="Palatino Linotype" w:cs="Palatino Linotype"/>
          <w:b/>
        </w:rPr>
        <w:t xml:space="preserve">Tercero </w:t>
      </w:r>
      <w:r w:rsidRPr="00D355C3">
        <w:rPr>
          <w:rFonts w:ascii="Palatino Linotype" w:eastAsia="Palatino Linotype" w:hAnsi="Palatino Linotype" w:cs="Palatino Linotype"/>
        </w:rPr>
        <w:t>de la presente Resolución.</w:t>
      </w:r>
    </w:p>
    <w:p w:rsidR="00BB390C" w:rsidRPr="00D355C3" w:rsidRDefault="00E40C6A">
      <w:pPr>
        <w:spacing w:before="240" w:after="240" w:line="360" w:lineRule="auto"/>
        <w:jc w:val="both"/>
        <w:rPr>
          <w:rFonts w:ascii="Palatino Linotype" w:eastAsia="Palatino Linotype" w:hAnsi="Palatino Linotype" w:cs="Palatino Linotype"/>
        </w:rPr>
      </w:pPr>
      <w:r w:rsidRPr="00D355C3">
        <w:rPr>
          <w:rFonts w:ascii="Palatino Linotype" w:eastAsia="Palatino Linotype" w:hAnsi="Palatino Linotype" w:cs="Palatino Linotype"/>
          <w:b/>
        </w:rPr>
        <w:t xml:space="preserve">Segundo. Notifíquese, </w:t>
      </w:r>
      <w:r w:rsidRPr="00D355C3">
        <w:rPr>
          <w:rFonts w:ascii="Palatino Linotype" w:eastAsia="Palatino Linotype" w:hAnsi="Palatino Linotype" w:cs="Palatino Linotype"/>
        </w:rPr>
        <w:t>vía</w:t>
      </w:r>
      <w:r w:rsidRPr="00D355C3">
        <w:rPr>
          <w:rFonts w:ascii="Palatino Linotype" w:eastAsia="Palatino Linotype" w:hAnsi="Palatino Linotype" w:cs="Palatino Linotype"/>
          <w:b/>
        </w:rPr>
        <w:t xml:space="preserve"> SAIMEX</w:t>
      </w:r>
      <w:r w:rsidRPr="00D355C3">
        <w:rPr>
          <w:rFonts w:ascii="Palatino Linotype" w:eastAsia="Palatino Linotype" w:hAnsi="Palatino Linotype" w:cs="Palatino Linotype"/>
          <w:b/>
          <w:i/>
        </w:rPr>
        <w:t xml:space="preserve">, </w:t>
      </w:r>
      <w:r w:rsidRPr="00D355C3">
        <w:rPr>
          <w:rFonts w:ascii="Palatino Linotype" w:eastAsia="Palatino Linotype" w:hAnsi="Palatino Linotype" w:cs="Palatino Linotype"/>
        </w:rPr>
        <w:t xml:space="preserve">al Titular de la Unidad de Transparencia del </w:t>
      </w:r>
      <w:r w:rsidRPr="00D355C3">
        <w:rPr>
          <w:rFonts w:ascii="Palatino Linotype" w:eastAsia="Palatino Linotype" w:hAnsi="Palatino Linotype" w:cs="Palatino Linotype"/>
          <w:b/>
        </w:rPr>
        <w:t>Sujeto Obligado</w:t>
      </w:r>
      <w:r w:rsidRPr="00D355C3">
        <w:rPr>
          <w:rFonts w:ascii="Palatino Linotype" w:eastAsia="Palatino Linotype" w:hAnsi="Palatino Linotype" w:cs="Palatino Linotype"/>
        </w:rPr>
        <w:t xml:space="preserve"> la presente resolución, para su conocimiento.</w:t>
      </w:r>
    </w:p>
    <w:p w:rsidR="00BB390C" w:rsidRPr="00D355C3" w:rsidRDefault="00E40C6A">
      <w:pPr>
        <w:spacing w:before="240" w:after="240" w:line="360" w:lineRule="auto"/>
        <w:jc w:val="both"/>
        <w:rPr>
          <w:rFonts w:ascii="Palatino Linotype" w:eastAsia="Palatino Linotype" w:hAnsi="Palatino Linotype" w:cs="Palatino Linotype"/>
        </w:rPr>
      </w:pPr>
      <w:bookmarkStart w:id="12" w:name="_heading=h.26in1rg" w:colFirst="0" w:colLast="0"/>
      <w:bookmarkEnd w:id="12"/>
      <w:r w:rsidRPr="00D355C3">
        <w:rPr>
          <w:rFonts w:ascii="Palatino Linotype" w:eastAsia="Palatino Linotype" w:hAnsi="Palatino Linotype" w:cs="Palatino Linotype"/>
          <w:b/>
        </w:rPr>
        <w:t xml:space="preserve">Tercero. Notifíquese, </w:t>
      </w:r>
      <w:r w:rsidRPr="00D355C3">
        <w:rPr>
          <w:rFonts w:ascii="Palatino Linotype" w:eastAsia="Palatino Linotype" w:hAnsi="Palatino Linotype" w:cs="Palatino Linotype"/>
        </w:rPr>
        <w:t>vía</w:t>
      </w:r>
      <w:r w:rsidRPr="00D355C3">
        <w:rPr>
          <w:rFonts w:ascii="Palatino Linotype" w:eastAsia="Palatino Linotype" w:hAnsi="Palatino Linotype" w:cs="Palatino Linotype"/>
          <w:b/>
        </w:rPr>
        <w:t xml:space="preserve"> SAIMEX</w:t>
      </w:r>
      <w:r w:rsidRPr="00D355C3">
        <w:rPr>
          <w:rFonts w:ascii="Palatino Linotype" w:eastAsia="Palatino Linotype" w:hAnsi="Palatino Linotype" w:cs="Palatino Linotype"/>
        </w:rPr>
        <w:t>, a</w:t>
      </w:r>
      <w:r w:rsidRPr="00D355C3">
        <w:rPr>
          <w:rFonts w:ascii="Palatino Linotype" w:eastAsia="Palatino Linotype" w:hAnsi="Palatino Linotype" w:cs="Palatino Linotype"/>
          <w:b/>
        </w:rPr>
        <w:t xml:space="preserve"> </w:t>
      </w:r>
      <w:r w:rsidRPr="00D355C3">
        <w:rPr>
          <w:rFonts w:ascii="Palatino Linotype" w:eastAsia="Palatino Linotype" w:hAnsi="Palatino Linotype" w:cs="Palatino Linotype"/>
        </w:rPr>
        <w:t xml:space="preserve">la parte </w:t>
      </w:r>
      <w:r w:rsidRPr="00D355C3">
        <w:rPr>
          <w:rFonts w:ascii="Palatino Linotype" w:eastAsia="Palatino Linotype" w:hAnsi="Palatino Linotype" w:cs="Palatino Linotype"/>
          <w:b/>
        </w:rPr>
        <w:t>Recurrente</w:t>
      </w:r>
      <w:r w:rsidRPr="00D355C3">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podrá impugnarla vía el Juicio de Amparo en los términos de las leyes aplicables.</w:t>
      </w:r>
    </w:p>
    <w:p w:rsidR="00BB390C" w:rsidRDefault="00E40C6A">
      <w:pPr>
        <w:spacing w:line="360" w:lineRule="auto"/>
        <w:jc w:val="both"/>
        <w:rPr>
          <w:rFonts w:ascii="Palatino Linotype" w:eastAsia="Palatino Linotype" w:hAnsi="Palatino Linotype" w:cs="Palatino Linotype"/>
        </w:rPr>
      </w:pPr>
      <w:bookmarkStart w:id="13" w:name="_heading=h.3rdcrjn" w:colFirst="0" w:colLast="0"/>
      <w:bookmarkEnd w:id="13"/>
      <w:r w:rsidRPr="00D355C3">
        <w:rPr>
          <w:rFonts w:ascii="Palatino Linotype" w:eastAsia="Palatino Linotype" w:hAnsi="Palatino Linotype" w:cs="Palatino Linotype"/>
        </w:rPr>
        <w:t xml:space="preserve">ASÍ LO RESUELVE, POR </w:t>
      </w:r>
      <w:r w:rsidR="002F4C45" w:rsidRPr="00D355C3">
        <w:rPr>
          <w:rFonts w:ascii="Palatino Linotype" w:eastAsia="Palatino Linotype" w:hAnsi="Palatino Linotype" w:cs="Palatino Linotype"/>
        </w:rPr>
        <w:t>MAYORÍA</w:t>
      </w:r>
      <w:r w:rsidRPr="00D355C3">
        <w:rPr>
          <w:rFonts w:ascii="Palatino Linotype" w:eastAsia="Palatino Linotype" w:hAnsi="Palatino Linotype" w:cs="Palatino Linotype"/>
        </w:rPr>
        <w:t xml:space="preserve"> DE VOTOS, EL PLENO DEL INSTITUTO DE TRANSPARENCIA, ACCESO A LA INFORMACIÓN PÚBLICA Y PROTECCIÓN DE DATOS PERSONALES DEL ESTADO DE MÉXICO Y MUNICIPIOS, CONFORMADO POR LOS COMISIONADOS JOSÉ MARTÍNEZ VILCHIS, MARÍA DEL ROSARIO MEJÍA AYALA</w:t>
      </w:r>
      <w:r w:rsidR="002F4C45" w:rsidRPr="00D355C3">
        <w:rPr>
          <w:rFonts w:ascii="Palatino Linotype" w:eastAsia="Palatino Linotype" w:hAnsi="Palatino Linotype" w:cs="Palatino Linotype"/>
        </w:rPr>
        <w:t xml:space="preserve">, EMITIENDO VOTO DISIDENTE; </w:t>
      </w:r>
      <w:r w:rsidRPr="00D355C3">
        <w:rPr>
          <w:rFonts w:ascii="Palatino Linotype" w:eastAsia="Palatino Linotype" w:hAnsi="Palatino Linotype" w:cs="Palatino Linotype"/>
        </w:rPr>
        <w:t>SHARON CRISTINA MORALES MARTÍNEZ, LUIS GUSTAVO PARRA NORIEGA Y GUADALUPE RAMÍREZ PEÑA; EN LA TERCERA  SESIÓN ORDINARIA, CELEBRADA EL TREINTA Y UNO DE ENERO DE DOS MIL VEINTICUATRO, ANTE EL SECRETARIO TÉCNICO DEL PLENO ALEXIS TAPIA RAMÍREZ.</w:t>
      </w:r>
    </w:p>
    <w:p w:rsidR="00BB390C" w:rsidRDefault="00BB390C">
      <w:pPr>
        <w:spacing w:line="360" w:lineRule="auto"/>
        <w:jc w:val="both"/>
        <w:rPr>
          <w:rFonts w:ascii="Palatino Linotype" w:eastAsia="Palatino Linotype" w:hAnsi="Palatino Linotype" w:cs="Palatino Linotype"/>
        </w:rPr>
      </w:pPr>
      <w:bookmarkStart w:id="14" w:name="_heading=h.1t3h5sf" w:colFirst="0" w:colLast="0"/>
      <w:bookmarkEnd w:id="14"/>
    </w:p>
    <w:p w:rsidR="00BB390C" w:rsidRDefault="00BB390C">
      <w:pPr>
        <w:spacing w:line="360" w:lineRule="auto"/>
        <w:jc w:val="both"/>
        <w:rPr>
          <w:rFonts w:ascii="Palatino Linotype" w:eastAsia="Palatino Linotype" w:hAnsi="Palatino Linotype" w:cs="Palatino Linotype"/>
        </w:rPr>
      </w:pPr>
    </w:p>
    <w:p w:rsidR="00BB390C" w:rsidRDefault="00BB390C">
      <w:pPr>
        <w:spacing w:line="360" w:lineRule="auto"/>
        <w:jc w:val="both"/>
        <w:rPr>
          <w:rFonts w:ascii="Palatino Linotype" w:eastAsia="Palatino Linotype" w:hAnsi="Palatino Linotype" w:cs="Palatino Linotype"/>
        </w:rPr>
      </w:pPr>
    </w:p>
    <w:p w:rsidR="00BB390C" w:rsidRDefault="00BB390C">
      <w:pPr>
        <w:spacing w:line="360" w:lineRule="auto"/>
        <w:jc w:val="both"/>
        <w:rPr>
          <w:rFonts w:ascii="Palatino Linotype" w:eastAsia="Palatino Linotype" w:hAnsi="Palatino Linotype" w:cs="Palatino Linotype"/>
        </w:rPr>
      </w:pPr>
    </w:p>
    <w:p w:rsidR="00BB390C" w:rsidRDefault="00BB390C">
      <w:pPr>
        <w:spacing w:line="360" w:lineRule="auto"/>
        <w:jc w:val="both"/>
        <w:rPr>
          <w:rFonts w:ascii="Palatino Linotype" w:eastAsia="Palatino Linotype" w:hAnsi="Palatino Linotype" w:cs="Palatino Linotype"/>
        </w:rPr>
      </w:pPr>
    </w:p>
    <w:p w:rsidR="00BB390C" w:rsidRDefault="00BB390C">
      <w:pPr>
        <w:spacing w:line="360" w:lineRule="auto"/>
        <w:jc w:val="both"/>
        <w:rPr>
          <w:rFonts w:ascii="Palatino Linotype" w:eastAsia="Palatino Linotype" w:hAnsi="Palatino Linotype" w:cs="Palatino Linotype"/>
        </w:rPr>
      </w:pPr>
    </w:p>
    <w:p w:rsidR="00BB390C" w:rsidRDefault="00BB390C">
      <w:pPr>
        <w:spacing w:line="360" w:lineRule="auto"/>
        <w:jc w:val="both"/>
        <w:rPr>
          <w:rFonts w:ascii="Palatino Linotype" w:eastAsia="Palatino Linotype" w:hAnsi="Palatino Linotype" w:cs="Palatino Linotype"/>
        </w:rPr>
      </w:pPr>
    </w:p>
    <w:p w:rsidR="00BB390C" w:rsidRDefault="00BB390C">
      <w:pPr>
        <w:spacing w:line="360" w:lineRule="auto"/>
        <w:jc w:val="both"/>
        <w:rPr>
          <w:rFonts w:ascii="Palatino Linotype" w:eastAsia="Palatino Linotype" w:hAnsi="Palatino Linotype" w:cs="Palatino Linotype"/>
        </w:rPr>
      </w:pPr>
    </w:p>
    <w:p w:rsidR="00BB390C" w:rsidRDefault="00BB390C">
      <w:pPr>
        <w:spacing w:line="360" w:lineRule="auto"/>
        <w:jc w:val="both"/>
        <w:rPr>
          <w:rFonts w:ascii="Palatino Linotype" w:eastAsia="Palatino Linotype" w:hAnsi="Palatino Linotype" w:cs="Palatino Linotype"/>
        </w:rPr>
      </w:pPr>
    </w:p>
    <w:p w:rsidR="00BB390C" w:rsidRDefault="00BB390C">
      <w:pPr>
        <w:spacing w:line="360" w:lineRule="auto"/>
        <w:jc w:val="both"/>
        <w:rPr>
          <w:rFonts w:ascii="Palatino Linotype" w:eastAsia="Palatino Linotype" w:hAnsi="Palatino Linotype" w:cs="Palatino Linotype"/>
        </w:rPr>
      </w:pPr>
    </w:p>
    <w:p w:rsidR="00BB390C" w:rsidRDefault="00BB390C">
      <w:pPr>
        <w:spacing w:line="360" w:lineRule="auto"/>
        <w:jc w:val="both"/>
        <w:rPr>
          <w:rFonts w:ascii="Palatino Linotype" w:eastAsia="Palatino Linotype" w:hAnsi="Palatino Linotype" w:cs="Palatino Linotype"/>
        </w:rPr>
      </w:pPr>
    </w:p>
    <w:p w:rsidR="00BB390C" w:rsidRDefault="00BB390C">
      <w:pPr>
        <w:spacing w:line="360" w:lineRule="auto"/>
        <w:jc w:val="both"/>
        <w:rPr>
          <w:rFonts w:ascii="Palatino Linotype" w:eastAsia="Palatino Linotype" w:hAnsi="Palatino Linotype" w:cs="Palatino Linotype"/>
        </w:rPr>
      </w:pPr>
    </w:p>
    <w:p w:rsidR="00BB390C" w:rsidRDefault="00BB390C">
      <w:pPr>
        <w:spacing w:line="360" w:lineRule="auto"/>
        <w:jc w:val="both"/>
        <w:rPr>
          <w:rFonts w:ascii="Palatino Linotype" w:eastAsia="Palatino Linotype" w:hAnsi="Palatino Linotype" w:cs="Palatino Linotype"/>
        </w:rPr>
      </w:pPr>
    </w:p>
    <w:p w:rsidR="00BB390C" w:rsidRDefault="00BB390C">
      <w:pPr>
        <w:spacing w:line="360" w:lineRule="auto"/>
        <w:jc w:val="both"/>
        <w:rPr>
          <w:rFonts w:ascii="Palatino Linotype" w:eastAsia="Palatino Linotype" w:hAnsi="Palatino Linotype" w:cs="Palatino Linotype"/>
        </w:rPr>
      </w:pPr>
    </w:p>
    <w:sectPr w:rsidR="00BB390C">
      <w:headerReference w:type="default" r:id="rId19"/>
      <w:footerReference w:type="default" r:id="rId20"/>
      <w:headerReference w:type="first" r:id="rId21"/>
      <w:footerReference w:type="first" r:id="rId22"/>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8663F" w:rsidRDefault="0088663F">
      <w:r>
        <w:separator/>
      </w:r>
    </w:p>
  </w:endnote>
  <w:endnote w:type="continuationSeparator" w:id="0">
    <w:p w:rsidR="0088663F" w:rsidRDefault="008866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Segoe UI"/>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Liberation Serif">
    <w:altName w:val="Times New Roman"/>
    <w:panose1 w:val="00000000000000000000"/>
    <w:charset w:val="00"/>
    <w:family w:val="roman"/>
    <w:notTrueType/>
    <w:pitch w:val="default"/>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MS Gothic"/>
    <w:panose1 w:val="02020609040205080304"/>
    <w:charset w:val="80"/>
    <w:family w:val="roman"/>
    <w:notTrueType/>
    <w:pitch w:val="fixed"/>
    <w:sig w:usb0="00000000"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390C" w:rsidRDefault="00E40C6A">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BC4143">
      <w:rPr>
        <w:rFonts w:ascii="Palatino Linotype" w:eastAsia="Palatino Linotype" w:hAnsi="Palatino Linotype" w:cs="Palatino Linotype"/>
        <w:b/>
        <w:noProof/>
        <w:color w:val="000000"/>
        <w:sz w:val="20"/>
        <w:szCs w:val="20"/>
      </w:rPr>
      <w:t>4</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BC4143">
      <w:rPr>
        <w:rFonts w:ascii="Palatino Linotype" w:eastAsia="Palatino Linotype" w:hAnsi="Palatino Linotype" w:cs="Palatino Linotype"/>
        <w:b/>
        <w:noProof/>
        <w:color w:val="000000"/>
        <w:sz w:val="20"/>
        <w:szCs w:val="20"/>
      </w:rPr>
      <w:t>34</w:t>
    </w:r>
    <w:r>
      <w:rPr>
        <w:rFonts w:ascii="Palatino Linotype" w:eastAsia="Palatino Linotype" w:hAnsi="Palatino Linotype" w:cs="Palatino Linotype"/>
        <w:b/>
        <w:color w:val="000000"/>
        <w:sz w:val="20"/>
        <w:szCs w:val="20"/>
      </w:rPr>
      <w:fldChar w:fldCharType="end"/>
    </w:r>
  </w:p>
  <w:p w:rsidR="00BB390C" w:rsidRDefault="00BB390C">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390C" w:rsidRDefault="00E40C6A">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BC4143">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BC4143">
      <w:rPr>
        <w:rFonts w:ascii="Palatino Linotype" w:eastAsia="Palatino Linotype" w:hAnsi="Palatino Linotype" w:cs="Palatino Linotype"/>
        <w:b/>
        <w:noProof/>
        <w:color w:val="000000"/>
        <w:sz w:val="20"/>
        <w:szCs w:val="20"/>
      </w:rPr>
      <w:t>34</w:t>
    </w:r>
    <w:r>
      <w:rPr>
        <w:rFonts w:ascii="Palatino Linotype" w:eastAsia="Palatino Linotype" w:hAnsi="Palatino Linotype" w:cs="Palatino Linotype"/>
        <w:b/>
        <w:color w:val="000000"/>
        <w:sz w:val="20"/>
        <w:szCs w:val="20"/>
      </w:rPr>
      <w:fldChar w:fldCharType="end"/>
    </w:r>
  </w:p>
  <w:p w:rsidR="00BB390C" w:rsidRDefault="00BB390C">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663F" w:rsidRDefault="0088663F">
      <w:r>
        <w:separator/>
      </w:r>
    </w:p>
  </w:footnote>
  <w:footnote w:type="continuationSeparator" w:id="0">
    <w:p w:rsidR="0088663F" w:rsidRDefault="0088663F">
      <w:r>
        <w:continuationSeparator/>
      </w:r>
    </w:p>
  </w:footnote>
  <w:footnote w:id="1">
    <w:p w:rsidR="00BB390C" w:rsidRDefault="00E40C6A">
      <w:pPr>
        <w:pBdr>
          <w:top w:val="nil"/>
          <w:left w:val="nil"/>
          <w:bottom w:val="nil"/>
          <w:right w:val="nil"/>
          <w:between w:val="nil"/>
        </w:pBdr>
        <w:rPr>
          <w:rFonts w:ascii="Palatino Linotype" w:eastAsia="Palatino Linotype" w:hAnsi="Palatino Linotype" w:cs="Palatino Linotype"/>
          <w:color w:val="000000"/>
          <w:sz w:val="16"/>
          <w:szCs w:val="16"/>
        </w:rPr>
      </w:pPr>
      <w:r>
        <w:rPr>
          <w:vertAlign w:val="superscript"/>
        </w:rPr>
        <w:footnoteRef/>
      </w:r>
      <w:r>
        <w:rPr>
          <w:rFonts w:ascii="Cambria" w:eastAsia="Cambria" w:hAnsi="Cambria" w:cs="Cambria"/>
          <w:color w:val="000000"/>
          <w:sz w:val="16"/>
          <w:szCs w:val="16"/>
        </w:rPr>
        <w:t xml:space="preserve"> </w:t>
      </w:r>
      <w:r>
        <w:rPr>
          <w:rFonts w:ascii="Palatino Linotype" w:eastAsia="Palatino Linotype" w:hAnsi="Palatino Linotype" w:cs="Palatino Linotype"/>
          <w:b/>
          <w:color w:val="000000"/>
          <w:sz w:val="16"/>
          <w:szCs w:val="16"/>
        </w:rPr>
        <w:t>Artículo 192.</w:t>
      </w:r>
      <w:r>
        <w:rPr>
          <w:rFonts w:ascii="Palatino Linotype" w:eastAsia="Palatino Linotype" w:hAnsi="Palatino Linotype" w:cs="Palatino Linotype"/>
          <w:color w:val="000000"/>
          <w:sz w:val="16"/>
          <w:szCs w:val="16"/>
        </w:rPr>
        <w:t xml:space="preserve"> El recurso será sobreseído, en todo o en parte, cuando una vez admitido, se actualicen alguno de los siguientes supuestos:</w:t>
      </w:r>
    </w:p>
    <w:p w:rsidR="00BB390C" w:rsidRDefault="00E40C6A">
      <w:pPr>
        <w:pBdr>
          <w:top w:val="nil"/>
          <w:left w:val="nil"/>
          <w:bottom w:val="nil"/>
          <w:right w:val="nil"/>
          <w:between w:val="nil"/>
        </w:pBdr>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III. El sujeto obligado responsable del acto lo modifique o revoque de tal manera que el recurso de revisión quede sin materia;</w:t>
      </w:r>
    </w:p>
  </w:footnote>
  <w:footnote w:id="2">
    <w:p w:rsidR="00BB390C" w:rsidRDefault="00E40C6A">
      <w:pPr>
        <w:pBdr>
          <w:top w:val="nil"/>
          <w:left w:val="nil"/>
          <w:bottom w:val="nil"/>
          <w:right w:val="nil"/>
          <w:between w:val="nil"/>
        </w:pBdr>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color w:val="000000"/>
          <w:sz w:val="16"/>
          <w:szCs w:val="16"/>
        </w:rPr>
        <w:t>Artículo 186</w:t>
      </w:r>
      <w:r>
        <w:rPr>
          <w:rFonts w:ascii="Palatino Linotype" w:eastAsia="Palatino Linotype" w:hAnsi="Palatino Linotype" w:cs="Palatino Linotype"/>
          <w:color w:val="000000"/>
          <w:sz w:val="16"/>
          <w:szCs w:val="16"/>
        </w:rPr>
        <w:t>. Las resoluciones del Instituto podrán:</w:t>
      </w:r>
    </w:p>
    <w:p w:rsidR="00BB390C" w:rsidRDefault="00E40C6A">
      <w:pPr>
        <w:pBdr>
          <w:top w:val="nil"/>
          <w:left w:val="nil"/>
          <w:bottom w:val="nil"/>
          <w:right w:val="nil"/>
          <w:between w:val="nil"/>
        </w:pBdr>
        <w:rPr>
          <w:rFonts w:ascii="Cambria" w:eastAsia="Cambria" w:hAnsi="Cambria" w:cs="Cambria"/>
          <w:color w:val="000000"/>
          <w:sz w:val="16"/>
          <w:szCs w:val="16"/>
        </w:rPr>
      </w:pPr>
      <w:r>
        <w:rPr>
          <w:rFonts w:ascii="Palatino Linotype" w:eastAsia="Palatino Linotype" w:hAnsi="Palatino Linotype" w:cs="Palatino Linotype"/>
          <w:color w:val="000000"/>
          <w:sz w:val="16"/>
          <w:szCs w:val="16"/>
        </w:rPr>
        <w:t>I. Desechar o sobreseer el recurso;</w:t>
      </w:r>
    </w:p>
  </w:footnote>
  <w:footnote w:id="3">
    <w:p w:rsidR="00BB390C" w:rsidRDefault="00E40C6A">
      <w:pP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color w:val="000000"/>
          <w:sz w:val="16"/>
          <w:szCs w:val="16"/>
        </w:rPr>
        <w:t>Cuerpo de tesis:</w:t>
      </w:r>
      <w:r>
        <w:rPr>
          <w:rFonts w:ascii="Palatino Linotype" w:eastAsia="Palatino Linotype" w:hAnsi="Palatino Linotype" w:cs="Palatino Linotype"/>
          <w:color w:val="000000"/>
          <w:sz w:val="16"/>
          <w:szCs w:val="16"/>
        </w:rPr>
        <w:t xml:space="preserve"> No causa agravio la sentencia que no se ocupa de los razonamientos tendientes a demostrar la inconstitucionalidad de los actos reclamados de las autoridades responsables, que constituyen el problema de fondo, si se decreta el sobreseimiento del juicio.</w:t>
      </w:r>
    </w:p>
    <w:p w:rsidR="00BB390C" w:rsidRDefault="00E40C6A">
      <w:pP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b/>
          <w:color w:val="000000"/>
          <w:sz w:val="16"/>
          <w:szCs w:val="16"/>
        </w:rPr>
        <w:t>Localización</w:t>
      </w:r>
      <w:r>
        <w:rPr>
          <w:rFonts w:ascii="Palatino Linotype" w:eastAsia="Palatino Linotype" w:hAnsi="Palatino Linotype" w:cs="Palatino Linotype"/>
          <w:color w:val="000000"/>
          <w:sz w:val="16"/>
          <w:szCs w:val="16"/>
        </w:rPr>
        <w:t>: 2</w:t>
      </w:r>
      <w:r>
        <w:rPr>
          <w:rFonts w:ascii="Palatino Linotype" w:eastAsia="Palatino Linotype" w:hAnsi="Palatino Linotype" w:cs="Palatino Linotype"/>
          <w:color w:val="000000"/>
          <w:sz w:val="16"/>
          <w:szCs w:val="16"/>
          <w:highlight w:val="white"/>
        </w:rPr>
        <w:t>13609. II.2o.183 K. Tribunales Colegiados de Circuito. Octava Época. Semanario Judicial de la Federación. Tomo XIII, Febrero de 1994, Pág. 420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390C" w:rsidRDefault="00E40C6A">
    <w:pPr>
      <w:rPr>
        <w:rFonts w:ascii="Cambria" w:eastAsia="Cambria" w:hAnsi="Cambria" w:cs="Cambria"/>
        <w:color w:val="000000"/>
      </w:rPr>
    </w:pPr>
    <w:r>
      <w:rPr>
        <w:noProof/>
      </w:rPr>
      <w:drawing>
        <wp:anchor distT="0" distB="0" distL="0" distR="0" simplePos="0" relativeHeight="251658240" behindDoc="1" locked="0" layoutInCell="1" hidden="0" allowOverlap="1">
          <wp:simplePos x="0" y="0"/>
          <wp:positionH relativeFrom="column">
            <wp:posOffset>-1080119</wp:posOffset>
          </wp:positionH>
          <wp:positionV relativeFrom="paragraph">
            <wp:posOffset>-488297</wp:posOffset>
          </wp:positionV>
          <wp:extent cx="7809865" cy="10165715"/>
          <wp:effectExtent l="0" t="0" r="0" b="0"/>
          <wp:wrapNone/>
          <wp:docPr id="201975761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
      <w:tblW w:w="5953" w:type="dxa"/>
      <w:tblInd w:w="3261" w:type="dxa"/>
      <w:tblLayout w:type="fixed"/>
      <w:tblLook w:val="0400" w:firstRow="0" w:lastRow="0" w:firstColumn="0" w:lastColumn="0" w:noHBand="0" w:noVBand="1"/>
    </w:tblPr>
    <w:tblGrid>
      <w:gridCol w:w="2489"/>
      <w:gridCol w:w="3464"/>
    </w:tblGrid>
    <w:tr w:rsidR="00BB390C">
      <w:tc>
        <w:tcPr>
          <w:tcW w:w="2489" w:type="dxa"/>
          <w:shd w:val="clear" w:color="auto" w:fill="auto"/>
        </w:tcPr>
        <w:p w:rsidR="00BB390C" w:rsidRDefault="00E40C6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rsidR="00BB390C" w:rsidRDefault="00E40C6A">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03864/INFOEM/IP/RR/2023</w:t>
          </w:r>
        </w:p>
      </w:tc>
    </w:tr>
    <w:tr w:rsidR="00BB390C">
      <w:trPr>
        <w:trHeight w:val="228"/>
      </w:trPr>
      <w:tc>
        <w:tcPr>
          <w:tcW w:w="2489" w:type="dxa"/>
          <w:shd w:val="clear" w:color="auto" w:fill="auto"/>
          <w:vAlign w:val="center"/>
        </w:tcPr>
        <w:p w:rsidR="00BB390C" w:rsidRDefault="00E40C6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rsidR="00BB390C" w:rsidRDefault="00E40C6A">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Universidad Mexiquense del Bicentenario</w:t>
          </w:r>
        </w:p>
      </w:tc>
    </w:tr>
    <w:tr w:rsidR="00BB390C">
      <w:tc>
        <w:tcPr>
          <w:tcW w:w="2489" w:type="dxa"/>
          <w:shd w:val="clear" w:color="auto" w:fill="auto"/>
          <w:vAlign w:val="center"/>
        </w:tcPr>
        <w:p w:rsidR="00BB390C" w:rsidRDefault="00E40C6A">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rsidR="00BB390C" w:rsidRDefault="00E40C6A">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BB390C" w:rsidRDefault="00E40C6A">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390C" w:rsidRDefault="00E40C6A">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simplePos x="0" y="0"/>
          <wp:positionH relativeFrom="column">
            <wp:posOffset>-1079497</wp:posOffset>
          </wp:positionH>
          <wp:positionV relativeFrom="paragraph">
            <wp:posOffset>-328927</wp:posOffset>
          </wp:positionV>
          <wp:extent cx="7809865" cy="10165715"/>
          <wp:effectExtent l="0" t="0" r="0" b="0"/>
          <wp:wrapNone/>
          <wp:docPr id="201975760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e"/>
      <w:tblW w:w="5670" w:type="dxa"/>
      <w:tblInd w:w="3261" w:type="dxa"/>
      <w:tblLayout w:type="fixed"/>
      <w:tblLook w:val="0400" w:firstRow="0" w:lastRow="0" w:firstColumn="0" w:lastColumn="0" w:noHBand="0" w:noVBand="1"/>
    </w:tblPr>
    <w:tblGrid>
      <w:gridCol w:w="2551"/>
      <w:gridCol w:w="3119"/>
    </w:tblGrid>
    <w:tr w:rsidR="00BB390C">
      <w:tc>
        <w:tcPr>
          <w:tcW w:w="2551" w:type="dxa"/>
          <w:shd w:val="clear" w:color="auto" w:fill="auto"/>
          <w:vAlign w:val="center"/>
        </w:tcPr>
        <w:p w:rsidR="00BB390C" w:rsidRDefault="00E40C6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shd w:val="clear" w:color="auto" w:fill="auto"/>
          <w:vAlign w:val="center"/>
        </w:tcPr>
        <w:p w:rsidR="00BB390C" w:rsidRDefault="00E40C6A">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03864/INFOEM/IP/RR/2023</w:t>
          </w:r>
        </w:p>
      </w:tc>
    </w:tr>
    <w:tr w:rsidR="00BB390C">
      <w:trPr>
        <w:trHeight w:val="130"/>
      </w:trPr>
      <w:tc>
        <w:tcPr>
          <w:tcW w:w="2551" w:type="dxa"/>
          <w:shd w:val="clear" w:color="auto" w:fill="auto"/>
          <w:vAlign w:val="center"/>
        </w:tcPr>
        <w:p w:rsidR="00BB390C" w:rsidRDefault="00E40C6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shd w:val="clear" w:color="auto" w:fill="auto"/>
          <w:vAlign w:val="center"/>
        </w:tcPr>
        <w:p w:rsidR="00BB390C" w:rsidRDefault="00BC4143" w:rsidP="00BC4143">
          <w:pPr>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 XXXXXX XXXXXXX</w:t>
          </w:r>
        </w:p>
      </w:tc>
    </w:tr>
    <w:tr w:rsidR="00BB390C">
      <w:trPr>
        <w:trHeight w:val="228"/>
      </w:trPr>
      <w:tc>
        <w:tcPr>
          <w:tcW w:w="2551" w:type="dxa"/>
          <w:shd w:val="clear" w:color="auto" w:fill="auto"/>
          <w:vAlign w:val="center"/>
        </w:tcPr>
        <w:p w:rsidR="00BB390C" w:rsidRDefault="00E40C6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shd w:val="clear" w:color="auto" w:fill="auto"/>
          <w:vAlign w:val="center"/>
        </w:tcPr>
        <w:p w:rsidR="00BB390C" w:rsidRDefault="00E40C6A">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Universidad Mexiquense del Bicentenario</w:t>
          </w:r>
        </w:p>
      </w:tc>
    </w:tr>
    <w:tr w:rsidR="00BB390C">
      <w:tc>
        <w:tcPr>
          <w:tcW w:w="2551" w:type="dxa"/>
          <w:shd w:val="clear" w:color="auto" w:fill="auto"/>
          <w:vAlign w:val="center"/>
        </w:tcPr>
        <w:p w:rsidR="00BB390C" w:rsidRDefault="00E40C6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shd w:val="clear" w:color="auto" w:fill="auto"/>
          <w:vAlign w:val="center"/>
        </w:tcPr>
        <w:p w:rsidR="00BB390C" w:rsidRDefault="00E40C6A">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BB390C" w:rsidRDefault="00BB390C">
    <w:pPr>
      <w:pBdr>
        <w:top w:val="nil"/>
        <w:left w:val="nil"/>
        <w:bottom w:val="nil"/>
        <w:right w:val="nil"/>
        <w:between w:val="nil"/>
      </w:pBdr>
      <w:tabs>
        <w:tab w:val="center" w:pos="4252"/>
        <w:tab w:val="right" w:pos="8504"/>
      </w:tabs>
      <w:rPr>
        <w:rFonts w:ascii="Cambria" w:eastAsia="Cambria" w:hAnsi="Cambria" w:cs="Cambria"/>
        <w:color w:val="000000"/>
      </w:rPr>
    </w:pPr>
  </w:p>
  <w:p w:rsidR="00BB390C" w:rsidRDefault="00BB390C"/>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50A4069"/>
    <w:multiLevelType w:val="multilevel"/>
    <w:tmpl w:val="7E4487B2"/>
    <w:lvl w:ilvl="0">
      <w:start w:val="1"/>
      <w:numFmt w:val="decimal"/>
      <w:pStyle w:val="Listaconvietas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594E60E8"/>
    <w:multiLevelType w:val="multilevel"/>
    <w:tmpl w:val="EA88FCFA"/>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390C"/>
    <w:rsid w:val="001F5616"/>
    <w:rsid w:val="00220BCC"/>
    <w:rsid w:val="002F4C45"/>
    <w:rsid w:val="0031006F"/>
    <w:rsid w:val="003E438D"/>
    <w:rsid w:val="00583226"/>
    <w:rsid w:val="00665820"/>
    <w:rsid w:val="0088663F"/>
    <w:rsid w:val="00937730"/>
    <w:rsid w:val="00BB390C"/>
    <w:rsid w:val="00BC4143"/>
    <w:rsid w:val="00C842F6"/>
    <w:rsid w:val="00CF05FB"/>
    <w:rsid w:val="00D355C3"/>
    <w:rsid w:val="00E40C6A"/>
    <w:rsid w:val="00E60E9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B31C3C2-3B96-4B5B-B660-B5D62E38FE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2902"/>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semiHidden/>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uiPriority w:val="9"/>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9">
    <w:name w:val="Table Normal9"/>
    <w:tblPr>
      <w:tblCellMar>
        <w:top w:w="0" w:type="dxa"/>
        <w:left w:w="0" w:type="dxa"/>
        <w:bottom w:w="0" w:type="dxa"/>
        <w:right w:w="0" w:type="dxa"/>
      </w:tblCellMar>
    </w:tblPr>
  </w:style>
  <w:style w:type="table" w:customStyle="1" w:styleId="TableNormal8">
    <w:name w:val="Table Normal8"/>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50">
    <w:name w:val="Table Normal5"/>
    <w:tblPr>
      <w:tblCellMar>
        <w:top w:w="0" w:type="dxa"/>
        <w:left w:w="0" w:type="dxa"/>
        <w:bottom w:w="0" w:type="dxa"/>
        <w:right w:w="0" w:type="dxa"/>
      </w:tblCellMar>
    </w:tblPr>
  </w:style>
  <w:style w:type="table" w:customStyle="1" w:styleId="TableNormal40">
    <w:name w:val="Table Normal4"/>
    <w:tblPr>
      <w:tblCellMar>
        <w:top w:w="0" w:type="dxa"/>
        <w:left w:w="0" w:type="dxa"/>
        <w:bottom w:w="0" w:type="dxa"/>
        <w:right w:w="0" w:type="dxa"/>
      </w:tblCellMar>
    </w:tblPr>
  </w:style>
  <w:style w:type="table" w:customStyle="1" w:styleId="TableNormal30">
    <w:name w:val="Table Normal3"/>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INAI"/>
    <w:link w:val="SinespaciadoCar"/>
    <w:uiPriority w:val="1"/>
    <w:qFormat/>
    <w:rsid w:val="002944C8"/>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INAI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eastAsia="en-US"/>
    </w:rPr>
  </w:style>
  <w:style w:type="paragraph" w:customStyle="1" w:styleId="m5127500252372250437gmail-paragraph">
    <w:name w:val="m_5127500252372250437gmail-paragraph"/>
    <w:basedOn w:val="Normal"/>
    <w:rsid w:val="00980B7E"/>
    <w:pPr>
      <w:spacing w:before="100" w:beforeAutospacing="1" w:after="100" w:afterAutospacing="1"/>
    </w:p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style>
  <w:style w:type="paragraph" w:customStyle="1" w:styleId="m">
    <w:name w:val="m"/>
    <w:basedOn w:val="Normal"/>
    <w:rsid w:val="007B00BD"/>
    <w:pPr>
      <w:spacing w:before="100" w:beforeAutospacing="1" w:after="100" w:afterAutospacing="1"/>
    </w:p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style>
  <w:style w:type="paragraph" w:customStyle="1" w:styleId="n2">
    <w:name w:val="n2"/>
    <w:basedOn w:val="Normal"/>
    <w:rsid w:val="009D307C"/>
    <w:pPr>
      <w:spacing w:before="100" w:beforeAutospacing="1" w:after="100" w:afterAutospacing="1"/>
    </w:p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style>
  <w:style w:type="paragraph" w:customStyle="1" w:styleId="j2">
    <w:name w:val="j2"/>
    <w:basedOn w:val="Normal"/>
    <w:rsid w:val="009D307C"/>
    <w:pPr>
      <w:spacing w:before="100" w:beforeAutospacing="1" w:after="100" w:afterAutospacing="1"/>
    </w:p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5">
    <w:name w:val="5"/>
    <w:basedOn w:val="TableNormal10"/>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4">
    <w:name w:val="4"/>
    <w:basedOn w:val="TableNormal10"/>
    <w:tblPr>
      <w:tblStyleRowBandSize w:val="1"/>
      <w:tblStyleColBandSize w:val="1"/>
      <w:tblCellMar>
        <w:left w:w="115" w:type="dxa"/>
        <w:right w:w="115" w:type="dxa"/>
      </w:tblCellMar>
    </w:tblPr>
  </w:style>
  <w:style w:type="table" w:customStyle="1" w:styleId="3">
    <w:name w:val="3"/>
    <w:basedOn w:val="TableNormal10"/>
    <w:tblPr>
      <w:tblStyleRowBandSize w:val="1"/>
      <w:tblStyleColBandSize w:val="1"/>
      <w:tblCellMar>
        <w:left w:w="115" w:type="dxa"/>
        <w:right w:w="115" w:type="dxa"/>
      </w:tblCellMar>
    </w:tblPr>
  </w:style>
  <w:style w:type="character" w:customStyle="1" w:styleId="Mencinsinresolver3">
    <w:name w:val="Mención sin resolver3"/>
    <w:basedOn w:val="Fuentedeprrafopredeter"/>
    <w:uiPriority w:val="99"/>
    <w:semiHidden/>
    <w:unhideWhenUsed/>
    <w:rsid w:val="0094565C"/>
    <w:rPr>
      <w:color w:val="605E5C"/>
      <w:shd w:val="clear" w:color="auto" w:fill="E1DFDD"/>
    </w:rPr>
  </w:style>
  <w:style w:type="table" w:customStyle="1" w:styleId="2">
    <w:name w:val="2"/>
    <w:basedOn w:val="TableNormal10"/>
    <w:tblPr>
      <w:tblStyleRowBandSize w:val="1"/>
      <w:tblStyleColBandSize w:val="1"/>
      <w:tblCellMar>
        <w:left w:w="115" w:type="dxa"/>
        <w:right w:w="115" w:type="dxa"/>
      </w:tblCellMar>
    </w:tblPr>
  </w:style>
  <w:style w:type="table" w:customStyle="1" w:styleId="1">
    <w:name w:val="1"/>
    <w:basedOn w:val="TableNormal10"/>
    <w:tblPr>
      <w:tblStyleRowBandSize w:val="1"/>
      <w:tblStyleColBandSize w:val="1"/>
      <w:tblCellMar>
        <w:left w:w="115" w:type="dxa"/>
        <w:right w:w="115" w:type="dxa"/>
      </w:tblCellMar>
    </w:tblPr>
  </w:style>
  <w:style w:type="table" w:customStyle="1" w:styleId="9">
    <w:name w:val="9"/>
    <w:basedOn w:val="TableNormal20"/>
    <w:tblPr>
      <w:tblStyleRowBandSize w:val="1"/>
      <w:tblStyleColBandSize w:val="1"/>
      <w:tblCellMar>
        <w:left w:w="115" w:type="dxa"/>
        <w:right w:w="115" w:type="dxa"/>
      </w:tblCellMar>
    </w:tblPr>
  </w:style>
  <w:style w:type="table" w:customStyle="1" w:styleId="8">
    <w:name w:val="8"/>
    <w:basedOn w:val="TableNormal20"/>
    <w:tblPr>
      <w:tblStyleRowBandSize w:val="1"/>
      <w:tblStyleColBandSize w:val="1"/>
      <w:tblCellMar>
        <w:left w:w="115" w:type="dxa"/>
        <w:right w:w="115" w:type="dxa"/>
      </w:tblCellMar>
    </w:tblPr>
  </w:style>
  <w:style w:type="table" w:customStyle="1" w:styleId="7">
    <w:name w:val="7"/>
    <w:basedOn w:val="TableNormal30"/>
    <w:tblPr>
      <w:tblStyleRowBandSize w:val="1"/>
      <w:tblStyleColBandSize w:val="1"/>
      <w:tblCellMar>
        <w:left w:w="115" w:type="dxa"/>
        <w:right w:w="115" w:type="dxa"/>
      </w:tblCellMar>
    </w:tblPr>
  </w:style>
  <w:style w:type="table" w:customStyle="1" w:styleId="6">
    <w:name w:val="6"/>
    <w:basedOn w:val="TableNormal30"/>
    <w:tblPr>
      <w:tblStyleRowBandSize w:val="1"/>
      <w:tblStyleColBandSize w:val="1"/>
      <w:tblCellMar>
        <w:left w:w="115" w:type="dxa"/>
        <w:right w:w="115" w:type="dxa"/>
      </w:tblCellMar>
    </w:tblPr>
  </w:style>
  <w:style w:type="table" w:customStyle="1" w:styleId="20">
    <w:name w:val="20"/>
    <w:basedOn w:val="TableNormal40"/>
    <w:tblPr>
      <w:tblStyleRowBandSize w:val="1"/>
      <w:tblStyleColBandSize w:val="1"/>
      <w:tblCellMar>
        <w:left w:w="115" w:type="dxa"/>
        <w:right w:w="115" w:type="dxa"/>
      </w:tblCellMar>
    </w:tblPr>
  </w:style>
  <w:style w:type="table" w:customStyle="1" w:styleId="19">
    <w:name w:val="19"/>
    <w:basedOn w:val="TableNormal40"/>
    <w:tblPr>
      <w:tblStyleRowBandSize w:val="1"/>
      <w:tblStyleColBandSize w:val="1"/>
      <w:tblCellMar>
        <w:left w:w="115" w:type="dxa"/>
        <w:right w:w="115" w:type="dxa"/>
      </w:tblCellMar>
    </w:tblPr>
  </w:style>
  <w:style w:type="table" w:customStyle="1" w:styleId="18">
    <w:name w:val="18"/>
    <w:basedOn w:val="TableNormal50"/>
    <w:tblPr>
      <w:tblStyleRowBandSize w:val="1"/>
      <w:tblStyleColBandSize w:val="1"/>
      <w:tblCellMar>
        <w:left w:w="115" w:type="dxa"/>
        <w:right w:w="115" w:type="dxa"/>
      </w:tblCellMar>
    </w:tblPr>
  </w:style>
  <w:style w:type="table" w:customStyle="1" w:styleId="17">
    <w:name w:val="17"/>
    <w:basedOn w:val="TableNormal50"/>
    <w:tblPr>
      <w:tblStyleRowBandSize w:val="1"/>
      <w:tblStyleColBandSize w:val="1"/>
      <w:tblCellMar>
        <w:left w:w="115" w:type="dxa"/>
        <w:right w:w="115" w:type="dxa"/>
      </w:tblCellMar>
    </w:tblPr>
  </w:style>
  <w:style w:type="table" w:customStyle="1" w:styleId="16">
    <w:name w:val="16"/>
    <w:basedOn w:val="TableNormal6"/>
    <w:tblPr>
      <w:tblStyleRowBandSize w:val="1"/>
      <w:tblStyleColBandSize w:val="1"/>
      <w:tblCellMar>
        <w:left w:w="115" w:type="dxa"/>
        <w:right w:w="115" w:type="dxa"/>
      </w:tblCellMar>
    </w:tblPr>
  </w:style>
  <w:style w:type="table" w:customStyle="1" w:styleId="15">
    <w:name w:val="15"/>
    <w:basedOn w:val="TableNormal6"/>
    <w:tblPr>
      <w:tblStyleRowBandSize w:val="1"/>
      <w:tblStyleColBandSize w:val="1"/>
      <w:tblCellMar>
        <w:left w:w="115" w:type="dxa"/>
        <w:right w:w="115" w:type="dxa"/>
      </w:tblCellMar>
    </w:tblPr>
  </w:style>
  <w:style w:type="table" w:customStyle="1" w:styleId="14">
    <w:name w:val="14"/>
    <w:basedOn w:val="TableNormal7"/>
    <w:tblPr>
      <w:tblStyleRowBandSize w:val="1"/>
      <w:tblStyleColBandSize w:val="1"/>
      <w:tblCellMar>
        <w:left w:w="115" w:type="dxa"/>
        <w:right w:w="115" w:type="dxa"/>
      </w:tblCellMar>
    </w:tblPr>
  </w:style>
  <w:style w:type="table" w:customStyle="1" w:styleId="13">
    <w:name w:val="13"/>
    <w:basedOn w:val="TableNormal7"/>
    <w:tblPr>
      <w:tblStyleRowBandSize w:val="1"/>
      <w:tblStyleColBandSize w:val="1"/>
      <w:tblCellMar>
        <w:left w:w="115" w:type="dxa"/>
        <w:right w:w="115" w:type="dxa"/>
      </w:tblCellMar>
    </w:tblPr>
  </w:style>
  <w:style w:type="character" w:customStyle="1" w:styleId="rse6dlih">
    <w:name w:val="rse6dlih"/>
    <w:basedOn w:val="Fuentedeprrafopredeter"/>
    <w:rsid w:val="00190860"/>
  </w:style>
  <w:style w:type="table" w:customStyle="1" w:styleId="12">
    <w:name w:val="12"/>
    <w:basedOn w:val="TableNormal8"/>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11">
    <w:name w:val="11"/>
    <w:basedOn w:val="TableNormal8"/>
    <w:tblPr>
      <w:tblStyleRowBandSize w:val="1"/>
      <w:tblStyleColBandSize w:val="1"/>
      <w:tblCellMar>
        <w:left w:w="115" w:type="dxa"/>
        <w:right w:w="115" w:type="dxa"/>
      </w:tblCellMar>
    </w:tblPr>
  </w:style>
  <w:style w:type="table" w:customStyle="1" w:styleId="10">
    <w:name w:val="10"/>
    <w:basedOn w:val="TableNormal8"/>
    <w:tblPr>
      <w:tblStyleRowBandSize w:val="1"/>
      <w:tblStyleColBandSize w:val="1"/>
      <w:tblCellMar>
        <w:left w:w="115" w:type="dxa"/>
        <w:right w:w="115" w:type="dxa"/>
      </w:tblCellMar>
    </w:tblPr>
  </w:style>
  <w:style w:type="table" w:customStyle="1" w:styleId="24">
    <w:name w:val="24"/>
    <w:basedOn w:val="TableNormal9"/>
    <w:tblPr>
      <w:tblStyleRowBandSize w:val="1"/>
      <w:tblStyleColBandSize w:val="1"/>
      <w:tblCellMar>
        <w:left w:w="115" w:type="dxa"/>
        <w:right w:w="115" w:type="dxa"/>
      </w:tblCellMar>
    </w:tblPr>
  </w:style>
  <w:style w:type="table" w:customStyle="1" w:styleId="23">
    <w:name w:val="23"/>
    <w:basedOn w:val="TableNormal9"/>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22">
    <w:name w:val="22"/>
    <w:basedOn w:val="TableNormal9"/>
    <w:tblPr>
      <w:tblStyleRowBandSize w:val="1"/>
      <w:tblStyleColBandSize w:val="1"/>
      <w:tblCellMar>
        <w:left w:w="115" w:type="dxa"/>
        <w:right w:w="115" w:type="dxa"/>
      </w:tblCellMar>
    </w:tblPr>
  </w:style>
  <w:style w:type="table" w:customStyle="1" w:styleId="21">
    <w:name w:val="21"/>
    <w:basedOn w:val="TableNormal9"/>
    <w:tblPr>
      <w:tblStyleRowBandSize w:val="1"/>
      <w:tblStyleColBandSize w:val="1"/>
      <w:tblCellMar>
        <w:left w:w="115" w:type="dxa"/>
        <w:right w:w="115" w:type="dxa"/>
      </w:tblCellMar>
    </w:tblPr>
  </w:style>
  <w:style w:type="table" w:customStyle="1" w:styleId="a">
    <w:basedOn w:val="TableNormal5"/>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0">
    <w:basedOn w:val="TableNormal5"/>
    <w:tblPr>
      <w:tblStyleRowBandSize w:val="1"/>
      <w:tblStyleColBandSize w:val="1"/>
      <w:tblCellMar>
        <w:left w:w="115" w:type="dxa"/>
        <w:right w:w="115" w:type="dxa"/>
      </w:tblCellMar>
    </w:tblPr>
  </w:style>
  <w:style w:type="table" w:customStyle="1" w:styleId="a2">
    <w:basedOn w:val="TableNormal5"/>
    <w:tblPr>
      <w:tblStyleRowBandSize w:val="1"/>
      <w:tblStyleColBandSize w:val="1"/>
      <w:tblCellMar>
        <w:left w:w="115" w:type="dxa"/>
        <w:right w:w="115" w:type="dxa"/>
      </w:tblCellMar>
    </w:tblPr>
  </w:style>
  <w:style w:type="table" w:customStyle="1" w:styleId="a3">
    <w:basedOn w:val="TableNormal4"/>
    <w:tblPr>
      <w:tblStyleRowBandSize w:val="1"/>
      <w:tblStyleColBandSize w:val="1"/>
      <w:tblCellMar>
        <w:left w:w="115" w:type="dxa"/>
        <w:right w:w="115"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4">
    <w:basedOn w:val="TableNormal4"/>
    <w:tblPr>
      <w:tblStyleRowBandSize w:val="1"/>
      <w:tblStyleColBandSize w:val="1"/>
      <w:tblCellMar>
        <w:left w:w="115" w:type="dxa"/>
        <w:right w:w="115" w:type="dxa"/>
      </w:tblCellMar>
    </w:tblPr>
  </w:style>
  <w:style w:type="table" w:customStyle="1" w:styleId="a5">
    <w:basedOn w:val="TableNormal4"/>
    <w:tblPr>
      <w:tblStyleRowBandSize w:val="1"/>
      <w:tblStyleColBandSize w:val="1"/>
      <w:tblCellMar>
        <w:left w:w="115" w:type="dxa"/>
        <w:right w:w="115" w:type="dxa"/>
      </w:tblCellMar>
    </w:tblPr>
  </w:style>
  <w:style w:type="table" w:customStyle="1" w:styleId="a6">
    <w:basedOn w:val="TableNormal3"/>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7">
    <w:basedOn w:val="TableNormal3"/>
    <w:tblPr>
      <w:tblStyleRowBandSize w:val="1"/>
      <w:tblStyleColBandSize w:val="1"/>
      <w:tblCellMar>
        <w:left w:w="115" w:type="dxa"/>
        <w:right w:w="115" w:type="dxa"/>
      </w:tblCellMar>
    </w:tblPr>
  </w:style>
  <w:style w:type="table" w:customStyle="1" w:styleId="a8">
    <w:basedOn w:val="TableNormal3"/>
    <w:tblPr>
      <w:tblStyleRowBandSize w:val="1"/>
      <w:tblStyleColBandSize w:val="1"/>
      <w:tblCellMar>
        <w:left w:w="115" w:type="dxa"/>
        <w:right w:w="115" w:type="dxa"/>
      </w:tblCellMar>
    </w:tblPr>
  </w:style>
  <w:style w:type="character" w:customStyle="1" w:styleId="Mencinsinresolver4">
    <w:name w:val="Mención sin resolver4"/>
    <w:basedOn w:val="Fuentedeprrafopredeter"/>
    <w:uiPriority w:val="99"/>
    <w:semiHidden/>
    <w:unhideWhenUsed/>
    <w:rsid w:val="00B70D09"/>
    <w:rPr>
      <w:color w:val="605E5C"/>
      <w:shd w:val="clear" w:color="auto" w:fill="E1DFDD"/>
    </w:rPr>
  </w:style>
  <w:style w:type="character" w:customStyle="1" w:styleId="Mencinsinresolver5">
    <w:name w:val="Mención sin resolver5"/>
    <w:basedOn w:val="Fuentedeprrafopredeter"/>
    <w:uiPriority w:val="99"/>
    <w:semiHidden/>
    <w:unhideWhenUsed/>
    <w:rsid w:val="00160ABB"/>
    <w:rPr>
      <w:color w:val="605E5C"/>
      <w:shd w:val="clear" w:color="auto" w:fill="E1DFDD"/>
    </w:rPr>
  </w:style>
  <w:style w:type="table" w:customStyle="1" w:styleId="a9">
    <w:basedOn w:val="TableNormal2"/>
    <w:tblPr>
      <w:tblStyleRowBandSize w:val="1"/>
      <w:tblStyleColBandSize w:val="1"/>
      <w:tblCellMar>
        <w:left w:w="108" w:type="dxa"/>
        <w:right w:w="108" w:type="dxa"/>
      </w:tblCellMar>
    </w:tblPr>
  </w:style>
  <w:style w:type="table" w:customStyle="1" w:styleId="aa">
    <w:basedOn w:val="TableNormal2"/>
    <w:tblPr>
      <w:tblStyleRowBandSize w:val="1"/>
      <w:tblStyleColBandSize w:val="1"/>
      <w:tblCellMar>
        <w:left w:w="115" w:type="dxa"/>
        <w:right w:w="115" w:type="dxa"/>
      </w:tblCellMar>
    </w:tblPr>
  </w:style>
  <w:style w:type="table" w:customStyle="1" w:styleId="ab">
    <w:basedOn w:val="TableNormal2"/>
    <w:tblPr>
      <w:tblStyleRowBandSize w:val="1"/>
      <w:tblStyleColBandSize w:val="1"/>
      <w:tblCellMar>
        <w:left w:w="115" w:type="dxa"/>
        <w:right w:w="115" w:type="dxa"/>
      </w:tblCellMar>
    </w:tblPr>
  </w:style>
  <w:style w:type="character" w:customStyle="1" w:styleId="Mencinsinresolver6">
    <w:name w:val="Mención sin resolver6"/>
    <w:basedOn w:val="Fuentedeprrafopredeter"/>
    <w:uiPriority w:val="99"/>
    <w:semiHidden/>
    <w:unhideWhenUsed/>
    <w:rsid w:val="00D20DA7"/>
    <w:rPr>
      <w:color w:val="605E5C"/>
      <w:shd w:val="clear" w:color="auto" w:fill="E1DFDD"/>
    </w:rPr>
  </w:style>
  <w:style w:type="table" w:customStyle="1" w:styleId="ac">
    <w:basedOn w:val="TableNormal1"/>
    <w:tblPr>
      <w:tblStyleRowBandSize w:val="1"/>
      <w:tblStyleColBandSize w:val="1"/>
      <w:tblCellMar>
        <w:left w:w="115" w:type="dxa"/>
        <w:right w:w="115" w:type="dxa"/>
      </w:tblCellMar>
    </w:tblPr>
  </w:style>
  <w:style w:type="table" w:customStyle="1" w:styleId="ad">
    <w:basedOn w:val="TableNormal1"/>
    <w:tblPr>
      <w:tblStyleRowBandSize w:val="1"/>
      <w:tblStyleColBandSize w:val="1"/>
      <w:tblCellMar>
        <w:left w:w="115" w:type="dxa"/>
        <w:right w:w="115" w:type="dxa"/>
      </w:tblCellMar>
    </w:tblPr>
  </w:style>
  <w:style w:type="table" w:customStyle="1" w:styleId="ae">
    <w:basedOn w:val="TableNormal0"/>
    <w:tblPr>
      <w:tblStyleRowBandSize w:val="1"/>
      <w:tblStyleColBandSize w:val="1"/>
      <w:tblCellMar>
        <w:left w:w="115" w:type="dxa"/>
        <w:right w:w="115" w:type="dxa"/>
      </w:tblCellMar>
    </w:tblPr>
  </w:style>
  <w:style w:type="table" w:customStyle="1" w:styleId="af">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umb.edomex.gob.mx/marco_juridico" TargetMode="External"/><Relationship Id="rId23" Type="http://schemas.openxmlformats.org/officeDocument/2006/relationships/fontTable" Target="fontTable.xml"/><Relationship Id="rId10" Type="http://schemas.openxmlformats.org/officeDocument/2006/relationships/hyperlink" Target="https://umb.edomex.gob.mx/marco_juridico"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4TnYKErAtCH99zL5qvsnONk08KA==">CgMxLjAyCGguZ2pkZ3hzMgloLjNkeTZ2a20yCWguMzBqMHpsbDIJaC4yZXQ5MnAwMgloLjJzOGV5bzEyCGgudHlqY3d0MgloLjN6bnlzaDcyCWguMTdkcDh2dTIJaC40ZDM0b2c4MghoLmxueGJ6OTIJaC4xZm9iOXRlMgloLjI2aW4xcmcyCWguM3JkY3JqbjIJaC4xdDNoNXNmOAByITEwTHNXV3JSME0tTXhkbXZsYkNWaDdhNmxxSHVOTUFMeA==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7276</Words>
  <Characters>40020</Characters>
  <Application>Microsoft Office Word</Application>
  <DocSecurity>0</DocSecurity>
  <Lines>333</Lines>
  <Paragraphs>94</Paragraphs>
  <ScaleCrop>false</ScaleCrop>
  <HeadingPairs>
    <vt:vector size="2" baseType="variant">
      <vt:variant>
        <vt:lpstr>Título</vt:lpstr>
      </vt:variant>
      <vt:variant>
        <vt:i4>1</vt:i4>
      </vt:variant>
    </vt:vector>
  </HeadingPairs>
  <TitlesOfParts>
    <vt:vector size="1" baseType="lpstr">
      <vt:lpstr/>
    </vt:vector>
  </TitlesOfParts>
  <Company>BC</Company>
  <LinksUpToDate>false</LinksUpToDate>
  <CharactersWithSpaces>47202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INFOEM563</cp:lastModifiedBy>
  <cp:revision>2</cp:revision>
  <cp:lastPrinted>2024-02-02T16:51:00Z</cp:lastPrinted>
  <dcterms:created xsi:type="dcterms:W3CDTF">2024-02-06T19:53:00Z</dcterms:created>
  <dcterms:modified xsi:type="dcterms:W3CDTF">2024-02-06T19:53:00Z</dcterms:modified>
</cp:coreProperties>
</file>