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1FA" w:rsidRDefault="00330928">
      <w:pPr>
        <w:spacing w:before="12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marzo de dos mil veinticuatro.</w:t>
      </w:r>
    </w:p>
    <w:p w:rsidR="007B41FA" w:rsidRDefault="007B41FA">
      <w:pPr>
        <w:rPr>
          <w:rFonts w:ascii="Palatino Linotype" w:eastAsia="Palatino Linotype" w:hAnsi="Palatino Linotype" w:cs="Palatino Linotype"/>
          <w:sz w:val="24"/>
          <w:szCs w:val="24"/>
        </w:rPr>
      </w:pPr>
    </w:p>
    <w:p w:rsidR="007B41FA" w:rsidRDefault="00330928">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05439/INFOEM/IP/RR/2023</w:t>
      </w:r>
      <w:r>
        <w:rPr>
          <w:rFonts w:ascii="Palatino Linotype" w:eastAsia="Palatino Linotype" w:hAnsi="Palatino Linotype" w:cs="Palatino Linotype"/>
          <w:sz w:val="24"/>
          <w:szCs w:val="24"/>
        </w:rPr>
        <w:t>, interpuesto por XXXXXXXX X</w:t>
      </w:r>
      <w:bookmarkStart w:id="0" w:name="_GoBack"/>
      <w:bookmarkEnd w:id="0"/>
      <w:r>
        <w:rPr>
          <w:rFonts w:ascii="Palatino Linotype" w:eastAsia="Palatino Linotype" w:hAnsi="Palatino Linotype" w:cs="Palatino Linotype"/>
          <w:sz w:val="24"/>
          <w:szCs w:val="24"/>
        </w:rPr>
        <w:t xml:space="preserve">, a quien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00247/TLALMANA/IP/20</w:t>
      </w:r>
      <w:r>
        <w:rPr>
          <w:rFonts w:ascii="Palatino Linotype" w:eastAsia="Palatino Linotype" w:hAnsi="Palatino Linotype" w:cs="Palatino Linotype"/>
          <w:b/>
          <w:sz w:val="24"/>
          <w:szCs w:val="24"/>
        </w:rPr>
        <w:t>23</w:t>
      </w:r>
      <w:r>
        <w:rPr>
          <w:rFonts w:ascii="Palatino Linotype" w:eastAsia="Palatino Linotype" w:hAnsi="Palatino Linotype" w:cs="Palatino Linotype"/>
          <w:sz w:val="24"/>
          <w:szCs w:val="24"/>
        </w:rPr>
        <w:t>, por parte del</w:t>
      </w:r>
      <w:r>
        <w:rPr>
          <w:rFonts w:ascii="Palatino Linotype" w:eastAsia="Palatino Linotype" w:hAnsi="Palatino Linotype" w:cs="Palatino Linotype"/>
          <w:b/>
          <w:sz w:val="24"/>
          <w:szCs w:val="24"/>
        </w:rPr>
        <w:t xml:space="preserve"> Ayuntamiento de Tlalmanalco</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rsidR="007B41FA" w:rsidRDefault="007B41FA">
      <w:pPr>
        <w:rPr>
          <w:rFonts w:ascii="Palatino Linotype" w:eastAsia="Palatino Linotype" w:hAnsi="Palatino Linotype" w:cs="Palatino Linotype"/>
          <w:sz w:val="24"/>
          <w:szCs w:val="24"/>
        </w:rPr>
      </w:pPr>
    </w:p>
    <w:p w:rsidR="007B41FA" w:rsidRDefault="00330928">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Con fecha catorce de agosto de dos mil veintitré</w:t>
      </w:r>
      <w:r>
        <w:rPr>
          <w:rFonts w:ascii="Palatino Linotype" w:eastAsia="Palatino Linotype" w:hAnsi="Palatino Linotype" w:cs="Palatino Linotype"/>
          <w:sz w:val="24"/>
          <w:szCs w:val="24"/>
        </w:rPr>
        <w:t xml:space="preserve">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color w:val="FF0000"/>
        </w:rPr>
        <w:t> </w:t>
      </w:r>
      <w:r>
        <w:rPr>
          <w:rFonts w:ascii="Palatino Linotype" w:eastAsia="Palatino Linotype" w:hAnsi="Palatino Linotype" w:cs="Palatino Linotype"/>
          <w:b/>
          <w:sz w:val="24"/>
          <w:szCs w:val="24"/>
        </w:rPr>
        <w:t>00247/TLALMANA/IP/2023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w:t>
      </w:r>
      <w:r>
        <w:rPr>
          <w:rFonts w:ascii="Palatino Linotype" w:eastAsia="Palatino Linotype" w:hAnsi="Palatino Linotype" w:cs="Palatino Linotype"/>
          <w:sz w:val="24"/>
          <w:szCs w:val="24"/>
        </w:rPr>
        <w:t>icitó la siguiente información:</w:t>
      </w:r>
    </w:p>
    <w:p w:rsidR="007B41FA" w:rsidRDefault="007B41FA">
      <w:pPr>
        <w:spacing w:after="0" w:line="360" w:lineRule="auto"/>
        <w:ind w:right="49"/>
        <w:jc w:val="both"/>
        <w:rPr>
          <w:rFonts w:ascii="Palatino Linotype" w:eastAsia="Palatino Linotype" w:hAnsi="Palatino Linotype" w:cs="Palatino Linotype"/>
          <w:sz w:val="24"/>
          <w:szCs w:val="24"/>
        </w:rPr>
      </w:pPr>
    </w:p>
    <w:p w:rsidR="007B41FA" w:rsidRDefault="00330928">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“conforme a mi derecho al acceso a la información en base al articulo 5 de la constitución política del estado de México solicito el costo por dia de la feria de Tlalmanalco así como el pago que se le hizo a cada agrupación</w:t>
      </w:r>
      <w:r>
        <w:rPr>
          <w:rFonts w:ascii="Palatino Linotype" w:eastAsia="Palatino Linotype" w:hAnsi="Palatino Linotype" w:cs="Palatino Linotype"/>
          <w:i/>
          <w:color w:val="000000"/>
        </w:rPr>
        <w:t xml:space="preserve"> musical que aparece en el cartel de la feria, lo recaudado en la feria, el diario de egresos del mes de mayo </w:t>
      </w:r>
      <w:r>
        <w:rPr>
          <w:rFonts w:ascii="Palatino Linotype" w:eastAsia="Palatino Linotype" w:hAnsi="Palatino Linotype" w:cs="Palatino Linotype"/>
          <w:i/>
          <w:color w:val="000000"/>
        </w:rPr>
        <w:lastRenderedPageBreak/>
        <w:t>junio y julio asi como el de ingresos, asi mismo requiero la opinión de los regidores de los partidos de oposición sobre la misma” (Sic).</w:t>
      </w:r>
    </w:p>
    <w:p w:rsidR="007B41FA" w:rsidRDefault="007B41FA">
      <w:pPr>
        <w:spacing w:after="0" w:line="276" w:lineRule="auto"/>
        <w:ind w:left="709" w:right="758"/>
        <w:jc w:val="both"/>
        <w:rPr>
          <w:rFonts w:ascii="Palatino Linotype" w:eastAsia="Palatino Linotype" w:hAnsi="Palatino Linotype" w:cs="Palatino Linotype"/>
          <w:color w:val="000000"/>
          <w:sz w:val="24"/>
          <w:szCs w:val="24"/>
        </w:rPr>
      </w:pPr>
    </w:p>
    <w:p w:rsidR="007B41FA" w:rsidRDefault="0033092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Modalid</w:t>
      </w:r>
      <w:r>
        <w:rPr>
          <w:rFonts w:ascii="Palatino Linotype" w:eastAsia="Palatino Linotype" w:hAnsi="Palatino Linotype" w:cs="Palatino Linotype"/>
          <w:sz w:val="24"/>
          <w:szCs w:val="24"/>
        </w:rPr>
        <w:t xml:space="preserve">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7B41FA" w:rsidRDefault="007B41FA">
      <w:pPr>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treinta de agosto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B41FA" w:rsidRDefault="0033092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Con fundamento en lo dispuesto en el artículo 12 segundo párrafo de la Ley de Transparencia y Acceso a la Información Pública del Estado de México y Municipios, en seguimiento y respuesta a la solicitud de información pública con número de Folio 00247/TLAL</w:t>
      </w:r>
      <w:r>
        <w:rPr>
          <w:rFonts w:ascii="Palatino Linotype" w:eastAsia="Palatino Linotype" w:hAnsi="Palatino Linotype" w:cs="Palatino Linotype"/>
          <w:i/>
        </w:rPr>
        <w:t>MANA/IP/2023, de proporcionar la información que se nos requiera y que obre en nuestros archivos, se atiende en los siguientes términos: Con fundamento en lo dispuesto en el artículo 12 segundo párrafo de la Ley de Transparencia y Acceso a la Información P</w:t>
      </w:r>
      <w:r>
        <w:rPr>
          <w:rFonts w:ascii="Palatino Linotype" w:eastAsia="Palatino Linotype" w:hAnsi="Palatino Linotype" w:cs="Palatino Linotype"/>
          <w:i/>
        </w:rPr>
        <w:t>ública del Estado de México y Municipios, en seguimiento y respuesta a la solicitud de información pública con número de Folio 00247/TLALMANA/IP/2023, de proporcionar la información que se nos requiera y que obre en nuestros archivos, se atiende en los sig</w:t>
      </w:r>
      <w:r>
        <w:rPr>
          <w:rFonts w:ascii="Palatino Linotype" w:eastAsia="Palatino Linotype" w:hAnsi="Palatino Linotype" w:cs="Palatino Linotype"/>
          <w:i/>
        </w:rPr>
        <w:t>uientes términos: Con fundamento en lo dispuesto en el artículo 12 segundo párrafo de la Ley de Transparencia y Acceso a la Información Pública del Estado de México y Municipios, en seguimiento y respuesta a la solicitud de información pública con número d</w:t>
      </w:r>
      <w:r>
        <w:rPr>
          <w:rFonts w:ascii="Palatino Linotype" w:eastAsia="Palatino Linotype" w:hAnsi="Palatino Linotype" w:cs="Palatino Linotype"/>
          <w:i/>
        </w:rPr>
        <w:t xml:space="preserve">e Folio 00247/TLALMANA/IP/2023, de proporcionar la información que se nos requiera y que obre en nuestros archivos, se atiende en los siguientes términos: Con fundamento en lo dispuesto en el artículo 12 segundo párrafo de la Ley de Transparencia y Acceso </w:t>
      </w:r>
      <w:r>
        <w:rPr>
          <w:rFonts w:ascii="Palatino Linotype" w:eastAsia="Palatino Linotype" w:hAnsi="Palatino Linotype" w:cs="Palatino Linotype"/>
          <w:i/>
        </w:rPr>
        <w:t xml:space="preserve">a la Información Pública del Estado </w:t>
      </w:r>
      <w:r>
        <w:rPr>
          <w:rFonts w:ascii="Palatino Linotype" w:eastAsia="Palatino Linotype" w:hAnsi="Palatino Linotype" w:cs="Palatino Linotype"/>
          <w:i/>
        </w:rPr>
        <w:lastRenderedPageBreak/>
        <w:t xml:space="preserve">de México y Municipios, en seguimiento y respuesta a la solicitud de información pública con número de Folio 00247/TLALMANA/IP/2023, de proporcionar la información que se nos requiera y que obre en nuestros archivos, se </w:t>
      </w:r>
      <w:r>
        <w:rPr>
          <w:rFonts w:ascii="Palatino Linotype" w:eastAsia="Palatino Linotype" w:hAnsi="Palatino Linotype" w:cs="Palatino Linotype"/>
          <w:i/>
        </w:rPr>
        <w:t>atiende en los siguientes términos:</w:t>
      </w:r>
    </w:p>
    <w:p w:rsidR="007B41FA" w:rsidRDefault="0033092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7B41FA" w:rsidRDefault="0033092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en C.P y Admón. Pub. Janet Orozco Banda”</w:t>
      </w:r>
    </w:p>
    <w:p w:rsidR="007B41FA" w:rsidRDefault="007B41FA">
      <w:pPr>
        <w:spacing w:after="0" w:line="360" w:lineRule="auto"/>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hace entrega de los archivos electrónicos: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247_23tes.pdf</w:t>
      </w:r>
      <w:r>
        <w:rPr>
          <w:rFonts w:ascii="Palatino Linotype" w:eastAsia="Palatino Linotype" w:hAnsi="Palatino Linotype" w:cs="Palatino Linotype"/>
          <w:sz w:val="24"/>
          <w:szCs w:val="24"/>
        </w:rPr>
        <w:t>”: Oficio de fecha veintinueve de agosto de dos mil veintitrés, signado por el Encargado de Despacho de la Tesoreria Municipal, mediante el cual menciona que no genera información de costo por día de la feria de Tlalmanalco.</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pago de las agrupaciones mu</w:t>
      </w:r>
      <w:r>
        <w:rPr>
          <w:rFonts w:ascii="Palatino Linotype" w:eastAsia="Palatino Linotype" w:hAnsi="Palatino Linotype" w:cs="Palatino Linotype"/>
          <w:sz w:val="24"/>
          <w:szCs w:val="24"/>
        </w:rPr>
        <w:t>sicales son las siguientes:</w:t>
      </w:r>
    </w:p>
    <w:p w:rsidR="007B41FA" w:rsidRDefault="007B41FA">
      <w:pPr>
        <w:rPr>
          <w:rFonts w:ascii="Palatino Linotype" w:eastAsia="Palatino Linotype" w:hAnsi="Palatino Linotype" w:cs="Palatino Linotype"/>
          <w:sz w:val="24"/>
          <w:szCs w:val="24"/>
        </w:rPr>
      </w:pP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 de mayo – Aarón y su grupo ilusión………….. $160,000.00</w:t>
      </w: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 de mayo – Chuponcito………………………… $190,000.00</w:t>
      </w: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 de mayo – Mad Fuentes, Michel G y Malilla…. $80,000.00</w:t>
      </w: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 de mayo – Mariachi Gama 1000………………. $170,000.00</w:t>
      </w:r>
    </w:p>
    <w:p w:rsidR="007B41FA" w:rsidRDefault="007B41FA">
      <w:pPr>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se generan d</w:t>
      </w:r>
      <w:r>
        <w:rPr>
          <w:rFonts w:ascii="Palatino Linotype" w:eastAsia="Palatino Linotype" w:hAnsi="Palatino Linotype" w:cs="Palatino Linotype"/>
          <w:sz w:val="24"/>
          <w:szCs w:val="24"/>
        </w:rPr>
        <w:t>iarios de egresos.</w:t>
      </w: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Remito diario de ingresos del mes de mayo, junio y julio.</w:t>
      </w: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cuanto a la opinión de los regidores no se genera esta información.</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Diario de recaudación del mes de mayo, junio y julio.</w:t>
      </w: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i/>
          <w:sz w:val="24"/>
          <w:szCs w:val="24"/>
          <w:u w:val="single"/>
        </w:rPr>
        <w:t>247_23quintar.pdf</w:t>
      </w:r>
      <w:r>
        <w:rPr>
          <w:rFonts w:ascii="Palatino Linotype" w:eastAsia="Palatino Linotype" w:hAnsi="Palatino Linotype" w:cs="Palatino Linotype"/>
          <w:sz w:val="24"/>
          <w:szCs w:val="24"/>
        </w:rPr>
        <w:t>”: Oficio de fecha dieciséis de ago</w:t>
      </w:r>
      <w:r>
        <w:rPr>
          <w:rFonts w:ascii="Palatino Linotype" w:eastAsia="Palatino Linotype" w:hAnsi="Palatino Linotype" w:cs="Palatino Linotype"/>
          <w:sz w:val="24"/>
          <w:szCs w:val="24"/>
        </w:rPr>
        <w:t>sto de dos mil veintitrés, signado por la Quinta Regidora, mediante el cual señala que no es de su competencia la información solicitada, ya que no obra en sus archivos, por lo que deberá girar a la tesorería Municipal la petición, asimismo, menciona que s</w:t>
      </w:r>
      <w:r>
        <w:rPr>
          <w:rFonts w:ascii="Palatino Linotype" w:eastAsia="Palatino Linotype" w:hAnsi="Palatino Linotype" w:cs="Palatino Linotype"/>
          <w:sz w:val="24"/>
          <w:szCs w:val="24"/>
        </w:rPr>
        <w:t xml:space="preserve">e reserva el derecho de opinión. </w:t>
      </w:r>
    </w:p>
    <w:p w:rsidR="007B41FA" w:rsidRDefault="007B41FA">
      <w:pPr>
        <w:spacing w:after="0" w:line="360" w:lineRule="auto"/>
        <w:jc w:val="both"/>
        <w:rPr>
          <w:rFonts w:ascii="Palatino Linotype" w:eastAsia="Palatino Linotype" w:hAnsi="Palatino Linotype" w:cs="Palatino Linotype"/>
          <w:b/>
          <w:i/>
          <w:sz w:val="24"/>
          <w:szCs w:val="24"/>
          <w:u w:val="single"/>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247_23sepreg.pdf</w:t>
      </w:r>
      <w:r>
        <w:rPr>
          <w:rFonts w:ascii="Palatino Linotype" w:eastAsia="Palatino Linotype" w:hAnsi="Palatino Linotype" w:cs="Palatino Linotype"/>
          <w:sz w:val="24"/>
          <w:szCs w:val="24"/>
        </w:rPr>
        <w:t>”: Oficio de fecha quince de agosto de dos mil veintitrés, signado por la séptima regidora mediante el cual menciona que no cuenta dentro de sus archivos con documento alguno que contenga la información s</w:t>
      </w:r>
      <w:r>
        <w:rPr>
          <w:rFonts w:ascii="Palatino Linotype" w:eastAsia="Palatino Linotype" w:hAnsi="Palatino Linotype" w:cs="Palatino Linotype"/>
          <w:sz w:val="24"/>
          <w:szCs w:val="24"/>
        </w:rPr>
        <w:t xml:space="preserve">olicitada, además de precisar que la suscrita no realizo posicionamiento alguno, dado que el tema en cuestión no ha sido objeto de alguna de las sesiones de cabildo donde la suscrita haya asistido. </w:t>
      </w:r>
    </w:p>
    <w:p w:rsidR="007B41FA" w:rsidRDefault="007B41FA">
      <w:pPr>
        <w:spacing w:after="0" w:line="360" w:lineRule="auto"/>
        <w:jc w:val="both"/>
        <w:rPr>
          <w:rFonts w:ascii="Palatino Linotype" w:eastAsia="Palatino Linotype" w:hAnsi="Palatino Linotype" w:cs="Palatino Linotype"/>
          <w:b/>
          <w:i/>
          <w:sz w:val="24"/>
          <w:szCs w:val="24"/>
          <w:u w:val="single"/>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247_23sextor.pdf</w:t>
      </w:r>
      <w:r>
        <w:rPr>
          <w:rFonts w:ascii="Palatino Linotype" w:eastAsia="Palatino Linotype" w:hAnsi="Palatino Linotype" w:cs="Palatino Linotype"/>
          <w:sz w:val="24"/>
          <w:szCs w:val="24"/>
        </w:rPr>
        <w:t>”: Oficio de fecha veinticuatro de agos</w:t>
      </w:r>
      <w:r>
        <w:rPr>
          <w:rFonts w:ascii="Palatino Linotype" w:eastAsia="Palatino Linotype" w:hAnsi="Palatino Linotype" w:cs="Palatino Linotype"/>
          <w:sz w:val="24"/>
          <w:szCs w:val="24"/>
        </w:rPr>
        <w:t>to de dos mil veintitrés, signado por el séptimo regidor, mediante el cual menciona que no es de su competencia brindar la información, ya que no obra en sus archivos, por lo que deberá de ser girada a la Tesoreria Municipal, asimismo, se reserva el derech</w:t>
      </w:r>
      <w:r>
        <w:rPr>
          <w:rFonts w:ascii="Palatino Linotype" w:eastAsia="Palatino Linotype" w:hAnsi="Palatino Linotype" w:cs="Palatino Linotype"/>
          <w:sz w:val="24"/>
          <w:szCs w:val="24"/>
        </w:rPr>
        <w:t xml:space="preserve">o de opinión con fundamento en el artículo 6° de la Constitución Política de los Estados Unidos Mexicanos. </w:t>
      </w:r>
    </w:p>
    <w:p w:rsidR="007B41FA" w:rsidRDefault="007B41FA">
      <w:pPr>
        <w:rPr>
          <w:rFonts w:ascii="Palatino Linotype" w:eastAsia="Palatino Linotype" w:hAnsi="Palatino Linotype" w:cs="Palatino Linotype"/>
          <w:sz w:val="24"/>
          <w:szCs w:val="24"/>
        </w:rPr>
      </w:pPr>
    </w:p>
    <w:p w:rsidR="007B41FA" w:rsidRDefault="00330928">
      <w:pPr>
        <w:spacing w:after="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3. DEL RECURSO DE REVISIÓN. </w:t>
      </w:r>
      <w:r>
        <w:rPr>
          <w:rFonts w:ascii="Palatino Linotype" w:eastAsia="Palatino Linotype" w:hAnsi="Palatino Linotype" w:cs="Palatino Linotype"/>
          <w:color w:val="000000"/>
          <w:sz w:val="24"/>
          <w:szCs w:val="24"/>
        </w:rPr>
        <w:t>Inconforme con la respuesta del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en fecha cinco de septiembre de dos mil veintitrés,</w:t>
      </w:r>
      <w:r>
        <w:rPr>
          <w:rFonts w:ascii="Palatino Linotype" w:eastAsia="Palatino Linotype" w:hAnsi="Palatino Linotype" w:cs="Palatino Linotype"/>
          <w:b/>
          <w:color w:val="000000"/>
          <w:sz w:val="24"/>
          <w:szCs w:val="24"/>
        </w:rPr>
        <w:t xml:space="preserve"> LA PARTE RECURRENTE </w:t>
      </w:r>
      <w:r>
        <w:rPr>
          <w:rFonts w:ascii="Palatino Linotype" w:eastAsia="Palatino Linotype" w:hAnsi="Palatino Linotype" w:cs="Palatino Linotype"/>
          <w:color w:val="000000"/>
          <w:sz w:val="24"/>
          <w:szCs w:val="24"/>
        </w:rPr>
        <w:t>interpuso el recurso de revisión, el cual fue registrado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en el sistema </w:t>
      </w:r>
      <w:r>
        <w:rPr>
          <w:rFonts w:ascii="Palatino Linotype" w:eastAsia="Palatino Linotype" w:hAnsi="Palatino Linotype" w:cs="Palatino Linotype"/>
          <w:color w:val="000000"/>
          <w:sz w:val="24"/>
          <w:szCs w:val="24"/>
        </w:rPr>
        <w:lastRenderedPageBreak/>
        <w:t xml:space="preserve">electrónico con el expediente número </w:t>
      </w:r>
      <w:r>
        <w:rPr>
          <w:rFonts w:ascii="Palatino Linotype" w:eastAsia="Palatino Linotype" w:hAnsi="Palatino Linotype" w:cs="Palatino Linotype"/>
          <w:b/>
          <w:color w:val="000000"/>
          <w:sz w:val="24"/>
          <w:szCs w:val="24"/>
        </w:rPr>
        <w:t>05439/INFOEM/IP/RR/2023</w:t>
      </w:r>
      <w:r>
        <w:rPr>
          <w:rFonts w:ascii="Palatino Linotype" w:eastAsia="Palatino Linotype" w:hAnsi="Palatino Linotype" w:cs="Palatino Linotype"/>
          <w:color w:val="000000"/>
          <w:sz w:val="24"/>
          <w:szCs w:val="24"/>
        </w:rPr>
        <w:t>, en el cual manifiesta, lo siguiente:</w:t>
      </w:r>
    </w:p>
    <w:p w:rsidR="007B41FA" w:rsidRDefault="007B41FA">
      <w:pPr>
        <w:spacing w:after="0" w:line="360" w:lineRule="auto"/>
        <w:ind w:right="-234"/>
        <w:jc w:val="both"/>
        <w:rPr>
          <w:rFonts w:ascii="Palatino Linotype" w:eastAsia="Palatino Linotype" w:hAnsi="Palatino Linotype" w:cs="Palatino Linotype"/>
          <w:color w:val="000000"/>
          <w:sz w:val="24"/>
          <w:szCs w:val="24"/>
        </w:rPr>
      </w:pPr>
    </w:p>
    <w:p w:rsidR="007B41FA" w:rsidRDefault="00330928">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Acto Impugnado:</w:t>
      </w:r>
    </w:p>
    <w:p w:rsidR="007B41FA" w:rsidRDefault="00330928">
      <w:pPr>
        <w:tabs>
          <w:tab w:val="left" w:pos="8222"/>
        </w:tabs>
        <w:spacing w:before="240" w:after="240" w:line="276" w:lineRule="auto"/>
        <w:ind w:left="851"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se me entrego la totalidad de la información</w:t>
      </w:r>
      <w:r>
        <w:rPr>
          <w:rFonts w:ascii="Palatino Linotype" w:eastAsia="Palatino Linotype" w:hAnsi="Palatino Linotype" w:cs="Palatino Linotype"/>
          <w:i/>
          <w:color w:val="000000"/>
        </w:rPr>
        <w:t>” [sic]</w:t>
      </w:r>
    </w:p>
    <w:p w:rsidR="007B41FA" w:rsidRDefault="00330928">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7B41FA" w:rsidRDefault="00330928">
      <w:pPr>
        <w:spacing w:before="240" w:after="0" w:line="276" w:lineRule="auto"/>
        <w:ind w:left="851"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si bien es cierto la unidad de transparencia me remite información obra incompleta debido a que no muestra todos los artistas falta toño lizarraga, diego moran, banda tr, arturo jaimes y los cantantes, también s</w:t>
      </w:r>
      <w:r>
        <w:rPr>
          <w:rFonts w:ascii="Palatino Linotype" w:eastAsia="Palatino Linotype" w:hAnsi="Palatino Linotype" w:cs="Palatino Linotype"/>
          <w:i/>
          <w:color w:val="000000"/>
        </w:rPr>
        <w:t xml:space="preserve">e pidio el diario de egresos el cual no se envía mencionando que no se genera diario de egresos cuando cada municipio tiene egresos, erogaciones, gastos de operación, así mismo se envía diario de ingresos las cuales no dan certeza de la información debido </w:t>
      </w:r>
      <w:r>
        <w:rPr>
          <w:rFonts w:ascii="Palatino Linotype" w:eastAsia="Palatino Linotype" w:hAnsi="Palatino Linotype" w:cs="Palatino Linotype"/>
          <w:i/>
          <w:color w:val="000000"/>
        </w:rPr>
        <w:t>a que no trae sellos ni firmas” [sic]</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adjunto el archivo electrónico:</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feria-tlalmanalco-2023.pdf</w:t>
      </w:r>
      <w:r>
        <w:rPr>
          <w:rFonts w:ascii="Palatino Linotype" w:eastAsia="Palatino Linotype" w:hAnsi="Palatino Linotype" w:cs="Palatino Linotype"/>
          <w:sz w:val="24"/>
          <w:szCs w:val="24"/>
        </w:rPr>
        <w:t xml:space="preserve">”: </w:t>
      </w:r>
    </w:p>
    <w:p w:rsidR="007B41FA" w:rsidRDefault="00330928">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2443019" cy="355809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443019" cy="3558090"/>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4. TURNO. </w:t>
      </w:r>
      <w:r>
        <w:rPr>
          <w:rFonts w:ascii="Palatino Linotype" w:eastAsia="Palatino Linotype" w:hAnsi="Palatino Linotype" w:cs="Palatino Linotype"/>
          <w:color w:val="000000"/>
          <w:sz w:val="24"/>
          <w:szCs w:val="24"/>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color w:val="000000"/>
          <w:sz w:val="24"/>
          <w:szCs w:val="24"/>
        </w:rPr>
        <w:t xml:space="preserve"> a la Información Pública y Protección de Datos Personales del Estado de México y Municipios, a la Comisionada </w:t>
      </w:r>
      <w:r>
        <w:rPr>
          <w:rFonts w:ascii="Palatino Linotype" w:eastAsia="Palatino Linotype" w:hAnsi="Palatino Linotype" w:cs="Palatino Linotype"/>
          <w:b/>
          <w:color w:val="000000"/>
          <w:sz w:val="24"/>
          <w:szCs w:val="24"/>
        </w:rPr>
        <w:t xml:space="preserve">Guadalupe Ramírez Peña, </w:t>
      </w:r>
      <w:r>
        <w:rPr>
          <w:rFonts w:ascii="Palatino Linotype" w:eastAsia="Palatino Linotype" w:hAnsi="Palatino Linotype" w:cs="Palatino Linotype"/>
          <w:color w:val="000000"/>
          <w:sz w:val="24"/>
          <w:szCs w:val="24"/>
        </w:rPr>
        <w:t>a efecto de que analizara sobre su admisión o su desechamiento.</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5. ADMISIÓN DEL RECURSO DE REVISIÓN.</w:t>
      </w:r>
      <w:r>
        <w:rPr>
          <w:rFonts w:ascii="Palatino Linotype" w:eastAsia="Palatino Linotype" w:hAnsi="Palatino Linotype" w:cs="Palatino Linotype"/>
          <w:color w:val="000000"/>
          <w:sz w:val="24"/>
          <w:szCs w:val="24"/>
        </w:rPr>
        <w:t xml:space="preserve"> Con fecha</w:t>
      </w:r>
      <w:r>
        <w:rPr>
          <w:rFonts w:ascii="Palatino Linotype" w:eastAsia="Palatino Linotype" w:hAnsi="Palatino Linotype" w:cs="Palatino Linotype"/>
          <w:b/>
          <w:color w:val="000000"/>
          <w:sz w:val="24"/>
          <w:szCs w:val="24"/>
        </w:rPr>
        <w:t xml:space="preserve"> ocho de s</w:t>
      </w:r>
      <w:r>
        <w:rPr>
          <w:rFonts w:ascii="Palatino Linotype" w:eastAsia="Palatino Linotype" w:hAnsi="Palatino Linotype" w:cs="Palatino Linotype"/>
          <w:b/>
          <w:color w:val="000000"/>
          <w:sz w:val="24"/>
          <w:szCs w:val="24"/>
        </w:rPr>
        <w:t>eptiembre de dos mil veintitrés</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Pr>
          <w:rFonts w:ascii="Palatino Linotype" w:eastAsia="Palatino Linotype" w:hAnsi="Palatino Linotype" w:cs="Palatino Linotype"/>
          <w:color w:val="000000"/>
          <w:sz w:val="24"/>
          <w:szCs w:val="24"/>
        </w:rPr>
        <w:lastRenderedPageBreak/>
        <w:t>s</w:t>
      </w:r>
      <w:r>
        <w:rPr>
          <w:rFonts w:ascii="Palatino Linotype" w:eastAsia="Palatino Linotype" w:hAnsi="Palatino Linotype" w:cs="Palatino Linotype"/>
          <w:color w:val="000000"/>
          <w:sz w:val="24"/>
          <w:szCs w:val="24"/>
        </w:rPr>
        <w:t xml:space="preserve">iete días hábiles para que las partes manifestaran lo que a su derecho resultara conveniente, ofrecieran pruebas, formularan alegatos y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presentará su informe justificado.</w:t>
      </w:r>
    </w:p>
    <w:p w:rsidR="007B41FA" w:rsidRDefault="007B41FA">
      <w:pPr>
        <w:rPr>
          <w:rFonts w:ascii="Palatino Linotype" w:eastAsia="Palatino Linotype" w:hAnsi="Palatino Linotype" w:cs="Palatino Linotype"/>
          <w:sz w:val="24"/>
          <w:szCs w:val="24"/>
        </w:rPr>
      </w:pPr>
    </w:p>
    <w:p w:rsidR="007B41FA" w:rsidRDefault="0033092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Con fecha diez de octubre dos mil veintitrés </w:t>
      </w:r>
      <w:r>
        <w:rPr>
          <w:rFonts w:ascii="Palatino Linotype" w:eastAsia="Palatino Linotype" w:hAnsi="Palatino Linotype" w:cs="Palatino Linotype"/>
          <w:sz w:val="24"/>
          <w:szCs w:val="24"/>
        </w:rPr>
        <w:t xml:space="preserve">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rsidR="007B41FA" w:rsidRDefault="007B41FA">
      <w:pPr>
        <w:spacing w:after="0" w:line="360" w:lineRule="auto"/>
        <w:ind w:right="49"/>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247_tes2023.pdf</w:t>
      </w:r>
      <w:r>
        <w:rPr>
          <w:rFonts w:ascii="Palatino Linotype" w:eastAsia="Palatino Linotype" w:hAnsi="Palatino Linotype" w:cs="Palatino Linotype"/>
          <w:sz w:val="24"/>
          <w:szCs w:val="24"/>
        </w:rPr>
        <w:t>”: Oficio de fecha veintinueve de septiembre de dos mil veintit</w:t>
      </w:r>
      <w:r>
        <w:rPr>
          <w:rFonts w:ascii="Palatino Linotype" w:eastAsia="Palatino Linotype" w:hAnsi="Palatino Linotype" w:cs="Palatino Linotype"/>
          <w:sz w:val="24"/>
          <w:szCs w:val="24"/>
        </w:rPr>
        <w:t>rés, signado por el Encargado de Despacho de la Tesorería Municipal, mediante el cual ratifica su respuesta, señalando que no genero información por dichos artistas debido a que no siempre se paga por el municipio, ya que el gasto lo hizo un tercero, ademá</w:t>
      </w:r>
      <w:r>
        <w:rPr>
          <w:rFonts w:ascii="Palatino Linotype" w:eastAsia="Palatino Linotype" w:hAnsi="Palatino Linotype" w:cs="Palatino Linotype"/>
          <w:sz w:val="24"/>
          <w:szCs w:val="24"/>
        </w:rPr>
        <w:t>s que tampoco se genera un formato con nombre de diario de egresos, también informa que en el formato del diario de ingresos es generado de forma automática por el Sistema Integral de Administración Tributaria Municipal, el cual está alineado y opera de ac</w:t>
      </w:r>
      <w:r>
        <w:rPr>
          <w:rFonts w:ascii="Palatino Linotype" w:eastAsia="Palatino Linotype" w:hAnsi="Palatino Linotype" w:cs="Palatino Linotype"/>
          <w:sz w:val="24"/>
          <w:szCs w:val="24"/>
        </w:rPr>
        <w:t>uerdo a la Ley de Ingresos de los Municipios del Estado de México, al Código Financiero del Estado de México y Municipios y al Manual Único de Contabilidad Gubernamental vigente, esto con fundamento al artículo 12 de la Ley de Transparencia y Acceso a la I</w:t>
      </w:r>
      <w:r>
        <w:rPr>
          <w:rFonts w:ascii="Palatino Linotype" w:eastAsia="Palatino Linotype" w:hAnsi="Palatino Linotype" w:cs="Palatino Linotype"/>
          <w:sz w:val="24"/>
          <w:szCs w:val="24"/>
        </w:rPr>
        <w:t xml:space="preserve">nformación Pública del Estado de México y Municipios.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i/>
          <w:sz w:val="24"/>
          <w:szCs w:val="24"/>
          <w:u w:val="single"/>
        </w:rPr>
        <w:t>247_23adm.pdf</w:t>
      </w:r>
      <w:r>
        <w:rPr>
          <w:rFonts w:ascii="Palatino Linotype" w:eastAsia="Palatino Linotype" w:hAnsi="Palatino Linotype" w:cs="Palatino Linotype"/>
          <w:sz w:val="24"/>
          <w:szCs w:val="24"/>
        </w:rPr>
        <w:t>”: Oficio de fecha dos de octubre de dos mil veintitrés, signado por el Encargado de Despacho de la Dirección de Administración, mediante el cual refiere que ratifica su respuesta, ya qu</w:t>
      </w:r>
      <w:r>
        <w:rPr>
          <w:rFonts w:ascii="Palatino Linotype" w:eastAsia="Palatino Linotype" w:hAnsi="Palatino Linotype" w:cs="Palatino Linotype"/>
          <w:sz w:val="24"/>
          <w:szCs w:val="24"/>
        </w:rPr>
        <w:t xml:space="preserve">e no se generó información por dichos artistas, debido a que no siempre se paga por el municipio; en cuanto al diario de egresos e ingresos hago de su conocimiento que la Dirección de Administración no genera dicha información.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Mismo que se puso a la vis</w:t>
      </w:r>
      <w:r>
        <w:rPr>
          <w:rFonts w:ascii="Palatino Linotype" w:eastAsia="Palatino Linotype" w:hAnsi="Palatino Linotype" w:cs="Palatino Linotype"/>
          <w:sz w:val="24"/>
          <w:szCs w:val="24"/>
        </w:rPr>
        <w:t xml:space="preserve">ta de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en fecha veintiocho de febrero de dos mil veinticuatro, mismo que resulto omiso de emitir sus manifestaciones, conforme a derecho le corresponde.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7. AMPLIACIÓN DEL TÉRMINO PARA RESOLVER</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sz w:val="24"/>
          <w:szCs w:val="24"/>
        </w:rPr>
        <w:t xml:space="preserve">El seis de marzo de dos mil veinticuatro, se amplió el término para resolver el recurso de revisión en términos del artículo 181 párrafo tercero de la Ley de Transparencia y Acceso a la Información Pública del Estado de México y Municipios.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Este organism</w:t>
      </w:r>
      <w:r>
        <w:rPr>
          <w:rFonts w:ascii="Palatino Linotype" w:eastAsia="Palatino Linotype" w:hAnsi="Palatino Linotype" w:cs="Palatino Linotype"/>
          <w:color w:val="000000"/>
          <w:sz w:val="24"/>
          <w:szCs w:val="24"/>
        </w:rPr>
        <w:t>o garante no pasa por alto justificar, que el plazo para emitir la resolución en el presente asunto encuentra justificación en el alto número de recursos de revisión recibidos, circunstancia atípica que ha rebasado las capacidades técnicas y humanas del pe</w:t>
      </w:r>
      <w:r>
        <w:rPr>
          <w:rFonts w:ascii="Palatino Linotype" w:eastAsia="Palatino Linotype" w:hAnsi="Palatino Linotype" w:cs="Palatino Linotype"/>
          <w:color w:val="000000"/>
          <w:sz w:val="24"/>
          <w:szCs w:val="24"/>
        </w:rPr>
        <w:t>rsonal encargado de la proyección de las resoluciones a dichos medios de impugnación.</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Por ello, es menester precisar que si bien se ha excedido el plazo para resolver el presente medio de impugnación, de conformidad con la ley de la materia, el plazo para</w:t>
      </w:r>
      <w:r>
        <w:rPr>
          <w:rFonts w:ascii="Palatino Linotype" w:eastAsia="Palatino Linotype" w:hAnsi="Palatino Linotype" w:cs="Palatino Linotype"/>
          <w:color w:val="000000"/>
          <w:sz w:val="24"/>
          <w:szCs w:val="24"/>
        </w:rPr>
        <w:t xml:space="preserve"> emitir la resolución se encuentra justificado en los elementos para medir la razonabilidad de asuntos conforme a los parámetros establecidos por diversos órganos jurisdiccionales federales, aplicables también en procedimientos análogos, como el que nos oc</w:t>
      </w:r>
      <w:r>
        <w:rPr>
          <w:rFonts w:ascii="Palatino Linotype" w:eastAsia="Palatino Linotype" w:hAnsi="Palatino Linotype" w:cs="Palatino Linotype"/>
          <w:color w:val="000000"/>
          <w:sz w:val="24"/>
          <w:szCs w:val="24"/>
        </w:rPr>
        <w:t>upa.</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w:t>
      </w:r>
      <w:r>
        <w:rPr>
          <w:rFonts w:ascii="Palatino Linotype" w:eastAsia="Palatino Linotype" w:hAnsi="Palatino Linotype" w:cs="Palatino Linotype"/>
          <w:color w:val="000000"/>
          <w:sz w:val="24"/>
          <w:szCs w:val="24"/>
        </w:rPr>
        <w:t>to es, en un plazo razonable.</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sentido, el legislador fijó los términos procesales en las leyes, de manera general, sin que pudiera prever la variada gama de casos que son resueltos por los órganos jurisdiccionales o cuasi jurisdiccionales, tanto po</w:t>
      </w:r>
      <w:r>
        <w:rPr>
          <w:rFonts w:ascii="Palatino Linotype" w:eastAsia="Palatino Linotype" w:hAnsi="Palatino Linotype" w:cs="Palatino Linotype"/>
          <w:color w:val="000000"/>
          <w:sz w:val="24"/>
          <w:szCs w:val="24"/>
        </w:rPr>
        <w:t xml:space="preserve">r la complejidad de los hechos, como por el número de casos que conocen.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numPr>
          <w:ilvl w:val="0"/>
          <w:numId w:val="5"/>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Complejidad del Asunto: La complejida</w:t>
      </w:r>
      <w:r>
        <w:rPr>
          <w:rFonts w:ascii="Palatino Linotype" w:eastAsia="Palatino Linotype" w:hAnsi="Palatino Linotype" w:cs="Palatino Linotype"/>
          <w:color w:val="000000"/>
          <w:sz w:val="24"/>
          <w:szCs w:val="24"/>
        </w:rPr>
        <w:t xml:space="preserve">d de la prueba, la pluralidad de sujetos procesales, el tiempo transcurrido, las características y contexto del recurso. </w:t>
      </w:r>
    </w:p>
    <w:p w:rsidR="007B41FA" w:rsidRDefault="007B41FA">
      <w:pPr>
        <w:spacing w:after="0" w:line="360" w:lineRule="auto"/>
        <w:ind w:left="927"/>
        <w:jc w:val="both"/>
        <w:rPr>
          <w:rFonts w:ascii="Palatino Linotype" w:eastAsia="Palatino Linotype" w:hAnsi="Palatino Linotype" w:cs="Palatino Linotype"/>
          <w:color w:val="000000"/>
          <w:sz w:val="24"/>
          <w:szCs w:val="24"/>
        </w:rPr>
      </w:pPr>
    </w:p>
    <w:p w:rsidR="007B41FA" w:rsidRDefault="00330928">
      <w:pPr>
        <w:numPr>
          <w:ilvl w:val="0"/>
          <w:numId w:val="5"/>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Actividad Procesal del interesado. Acciones u omisiones del interesado.</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numPr>
          <w:ilvl w:val="0"/>
          <w:numId w:val="5"/>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Conducta de la Autoridad: Las Acciones u omisiones realizada</w:t>
      </w:r>
      <w:r>
        <w:rPr>
          <w:rFonts w:ascii="Palatino Linotype" w:eastAsia="Palatino Linotype" w:hAnsi="Palatino Linotype" w:cs="Palatino Linotype"/>
          <w:color w:val="000000"/>
          <w:sz w:val="24"/>
          <w:szCs w:val="24"/>
        </w:rPr>
        <w:t>s en el procedimiento. Así como si la autoridad actuó con la debida diligencia.</w:t>
      </w:r>
    </w:p>
    <w:p w:rsidR="007B41FA" w:rsidRDefault="007B41FA">
      <w:pPr>
        <w:spacing w:after="0" w:line="360" w:lineRule="auto"/>
        <w:ind w:left="708"/>
        <w:rPr>
          <w:rFonts w:ascii="Palatino Linotype" w:eastAsia="Palatino Linotype" w:hAnsi="Palatino Linotype" w:cs="Palatino Linotype"/>
          <w:color w:val="000000"/>
          <w:sz w:val="24"/>
          <w:szCs w:val="24"/>
        </w:rPr>
      </w:pPr>
    </w:p>
    <w:p w:rsidR="007B41FA" w:rsidRDefault="00330928">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modo que, cuando se trate de un asunto excepcion</w:t>
      </w:r>
      <w:r>
        <w:rPr>
          <w:rFonts w:ascii="Palatino Linotype" w:eastAsia="Palatino Linotype" w:hAnsi="Palatino Linotype" w:cs="Palatino Linotype"/>
          <w:color w:val="000000"/>
          <w:sz w:val="24"/>
          <w:szCs w:val="24"/>
        </w:rPr>
        <w:t>al, por alguna o todas las características mencionadas; o bien, cuando el ingreso de asuntos al órgano jurisdiccional o cuasi jurisdiccional respectivo supere notoriamente al que podría considerarse normal, debe concluirse que es una excluyente de responsa</w:t>
      </w:r>
      <w:r>
        <w:rPr>
          <w:rFonts w:ascii="Palatino Linotype" w:eastAsia="Palatino Linotype" w:hAnsi="Palatino Linotype" w:cs="Palatino Linotype"/>
          <w:color w:val="000000"/>
          <w:sz w:val="24"/>
          <w:szCs w:val="24"/>
        </w:rPr>
        <w:t>bilidad en relación con la actuación del funcionario, como ha acontecido en el caso que nos ocupa.</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sz w:val="24"/>
          <w:szCs w:val="24"/>
        </w:rPr>
        <w:t xml:space="preserve">“TÉRMINOS PROCESALES. PARA DETERMINAR SI UN FUNCIONARIO JUDICIAL ACTUÓ INDEBIDAMENTE POR NO RESPETARLOS SE DEBE ATENDER AL </w:t>
      </w:r>
      <w:r>
        <w:rPr>
          <w:rFonts w:ascii="Palatino Linotype" w:eastAsia="Palatino Linotype" w:hAnsi="Palatino Linotype" w:cs="Palatino Linotype"/>
          <w:i/>
          <w:color w:val="000000"/>
          <w:sz w:val="24"/>
          <w:szCs w:val="24"/>
        </w:rPr>
        <w:lastRenderedPageBreak/>
        <w:t>PRESUPUESTO QUE CONSIDERÓ EL LEGISLADOR AL FIJARLOS Y LAS CARACTERÍSTICAS DEL CASO.”</w:t>
      </w:r>
      <w:r>
        <w:rPr>
          <w:rFonts w:ascii="Palatino Linotype" w:eastAsia="Palatino Linotype" w:hAnsi="Palatino Linotype" w:cs="Palatino Linotype"/>
          <w:color w:val="000000"/>
          <w:sz w:val="24"/>
          <w:szCs w:val="24"/>
        </w:rPr>
        <w:t xml:space="preserve">, visible en la Gaceta del Seminario Judicial de </w:t>
      </w:r>
      <w:r>
        <w:rPr>
          <w:rFonts w:ascii="Palatino Linotype" w:eastAsia="Palatino Linotype" w:hAnsi="Palatino Linotype" w:cs="Palatino Linotype"/>
          <w:color w:val="000000"/>
          <w:sz w:val="24"/>
          <w:szCs w:val="24"/>
        </w:rPr>
        <w:t>la Federación con el registro digital 205635.</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w:t>
      </w:r>
      <w:r>
        <w:rPr>
          <w:rFonts w:ascii="Palatino Linotype" w:eastAsia="Palatino Linotype" w:hAnsi="Palatino Linotype" w:cs="Palatino Linotype"/>
          <w:color w:val="000000"/>
          <w:sz w:val="24"/>
          <w:szCs w:val="24"/>
        </w:rPr>
        <w:t>teriales y humanos con que cuenta este Instituto para atender la enorme demanda de usuarios que acuden para que se les garantice su Derecho de acceso a la información Pública y Protección de Datos Personales, aunado a la complejidad de los hechos a los que</w:t>
      </w:r>
      <w:r>
        <w:rPr>
          <w:rFonts w:ascii="Palatino Linotype" w:eastAsia="Palatino Linotype" w:hAnsi="Palatino Linotype" w:cs="Palatino Linotype"/>
          <w:color w:val="000000"/>
          <w:sz w:val="24"/>
          <w:szCs w:val="24"/>
        </w:rPr>
        <w:t xml:space="preserve"> se refieren, así como al volumen del expediente, la extensión de los escritos y pruebas aportadas y desahogadas por las partes; lo que impide la tramitación de los recursos dentro de los términos legales previamente establecidos por la Ley, por tratarse d</w:t>
      </w:r>
      <w:r>
        <w:rPr>
          <w:rFonts w:ascii="Palatino Linotype" w:eastAsia="Palatino Linotype" w:hAnsi="Palatino Linotype" w:cs="Palatino Linotype"/>
          <w:color w:val="000000"/>
          <w:sz w:val="24"/>
          <w:szCs w:val="24"/>
        </w:rPr>
        <w:t>e causas de fuerza mayor.</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“PLAZO RAZONABLE PARA RE</w:t>
      </w:r>
      <w:r>
        <w:rPr>
          <w:rFonts w:ascii="Palatino Linotype" w:eastAsia="Palatino Linotype" w:hAnsi="Palatino Linotype" w:cs="Palatino Linotype"/>
          <w:i/>
          <w:color w:val="000000"/>
          <w:sz w:val="24"/>
          <w:szCs w:val="24"/>
        </w:rPr>
        <w:t>SOLVER. DIMENSIÓN Y EFECTOS DE ESTE CONCEPTO CUANDO SE ADUCE EXCESIVA CARGA DE TRABAJO.”</w:t>
      </w:r>
      <w:r>
        <w:rPr>
          <w:rFonts w:ascii="Palatino Linotype" w:eastAsia="Palatino Linotype" w:hAnsi="Palatino Linotype" w:cs="Palatino Linotype"/>
          <w:color w:val="000000"/>
          <w:sz w:val="24"/>
          <w:szCs w:val="24"/>
        </w:rPr>
        <w:t xml:space="preserve"> consultable en el Seminario Judicial de la Federación y su gaceta, con el registro digital 2002351.</w:t>
      </w:r>
    </w:p>
    <w:p w:rsidR="007B41FA" w:rsidRDefault="007B41FA">
      <w:pPr>
        <w:spacing w:after="0" w:line="360" w:lineRule="auto"/>
        <w:jc w:val="both"/>
        <w:rPr>
          <w:rFonts w:ascii="Palatino Linotype" w:eastAsia="Palatino Linotype" w:hAnsi="Palatino Linotype" w:cs="Palatino Linotype"/>
          <w:b/>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lastRenderedPageBreak/>
        <w:t>“PLAZO RAZONABLE PARA RESOLVER. CONCEPTO Y ELEMENTOS QUE LO INTEGR</w:t>
      </w:r>
      <w:r>
        <w:rPr>
          <w:rFonts w:ascii="Palatino Linotype" w:eastAsia="Palatino Linotype" w:hAnsi="Palatino Linotype" w:cs="Palatino Linotype"/>
          <w:i/>
          <w:color w:val="000000"/>
          <w:sz w:val="24"/>
          <w:szCs w:val="24"/>
        </w:rPr>
        <w:t>AN A LA LUZ DEL DERECHO INTERNACIONAL DE LOS DERECHOS HUMANOS.”</w:t>
      </w:r>
      <w:r>
        <w:rPr>
          <w:rFonts w:ascii="Palatino Linotype" w:eastAsia="Palatino Linotype" w:hAnsi="Palatino Linotype" w:cs="Palatino Linotype"/>
          <w:color w:val="000000"/>
          <w:sz w:val="24"/>
          <w:szCs w:val="24"/>
        </w:rPr>
        <w:t>, visible en el Seminario Judicial de la Federación y su gaceta, con el registro digital 2002350.</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ello, este organismo garante comprometido con la tutela de los derechos humanos confiados,</w:t>
      </w:r>
      <w:r>
        <w:rPr>
          <w:rFonts w:ascii="Palatino Linotype" w:eastAsia="Palatino Linotype" w:hAnsi="Palatino Linotype" w:cs="Palatino Linotype"/>
          <w:color w:val="000000"/>
          <w:sz w:val="24"/>
          <w:szCs w:val="24"/>
        </w:rPr>
        <w:t xml:space="preserve"> señala que este exceso del plazo legal para resolver el presente asunto, resulta de carácter excepcional.</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8. CIERRE DE INSTRUCCIÓN. </w:t>
      </w:r>
      <w:r>
        <w:rPr>
          <w:rFonts w:ascii="Palatino Linotype" w:eastAsia="Palatino Linotype" w:hAnsi="Palatino Linotype" w:cs="Palatino Linotype"/>
          <w:color w:val="000000"/>
          <w:sz w:val="24"/>
          <w:szCs w:val="24"/>
        </w:rPr>
        <w:t>El seis de marzo de dos mil veinticuatro, al no existir diligencias pendientes por desahogar, se emitió el acuerdo por med</w:t>
      </w:r>
      <w:r>
        <w:rPr>
          <w:rFonts w:ascii="Palatino Linotype" w:eastAsia="Palatino Linotype" w:hAnsi="Palatino Linotype" w:cs="Palatino Linotype"/>
          <w:color w:val="000000"/>
          <w:sz w:val="24"/>
          <w:szCs w:val="24"/>
        </w:rPr>
        <w:t>io del cual se declaró cerrada la instrucción y se determinó pasar el expediente a resolución, en términos del artículo 185 fracción VI y VIII de la Ley de Transparencia y Acceso a la Información Pública del Estado de México y Municipios, iniciando el térm</w:t>
      </w:r>
      <w:r>
        <w:rPr>
          <w:rFonts w:ascii="Palatino Linotype" w:eastAsia="Palatino Linotype" w:hAnsi="Palatino Linotype" w:cs="Palatino Linotype"/>
          <w:color w:val="000000"/>
          <w:sz w:val="24"/>
          <w:szCs w:val="24"/>
        </w:rPr>
        <w:t>ino legal para dictar resolución definitiva del asunto.</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razón de que fue debidamente sustanciado el expediente electrónico y no existe diligencia pendiente de desahogo, se emite la Resolución que conforme a Derecho proceda, de acuerdo con los siguiente</w:t>
      </w:r>
      <w:r>
        <w:rPr>
          <w:rFonts w:ascii="Palatino Linotype" w:eastAsia="Palatino Linotype" w:hAnsi="Palatino Linotype" w:cs="Palatino Linotype"/>
          <w:color w:val="000000"/>
          <w:sz w:val="24"/>
          <w:szCs w:val="24"/>
        </w:rPr>
        <w:t>s:</w:t>
      </w:r>
    </w:p>
    <w:p w:rsidR="007B41FA" w:rsidRDefault="007B41FA">
      <w:pPr>
        <w:rPr>
          <w:rFonts w:ascii="Palatino Linotype" w:eastAsia="Palatino Linotype" w:hAnsi="Palatino Linotype" w:cs="Palatino Linotype"/>
          <w:sz w:val="24"/>
          <w:szCs w:val="24"/>
        </w:rPr>
      </w:pPr>
    </w:p>
    <w:p w:rsidR="007B41FA" w:rsidRDefault="00330928">
      <w:pPr>
        <w:widowControl w:val="0"/>
        <w:spacing w:after="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 O N S I D E R A N D O S</w:t>
      </w:r>
    </w:p>
    <w:p w:rsidR="007B41FA" w:rsidRDefault="007B41FA">
      <w:pPr>
        <w:widowControl w:val="0"/>
        <w:spacing w:after="0" w:line="360" w:lineRule="auto"/>
        <w:jc w:val="center"/>
        <w:rPr>
          <w:rFonts w:ascii="Palatino Linotype" w:eastAsia="Palatino Linotype" w:hAnsi="Palatino Linotype" w:cs="Palatino Linotype"/>
          <w:b/>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PRIMERO. COMPETENCIA.</w:t>
      </w:r>
      <w:r>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w:t>
      </w:r>
      <w:r>
        <w:rPr>
          <w:rFonts w:ascii="Palatino Linotype" w:eastAsia="Palatino Linotype" w:hAnsi="Palatino Linotype" w:cs="Palatino Linotype"/>
          <w:color w:val="000000"/>
          <w:sz w:val="24"/>
          <w:szCs w:val="24"/>
        </w:rPr>
        <w:t xml:space="preserve">puesto en los artículos 6, apartado A de la Constitución Política de los Estados Unidos Mexicanos; 5 párrafos </w:t>
      </w:r>
      <w:r>
        <w:rPr>
          <w:rFonts w:ascii="Palatino Linotype" w:eastAsia="Palatino Linotype" w:hAnsi="Palatino Linotype" w:cs="Palatino Linotype"/>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fracciones IV y V de la Constitución Política del Estado Libre y Soberano de México; 2, fr</w:t>
      </w:r>
      <w:r>
        <w:rPr>
          <w:rFonts w:ascii="Palatino Linotype" w:eastAsia="Palatino Linotype" w:hAnsi="Palatino Linotype" w:cs="Palatino Linotype"/>
          <w:color w:val="000000"/>
          <w:sz w:val="24"/>
          <w:szCs w:val="24"/>
        </w:rPr>
        <w:t>acción II; 29, 36 fracciones I y II; 176, 178, 181, 185, fracción I, 186 y 188 de la Ley Transparencia y Acceso a la Información Pública del Estado de México y Municipios; 9, fracciones I y XXIII y 11 del Reglamento Interior del Instituto de Transparencia,</w:t>
      </w:r>
      <w:r>
        <w:rPr>
          <w:rFonts w:ascii="Palatino Linotype" w:eastAsia="Palatino Linotype" w:hAnsi="Palatino Linotype" w:cs="Palatino Linotype"/>
          <w:color w:val="000000"/>
          <w:sz w:val="24"/>
          <w:szCs w:val="24"/>
        </w:rPr>
        <w:t xml:space="preserve"> Acceso a la Información Pública y Protección de Datos Personales del Estado de México y Municipios.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SEGUNDO. OPORTUNIDAD Y PROCEDIBILIDAD DEL RECURSO DE REVISIÓN.  </w:t>
      </w:r>
      <w:r>
        <w:rPr>
          <w:rFonts w:ascii="Palatino Linotype" w:eastAsia="Palatino Linotype" w:hAnsi="Palatino Linotype" w:cs="Palatino Linotype"/>
          <w:color w:val="000000"/>
          <w:sz w:val="24"/>
          <w:szCs w:val="24"/>
        </w:rPr>
        <w:t>Previo al estudio del fondo del asunto, se procede a analizar los requisitos de oportunida</w:t>
      </w:r>
      <w:r>
        <w:rPr>
          <w:rFonts w:ascii="Palatino Linotype" w:eastAsia="Palatino Linotype" w:hAnsi="Palatino Linotype" w:cs="Palatino Linotype"/>
          <w:color w:val="000000"/>
          <w:sz w:val="24"/>
          <w:szCs w:val="24"/>
        </w:rPr>
        <w:t>d y procedibilidad que debe reunir el recurso de revisión interpuesto, previsto en el artículo 178 y 180 de la Ley de Transparencia y Acceso a la Información Pública del Estado de México y Municipios.</w:t>
      </w:r>
    </w:p>
    <w:p w:rsidR="007B41FA" w:rsidRDefault="007B41FA">
      <w:pPr>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w:t>
      </w:r>
      <w:r>
        <w:rPr>
          <w:rFonts w:ascii="Palatino Linotype" w:eastAsia="Palatino Linotype" w:hAnsi="Palatino Linotype" w:cs="Palatino Linotype"/>
          <w:sz w:val="24"/>
          <w:szCs w:val="24"/>
        </w:rPr>
        <w:t>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emitió la respuesta, toda vez que ésta fue pronunci</w:t>
      </w:r>
      <w:r>
        <w:rPr>
          <w:rFonts w:ascii="Palatino Linotype" w:eastAsia="Palatino Linotype" w:hAnsi="Palatino Linotype" w:cs="Palatino Linotype"/>
          <w:sz w:val="24"/>
          <w:szCs w:val="24"/>
        </w:rPr>
        <w:t xml:space="preserve">ada el día </w:t>
      </w:r>
      <w:r>
        <w:rPr>
          <w:rFonts w:ascii="Palatino Linotype" w:eastAsia="Palatino Linotype" w:hAnsi="Palatino Linotype" w:cs="Palatino Linotype"/>
          <w:sz w:val="24"/>
          <w:szCs w:val="24"/>
        </w:rPr>
        <w:lastRenderedPageBreak/>
        <w:t xml:space="preserve">treinta de agosto del año dos mil veintitrés, mientras 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cinco de septiembre de dos mil veintitrés, es decir, al cuarto día hábil de haber recibido la respuesta.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proporcionó un seudónimo como se advierte en el detalle de seguimiento del SAIMEX, no obstante lo anterior, no es motivo para archi</w:t>
      </w:r>
      <w:r>
        <w:rPr>
          <w:rFonts w:ascii="Palatino Linotype" w:eastAsia="Palatino Linotype" w:hAnsi="Palatino Linotype" w:cs="Palatino Linotype"/>
          <w:color w:val="000000"/>
          <w:sz w:val="24"/>
          <w:szCs w:val="24"/>
        </w:rPr>
        <w:t>var la solicitud de acceso a la información pública como concluida, conforme a lo previsto en el artículo 155, penúltimo párrafo de la Ley de Transparencia y Acceso a la Información Pública del Estado de México y Municipios que establece lo siguiente:</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276" w:lineRule="auto"/>
        <w:ind w:left="851"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"La</w:t>
      </w:r>
      <w:r>
        <w:rPr>
          <w:rFonts w:ascii="Palatino Linotype" w:eastAsia="Palatino Linotype" w:hAnsi="Palatino Linotype" w:cs="Palatino Linotype"/>
          <w:b/>
          <w:i/>
          <w:color w:val="000000"/>
        </w:rPr>
        <w:t>s solicitudes anónimas, con nombre incompleto o seudónimo serán procedentes para su trámite por parte del sujeto obligado ante quien se presente. No podrá requerirse información adicional con motivo del nombre proporcionado por el solicitante."</w:t>
      </w:r>
    </w:p>
    <w:p w:rsidR="007B41FA" w:rsidRDefault="007B41FA">
      <w:pPr>
        <w:spacing w:after="0" w:line="360" w:lineRule="auto"/>
        <w:ind w:right="902"/>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Ahora bien, del análisis efectuado se advierte que resulta procedente la interposición del recurso y se concluye la acreditación plena de todos y cada uno de los elementos formales exigidos por el artículo 180 de la Ley de Transparencia y Acceso a la Infor</w:t>
      </w:r>
      <w:r>
        <w:rPr>
          <w:rFonts w:ascii="Palatino Linotype" w:eastAsia="Palatino Linotype" w:hAnsi="Palatino Linotype" w:cs="Palatino Linotype"/>
          <w:color w:val="000000"/>
          <w:sz w:val="24"/>
          <w:szCs w:val="24"/>
        </w:rPr>
        <w:t xml:space="preserve">mación Pública del Estado de México y Municipios en vigor, en atención a que fue presentado mediante el formato visible </w:t>
      </w:r>
      <w:r>
        <w:rPr>
          <w:rFonts w:ascii="Palatino Linotype" w:eastAsia="Palatino Linotype" w:hAnsi="Palatino Linotype" w:cs="Palatino Linotype"/>
          <w:b/>
          <w:color w:val="000000"/>
          <w:sz w:val="24"/>
          <w:szCs w:val="24"/>
        </w:rPr>
        <w:t xml:space="preserve">EL SAIMEX.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Finalmente, resulta procedente la interposición del recurso, según lo aducido por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en sus razones o mot</w:t>
      </w:r>
      <w:r>
        <w:rPr>
          <w:rFonts w:ascii="Palatino Linotype" w:eastAsia="Palatino Linotype" w:hAnsi="Palatino Linotype" w:cs="Palatino Linotype"/>
          <w:color w:val="000000"/>
          <w:sz w:val="24"/>
          <w:szCs w:val="24"/>
        </w:rPr>
        <w:t>ivos de inconformidad, de acuerdo al artículo 179, fracción I y V de la Ley de Transparencia y Acceso a la Información Pública del Estado de México y Municipios; que a la letra dice:</w:t>
      </w:r>
    </w:p>
    <w:p w:rsidR="007B41FA" w:rsidRDefault="007B41FA">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rsidR="007B41FA" w:rsidRDefault="0033092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de revisión</w:t>
      </w:r>
      <w:r>
        <w:rPr>
          <w:rFonts w:ascii="Palatino Linotype" w:eastAsia="Palatino Linotype" w:hAnsi="Palatino Linotype" w:cs="Palatino Linotype"/>
          <w:i/>
          <w:color w:val="000000"/>
        </w:rPr>
        <w:t xml:space="preserve"> es un medio de protección que la L</w:t>
      </w:r>
      <w:r>
        <w:rPr>
          <w:rFonts w:ascii="Palatino Linotype" w:eastAsia="Palatino Linotype" w:hAnsi="Palatino Linotype" w:cs="Palatino Linotype"/>
          <w:i/>
          <w:color w:val="000000"/>
        </w:rPr>
        <w:t>ey otorga a los particulares, para hacer valer su derecho de acceso a la información pública</w:t>
      </w:r>
      <w:r>
        <w:rPr>
          <w:rFonts w:ascii="Palatino Linotype" w:eastAsia="Palatino Linotype" w:hAnsi="Palatino Linotype" w:cs="Palatino Linotype"/>
          <w:b/>
          <w:i/>
          <w:color w:val="000000"/>
        </w:rPr>
        <w:t>, y procederá en contra de las siguientes causas</w:t>
      </w:r>
      <w:r>
        <w:rPr>
          <w:rFonts w:ascii="Palatino Linotype" w:eastAsia="Palatino Linotype" w:hAnsi="Palatino Linotype" w:cs="Palatino Linotype"/>
          <w:i/>
          <w:color w:val="000000"/>
        </w:rPr>
        <w:t>:</w:t>
      </w:r>
    </w:p>
    <w:p w:rsidR="007B41FA" w:rsidRDefault="0033092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 La negativa a la información solicitada;</w:t>
      </w:r>
    </w:p>
    <w:p w:rsidR="007B41FA" w:rsidRDefault="0033092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w:t>
      </w:r>
    </w:p>
    <w:p w:rsidR="007B41FA" w:rsidRDefault="00330928">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V. La entrega de información incompleta;”</w:t>
      </w:r>
    </w:p>
    <w:p w:rsidR="007B41FA" w:rsidRDefault="007B41F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w:t>
      </w:r>
      <w:r>
        <w:rPr>
          <w:rFonts w:ascii="Palatino Linotype" w:eastAsia="Palatino Linotype" w:hAnsi="Palatino Linotype" w:cs="Palatino Linotype"/>
          <w:sz w:val="24"/>
          <w:szCs w:val="24"/>
        </w:rPr>
        <w:t xml:space="preserve">la respuesta e informe justificado otorgados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satisfacen el derecho de acceso 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w:t>
      </w:r>
    </w:p>
    <w:p w:rsidR="007B41FA" w:rsidRDefault="007B41FA">
      <w:pPr>
        <w:spacing w:after="0" w:line="360" w:lineRule="auto"/>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w:t>
      </w:r>
      <w:r>
        <w:rPr>
          <w:rFonts w:ascii="Palatino Linotype" w:eastAsia="Palatino Linotype" w:hAnsi="Palatino Linotype" w:cs="Palatino Linotype"/>
          <w:sz w:val="24"/>
          <w:szCs w:val="24"/>
        </w:rPr>
        <w:t xml:space="preserve"> sobre lo que nos interesa, adoptando dichas disposiciones al Derecho Interno, específicamente a nivel Constitucional, tal y como </w:t>
      </w:r>
      <w:r>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w:t>
      </w:r>
      <w:r>
        <w:rPr>
          <w:rFonts w:ascii="Palatino Linotype" w:eastAsia="Palatino Linotype" w:hAnsi="Palatino Linotype" w:cs="Palatino Linotype"/>
          <w:sz w:val="24"/>
          <w:szCs w:val="24"/>
        </w:rPr>
        <w:t>tra señalan:</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w:t>
      </w:r>
      <w:r>
        <w:rPr>
          <w:rFonts w:ascii="Palatino Linotype" w:eastAsia="Palatino Linotype" w:hAnsi="Palatino Linotype" w:cs="Palatino Linotype"/>
          <w:i/>
        </w:rPr>
        <w:t>tección, cuyo ejercicio no podrá restringirse ni suspenderse, salvo en los casos y bajo las condiciones que esta Constitución establece.</w:t>
      </w:r>
    </w:p>
    <w:p w:rsidR="007B41FA" w:rsidRDefault="00330928">
      <w:pPr>
        <w:tabs>
          <w:tab w:val="left" w:pos="709"/>
        </w:tabs>
        <w:spacing w:after="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w:t>
      </w:r>
      <w:r>
        <w:rPr>
          <w:rFonts w:ascii="Palatino Linotype" w:eastAsia="Palatino Linotype" w:hAnsi="Palatino Linotype" w:cs="Palatino Linotype"/>
          <w:b/>
          <w:i/>
        </w:rPr>
        <w:t>ternacionales de la materia favoreciendo en todo tiempo a las personas la protección más amplia.</w:t>
      </w:r>
    </w:p>
    <w:p w:rsidR="007B41FA" w:rsidRDefault="00330928">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w:t>
      </w:r>
      <w:r>
        <w:rPr>
          <w:rFonts w:ascii="Palatino Linotype" w:eastAsia="Palatino Linotype" w:hAnsi="Palatino Linotype" w:cs="Palatino Linotype"/>
          <w:b/>
          <w:i/>
          <w:u w:val="single"/>
        </w:rPr>
        <w:t>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7B41FA" w:rsidRDefault="00330928">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w:t>
      </w:r>
      <w:r>
        <w:rPr>
          <w:rFonts w:ascii="Palatino Linotype" w:eastAsia="Palatino Linotype" w:hAnsi="Palatino Linotype" w:cs="Palatino Linotype"/>
          <w:b/>
          <w:i/>
        </w:rPr>
        <w:t>6o.</w:t>
      </w:r>
    </w:p>
    <w:p w:rsidR="007B41FA" w:rsidRDefault="00330928">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órganos autónomos, partidos políticos, fideicomisos y fondos públicos, así como de cualquier persona física, moral o sindi</w:t>
      </w:r>
      <w:r>
        <w:rPr>
          <w:rFonts w:ascii="Palatino Linotype" w:eastAsia="Palatino Linotype" w:hAnsi="Palatino Linotype" w:cs="Palatino Linotype"/>
          <w:i/>
        </w:rPr>
        <w:t xml:space="preserve">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w:t>
      </w:r>
      <w:r>
        <w:rPr>
          <w:rFonts w:ascii="Palatino Linotype" w:eastAsia="Palatino Linotype" w:hAnsi="Palatino Linotype" w:cs="Palatino Linotype"/>
          <w:i/>
        </w:rPr>
        <w:t xml:space="preserve"> En la interpretación de </w:t>
      </w:r>
      <w:r>
        <w:rPr>
          <w:rFonts w:ascii="Palatino Linotype" w:eastAsia="Palatino Linotype" w:hAnsi="Palatino Linotype" w:cs="Palatino Linotype"/>
          <w:i/>
        </w:rPr>
        <w:lastRenderedPageBreak/>
        <w:t>este derecho deberá prevalecer el principio de máxima publicidad. Los sujetos obligados deberán documentar todo acto que derive del ejercicio de sus facultades, competencias o funciones, la ley determinará los supuestos específicos</w:t>
      </w:r>
      <w:r>
        <w:rPr>
          <w:rFonts w:ascii="Palatino Linotype" w:eastAsia="Palatino Linotype" w:hAnsi="Palatino Linotype" w:cs="Palatino Linotype"/>
          <w:i/>
        </w:rPr>
        <w:t xml:space="preserve"> bajo los cuales procederá la declaración de inexistencia de la información.</w:t>
      </w:r>
    </w:p>
    <w:p w:rsidR="007B41FA" w:rsidRDefault="00330928">
      <w:pPr>
        <w:spacing w:after="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w:t>
      </w:r>
      <w:r>
        <w:rPr>
          <w:rFonts w:ascii="Palatino Linotype" w:eastAsia="Palatino Linotype" w:hAnsi="Palatino Linotype" w:cs="Palatino Linotype"/>
          <w:b/>
          <w:i/>
          <w:u w:val="single"/>
        </w:rPr>
        <w:t>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w:t>
      </w:r>
      <w:r>
        <w:rPr>
          <w:rFonts w:ascii="Palatino Linotype" w:eastAsia="Palatino Linotype" w:hAnsi="Palatino Linotype" w:cs="Palatino Linotype"/>
          <w:i/>
        </w:rPr>
        <w:t>mentos en archivos administrativos actualizados y publicarán, a través de los medios electrónicos disponibles, la información completa y actualizada sobre el ejercicio de los recursos públicos y los indicadores que permitan rendir cuenta del cumplimiento d</w:t>
      </w:r>
      <w:r>
        <w:rPr>
          <w:rFonts w:ascii="Palatino Linotype" w:eastAsia="Palatino Linotype" w:hAnsi="Palatino Linotype" w:cs="Palatino Linotype"/>
          <w:i/>
        </w:rPr>
        <w:t>e sus objetivos y de los resultados obtenidos.</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 xml:space="preserve">La inobservancia a las </w:t>
      </w:r>
      <w:r>
        <w:rPr>
          <w:rFonts w:ascii="Palatino Linotype" w:eastAsia="Palatino Linotype" w:hAnsi="Palatino Linotype" w:cs="Palatino Linotype"/>
          <w:i/>
        </w:rPr>
        <w:t>disposiciones en materia de acceso a la información pública será sancionada en los términos que dispongan las leyes. [...]</w:t>
      </w:r>
    </w:p>
    <w:p w:rsidR="007B41FA" w:rsidRDefault="007B41FA">
      <w:pPr>
        <w:tabs>
          <w:tab w:val="left" w:pos="709"/>
        </w:tabs>
        <w:spacing w:after="0" w:line="360" w:lineRule="auto"/>
        <w:jc w:val="both"/>
        <w:rPr>
          <w:rFonts w:ascii="Palatino Linotype" w:eastAsia="Palatino Linotype" w:hAnsi="Palatino Linotype" w:cs="Palatino Linotype"/>
          <w:sz w:val="24"/>
          <w:szCs w:val="24"/>
        </w:rPr>
      </w:pPr>
    </w:p>
    <w:p w:rsidR="007B41FA" w:rsidRDefault="00330928">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w:t>
      </w:r>
      <w:r>
        <w:rPr>
          <w:rFonts w:ascii="Palatino Linotype" w:eastAsia="Palatino Linotype" w:hAnsi="Palatino Linotype" w:cs="Palatino Linotype"/>
          <w:sz w:val="24"/>
          <w:szCs w:val="24"/>
        </w:rPr>
        <w:t>acceso a la información es un derecho del cual goza toda persona sin discriminación alguna, el cual se ejerce ante los Poderes del Estado, entidades, dependencias o cualquiera persona física o moral que reciba y ejerza recursos públicos, siendo pública tod</w:t>
      </w:r>
      <w:r>
        <w:rPr>
          <w:rFonts w:ascii="Palatino Linotype" w:eastAsia="Palatino Linotype" w:hAnsi="Palatino Linotype" w:cs="Palatino Linotype"/>
          <w:sz w:val="24"/>
          <w:szCs w:val="24"/>
        </w:rPr>
        <w:t>a la información que posean con las excepciones enmarcadas, para lo cual queda demostrado que el presente sujeto obligado debe cumplir con dichos dispositivos legales.</w:t>
      </w:r>
    </w:p>
    <w:p w:rsidR="007B41FA" w:rsidRDefault="007B41FA">
      <w:pPr>
        <w:tabs>
          <w:tab w:val="left" w:pos="709"/>
        </w:tabs>
        <w:spacing w:after="0" w:line="360" w:lineRule="auto"/>
        <w:jc w:val="both"/>
        <w:rPr>
          <w:rFonts w:ascii="Palatino Linotype" w:eastAsia="Palatino Linotype" w:hAnsi="Palatino Linotype" w:cs="Palatino Linotype"/>
          <w:sz w:val="24"/>
          <w:szCs w:val="24"/>
        </w:rPr>
      </w:pPr>
    </w:p>
    <w:p w:rsidR="007B41FA" w:rsidRDefault="00330928">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w:t>
      </w:r>
      <w:r>
        <w:rPr>
          <w:rFonts w:ascii="Palatino Linotype" w:eastAsia="Palatino Linotype" w:hAnsi="Palatino Linotype" w:cs="Palatino Linotype"/>
          <w:sz w:val="24"/>
          <w:szCs w:val="24"/>
        </w:rPr>
        <w:t xml:space="preserve"> los requisitos y procedimientos del derecho de acceso a la información pública, en atención a que en la Ley de Transparencia y Acceso a la Información Pública del Estado de México y Municipios en su artículo 4, dice que toda la información generada, obten</w:t>
      </w:r>
      <w:r>
        <w:rPr>
          <w:rFonts w:ascii="Palatino Linotype" w:eastAsia="Palatino Linotype" w:hAnsi="Palatino Linotype" w:cs="Palatino Linotype"/>
          <w:sz w:val="24"/>
          <w:szCs w:val="24"/>
        </w:rPr>
        <w:t>ida, adquirida, transformada, administrada o en posesión de los Sujetos Obligados es pública y accesible de manera permanente a cualquier persona, privilegiando el principio de máxima publicidad, como así lo establece dicha determinación, que a continuació</w:t>
      </w:r>
      <w:r>
        <w:rPr>
          <w:rFonts w:ascii="Palatino Linotype" w:eastAsia="Palatino Linotype" w:hAnsi="Palatino Linotype" w:cs="Palatino Linotype"/>
          <w:sz w:val="24"/>
          <w:szCs w:val="24"/>
        </w:rPr>
        <w:t>n se transcribe para un mejor entendimiento:</w:t>
      </w:r>
    </w:p>
    <w:p w:rsidR="007B41FA" w:rsidRDefault="007B41FA">
      <w:pPr>
        <w:tabs>
          <w:tab w:val="left" w:pos="709"/>
        </w:tabs>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w:t>
      </w:r>
      <w:r>
        <w:rPr>
          <w:rFonts w:ascii="Palatino Linotype" w:eastAsia="Palatino Linotype" w:hAnsi="Palatino Linotype" w:cs="Palatino Linotype"/>
          <w:i/>
        </w:rPr>
        <w:t xml:space="preserve">ar personalidad ni interés jurídico. </w:t>
      </w:r>
    </w:p>
    <w:p w:rsidR="007B41FA" w:rsidRDefault="00330928">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w:t>
      </w:r>
      <w:r>
        <w:rPr>
          <w:rFonts w:ascii="Palatino Linotype" w:eastAsia="Palatino Linotype" w:hAnsi="Palatino Linotype" w:cs="Palatino Linotype"/>
          <w:i/>
        </w:rPr>
        <w:t xml:space="preserve"> establezcan en los tratados internacionales de los que el Estado mexicano sea parte, en la Ley General, la presente Ley y demás disposiciones de la materia, privilegiando el principio de máxima publicidad de la información. Solo podrá ser clasificada exce</w:t>
      </w:r>
      <w:r>
        <w:rPr>
          <w:rFonts w:ascii="Palatino Linotype" w:eastAsia="Palatino Linotype" w:hAnsi="Palatino Linotype" w:cs="Palatino Linotype"/>
          <w:i/>
        </w:rPr>
        <w:t>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B41FA" w:rsidRDefault="00330928">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rsidR="007B41FA" w:rsidRDefault="007B41FA">
      <w:pPr>
        <w:spacing w:after="0" w:line="360" w:lineRule="auto"/>
        <w:ind w:left="709" w:right="760"/>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lo anterior, se desprende</w:t>
      </w:r>
      <w:r>
        <w:rPr>
          <w:rFonts w:ascii="Palatino Linotype" w:eastAsia="Palatino Linotype" w:hAnsi="Palatino Linotype" w:cs="Palatino Linotype"/>
          <w:sz w:val="24"/>
          <w:szCs w:val="24"/>
        </w:rPr>
        <w:t xml:space="preserve"> que los Sujetos Obligados tienen el deber de atender las solicitudes de acceso a la información pública que se les hagan de su conocimiento y proporcionar la información pública que obre en su poder conforme el estado que se encuentra y no hacer un proces</w:t>
      </w:r>
      <w:r>
        <w:rPr>
          <w:rFonts w:ascii="Palatino Linotype" w:eastAsia="Palatino Linotype" w:hAnsi="Palatino Linotype" w:cs="Palatino Linotype"/>
          <w:sz w:val="24"/>
          <w:szCs w:val="24"/>
        </w:rPr>
        <w:t>amiento de la misma, ni presentarla conforme al interés del solicitante; como así lo establece el artículo 12 de la Ley de Transparencia y Acceso a la Información Pública del Estado de México y Municipios, el cual a la letra dice:</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7B41FA" w:rsidRDefault="007B41FA">
      <w:pPr>
        <w:spacing w:after="0" w:line="276" w:lineRule="auto"/>
        <w:ind w:left="567" w:right="760"/>
        <w:jc w:val="both"/>
        <w:rPr>
          <w:rFonts w:ascii="Palatino Linotype" w:eastAsia="Palatino Linotype" w:hAnsi="Palatino Linotype" w:cs="Palatino Linotype"/>
          <w:i/>
        </w:rPr>
      </w:pPr>
    </w:p>
    <w:p w:rsidR="007B41FA" w:rsidRDefault="00330928">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w:t>
      </w:r>
      <w:r>
        <w:rPr>
          <w:rFonts w:ascii="Palatino Linotype" w:eastAsia="Palatino Linotype" w:hAnsi="Palatino Linotype" w:cs="Palatino Linotype"/>
          <w:b/>
          <w:i/>
        </w:rPr>
        <w:t>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w:t>
      </w:r>
      <w:r>
        <w:rPr>
          <w:rFonts w:ascii="Palatino Linotype" w:eastAsia="Palatino Linotype" w:hAnsi="Palatino Linotype" w:cs="Palatino Linotype"/>
          <w:b/>
          <w:i/>
        </w:rPr>
        <w:t>nerarla, resumirla, efectuar cálculos o practicar investigaciones.” (Sic)</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w:t>
      </w:r>
      <w:r>
        <w:rPr>
          <w:rFonts w:ascii="Palatino Linotype" w:eastAsia="Palatino Linotype" w:hAnsi="Palatino Linotype" w:cs="Palatino Linotype"/>
          <w:sz w:val="24"/>
          <w:szCs w:val="24"/>
        </w:rPr>
        <w:t xml:space="preserve"> posean en el ejercicio de sus atribuciones; por consiguiente, la información pública se encuentra a disposición de cualquier persona, lo que implica que es deber de los Sujetos Obligados, garantizar el Derecho de Acceso a la Información Pública.</w:t>
      </w:r>
      <w:r>
        <w:rPr>
          <w:rFonts w:ascii="Palatino Linotype" w:eastAsia="Palatino Linotype" w:hAnsi="Palatino Linotype" w:cs="Palatino Linotype"/>
          <w:strike/>
          <w:sz w:val="24"/>
          <w:szCs w:val="24"/>
        </w:rPr>
        <w:t xml:space="preserve">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Siempre</w:t>
      </w:r>
      <w:r>
        <w:rPr>
          <w:rFonts w:ascii="Palatino Linotype" w:eastAsia="Palatino Linotype" w:hAnsi="Palatino Linotype" w:cs="Palatino Linotype"/>
          <w:sz w:val="24"/>
          <w:szCs w:val="24"/>
        </w:rPr>
        <w:t xml:space="preserve"> y cuando no se trate de información reservada o clasificada, que difundirla pondría en riesgo la seguridad jurídica y física del titular de la información, debiendo tener audacia los Sujetos Obligados para cuidar esta información a través del acuerdo clas</w:t>
      </w:r>
      <w:r>
        <w:rPr>
          <w:rFonts w:ascii="Palatino Linotype" w:eastAsia="Palatino Linotype" w:hAnsi="Palatino Linotype" w:cs="Palatino Linotype"/>
          <w:sz w:val="24"/>
          <w:szCs w:val="24"/>
        </w:rPr>
        <w:t>ificatorio del comité de transparencia y la versión pública que emita el servidor público habilitado de cada Sujeto Obligado; como así se establece en la Ley de Transparencia y Acceso a la Información Pública del Estado de México y Municipios.</w:t>
      </w:r>
    </w:p>
    <w:p w:rsidR="007B41FA" w:rsidRDefault="007B41FA">
      <w:pPr>
        <w:spacing w:after="0" w:line="360" w:lineRule="auto"/>
        <w:ind w:right="49"/>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w:t>
      </w:r>
      <w:r>
        <w:rPr>
          <w:rFonts w:ascii="Palatino Linotype" w:eastAsia="Palatino Linotype" w:hAnsi="Palatino Linotype" w:cs="Palatino Linotype"/>
          <w:sz w:val="24"/>
          <w:szCs w:val="24"/>
        </w:rPr>
        <w:t xml:space="preserve">rte, conviene mencionar que la Ley de Transparencia vigente en el Estado de México refiere: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w:t>
      </w:r>
      <w:r>
        <w:rPr>
          <w:rFonts w:ascii="Palatino Linotype" w:eastAsia="Palatino Linotype" w:hAnsi="Palatino Linotype" w:cs="Palatino Linotype"/>
          <w:b/>
          <w:i/>
          <w:u w:val="single"/>
        </w:rPr>
        <w:t>n la eventual publicidad</w:t>
      </w:r>
      <w:r>
        <w:rPr>
          <w:rFonts w:ascii="Palatino Linotype" w:eastAsia="Palatino Linotype" w:hAnsi="Palatino Linotype" w:cs="Palatino Linotype"/>
          <w:i/>
        </w:rPr>
        <w:t xml:space="preserve"> y reutilización de la información que generen.</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w:t>
      </w:r>
      <w:r>
        <w:rPr>
          <w:rFonts w:ascii="Palatino Linotype" w:eastAsia="Palatino Linotype" w:hAnsi="Palatino Linotype" w:cs="Palatino Linotype"/>
          <w:b/>
          <w:i/>
          <w:u w:val="single"/>
        </w:rPr>
        <w:t>dos</w:t>
      </w:r>
      <w:r>
        <w:rPr>
          <w:rFonts w:ascii="Palatino Linotype" w:eastAsia="Palatino Linotype" w:hAnsi="Palatino Linotype" w:cs="Palatino Linotype"/>
          <w:i/>
        </w:rPr>
        <w:t>.</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7B41FA" w:rsidRDefault="00330928">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w:t>
      </w:r>
      <w:r>
        <w:rPr>
          <w:rFonts w:ascii="Palatino Linotype" w:eastAsia="Palatino Linotype" w:hAnsi="Palatino Linotype" w:cs="Palatino Linotype"/>
          <w:i/>
        </w:rPr>
        <w:t>e las razones del por qué no obra en sus archivos.”</w:t>
      </w:r>
    </w:p>
    <w:p w:rsidR="007B41FA" w:rsidRDefault="007B41FA">
      <w:pPr>
        <w:spacing w:after="0" w:line="276" w:lineRule="auto"/>
        <w:ind w:left="851" w:right="851"/>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w:t>
      </w:r>
      <w:r>
        <w:rPr>
          <w:rFonts w:ascii="Palatino Linotype" w:eastAsia="Palatino Linotype" w:hAnsi="Palatino Linotype" w:cs="Palatino Linotype"/>
          <w:sz w:val="24"/>
          <w:szCs w:val="24"/>
        </w:rPr>
        <w:lastRenderedPageBreak/>
        <w:t>dar atención a una solicitud de infor</w:t>
      </w:r>
      <w:r>
        <w:rPr>
          <w:rFonts w:ascii="Palatino Linotype" w:eastAsia="Palatino Linotype" w:hAnsi="Palatino Linotype" w:cs="Palatino Linotype"/>
          <w:sz w:val="24"/>
          <w:szCs w:val="24"/>
        </w:rPr>
        <w:t>mación el Sujeto Obligado debe entregar el soporte documental en donde conste la información requerida, debiendo contemplar que no se trate de información reservada o confidencial, por lo que debe cuidar dicha información a través del acuerdo clasificatori</w:t>
      </w:r>
      <w:r>
        <w:rPr>
          <w:rFonts w:ascii="Palatino Linotype" w:eastAsia="Palatino Linotype" w:hAnsi="Palatino Linotype" w:cs="Palatino Linotype"/>
          <w:sz w:val="24"/>
          <w:szCs w:val="24"/>
        </w:rPr>
        <w:t>o del comité de transparencia y la versión pública que emita cada Sujeto Obligado; como así se establece en la Ley de Transparencia y Acceso a la Información Pública del Estado de México y Municipios.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conclusión, el derecho de acceso a la información p</w:t>
      </w:r>
      <w:r>
        <w:rPr>
          <w:rFonts w:ascii="Palatino Linotype" w:eastAsia="Palatino Linotype" w:hAnsi="Palatino Linotype" w:cs="Palatino Linotype"/>
          <w:sz w:val="24"/>
          <w:szCs w:val="24"/>
        </w:rPr>
        <w:t>ública, consiste en que la información solicitada conste en un documento en cualquiera de sus formas, a saber: expedientes, reportes, estudios, actas, resoluciones, oficios, correspondencia, acuerdos, directivas, directrices, circulares, contratos, conveni</w:t>
      </w:r>
      <w:r>
        <w:rPr>
          <w:rFonts w:ascii="Palatino Linotype" w:eastAsia="Palatino Linotype" w:hAnsi="Palatino Linotype" w:cs="Palatino Linotype"/>
          <w:sz w:val="24"/>
          <w:szCs w:val="24"/>
        </w:rPr>
        <w:t>os, instructivos, notas, memorandos, estadísticas o bien, cualquier otro registro que documente el ejercicio de las facultades, funciones y competencias de los Sujetos Obligados; los que, podrán estar en cualquier medio, sea escrito, impreso, sonoro, visua</w:t>
      </w:r>
      <w:r>
        <w:rPr>
          <w:rFonts w:ascii="Palatino Linotype" w:eastAsia="Palatino Linotype" w:hAnsi="Palatino Linotype" w:cs="Palatino Linotype"/>
          <w:sz w:val="24"/>
          <w:szCs w:val="24"/>
        </w:rPr>
        <w:t xml:space="preserve">l, electrónico, informático u holográfico de conformidad con el artículo 3, fracción XI de la Ley de la materia, el cual señala lo siguiente: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w:t>
      </w:r>
      <w:r>
        <w:rPr>
          <w:rFonts w:ascii="Palatino Linotype" w:eastAsia="Palatino Linotype" w:hAnsi="Palatino Linotype" w:cs="Palatino Linotype"/>
          <w:i/>
        </w:rPr>
        <w:t xml:space="preserve">io de las facultades, funciones y competencias de los sujetos obligados, sus servidores públicos e integrantes, sin importar su fuente </w:t>
      </w:r>
      <w:r>
        <w:rPr>
          <w:rFonts w:ascii="Palatino Linotype" w:eastAsia="Palatino Linotype" w:hAnsi="Palatino Linotype" w:cs="Palatino Linotype"/>
          <w:i/>
        </w:rPr>
        <w:lastRenderedPageBreak/>
        <w:t>o fecha de elaboración. Los documentos podrán estar en cualquier medio, sea escrito, impreso, sonoro, visual, electrónico</w:t>
      </w:r>
      <w:r>
        <w:rPr>
          <w:rFonts w:ascii="Palatino Linotype" w:eastAsia="Palatino Linotype" w:hAnsi="Palatino Linotype" w:cs="Palatino Linotype"/>
          <w:i/>
        </w:rPr>
        <w:t>, informático u holográfico…” (Sic)</w:t>
      </w:r>
    </w:p>
    <w:p w:rsidR="007B41FA" w:rsidRDefault="007B41FA">
      <w:pPr>
        <w:spacing w:after="0" w:line="360" w:lineRule="auto"/>
        <w:ind w:left="851" w:right="899"/>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w:t>
      </w:r>
      <w:r>
        <w:rPr>
          <w:rFonts w:ascii="Palatino Linotype" w:eastAsia="Palatino Linotype" w:hAnsi="Palatino Linotype" w:cs="Palatino Linotype"/>
          <w:sz w:val="24"/>
          <w:szCs w:val="24"/>
        </w:rPr>
        <w:t>; publicado en el Periódico Oficial del Gobierno del Estado Libre y Soberano de México “Gaceta del Gobierno”, el diecinueve de octubre de dos mil once, cuyo rubro y texto refieren lo siguiente:</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w:t>
      </w:r>
      <w:r>
        <w:rPr>
          <w:rFonts w:ascii="Palatino Linotype" w:eastAsia="Palatino Linotype" w:hAnsi="Palatino Linotype" w:cs="Palatino Linotype"/>
          <w:b/>
          <w:i/>
        </w:rPr>
        <w:t>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w:t>
      </w:r>
      <w:r>
        <w:rPr>
          <w:rFonts w:ascii="Palatino Linotype" w:eastAsia="Palatino Linotype" w:hAnsi="Palatino Linotype" w:cs="Palatino Linotype"/>
          <w:i/>
        </w:rPr>
        <w:t>al, el acceso a los archivos, registros y documentos públicos, administrados, generados o en posesión de los órganos u organismos públicos, en virtud del ejercicio de sus funciones de derecho público, sin importar su fuente, soporte o fecha de elaboración.</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1) Que se trate de información registrada en cualquier soporte documental, que en ejercicio de las atribuciones conferidas, sea generada po</w:t>
      </w:r>
      <w:r>
        <w:rPr>
          <w:rFonts w:ascii="Palatino Linotype" w:eastAsia="Palatino Linotype" w:hAnsi="Palatino Linotype" w:cs="Palatino Linotype"/>
          <w:i/>
        </w:rPr>
        <w:t>r los Sujetos Obligados;</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w:t>
      </w:r>
      <w:r>
        <w:rPr>
          <w:rFonts w:ascii="Palatino Linotype" w:eastAsia="Palatino Linotype" w:hAnsi="Palatino Linotype" w:cs="Palatino Linotype"/>
          <w:i/>
        </w:rPr>
        <w:t xml:space="preserve">e documental, que en ejercicio de las atribuciones conferidas, se encuentre en posesión de los Sujetos Obligados.” </w:t>
      </w:r>
    </w:p>
    <w:p w:rsidR="007B41FA" w:rsidRDefault="007B41FA">
      <w:pPr>
        <w:spacing w:after="0" w:line="276" w:lineRule="auto"/>
        <w:ind w:left="851" w:right="899"/>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ahí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w:t>
      </w:r>
      <w:r>
        <w:rPr>
          <w:rFonts w:ascii="Palatino Linotype" w:eastAsia="Palatino Linotype" w:hAnsi="Palatino Linotype" w:cs="Palatino Linotype"/>
          <w:sz w:val="24"/>
          <w:szCs w:val="24"/>
        </w:rPr>
        <w:t>r la información pública que obre en sus archivos pudiendo ser de manera electrónica; más aún si la misma se trata de información relativa a obligaciones de transparencia, la cual se relaciona con aquella que se genere de acuerdo con sus facultades, atribu</w:t>
      </w:r>
      <w:r>
        <w:rPr>
          <w:rFonts w:ascii="Palatino Linotype" w:eastAsia="Palatino Linotype" w:hAnsi="Palatino Linotype" w:cs="Palatino Linotype"/>
          <w:sz w:val="24"/>
          <w:szCs w:val="24"/>
        </w:rPr>
        <w:t>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w:t>
      </w:r>
      <w:r>
        <w:rPr>
          <w:rFonts w:ascii="Palatino Linotype" w:eastAsia="Palatino Linotype" w:hAnsi="Palatino Linotype" w:cs="Palatino Linotype"/>
          <w:sz w:val="24"/>
          <w:szCs w:val="24"/>
        </w:rPr>
        <w:t>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rsidR="007B41FA" w:rsidRDefault="007B41FA">
      <w:pPr>
        <w:spacing w:after="0" w:line="360" w:lineRule="auto"/>
        <w:ind w:right="51"/>
        <w:jc w:val="both"/>
        <w:rPr>
          <w:rFonts w:ascii="Palatino Linotype" w:eastAsia="Palatino Linotype" w:hAnsi="Palatino Linotype" w:cs="Palatino Linotype"/>
          <w:sz w:val="24"/>
          <w:szCs w:val="24"/>
        </w:rPr>
      </w:pPr>
    </w:p>
    <w:p w:rsidR="007B41FA" w:rsidRDefault="00330928">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del análisis de la solicitud de información motiv</w:t>
      </w:r>
      <w:r>
        <w:rPr>
          <w:rFonts w:ascii="Palatino Linotype" w:eastAsia="Palatino Linotype" w:hAnsi="Palatino Linotype" w:cs="Palatino Linotype"/>
          <w:sz w:val="24"/>
          <w:szCs w:val="24"/>
        </w:rPr>
        <w:t xml:space="preserve">o del recurso de revisión que ahora se resuelven, se advierte que la persona solicitante requirió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le proporcione, lo siguiente:</w:t>
      </w:r>
    </w:p>
    <w:p w:rsidR="007B41FA" w:rsidRDefault="007B41FA">
      <w:pPr>
        <w:spacing w:after="0" w:line="360" w:lineRule="auto"/>
        <w:ind w:right="902"/>
        <w:jc w:val="both"/>
        <w:rPr>
          <w:rFonts w:ascii="Palatino Linotype" w:eastAsia="Palatino Linotype" w:hAnsi="Palatino Linotype" w:cs="Palatino Linotype"/>
          <w:color w:val="000000"/>
          <w:sz w:val="24"/>
          <w:szCs w:val="24"/>
        </w:rPr>
      </w:pPr>
    </w:p>
    <w:p w:rsidR="007B41FA" w:rsidRDefault="00330928">
      <w:pPr>
        <w:numPr>
          <w:ilvl w:val="0"/>
          <w:numId w:val="1"/>
        </w:numPr>
        <w:pBdr>
          <w:top w:val="nil"/>
          <w:left w:val="nil"/>
          <w:bottom w:val="nil"/>
          <w:right w:val="nil"/>
          <w:between w:val="nil"/>
        </w:pBdr>
        <w:spacing w:after="0" w:line="360" w:lineRule="auto"/>
        <w:ind w:right="902"/>
        <w:jc w:val="both"/>
        <w:rPr>
          <w:color w:val="000000"/>
          <w:sz w:val="24"/>
          <w:szCs w:val="24"/>
        </w:rPr>
      </w:pPr>
      <w:r>
        <w:rPr>
          <w:rFonts w:ascii="Palatino Linotype" w:eastAsia="Palatino Linotype" w:hAnsi="Palatino Linotype" w:cs="Palatino Linotype"/>
          <w:color w:val="000000"/>
          <w:sz w:val="24"/>
          <w:szCs w:val="24"/>
        </w:rPr>
        <w:t>El costo por día de la feria de Tlalmanalco.</w:t>
      </w:r>
    </w:p>
    <w:p w:rsidR="007B41FA" w:rsidRDefault="00330928">
      <w:pPr>
        <w:numPr>
          <w:ilvl w:val="0"/>
          <w:numId w:val="1"/>
        </w:numPr>
        <w:pBdr>
          <w:top w:val="nil"/>
          <w:left w:val="nil"/>
          <w:bottom w:val="nil"/>
          <w:right w:val="nil"/>
          <w:between w:val="nil"/>
        </w:pBdr>
        <w:spacing w:after="0" w:line="360" w:lineRule="auto"/>
        <w:ind w:right="902"/>
        <w:jc w:val="both"/>
        <w:rPr>
          <w:color w:val="000000"/>
          <w:sz w:val="24"/>
          <w:szCs w:val="24"/>
        </w:rPr>
      </w:pPr>
      <w:r>
        <w:rPr>
          <w:rFonts w:ascii="Palatino Linotype" w:eastAsia="Palatino Linotype" w:hAnsi="Palatino Linotype" w:cs="Palatino Linotype"/>
          <w:color w:val="000000"/>
          <w:sz w:val="24"/>
          <w:szCs w:val="24"/>
        </w:rPr>
        <w:lastRenderedPageBreak/>
        <w:t>El pago que se le hizo a cada agrupación musical que aparece en el cartel de la feria.</w:t>
      </w:r>
    </w:p>
    <w:p w:rsidR="007B41FA" w:rsidRDefault="00330928">
      <w:pPr>
        <w:numPr>
          <w:ilvl w:val="0"/>
          <w:numId w:val="1"/>
        </w:numPr>
        <w:pBdr>
          <w:top w:val="nil"/>
          <w:left w:val="nil"/>
          <w:bottom w:val="nil"/>
          <w:right w:val="nil"/>
          <w:between w:val="nil"/>
        </w:pBdr>
        <w:spacing w:after="0" w:line="360" w:lineRule="auto"/>
        <w:ind w:right="902"/>
        <w:jc w:val="both"/>
        <w:rPr>
          <w:color w:val="000000"/>
          <w:sz w:val="24"/>
          <w:szCs w:val="24"/>
        </w:rPr>
      </w:pPr>
      <w:r>
        <w:rPr>
          <w:rFonts w:ascii="Palatino Linotype" w:eastAsia="Palatino Linotype" w:hAnsi="Palatino Linotype" w:cs="Palatino Linotype"/>
          <w:color w:val="000000"/>
          <w:sz w:val="24"/>
          <w:szCs w:val="24"/>
        </w:rPr>
        <w:t>Lo recaudado en la feria.</w:t>
      </w:r>
    </w:p>
    <w:p w:rsidR="007B41FA" w:rsidRDefault="00330928">
      <w:pPr>
        <w:numPr>
          <w:ilvl w:val="0"/>
          <w:numId w:val="1"/>
        </w:numPr>
        <w:pBdr>
          <w:top w:val="nil"/>
          <w:left w:val="nil"/>
          <w:bottom w:val="nil"/>
          <w:right w:val="nil"/>
          <w:between w:val="nil"/>
        </w:pBdr>
        <w:spacing w:after="0" w:line="360" w:lineRule="auto"/>
        <w:ind w:right="902"/>
        <w:jc w:val="both"/>
        <w:rPr>
          <w:color w:val="000000"/>
          <w:sz w:val="24"/>
          <w:szCs w:val="24"/>
        </w:rPr>
      </w:pPr>
      <w:r>
        <w:rPr>
          <w:rFonts w:ascii="Palatino Linotype" w:eastAsia="Palatino Linotype" w:hAnsi="Palatino Linotype" w:cs="Palatino Linotype"/>
          <w:color w:val="000000"/>
          <w:sz w:val="24"/>
          <w:szCs w:val="24"/>
        </w:rPr>
        <w:t>El diario de egresos e ingresos del mes de mayo junio y julio.</w:t>
      </w:r>
    </w:p>
    <w:p w:rsidR="007B41FA" w:rsidRDefault="00330928">
      <w:pPr>
        <w:numPr>
          <w:ilvl w:val="0"/>
          <w:numId w:val="1"/>
        </w:numPr>
        <w:pBdr>
          <w:top w:val="nil"/>
          <w:left w:val="nil"/>
          <w:bottom w:val="nil"/>
          <w:right w:val="nil"/>
          <w:between w:val="nil"/>
        </w:pBdr>
        <w:spacing w:after="0" w:line="360" w:lineRule="auto"/>
        <w:ind w:right="902"/>
        <w:jc w:val="both"/>
        <w:rPr>
          <w:color w:val="000000"/>
          <w:sz w:val="24"/>
          <w:szCs w:val="24"/>
        </w:rPr>
      </w:pPr>
      <w:r>
        <w:rPr>
          <w:rFonts w:ascii="Palatino Linotype" w:eastAsia="Palatino Linotype" w:hAnsi="Palatino Linotype" w:cs="Palatino Linotype"/>
          <w:color w:val="000000"/>
          <w:sz w:val="24"/>
          <w:szCs w:val="24"/>
        </w:rPr>
        <w:t>Opinión de los regidores de los partidos de oposición sobre la misma</w:t>
      </w:r>
    </w:p>
    <w:p w:rsidR="007B41FA" w:rsidRDefault="007B41FA">
      <w:pPr>
        <w:spacing w:line="360" w:lineRule="auto"/>
        <w:jc w:val="both"/>
        <w:rPr>
          <w:rFonts w:ascii="Palatino Linotype" w:eastAsia="Palatino Linotype" w:hAnsi="Palatino Linotype" w:cs="Palatino Linotype"/>
          <w:sz w:val="24"/>
          <w:szCs w:val="24"/>
        </w:rPr>
      </w:pPr>
    </w:p>
    <w:p w:rsidR="007B41FA" w:rsidRDefault="0033092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respues</w:t>
      </w:r>
      <w:r>
        <w:rPr>
          <w:rFonts w:ascii="Palatino Linotype" w:eastAsia="Palatino Linotype" w:hAnsi="Palatino Linotype" w:cs="Palatino Linotype"/>
          <w:color w:val="000000"/>
          <w:sz w:val="24"/>
          <w:szCs w:val="24"/>
        </w:rPr>
        <w:t xml:space="preserve">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por conducto del </w:t>
      </w:r>
      <w:r>
        <w:rPr>
          <w:rFonts w:ascii="Palatino Linotype" w:eastAsia="Palatino Linotype" w:hAnsi="Palatino Linotype" w:cs="Palatino Linotype"/>
          <w:sz w:val="24"/>
          <w:szCs w:val="24"/>
        </w:rPr>
        <w:t>Encargado de Despacho de la Tesorería Municipal, el cual menciona que no genera información de costo por día de la feria de Tlalmanalco, que no se generan diarios de egresos.</w:t>
      </w: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pago de las agrupaciones musicales son</w:t>
      </w:r>
      <w:r>
        <w:rPr>
          <w:rFonts w:ascii="Palatino Linotype" w:eastAsia="Palatino Linotype" w:hAnsi="Palatino Linotype" w:cs="Palatino Linotype"/>
          <w:sz w:val="24"/>
          <w:szCs w:val="24"/>
        </w:rPr>
        <w:t xml:space="preserve"> las siguientes:</w:t>
      </w:r>
    </w:p>
    <w:p w:rsidR="007B41FA" w:rsidRDefault="007B41FA">
      <w:pPr>
        <w:rPr>
          <w:rFonts w:ascii="Palatino Linotype" w:eastAsia="Palatino Linotype" w:hAnsi="Palatino Linotype" w:cs="Palatino Linotype"/>
          <w:sz w:val="24"/>
          <w:szCs w:val="24"/>
        </w:rPr>
      </w:pP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 de mayo – Aarón y su grupo ilusión………….. $160,000.00</w:t>
      </w: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 de mayo – Cuponcito…………………………… $190,000.00</w:t>
      </w: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 de mayo – Mad Fuentes, Michel G y Malilla…. $80,000.00</w:t>
      </w:r>
    </w:p>
    <w:p w:rsidR="007B41FA" w:rsidRDefault="00330928">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 de mayo – Mariachi Gama 1000………………. $170,000.00</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Remito el diario de ingres</w:t>
      </w:r>
      <w:r>
        <w:rPr>
          <w:rFonts w:ascii="Palatino Linotype" w:eastAsia="Palatino Linotype" w:hAnsi="Palatino Linotype" w:cs="Palatino Linotype"/>
          <w:sz w:val="24"/>
          <w:szCs w:val="24"/>
        </w:rPr>
        <w:t>os del mes de mayo, junio y julio.</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del oficio en donde el quinto, sexto y séptimo regidor mencionan que se reservan a emitir opinión.</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Conocida la respuesta por el particular, al no estar conforme con los términos de la misma, presentó el recurso d</w:t>
      </w:r>
      <w:r>
        <w:rPr>
          <w:rFonts w:ascii="Palatino Linotype" w:eastAsia="Palatino Linotype" w:hAnsi="Palatino Linotype" w:cs="Palatino Linotype"/>
          <w:sz w:val="24"/>
          <w:szCs w:val="24"/>
        </w:rPr>
        <w:t>e revisión que nos ocupa, mediante el cual señaló como motivo de inconformidad en lo medular porque no muestran todos los artistas falta, no se envía el diario de egresos y que los diario de ingresos no dan certeza de la información debido a que no trae se</w:t>
      </w:r>
      <w:r>
        <w:rPr>
          <w:rFonts w:ascii="Palatino Linotype" w:eastAsia="Palatino Linotype" w:hAnsi="Palatino Linotype" w:cs="Palatino Linotype"/>
          <w:sz w:val="24"/>
          <w:szCs w:val="24"/>
        </w:rPr>
        <w:t>llos ni firmas.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Cabe resaltar que durante la etapa de manifestaciones</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fue omisa de rendir alegatos, por lo que respecta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ratifica su respuesta inicial, señalando por conducto de la Tesorería Municipal y de la Dirección de Administración que </w:t>
      </w:r>
      <w:r>
        <w:rPr>
          <w:rFonts w:ascii="Palatino Linotype" w:eastAsia="Palatino Linotype" w:hAnsi="Palatino Linotype" w:cs="Palatino Linotype"/>
          <w:sz w:val="24"/>
          <w:szCs w:val="24"/>
        </w:rPr>
        <w:t xml:space="preserve">no genero información por dichos artistas debido a que no siempre se paga por el municipio, ya que el gasto lo hizo un tercero, además </w:t>
      </w:r>
      <w:r>
        <w:rPr>
          <w:rFonts w:ascii="Palatino Linotype" w:eastAsia="Palatino Linotype" w:hAnsi="Palatino Linotype" w:cs="Palatino Linotype"/>
          <w:sz w:val="24"/>
          <w:szCs w:val="24"/>
        </w:rPr>
        <w:t>que tampoco se genera un formato con nombre de diario de egresos, también informa que en el formato del diario de ingresos es generado de forma automática por el Sistema Integral de Administración Tributaria Municipal, el cual está alineado y opera de acue</w:t>
      </w:r>
      <w:r>
        <w:rPr>
          <w:rFonts w:ascii="Palatino Linotype" w:eastAsia="Palatino Linotype" w:hAnsi="Palatino Linotype" w:cs="Palatino Linotype"/>
          <w:sz w:val="24"/>
          <w:szCs w:val="24"/>
        </w:rPr>
        <w:t>rdo a la Ley de Ingresos de los Municipios del Estado de México, al Código Financiero del Estado de México y Municipios y al Manual Único de Contabilidad Gubernamental vigente.</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Por lo que respecta a los motivos de inconformidad, se advierte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sólo se inconforma, porque no se</w:t>
      </w:r>
      <w:r>
        <w:rPr>
          <w:sz w:val="24"/>
          <w:szCs w:val="24"/>
        </w:rPr>
        <w:t xml:space="preserve"> </w:t>
      </w:r>
      <w:r>
        <w:rPr>
          <w:rFonts w:ascii="Palatino Linotype" w:eastAsia="Palatino Linotype" w:hAnsi="Palatino Linotype" w:cs="Palatino Linotype"/>
          <w:color w:val="000000"/>
          <w:sz w:val="24"/>
          <w:szCs w:val="24"/>
        </w:rPr>
        <w:t xml:space="preserve">le proporcionan todos los artistas, no se envía el diario de egresos y que los diario de ingresos no dan certeza de la información debido a que no trae sellos ni firmas, por lo que la parte de la respuesta que </w:t>
      </w:r>
      <w:r>
        <w:rPr>
          <w:rFonts w:ascii="Palatino Linotype" w:eastAsia="Palatino Linotype" w:hAnsi="Palatino Linotype" w:cs="Palatino Linotype"/>
          <w:color w:val="000000"/>
          <w:sz w:val="24"/>
          <w:szCs w:val="24"/>
        </w:rPr>
        <w:t>no fue impugnada es decir</w:t>
      </w:r>
      <w:r>
        <w:rPr>
          <w:rFonts w:ascii="Palatino Linotype" w:eastAsia="Palatino Linotype" w:hAnsi="Palatino Linotype" w:cs="Palatino Linotype"/>
          <w:sz w:val="24"/>
          <w:szCs w:val="24"/>
        </w:rPr>
        <w:t xml:space="preserve">, el costo por día de la feria, el pago efectuado a los </w:t>
      </w:r>
      <w:r>
        <w:rPr>
          <w:rFonts w:ascii="Palatino Linotype" w:eastAsia="Palatino Linotype" w:hAnsi="Palatino Linotype" w:cs="Palatino Linotype"/>
          <w:sz w:val="24"/>
          <w:szCs w:val="24"/>
        </w:rPr>
        <w:lastRenderedPageBreak/>
        <w:t>artistas referidos en la respuesta, lo recaudado en la feria y el diario de ingresos del mes de mayo junio y julio,</w:t>
      </w:r>
      <w:r>
        <w:rPr>
          <w:rFonts w:ascii="Palatino Linotype" w:eastAsia="Palatino Linotype" w:hAnsi="Palatino Linotype" w:cs="Palatino Linotype"/>
          <w:color w:val="000000"/>
          <w:sz w:val="24"/>
          <w:szCs w:val="24"/>
        </w:rPr>
        <w:t xml:space="preserve"> debe declararse consentida por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razón de que no se realizaron manifestaciones de inconformidad en dicho punto de la respuesta por lo que no pueden producirse efectos jurídicos tendentes a revocar, confirmar o modificar el acto reclamado ya que se infiere un consentimiento de </w:t>
      </w:r>
      <w:r>
        <w:rPr>
          <w:rFonts w:ascii="Palatino Linotype" w:eastAsia="Palatino Linotype" w:hAnsi="Palatino Linotype" w:cs="Palatino Linotype"/>
          <w:b/>
          <w:color w:val="000000"/>
          <w:sz w:val="24"/>
          <w:szCs w:val="24"/>
        </w:rPr>
        <w:t>LA PART</w:t>
      </w:r>
      <w:r>
        <w:rPr>
          <w:rFonts w:ascii="Palatino Linotype" w:eastAsia="Palatino Linotype" w:hAnsi="Palatino Linotype" w:cs="Palatino Linotype"/>
          <w:b/>
          <w:color w:val="000000"/>
          <w:sz w:val="24"/>
          <w:szCs w:val="24"/>
        </w:rPr>
        <w:t>E RECURRENTE</w:t>
      </w:r>
      <w:r>
        <w:rPr>
          <w:rFonts w:ascii="Palatino Linotype" w:eastAsia="Palatino Linotype" w:hAnsi="Palatino Linotype" w:cs="Palatino Linotype"/>
          <w:color w:val="000000"/>
          <w:sz w:val="24"/>
          <w:szCs w:val="24"/>
        </w:rPr>
        <w:t xml:space="preserve"> ante la falta de impugnación eficaz.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w:t>
      </w:r>
      <w:r>
        <w:rPr>
          <w:rFonts w:ascii="Palatino Linotype" w:eastAsia="Palatino Linotype" w:hAnsi="Palatino Linotype" w:cs="Palatino Linotype"/>
          <w:color w:val="000000"/>
          <w:sz w:val="24"/>
          <w:szCs w:val="24"/>
        </w:rPr>
        <w:t>tra dice:</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hd w:val="clear" w:color="auto" w:fill="FFFFFF"/>
        <w:spacing w:after="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ACTOS CONSENTIDOS. SON LOS QUE NO SE IMPUGNAN MEDIANTE EL RECURSO IDÓNEO</w:t>
      </w:r>
      <w:r>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w:t>
      </w:r>
      <w:r>
        <w:rPr>
          <w:rFonts w:ascii="Palatino Linotype" w:eastAsia="Palatino Linotype" w:hAnsi="Palatino Linotype" w:cs="Palatino Linotype"/>
          <w:i/>
          <w:color w:val="000000"/>
        </w:rPr>
        <w:t>anifestación de inconformidad, tales actuaciones no producen efectos jurídicos tendientes a revocar, confirmar o modificar el acto reclamado en amparo, lo que significa consentimiento del mismo por falta de impugnación eficaz.”</w:t>
      </w:r>
    </w:p>
    <w:p w:rsidR="007B41FA" w:rsidRDefault="007B41FA">
      <w:pPr>
        <w:shd w:val="clear" w:color="auto" w:fill="FFFFFF"/>
        <w:spacing w:after="0" w:line="276" w:lineRule="auto"/>
        <w:ind w:left="851" w:right="902"/>
        <w:jc w:val="both"/>
        <w:rPr>
          <w:rFonts w:ascii="Palatino Linotype" w:eastAsia="Palatino Linotype" w:hAnsi="Palatino Linotype" w:cs="Palatino Linotype"/>
          <w:color w:val="000000"/>
          <w:sz w:val="24"/>
          <w:szCs w:val="24"/>
        </w:rPr>
      </w:pPr>
    </w:p>
    <w:p w:rsidR="007B41FA" w:rsidRDefault="00330928">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es así, debido </w:t>
      </w:r>
      <w:r>
        <w:rPr>
          <w:rFonts w:ascii="Palatino Linotype" w:eastAsia="Palatino Linotype" w:hAnsi="Palatino Linotype" w:cs="Palatino Linotype"/>
          <w:color w:val="000000"/>
          <w:sz w:val="24"/>
          <w:szCs w:val="24"/>
        </w:rPr>
        <w:t xml:space="preserve">a que, cuando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impugnó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está conforme co</w:t>
      </w:r>
      <w:r>
        <w:rPr>
          <w:rFonts w:ascii="Palatino Linotype" w:eastAsia="Palatino Linotype" w:hAnsi="Palatino Linotype" w:cs="Palatino Linotype"/>
          <w:color w:val="000000"/>
          <w:sz w:val="24"/>
          <w:szCs w:val="24"/>
        </w:rPr>
        <w:t>n la información al no contravenir la misma.</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Sirve como apoyo a lo anterior, por analogía, la Tesis Jurisprudencial Número 3ª./J.7/91, Publicada en el Semanario Judicial de la Federación y su Gaceta bajo el número de registro 174,177, que establece lo sig</w:t>
      </w:r>
      <w:r>
        <w:rPr>
          <w:rFonts w:ascii="Palatino Linotype" w:eastAsia="Palatino Linotype" w:hAnsi="Palatino Linotype" w:cs="Palatino Linotype"/>
          <w:color w:val="000000"/>
          <w:sz w:val="24"/>
          <w:szCs w:val="24"/>
        </w:rPr>
        <w:t>uiente:</w:t>
      </w:r>
    </w:p>
    <w:p w:rsidR="007B41FA" w:rsidRDefault="007B41FA">
      <w:pPr>
        <w:spacing w:line="360" w:lineRule="auto"/>
        <w:ind w:right="49"/>
        <w:jc w:val="both"/>
        <w:rPr>
          <w:rFonts w:ascii="Palatino Linotype" w:eastAsia="Palatino Linotype" w:hAnsi="Palatino Linotype" w:cs="Palatino Linotype"/>
          <w:color w:val="000000"/>
          <w:sz w:val="24"/>
          <w:szCs w:val="24"/>
        </w:rPr>
      </w:pPr>
    </w:p>
    <w:p w:rsidR="007B41FA" w:rsidRDefault="00330928">
      <w:pPr>
        <w:spacing w:after="0" w:line="276" w:lineRule="auto"/>
        <w:ind w:left="1077" w:right="91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“REVISIÓN EN AMPARO. LOS RESOLUTIVOS NO COMBATIDOS DEBEN DECLARARSE FIRMES. </w:t>
      </w:r>
      <w:r>
        <w:rPr>
          <w:rFonts w:ascii="Palatino Linotype" w:eastAsia="Palatino Linotype" w:hAnsi="Palatino Linotype" w:cs="Palatino Linotype"/>
          <w:i/>
          <w:color w:val="000000"/>
        </w:rPr>
        <w:t xml:space="preserve">Cuando algún resolutivo de la sentencia impugnada afecta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y ésta no expresa agravio en contra de las consideraciones que le sirven de base, dicho resolutiv</w:t>
      </w:r>
      <w:r>
        <w:rPr>
          <w:rFonts w:ascii="Palatino Linotype" w:eastAsia="Palatino Linotype" w:hAnsi="Palatino Linotype" w:cs="Palatino Linotype"/>
          <w:i/>
          <w:color w:val="000000"/>
        </w:rPr>
        <w:t xml:space="preserve">o debe declararse firme. Esto es, en el caso referido, no obstante que la materia de la revisión comprende a todos los resolutivos que afectan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deben declararse firmes aquéllos en contra de los cuales no se formuló agravio y dicha declaraci</w:t>
      </w:r>
      <w:r>
        <w:rPr>
          <w:rFonts w:ascii="Palatino Linotype" w:eastAsia="Palatino Linotype" w:hAnsi="Palatino Linotype" w:cs="Palatino Linotype"/>
          <w:i/>
          <w:color w:val="000000"/>
        </w:rPr>
        <w:t>ón de firmeza debe reflejarse en la parte considerativa y en los resolutivos debe confirmarse la sentencia recurrida en la parte correspondiente.”</w:t>
      </w:r>
    </w:p>
    <w:p w:rsidR="007B41FA" w:rsidRDefault="007B41FA">
      <w:pPr>
        <w:spacing w:after="0" w:line="276" w:lineRule="auto"/>
        <w:ind w:left="1077" w:right="919"/>
        <w:jc w:val="both"/>
        <w:rPr>
          <w:rFonts w:ascii="Palatino Linotype" w:eastAsia="Palatino Linotype" w:hAnsi="Palatino Linotype" w:cs="Palatino Linotype"/>
          <w:color w:val="000000"/>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Aclarado lo anterior</w:t>
      </w:r>
      <w:r>
        <w:rPr>
          <w:rFonts w:ascii="Palatino Linotype" w:eastAsia="Palatino Linotype" w:hAnsi="Palatino Linotype" w:cs="Palatino Linotype"/>
          <w:color w:val="000000"/>
          <w:sz w:val="24"/>
          <w:szCs w:val="24"/>
        </w:rPr>
        <w:t xml:space="preserve">, de esta manera, se procede al análisis de la respuesta proporcionada por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w:t>
      </w:r>
      <w:r>
        <w:rPr>
          <w:rFonts w:ascii="Palatino Linotype" w:eastAsia="Palatino Linotype" w:hAnsi="Palatino Linotype" w:cs="Palatino Linotype"/>
          <w:b/>
          <w:color w:val="000000"/>
          <w:sz w:val="24"/>
          <w:szCs w:val="24"/>
        </w:rPr>
        <w:t>IGADO</w:t>
      </w:r>
      <w:r>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o en su defecto ordenar la entrega del o los documentos que lo satisfagan.</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Resulta oportuno referir que, si bien, la Titular de la Unidad de Transparencia es el encargado de dar atención a las solicitudes de información con fundamento en los artículos 50 y 53 fracciones II, V y VI  de la Ley de Transparencia y Acceso a la Informa</w:t>
      </w:r>
      <w:r>
        <w:rPr>
          <w:rFonts w:ascii="Palatino Linotype" w:eastAsia="Palatino Linotype" w:hAnsi="Palatino Linotype" w:cs="Palatino Linotype"/>
          <w:sz w:val="24"/>
          <w:szCs w:val="24"/>
        </w:rPr>
        <w:t xml:space="preserve">ción Pública del Estado de México y Municipios, también lo es que, dentro de sus propias funciones se encuentra la de </w:t>
      </w:r>
      <w:r>
        <w:rPr>
          <w:rFonts w:ascii="Palatino Linotype" w:eastAsia="Palatino Linotype" w:hAnsi="Palatino Linotype" w:cs="Palatino Linotype"/>
          <w:b/>
          <w:sz w:val="24"/>
          <w:szCs w:val="24"/>
        </w:rPr>
        <w:t xml:space="preserve">tramitar ante las Áreas poseedoras de </w:t>
      </w:r>
      <w:r>
        <w:rPr>
          <w:rFonts w:ascii="Palatino Linotype" w:eastAsia="Palatino Linotype" w:hAnsi="Palatino Linotype" w:cs="Palatino Linotype"/>
          <w:b/>
          <w:sz w:val="24"/>
          <w:szCs w:val="24"/>
        </w:rPr>
        <w:lastRenderedPageBreak/>
        <w:t>la información lo que se solicita</w:t>
      </w:r>
      <w:r>
        <w:rPr>
          <w:rFonts w:ascii="Palatino Linotype" w:eastAsia="Palatino Linotype" w:hAnsi="Palatino Linotype" w:cs="Palatino Linotype"/>
          <w:sz w:val="24"/>
          <w:szCs w:val="24"/>
        </w:rPr>
        <w:t>, a efecto de entregarla al solicitante, de acuerdo a la forma en q</w:t>
      </w:r>
      <w:r>
        <w:rPr>
          <w:rFonts w:ascii="Palatino Linotype" w:eastAsia="Palatino Linotype" w:hAnsi="Palatino Linotype" w:cs="Palatino Linotype"/>
          <w:sz w:val="24"/>
          <w:szCs w:val="24"/>
        </w:rPr>
        <w:t>ue la Unidad Administrativa correspondiente, la genere, recopile, administre, maneje, procese, archive o conserve, esto de conformidad con los artículos 51 y 53 fracción IV de la Ley en cita, que refieren:</w:t>
      </w:r>
    </w:p>
    <w:p w:rsidR="007B41FA" w:rsidRDefault="007B41FA">
      <w:pPr>
        <w:tabs>
          <w:tab w:val="left" w:pos="709"/>
        </w:tabs>
        <w:ind w:left="851" w:right="760"/>
        <w:jc w:val="both"/>
        <w:rPr>
          <w:rFonts w:ascii="Palatino Linotype" w:eastAsia="Palatino Linotype" w:hAnsi="Palatino Linotype" w:cs="Palatino Linotype"/>
          <w:sz w:val="24"/>
          <w:szCs w:val="24"/>
        </w:rPr>
      </w:pPr>
    </w:p>
    <w:p w:rsidR="007B41FA" w:rsidRDefault="00330928">
      <w:pPr>
        <w:tabs>
          <w:tab w:val="left" w:pos="709"/>
        </w:tabs>
        <w:spacing w:after="0" w:line="276" w:lineRule="auto"/>
        <w:ind w:left="851" w:right="760"/>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rPr>
        <w:t>“Ley de Transparencia y Acceso a la Información Pública del Estado de México y Municipios</w:t>
      </w:r>
    </w:p>
    <w:p w:rsidR="007B41FA" w:rsidRDefault="007B41FA">
      <w:pPr>
        <w:tabs>
          <w:tab w:val="left" w:pos="709"/>
        </w:tabs>
        <w:spacing w:after="0" w:line="276" w:lineRule="auto"/>
        <w:ind w:left="851" w:right="760"/>
        <w:jc w:val="both"/>
        <w:rPr>
          <w:rFonts w:ascii="Palatino Linotype" w:eastAsia="Palatino Linotype" w:hAnsi="Palatino Linotype" w:cs="Palatino Linotype"/>
          <w:i/>
          <w:sz w:val="20"/>
          <w:szCs w:val="20"/>
        </w:rPr>
      </w:pP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“Artículo 50. Los sujetos obligados contarán con un área responsable para la atención de las solicitudes de información, a la que se le denominará Unidad de Transpar</w:t>
      </w:r>
      <w:r>
        <w:rPr>
          <w:rFonts w:ascii="Palatino Linotype" w:eastAsia="Palatino Linotype" w:hAnsi="Palatino Linotype" w:cs="Palatino Linotype"/>
          <w:i/>
        </w:rPr>
        <w:t xml:space="preserve">encia. </w:t>
      </w:r>
    </w:p>
    <w:p w:rsidR="007B41FA" w:rsidRDefault="007B41FA">
      <w:pPr>
        <w:tabs>
          <w:tab w:val="left" w:pos="709"/>
        </w:tabs>
        <w:spacing w:after="0" w:line="276" w:lineRule="auto"/>
        <w:ind w:left="851" w:right="760"/>
        <w:jc w:val="both"/>
        <w:rPr>
          <w:rFonts w:ascii="Palatino Linotype" w:eastAsia="Palatino Linotype" w:hAnsi="Palatino Linotype" w:cs="Palatino Linotype"/>
          <w:i/>
        </w:rPr>
      </w:pP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Pr>
          <w:rFonts w:ascii="Palatino Linotype" w:eastAsia="Palatino Linotype" w:hAnsi="Palatino Linotype" w:cs="Palatino Linotype"/>
          <w:b/>
          <w:i/>
        </w:rPr>
        <w:t>Dicha Unidad será la encargada de tramitar internamente la solicitud de información</w:t>
      </w:r>
      <w:r>
        <w:rPr>
          <w:rFonts w:ascii="Palatino Linotype" w:eastAsia="Palatino Linotype" w:hAnsi="Palatino Linotype" w:cs="Palatino Linotype"/>
          <w:i/>
        </w:rPr>
        <w:t xml:space="preserve"> y</w:t>
      </w:r>
      <w:r>
        <w:rPr>
          <w:rFonts w:ascii="Palatino Linotype" w:eastAsia="Palatino Linotype" w:hAnsi="Palatino Linotype" w:cs="Palatino Linotype"/>
          <w:i/>
        </w:rPr>
        <w:t xml:space="preserve"> tendrá la responsabilidad de verificar en cada caso que la misma no sea confidencial o reservada. Dicha Unidad contará con las facultades internas necesarias para gestionar la atención a las solicitudes de información en los términos de la Ley General y l</w:t>
      </w:r>
      <w:r>
        <w:rPr>
          <w:rFonts w:ascii="Palatino Linotype" w:eastAsia="Palatino Linotype" w:hAnsi="Palatino Linotype" w:cs="Palatino Linotype"/>
          <w:i/>
        </w:rPr>
        <w:t>a presente Ley.</w:t>
      </w: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Artículo 53. Las Unidades de Transparencia tendrán las siguientes funciones:</w:t>
      </w: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 xml:space="preserve">II. Recibir, tramitar y dar respuesta a las solicitudes de acceso a la información; </w:t>
      </w: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tabs>
          <w:tab w:val="left" w:pos="709"/>
        </w:tabs>
        <w:spacing w:after="0" w:line="276" w:lineRule="auto"/>
        <w:ind w:left="851" w:right="7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IV. Realizar, con efectividad, los trámites internos necesarios para la atención de las solicitudes de acceso a la información; </w:t>
      </w: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 xml:space="preserve">V. Entregar, en su caso, a los particulares la información solicitada; </w:t>
      </w:r>
    </w:p>
    <w:p w:rsidR="007B41FA" w:rsidRDefault="00330928">
      <w:pPr>
        <w:tabs>
          <w:tab w:val="left" w:pos="709"/>
        </w:tabs>
        <w:spacing w:after="0" w:line="276" w:lineRule="auto"/>
        <w:ind w:left="851" w:right="760"/>
        <w:jc w:val="both"/>
        <w:rPr>
          <w:rFonts w:ascii="Palatino Linotype" w:eastAsia="Palatino Linotype" w:hAnsi="Palatino Linotype" w:cs="Palatino Linotype"/>
          <w:i/>
        </w:rPr>
      </w:pPr>
      <w:r>
        <w:rPr>
          <w:rFonts w:ascii="Palatino Linotype" w:eastAsia="Palatino Linotype" w:hAnsi="Palatino Linotype" w:cs="Palatino Linotype"/>
          <w:i/>
        </w:rPr>
        <w:t>VI. Efectuar las notificaciones a los solicitantes;”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w:t>
      </w:r>
      <w:r>
        <w:rPr>
          <w:rFonts w:ascii="Palatino Linotype" w:eastAsia="Palatino Linotype" w:hAnsi="Palatino Linotype" w:cs="Palatino Linotype"/>
          <w:sz w:val="24"/>
          <w:szCs w:val="24"/>
        </w:rPr>
        <w:t xml:space="preserve">unado a lo anterior, se debe señalar que aunque la solicitud de información y la respuesta estén dirigidas y atendidas por un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lo cierto es que también tienen diversas Unidades Administrativas y cada área cuenta con un </w:t>
      </w:r>
      <w:r>
        <w:rPr>
          <w:rFonts w:ascii="Palatino Linotype" w:eastAsia="Palatino Linotype" w:hAnsi="Palatino Linotype" w:cs="Palatino Linotype"/>
          <w:b/>
          <w:sz w:val="24"/>
          <w:szCs w:val="24"/>
        </w:rPr>
        <w:t>Servidor Público Habi</w:t>
      </w:r>
      <w:r>
        <w:rPr>
          <w:rFonts w:ascii="Palatino Linotype" w:eastAsia="Palatino Linotype" w:hAnsi="Palatino Linotype" w:cs="Palatino Linotype"/>
          <w:b/>
          <w:sz w:val="24"/>
          <w:szCs w:val="24"/>
        </w:rPr>
        <w:t>litado</w:t>
      </w:r>
      <w:r>
        <w:rPr>
          <w:rFonts w:ascii="Palatino Linotype" w:eastAsia="Palatino Linotype" w:hAnsi="Palatino Linotype" w:cs="Palatino Linotype"/>
          <w:sz w:val="24"/>
          <w:szCs w:val="24"/>
        </w:rPr>
        <w:t>, que es la persona encargada de apoyar, gestionar y entregar la información o datos personales que se ubiquen en la misma, a sus respectivas unidades de transparencia; respecto de las solicitudes presentadas y aportar en primera instancia el fundame</w:t>
      </w:r>
      <w:r>
        <w:rPr>
          <w:rFonts w:ascii="Palatino Linotype" w:eastAsia="Palatino Linotype" w:hAnsi="Palatino Linotype" w:cs="Palatino Linotype"/>
          <w:sz w:val="24"/>
          <w:szCs w:val="24"/>
        </w:rPr>
        <w:t>nto y motivación de la clasificación de la información al Titular de la Unidad de Transparencia de los Sujetos Obligados, lo anterior de conformidad con los artículos 3 fracción XXXIX, 58 y 59  de la Ley en la materia, que estipulan lo siguiente:</w:t>
      </w:r>
    </w:p>
    <w:p w:rsidR="007B41FA" w:rsidRDefault="007B41FA">
      <w:pPr>
        <w:spacing w:after="0" w:line="360" w:lineRule="auto"/>
        <w:rPr>
          <w:rFonts w:ascii="Palatino Linotype" w:eastAsia="Palatino Linotype" w:hAnsi="Palatino Linotype" w:cs="Palatino Linotype"/>
          <w:sz w:val="24"/>
          <w:szCs w:val="24"/>
        </w:rPr>
      </w:pP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b/>
          <w:i/>
        </w:rPr>
        <w:t>“Artícul</w:t>
      </w:r>
      <w:r>
        <w:rPr>
          <w:rFonts w:ascii="Palatino Linotype" w:eastAsia="Palatino Linotype" w:hAnsi="Palatino Linotype" w:cs="Palatino Linotype"/>
          <w:b/>
          <w:i/>
        </w:rPr>
        <w:t>o 3.</w:t>
      </w:r>
      <w:r>
        <w:rPr>
          <w:rFonts w:ascii="Palatino Linotype" w:eastAsia="Palatino Linotype" w:hAnsi="Palatino Linotype" w:cs="Palatino Linotype"/>
          <w:i/>
        </w:rPr>
        <w:t xml:space="preserve"> Para los efectos de la presente Ley se entenderá por:</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XXXIX. Servidor público habilitado: </w:t>
      </w:r>
      <w:r>
        <w:rPr>
          <w:rFonts w:ascii="Palatino Linotype" w:eastAsia="Palatino Linotype" w:hAnsi="Palatino Linotype" w:cs="Palatino Linotype"/>
          <w:i/>
        </w:rPr>
        <w:t>Persona encargada dentro de las diversas unidades administrativas o áreas del sujeto obligado, de apoyar, gestionar y entregar la información o datos persona</w:t>
      </w:r>
      <w:r>
        <w:rPr>
          <w:rFonts w:ascii="Palatino Linotype" w:eastAsia="Palatino Linotype" w:hAnsi="Palatino Linotype" w:cs="Palatino Linotype"/>
          <w:i/>
        </w:rPr>
        <w:t>les que se ubiquen en la misma, a sus respectivas unidades de transparencia; respecto de las solicitudes presentadas y aportar en primera instancia el fundamento y motivación de la clasificación de la información;</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7B41FA">
      <w:pPr>
        <w:spacing w:after="0" w:line="276" w:lineRule="auto"/>
      </w:pPr>
    </w:p>
    <w:p w:rsidR="007B41FA" w:rsidRDefault="00330928">
      <w:pPr>
        <w:spacing w:after="0" w:line="276" w:lineRule="auto"/>
        <w:ind w:left="567" w:right="708"/>
        <w:jc w:val="both"/>
        <w:rPr>
          <w:rFonts w:ascii="Palatino Linotype" w:eastAsia="Palatino Linotype" w:hAnsi="Palatino Linotype" w:cs="Palatino Linotype"/>
          <w:i/>
        </w:rPr>
      </w:pPr>
      <w:r>
        <w:rPr>
          <w:rFonts w:ascii="Palatino Linotype" w:eastAsia="Palatino Linotype" w:hAnsi="Palatino Linotype" w:cs="Palatino Linotype"/>
          <w:b/>
          <w:i/>
        </w:rPr>
        <w:t>Artículo 58.</w:t>
      </w:r>
      <w:r>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rsidR="007B41FA" w:rsidRDefault="007B41FA">
      <w:pPr>
        <w:spacing w:after="0" w:line="276" w:lineRule="auto"/>
        <w:ind w:left="567" w:right="708"/>
        <w:jc w:val="both"/>
        <w:rPr>
          <w:rFonts w:ascii="Palatino Linotype" w:eastAsia="Palatino Linotype" w:hAnsi="Palatino Linotype" w:cs="Palatino Linotype"/>
          <w:i/>
        </w:rPr>
      </w:pPr>
    </w:p>
    <w:p w:rsidR="007B41FA" w:rsidRDefault="00330928">
      <w:pPr>
        <w:spacing w:after="0" w:line="276" w:lineRule="auto"/>
        <w:ind w:left="567" w:right="708"/>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servidores públicos habilitados</w:t>
      </w:r>
      <w:r>
        <w:rPr>
          <w:rFonts w:ascii="Palatino Linotype" w:eastAsia="Palatino Linotype" w:hAnsi="Palatino Linotype" w:cs="Palatino Linotype"/>
          <w:i/>
        </w:rPr>
        <w:t xml:space="preserve"> tendrán las funciones siguientes:</w:t>
      </w:r>
    </w:p>
    <w:p w:rsidR="007B41FA" w:rsidRDefault="007B41FA">
      <w:pPr>
        <w:spacing w:after="0" w:line="276" w:lineRule="auto"/>
      </w:pPr>
    </w:p>
    <w:p w:rsidR="007B41FA" w:rsidRDefault="00330928">
      <w:pPr>
        <w:spacing w:after="0" w:line="276" w:lineRule="auto"/>
        <w:ind w:left="567" w:right="708"/>
        <w:jc w:val="both"/>
        <w:rPr>
          <w:rFonts w:ascii="Palatino Linotype" w:eastAsia="Palatino Linotype" w:hAnsi="Palatino Linotype" w:cs="Palatino Linotype"/>
          <w:i/>
        </w:rPr>
      </w:pPr>
      <w:r>
        <w:rPr>
          <w:rFonts w:ascii="Palatino Linotype" w:eastAsia="Palatino Linotype" w:hAnsi="Palatino Linotype" w:cs="Palatino Linotype"/>
          <w:i/>
        </w:rPr>
        <w:t xml:space="preserve">I. </w:t>
      </w:r>
      <w:r>
        <w:rPr>
          <w:rFonts w:ascii="Palatino Linotype" w:eastAsia="Palatino Linotype" w:hAnsi="Palatino Linotype" w:cs="Palatino Linotype"/>
          <w:b/>
          <w:i/>
        </w:rPr>
        <w:t>Localizar la informa</w:t>
      </w:r>
      <w:r>
        <w:rPr>
          <w:rFonts w:ascii="Palatino Linotype" w:eastAsia="Palatino Linotype" w:hAnsi="Palatino Linotype" w:cs="Palatino Linotype"/>
          <w:b/>
          <w:i/>
        </w:rPr>
        <w:t>ción que le solicite la Unidad de Transparencia</w:t>
      </w:r>
      <w:r>
        <w:rPr>
          <w:rFonts w:ascii="Palatino Linotype" w:eastAsia="Palatino Linotype" w:hAnsi="Palatino Linotype" w:cs="Palatino Linotype"/>
          <w:i/>
        </w:rPr>
        <w:t>;</w:t>
      </w:r>
    </w:p>
    <w:p w:rsidR="007B41FA" w:rsidRDefault="00330928">
      <w:pPr>
        <w:spacing w:after="0" w:line="276" w:lineRule="auto"/>
        <w:ind w:left="567" w:right="708"/>
        <w:jc w:val="both"/>
        <w:rPr>
          <w:rFonts w:ascii="Palatino Linotype" w:eastAsia="Palatino Linotype" w:hAnsi="Palatino Linotype" w:cs="Palatino Linotype"/>
          <w:i/>
        </w:rPr>
      </w:pPr>
      <w:r>
        <w:rPr>
          <w:rFonts w:ascii="Palatino Linotype" w:eastAsia="Palatino Linotype" w:hAnsi="Palatino Linotype" w:cs="Palatino Linotype"/>
          <w:i/>
        </w:rPr>
        <w:t xml:space="preserve">II. </w:t>
      </w:r>
      <w:r>
        <w:rPr>
          <w:rFonts w:ascii="Palatino Linotype" w:eastAsia="Palatino Linotype" w:hAnsi="Palatino Linotype" w:cs="Palatino Linotype"/>
          <w:b/>
          <w:i/>
        </w:rPr>
        <w:t>Proporcionar la información que obre en los archivos y que le sea solicitada por la Unidad de Transparencia</w:t>
      </w:r>
      <w:r>
        <w:rPr>
          <w:rFonts w:ascii="Palatino Linotype" w:eastAsia="Palatino Linotype" w:hAnsi="Palatino Linotype" w:cs="Palatino Linotype"/>
          <w:i/>
        </w:rPr>
        <w:t>;</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III. Apoyar a la Unidad de Transparencia en lo que esta le solicite para el cumplimiento de su</w:t>
      </w:r>
      <w:r>
        <w:rPr>
          <w:rFonts w:ascii="Palatino Linotype" w:eastAsia="Palatino Linotype" w:hAnsi="Palatino Linotype" w:cs="Palatino Linotype"/>
          <w:i/>
        </w:rPr>
        <w:t>s funciones;</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IV. Proporcionar a la Unidad de Transparencia, las modificaciones a la información pública de oficio que obre en su poder;</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V. Integrar y presentar al responsable de la Unidad de Transparencia la propuesta de clasificación de información, la cu</w:t>
      </w:r>
      <w:r>
        <w:rPr>
          <w:rFonts w:ascii="Palatino Linotype" w:eastAsia="Palatino Linotype" w:hAnsi="Palatino Linotype" w:cs="Palatino Linotype"/>
          <w:i/>
        </w:rPr>
        <w:t>al tendrá los fundamentos y argumentos en que se basa dicha propuesta;</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VI. Verificar, una vez analizado el contenido de la información, que no se encuentre en los supuestos de información clasificada; y</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VII. Dar cuenta a la Unidad de Transparencia del venc</w:t>
      </w:r>
      <w:r>
        <w:rPr>
          <w:rFonts w:ascii="Palatino Linotype" w:eastAsia="Palatino Linotype" w:hAnsi="Palatino Linotype" w:cs="Palatino Linotype"/>
          <w:i/>
        </w:rPr>
        <w:t>imiento de los plazos de reserva.</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otras palabras,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cumplió con lo que para tal efecto, dispone el artículo 162 de la Ley de Transparencia y Acceso a la Información Pública del Estado de México y Municipios, que índica:</w:t>
      </w:r>
    </w:p>
    <w:p w:rsidR="007B41FA" w:rsidRDefault="007B41FA">
      <w:pPr>
        <w:rPr>
          <w:rFonts w:ascii="Palatino Linotype" w:eastAsia="Palatino Linotype" w:hAnsi="Palatino Linotype" w:cs="Palatino Linotype"/>
          <w:sz w:val="24"/>
          <w:szCs w:val="24"/>
        </w:rPr>
      </w:pP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Artículo 162. </w:t>
      </w:r>
      <w:r>
        <w:rPr>
          <w:rFonts w:ascii="Palatino Linotype" w:eastAsia="Palatino Linotype" w:hAnsi="Palatino Linotype" w:cs="Palatino Linotype"/>
          <w:i/>
        </w:rPr>
        <w:t>Las unidades de transparencia deberán garantizar que las solicitudes se turnen a todas las Áreas competentes que cuenten con la información o deban tenerla de acuerdo a sus facultades, competencias y funciones, con el objeto de que realicen u</w:t>
      </w:r>
      <w:r>
        <w:rPr>
          <w:rFonts w:ascii="Palatino Linotype" w:eastAsia="Palatino Linotype" w:hAnsi="Palatino Linotype" w:cs="Palatino Linotype"/>
          <w:i/>
        </w:rPr>
        <w:t>na búsqueda exhaustiva y razonable de la información solicitada.”</w:t>
      </w:r>
      <w:r>
        <w:rPr>
          <w:rFonts w:ascii="Palatino Linotype" w:eastAsia="Palatino Linotype" w:hAnsi="Palatino Linotype" w:cs="Palatino Linotype"/>
          <w:b/>
          <w:i/>
        </w:rPr>
        <w:t xml:space="preserve"> [Énfasis añadido]</w:t>
      </w:r>
    </w:p>
    <w:p w:rsidR="007B41FA" w:rsidRDefault="007B41FA">
      <w:pPr>
        <w:rPr>
          <w:rFonts w:ascii="Palatino Linotype" w:eastAsia="Palatino Linotype" w:hAnsi="Palatino Linotype" w:cs="Palatino Linotype"/>
          <w:sz w:val="24"/>
          <w:szCs w:val="24"/>
        </w:rPr>
      </w:pPr>
    </w:p>
    <w:p w:rsidR="007B41FA" w:rsidRDefault="00330928">
      <w:pPr>
        <w:tabs>
          <w:tab w:val="left" w:pos="7938"/>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que se reitera, que el Titular de la Unidad de Transparencia llevo a cabo los pasos que le conmina sus funciones, de acuerdo con la Ley de Transparencia y Acce</w:t>
      </w:r>
      <w:r>
        <w:rPr>
          <w:rFonts w:ascii="Palatino Linotype" w:eastAsia="Palatino Linotype" w:hAnsi="Palatino Linotype" w:cs="Palatino Linotype"/>
          <w:sz w:val="24"/>
          <w:szCs w:val="24"/>
        </w:rPr>
        <w:t>so a la Información Pública del Estado de México y Municipios, es decir, solicito la información a la unidad administrativa que por obligación le corresponden dar atención a la misma.</w:t>
      </w:r>
    </w:p>
    <w:p w:rsidR="007B41FA" w:rsidRDefault="007B41FA">
      <w:pPr>
        <w:tabs>
          <w:tab w:val="left" w:pos="7938"/>
        </w:tabs>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Aclarado lo anterior</w:t>
      </w:r>
      <w:r>
        <w:rPr>
          <w:rFonts w:ascii="Palatino Linotype" w:eastAsia="Palatino Linotype" w:hAnsi="Palatino Linotype" w:cs="Palatino Linotype"/>
          <w:color w:val="000000"/>
          <w:sz w:val="24"/>
          <w:szCs w:val="24"/>
        </w:rPr>
        <w:t>, es de recordar que la Tesorería se pronunció en r</w:t>
      </w:r>
      <w:r>
        <w:rPr>
          <w:rFonts w:ascii="Palatino Linotype" w:eastAsia="Palatino Linotype" w:hAnsi="Palatino Linotype" w:cs="Palatino Linotype"/>
          <w:color w:val="000000"/>
          <w:sz w:val="24"/>
          <w:szCs w:val="24"/>
        </w:rPr>
        <w:t>espuesta e informe justificado, mismas que cuentan con las siguientes atribuciones:</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color w:val="000000"/>
        </w:rPr>
        <w:t>LEY ORGÁNICA MUNICIPAL DEL ESTADO DE MÉXICO.</w:t>
      </w:r>
    </w:p>
    <w:p w:rsidR="007B41FA" w:rsidRDefault="007B41FA">
      <w:pPr>
        <w:spacing w:after="0" w:line="276" w:lineRule="auto"/>
        <w:ind w:left="567" w:right="709"/>
        <w:jc w:val="both"/>
        <w:rPr>
          <w:rFonts w:ascii="Palatino Linotype" w:eastAsia="Palatino Linotype" w:hAnsi="Palatino Linotype" w:cs="Palatino Linotype"/>
          <w:i/>
        </w:rPr>
      </w:pP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95.- Son atribuciones del tesorero municipal: </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I. Administrar la hacienda pública municipal, de conformidad con las disposiciones legales aplicables;</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after="0"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IV. Llevar los registros contables, financieros y administrativos de los ingresos, egresos, e inventarios;</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acuerdo a lo anterior, la Tesorería Mu</w:t>
      </w:r>
      <w:r>
        <w:rPr>
          <w:rFonts w:ascii="Palatino Linotype" w:eastAsia="Palatino Linotype" w:hAnsi="Palatino Linotype" w:cs="Palatino Linotype"/>
          <w:color w:val="000000"/>
          <w:sz w:val="24"/>
          <w:szCs w:val="24"/>
        </w:rPr>
        <w:t xml:space="preserve">nicipal administra la hacienda municipal, llevando los registros contables, financieros y administrativos de los ingresos, egresos e inventarios.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Aclarado lo anterior, se analizaran cada una de los puntos de la solicitud recurridos de la siguiente forma:</w:t>
      </w:r>
    </w:p>
    <w:p w:rsidR="007B41FA" w:rsidRDefault="007B41FA">
      <w:pPr>
        <w:spacing w:line="360" w:lineRule="auto"/>
        <w:jc w:val="both"/>
        <w:rPr>
          <w:rFonts w:ascii="Palatino Linotype" w:eastAsia="Palatino Linotype" w:hAnsi="Palatino Linotype" w:cs="Palatino Linotype"/>
          <w:color w:val="000000"/>
          <w:sz w:val="24"/>
          <w:szCs w:val="24"/>
        </w:rPr>
      </w:pPr>
    </w:p>
    <w:p w:rsidR="007B41FA" w:rsidRDefault="00330928">
      <w:pPr>
        <w:numPr>
          <w:ilvl w:val="0"/>
          <w:numId w:val="1"/>
        </w:numPr>
        <w:pBdr>
          <w:top w:val="nil"/>
          <w:left w:val="nil"/>
          <w:bottom w:val="nil"/>
          <w:right w:val="nil"/>
          <w:between w:val="nil"/>
        </w:pBdr>
        <w:spacing w:line="360" w:lineRule="auto"/>
        <w:jc w:val="both"/>
        <w:rPr>
          <w:b/>
          <w:color w:val="000000"/>
          <w:sz w:val="24"/>
          <w:szCs w:val="24"/>
          <w:u w:val="single"/>
        </w:rPr>
      </w:pPr>
      <w:r>
        <w:rPr>
          <w:rFonts w:ascii="Palatino Linotype" w:eastAsia="Palatino Linotype" w:hAnsi="Palatino Linotype" w:cs="Palatino Linotype"/>
          <w:b/>
          <w:color w:val="000000"/>
          <w:sz w:val="24"/>
          <w:szCs w:val="24"/>
          <w:u w:val="single"/>
        </w:rPr>
        <w:t xml:space="preserve">Respecto al pago de las agrupaciones y artistas faltantes.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de recordar que hace entrega de la cantidad del pago efectuado de diversos artistas participantes, sin embargo,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se adolece porque no le hacen entrega de la totalidad del costo de los artistas participantes, por lo que </w:t>
      </w:r>
      <w:r>
        <w:rPr>
          <w:rFonts w:ascii="Palatino Linotype" w:eastAsia="Palatino Linotype" w:hAnsi="Palatino Linotype" w:cs="Palatino Linotype"/>
          <w:color w:val="000000"/>
          <w:sz w:val="24"/>
          <w:szCs w:val="24"/>
        </w:rPr>
        <w:lastRenderedPageBreak/>
        <w:t>al momento de interponer su recurso de revisión adjunta el cartel de los artistas participantes, siendo el siguiente:</w:t>
      </w:r>
    </w:p>
    <w:p w:rsidR="007B41FA" w:rsidRDefault="00330928">
      <w:pPr>
        <w:spacing w:after="0" w:line="360" w:lineRule="auto"/>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extent cx="4467849" cy="6792273"/>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467849" cy="6792273"/>
                    </a:xfrm>
                    <a:prstGeom prst="rect">
                      <a:avLst/>
                    </a:prstGeom>
                    <a:ln/>
                  </pic:spPr>
                </pic:pic>
              </a:graphicData>
            </a:graphic>
          </wp:inline>
        </w:drawing>
      </w:r>
    </w:p>
    <w:p w:rsidR="007B41FA" w:rsidRDefault="007B41FA">
      <w:pPr>
        <w:spacing w:after="0" w:line="360" w:lineRule="auto"/>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lastRenderedPageBreak/>
        <w:t>No obstante, mediante infor</w:t>
      </w:r>
      <w:r>
        <w:rPr>
          <w:rFonts w:ascii="Palatino Linotype" w:eastAsia="Palatino Linotype" w:hAnsi="Palatino Linotype" w:cs="Palatino Linotype"/>
          <w:color w:val="000000"/>
          <w:sz w:val="24"/>
          <w:szCs w:val="24"/>
        </w:rPr>
        <w:t xml:space="preserve">me justificado la Tesorería Municipal mencionó que </w:t>
      </w:r>
      <w:r>
        <w:rPr>
          <w:rFonts w:ascii="Palatino Linotype" w:eastAsia="Palatino Linotype" w:hAnsi="Palatino Linotype" w:cs="Palatino Linotype"/>
          <w:sz w:val="24"/>
          <w:szCs w:val="24"/>
        </w:rPr>
        <w:t>no generó información por dichos artistas debido a que no siempre se paga por el municipio, ya que en el gasto lo hizo un tercero, sin embargo, con dicha respuesta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no se tiene claro, si la información no s</w:t>
      </w:r>
      <w:r>
        <w:rPr>
          <w:rFonts w:ascii="Palatino Linotype" w:eastAsia="Palatino Linotype" w:hAnsi="Palatino Linotype" w:cs="Palatino Linotype"/>
          <w:sz w:val="24"/>
          <w:szCs w:val="24"/>
        </w:rPr>
        <w:t>e localizó por no haberse generado o que, si bien se generó, pero el pago se realizó a un tercero en forma de representación de los artistas faltantes, s</w:t>
      </w:r>
      <w:r>
        <w:rPr>
          <w:rFonts w:ascii="Palatino Linotype" w:eastAsia="Palatino Linotype" w:hAnsi="Palatino Linotype" w:cs="Palatino Linotype"/>
          <w:color w:val="000000"/>
          <w:sz w:val="24"/>
          <w:szCs w:val="24"/>
        </w:rPr>
        <w:t xml:space="preserve">in embargo, dicha circunstancia no fue precisada por la servidora pública habilitada.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la Ley de la  Contratación Pública del Estado de México y Municipios, regula los procesos de licitación y contratación de los actos relativos a la planeación, programación, presupuestación, ejecución y control de la adquisición, enajenación y </w:t>
      </w:r>
      <w:r>
        <w:rPr>
          <w:rFonts w:ascii="Palatino Linotype" w:eastAsia="Palatino Linotype" w:hAnsi="Palatino Linotype" w:cs="Palatino Linotype"/>
          <w:sz w:val="24"/>
          <w:szCs w:val="24"/>
        </w:rPr>
        <w:t xml:space="preserve">arrendamiento de bienes, y la </w:t>
      </w:r>
      <w:r>
        <w:rPr>
          <w:rFonts w:ascii="Palatino Linotype" w:eastAsia="Palatino Linotype" w:hAnsi="Palatino Linotype" w:cs="Palatino Linotype"/>
          <w:b/>
          <w:sz w:val="24"/>
          <w:szCs w:val="24"/>
          <w:u w:val="single"/>
        </w:rPr>
        <w:t>contratación de servicios de cualquier naturaleza, que realicen los Ayuntamientos del Estado</w:t>
      </w:r>
      <w:r>
        <w:rPr>
          <w:rFonts w:ascii="Palatino Linotype" w:eastAsia="Palatino Linotype" w:hAnsi="Palatino Linotype" w:cs="Palatino Linotype"/>
          <w:sz w:val="24"/>
          <w:szCs w:val="24"/>
        </w:rPr>
        <w:t>; los cuales se adjudicarán a través de licitaciones públicas, invitación restringida o adjudicación directa, mediante convocatoria pú</w:t>
      </w:r>
      <w:r>
        <w:rPr>
          <w:rFonts w:ascii="Palatino Linotype" w:eastAsia="Palatino Linotype" w:hAnsi="Palatino Linotype" w:cs="Palatino Linotype"/>
          <w:sz w:val="24"/>
          <w:szCs w:val="24"/>
        </w:rPr>
        <w:t>blica, tal y como lo establecen los artículos 4, 26 y 27 de dicha Ley, los cuales son del tenor siguiente:</w:t>
      </w:r>
    </w:p>
    <w:p w:rsidR="007B41FA" w:rsidRDefault="007B41FA">
      <w:pPr>
        <w:pBdr>
          <w:top w:val="nil"/>
          <w:left w:val="nil"/>
          <w:bottom w:val="nil"/>
          <w:right w:val="nil"/>
          <w:between w:val="nil"/>
        </w:pBdr>
        <w:spacing w:line="360" w:lineRule="auto"/>
        <w:jc w:val="both"/>
      </w:pPr>
    </w:p>
    <w:p w:rsidR="007B41FA" w:rsidRDefault="00330928">
      <w:pPr>
        <w:pBdr>
          <w:top w:val="nil"/>
          <w:left w:val="nil"/>
          <w:bottom w:val="nil"/>
          <w:right w:val="nil"/>
          <w:between w:val="nil"/>
        </w:pBdr>
        <w:spacing w:before="160"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Para los efectos de esta Ley, en las adquisiciones, enajenaciones, arrendamientos y servicios, quedan comprendidos: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I. La adquisición</w:t>
      </w:r>
      <w:r>
        <w:rPr>
          <w:rFonts w:ascii="Palatino Linotype" w:eastAsia="Palatino Linotype" w:hAnsi="Palatino Linotype" w:cs="Palatino Linotype"/>
          <w:i/>
        </w:rPr>
        <w:t xml:space="preserve"> de bienes muebles.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II. La adquisición de bienes inmuebles, a través de compraventa.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III. La enajenación de bienes muebles e inmuebles.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IV. El arrendamiento de bienes muebles e inmuebles.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lastRenderedPageBreak/>
        <w:t>V. La contratación de los servicios, relacionados con bienes muebles que se encuentran incorporados o adheridos a bienes inmuebles, cuya instalación o mantenimiento no implique modificación al bien inmueble.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VI. La contratación de los servicios de reconst</w:t>
      </w:r>
      <w:r>
        <w:rPr>
          <w:rFonts w:ascii="Palatino Linotype" w:eastAsia="Palatino Linotype" w:hAnsi="Palatino Linotype" w:cs="Palatino Linotype"/>
          <w:i/>
        </w:rPr>
        <w:t>rucción y mantenimiento de bienes muebles.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VII. La contratación de los servicios de maquila, seguros y transportación, así como de los de limpieza y vigilancia de bienes inmuebles</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VIII. La prestación de servicios profesionales, la contratación de consulto</w:t>
      </w:r>
      <w:r>
        <w:rPr>
          <w:rFonts w:ascii="Palatino Linotype" w:eastAsia="Palatino Linotype" w:hAnsi="Palatino Linotype" w:cs="Palatino Linotype"/>
          <w:i/>
        </w:rPr>
        <w:t>rías, asesorías y estudios e investigaciones, excepto la contratación de servicios personales de personas físicas bajo el régimen de honorarios.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u w:val="single"/>
        </w:rPr>
        <w:t>En general, otros actos que impliquen la contratación de servicios de cualquier naturaleza.</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Artículo 26.- Las </w:t>
      </w:r>
      <w:r>
        <w:rPr>
          <w:rFonts w:ascii="Palatino Linotype" w:eastAsia="Palatino Linotype" w:hAnsi="Palatino Linotype" w:cs="Palatino Linotype"/>
          <w:b/>
          <w:i/>
        </w:rPr>
        <w:t>adquisiciones, arrendamientos y servicios se adjudicarán a través de licitaciones públicas, mediante convocatoria pública.</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Artículo 27.- </w:t>
      </w:r>
      <w:r>
        <w:rPr>
          <w:rFonts w:ascii="Palatino Linotype" w:eastAsia="Palatino Linotype" w:hAnsi="Palatino Linotype" w:cs="Palatino Linotype"/>
          <w:i/>
        </w:rPr>
        <w:t xml:space="preserve">La Secretaría, las entidades, los tribunales administrativos y </w:t>
      </w:r>
      <w:r>
        <w:rPr>
          <w:rFonts w:ascii="Palatino Linotype" w:eastAsia="Palatino Linotype" w:hAnsi="Palatino Linotype" w:cs="Palatino Linotype"/>
          <w:b/>
          <w:i/>
        </w:rPr>
        <w:t>los ayuntamientos podrán adjudicar adquisiciones, arrend</w:t>
      </w:r>
      <w:r>
        <w:rPr>
          <w:rFonts w:ascii="Palatino Linotype" w:eastAsia="Palatino Linotype" w:hAnsi="Palatino Linotype" w:cs="Palatino Linotype"/>
          <w:b/>
          <w:i/>
        </w:rPr>
        <w:t>amientos y servicios, mediante las excepciones al procedimiento de licitación que a continuación se señalan: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I. Invitación restringida.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 Adjudicación directa.”</w:t>
      </w:r>
      <w:r>
        <w:rPr>
          <w:rFonts w:ascii="Palatino Linotype" w:eastAsia="Palatino Linotype" w:hAnsi="Palatino Linotype" w:cs="Palatino Linotype"/>
          <w:i/>
        </w:rPr>
        <w:t xml:space="preserve"> </w:t>
      </w:r>
    </w:p>
    <w:p w:rsidR="007B41FA" w:rsidRDefault="00330928">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rPr>
      </w:pPr>
      <w:r>
        <w:rPr>
          <w:rFonts w:ascii="Palatino Linotype" w:eastAsia="Palatino Linotype" w:hAnsi="Palatino Linotype" w:cs="Palatino Linotype"/>
          <w:i/>
        </w:rPr>
        <w:t>(Énfasis añadido) </w:t>
      </w: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lo que respecta sobre la licitación pública, el artículo 29 de la Ley de la Contratación Pública en mención, indica que en este procedimiento deberán establecerse los mismos requisitos y condiciones para todos los licitantes. Todo licitante que sat</w:t>
      </w:r>
      <w:r>
        <w:rPr>
          <w:rFonts w:ascii="Palatino Linotype" w:eastAsia="Palatino Linotype" w:hAnsi="Palatino Linotype" w:cs="Palatino Linotype"/>
          <w:sz w:val="24"/>
          <w:szCs w:val="24"/>
        </w:rPr>
        <w:t>isfaga los requisitos de la convocatoria y de las bases de la licitación tendrá derecho a presentar su propuesta. </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el artículo 33, del mismo ordenamiento legal, puntualmente señala el contenido que deberá tener la convocatoria para la celebració</w:t>
      </w:r>
      <w:r>
        <w:rPr>
          <w:rFonts w:ascii="Palatino Linotype" w:eastAsia="Palatino Linotype" w:hAnsi="Palatino Linotype" w:cs="Palatino Linotype"/>
          <w:sz w:val="24"/>
          <w:szCs w:val="24"/>
        </w:rPr>
        <w:t xml:space="preserve">n de las licitaciones </w:t>
      </w:r>
      <w:r>
        <w:rPr>
          <w:rFonts w:ascii="Palatino Linotype" w:eastAsia="Palatino Linotype" w:hAnsi="Palatino Linotype" w:cs="Palatino Linotype"/>
          <w:sz w:val="24"/>
          <w:szCs w:val="24"/>
        </w:rPr>
        <w:lastRenderedPageBreak/>
        <w:t>públicas y por su parte, el consecutivo 34 señala que las bases de la licitación pública tendrán un costo de recuperación y contendrán los requisitos que se establezcan en el reglamento de dicha Ley. </w:t>
      </w: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en las licitaciones s</w:t>
      </w:r>
      <w:r>
        <w:rPr>
          <w:rFonts w:ascii="Palatino Linotype" w:eastAsia="Palatino Linotype" w:hAnsi="Palatino Linotype" w:cs="Palatino Linotype"/>
          <w:sz w:val="24"/>
          <w:szCs w:val="24"/>
        </w:rPr>
        <w:t>e debe seguir el procedimiento marcado en el artículo 35 del precitado ordenamiento, que literalmente establece:</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b/>
          <w:i/>
        </w:rPr>
        <w:t>“Artículo 35</w:t>
      </w:r>
      <w:r>
        <w:rPr>
          <w:rFonts w:ascii="Palatino Linotype" w:eastAsia="Palatino Linotype" w:hAnsi="Palatino Linotype" w:cs="Palatino Linotype"/>
          <w:i/>
        </w:rPr>
        <w:t>.- En los procedimientos de licitación pública se observará lo siguiente:</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I. El acto de presentación y apertura de propuestas se ll</w:t>
      </w:r>
      <w:r>
        <w:rPr>
          <w:rFonts w:ascii="Palatino Linotype" w:eastAsia="Palatino Linotype" w:hAnsi="Palatino Linotype" w:cs="Palatino Linotype"/>
          <w:i/>
        </w:rPr>
        <w:t>evará a cabo por el servidor público que designe la convocante, conforme al procedimiento que se establezca en el reglamento de esta Ley.</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II. El comité de adquisiciones y servicios evaluará y analizará las propuestas técnicas y económicas presentadas por l</w:t>
      </w:r>
      <w:r>
        <w:rPr>
          <w:rFonts w:ascii="Palatino Linotype" w:eastAsia="Palatino Linotype" w:hAnsi="Palatino Linotype" w:cs="Palatino Linotype"/>
          <w:i/>
        </w:rPr>
        <w:t>os licitantes en el ámbito de las respectivas competencias de sus integrantes, y emitirá el dictamen de adjudicación.</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 xml:space="preserve">III. Las bases de licitación se pondrán a la venta a partir de la fecha de publicación de la convocatoria y hasta el día hábil anterior a </w:t>
      </w:r>
      <w:r>
        <w:rPr>
          <w:rFonts w:ascii="Palatino Linotype" w:eastAsia="Palatino Linotype" w:hAnsi="Palatino Linotype" w:cs="Palatino Linotype"/>
          <w:i/>
        </w:rPr>
        <w:t>la fecha de celebración de la junta de aclaraciones o, en su defecto, del acto de presentación y apertura de propuestas.</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IV. Las convocantes podrán modificar los plazos y términos establecidos en la convocatoria o en las bases de licitación, hasta cinco dí</w:t>
      </w:r>
      <w:r>
        <w:rPr>
          <w:rFonts w:ascii="Palatino Linotype" w:eastAsia="Palatino Linotype" w:hAnsi="Palatino Linotype" w:cs="Palatino Linotype"/>
          <w:i/>
        </w:rPr>
        <w:t>as hábiles anteriores a la fecha de la celebración del acto de presentación y apertura de propuestas.</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V. Las modificaciones no podrán limitar el número de licitantes, sustituir o variar sustancialmente los bienes o servicios convocados originalmente, ni ad</w:t>
      </w:r>
      <w:r>
        <w:rPr>
          <w:rFonts w:ascii="Palatino Linotype" w:eastAsia="Palatino Linotype" w:hAnsi="Palatino Linotype" w:cs="Palatino Linotype"/>
          <w:i/>
        </w:rPr>
        <w:t>icionar otros distintos.</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 xml:space="preserve">VII. Se emitirá el fallo </w:t>
      </w:r>
      <w:r>
        <w:rPr>
          <w:rFonts w:ascii="Palatino Linotype" w:eastAsia="Palatino Linotype" w:hAnsi="Palatino Linotype" w:cs="Palatino Linotype"/>
          <w:i/>
        </w:rPr>
        <w:t>dentro de los 15 días hábiles siguientes a la publicación de la convocatoria.</w:t>
      </w:r>
    </w:p>
    <w:p w:rsidR="007B41FA" w:rsidRDefault="00330928">
      <w:pPr>
        <w:pBdr>
          <w:top w:val="nil"/>
          <w:left w:val="nil"/>
          <w:bottom w:val="nil"/>
          <w:right w:val="nil"/>
          <w:between w:val="nil"/>
        </w:pBdr>
        <w:spacing w:after="0" w:line="276" w:lineRule="auto"/>
        <w:ind w:left="567" w:right="760"/>
        <w:jc w:val="both"/>
        <w:rPr>
          <w:rFonts w:ascii="Palatino Linotype" w:eastAsia="Palatino Linotype" w:hAnsi="Palatino Linotype" w:cs="Palatino Linotype"/>
        </w:rPr>
      </w:pPr>
      <w:r>
        <w:rPr>
          <w:rFonts w:ascii="Palatino Linotype" w:eastAsia="Palatino Linotype" w:hAnsi="Palatino Linotype" w:cs="Palatino Linotype"/>
          <w:i/>
        </w:rPr>
        <w:t>VIII. Los licitantes se podrán registrar hasta el día y la hora fijados para el acto de presentación y apertura de propuestas.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w:t>
      </w: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Del precepto legal, se desprende que al Comité de</w:t>
      </w:r>
      <w:r>
        <w:rPr>
          <w:rFonts w:ascii="Palatino Linotype" w:eastAsia="Palatino Linotype" w:hAnsi="Palatino Linotype" w:cs="Palatino Linotype"/>
          <w:sz w:val="24"/>
          <w:szCs w:val="24"/>
        </w:rPr>
        <w:t xml:space="preserve"> Adquisiciones y Servicios, le corresponde evaluar y analizar las propuestas técnicas y económicas presentadas </w:t>
      </w:r>
      <w:r>
        <w:rPr>
          <w:rFonts w:ascii="Palatino Linotype" w:eastAsia="Palatino Linotype" w:hAnsi="Palatino Linotype" w:cs="Palatino Linotype"/>
          <w:sz w:val="24"/>
          <w:szCs w:val="24"/>
        </w:rPr>
        <w:lastRenderedPageBreak/>
        <w:t>por los licitantes en el ámbito de las respectivas competencias de sus integrantes, debiendo emitir para ello un dictamen de adjudicación y confo</w:t>
      </w:r>
      <w:r>
        <w:rPr>
          <w:rFonts w:ascii="Palatino Linotype" w:eastAsia="Palatino Linotype" w:hAnsi="Palatino Linotype" w:cs="Palatino Linotype"/>
          <w:sz w:val="24"/>
          <w:szCs w:val="24"/>
        </w:rPr>
        <w:t>rme a dicho dictamen se deberá emitir el fallo dentro de los quince días hábiles siguientes a la publicación de la convocatoria.</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respecto al dictamen y el fallo de la adjudicación, es de señalar que la Ley en mención indica lo siguiente:</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“Artículo 37.-</w:t>
      </w:r>
      <w:r>
        <w:rPr>
          <w:rFonts w:ascii="Palatino Linotype" w:eastAsia="Palatino Linotype" w:hAnsi="Palatino Linotype" w:cs="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w:t>
      </w:r>
      <w:r>
        <w:rPr>
          <w:rFonts w:ascii="Palatino Linotype" w:eastAsia="Palatino Linotype" w:hAnsi="Palatino Linotype" w:cs="Palatino Linotype"/>
          <w:i/>
        </w:rPr>
        <w:t>tablecidas en las mismas. Una vez efectuado el análisis cualitativo de las propuestas presentadas, emitirá el dictamen de adjudicación a favor del oferente u oferentes que reúnan los requisitos administrativos, financieros, legales y técnicos requeridos po</w:t>
      </w:r>
      <w:r>
        <w:rPr>
          <w:rFonts w:ascii="Palatino Linotype" w:eastAsia="Palatino Linotype" w:hAnsi="Palatino Linotype" w:cs="Palatino Linotype"/>
          <w:i/>
        </w:rPr>
        <w:t>r la convocante; garantizando en todo momento la obtención de las mejores condiciones en cuanto a precio, calidad, financiamiento, oportunidad y demás circunstancias pertinentes.</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Artículo 38.-</w:t>
      </w:r>
      <w:r>
        <w:rPr>
          <w:rFonts w:ascii="Palatino Linotype" w:eastAsia="Palatino Linotype" w:hAnsi="Palatino Linotype" w:cs="Palatino Linotype"/>
          <w:i/>
        </w:rPr>
        <w:t xml:space="preserve"> La convocante emitirá el fallo con base en el dictamen de adjud</w:t>
      </w:r>
      <w:r>
        <w:rPr>
          <w:rFonts w:ascii="Palatino Linotype" w:eastAsia="Palatino Linotype" w:hAnsi="Palatino Linotype" w:cs="Palatino Linotype"/>
          <w:i/>
        </w:rPr>
        <w:t>icación emitido por el comité de adquisiciones y servicios, y lo dará a conocer a los licitantes en junta pública, cuya fecha se informará en el acto de presentación y apertura de proposiciones, pudiéndose diferir por una sola ocasión.</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w:t>
      </w:r>
      <w:r>
        <w:rPr>
          <w:rFonts w:ascii="Palatino Linotype" w:eastAsia="Palatino Linotype" w:hAnsi="Palatino Linotype" w:cs="Palatino Linotype"/>
          <w:i/>
        </w:rPr>
        <w:t>rato respectivo, en los términos señalados en el fallo.</w:t>
      </w:r>
      <w:r>
        <w:rPr>
          <w:rFonts w:ascii="Palatino Linotype" w:eastAsia="Palatino Linotype" w:hAnsi="Palatino Linotype" w:cs="Palatino Linotype"/>
          <w:b/>
          <w:i/>
        </w:rPr>
        <w:t>”</w:t>
      </w:r>
      <w:r>
        <w:rPr>
          <w:rFonts w:ascii="Palatino Linotype" w:eastAsia="Palatino Linotype" w:hAnsi="Palatino Linotype" w:cs="Palatino Linotype"/>
          <w:i/>
        </w:rPr>
        <w:t> </w:t>
      </w: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por cuanto hace a la invitación restringida el artículo 44 de la Ley de la Contratación Pública del Estado de México y Municipios, dispone que podrá realizarse cuando se hubiere declarad</w:t>
      </w:r>
      <w:r>
        <w:rPr>
          <w:rFonts w:ascii="Palatino Linotype" w:eastAsia="Palatino Linotype" w:hAnsi="Palatino Linotype" w:cs="Palatino Linotype"/>
          <w:sz w:val="24"/>
          <w:szCs w:val="24"/>
        </w:rPr>
        <w:t xml:space="preserve">o desierto un procedimiento de licitación o </w:t>
      </w:r>
      <w:r>
        <w:rPr>
          <w:rFonts w:ascii="Palatino Linotype" w:eastAsia="Palatino Linotype" w:hAnsi="Palatino Linotype" w:cs="Palatino Linotype"/>
          <w:sz w:val="24"/>
          <w:szCs w:val="24"/>
        </w:rPr>
        <w:lastRenderedPageBreak/>
        <w:t>cuando el importe de la operación no exceda de los montos establecidos por el Presupuesto de Egresos del Gobierno del Estado de México del ejercicio correspondiente. </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Además, es oportuno señalar que, las disposi</w:t>
      </w:r>
      <w:r>
        <w:rPr>
          <w:rFonts w:ascii="Palatino Linotype" w:eastAsia="Palatino Linotype" w:hAnsi="Palatino Linotype" w:cs="Palatino Linotype"/>
          <w:sz w:val="24"/>
          <w:szCs w:val="24"/>
        </w:rPr>
        <w:t>ciones respecto a las bases, dictámenes, fallos y fianzas, se realizan con similitud al procedimiento de licitación pública, tal como lo señalan los artículos 46 y 90 de la misma Ley, que literalmente establecen</w:t>
      </w:r>
      <w:r>
        <w:rPr>
          <w:rFonts w:ascii="Palatino Linotype" w:eastAsia="Palatino Linotype" w:hAnsi="Palatino Linotype" w:cs="Palatino Linotype"/>
        </w:rPr>
        <w:t>:</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rPr>
      </w:pP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46.-</w:t>
      </w:r>
      <w:r>
        <w:rPr>
          <w:rFonts w:ascii="Palatino Linotype" w:eastAsia="Palatino Linotype" w:hAnsi="Palatino Linotype" w:cs="Palatino Linotype"/>
          <w:i/>
        </w:rPr>
        <w:t xml:space="preserve"> El procedimiento de invitac</w:t>
      </w:r>
      <w:r>
        <w:rPr>
          <w:rFonts w:ascii="Palatino Linotype" w:eastAsia="Palatino Linotype" w:hAnsi="Palatino Linotype" w:cs="Palatino Linotype"/>
          <w:i/>
        </w:rPr>
        <w:t>ión restringida se desarrollará en los términos de la licitación pública, a excepción de la publicación de la convocatoria.</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w:t>
      </w:r>
      <w:r>
        <w:rPr>
          <w:rFonts w:ascii="Palatino Linotype" w:eastAsia="Palatino Linotype" w:hAnsi="Palatino Linotype" w:cs="Palatino Linotype"/>
          <w:i/>
        </w:rPr>
        <w:t xml:space="preserve">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Por ello, el Reglamento de la Ley en comento, en su artículo 90, indica cuales lo son los supuestos que deberán observarse para l</w:t>
      </w:r>
      <w:r>
        <w:rPr>
          <w:rFonts w:ascii="Palatino Linotype" w:eastAsia="Palatino Linotype" w:hAnsi="Palatino Linotype" w:cs="Palatino Linotype"/>
          <w:i/>
        </w:rPr>
        <w:t>levar a cabo dicho procedimiento:</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Artículo 90.-</w:t>
      </w:r>
      <w:r>
        <w:rPr>
          <w:rFonts w:ascii="Palatino Linotype" w:eastAsia="Palatino Linotype" w:hAnsi="Palatino Linotype" w:cs="Palatino Linotype"/>
          <w:i/>
        </w:rPr>
        <w:t xml:space="preserve"> En el procedimiento de invitación restringida se deberá observar lo siguiente:</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 xml:space="preserve">I. Se invitará a un mínimo de tres personas seleccionadas de entre las que se encuentren inscritas en el catálogo de proveedores </w:t>
      </w:r>
      <w:r>
        <w:rPr>
          <w:rFonts w:ascii="Palatino Linotype" w:eastAsia="Palatino Linotype" w:hAnsi="Palatino Linotype" w:cs="Palatino Linotype"/>
          <w:i/>
        </w:rPr>
        <w:t>y de prestadores de servicios.</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i/>
        </w:rPr>
        <w:t xml:space="preserve">II. </w:t>
      </w:r>
      <w:r>
        <w:rPr>
          <w:rFonts w:ascii="Palatino Linotype" w:eastAsia="Palatino Linotype" w:hAnsi="Palatino Linotype" w:cs="Palatino Linotype"/>
          <w:i/>
        </w:rPr>
        <w:t>Las bases de la invitación restringida indicarán los aspectos de la adquisición o contratación; y</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i/>
        </w:rPr>
        <w:t>III. Serán aplicables, en lo conducente, las disposiciones de la licitación pública.</w:t>
      </w:r>
      <w:r>
        <w:rPr>
          <w:rFonts w:ascii="Palatino Linotype" w:eastAsia="Palatino Linotype" w:hAnsi="Palatino Linotype" w:cs="Palatino Linotype"/>
          <w:b/>
          <w:i/>
        </w:rPr>
        <w:t>”</w:t>
      </w:r>
    </w:p>
    <w:p w:rsidR="007B41FA" w:rsidRDefault="007B41F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conclusión, referente a este punto cuando los procedimientos de adquisición o prestación de servicios materia de la Ley en cita, se hubieran llevado a cabo mediante invitación restringida, por cada procedimiento se debe contar con las bases, dictámenes,</w:t>
      </w:r>
      <w:r>
        <w:rPr>
          <w:rFonts w:ascii="Palatino Linotype" w:eastAsia="Palatino Linotype" w:hAnsi="Palatino Linotype" w:cs="Palatino Linotype"/>
          <w:sz w:val="24"/>
          <w:szCs w:val="24"/>
        </w:rPr>
        <w:t xml:space="preserve"> fallos y en su caso, fianzas, de haber sido esta la garantía exhibida.</w:t>
      </w: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último, y en cuanto hace a la adjudicación directa, el artículo 48 de la Ley de la Contratación Pública del Estado de México y Municipios y 91 del Reglamento de dicha Ley, indican </w:t>
      </w:r>
      <w:r>
        <w:rPr>
          <w:rFonts w:ascii="Palatino Linotype" w:eastAsia="Palatino Linotype" w:hAnsi="Palatino Linotype" w:cs="Palatino Linotype"/>
          <w:sz w:val="24"/>
          <w:szCs w:val="24"/>
        </w:rPr>
        <w:t>en qué supuestos puede llevarse a cabo este procedimiento.</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el convocante debe solicitar a su comité el dictamen correspondiente del procedimiento de adjudicación directa, en el que se acredite previamente la descripción general de los bie</w:t>
      </w:r>
      <w:r>
        <w:rPr>
          <w:rFonts w:ascii="Palatino Linotype" w:eastAsia="Palatino Linotype" w:hAnsi="Palatino Linotype" w:cs="Palatino Linotype"/>
          <w:sz w:val="24"/>
          <w:szCs w:val="24"/>
        </w:rPr>
        <w:t>nes a adquirir; la justificación o conveniencia de llevar a cabo la adjudicación directa; y la certificación de suficiencia presupuestaria.</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el artículo 94 del referido Reglamento, detalla el procedimiento que se llevará a cabo en la adjudicación d</w:t>
      </w:r>
      <w:r>
        <w:rPr>
          <w:rFonts w:ascii="Palatino Linotype" w:eastAsia="Palatino Linotype" w:hAnsi="Palatino Linotype" w:cs="Palatino Linotype"/>
          <w:sz w:val="24"/>
          <w:szCs w:val="24"/>
        </w:rPr>
        <w:t>irecta, de la siguiente manera: </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“Artículo 94.- </w:t>
      </w:r>
      <w:r>
        <w:rPr>
          <w:rFonts w:ascii="Palatino Linotype" w:eastAsia="Palatino Linotype" w:hAnsi="Palatino Linotype" w:cs="Palatino Linotype"/>
          <w:i/>
        </w:rPr>
        <w:t>En el procedimiento de adjudicación directa se observará lo siguiente:</w:t>
      </w:r>
      <w:r>
        <w:rPr>
          <w:rFonts w:ascii="Palatino Linotype" w:eastAsia="Palatino Linotype" w:hAnsi="Palatino Linotype" w:cs="Palatino Linotype"/>
          <w:b/>
          <w:i/>
        </w:rPr>
        <w:t> </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Las adquisiciones de bienes y </w:t>
      </w:r>
      <w:r>
        <w:rPr>
          <w:rFonts w:ascii="Palatino Linotype" w:eastAsia="Palatino Linotype" w:hAnsi="Palatino Linotype" w:cs="Palatino Linotype"/>
          <w:b/>
          <w:i/>
          <w:u w:val="single"/>
        </w:rPr>
        <w:t xml:space="preserve">la contratación de servicios, </w:t>
      </w:r>
      <w:r>
        <w:rPr>
          <w:rFonts w:ascii="Palatino Linotype" w:eastAsia="Palatino Linotype" w:hAnsi="Palatino Linotype" w:cs="Palatino Linotype"/>
          <w:i/>
        </w:rPr>
        <w:t xml:space="preserve">se efectuaran previa dictaminación del comité, a excepción de los casos </w:t>
      </w:r>
      <w:r>
        <w:rPr>
          <w:rFonts w:ascii="Palatino Linotype" w:eastAsia="Palatino Linotype" w:hAnsi="Palatino Linotype" w:cs="Palatino Linotype"/>
          <w:i/>
        </w:rPr>
        <w:t>previstos en las fracciones IV, VII, IX y XI del artículo 48 de la Ley; las contrataciones que se realicen con fundamento en las fracciones IV y VII, deberán corresponder a lo estrictamente necesario para atender la eventualidad o urgencia y no deberán obs</w:t>
      </w:r>
      <w:r>
        <w:rPr>
          <w:rFonts w:ascii="Palatino Linotype" w:eastAsia="Palatino Linotype" w:hAnsi="Palatino Linotype" w:cs="Palatino Linotype"/>
          <w:i/>
        </w:rPr>
        <w:t>ervar ninguna otra formalidad más que la suscripción del contrato respectivo.</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considerará a la persona que atendiendo al bien o servicio que se pretenda adquirir o contratar, pueda suministrarlo o prestarlo en las mejores condiciones disponibles en </w:t>
      </w:r>
      <w:r>
        <w:rPr>
          <w:rFonts w:ascii="Palatino Linotype" w:eastAsia="Palatino Linotype" w:hAnsi="Palatino Linotype" w:cs="Palatino Linotype"/>
          <w:i/>
        </w:rPr>
        <w:t>cuanto a precio, calidad, financiamiento, oportunidad y demás circunstancias pertinentes;</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solicitud de participación contendrá, como mínimo, la descripción y cantidad de los bienes o servicios requeridos, lugar, plazo de entrega o duración del servicio y forma de pago;</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IV.</w:t>
      </w:r>
      <w:r>
        <w:rPr>
          <w:rFonts w:ascii="Palatino Linotype" w:eastAsia="Palatino Linotype" w:hAnsi="Palatino Linotype" w:cs="Palatino Linotype"/>
          <w:i/>
        </w:rPr>
        <w:t xml:space="preserve"> La solicitud de participación deberá señalar el día, hora y lugar en</w:t>
      </w:r>
      <w:r>
        <w:rPr>
          <w:rFonts w:ascii="Palatino Linotype" w:eastAsia="Palatino Linotype" w:hAnsi="Palatino Linotype" w:cs="Palatino Linotype"/>
          <w:i/>
        </w:rPr>
        <w:t xml:space="preserve"> que tendrá verificativo el acto de presentación y apertura de ofertas;</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Atendiendo a la naturaleza de los bienes o servicios, la convocante podrá optar entre celebrar o no junta de aclaraciones, en términos de lo dispuesto por este Reglamento;</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El se</w:t>
      </w:r>
      <w:r>
        <w:rPr>
          <w:rFonts w:ascii="Palatino Linotype" w:eastAsia="Palatino Linotype" w:hAnsi="Palatino Linotype" w:cs="Palatino Linotype"/>
          <w:i/>
        </w:rPr>
        <w:t>rvidor público designado por la convocante será el responsable de llevar a cabo el acto de presentación y apertura de propuestas;</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VII.</w:t>
      </w:r>
      <w:r>
        <w:rPr>
          <w:rFonts w:ascii="Palatino Linotype" w:eastAsia="Palatino Linotype" w:hAnsi="Palatino Linotype" w:cs="Palatino Linotype"/>
          <w:i/>
        </w:rPr>
        <w:t xml:space="preserve"> Se observarán, en lo conducente, las disposiciones relativas a la contraoferta; y</w:t>
      </w:r>
    </w:p>
    <w:p w:rsidR="007B41FA" w:rsidRDefault="0033092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El comité será responsable de emitir el dictamen de adjudicación que servirá de base para el fallo de adjudicación; correspondiendo a la convocante emitir dicho fallo, quien lo hará del conocimiento de los licitantes.</w:t>
      </w:r>
      <w:r>
        <w:rPr>
          <w:rFonts w:ascii="Palatino Linotype" w:eastAsia="Palatino Linotype" w:hAnsi="Palatino Linotype" w:cs="Palatino Linotype"/>
          <w:b/>
          <w:i/>
        </w:rPr>
        <w:t>”</w:t>
      </w:r>
      <w:r>
        <w:rPr>
          <w:rFonts w:ascii="Palatino Linotype" w:eastAsia="Palatino Linotype" w:hAnsi="Palatino Linotype" w:cs="Palatino Linotype"/>
          <w:i/>
        </w:rPr>
        <w:t> (Énfasis añadido)</w:t>
      </w:r>
    </w:p>
    <w:p w:rsidR="007B41FA" w:rsidRDefault="007B41F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p>
    <w:p w:rsidR="007B41FA" w:rsidRDefault="00330928">
      <w:p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w:t>
      </w:r>
      <w:r>
        <w:rPr>
          <w:rFonts w:ascii="Palatino Linotype" w:eastAsia="Palatino Linotype" w:hAnsi="Palatino Linotype" w:cs="Palatino Linotype"/>
          <w:sz w:val="24"/>
          <w:szCs w:val="24"/>
        </w:rPr>
        <w:t xml:space="preserve">debe decirse que los </w:t>
      </w:r>
      <w:r>
        <w:rPr>
          <w:rFonts w:ascii="Palatino Linotype" w:eastAsia="Palatino Linotype" w:hAnsi="Palatino Linotype" w:cs="Palatino Linotype"/>
          <w:b/>
          <w:sz w:val="24"/>
          <w:szCs w:val="24"/>
          <w:u w:val="single"/>
        </w:rPr>
        <w:t>expedientes de las adquisiciones, arrendamientos, enajenaciones y servicios</w:t>
      </w:r>
      <w:r>
        <w:rPr>
          <w:rFonts w:ascii="Palatino Linotype" w:eastAsia="Palatino Linotype" w:hAnsi="Palatino Linotype" w:cs="Palatino Linotype"/>
          <w:sz w:val="24"/>
          <w:szCs w:val="24"/>
        </w:rPr>
        <w:t>, se encuentra considerada como una de las obligaciones de transparencias comunes que los Sujetos Obligados tienen el deber de poner a disposición del público d</w:t>
      </w:r>
      <w:r>
        <w:rPr>
          <w:rFonts w:ascii="Palatino Linotype" w:eastAsia="Palatino Linotype" w:hAnsi="Palatino Linotype" w:cs="Palatino Linotype"/>
          <w:sz w:val="24"/>
          <w:szCs w:val="24"/>
        </w:rPr>
        <w:t>e manera permanente y actualizada de forma sencilla, precisa y entendible, en los respectivos medios electrónicos, de acuerdo con sus facultades, atribuciones, funciones u objeto social, según corresponda; esto conforme a lo establecido en el artículo 92 d</w:t>
      </w:r>
      <w:r>
        <w:rPr>
          <w:rFonts w:ascii="Palatino Linotype" w:eastAsia="Palatino Linotype" w:hAnsi="Palatino Linotype" w:cs="Palatino Linotype"/>
          <w:sz w:val="24"/>
          <w:szCs w:val="24"/>
        </w:rPr>
        <w:t>e la de la Ley de Transparencia y Acceso a la Información Pública del Estado de México y Municipios, en su fracción XXIX, dispone lo siguiente:</w:t>
      </w:r>
    </w:p>
    <w:p w:rsidR="007B41FA" w:rsidRDefault="00330928">
      <w:pPr>
        <w:pBdr>
          <w:top w:val="nil"/>
          <w:left w:val="nil"/>
          <w:bottom w:val="nil"/>
          <w:right w:val="nil"/>
          <w:between w:val="nil"/>
        </w:pBdr>
        <w:spacing w:before="240"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“Artículo 92. </w:t>
      </w:r>
      <w:r>
        <w:rPr>
          <w:rFonts w:ascii="Palatino Linotype" w:eastAsia="Palatino Linotype" w:hAnsi="Palatino Linotype" w:cs="Palatino Linotype"/>
          <w:i/>
        </w:rPr>
        <w:t>Los sujetos obligados deberán poner a disposición del público de manera permanente y actualizada d</w:t>
      </w:r>
      <w:r>
        <w:rPr>
          <w:rFonts w:ascii="Palatino Linotype" w:eastAsia="Palatino Linotype" w:hAnsi="Palatino Linotype" w:cs="Palatino Linotype"/>
          <w:i/>
        </w:rPr>
        <w:t>e forma sencilla, precisa y entendible, en los respectivos medios electrónicos, de acuerdo con sus facultades, atribuciones, funciones u objeto social, según corresponda, la información, por lo menos, de los temas, documentos y políticas que a continuación</w:t>
      </w:r>
      <w:r>
        <w:rPr>
          <w:rFonts w:ascii="Palatino Linotype" w:eastAsia="Palatino Linotype" w:hAnsi="Palatino Linotype" w:cs="Palatino Linotype"/>
          <w:i/>
        </w:rPr>
        <w:t xml:space="preserve"> se señalan:</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i/>
        </w:rPr>
        <w:t>(…)</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XXIX. </w:t>
      </w:r>
      <w:r>
        <w:rPr>
          <w:rFonts w:ascii="Palatino Linotype" w:eastAsia="Palatino Linotype" w:hAnsi="Palatino Linotype" w:cs="Palatino Linotype"/>
          <w:b/>
          <w:i/>
          <w:u w:val="single"/>
        </w:rPr>
        <w:t>La información sobre los procesos y resultados sobre procedimientos de adjudicación directa, invitación restringida y licitación de cualquier naturaleza,</w:t>
      </w:r>
      <w:r>
        <w:rPr>
          <w:rFonts w:ascii="Palatino Linotype" w:eastAsia="Palatino Linotype" w:hAnsi="Palatino Linotype" w:cs="Palatino Linotype"/>
          <w:i/>
        </w:rPr>
        <w:t> </w:t>
      </w:r>
      <w:r>
        <w:rPr>
          <w:rFonts w:ascii="Palatino Linotype" w:eastAsia="Palatino Linotype" w:hAnsi="Palatino Linotype" w:cs="Palatino Linotype"/>
          <w:b/>
          <w:i/>
          <w:u w:val="single"/>
        </w:rPr>
        <w:t>incluyendo la versión pública del expediente respectivo y de los contratos</w:t>
      </w:r>
      <w:r>
        <w:rPr>
          <w:rFonts w:ascii="Palatino Linotype" w:eastAsia="Palatino Linotype" w:hAnsi="Palatino Linotype" w:cs="Palatino Linotype"/>
          <w:i/>
        </w:rPr>
        <w:t> celebrados, que deberán contener, por los menos, lo siguiente:</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u w:val="single"/>
        </w:rPr>
      </w:pPr>
      <w:r>
        <w:rPr>
          <w:rFonts w:ascii="Palatino Linotype" w:eastAsia="Palatino Linotype" w:hAnsi="Palatino Linotype" w:cs="Palatino Linotype"/>
          <w:b/>
          <w:i/>
          <w:u w:val="single"/>
        </w:rPr>
        <w:t>a) De licitaciones públicas o procedimientos de invitación restringida:</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1)</w:t>
      </w:r>
      <w:r>
        <w:rPr>
          <w:rFonts w:ascii="Palatino Linotype" w:eastAsia="Palatino Linotype" w:hAnsi="Palatino Linotype" w:cs="Palatino Linotype"/>
          <w:i/>
        </w:rPr>
        <w:t> La convocatoria o invitación emitida, así como los fundamentos legales aplicados para llevarla a cabo;</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2) </w:t>
      </w:r>
      <w:r>
        <w:rPr>
          <w:rFonts w:ascii="Palatino Linotype" w:eastAsia="Palatino Linotype" w:hAnsi="Palatino Linotype" w:cs="Palatino Linotype"/>
          <w:i/>
        </w:rPr>
        <w:t>Los nombres</w:t>
      </w:r>
      <w:r>
        <w:rPr>
          <w:rFonts w:ascii="Palatino Linotype" w:eastAsia="Palatino Linotype" w:hAnsi="Palatino Linotype" w:cs="Palatino Linotype"/>
          <w:i/>
        </w:rPr>
        <w:t xml:space="preserve"> de los participantes o invitados;</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3)</w:t>
      </w:r>
      <w:r>
        <w:rPr>
          <w:rFonts w:ascii="Palatino Linotype" w:eastAsia="Palatino Linotype" w:hAnsi="Palatino Linotype" w:cs="Palatino Linotype"/>
          <w:i/>
        </w:rPr>
        <w:t> El nombre del ganador y las razones que lo justifican;</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4) </w:t>
      </w:r>
      <w:r>
        <w:rPr>
          <w:rFonts w:ascii="Palatino Linotype" w:eastAsia="Palatino Linotype" w:hAnsi="Palatino Linotype" w:cs="Palatino Linotype"/>
          <w:i/>
        </w:rPr>
        <w:t>El área solicitante y la responsable de su ejecución;</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5) </w:t>
      </w:r>
      <w:r>
        <w:rPr>
          <w:rFonts w:ascii="Palatino Linotype" w:eastAsia="Palatino Linotype" w:hAnsi="Palatino Linotype" w:cs="Palatino Linotype"/>
          <w:i/>
        </w:rPr>
        <w:t>Las convocatorias e invitaciones emitidas;</w:t>
      </w:r>
    </w:p>
    <w:p w:rsidR="007B41FA" w:rsidRDefault="00330928">
      <w:pPr>
        <w:pBdr>
          <w:top w:val="nil"/>
          <w:left w:val="nil"/>
          <w:bottom w:val="nil"/>
          <w:right w:val="nil"/>
          <w:between w:val="nil"/>
        </w:pBdr>
        <w:spacing w:after="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rPr>
        <w:t>6)</w:t>
      </w:r>
      <w:r>
        <w:rPr>
          <w:rFonts w:ascii="Palatino Linotype" w:eastAsia="Palatino Linotype" w:hAnsi="Palatino Linotype" w:cs="Palatino Linotype"/>
          <w:i/>
        </w:rPr>
        <w:t> Los dictámenes y fallo de adjudicación;</w:t>
      </w:r>
    </w:p>
    <w:p w:rsidR="007B41FA" w:rsidRDefault="00330928">
      <w:pPr>
        <w:pBdr>
          <w:top w:val="nil"/>
          <w:left w:val="nil"/>
          <w:bottom w:val="nil"/>
          <w:right w:val="nil"/>
          <w:between w:val="nil"/>
        </w:pBdr>
        <w:spacing w:after="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u w:val="single"/>
        </w:rPr>
        <w:t>7) El contrato y, en su caso, sus anexos</w:t>
      </w:r>
      <w:r>
        <w:rPr>
          <w:rFonts w:ascii="Palatino Linotype" w:eastAsia="Palatino Linotype" w:hAnsi="Palatino Linotype" w:cs="Palatino Linotype"/>
          <w:i/>
        </w:rPr>
        <w:t>;</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8) </w:t>
      </w:r>
      <w:r>
        <w:rPr>
          <w:rFonts w:ascii="Palatino Linotype" w:eastAsia="Palatino Linotype" w:hAnsi="Palatino Linotype" w:cs="Palatino Linotype"/>
          <w:i/>
        </w:rPr>
        <w:t>Los mecanismos de vigilancia y supervisión, incluyendo en su caso, los estudios de impacto urbano y ambiental, según corresponda;</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9) </w:t>
      </w:r>
      <w:r>
        <w:rPr>
          <w:rFonts w:ascii="Palatino Linotype" w:eastAsia="Palatino Linotype" w:hAnsi="Palatino Linotype" w:cs="Palatino Linotype"/>
          <w:i/>
        </w:rPr>
        <w:t>La partida presupuestal, de conformidad con el clasificador por objeto del gas</w:t>
      </w:r>
      <w:r>
        <w:rPr>
          <w:rFonts w:ascii="Palatino Linotype" w:eastAsia="Palatino Linotype" w:hAnsi="Palatino Linotype" w:cs="Palatino Linotype"/>
          <w:i/>
        </w:rPr>
        <w:t>to, en el caso de ser aplicable;</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10) </w:t>
      </w:r>
      <w:r>
        <w:rPr>
          <w:rFonts w:ascii="Palatino Linotype" w:eastAsia="Palatino Linotype" w:hAnsi="Palatino Linotype" w:cs="Palatino Linotype"/>
          <w:i/>
        </w:rPr>
        <w:t>Origen de los recursos especificando si son federales, estatales o municipales, así como el tipo de fondo de participación o aportación respectiva;</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11) </w:t>
      </w:r>
      <w:r>
        <w:rPr>
          <w:rFonts w:ascii="Palatino Linotype" w:eastAsia="Palatino Linotype" w:hAnsi="Palatino Linotype" w:cs="Palatino Linotype"/>
          <w:i/>
        </w:rPr>
        <w:t>Los convenios modificatorios que, en su caso, sean firmados, precis</w:t>
      </w:r>
      <w:r>
        <w:rPr>
          <w:rFonts w:ascii="Palatino Linotype" w:eastAsia="Palatino Linotype" w:hAnsi="Palatino Linotype" w:cs="Palatino Linotype"/>
          <w:i/>
        </w:rPr>
        <w:t>ando el objeto y la fecha de celebración;</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12) </w:t>
      </w:r>
      <w:r>
        <w:rPr>
          <w:rFonts w:ascii="Palatino Linotype" w:eastAsia="Palatino Linotype" w:hAnsi="Palatino Linotype" w:cs="Palatino Linotype"/>
          <w:i/>
        </w:rPr>
        <w:t>Los informes de avance físico y financiero sobre las obras o servicios contratados;</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13) </w:t>
      </w:r>
      <w:r>
        <w:rPr>
          <w:rFonts w:ascii="Palatino Linotype" w:eastAsia="Palatino Linotype" w:hAnsi="Palatino Linotype" w:cs="Palatino Linotype"/>
          <w:i/>
        </w:rPr>
        <w:t>El convenio de terminación; y</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14) </w:t>
      </w:r>
      <w:r>
        <w:rPr>
          <w:rFonts w:ascii="Palatino Linotype" w:eastAsia="Palatino Linotype" w:hAnsi="Palatino Linotype" w:cs="Palatino Linotype"/>
          <w:i/>
        </w:rPr>
        <w:t>El finiquito.</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b) </w:t>
      </w:r>
      <w:r>
        <w:rPr>
          <w:rFonts w:ascii="Palatino Linotype" w:eastAsia="Palatino Linotype" w:hAnsi="Palatino Linotype" w:cs="Palatino Linotype"/>
          <w:i/>
        </w:rPr>
        <w:t>De las adjudicaciones directas:</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1) </w:t>
      </w:r>
      <w:r>
        <w:rPr>
          <w:rFonts w:ascii="Palatino Linotype" w:eastAsia="Palatino Linotype" w:hAnsi="Palatino Linotype" w:cs="Palatino Linotype"/>
          <w:i/>
        </w:rPr>
        <w:t>La propuesta enviada por el participante;</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2) </w:t>
      </w:r>
      <w:r>
        <w:rPr>
          <w:rFonts w:ascii="Palatino Linotype" w:eastAsia="Palatino Linotype" w:hAnsi="Palatino Linotype" w:cs="Palatino Linotype"/>
          <w:i/>
        </w:rPr>
        <w:t>Los motivos y fundamentos legales aplicados para llevarla a cabo;</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3) </w:t>
      </w:r>
      <w:r>
        <w:rPr>
          <w:rFonts w:ascii="Palatino Linotype" w:eastAsia="Palatino Linotype" w:hAnsi="Palatino Linotype" w:cs="Palatino Linotype"/>
          <w:i/>
        </w:rPr>
        <w:t>La autorización del ejercicio de la opción;</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4)</w:t>
      </w:r>
      <w:r>
        <w:rPr>
          <w:rFonts w:ascii="Palatino Linotype" w:eastAsia="Palatino Linotype" w:hAnsi="Palatino Linotype" w:cs="Palatino Linotype"/>
          <w:i/>
        </w:rPr>
        <w:t> En su caso, las cotizaciones consideradas, especificando los nombres de los proveedores y sus m</w:t>
      </w:r>
      <w:r>
        <w:rPr>
          <w:rFonts w:ascii="Palatino Linotype" w:eastAsia="Palatino Linotype" w:hAnsi="Palatino Linotype" w:cs="Palatino Linotype"/>
          <w:i/>
        </w:rPr>
        <w:t>ontos;</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5) </w:t>
      </w:r>
      <w:r>
        <w:rPr>
          <w:rFonts w:ascii="Palatino Linotype" w:eastAsia="Palatino Linotype" w:hAnsi="Palatino Linotype" w:cs="Palatino Linotype"/>
          <w:i/>
        </w:rPr>
        <w:t>El nombre de la persona física o jurídica colectiva adjudicada;</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6) </w:t>
      </w:r>
      <w:r>
        <w:rPr>
          <w:rFonts w:ascii="Palatino Linotype" w:eastAsia="Palatino Linotype" w:hAnsi="Palatino Linotype" w:cs="Palatino Linotype"/>
          <w:i/>
        </w:rPr>
        <w:t>La unidad administrativa solicitante y la responsable de su ejecución;</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7)</w:t>
      </w:r>
      <w:r>
        <w:rPr>
          <w:rFonts w:ascii="Palatino Linotype" w:eastAsia="Palatino Linotype" w:hAnsi="Palatino Linotype" w:cs="Palatino Linotype"/>
          <w:i/>
        </w:rPr>
        <w:t> El número, fecha, el monto del contrato y el plazo de entrega o de ejecución de los servicios u obra;</w:t>
      </w:r>
    </w:p>
    <w:p w:rsidR="007B41FA" w:rsidRDefault="00330928">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sz w:val="20"/>
          <w:szCs w:val="20"/>
        </w:rPr>
      </w:pPr>
      <w:r>
        <w:rPr>
          <w:rFonts w:ascii="Palatino Linotype" w:eastAsia="Palatino Linotype" w:hAnsi="Palatino Linotype" w:cs="Palatino Linotype"/>
          <w:b/>
          <w:i/>
        </w:rPr>
        <w:t>8) </w:t>
      </w:r>
      <w:r>
        <w:rPr>
          <w:rFonts w:ascii="Palatino Linotype" w:eastAsia="Palatino Linotype" w:hAnsi="Palatino Linotype" w:cs="Palatino Linotype"/>
          <w:i/>
        </w:rPr>
        <w:t>Los mecanismos de vigilancia y supervisión, incluyendo, en su caso, los estudios de impacto urbano y ambiental, según corresponda;</w:t>
      </w:r>
    </w:p>
    <w:p w:rsidR="007B41FA" w:rsidRDefault="00330928">
      <w:pPr>
        <w:pBdr>
          <w:top w:val="nil"/>
          <w:left w:val="nil"/>
          <w:bottom w:val="nil"/>
          <w:right w:val="nil"/>
          <w:between w:val="nil"/>
        </w:pBdr>
        <w:spacing w:after="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rPr>
        <w:t>9) </w:t>
      </w:r>
      <w:r>
        <w:rPr>
          <w:rFonts w:ascii="Palatino Linotype" w:eastAsia="Palatino Linotype" w:hAnsi="Palatino Linotype" w:cs="Palatino Linotype"/>
          <w:i/>
        </w:rPr>
        <w:t>Los informes de avance sobre las obras o servicios contratados;</w:t>
      </w:r>
    </w:p>
    <w:p w:rsidR="007B41FA" w:rsidRDefault="00330928">
      <w:pPr>
        <w:pBdr>
          <w:top w:val="nil"/>
          <w:left w:val="nil"/>
          <w:bottom w:val="nil"/>
          <w:right w:val="nil"/>
          <w:between w:val="nil"/>
        </w:pBdr>
        <w:spacing w:after="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rPr>
        <w:t>10) </w:t>
      </w:r>
      <w:r>
        <w:rPr>
          <w:rFonts w:ascii="Palatino Linotype" w:eastAsia="Palatino Linotype" w:hAnsi="Palatino Linotype" w:cs="Palatino Linotype"/>
          <w:i/>
        </w:rPr>
        <w:t>El convenio de terminación; y</w:t>
      </w:r>
    </w:p>
    <w:p w:rsidR="007B41FA" w:rsidRDefault="00330928">
      <w:pPr>
        <w:pBdr>
          <w:top w:val="nil"/>
          <w:left w:val="nil"/>
          <w:bottom w:val="nil"/>
          <w:right w:val="nil"/>
          <w:between w:val="nil"/>
        </w:pBdr>
        <w:spacing w:after="0" w:line="276" w:lineRule="auto"/>
        <w:ind w:left="567"/>
        <w:jc w:val="both"/>
        <w:rPr>
          <w:rFonts w:ascii="Palatino Linotype" w:eastAsia="Palatino Linotype" w:hAnsi="Palatino Linotype" w:cs="Palatino Linotype"/>
          <w:b/>
          <w:i/>
        </w:rPr>
      </w:pPr>
      <w:r>
        <w:rPr>
          <w:rFonts w:ascii="Palatino Linotype" w:eastAsia="Palatino Linotype" w:hAnsi="Palatino Linotype" w:cs="Palatino Linotype"/>
          <w:b/>
          <w:i/>
        </w:rPr>
        <w:t>11) </w:t>
      </w:r>
      <w:r>
        <w:rPr>
          <w:rFonts w:ascii="Palatino Linotype" w:eastAsia="Palatino Linotype" w:hAnsi="Palatino Linotype" w:cs="Palatino Linotype"/>
          <w:i/>
        </w:rPr>
        <w:t>El finiquito.</w:t>
      </w:r>
      <w:r>
        <w:rPr>
          <w:rFonts w:ascii="Palatino Linotype" w:eastAsia="Palatino Linotype" w:hAnsi="Palatino Linotype" w:cs="Palatino Linotype"/>
          <w:b/>
          <w:i/>
        </w:rPr>
        <w:t>”</w:t>
      </w:r>
    </w:p>
    <w:p w:rsidR="007B41FA" w:rsidRDefault="007B41FA">
      <w:pPr>
        <w:pBdr>
          <w:top w:val="nil"/>
          <w:left w:val="nil"/>
          <w:bottom w:val="nil"/>
          <w:right w:val="nil"/>
          <w:between w:val="nil"/>
        </w:pBdr>
        <w:spacing w:after="0" w:line="276" w:lineRule="auto"/>
        <w:ind w:left="567"/>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están obligados a poner a disposición del público de manera constante y actualizada, de forma sencilla, precisa y entendible, en los respectivos medios electrónicos, la información referente a los proc</w:t>
      </w:r>
      <w:r>
        <w:rPr>
          <w:rFonts w:ascii="Palatino Linotype" w:eastAsia="Palatino Linotype" w:hAnsi="Palatino Linotype" w:cs="Palatino Linotype"/>
          <w:sz w:val="24"/>
          <w:szCs w:val="24"/>
        </w:rPr>
        <w:t>esos y resultados sobre procedimientos de adjudicación directa, invitación restringida y licitación de cualquier naturaleza, en el que se debe contener dentro de la versión pública del expediente respectivo los contratos celebrados, el cual debe contener e</w:t>
      </w:r>
      <w:r>
        <w:rPr>
          <w:rFonts w:ascii="Palatino Linotype" w:eastAsia="Palatino Linotype" w:hAnsi="Palatino Linotype" w:cs="Palatino Linotype"/>
          <w:sz w:val="24"/>
          <w:szCs w:val="24"/>
        </w:rPr>
        <w:t>ntre otros requisitos, nombre de los prestadores de los servicios y sus montos, así como el origen de los recursos.</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interpretación armónica de los preceptos transcritos, se advierte que el</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Sujeto Obligado, cuenta con la competencia para regular los </w:t>
      </w:r>
      <w:r>
        <w:rPr>
          <w:rFonts w:ascii="Palatino Linotype" w:eastAsia="Palatino Linotype" w:hAnsi="Palatino Linotype" w:cs="Palatino Linotype"/>
          <w:sz w:val="24"/>
          <w:szCs w:val="24"/>
        </w:rPr>
        <w:t xml:space="preserve">actos relativos a la planeación, programación, presupuestación, ejecución y </w:t>
      </w:r>
      <w:r>
        <w:rPr>
          <w:rFonts w:ascii="Palatino Linotype" w:eastAsia="Palatino Linotype" w:hAnsi="Palatino Linotype" w:cs="Palatino Linotype"/>
          <w:b/>
          <w:sz w:val="24"/>
          <w:szCs w:val="24"/>
          <w:u w:val="single"/>
        </w:rPr>
        <w:t>control de la adquisición y arrendamiento de bienes, así como la contratación de servicios de cualquier naturaleza</w:t>
      </w:r>
      <w:r>
        <w:rPr>
          <w:rFonts w:ascii="Palatino Linotype" w:eastAsia="Palatino Linotype" w:hAnsi="Palatino Linotype" w:cs="Palatino Linotype"/>
          <w:sz w:val="24"/>
          <w:szCs w:val="24"/>
        </w:rPr>
        <w:t xml:space="preserve">; para tales efectos, se auxilia de los comités de arrendamientos </w:t>
      </w:r>
      <w:r>
        <w:rPr>
          <w:rFonts w:ascii="Palatino Linotype" w:eastAsia="Palatino Linotype" w:hAnsi="Palatino Linotype" w:cs="Palatino Linotype"/>
          <w:sz w:val="24"/>
          <w:szCs w:val="24"/>
        </w:rPr>
        <w:t>y de adquisiciones de inmuebles y enajenaciones, quienes, entre otras funciones, emiten los dictámenes correspondientes a la adjudicación, debiendo levantar para cada procedimiento adquisitivo el acta respectiva. </w:t>
      </w:r>
    </w:p>
    <w:p w:rsidR="007B41FA" w:rsidRDefault="007B41F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7B41FA" w:rsidRDefault="003309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lo anteriormente citado, se advierte q</w:t>
      </w:r>
      <w:r>
        <w:rPr>
          <w:rFonts w:ascii="Palatino Linotype" w:eastAsia="Palatino Linotype" w:hAnsi="Palatino Linotype" w:cs="Palatino Linotype"/>
          <w:sz w:val="24"/>
          <w:szCs w:val="24"/>
        </w:rPr>
        <w:t xml:space="preserve">ue derivado de los procedimientos de adquisiciones de bienes y servicios, se generan diversos soportes documentales, sin embargo, </w:t>
      </w:r>
      <w:r>
        <w:rPr>
          <w:rFonts w:ascii="Palatino Linotype" w:eastAsia="Palatino Linotype" w:hAnsi="Palatino Linotype" w:cs="Palatino Linotype"/>
          <w:b/>
          <w:sz w:val="24"/>
          <w:szCs w:val="24"/>
          <w:u w:val="single"/>
        </w:rPr>
        <w:t>los que revisten nuestro interés, son los contratos</w:t>
      </w:r>
      <w:r>
        <w:rPr>
          <w:rFonts w:ascii="Palatino Linotype" w:eastAsia="Palatino Linotype" w:hAnsi="Palatino Linotype" w:cs="Palatino Linotype"/>
          <w:sz w:val="24"/>
          <w:szCs w:val="24"/>
        </w:rPr>
        <w:t xml:space="preserve">, mismos que son susceptibles de publicación,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documentos que de manera enunciativa mas no limitativa podría dar cuenta de la cantidad pactada para el pago de los artistas o agrupaciones musicales que participaron en la feria y de los cuales no es preciso el pronunciamiento del Sujeto Obligado.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D0D0D"/>
          <w:sz w:val="24"/>
          <w:szCs w:val="24"/>
        </w:rPr>
        <w:t>Asi</w:t>
      </w:r>
      <w:r>
        <w:rPr>
          <w:rFonts w:ascii="Palatino Linotype" w:eastAsia="Palatino Linotype" w:hAnsi="Palatino Linotype" w:cs="Palatino Linotype"/>
          <w:color w:val="0D0D0D"/>
          <w:sz w:val="24"/>
          <w:szCs w:val="24"/>
        </w:rPr>
        <w:t xml:space="preserve">mismo, otro de los documentos que podría colmar de manera enunciativa mas no limitativa el pago realizado por la presentación de las agrupaciones musicales son las facturas emitidas generadas por la contratación del servicio, por ello, es de mencionar los </w:t>
      </w:r>
      <w:r>
        <w:rPr>
          <w:rFonts w:ascii="Palatino Linotype" w:eastAsia="Palatino Linotype" w:hAnsi="Palatino Linotype" w:cs="Palatino Linotype"/>
          <w:sz w:val="24"/>
          <w:szCs w:val="24"/>
        </w:rPr>
        <w:t>artículos 342, 343, 344 y 345 del Código Financiero del Estado de México y Municipios mismos que disponen el sistema y las políticas que deben seguirse para llevar el registro contable y presupuestal de las operaciones financieras, en los siguientes términ</w:t>
      </w:r>
      <w:r>
        <w:rPr>
          <w:rFonts w:ascii="Palatino Linotype" w:eastAsia="Palatino Linotype" w:hAnsi="Palatino Linotype" w:cs="Palatino Linotype"/>
          <w:sz w:val="24"/>
          <w:szCs w:val="24"/>
        </w:rPr>
        <w:t>os:</w:t>
      </w:r>
    </w:p>
    <w:p w:rsidR="007B41FA" w:rsidRDefault="007B41FA">
      <w:pPr>
        <w:widowControl w:val="0"/>
        <w:spacing w:after="0" w:line="360" w:lineRule="auto"/>
        <w:jc w:val="both"/>
        <w:rPr>
          <w:rFonts w:ascii="Palatino Linotype" w:eastAsia="Palatino Linotype" w:hAnsi="Palatino Linotype" w:cs="Palatino Linotype"/>
          <w:color w:val="0D0D0D"/>
          <w:sz w:val="24"/>
          <w:szCs w:val="24"/>
        </w:rPr>
      </w:pPr>
    </w:p>
    <w:p w:rsidR="007B41FA" w:rsidRDefault="00330928">
      <w:pPr>
        <w:spacing w:after="12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Pr>
          <w:rFonts w:ascii="Palatino Linotype" w:eastAsia="Palatino Linotype" w:hAnsi="Palatino Linotype" w:cs="Palatino Linotype"/>
          <w:b/>
          <w:i/>
        </w:rPr>
        <w:t>Artículo 342.-</w:t>
      </w:r>
      <w:r>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Pr>
          <w:rFonts w:ascii="Palatino Linotype" w:eastAsia="Palatino Linotype" w:hAnsi="Palatino Linotype" w:cs="Palatino Linotype"/>
          <w:i/>
          <w:color w:val="000000"/>
        </w:rPr>
        <w:t>planeación</w:t>
      </w:r>
      <w:r>
        <w:rPr>
          <w:rFonts w:ascii="Palatino Linotype" w:eastAsia="Palatino Linotype" w:hAnsi="Palatino Linotype" w:cs="Palatino Linotype"/>
          <w:i/>
        </w:rPr>
        <w:t xml:space="preserve">, programación, presupuestación, evaluación y </w:t>
      </w:r>
      <w:r>
        <w:rPr>
          <w:rFonts w:ascii="Palatino Linotype" w:eastAsia="Palatino Linotype" w:hAnsi="Palatino Linotype" w:cs="Palatino Linotype"/>
          <w:i/>
          <w:color w:val="000000"/>
        </w:rPr>
        <w:t>con</w:t>
      </w:r>
      <w:r>
        <w:rPr>
          <w:rFonts w:ascii="Palatino Linotype" w:eastAsia="Palatino Linotype" w:hAnsi="Palatino Linotype" w:cs="Palatino Linotype"/>
          <w:i/>
          <w:color w:val="000000"/>
        </w:rPr>
        <w:t>tabilidad</w:t>
      </w:r>
      <w:r>
        <w:rPr>
          <w:rFonts w:ascii="Palatino Linotype" w:eastAsia="Palatino Linotype" w:hAnsi="Palatino Linotype" w:cs="Palatino Linotype"/>
          <w:i/>
        </w:rPr>
        <w:t xml:space="preserve"> gubernamental. </w:t>
      </w:r>
    </w:p>
    <w:p w:rsidR="007B41FA" w:rsidRDefault="00330928">
      <w:pPr>
        <w:spacing w:before="120" w:after="12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color w:val="000000"/>
        </w:rPr>
        <w:t>…</w:t>
      </w:r>
    </w:p>
    <w:p w:rsidR="007B41FA" w:rsidRDefault="00330928">
      <w:pPr>
        <w:spacing w:before="120" w:after="12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Artículo 343.-</w:t>
      </w:r>
      <w:r>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w:t>
      </w:r>
      <w:r>
        <w:rPr>
          <w:rFonts w:ascii="Palatino Linotype" w:eastAsia="Palatino Linotype" w:hAnsi="Palatino Linotype" w:cs="Palatino Linotype"/>
          <w:i/>
        </w:rPr>
        <w:lastRenderedPageBreak/>
        <w:t>contener las medidas d</w:t>
      </w:r>
      <w:r>
        <w:rPr>
          <w:rFonts w:ascii="Palatino Linotype" w:eastAsia="Palatino Linotype" w:hAnsi="Palatino Linotype" w:cs="Palatino Linotype"/>
          <w:i/>
        </w:rPr>
        <w:t xml:space="preserve">e control interno que permitan verificar el registro de la totalidad de las operaciones financieras. </w:t>
      </w:r>
    </w:p>
    <w:p w:rsidR="007B41FA" w:rsidRDefault="00330928">
      <w:pPr>
        <w:spacing w:before="120" w:after="12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rsidR="007B41FA" w:rsidRDefault="00330928">
      <w:pPr>
        <w:spacing w:before="120" w:after="12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A</w:t>
      </w:r>
      <w:r>
        <w:rPr>
          <w:rFonts w:ascii="Palatino Linotype" w:eastAsia="Palatino Linotype" w:hAnsi="Palatino Linotype" w:cs="Palatino Linotype"/>
          <w:b/>
          <w:i/>
        </w:rPr>
        <w:t>rtículo 344.- Las Dependencias, Entidades Públicas y unidades administrativas registrarán contablemente el efecto patrimonial y presupuestal de las operaciones financieras que realicen, en el momento en que ocurran, con base en el sistema y políticas de re</w:t>
      </w:r>
      <w:r>
        <w:rPr>
          <w:rFonts w:ascii="Palatino Linotype" w:eastAsia="Palatino Linotype" w:hAnsi="Palatino Linotype" w:cs="Palatino Linotype"/>
          <w:b/>
          <w:i/>
        </w:rPr>
        <w:t xml:space="preserve">gistro establecidas, </w:t>
      </w:r>
      <w:r>
        <w:rPr>
          <w:rFonts w:ascii="Palatino Linotype" w:eastAsia="Palatino Linotype" w:hAnsi="Palatino Linotype" w:cs="Palatino Linotype"/>
          <w:i/>
        </w:rPr>
        <w:t xml:space="preserve">en el caso de los Municipios se hará por la Tesorería. </w:t>
      </w:r>
    </w:p>
    <w:p w:rsidR="007B41FA" w:rsidRDefault="00330928">
      <w:pPr>
        <w:spacing w:before="120" w:after="120" w:line="276" w:lineRule="auto"/>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 xml:space="preserve">Derogado. </w:t>
      </w:r>
    </w:p>
    <w:p w:rsidR="007B41FA" w:rsidRDefault="00330928">
      <w:pPr>
        <w:spacing w:before="120" w:after="12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w:t>
      </w:r>
      <w:r>
        <w:rPr>
          <w:rFonts w:ascii="Palatino Linotype" w:eastAsia="Palatino Linotype" w:hAnsi="Palatino Linotype" w:cs="Palatino Linotype"/>
          <w:b/>
          <w:i/>
        </w:rPr>
        <w:t xml:space="preserve"> disposición del Órgano Superior de Fiscalización del Estado de México y de los órganos de control interno, por un término de cinco años contados</w:t>
      </w:r>
      <w:r>
        <w:rPr>
          <w:rFonts w:ascii="Palatino Linotype" w:eastAsia="Palatino Linotype" w:hAnsi="Palatino Linotype" w:cs="Palatino Linotype"/>
          <w:i/>
        </w:rPr>
        <w:t xml:space="preserve"> a partir del ejercicio presupuestal siguiente al que corresponda, en el caso de los municipios se hará por la </w:t>
      </w:r>
      <w:r>
        <w:rPr>
          <w:rFonts w:ascii="Palatino Linotype" w:eastAsia="Palatino Linotype" w:hAnsi="Palatino Linotype" w:cs="Palatino Linotype"/>
          <w:i/>
        </w:rPr>
        <w:t xml:space="preserve">Tesorería. </w:t>
      </w:r>
    </w:p>
    <w:p w:rsidR="007B41FA" w:rsidRDefault="00330928">
      <w:pPr>
        <w:spacing w:before="120" w:after="120"/>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before="120" w:after="120"/>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Artículo 345.-</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w:t>
      </w:r>
      <w:r>
        <w:rPr>
          <w:rFonts w:ascii="Palatino Linotype" w:eastAsia="Palatino Linotype" w:hAnsi="Palatino Linotype" w:cs="Palatino Linotype"/>
          <w:b/>
          <w:i/>
        </w:rPr>
        <w:t>atura</w:t>
      </w:r>
      <w:r>
        <w:rPr>
          <w:rFonts w:ascii="Palatino Linotype" w:eastAsia="Palatino Linotype" w:hAnsi="Palatino Linotype" w:cs="Palatino Linotype"/>
          <w:i/>
        </w:rPr>
        <w:t xml:space="preserve">, la remitirán en un plazo que no excederá de seis meses al Archivo Contable Gubernamental. </w:t>
      </w:r>
      <w:r>
        <w:rPr>
          <w:rFonts w:ascii="Palatino Linotype" w:eastAsia="Palatino Linotype" w:hAnsi="Palatino Linotype" w:cs="Palatino Linotype"/>
          <w:b/>
          <w:i/>
        </w:rPr>
        <w:t>Tratándose de los comprobantes fiscales digitales, estos deberán estar agregados en forma electrónica en cada póliza de registro contable</w:t>
      </w:r>
      <w:r>
        <w:rPr>
          <w:rFonts w:ascii="Palatino Linotype" w:eastAsia="Palatino Linotype" w:hAnsi="Palatino Linotype" w:cs="Palatino Linotype"/>
          <w:i/>
        </w:rPr>
        <w:t xml:space="preserve">. </w:t>
      </w:r>
    </w:p>
    <w:p w:rsidR="007B41FA" w:rsidRDefault="00330928">
      <w:pPr>
        <w:spacing w:before="120" w:after="120"/>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rPr>
        <w:t>El plazo señalado e</w:t>
      </w:r>
      <w:r>
        <w:rPr>
          <w:rFonts w:ascii="Palatino Linotype" w:eastAsia="Palatino Linotype" w:hAnsi="Palatino Linotype" w:cs="Palatino Linotype"/>
          <w:i/>
        </w:rPr>
        <w:t>n el párrafo anterior, empezará a contar a partir de la publicación en el Periódico Oficial, del decreto correspondiente.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r>
        <w:rPr>
          <w:rFonts w:ascii="Palatino Linotype" w:eastAsia="Palatino Linotype" w:hAnsi="Palatino Linotype" w:cs="Palatino Linotype"/>
          <w:i/>
          <w:color w:val="000000"/>
        </w:rPr>
        <w:t xml:space="preserve"> </w:t>
      </w:r>
    </w:p>
    <w:p w:rsidR="007B41FA" w:rsidRDefault="007B41FA">
      <w:pPr>
        <w:spacing w:before="120" w:after="120"/>
        <w:ind w:left="851" w:right="850"/>
        <w:jc w:val="both"/>
        <w:rPr>
          <w:rFonts w:ascii="Palatino Linotype" w:eastAsia="Palatino Linotype" w:hAnsi="Palatino Linotype" w:cs="Palatino Linotype"/>
          <w:i/>
          <w:color w:val="000000"/>
        </w:rPr>
      </w:pPr>
    </w:p>
    <w:p w:rsidR="007B41FA" w:rsidRDefault="00330928">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De una interpretación sistemática de los artículos transcritos, se desprende primeramente que el</w:t>
      </w:r>
      <w:r>
        <w:rPr>
          <w:rFonts w:ascii="Palatino Linotype" w:eastAsia="Palatino Linotype" w:hAnsi="Palatino Linotype" w:cs="Palatino Linotype"/>
          <w:color w:val="000000"/>
          <w:sz w:val="24"/>
          <w:szCs w:val="24"/>
        </w:rPr>
        <w:t xml:space="preserve"> registro contable del efecto</w:t>
      </w:r>
      <w:r>
        <w:rPr>
          <w:rFonts w:ascii="Palatino Linotype" w:eastAsia="Palatino Linotype" w:hAnsi="Palatino Linotype" w:cs="Palatino Linotype"/>
          <w:color w:val="000000"/>
          <w:sz w:val="24"/>
          <w:szCs w:val="24"/>
        </w:rPr>
        <w:t xml:space="preserve"> patrimonial y presupuestal de las operaciones financieras se realizará conforme al sistema y a las disposiciones que se aprueben en materia de planeación, programación, presupuestación, evaluación y contabilidad gubernamental.</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ind w:right="-23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debe decirs</w:t>
      </w:r>
      <w:r>
        <w:rPr>
          <w:rFonts w:ascii="Palatino Linotype" w:eastAsia="Palatino Linotype" w:hAnsi="Palatino Linotype" w:cs="Palatino Linotype"/>
          <w:sz w:val="24"/>
          <w:szCs w:val="24"/>
        </w:rPr>
        <w:t>e que las facturas emitidas en favor de los proveedores, contratistas o prestadores de servicios, la cual se encuentra definida en el Glosario de Términos Hacendarios que emite el Instituto Hacendario del Estado de México, como:</w:t>
      </w:r>
    </w:p>
    <w:p w:rsidR="007B41FA" w:rsidRDefault="007B41FA">
      <w:pPr>
        <w:spacing w:after="0" w:line="360" w:lineRule="auto"/>
        <w:ind w:right="-232"/>
        <w:jc w:val="both"/>
        <w:rPr>
          <w:rFonts w:ascii="Palatino Linotype" w:eastAsia="Palatino Linotype" w:hAnsi="Palatino Linotype" w:cs="Palatino Linotype"/>
          <w:sz w:val="24"/>
          <w:szCs w:val="24"/>
        </w:rPr>
      </w:pPr>
    </w:p>
    <w:p w:rsidR="007B41FA" w:rsidRDefault="00330928">
      <w:pPr>
        <w:spacing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FACTURA</w:t>
      </w:r>
    </w:p>
    <w:p w:rsidR="007B41FA" w:rsidRDefault="00330928">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Es el documento fiscal que emite la persona física o moral para comprobar la venta o adquisición de un bien y/o servicio.” (Sic)</w:t>
      </w:r>
    </w:p>
    <w:p w:rsidR="007B41FA" w:rsidRDefault="007B41FA">
      <w:pPr>
        <w:spacing w:before="120" w:after="120"/>
        <w:ind w:left="851" w:right="902"/>
        <w:jc w:val="both"/>
        <w:rPr>
          <w:rFonts w:ascii="Palatino Linotype" w:eastAsia="Palatino Linotype" w:hAnsi="Palatino Linotype" w:cs="Palatino Linotype"/>
          <w:i/>
        </w:rPr>
      </w:pPr>
    </w:p>
    <w:p w:rsidR="007B41FA" w:rsidRDefault="00330928">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Luego entonces las facturas son comprobantes que amparan las erogaciones que se realizan con erario público tienen naturaleza </w:t>
      </w:r>
      <w:r>
        <w:rPr>
          <w:rFonts w:ascii="Palatino Linotype" w:eastAsia="Palatino Linotype" w:hAnsi="Palatino Linotype" w:cs="Palatino Linotype"/>
          <w:sz w:val="24"/>
          <w:szCs w:val="24"/>
        </w:rPr>
        <w:t>pública pues, constituyen los medios idóneos de evidencia del gasto realizado con recursos públicos, de ahí que convenga precisar que la Constitución Política del Estado Libre y Soberano de México en su artículo 129 señala que l</w:t>
      </w:r>
      <w:r>
        <w:rPr>
          <w:rFonts w:ascii="Palatino Linotype" w:eastAsia="Palatino Linotype" w:hAnsi="Palatino Linotype" w:cs="Palatino Linotype"/>
          <w:color w:val="000000"/>
          <w:sz w:val="24"/>
          <w:szCs w:val="24"/>
        </w:rPr>
        <w:t>os recursos económicos del E</w:t>
      </w:r>
      <w:r>
        <w:rPr>
          <w:rFonts w:ascii="Palatino Linotype" w:eastAsia="Palatino Linotype" w:hAnsi="Palatino Linotype" w:cs="Palatino Linotype"/>
          <w:color w:val="000000"/>
          <w:sz w:val="24"/>
          <w:szCs w:val="24"/>
        </w:rPr>
        <w:t xml:space="preserve">stado, de los Municipios, así como de los Organismos Autónomos, se administrarán con eficiencia, eficacia y honradez, para cumplir con los objetivos y programas a los que estén destinados.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si bien es cierto que el Código Financiero del Estad</w:t>
      </w:r>
      <w:r>
        <w:rPr>
          <w:rFonts w:ascii="Palatino Linotype" w:eastAsia="Palatino Linotype" w:hAnsi="Palatino Linotype" w:cs="Palatino Linotype"/>
          <w:sz w:val="24"/>
          <w:szCs w:val="24"/>
        </w:rPr>
        <w:t xml:space="preserve">o de México y Municipios establece la obligación de los Municipios para llevar los registros </w:t>
      </w:r>
      <w:r>
        <w:rPr>
          <w:rFonts w:ascii="Palatino Linotype" w:eastAsia="Palatino Linotype" w:hAnsi="Palatino Linotype" w:cs="Palatino Linotype"/>
          <w:sz w:val="24"/>
          <w:szCs w:val="24"/>
        </w:rPr>
        <w:lastRenderedPageBreak/>
        <w:t xml:space="preserve">contables y presupuestales; también lo es que, dicho ordenamiento jurídico no establece que debemos entender por registro contable y presupuestal; sin embargo, el </w:t>
      </w:r>
      <w:r>
        <w:rPr>
          <w:rFonts w:ascii="Palatino Linotype" w:eastAsia="Palatino Linotype" w:hAnsi="Palatino Linotype" w:cs="Palatino Linotype"/>
          <w:sz w:val="24"/>
          <w:szCs w:val="24"/>
        </w:rPr>
        <w:t>“Glosario de Términos Administrativos”, emitido por el Instituto Nacional de Administración Pública, A.C. y el “Glosario de Términos para el Proceso de Planeación, Programación, Presupuestación y Evaluación en la Administración Pública”, elaborado por el G</w:t>
      </w:r>
      <w:r>
        <w:rPr>
          <w:rFonts w:ascii="Palatino Linotype" w:eastAsia="Palatino Linotype" w:hAnsi="Palatino Linotype" w:cs="Palatino Linotype"/>
          <w:sz w:val="24"/>
          <w:szCs w:val="24"/>
        </w:rPr>
        <w:t>rupo de Trabajo de Sistemas de Información Financiera, Contable y Presupuestal de la Comisión Permanente de Funcionarios Fiscales del Instituto para el Desarrollo Técnico de las Haciendas Públicas (INDETEC) señalan las siguientes definiciones de las palabr</w:t>
      </w:r>
      <w:r>
        <w:rPr>
          <w:rFonts w:ascii="Palatino Linotype" w:eastAsia="Palatino Linotype" w:hAnsi="Palatino Linotype" w:cs="Palatino Linotype"/>
          <w:sz w:val="24"/>
          <w:szCs w:val="24"/>
        </w:rPr>
        <w:t xml:space="preserve">as registro contable y registro presupuestario: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120" w:line="276" w:lineRule="auto"/>
        <w:ind w:firstLine="708"/>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“REGISTRO CONTABLE </w:t>
      </w:r>
    </w:p>
    <w:p w:rsidR="007B41FA" w:rsidRDefault="00330928">
      <w:pPr>
        <w:spacing w:before="120" w:after="12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Asiento que se realiza en los libros de contabilidad de las actividades relacionadas con el ingreso y egresos de un ente económico.” (Sic)</w:t>
      </w:r>
    </w:p>
    <w:p w:rsidR="007B41FA" w:rsidRDefault="00330928">
      <w:pPr>
        <w:spacing w:before="120" w:after="120" w:line="276" w:lineRule="auto"/>
        <w:ind w:right="899" w:firstLine="708"/>
        <w:jc w:val="both"/>
        <w:rPr>
          <w:rFonts w:ascii="Palatino Linotype" w:eastAsia="Palatino Linotype" w:hAnsi="Palatino Linotype" w:cs="Palatino Linotype"/>
          <w:b/>
          <w:i/>
        </w:rPr>
      </w:pPr>
      <w:r>
        <w:rPr>
          <w:rFonts w:ascii="Palatino Linotype" w:eastAsia="Palatino Linotype" w:hAnsi="Palatino Linotype" w:cs="Palatino Linotype"/>
          <w:b/>
          <w:i/>
        </w:rPr>
        <w:t>“REGISTRO PRESUPUESTARIO</w:t>
      </w:r>
    </w:p>
    <w:p w:rsidR="007B41FA" w:rsidRDefault="00330928">
      <w:pPr>
        <w:spacing w:before="120" w:after="120" w:line="276" w:lineRule="auto"/>
        <w:ind w:left="708" w:right="899"/>
        <w:jc w:val="both"/>
        <w:rPr>
          <w:rFonts w:ascii="Palatino Linotype" w:eastAsia="Palatino Linotype" w:hAnsi="Palatino Linotype" w:cs="Palatino Linotype"/>
          <w:i/>
        </w:rPr>
      </w:pPr>
      <w:r>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rsidR="007B41FA" w:rsidRDefault="007B41FA">
      <w:pPr>
        <w:spacing w:before="120"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otra parte, se establece que el sistema de conta</w:t>
      </w:r>
      <w:r>
        <w:rPr>
          <w:rFonts w:ascii="Palatino Linotype" w:eastAsia="Palatino Linotype" w:hAnsi="Palatino Linotype" w:cs="Palatino Linotype"/>
          <w:color w:val="000000"/>
          <w:sz w:val="24"/>
          <w:szCs w:val="24"/>
        </w:rPr>
        <w:t>bilidad sobre base acumulativa total se sustentará en los principios de contabilidad gubernamental.</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lastRenderedPageBreak/>
        <w:t>patrimonial y presupuestal de las operaciones financieras que realizan, en el momento en que ocurran, con base en el sistema y políticas de registro establecidas.</w:t>
      </w: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Correlativo a lo anterior, es preciso referir una definición de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la cual, pr</w:t>
      </w:r>
      <w:r>
        <w:rPr>
          <w:rFonts w:ascii="Palatino Linotype" w:eastAsia="Palatino Linotype" w:hAnsi="Palatino Linotype" w:cs="Palatino Linotype"/>
          <w:sz w:val="24"/>
          <w:szCs w:val="24"/>
        </w:rPr>
        <w:t xml:space="preserve">imeramente, no está definida en el Código Financiero del Estado de México y Municipios; no obstante, los ya mencionados Glosarios la definen como: </w:t>
      </w:r>
    </w:p>
    <w:p w:rsidR="007B41FA" w:rsidRDefault="007B41FA">
      <w:pPr>
        <w:spacing w:after="120"/>
        <w:ind w:left="851" w:right="899"/>
        <w:jc w:val="both"/>
        <w:rPr>
          <w:rFonts w:ascii="Palatino Linotype" w:eastAsia="Palatino Linotype" w:hAnsi="Palatino Linotype" w:cs="Palatino Linotype"/>
          <w:i/>
        </w:rPr>
      </w:pPr>
    </w:p>
    <w:p w:rsidR="007B41FA" w:rsidRDefault="00330928">
      <w:pPr>
        <w:spacing w:after="120"/>
        <w:ind w:left="851" w:right="899"/>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PÓLIZA CONTABLE</w:t>
      </w:r>
    </w:p>
    <w:p w:rsidR="007B41FA" w:rsidRDefault="00330928">
      <w:pPr>
        <w:spacing w:before="120" w:after="120"/>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Documento en el cual se asientan en forma individual todas y cada una de las operaciones d</w:t>
      </w:r>
      <w:r>
        <w:rPr>
          <w:rFonts w:ascii="Palatino Linotype" w:eastAsia="Palatino Linotype" w:hAnsi="Palatino Linotype" w:cs="Palatino Linotype"/>
          <w:i/>
        </w:rPr>
        <w:t>esarrolladas por una institución, así como la información necesaria para la identificación de dichas operaciones.” (sic)</w:t>
      </w:r>
    </w:p>
    <w:p w:rsidR="007B41FA" w:rsidRDefault="007B41FA">
      <w:pPr>
        <w:spacing w:before="120" w:after="120"/>
        <w:ind w:left="851" w:right="899"/>
        <w:jc w:val="both"/>
        <w:rPr>
          <w:rFonts w:ascii="Palatino Linotype" w:eastAsia="Palatino Linotype" w:hAnsi="Palatino Linotype" w:cs="Palatino Linotype"/>
          <w:i/>
        </w:rPr>
      </w:pPr>
    </w:p>
    <w:p w:rsidR="007B41FA" w:rsidRDefault="00330928">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se advierte que la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w:t>
      </w:r>
      <w:r>
        <w:rPr>
          <w:rFonts w:ascii="Palatino Linotype" w:eastAsia="Palatino Linotype" w:hAnsi="Palatino Linotype" w:cs="Palatino Linotype"/>
          <w:sz w:val="24"/>
          <w:szCs w:val="24"/>
        </w:rPr>
        <w:t>gistradas, lo que permite la identificación plena de dichas operaciones.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sz w:val="24"/>
          <w:szCs w:val="24"/>
        </w:rPr>
        <w:t>pólizas de egresos</w:t>
      </w:r>
      <w:r>
        <w:rPr>
          <w:rFonts w:ascii="Palatino Linotype" w:eastAsia="Palatino Linotype" w:hAnsi="Palatino Linotype" w:cs="Palatino Linotype"/>
          <w:sz w:val="24"/>
          <w:szCs w:val="24"/>
        </w:rPr>
        <w:t xml:space="preserve">, son aquellas </w:t>
      </w:r>
      <w:r>
        <w:rPr>
          <w:rFonts w:ascii="Palatino Linotype" w:eastAsia="Palatino Linotype" w:hAnsi="Palatino Linotype" w:cs="Palatino Linotype"/>
          <w:sz w:val="24"/>
          <w:szCs w:val="24"/>
        </w:rPr>
        <w:t xml:space="preserve">en las cuales se anotan diariamente las operaciones que representan gastos, es decir, salidas de dinero para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 este modo,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w:t>
      </w:r>
      <w:r>
        <w:rPr>
          <w:rFonts w:ascii="Palatino Linotype" w:eastAsia="Palatino Linotype" w:hAnsi="Palatino Linotype" w:cs="Palatino Linotype"/>
          <w:color w:val="000000"/>
          <w:sz w:val="24"/>
          <w:szCs w:val="24"/>
        </w:rPr>
        <w:t xml:space="preserve"> es decir se hace del conocimiento de los particulares el uso y destino de los recursos públicos. </w:t>
      </w:r>
    </w:p>
    <w:p w:rsidR="007B41FA" w:rsidRDefault="007B41FA">
      <w:pPr>
        <w:spacing w:after="0" w:line="360" w:lineRule="auto"/>
        <w:ind w:right="50"/>
        <w:jc w:val="both"/>
        <w:rPr>
          <w:rFonts w:ascii="Palatino Linotype" w:eastAsia="Palatino Linotype" w:hAnsi="Palatino Linotype" w:cs="Palatino Linotype"/>
          <w:color w:val="000000"/>
          <w:sz w:val="24"/>
          <w:szCs w:val="24"/>
        </w:rPr>
      </w:pPr>
    </w:p>
    <w:p w:rsidR="007B41FA" w:rsidRDefault="00330928">
      <w:pPr>
        <w:spacing w:after="0" w:line="360" w:lineRule="auto"/>
        <w:ind w:right="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en ese caso se ordena la entrega del documento que dé cuenta del pago a las agrupaciones faltantes que participaron en la feria de Tlamanalco 202</w:t>
      </w:r>
      <w:r>
        <w:rPr>
          <w:rFonts w:ascii="Palatino Linotype" w:eastAsia="Palatino Linotype" w:hAnsi="Palatino Linotype" w:cs="Palatino Linotype"/>
          <w:color w:val="000000"/>
          <w:sz w:val="24"/>
          <w:szCs w:val="24"/>
        </w:rPr>
        <w:t xml:space="preserve">3, sin embargo, por lo que para el caso de que no se llegara a localizar información, por no haberse generado, bastará con que así se haga del conocimiento de la persona solicitante para tener por colmado su derecho de acceso a la información, en términos </w:t>
      </w:r>
      <w:r>
        <w:rPr>
          <w:rFonts w:ascii="Palatino Linotype" w:eastAsia="Palatino Linotype" w:hAnsi="Palatino Linotype" w:cs="Palatino Linotype"/>
          <w:color w:val="000000"/>
          <w:sz w:val="24"/>
          <w:szCs w:val="24"/>
        </w:rPr>
        <w:t>de lo dispuesto por el artículo 19, párrafo segundo de la Ley de Transparencia y Acceso a la Información Pública del Estado de México y Municipios, a saber:</w:t>
      </w:r>
    </w:p>
    <w:p w:rsidR="007B41FA" w:rsidRDefault="007B41FA">
      <w:pPr>
        <w:spacing w:line="360" w:lineRule="auto"/>
        <w:rPr>
          <w:rFonts w:ascii="Palatino Linotype" w:eastAsia="Palatino Linotype" w:hAnsi="Palatino Linotype" w:cs="Palatino Linotype"/>
        </w:rPr>
      </w:pPr>
    </w:p>
    <w:p w:rsidR="007B41FA" w:rsidRDefault="00330928">
      <w:pPr>
        <w:pBdr>
          <w:top w:val="nil"/>
          <w:left w:val="nil"/>
          <w:bottom w:val="nil"/>
          <w:right w:val="nil"/>
          <w:between w:val="nil"/>
        </w:pBdr>
        <w:spacing w:line="276" w:lineRule="auto"/>
        <w:ind w:left="851" w:right="618"/>
        <w:jc w:val="both"/>
        <w:rPr>
          <w:color w:val="000000"/>
        </w:rPr>
      </w:pPr>
      <w:r>
        <w:rPr>
          <w:rFonts w:ascii="Palatino Linotype" w:eastAsia="Palatino Linotype" w:hAnsi="Palatino Linotype" w:cs="Palatino Linotype"/>
          <w:i/>
          <w:color w:val="000000"/>
        </w:rPr>
        <w:t>“Artículo 19…</w:t>
      </w:r>
    </w:p>
    <w:p w:rsidR="007B41FA" w:rsidRDefault="00330928">
      <w:pPr>
        <w:pBdr>
          <w:top w:val="nil"/>
          <w:left w:val="nil"/>
          <w:bottom w:val="nil"/>
          <w:right w:val="nil"/>
          <w:between w:val="nil"/>
        </w:pBdr>
        <w:spacing w:line="276" w:lineRule="auto"/>
        <w:ind w:left="851" w:right="618"/>
        <w:jc w:val="both"/>
        <w:rPr>
          <w:color w:val="000000"/>
        </w:rPr>
      </w:pPr>
      <w:r>
        <w:rPr>
          <w:rFonts w:ascii="Palatino Linotype" w:eastAsia="Palatino Linotype" w:hAnsi="Palatino Linotype" w:cs="Palatino Linotype"/>
          <w:i/>
          <w:color w:val="000000"/>
        </w:rPr>
        <w:t>En los casos en que ciertas facultades, competencias o funciones no se hayan ejercid</w:t>
      </w:r>
      <w:r>
        <w:rPr>
          <w:rFonts w:ascii="Palatino Linotype" w:eastAsia="Palatino Linotype" w:hAnsi="Palatino Linotype" w:cs="Palatino Linotype"/>
          <w:i/>
          <w:color w:val="000000"/>
        </w:rPr>
        <w:t>o, se debe motivar la respuesta en función de las causas que motiven tal circunstancia.”</w:t>
      </w:r>
    </w:p>
    <w:p w:rsidR="007B41FA" w:rsidRDefault="007B41FA">
      <w:pPr>
        <w:rPr>
          <w:rFonts w:ascii="Palatino Linotype" w:eastAsia="Palatino Linotype" w:hAnsi="Palatino Linotype" w:cs="Palatino Linotype"/>
        </w:rPr>
      </w:pPr>
    </w:p>
    <w:p w:rsidR="007B41FA" w:rsidRDefault="00330928">
      <w:pPr>
        <w:pBdr>
          <w:top w:val="nil"/>
          <w:left w:val="nil"/>
          <w:bottom w:val="nil"/>
          <w:right w:val="nil"/>
          <w:between w:val="nil"/>
        </w:pBdr>
        <w:spacing w:line="360" w:lineRule="auto"/>
        <w:ind w:right="-91"/>
        <w:jc w:val="both"/>
        <w:rPr>
          <w:color w:val="000000"/>
          <w:sz w:val="24"/>
          <w:szCs w:val="24"/>
        </w:rPr>
      </w:pPr>
      <w:r>
        <w:rPr>
          <w:rFonts w:ascii="Palatino Linotype" w:eastAsia="Palatino Linotype" w:hAnsi="Palatino Linotype" w:cs="Palatino Linotype"/>
          <w:color w:val="000000"/>
          <w:sz w:val="24"/>
          <w:szCs w:val="24"/>
        </w:rPr>
        <w:t xml:space="preserve">Siendo improcedente, en tal supuesto, la entrega de documento alguno, o en su caso, el Acuerdo de Inexistencia, toda vez que el pronunciamiento del Sujeto Obligado declararía en automática la inexistencia de la información solicitada de modo que no existe </w:t>
      </w:r>
      <w:r>
        <w:rPr>
          <w:rFonts w:ascii="Palatino Linotype" w:eastAsia="Palatino Linotype" w:hAnsi="Palatino Linotype" w:cs="Palatino Linotype"/>
          <w:color w:val="000000"/>
          <w:sz w:val="24"/>
          <w:szCs w:val="24"/>
        </w:rPr>
        <w:t xml:space="preserve">obligación de justificar o allegar pruebas, y por ende no tiene aplicación lo </w:t>
      </w:r>
      <w:r>
        <w:rPr>
          <w:rFonts w:ascii="Palatino Linotype" w:eastAsia="Palatino Linotype" w:hAnsi="Palatino Linotype" w:cs="Palatino Linotype"/>
          <w:color w:val="000000"/>
          <w:sz w:val="24"/>
          <w:szCs w:val="24"/>
        </w:rPr>
        <w:lastRenderedPageBreak/>
        <w:t>estatuido en el artículo 49, fracción XIII  de la Ley de Transparencia y Acceso a la Información Pública del Estado de México y Municipios.</w:t>
      </w:r>
    </w:p>
    <w:p w:rsidR="007B41FA" w:rsidRDefault="00330928">
      <w:pPr>
        <w:numPr>
          <w:ilvl w:val="0"/>
          <w:numId w:val="1"/>
        </w:numPr>
        <w:pBdr>
          <w:top w:val="nil"/>
          <w:left w:val="nil"/>
          <w:bottom w:val="nil"/>
          <w:right w:val="nil"/>
          <w:between w:val="nil"/>
        </w:pBdr>
        <w:spacing w:line="360" w:lineRule="auto"/>
        <w:rPr>
          <w:b/>
          <w:color w:val="000000"/>
          <w:sz w:val="24"/>
          <w:szCs w:val="24"/>
        </w:rPr>
      </w:pPr>
      <w:r>
        <w:rPr>
          <w:rFonts w:ascii="Palatino Linotype" w:eastAsia="Palatino Linotype" w:hAnsi="Palatino Linotype" w:cs="Palatino Linotype"/>
          <w:b/>
          <w:color w:val="000000"/>
          <w:sz w:val="24"/>
          <w:szCs w:val="24"/>
        </w:rPr>
        <w:t>Respecto al diario de egresos.</w:t>
      </w: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En rela</w:t>
      </w:r>
      <w:r>
        <w:rPr>
          <w:rFonts w:ascii="Palatino Linotype" w:eastAsia="Palatino Linotype" w:hAnsi="Palatino Linotype" w:cs="Palatino Linotype"/>
          <w:color w:val="000000"/>
          <w:sz w:val="24"/>
          <w:szCs w:val="24"/>
        </w:rPr>
        <w:t xml:space="preserve">ción a este punto de la solicitud,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señala que no </w:t>
      </w:r>
      <w:r>
        <w:rPr>
          <w:rFonts w:ascii="Palatino Linotype" w:eastAsia="Palatino Linotype" w:hAnsi="Palatino Linotype" w:cs="Palatino Linotype"/>
          <w:sz w:val="24"/>
          <w:szCs w:val="24"/>
        </w:rPr>
        <w:t>genera un formato con nombre de diario de egresos, por lo cual se entiende que no puede entregar dicha información, motivo por el que se cita la siguiente normatividad:</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567" w:right="618"/>
        <w:jc w:val="both"/>
        <w:rPr>
          <w:rFonts w:ascii="Palatino Linotype" w:eastAsia="Palatino Linotype" w:hAnsi="Palatino Linotype" w:cs="Palatino Linotype"/>
          <w:b/>
          <w:i/>
        </w:rPr>
      </w:pPr>
      <w:r>
        <w:rPr>
          <w:rFonts w:ascii="Palatino Linotype" w:eastAsia="Palatino Linotype" w:hAnsi="Palatino Linotype" w:cs="Palatino Linotype"/>
          <w:b/>
          <w:i/>
        </w:rPr>
        <w:t>“LEY DE FISCALIZAC</w:t>
      </w:r>
      <w:r>
        <w:rPr>
          <w:rFonts w:ascii="Palatino Linotype" w:eastAsia="Palatino Linotype" w:hAnsi="Palatino Linotype" w:cs="Palatino Linotype"/>
          <w:b/>
          <w:i/>
        </w:rPr>
        <w:t>IÓN SUPERIOR DEL ESTADO DE MÉXICO</w:t>
      </w:r>
    </w:p>
    <w:p w:rsidR="007B41FA" w:rsidRDefault="007B41FA">
      <w:pPr>
        <w:spacing w:after="0" w:line="276" w:lineRule="auto"/>
        <w:ind w:left="567" w:right="618"/>
        <w:jc w:val="both"/>
        <w:rPr>
          <w:rFonts w:ascii="Palatino Linotype" w:eastAsia="Palatino Linotype" w:hAnsi="Palatino Linotype" w:cs="Palatino Linotype"/>
          <w:b/>
          <w:i/>
        </w:rPr>
      </w:pPr>
    </w:p>
    <w:p w:rsidR="007B41FA" w:rsidRDefault="00330928">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b/>
          <w:i/>
        </w:rPr>
        <w:t>Artículo 8.-</w:t>
      </w:r>
      <w:r>
        <w:rPr>
          <w:rFonts w:ascii="Palatino Linotype" w:eastAsia="Palatino Linotype" w:hAnsi="Palatino Linotype" w:cs="Palatino Linotype"/>
          <w:i/>
        </w:rPr>
        <w:t xml:space="preserve"> El Órgano Superior tendrá las siguientes atribuciones: </w:t>
      </w:r>
    </w:p>
    <w:p w:rsidR="007B41FA" w:rsidRDefault="00330928">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I. Fiscalizar, en todo momento, respecto del año inmediato anterior, los ingresos y egresos de las entidades fiscalizables a efecto de comprobar que su recaudación, administración, desempeño, niveles de deuda y aplicación se apegue a las disposiciones lega</w:t>
      </w:r>
      <w:r>
        <w:rPr>
          <w:rFonts w:ascii="Palatino Linotype" w:eastAsia="Palatino Linotype" w:hAnsi="Palatino Linotype" w:cs="Palatino Linotype"/>
          <w:i/>
        </w:rPr>
        <w:t>les, administrativas, presupuestales, financieras y de planeación aplicables;</w:t>
      </w:r>
    </w:p>
    <w:p w:rsidR="007B41FA" w:rsidRDefault="00330928">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XI. Establecer los lineamientos, criterios, procedimientos, métodos y sistemas, así como todas aquellas disposiciones de carácter general para las acciones de control y evalu</w:t>
      </w:r>
      <w:r>
        <w:rPr>
          <w:rFonts w:ascii="Palatino Linotype" w:eastAsia="Palatino Linotype" w:hAnsi="Palatino Linotype" w:cs="Palatino Linotype"/>
          <w:i/>
        </w:rPr>
        <w:t>ación, necesarios para la fiscalización de las cuentas públicas y los informes trimestrales;”</w:t>
      </w:r>
    </w:p>
    <w:p w:rsidR="007B41FA" w:rsidRDefault="007B41FA">
      <w:pPr>
        <w:spacing w:after="0" w:line="276" w:lineRule="auto"/>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acuerdo a lo anterior, el Órgano Superior de Fiscalización, fiscaliza los ingresos y egresos de las entidades fiscalizables  a efecto de comprobar que su reca</w:t>
      </w:r>
      <w:r>
        <w:rPr>
          <w:rFonts w:ascii="Palatino Linotype" w:eastAsia="Palatino Linotype" w:hAnsi="Palatino Linotype" w:cs="Palatino Linotype"/>
          <w:color w:val="000000"/>
          <w:sz w:val="24"/>
          <w:szCs w:val="24"/>
        </w:rPr>
        <w:t xml:space="preserve">udación, administración, desempeño, niveles de deuda y aplicación se apegue a las disposiciones legales, administrativas, presupuestales, financieras y de planeación aplicables, establece lineamientos, criterios, procedimientos, métodos y sistemas, así </w:t>
      </w:r>
      <w:r>
        <w:rPr>
          <w:rFonts w:ascii="Palatino Linotype" w:eastAsia="Palatino Linotype" w:hAnsi="Palatino Linotype" w:cs="Palatino Linotype"/>
          <w:color w:val="000000"/>
          <w:sz w:val="24"/>
          <w:szCs w:val="24"/>
        </w:rPr>
        <w:lastRenderedPageBreak/>
        <w:t>com</w:t>
      </w:r>
      <w:r>
        <w:rPr>
          <w:rFonts w:ascii="Palatino Linotype" w:eastAsia="Palatino Linotype" w:hAnsi="Palatino Linotype" w:cs="Palatino Linotype"/>
          <w:color w:val="000000"/>
          <w:sz w:val="24"/>
          <w:szCs w:val="24"/>
        </w:rPr>
        <w:t xml:space="preserve">o de disposiciones de carácter general para las acciones de control y evaluación, necesarios para la fiscalización de las cuentas públicas y los informes trimestrales.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respecto, el Órgano Superior de Fiscalización emitió los Lineamientos para la Integración y Entrega de los Informes Trimestrales Municipales del Ejercicio Fiscal 2023, siendo el Módulo 1 Información Contable y Financiera de nuestro interés, misma que es</w:t>
      </w:r>
      <w:r>
        <w:rPr>
          <w:rFonts w:ascii="Palatino Linotype" w:eastAsia="Palatino Linotype" w:hAnsi="Palatino Linotype" w:cs="Palatino Linotype"/>
          <w:color w:val="000000"/>
          <w:sz w:val="24"/>
          <w:szCs w:val="24"/>
        </w:rPr>
        <w:t xml:space="preserve">tá compuesto por los siguientes documentos: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extent cx="5619925" cy="438861"/>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87285"/>
                    <a:stretch>
                      <a:fillRect/>
                    </a:stretch>
                  </pic:blipFill>
                  <pic:spPr>
                    <a:xfrm>
                      <a:off x="0" y="0"/>
                      <a:ext cx="5619925" cy="438861"/>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extent cx="5612130" cy="55118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5511800"/>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extent cx="5829736" cy="110716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829736" cy="1107160"/>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Aunado a ello, los Lineamientos para la Integración y Entrega de los Informes Trimestrales Estatales del Ejercicio Fiscal 2023, establece en su Modulo 1 Información Contable y Financiera, lo siguiente: </w:t>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extent cx="5716093" cy="4665103"/>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16093" cy="4665103"/>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extent cx="5661169" cy="3241178"/>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661169" cy="3241178"/>
                    </a:xfrm>
                    <a:prstGeom prst="rect">
                      <a:avLst/>
                    </a:prstGeom>
                    <a:ln/>
                  </pic:spPr>
                </pic:pic>
              </a:graphicData>
            </a:graphic>
          </wp:inline>
        </w:drawing>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relación a lo antes señalado, los municipios no emiten un documento denominado Diario de Egresos, siendo que el Poder Legislativo, Poder Judicial, Órganos Autónomos y Organismos Auxiliares, son los únicos que generan un Diario de Egresos, por ello, </w:t>
      </w:r>
      <w:r>
        <w:rPr>
          <w:rFonts w:ascii="Palatino Linotype" w:eastAsia="Palatino Linotype" w:hAnsi="Palatino Linotype" w:cs="Palatino Linotype"/>
          <w:color w:val="000000"/>
          <w:sz w:val="24"/>
          <w:szCs w:val="24"/>
        </w:rPr>
        <w:t>conviene señalar que los sujetos obligados deben atender las solicitudes de información en términos de lo establecido en los artículos 12, segundo párrafo, y 24, último párrafo, de la Ley de Transparencia y Acceso a la Información Pública del Estado de Méx</w:t>
      </w:r>
      <w:r>
        <w:rPr>
          <w:rFonts w:ascii="Palatino Linotype" w:eastAsia="Palatino Linotype" w:hAnsi="Palatino Linotype" w:cs="Palatino Linotype"/>
          <w:color w:val="000000"/>
          <w:sz w:val="24"/>
          <w:szCs w:val="24"/>
        </w:rPr>
        <w:t>ico y Municipios, que son del tenor siguiente:</w:t>
      </w:r>
    </w:p>
    <w:p w:rsidR="007B41FA" w:rsidRDefault="007B41FA">
      <w:pPr>
        <w:spacing w:after="0" w:line="360" w:lineRule="auto"/>
        <w:ind w:right="-93"/>
        <w:jc w:val="both"/>
        <w:rPr>
          <w:rFonts w:ascii="Palatino Linotype" w:eastAsia="Palatino Linotype" w:hAnsi="Palatino Linotype" w:cs="Palatino Linotype"/>
          <w:color w:val="000000"/>
          <w:sz w:val="24"/>
          <w:szCs w:val="24"/>
        </w:rPr>
      </w:pPr>
    </w:p>
    <w:p w:rsidR="007B41FA" w:rsidRDefault="00330928">
      <w:pPr>
        <w:spacing w:after="0" w:line="276" w:lineRule="auto"/>
        <w:ind w:left="567" w:right="618"/>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12.</w:t>
      </w:r>
      <w:r>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w:t>
      </w:r>
    </w:p>
    <w:p w:rsidR="007B41FA" w:rsidRDefault="007B41FA">
      <w:pPr>
        <w:spacing w:after="0" w:line="276" w:lineRule="auto"/>
        <w:ind w:left="567" w:right="618"/>
        <w:jc w:val="both"/>
        <w:rPr>
          <w:rFonts w:ascii="Palatino Linotype" w:eastAsia="Palatino Linotype" w:hAnsi="Palatino Linotype" w:cs="Palatino Linotype"/>
          <w:i/>
          <w:color w:val="000000"/>
        </w:rPr>
      </w:pPr>
    </w:p>
    <w:p w:rsidR="007B41FA" w:rsidRDefault="00330928">
      <w:pPr>
        <w:spacing w:after="0" w:line="276" w:lineRule="auto"/>
        <w:ind w:left="567" w:right="618"/>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u w:val="single"/>
        </w:rPr>
        <w:lastRenderedPageBreak/>
        <w:t xml:space="preserve">Los sujetos obligados sólo proporcionarán la información pública que se les requiera y que obre en sus archivos </w:t>
      </w:r>
      <w:r>
        <w:rPr>
          <w:rFonts w:ascii="Palatino Linotype" w:eastAsia="Palatino Linotype" w:hAnsi="Palatino Linotype" w:cs="Palatino Linotype"/>
          <w:i/>
          <w:color w:val="000000"/>
          <w:u w:val="single"/>
        </w:rPr>
        <w:t>y en el estado en que ésta se encuentre.</w:t>
      </w:r>
      <w:r>
        <w:rPr>
          <w:rFonts w:ascii="Palatino Linotype" w:eastAsia="Palatino Linotype" w:hAnsi="Palatino Linotype" w:cs="Palatino Linotype"/>
          <w:i/>
          <w:color w:val="000000"/>
        </w:rPr>
        <w:t xml:space="preserve"> La obligación de proporcionar información </w:t>
      </w:r>
      <w:r>
        <w:rPr>
          <w:rFonts w:ascii="Palatino Linotype" w:eastAsia="Palatino Linotype" w:hAnsi="Palatino Linotype" w:cs="Palatino Linotype"/>
          <w:b/>
          <w:i/>
          <w:color w:val="000000"/>
          <w:u w:val="single"/>
        </w:rPr>
        <w:t xml:space="preserve">no comprende el procesamiento de la misma, ni el presentarla </w:t>
      </w:r>
      <w:r>
        <w:rPr>
          <w:rFonts w:ascii="Palatino Linotype" w:eastAsia="Palatino Linotype" w:hAnsi="Palatino Linotype" w:cs="Palatino Linotype"/>
          <w:b/>
          <w:i/>
          <w:color w:val="000000"/>
          <w:u w:val="single"/>
        </w:rPr>
        <w:t>conforme al interés del solicitante; no estarán obligados a generarla,</w:t>
      </w:r>
      <w:r>
        <w:rPr>
          <w:rFonts w:ascii="Palatino Linotype" w:eastAsia="Palatino Linotype" w:hAnsi="Palatino Linotype" w:cs="Palatino Linotype"/>
          <w:i/>
          <w:color w:val="000000"/>
        </w:rPr>
        <w:t xml:space="preserve"> resumirla, efectuar cálculos o practicar investigaciones.</w:t>
      </w:r>
    </w:p>
    <w:p w:rsidR="007B41FA" w:rsidRDefault="007B41FA">
      <w:pPr>
        <w:spacing w:after="0" w:line="276" w:lineRule="auto"/>
        <w:ind w:left="567" w:right="618"/>
        <w:jc w:val="both"/>
        <w:rPr>
          <w:rFonts w:ascii="Palatino Linotype" w:eastAsia="Palatino Linotype" w:hAnsi="Palatino Linotype" w:cs="Palatino Linotype"/>
          <w:b/>
          <w:i/>
          <w:color w:val="000000"/>
        </w:rPr>
      </w:pPr>
    </w:p>
    <w:p w:rsidR="007B41FA" w:rsidRDefault="00330928">
      <w:pPr>
        <w:spacing w:after="0" w:line="276" w:lineRule="auto"/>
        <w:ind w:left="567" w:right="618"/>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24.</w:t>
      </w:r>
      <w:r>
        <w:rPr>
          <w:rFonts w:ascii="Palatino Linotype" w:eastAsia="Palatino Linotype" w:hAnsi="Palatino Linotype" w:cs="Palatino Linotype"/>
          <w:i/>
          <w:color w:val="000000"/>
        </w:rPr>
        <w:t xml:space="preserve"> Para el cumplimiento de los objetivos de esta Ley, los sujetos obligados deberán cumplir con las siguientes oblig</w:t>
      </w:r>
      <w:r>
        <w:rPr>
          <w:rFonts w:ascii="Palatino Linotype" w:eastAsia="Palatino Linotype" w:hAnsi="Palatino Linotype" w:cs="Palatino Linotype"/>
          <w:i/>
          <w:color w:val="000000"/>
        </w:rPr>
        <w:t>aciones, según corresponda, de acuerdo a su naturaleza:</w:t>
      </w:r>
    </w:p>
    <w:p w:rsidR="007B41FA" w:rsidRDefault="00330928">
      <w:pPr>
        <w:spacing w:after="0" w:line="276" w:lineRule="auto"/>
        <w:ind w:left="567" w:right="6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7B41FA" w:rsidRDefault="00330928">
      <w:pPr>
        <w:spacing w:after="0" w:line="276" w:lineRule="auto"/>
        <w:ind w:left="567" w:right="618"/>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i/>
          <w:color w:val="000000"/>
        </w:rPr>
        <w:t xml:space="preserve">Los sujetos obligados </w:t>
      </w:r>
      <w:r>
        <w:rPr>
          <w:rFonts w:ascii="Palatino Linotype" w:eastAsia="Palatino Linotype" w:hAnsi="Palatino Linotype" w:cs="Palatino Linotype"/>
          <w:b/>
          <w:i/>
          <w:color w:val="000000"/>
          <w:u w:val="single"/>
        </w:rPr>
        <w:t>solo proporcionarán la información pública que generen, administren o posean en el ejercicio de sus atribuciones.”</w:t>
      </w:r>
    </w:p>
    <w:p w:rsidR="007B41FA" w:rsidRDefault="007B41FA">
      <w:pPr>
        <w:spacing w:after="0" w:line="360" w:lineRule="auto"/>
        <w:ind w:left="567" w:right="616"/>
        <w:jc w:val="both"/>
        <w:rPr>
          <w:rFonts w:ascii="Palatino Linotype" w:eastAsia="Palatino Linotype" w:hAnsi="Palatino Linotype" w:cs="Palatino Linotype"/>
          <w:color w:val="000000"/>
          <w:sz w:val="24"/>
          <w:szCs w:val="24"/>
        </w:rPr>
      </w:pPr>
    </w:p>
    <w:p w:rsidR="007B41FA" w:rsidRDefault="00330928">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tiene sustento y se robustece con el Criterio </w:t>
      </w:r>
      <w:r>
        <w:rPr>
          <w:rFonts w:ascii="Palatino Linotype" w:eastAsia="Palatino Linotype" w:hAnsi="Palatino Linotype" w:cs="Palatino Linotype"/>
          <w:color w:val="000000"/>
          <w:sz w:val="24"/>
          <w:szCs w:val="24"/>
        </w:rPr>
        <w:t>número 03/17 emitido por el Instituto Nacional de Transparencia, Acceso a la Información y Protección de Datos Personales (INAI), que se inserta a continuación:</w:t>
      </w:r>
    </w:p>
    <w:p w:rsidR="007B41FA" w:rsidRDefault="007B41FA">
      <w:pPr>
        <w:spacing w:after="0" w:line="360" w:lineRule="auto"/>
        <w:ind w:left="567" w:right="616"/>
        <w:jc w:val="both"/>
        <w:rPr>
          <w:rFonts w:ascii="Palatino Linotype" w:eastAsia="Palatino Linotype" w:hAnsi="Palatino Linotype" w:cs="Palatino Linotype"/>
          <w:color w:val="000000"/>
          <w:sz w:val="24"/>
          <w:szCs w:val="24"/>
        </w:rPr>
      </w:pPr>
    </w:p>
    <w:p w:rsidR="007B41FA" w:rsidRDefault="00330928">
      <w:pPr>
        <w:spacing w:after="0" w:line="276" w:lineRule="auto"/>
        <w:ind w:left="567" w:right="618"/>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“No existe obligación de elaborar documentos ad hoc para atender las solicitudes de acceso a la información. </w:t>
      </w:r>
      <w:r>
        <w:rPr>
          <w:rFonts w:ascii="Palatino Linotype" w:eastAsia="Palatino Linotype" w:hAnsi="Palatino Linotype" w:cs="Palatino Linotype"/>
          <w:i/>
          <w:color w:val="000000"/>
        </w:rPr>
        <w:t xml:space="preserve">Los artículos 129 de la Ley General de Transparencia y Acceso a la Información Pública y 130, párrafo cuarto, de la Ley Federal de Transparencia y </w:t>
      </w:r>
      <w:r>
        <w:rPr>
          <w:rFonts w:ascii="Palatino Linotype" w:eastAsia="Palatino Linotype" w:hAnsi="Palatino Linotype" w:cs="Palatino Linotype"/>
          <w:i/>
          <w:color w:val="000000"/>
        </w:rPr>
        <w:t>Acceso a la Información Pública, señalan que los sujetos obligados deberán otorgar acceso a los documentos que se encuentren en sus archivos o que estén obligados a documentar, de acuerdo con sus facultades, competencias o funciones, conforme a las caracte</w:t>
      </w:r>
      <w:r>
        <w:rPr>
          <w:rFonts w:ascii="Palatino Linotype" w:eastAsia="Palatino Linotype" w:hAnsi="Palatino Linotype" w:cs="Palatino Linotype"/>
          <w:i/>
          <w:color w:val="000000"/>
        </w:rPr>
        <w:t xml:space="preserve">rísticas físicas de la información o del lugar donde se encuentre. Por lo anterior, los sujetos obligados deben garantizar el derecho de acceso a la información del particular, proporcionando la información con la que cuentan en el formato en que la misma </w:t>
      </w:r>
      <w:r>
        <w:rPr>
          <w:rFonts w:ascii="Palatino Linotype" w:eastAsia="Palatino Linotype" w:hAnsi="Palatino Linotype" w:cs="Palatino Linotype"/>
          <w:i/>
          <w:color w:val="000000"/>
        </w:rPr>
        <w:t>obre en sus archivos; sin necesidad de elaborar documentos ad hoc para atender las solicitudes de información.</w:t>
      </w:r>
    </w:p>
    <w:p w:rsidR="007B41FA" w:rsidRDefault="007B41FA">
      <w:pPr>
        <w:spacing w:after="0" w:line="276" w:lineRule="auto"/>
        <w:ind w:left="567" w:right="618"/>
        <w:jc w:val="both"/>
        <w:rPr>
          <w:rFonts w:ascii="Palatino Linotype" w:eastAsia="Palatino Linotype" w:hAnsi="Palatino Linotype" w:cs="Palatino Linotype"/>
          <w:b/>
          <w:i/>
          <w:color w:val="000000"/>
        </w:rPr>
      </w:pPr>
    </w:p>
    <w:p w:rsidR="007B41FA" w:rsidRDefault="00330928">
      <w:pPr>
        <w:spacing w:after="0" w:line="276" w:lineRule="auto"/>
        <w:ind w:left="567" w:right="618"/>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Resoluciones:</w:t>
      </w:r>
    </w:p>
    <w:p w:rsidR="007B41FA" w:rsidRDefault="00330928">
      <w:pPr>
        <w:numPr>
          <w:ilvl w:val="0"/>
          <w:numId w:val="3"/>
        </w:numPr>
        <w:spacing w:after="0" w:line="276" w:lineRule="auto"/>
        <w:ind w:right="618"/>
        <w:jc w:val="both"/>
        <w:rPr>
          <w:i/>
          <w:color w:val="000000"/>
        </w:rPr>
      </w:pPr>
      <w:r>
        <w:rPr>
          <w:rFonts w:ascii="Palatino Linotype" w:eastAsia="Palatino Linotype" w:hAnsi="Palatino Linotype" w:cs="Palatino Linotype"/>
          <w:b/>
          <w:i/>
          <w:color w:val="000000"/>
        </w:rPr>
        <w:lastRenderedPageBreak/>
        <w:t>RRA 0050/16.</w:t>
      </w:r>
      <w:r>
        <w:rPr>
          <w:rFonts w:ascii="Palatino Linotype" w:eastAsia="Palatino Linotype" w:hAnsi="Palatino Linotype" w:cs="Palatino Linotype"/>
          <w:i/>
          <w:color w:val="000000"/>
        </w:rPr>
        <w:t xml:space="preserve"> Instituto Nacional para la Evaluación de la Educación. 13 julio de 2016. Por unanimidad. Comisionado Ponente: Francis</w:t>
      </w:r>
      <w:r>
        <w:rPr>
          <w:rFonts w:ascii="Palatino Linotype" w:eastAsia="Palatino Linotype" w:hAnsi="Palatino Linotype" w:cs="Palatino Linotype"/>
          <w:i/>
          <w:color w:val="000000"/>
        </w:rPr>
        <w:t>co Javier Acuña Llamas.</w:t>
      </w:r>
    </w:p>
    <w:p w:rsidR="007B41FA" w:rsidRDefault="00330928">
      <w:pPr>
        <w:numPr>
          <w:ilvl w:val="0"/>
          <w:numId w:val="3"/>
        </w:numPr>
        <w:spacing w:after="0" w:line="276" w:lineRule="auto"/>
        <w:ind w:right="618"/>
        <w:jc w:val="both"/>
        <w:rPr>
          <w:i/>
          <w:color w:val="000000"/>
        </w:rPr>
      </w:pPr>
      <w:r>
        <w:rPr>
          <w:rFonts w:ascii="Palatino Linotype" w:eastAsia="Palatino Linotype" w:hAnsi="Palatino Linotype" w:cs="Palatino Linotype"/>
          <w:b/>
          <w:i/>
          <w:color w:val="000000"/>
        </w:rPr>
        <w:t xml:space="preserve">RRA 0310/16. </w:t>
      </w:r>
      <w:r>
        <w:rPr>
          <w:rFonts w:ascii="Palatino Linotype" w:eastAsia="Palatino Linotype" w:hAnsi="Palatino Linotype" w:cs="Palatino Linotype"/>
          <w:i/>
          <w:color w:val="000000"/>
        </w:rPr>
        <w:t>Instituto Nacional de Transparencia, Acceso a la Información y Protección de Datos Personales. 10 de agosto de 2016. Por unanimidad. Comisionada Ponente. Areli Cano Guadiana.</w:t>
      </w:r>
    </w:p>
    <w:p w:rsidR="007B41FA" w:rsidRDefault="00330928">
      <w:pPr>
        <w:numPr>
          <w:ilvl w:val="0"/>
          <w:numId w:val="3"/>
        </w:numPr>
        <w:spacing w:after="0" w:line="276" w:lineRule="auto"/>
        <w:ind w:right="618"/>
        <w:jc w:val="both"/>
        <w:rPr>
          <w:i/>
          <w:color w:val="000000"/>
        </w:rPr>
      </w:pPr>
      <w:r>
        <w:rPr>
          <w:rFonts w:ascii="Palatino Linotype" w:eastAsia="Palatino Linotype" w:hAnsi="Palatino Linotype" w:cs="Palatino Linotype"/>
          <w:b/>
          <w:i/>
          <w:color w:val="000000"/>
        </w:rPr>
        <w:t xml:space="preserve">RRA 1889/16. </w:t>
      </w:r>
      <w:r>
        <w:rPr>
          <w:rFonts w:ascii="Palatino Linotype" w:eastAsia="Palatino Linotype" w:hAnsi="Palatino Linotype" w:cs="Palatino Linotype"/>
          <w:i/>
          <w:color w:val="000000"/>
        </w:rPr>
        <w:t>Secretaría de Hacienda y Crédito Público. 05 de octubre de 2016. Por unanimidad. Comisionada Ponente. Ximena Puente de la Mora.”</w:t>
      </w:r>
    </w:p>
    <w:p w:rsidR="007B41FA" w:rsidRDefault="007B41FA">
      <w:pPr>
        <w:spacing w:after="0" w:line="360" w:lineRule="auto"/>
        <w:ind w:left="567" w:right="616"/>
        <w:jc w:val="both"/>
        <w:rPr>
          <w:rFonts w:ascii="Palatino Linotype" w:eastAsia="Palatino Linotype" w:hAnsi="Palatino Linotype" w:cs="Palatino Linotype"/>
          <w:color w:val="000000"/>
          <w:sz w:val="24"/>
          <w:szCs w:val="24"/>
        </w:rPr>
      </w:pPr>
    </w:p>
    <w:p w:rsidR="007B41FA" w:rsidRDefault="00330928">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y de conformidad con lo antes señalado,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sólo proporcionará la información que obra en sus archivos, lo</w:t>
      </w:r>
      <w:r>
        <w:rPr>
          <w:rFonts w:ascii="Palatino Linotype" w:eastAsia="Palatino Linotype" w:hAnsi="Palatino Linotype" w:cs="Palatino Linotype"/>
          <w:color w:val="000000"/>
          <w:sz w:val="24"/>
          <w:szCs w:val="24"/>
        </w:rPr>
        <w:t xml:space="preserve"> que a </w:t>
      </w:r>
      <w:r>
        <w:rPr>
          <w:rFonts w:ascii="Palatino Linotype" w:eastAsia="Palatino Linotype" w:hAnsi="Palatino Linotype" w:cs="Palatino Linotype"/>
          <w:i/>
          <w:color w:val="000000"/>
          <w:sz w:val="24"/>
          <w:szCs w:val="24"/>
        </w:rPr>
        <w:t>contrario sensu</w:t>
      </w:r>
      <w:r>
        <w:rPr>
          <w:rFonts w:ascii="Palatino Linotype" w:eastAsia="Palatino Linotype" w:hAnsi="Palatino Linotype" w:cs="Palatino Linotype"/>
          <w:color w:val="000000"/>
          <w:sz w:val="24"/>
          <w:szCs w:val="24"/>
        </w:rPr>
        <w:t xml:space="preserve"> significa que no se está obligado a proporcionar lo que no obre en sus archivos, situación que se actualiza en el presente asunto, motivo por el cual se colma el derecho de acceso a la información pública del particular. </w:t>
      </w:r>
    </w:p>
    <w:p w:rsidR="007B41FA" w:rsidRDefault="007B41FA">
      <w:pPr>
        <w:spacing w:line="360" w:lineRule="auto"/>
        <w:jc w:val="both"/>
        <w:rPr>
          <w:rFonts w:ascii="Palatino Linotype" w:eastAsia="Palatino Linotype" w:hAnsi="Palatino Linotype" w:cs="Palatino Linotype"/>
          <w:color w:val="000000"/>
          <w:sz w:val="24"/>
          <w:szCs w:val="24"/>
        </w:rPr>
      </w:pPr>
    </w:p>
    <w:p w:rsidR="007B41FA" w:rsidRDefault="00330928">
      <w:pPr>
        <w:numPr>
          <w:ilvl w:val="0"/>
          <w:numId w:val="1"/>
        </w:numPr>
        <w:pBdr>
          <w:top w:val="nil"/>
          <w:left w:val="nil"/>
          <w:bottom w:val="nil"/>
          <w:right w:val="nil"/>
          <w:between w:val="nil"/>
        </w:pBdr>
        <w:spacing w:line="360" w:lineRule="auto"/>
        <w:jc w:val="both"/>
        <w:rPr>
          <w:b/>
          <w:color w:val="000000"/>
          <w:sz w:val="24"/>
          <w:szCs w:val="24"/>
        </w:rPr>
      </w:pPr>
      <w:r>
        <w:rPr>
          <w:rFonts w:ascii="Palatino Linotype" w:eastAsia="Palatino Linotype" w:hAnsi="Palatino Linotype" w:cs="Palatino Linotype"/>
          <w:b/>
          <w:color w:val="000000"/>
          <w:sz w:val="24"/>
          <w:szCs w:val="24"/>
        </w:rPr>
        <w:t>Respecto a</w:t>
      </w:r>
      <w:r>
        <w:rPr>
          <w:rFonts w:ascii="Palatino Linotype" w:eastAsia="Palatino Linotype" w:hAnsi="Palatino Linotype" w:cs="Palatino Linotype"/>
          <w:b/>
          <w:color w:val="000000"/>
          <w:sz w:val="24"/>
          <w:szCs w:val="24"/>
        </w:rPr>
        <w:t xml:space="preserve">l Diario de Ingresos. </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hace entrega de la siguiente información:</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extent cx="5612130" cy="4001135"/>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12130" cy="4001135"/>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extent cx="5612130" cy="1696085"/>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2130" cy="1696085"/>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Referente a la información proporcionada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se adolece porque no dan certeza de la información debido a que no trae sellos ni firmas.</w:t>
      </w:r>
    </w:p>
    <w:p w:rsidR="007B41FA" w:rsidRDefault="007B41FA">
      <w:pPr>
        <w:spacing w:after="0" w:line="360" w:lineRule="auto"/>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 acuerdo a lo antes referido es de señalar que los Informes Trimestrales Municipales del Ejercicio Fiscal 2023,  en el Módulo 1 Información Contable y Financiera no establecen que deben estar firmados como se aprecia a continuación: </w:t>
      </w:r>
    </w:p>
    <w:p w:rsidR="007B41FA" w:rsidRDefault="00330928">
      <w:pPr>
        <w:spacing w:after="0" w:line="360" w:lineRule="auto"/>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noProof/>
          <w:color w:val="FF0000"/>
          <w:sz w:val="24"/>
          <w:szCs w:val="24"/>
        </w:rPr>
        <w:drawing>
          <wp:inline distT="0" distB="0" distL="0" distR="0">
            <wp:extent cx="4877481" cy="5706271"/>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877481" cy="5706271"/>
                    </a:xfrm>
                    <a:prstGeom prst="rect">
                      <a:avLst/>
                    </a:prstGeom>
                    <a:ln/>
                  </pic:spPr>
                </pic:pic>
              </a:graphicData>
            </a:graphic>
          </wp:inline>
        </w:drawing>
      </w:r>
    </w:p>
    <w:p w:rsidR="007B41FA" w:rsidRDefault="0033092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Aunado a lo anterior, el criterio  07/19 emitido por el Instituto Nacional de Acceso a la Información Pública (INAI):</w:t>
      </w:r>
    </w:p>
    <w:p w:rsidR="007B41FA" w:rsidRDefault="007B41FA">
      <w:pPr>
        <w:tabs>
          <w:tab w:val="left" w:pos="709"/>
        </w:tabs>
        <w:spacing w:after="0" w:line="360" w:lineRule="auto"/>
        <w:ind w:right="40"/>
        <w:jc w:val="both"/>
        <w:rPr>
          <w:rFonts w:ascii="Palatino Linotype" w:eastAsia="Palatino Linotype" w:hAnsi="Palatino Linotype" w:cs="Palatino Linotype"/>
          <w:color w:val="000000"/>
          <w:sz w:val="24"/>
          <w:szCs w:val="24"/>
        </w:rPr>
      </w:pPr>
    </w:p>
    <w:p w:rsidR="007B41FA" w:rsidRDefault="00330928">
      <w:pPr>
        <w:tabs>
          <w:tab w:val="left" w:pos="709"/>
        </w:tabs>
        <w:spacing w:after="0" w:line="276" w:lineRule="auto"/>
        <w:ind w:left="862" w:right="902"/>
        <w:jc w:val="both"/>
        <w:rPr>
          <w:rFonts w:ascii="Palatino Linotype" w:eastAsia="Palatino Linotype" w:hAnsi="Palatino Linotype" w:cs="Palatino Linotype"/>
          <w:i/>
        </w:rPr>
      </w:pPr>
      <w:r>
        <w:rPr>
          <w:rFonts w:ascii="Palatino Linotype" w:eastAsia="Palatino Linotype" w:hAnsi="Palatino Linotype" w:cs="Palatino Linotype"/>
          <w:i/>
        </w:rPr>
        <w:t>“Documentos sin firma o membrete. Los documentos que son emitidos por las Unidades de Transparencia son válidos en el ámbito de la Ley Fe</w:t>
      </w:r>
      <w:r>
        <w:rPr>
          <w:rFonts w:ascii="Palatino Linotype" w:eastAsia="Palatino Linotype" w:hAnsi="Palatino Linotype" w:cs="Palatino Linotype"/>
          <w:i/>
        </w:rPr>
        <w:t>deral de Transparencia y Acceso a la Información Pública cuando se proporcionan a través de la Plataforma Nacional de Transparencia, aunque no se encuentren firmados y no contengan membrete.”</w:t>
      </w:r>
    </w:p>
    <w:p w:rsidR="007B41FA" w:rsidRDefault="007B41FA">
      <w:pPr>
        <w:tabs>
          <w:tab w:val="left" w:pos="709"/>
        </w:tabs>
        <w:spacing w:after="0" w:line="360" w:lineRule="auto"/>
        <w:ind w:left="860" w:right="900"/>
        <w:jc w:val="both"/>
        <w:rPr>
          <w:rFonts w:ascii="Palatino Linotype" w:eastAsia="Palatino Linotype" w:hAnsi="Palatino Linotype" w:cs="Palatino Linotype"/>
          <w:i/>
        </w:rPr>
      </w:pPr>
    </w:p>
    <w:p w:rsidR="007B41FA" w:rsidRDefault="00330928">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cual menciona que los documentos emitidos por conducto de pl</w:t>
      </w:r>
      <w:r>
        <w:rPr>
          <w:rFonts w:ascii="Palatino Linotype" w:eastAsia="Palatino Linotype" w:hAnsi="Palatino Linotype" w:cs="Palatino Linotype"/>
          <w:sz w:val="24"/>
          <w:szCs w:val="24"/>
        </w:rPr>
        <w:t xml:space="preserve">ataforma electrónica que carecen de firma y membrete son válidos bajo lo estipulado en Ley Federal de Transparencia y Acceso a la Información Pública, motivo por el que se tiene por colmado este punto de la solicitud. </w:t>
      </w:r>
      <w:r>
        <w:rPr>
          <w:rFonts w:ascii="Palatino Linotype" w:eastAsia="Palatino Linotype" w:hAnsi="Palatino Linotype" w:cs="Palatino Linotype"/>
          <w:color w:val="000000"/>
          <w:sz w:val="24"/>
          <w:szCs w:val="24"/>
        </w:rPr>
        <w:t xml:space="preserve"> </w:t>
      </w:r>
    </w:p>
    <w:p w:rsidR="007B41FA" w:rsidRDefault="007B41FA">
      <w:pPr>
        <w:tabs>
          <w:tab w:val="left" w:pos="709"/>
        </w:tabs>
        <w:spacing w:after="0" w:line="360" w:lineRule="auto"/>
        <w:ind w:right="40"/>
        <w:jc w:val="both"/>
        <w:rPr>
          <w:rFonts w:ascii="Palatino Linotype" w:eastAsia="Palatino Linotype" w:hAnsi="Palatino Linotype" w:cs="Palatino Linotype"/>
          <w:color w:val="000000"/>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Finalmente</w:t>
      </w:r>
      <w:r>
        <w:rPr>
          <w:rFonts w:ascii="Palatino Linotype" w:eastAsia="Palatino Linotype" w:hAnsi="Palatino Linotype" w:cs="Palatino Linotype"/>
          <w:sz w:val="24"/>
          <w:szCs w:val="24"/>
        </w:rPr>
        <w:t xml:space="preserve">, debe señalarse que de ser el caso en que los documentos que vayan a ser entregados para dar cumplimiento a la presente resolución, contengan datos que deban ser clasificados,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deberá hacer la elaboración de la versión pública de los mis</w:t>
      </w:r>
      <w:r>
        <w:rPr>
          <w:rFonts w:ascii="Palatino Linotype" w:eastAsia="Palatino Linotype" w:hAnsi="Palatino Linotype" w:cs="Palatino Linotype"/>
          <w:sz w:val="24"/>
          <w:szCs w:val="24"/>
        </w:rPr>
        <w:t xml:space="preserve">mos a fin de satisfacer el derecho de acceso a la información pública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sin menoscabo al derecho a la protección de los datos personales de terceros.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w:t>
      </w:r>
      <w:r>
        <w:rPr>
          <w:rFonts w:ascii="Palatino Linotype" w:eastAsia="Palatino Linotype" w:hAnsi="Palatino Linotype" w:cs="Palatino Linotype"/>
          <w:sz w:val="24"/>
          <w:szCs w:val="24"/>
        </w:rPr>
        <w:t xml:space="preserve"> por los artículos 3 fracciones IX, XX, XXI y XLV, 91, 132 fracciones II y III, y 143 fracción I de la Ley de Transparencia y Acceso a la Información Pública del Estado de México y Municipios que establecen:</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w:t>
      </w:r>
      <w:r>
        <w:rPr>
          <w:rFonts w:ascii="Palatino Linotype" w:eastAsia="Palatino Linotype" w:hAnsi="Palatino Linotype" w:cs="Palatino Linotype"/>
          <w:i/>
        </w:rPr>
        <w:t>y se entenderá por:</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w:t>
      </w:r>
      <w:r>
        <w:rPr>
          <w:rFonts w:ascii="Palatino Linotype" w:eastAsia="Palatino Linotype" w:hAnsi="Palatino Linotype" w:cs="Palatino Linotype"/>
          <w:i/>
        </w:rPr>
        <w:t>ercicio de recursos públicos;</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w:t>
      </w:r>
      <w:r>
        <w:rPr>
          <w:rFonts w:ascii="Palatino Linotype" w:eastAsia="Palatino Linotype" w:hAnsi="Palatino Linotype" w:cs="Palatino Linotype"/>
          <w:i/>
        </w:rPr>
        <w:t>cionalmente, cuando ésta sea clasificada como reservada o confidencial.</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La clasificación de la información se llevará a cabo en el momento en que:</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w:t>
      </w:r>
      <w:r>
        <w:rPr>
          <w:rFonts w:ascii="Palatino Linotype" w:eastAsia="Palatino Linotype" w:hAnsi="Palatino Linotype" w:cs="Palatino Linotype"/>
          <w:i/>
        </w:rPr>
        <w:t>autoridad competente; o</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xml:space="preserve"> Para los efectos de esta Ley se considera información confidencial, la clasificada como tal, de ma</w:t>
      </w:r>
      <w:r>
        <w:rPr>
          <w:rFonts w:ascii="Palatino Linotype" w:eastAsia="Palatino Linotype" w:hAnsi="Palatino Linotype" w:cs="Palatino Linotype"/>
          <w:i/>
        </w:rPr>
        <w:t>nera permanente, por su naturaleza, cuando:</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w:t>
      </w:r>
      <w:r>
        <w:rPr>
          <w:rFonts w:ascii="Palatino Linotype" w:eastAsia="Palatino Linotype" w:hAnsi="Palatino Linotype" w:cs="Palatino Linotype"/>
          <w:i/>
        </w:rPr>
        <w:t>scal, bursátil y postal, cuya titularidad corresponda a particulares, sujetos de derecho internacional o a sujetos obligados cuando no involucren el ejercicio de recursos públicos; y</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w:t>
      </w:r>
      <w:r>
        <w:rPr>
          <w:rFonts w:ascii="Palatino Linotype" w:eastAsia="Palatino Linotype" w:hAnsi="Palatino Linotype" w:cs="Palatino Linotype"/>
          <w:i/>
        </w:rPr>
        <w:t>midad con lo dispuesto por las leyes o los tratados internacionales.</w:t>
      </w:r>
    </w:p>
    <w:p w:rsidR="007B41FA" w:rsidRDefault="00330928">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w:t>
      </w:r>
      <w:r>
        <w:rPr>
          <w:rFonts w:ascii="Palatino Linotype" w:eastAsia="Palatino Linotype" w:hAnsi="Palatino Linotype" w:cs="Palatino Linotype"/>
          <w:i/>
        </w:rPr>
        <w:t>a ello.</w:t>
      </w:r>
    </w:p>
    <w:p w:rsidR="007B41FA" w:rsidRDefault="00330928">
      <w:pPr>
        <w:spacing w:before="120"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7B41FA" w:rsidRDefault="007B41FA">
      <w:pPr>
        <w:spacing w:after="0" w:line="360" w:lineRule="auto"/>
        <w:ind w:left="1134" w:right="902"/>
        <w:jc w:val="both"/>
        <w:rPr>
          <w:rFonts w:ascii="Palatino Linotype" w:eastAsia="Palatino Linotype" w:hAnsi="Palatino Linotype" w:cs="Palatino Linotype"/>
          <w:i/>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w:t>
      </w:r>
      <w:r>
        <w:rPr>
          <w:rFonts w:ascii="Palatino Linotype" w:eastAsia="Palatino Linotype" w:hAnsi="Palatino Linotype" w:cs="Palatino Linotype"/>
          <w:sz w:val="24"/>
          <w:szCs w:val="24"/>
        </w:rPr>
        <w:t>eria de Clasificación y Desclasificación de la Información, así como para la elaboración de Versiones Públicas, emitidos por el Consejo Nacional del Sistema Nacional de Transparencia, Acceso a la Información Pública y Protección de Datos Personales, public</w:t>
      </w:r>
      <w:r>
        <w:rPr>
          <w:rFonts w:ascii="Palatino Linotype" w:eastAsia="Palatino Linotype" w:hAnsi="Palatino Linotype" w:cs="Palatino Linotype"/>
          <w:sz w:val="24"/>
          <w:szCs w:val="24"/>
        </w:rPr>
        <w:t>ados en el Diario Oficial de la Federación el día quince de abril de dos mil dieciséis, tienen por objeto establecer los criterios con base en los cuales los sujetos obligados clasificarán como reservada o confidencial la información que posean, desclasifi</w:t>
      </w:r>
      <w:r>
        <w:rPr>
          <w:rFonts w:ascii="Palatino Linotype" w:eastAsia="Palatino Linotype" w:hAnsi="Palatino Linotype" w:cs="Palatino Linotype"/>
          <w:sz w:val="24"/>
          <w:szCs w:val="24"/>
        </w:rPr>
        <w:t>carán y generarán, en su caso, versiones públicas de expedientes o documentos que contengan partes o secciones clasificadas.</w:t>
      </w: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Entorno a lo que aquí nos interesa, los Lineamientos Quincuagésimo sexto, Quincuagésimo séptimo y Quincuagésimo octavo, establecen </w:t>
      </w:r>
      <w:r>
        <w:rPr>
          <w:rFonts w:ascii="Palatino Linotype" w:eastAsia="Palatino Linotype" w:hAnsi="Palatino Linotype" w:cs="Palatino Linotype"/>
          <w:sz w:val="24"/>
          <w:szCs w:val="24"/>
        </w:rPr>
        <w:t>lo siguiente:</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Quincuagésimo sexto.</w:t>
      </w:r>
      <w:r>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w:t>
      </w:r>
      <w:r>
        <w:rPr>
          <w:rFonts w:ascii="Palatino Linotype" w:eastAsia="Palatino Linotype" w:hAnsi="Palatino Linotype" w:cs="Palatino Linotype"/>
          <w:i/>
        </w:rPr>
        <w:t>ansparencia</w:t>
      </w:r>
    </w:p>
    <w:p w:rsidR="007B41FA" w:rsidRDefault="00330928">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rsidR="007B41FA" w:rsidRDefault="00330928">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w:t>
      </w:r>
      <w:r>
        <w:rPr>
          <w:rFonts w:ascii="Palatino Linotype" w:eastAsia="Palatino Linotype" w:hAnsi="Palatino Linotype" w:cs="Palatino Linotype"/>
          <w:i/>
        </w:rPr>
        <w:t xml:space="preserve">disposiciones legales aplicables; </w:t>
      </w:r>
    </w:p>
    <w:p w:rsidR="007B41FA" w:rsidRDefault="00330928">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7B41FA" w:rsidRDefault="00330928">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w:t>
      </w:r>
      <w:r>
        <w:rPr>
          <w:rFonts w:ascii="Palatino Linotype" w:eastAsia="Palatino Linotype" w:hAnsi="Palatino Linotype" w:cs="Palatino Linotype"/>
          <w:i/>
        </w:rPr>
        <w:t>ocumente decisiones y los actos de autoridad concluidos de los sujetos obligados, así como el ejercicio de las facultades o actividades de los servidores públicos, de manera que se pueda valorar el desempeño de los mismos.</w:t>
      </w:r>
    </w:p>
    <w:p w:rsidR="007B41FA" w:rsidRDefault="00330928">
      <w:pPr>
        <w:spacing w:before="120"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w:t>
      </w:r>
      <w:r>
        <w:rPr>
          <w:rFonts w:ascii="Palatino Linotype" w:eastAsia="Palatino Linotype" w:hAnsi="Palatino Linotype" w:cs="Palatino Linotype"/>
          <w:i/>
        </w:rPr>
        <w:t xml:space="preserve">se acredite alguna causal de clasificación, prevista en las leyes o en los tratados internaciones suscritos por el Estado mexicano. </w:t>
      </w:r>
    </w:p>
    <w:p w:rsidR="007B41FA" w:rsidRDefault="00330928">
      <w:pPr>
        <w:spacing w:before="120"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Los sujetos obligados garantizarán que los sistemas o medios empleados para eliminar la información e</w:t>
      </w:r>
      <w:r>
        <w:rPr>
          <w:rFonts w:ascii="Palatino Linotype" w:eastAsia="Palatino Linotype" w:hAnsi="Palatino Linotype" w:cs="Palatino Linotype"/>
          <w:i/>
        </w:rPr>
        <w:t>n las versiones públicas no permitan la recuperación o visualización de la misma.”</w:t>
      </w:r>
    </w:p>
    <w:p w:rsidR="007B41FA" w:rsidRDefault="007B41FA">
      <w:pPr>
        <w:spacing w:after="0" w:line="360" w:lineRule="auto"/>
        <w:ind w:left="851" w:right="902"/>
        <w:jc w:val="both"/>
        <w:rPr>
          <w:rFonts w:ascii="Palatino Linotype" w:eastAsia="Palatino Linotype" w:hAnsi="Palatino Linotype" w:cs="Palatino Linotype"/>
          <w:i/>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caso específico, la información solicitada puede contener datos susceptibles de clasificarse, que de hacerse públicos afectarían la intimidad y vida privada de particulares; que se ha reiterado en las resoluciones de este Pleno que además de los dato</w:t>
      </w:r>
      <w:r>
        <w:rPr>
          <w:rFonts w:ascii="Palatino Linotype" w:eastAsia="Palatino Linotype" w:hAnsi="Palatino Linotype" w:cs="Palatino Linotype"/>
          <w:sz w:val="24"/>
          <w:szCs w:val="24"/>
        </w:rPr>
        <w:t xml:space="preserve">s especificados en la Ley de Transparencia y Acceso a la Información Pública del Estado de México y Municipios, se consideran confidenciales cuyo acceso debe ser restringido, los cuales deben testarse al momento de la elaboración de versiones </w:t>
      </w:r>
      <w:r>
        <w:rPr>
          <w:rFonts w:ascii="Palatino Linotype" w:eastAsia="Palatino Linotype" w:hAnsi="Palatino Linotype" w:cs="Palatino Linotype"/>
          <w:sz w:val="24"/>
          <w:szCs w:val="24"/>
        </w:rPr>
        <w:lastRenderedPageBreak/>
        <w:t>públicas, com</w:t>
      </w:r>
      <w:r>
        <w:rPr>
          <w:rFonts w:ascii="Palatino Linotype" w:eastAsia="Palatino Linotype" w:hAnsi="Palatino Linotype" w:cs="Palatino Linotype"/>
          <w:sz w:val="24"/>
          <w:szCs w:val="24"/>
        </w:rPr>
        <w:t>o pudieran ser de manera enunciativa más no limitativa, clave de elector, numero de OCR, CURP, el número de cuenta bancaria, que sean exclusivamente de particulares, entre otros.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 </w:t>
      </w:r>
      <w:r>
        <w:rPr>
          <w:rFonts w:ascii="Palatino Linotype" w:eastAsia="Palatino Linotype" w:hAnsi="Palatino Linotype" w:cs="Palatino Linotype"/>
          <w:b/>
          <w:sz w:val="24"/>
          <w:szCs w:val="24"/>
        </w:rPr>
        <w:t>clave de elector</w:t>
      </w:r>
      <w:r>
        <w:rPr>
          <w:rFonts w:ascii="Palatino Linotype" w:eastAsia="Palatino Linotype" w:hAnsi="Palatino Linotype" w:cs="Palatino Linotype"/>
          <w:sz w:val="24"/>
          <w:szCs w:val="24"/>
        </w:rPr>
        <w:t>, es la composición alfanumérica compuesta de 18 caracter</w:t>
      </w:r>
      <w:r>
        <w:rPr>
          <w:rFonts w:ascii="Palatino Linotype" w:eastAsia="Palatino Linotype" w:hAnsi="Palatino Linotype" w:cs="Palatino Linotype"/>
          <w:sz w:val="24"/>
          <w:szCs w:val="24"/>
        </w:rPr>
        <w:t>es, mismos que hacen identificable a una persona física, que se conforma por las primeras letras de los apellidos, año, mes, día, sexo, clave del estado en donde nació su titular, así como una homoclave que distingue a su titular de cualquier otro homónimo</w:t>
      </w:r>
      <w:r>
        <w:rPr>
          <w:rFonts w:ascii="Palatino Linotype" w:eastAsia="Palatino Linotype" w:hAnsi="Palatino Linotype" w:cs="Palatino Linotype"/>
          <w:sz w:val="24"/>
          <w:szCs w:val="24"/>
        </w:rPr>
        <w:t>, por lo tanto, se trata de un dato personal que debe ser protegido.</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número de OCR,</w:t>
      </w:r>
      <w:r>
        <w:rPr>
          <w:rFonts w:ascii="Palatino Linotype" w:eastAsia="Palatino Linotype" w:hAnsi="Palatino Linotype" w:cs="Palatino Linotype"/>
          <w:sz w:val="24"/>
          <w:szCs w:val="24"/>
        </w:rPr>
        <w:t xml:space="preserve"> denominado Reconocimiento Óptico de Caracteres (OCR), contiene el número de la sección electoral en donde vota el ciudadano titular de dicho documento, por lo que const</w:t>
      </w:r>
      <w:r>
        <w:rPr>
          <w:rFonts w:ascii="Palatino Linotype" w:eastAsia="Palatino Linotype" w:hAnsi="Palatino Linotype" w:cs="Palatino Linotype"/>
          <w:sz w:val="24"/>
          <w:szCs w:val="24"/>
        </w:rPr>
        <w:t>ituye un dato personal en razón de que revela información concerniente a una persona física identificada o identificable en función de la información geoelectoral ahí contenida, por lo que es susceptible de resguardarse.</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 </w:t>
      </w:r>
      <w:r>
        <w:rPr>
          <w:rFonts w:ascii="Palatino Linotype" w:eastAsia="Palatino Linotype" w:hAnsi="Palatino Linotype" w:cs="Palatino Linotype"/>
          <w:b/>
          <w:sz w:val="24"/>
          <w:szCs w:val="24"/>
        </w:rPr>
        <w:t>clave única del registro de pob</w:t>
      </w:r>
      <w:r>
        <w:rPr>
          <w:rFonts w:ascii="Palatino Linotype" w:eastAsia="Palatino Linotype" w:hAnsi="Palatino Linotype" w:cs="Palatino Linotype"/>
          <w:b/>
          <w:sz w:val="24"/>
          <w:szCs w:val="24"/>
        </w:rPr>
        <w:t>lación,</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se integra por datos personales que sólo conciernen al particular titular de la misma, como lo son su nombre, apellidos, fecha de nacimiento, lugar de nacimiento y sexo. Dichos datos, constituyen información que distingue plenamente a una persona f</w:t>
      </w:r>
      <w:r>
        <w:rPr>
          <w:rFonts w:ascii="Palatino Linotype" w:eastAsia="Palatino Linotype" w:hAnsi="Palatino Linotype" w:cs="Palatino Linotype"/>
          <w:sz w:val="24"/>
          <w:szCs w:val="24"/>
        </w:rPr>
        <w:t>ísica del resto de los habitantes del país, por lo está considerada como información confidencial.</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Igualmente, resulta importante destacar que el </w:t>
      </w:r>
      <w:r>
        <w:rPr>
          <w:rFonts w:ascii="Palatino Linotype" w:eastAsia="Palatino Linotype" w:hAnsi="Palatino Linotype" w:cs="Palatino Linotype"/>
          <w:i/>
          <w:sz w:val="24"/>
          <w:szCs w:val="24"/>
        </w:rPr>
        <w:t>número de cuenta bancaria</w:t>
      </w:r>
      <w:r>
        <w:rPr>
          <w:rFonts w:ascii="Palatino Linotype" w:eastAsia="Palatino Linotype" w:hAnsi="Palatino Linotype" w:cs="Palatino Linotype"/>
          <w:sz w:val="24"/>
          <w:szCs w:val="24"/>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w:t>
      </w:r>
      <w:r>
        <w:rPr>
          <w:rFonts w:ascii="Palatino Linotype" w:eastAsia="Palatino Linotype" w:hAnsi="Palatino Linotype" w:cs="Palatino Linotype"/>
          <w:sz w:val="24"/>
          <w:szCs w:val="24"/>
        </w:rPr>
        <w:t>acilitaría la afectación al patrimonio del titular de la cuenta.</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el número de cuenta bancaria debe ser clasificado como confidencial con fundamento en las fracciones I y II del artículo 143 de la Ley de la Materia de la Entidad; en razón </w:t>
      </w:r>
      <w:r>
        <w:rPr>
          <w:rFonts w:ascii="Palatino Linotype" w:eastAsia="Palatino Linotype" w:hAnsi="Palatino Linotype" w:cs="Palatino Linotype"/>
          <w:sz w:val="24"/>
          <w:szCs w:val="24"/>
        </w:rPr>
        <w:t>de que, con su difusión se estaría poniendo en riesgo la seguridad de su titular.</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de que, la publicidad de los números de cuenta bancaria de los particulares en nada contribuye a la rendición de cuentas, sino por el contrario, dar a conocer los núm</w:t>
      </w:r>
      <w:r>
        <w:rPr>
          <w:rFonts w:ascii="Palatino Linotype" w:eastAsia="Palatino Linotype" w:hAnsi="Palatino Linotype" w:cs="Palatino Linotype"/>
          <w:sz w:val="24"/>
          <w:szCs w:val="24"/>
        </w:rPr>
        <w:t>eros de las cuentas bancarias hace vulnerable a las personas físicas, al abrir la posibilidad de que terceros que cuenten con las posibilidades tecnológicas y/o económicas puedan realizar actos ilícitos mediante operaciones cibernéticas; en esa virtud, est</w:t>
      </w:r>
      <w:r>
        <w:rPr>
          <w:rFonts w:ascii="Palatino Linotype" w:eastAsia="Palatino Linotype" w:hAnsi="Palatino Linotype" w:cs="Palatino Linotype"/>
          <w:sz w:val="24"/>
          <w:szCs w:val="24"/>
        </w:rPr>
        <w:t xml:space="preserve">e Instituto determina que dicha información no puede ser del dominio público, toda vez que se podría dar un uso inadecuado a la misma o cometer algún ilícito o fraude en contra del patrimonio de los particulares. </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virtud, este Pleno determina que d</w:t>
      </w:r>
      <w:r>
        <w:rPr>
          <w:rFonts w:ascii="Palatino Linotype" w:eastAsia="Palatino Linotype" w:hAnsi="Palatino Linotype" w:cs="Palatino Linotype"/>
          <w:sz w:val="24"/>
          <w:szCs w:val="24"/>
        </w:rPr>
        <w:t xml:space="preserve">icha información no puede ser del dominio público, toda vez que se podría dar un uso inadecuado a la misma o cometer algún ilícito o fraude como ya ha sido expuesto. </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por esta razón que se debe omitir el o los números de cuentas bancarias de particular</w:t>
      </w:r>
      <w:r>
        <w:rPr>
          <w:rFonts w:ascii="Palatino Linotype" w:eastAsia="Palatino Linotype" w:hAnsi="Palatino Linotype" w:cs="Palatino Linotype"/>
          <w:sz w:val="24"/>
          <w:szCs w:val="24"/>
        </w:rPr>
        <w:t>es en las versiones públicas que de las facturas se hagan, para ser entregadas.</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no es así tratándose de las cuentas bancarias o claves interbancarias de los Sujetos Obligados ya que su publicidad cede a la rendición de cuentas al transparenta</w:t>
      </w:r>
      <w:r>
        <w:rPr>
          <w:rFonts w:ascii="Palatino Linotype" w:eastAsia="Palatino Linotype" w:hAnsi="Palatino Linotype" w:cs="Palatino Linotype"/>
          <w:sz w:val="24"/>
          <w:szCs w:val="24"/>
        </w:rPr>
        <w:t>r la forma en que son administrados los recursos públicos.</w:t>
      </w: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argumentado encuentra sustento en los criterios 10/17 y 11/17 emitidos por el Instituto Nacional de Transparencia, Acceso a la Información y Protección de Datos Personales, INAI, que llevan por </w:t>
      </w:r>
      <w:r>
        <w:rPr>
          <w:rFonts w:ascii="Palatino Linotype" w:eastAsia="Palatino Linotype" w:hAnsi="Palatino Linotype" w:cs="Palatino Linotype"/>
          <w:sz w:val="24"/>
          <w:szCs w:val="24"/>
        </w:rPr>
        <w:t>rubro y texto los siguientes:</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El número de cuenta bancaria y/o CLABE interbancaria de particulares es información confidencial, al tratarse de un conjunto de caracteres num</w:t>
      </w:r>
      <w:r>
        <w:rPr>
          <w:rFonts w:ascii="Palatino Linotype" w:eastAsia="Palatino Linotype" w:hAnsi="Palatino Linotype" w:cs="Palatino Linotype"/>
          <w:i/>
        </w:rPr>
        <w:t xml:space="preserve">éricos utilizados por los grupos financieros para identificar las cuentas de sus clientes, a través de los cuales se puede acceder a información relacionada con su patrimonio y realizar diversas transacciones; por tanto, constituye información clasificada </w:t>
      </w:r>
      <w:r>
        <w:rPr>
          <w:rFonts w:ascii="Palatino Linotype" w:eastAsia="Palatino Linotype" w:hAnsi="Palatino Linotype" w:cs="Palatino Linotype"/>
          <w:i/>
        </w:rPr>
        <w:t>con fundamento en los artículos 116 de la Ley General de Transparencia y Acceso a la Información Pública y 113 de la Ley Federal de Transparencia y Acceso a la Información Pública.</w:t>
      </w:r>
    </w:p>
    <w:p w:rsidR="007B41FA" w:rsidRDefault="00330928">
      <w:pPr>
        <w:spacing w:before="240"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Cuentas bancarias y/o CLABE interbancaria de sujetos obligados que reciben </w:t>
      </w:r>
      <w:r>
        <w:rPr>
          <w:rFonts w:ascii="Palatino Linotype" w:eastAsia="Palatino Linotype" w:hAnsi="Palatino Linotype" w:cs="Palatino Linotype"/>
          <w:b/>
          <w:i/>
        </w:rPr>
        <w:t>y/o transfieren recursos públicos, son información pública</w:t>
      </w:r>
      <w:r>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w:t>
      </w:r>
      <w:r>
        <w:rPr>
          <w:rFonts w:ascii="Palatino Linotype" w:eastAsia="Palatino Linotype" w:hAnsi="Palatino Linotype" w:cs="Palatino Linotype"/>
          <w:i/>
        </w:rPr>
        <w:t>cos, razón por la cual no pueden considerarse como información clasificada.”</w:t>
      </w:r>
    </w:p>
    <w:p w:rsidR="007B41FA" w:rsidRDefault="007B41FA">
      <w:pPr>
        <w:spacing w:after="0" w:line="360" w:lineRule="auto"/>
        <w:ind w:left="851" w:right="900"/>
        <w:jc w:val="both"/>
        <w:rPr>
          <w:rFonts w:ascii="Palatino Linotype" w:eastAsia="Palatino Linotype" w:hAnsi="Palatino Linotype" w:cs="Palatino Linotype"/>
          <w:i/>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al </w:t>
      </w:r>
      <w:r>
        <w:rPr>
          <w:rFonts w:ascii="Palatino Linotype" w:eastAsia="Palatino Linotype" w:hAnsi="Palatino Linotype" w:cs="Palatino Linotype"/>
          <w:b/>
          <w:sz w:val="24"/>
          <w:szCs w:val="24"/>
        </w:rPr>
        <w:t xml:space="preserve">Registro Federal de Contribuyentes (RFC)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el domicilio fiscal </w:t>
      </w:r>
      <w:r>
        <w:rPr>
          <w:rFonts w:ascii="Palatino Linotype" w:eastAsia="Palatino Linotype" w:hAnsi="Palatino Linotype" w:cs="Palatino Linotype"/>
          <w:sz w:val="24"/>
          <w:szCs w:val="24"/>
        </w:rPr>
        <w:t>si bien este Instituto ha sostenido que el RFC y domicilio de las personas físicas debe ser test</w:t>
      </w:r>
      <w:r>
        <w:rPr>
          <w:rFonts w:ascii="Palatino Linotype" w:eastAsia="Palatino Linotype" w:hAnsi="Palatino Linotype" w:cs="Palatino Linotype"/>
          <w:sz w:val="24"/>
          <w:szCs w:val="24"/>
        </w:rPr>
        <w:t>ado por los Sujetos Obligados, en las versiones públicas de los documentos que elaboren para atender las solicitudes de información pública, lo cierto es que, tratándose de proveedores, prestadores de servicios o contratistas, dichos datos no deben ser sup</w:t>
      </w:r>
      <w:r>
        <w:rPr>
          <w:rFonts w:ascii="Palatino Linotype" w:eastAsia="Palatino Linotype" w:hAnsi="Palatino Linotype" w:cs="Palatino Linotype"/>
          <w:sz w:val="24"/>
          <w:szCs w:val="24"/>
        </w:rPr>
        <w:t>rimidos de las facturas y contratos que vayan a ser entregados.</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w:t>
      </w:r>
      <w:r>
        <w:rPr>
          <w:rFonts w:ascii="Palatino Linotype" w:eastAsia="Palatino Linotype" w:hAnsi="Palatino Linotype" w:cs="Palatino Linotype"/>
          <w:sz w:val="24"/>
          <w:szCs w:val="24"/>
        </w:rPr>
        <w:t>uier persona pueda conocer en qué se gastan los recursos públicos, puesto que se trata de erogaciones que realiza un órgano del Estado con base en los recursos que encuentran su origen en mayor medida en las contribuciones aportados por los gobernados, por</w:t>
      </w:r>
      <w:r>
        <w:rPr>
          <w:rFonts w:ascii="Palatino Linotype" w:eastAsia="Palatino Linotype" w:hAnsi="Palatino Linotype" w:cs="Palatino Linotype"/>
          <w:sz w:val="24"/>
          <w:szCs w:val="24"/>
        </w:rPr>
        <w:t xml:space="preserve"> lo que debe transparentarse su ejercicio.</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las personas físicas que realicen las actividades contratadas por las instituciones, renuncian implícitamente a una parte de su derecho a la intimidad al obtener beneficios y lucros de los recursos públic</w:t>
      </w:r>
      <w:r>
        <w:rPr>
          <w:rFonts w:ascii="Palatino Linotype" w:eastAsia="Palatino Linotype" w:hAnsi="Palatino Linotype" w:cs="Palatino Linotype"/>
          <w:sz w:val="24"/>
          <w:szCs w:val="24"/>
        </w:rPr>
        <w:t xml:space="preserve">os por dicha contratación, por lo que </w:t>
      </w:r>
      <w:r>
        <w:rPr>
          <w:rFonts w:ascii="Palatino Linotype" w:eastAsia="Palatino Linotype" w:hAnsi="Palatino Linotype" w:cs="Palatino Linotype"/>
          <w:b/>
          <w:sz w:val="24"/>
          <w:szCs w:val="24"/>
        </w:rPr>
        <w:t>no puede considerarse como información clasificada lo relativo a su nombre, registro federal de contribuyentes y domicilio fiscal</w:t>
      </w:r>
      <w:r>
        <w:rPr>
          <w:rFonts w:ascii="Palatino Linotype" w:eastAsia="Palatino Linotype" w:hAnsi="Palatino Linotype" w:cs="Palatino Linotype"/>
          <w:sz w:val="24"/>
          <w:szCs w:val="24"/>
        </w:rPr>
        <w:t>, atento a que dicha información es la que puede generar certeza en los gobernados en que</w:t>
      </w:r>
      <w:r>
        <w:rPr>
          <w:rFonts w:ascii="Palatino Linotype" w:eastAsia="Palatino Linotype" w:hAnsi="Palatino Linotype" w:cs="Palatino Linotype"/>
          <w:sz w:val="24"/>
          <w:szCs w:val="24"/>
        </w:rPr>
        <w:t xml:space="preserve"> se está ejerciendo debidamente el presupuesto.</w:t>
      </w:r>
    </w:p>
    <w:p w:rsidR="007B41FA" w:rsidRDefault="007B41FA">
      <w:pPr>
        <w:spacing w:after="0" w:line="360" w:lineRule="auto"/>
        <w:ind w:right="50"/>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Robustece lo anterior el criterio orientador 04/21 emitido por el Instituto Nacional de Transparencia, Acceso a la Información y Protección de Datos Personales, INAI, el cual refiere:</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“Registro Federal de Contribuyentes (RFC) de personas físicas proveedoras o contratistas. </w:t>
      </w:r>
      <w:r>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w:t>
      </w:r>
      <w:r>
        <w:rPr>
          <w:rFonts w:ascii="Palatino Linotype" w:eastAsia="Palatino Linotype" w:hAnsi="Palatino Linotype" w:cs="Palatino Linotype"/>
          <w:i/>
        </w:rPr>
        <w:t>ansparencia con la que deben administrarse los recursos públicos, en términos del artículo 134 de la Constitución Política de los Estados Unidos Mexicanos.”</w:t>
      </w:r>
    </w:p>
    <w:p w:rsidR="007B41FA" w:rsidRDefault="007B41FA">
      <w:pPr>
        <w:spacing w:after="0" w:line="360" w:lineRule="auto"/>
        <w:ind w:left="851" w:right="902"/>
        <w:jc w:val="both"/>
        <w:rPr>
          <w:rFonts w:ascii="Palatino Linotype" w:eastAsia="Palatino Linotype" w:hAnsi="Palatino Linotype" w:cs="Palatino Linotype"/>
          <w:i/>
        </w:rPr>
      </w:pPr>
    </w:p>
    <w:p w:rsidR="007B41FA" w:rsidRDefault="00330928">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Relacionado con lo anterior, el </w:t>
      </w:r>
      <w:r>
        <w:rPr>
          <w:rFonts w:ascii="Palatino Linotype" w:eastAsia="Palatino Linotype" w:hAnsi="Palatino Linotype" w:cs="Palatino Linotype"/>
          <w:b/>
          <w:sz w:val="24"/>
          <w:szCs w:val="24"/>
        </w:rPr>
        <w:t>nombre de las personas físicas</w:t>
      </w:r>
      <w:r>
        <w:rPr>
          <w:rFonts w:ascii="Palatino Linotype" w:eastAsia="Palatino Linotype" w:hAnsi="Palatino Linotype" w:cs="Palatino Linotype"/>
          <w:sz w:val="24"/>
          <w:szCs w:val="24"/>
        </w:rPr>
        <w:t xml:space="preserve"> o los </w:t>
      </w:r>
      <w:r>
        <w:rPr>
          <w:rFonts w:ascii="Palatino Linotype" w:eastAsia="Palatino Linotype" w:hAnsi="Palatino Linotype" w:cs="Palatino Linotype"/>
          <w:b/>
          <w:sz w:val="24"/>
          <w:szCs w:val="24"/>
        </w:rPr>
        <w:t>representantes legales de las</w:t>
      </w:r>
      <w:r>
        <w:rPr>
          <w:rFonts w:ascii="Palatino Linotype" w:eastAsia="Palatino Linotype" w:hAnsi="Palatino Linotype" w:cs="Palatino Linotype"/>
          <w:b/>
          <w:sz w:val="24"/>
          <w:szCs w:val="24"/>
        </w:rPr>
        <w:t xml:space="preserve"> personas morales</w:t>
      </w:r>
      <w:r>
        <w:rPr>
          <w:rFonts w:ascii="Palatino Linotype" w:eastAsia="Palatino Linotype" w:hAnsi="Palatino Linotype" w:cs="Palatino Linotype"/>
          <w:sz w:val="24"/>
          <w:szCs w:val="24"/>
        </w:rPr>
        <w:t>, en su calidad de proveedores, contratistas o prestadores de servicios, y la firma y rúbrica de estos, que participen en algún  proceso de adjudicación en cualquiera de sus modalidades, debe mencionarse que con base en el artículo 23 párr</w:t>
      </w:r>
      <w:r>
        <w:rPr>
          <w:rFonts w:ascii="Palatino Linotype" w:eastAsia="Palatino Linotype" w:hAnsi="Palatino Linotype" w:cs="Palatino Linotype"/>
          <w:sz w:val="24"/>
          <w:szCs w:val="24"/>
        </w:rPr>
        <w:t>afo segundo y 24 fracción XVIII  de la Ley de Transparencia y Acceso a la Información Pública del Estado de México y Municipios, los entes públicos tienen la obligación de difundir toda aquella información relativa a los montos y las personas a quienes ent</w:t>
      </w:r>
      <w:r>
        <w:rPr>
          <w:rFonts w:ascii="Palatino Linotype" w:eastAsia="Palatino Linotype" w:hAnsi="Palatino Linotype" w:cs="Palatino Linotype"/>
          <w:sz w:val="24"/>
          <w:szCs w:val="24"/>
        </w:rPr>
        <w:t>reguen, por cualquier motivo, recursos públicos, así como los informes que dichas personas entreguen sobre el uso y destino de dichos recursos, motivo por el cual los datos del representante legal de la persona moral que resultó favorecida con el procedimi</w:t>
      </w:r>
      <w:r>
        <w:rPr>
          <w:rFonts w:ascii="Palatino Linotype" w:eastAsia="Palatino Linotype" w:hAnsi="Palatino Linotype" w:cs="Palatino Linotype"/>
          <w:sz w:val="24"/>
          <w:szCs w:val="24"/>
        </w:rPr>
        <w:t>ento de licitación no conservan el carácter de confidencial y por tanto no deben ser testados.</w:t>
      </w:r>
    </w:p>
    <w:p w:rsidR="007B41FA" w:rsidRDefault="007B41FA">
      <w:pPr>
        <w:spacing w:after="0" w:line="360" w:lineRule="auto"/>
        <w:ind w:right="51"/>
        <w:jc w:val="both"/>
        <w:rPr>
          <w:rFonts w:ascii="Palatino Linotype" w:eastAsia="Palatino Linotype" w:hAnsi="Palatino Linotype" w:cs="Palatino Linotype"/>
          <w:sz w:val="24"/>
          <w:szCs w:val="24"/>
        </w:rPr>
      </w:pPr>
    </w:p>
    <w:p w:rsidR="007B41FA" w:rsidRDefault="00330928">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Argumentación que guarda sustento en lo estipulado por el artículo 23 de la Ley de Transparencia y Acceso a la Información Pública del Estado de México y Munici</w:t>
      </w:r>
      <w:r>
        <w:rPr>
          <w:rFonts w:ascii="Palatino Linotype" w:eastAsia="Palatino Linotype" w:hAnsi="Palatino Linotype" w:cs="Palatino Linotype"/>
          <w:sz w:val="24"/>
          <w:szCs w:val="24"/>
        </w:rPr>
        <w:t>pios en su penúltimo párrafo, mismo que es del tenor literal siguiente:</w:t>
      </w:r>
    </w:p>
    <w:p w:rsidR="007B41FA" w:rsidRDefault="007B41FA">
      <w:pPr>
        <w:spacing w:after="0" w:line="360" w:lineRule="auto"/>
        <w:ind w:right="51"/>
        <w:jc w:val="both"/>
        <w:rPr>
          <w:rFonts w:ascii="Palatino Linotype" w:eastAsia="Palatino Linotype" w:hAnsi="Palatino Linotype" w:cs="Palatino Linotype"/>
          <w:sz w:val="24"/>
          <w:szCs w:val="24"/>
        </w:rPr>
      </w:pP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w:t>
      </w:r>
    </w:p>
    <w:p w:rsidR="007B41FA" w:rsidRDefault="00330928">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w:t>
      </w:r>
      <w:r>
        <w:rPr>
          <w:rFonts w:ascii="Palatino Linotype" w:eastAsia="Palatino Linotype" w:hAnsi="Palatino Linotype" w:cs="Palatino Linotype"/>
          <w:i/>
        </w:rPr>
        <w:t>s, así como los informes que dichas personas les entreguen sobre el uso y destino de dichos recursos.”</w:t>
      </w:r>
    </w:p>
    <w:p w:rsidR="007B41FA" w:rsidRDefault="007B41FA">
      <w:pPr>
        <w:spacing w:after="0" w:line="360" w:lineRule="auto"/>
        <w:ind w:left="851" w:right="902"/>
        <w:jc w:val="both"/>
        <w:rPr>
          <w:rFonts w:ascii="Palatino Linotype" w:eastAsia="Palatino Linotype" w:hAnsi="Palatino Linotype" w:cs="Palatino Linotype"/>
          <w:i/>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resulta aplicable el contenido del criterio de interpretación 01/19 emitido por el Instituto Nacional de Transparencia, Acceso a la Informació</w:t>
      </w:r>
      <w:r>
        <w:rPr>
          <w:rFonts w:ascii="Palatino Linotype" w:eastAsia="Palatino Linotype" w:hAnsi="Palatino Linotype" w:cs="Palatino Linotype"/>
          <w:sz w:val="24"/>
          <w:szCs w:val="24"/>
        </w:rPr>
        <w:t>n, y Protección de Datos Personales, INAI, que lleva por rubro y texto los siguientes</w:t>
      </w:r>
    </w:p>
    <w:p w:rsidR="007B41FA" w:rsidRDefault="0033092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“Datos de identificación del representante o apoderado legal.</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Naturaleza jurídica. </w:t>
      </w:r>
      <w:r>
        <w:rPr>
          <w:rFonts w:ascii="Palatino Linotype" w:eastAsia="Palatino Linotype" w:hAnsi="Palatino Linotype" w:cs="Palatino Linotype"/>
          <w:i/>
        </w:rPr>
        <w:t xml:space="preserve">El nombre, la firma y la rúbrica de una persona física, que actúe como representante o </w:t>
      </w:r>
      <w:r>
        <w:rPr>
          <w:rFonts w:ascii="Palatino Linotype" w:eastAsia="Palatino Linotype" w:hAnsi="Palatino Linotype" w:cs="Palatino Linotype"/>
          <w:i/>
        </w:rPr>
        <w:t xml:space="preserve">apoderado legal de un tercero que haya celebrado un acto jurídico, con algún sujeto obligado, </w:t>
      </w:r>
      <w:r>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w:t>
      </w:r>
      <w:r>
        <w:rPr>
          <w:rFonts w:ascii="Palatino Linotype" w:eastAsia="Palatino Linotype" w:hAnsi="Palatino Linotype" w:cs="Palatino Linotype"/>
          <w:b/>
          <w:i/>
        </w:rPr>
        <w:t xml:space="preserve"> dicho instrumento jurídico</w:t>
      </w:r>
      <w:r>
        <w:rPr>
          <w:rFonts w:ascii="Palatino Linotype" w:eastAsia="Palatino Linotype" w:hAnsi="Palatino Linotype" w:cs="Palatino Linotype"/>
          <w:i/>
        </w:rPr>
        <w:t>.”</w:t>
      </w:r>
    </w:p>
    <w:p w:rsidR="007B41FA" w:rsidRDefault="007B41FA">
      <w:pPr>
        <w:spacing w:after="0" w:line="360" w:lineRule="auto"/>
        <w:ind w:left="851" w:right="900"/>
        <w:jc w:val="both"/>
        <w:rPr>
          <w:rFonts w:ascii="Palatino Linotype" w:eastAsia="Palatino Linotype" w:hAnsi="Palatino Linotype" w:cs="Palatino Linotype"/>
          <w:i/>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caso del </w:t>
      </w:r>
      <w:r>
        <w:rPr>
          <w:rFonts w:ascii="Palatino Linotype" w:eastAsia="Palatino Linotype" w:hAnsi="Palatino Linotype" w:cs="Palatino Linotype"/>
          <w:b/>
          <w:sz w:val="24"/>
          <w:szCs w:val="24"/>
        </w:rPr>
        <w:t>folio fiscal</w:t>
      </w:r>
      <w:r>
        <w:rPr>
          <w:rFonts w:ascii="Palatino Linotype" w:eastAsia="Palatino Linotype" w:hAnsi="Palatino Linotype" w:cs="Palatino Linotype"/>
          <w:sz w:val="24"/>
          <w:szCs w:val="24"/>
        </w:rPr>
        <w:t xml:space="preserve">, la </w:t>
      </w:r>
      <w:r>
        <w:rPr>
          <w:rFonts w:ascii="Palatino Linotype" w:eastAsia="Palatino Linotype" w:hAnsi="Palatino Linotype" w:cs="Palatino Linotype"/>
          <w:b/>
          <w:sz w:val="24"/>
          <w:szCs w:val="24"/>
        </w:rPr>
        <w:t xml:space="preserve">cadena original, </w:t>
      </w:r>
      <w:r>
        <w:rPr>
          <w:rFonts w:ascii="Palatino Linotype" w:eastAsia="Palatino Linotype" w:hAnsi="Palatino Linotype" w:cs="Palatino Linotype"/>
          <w:sz w:val="24"/>
          <w:szCs w:val="24"/>
        </w:rPr>
        <w:t>los</w:t>
      </w:r>
      <w:r>
        <w:rPr>
          <w:rFonts w:ascii="Palatino Linotype" w:eastAsia="Palatino Linotype" w:hAnsi="Palatino Linotype" w:cs="Palatino Linotype"/>
          <w:b/>
          <w:sz w:val="24"/>
          <w:szCs w:val="24"/>
        </w:rPr>
        <w:t xml:space="preserve"> códigos bidimensionales o códigos QR,</w:t>
      </w:r>
      <w:r>
        <w:rPr>
          <w:rFonts w:ascii="Palatino Linotype" w:eastAsia="Palatino Linotype" w:hAnsi="Palatino Linotype" w:cs="Palatino Linotype"/>
          <w:sz w:val="24"/>
          <w:szCs w:val="24"/>
        </w:rPr>
        <w:t xml:space="preserve"> y, en general, cualquier información de carácter fiscal,  pudiera contener un Comprobante Fiscal Digital por Internet, CFDI,  se debe </w:t>
      </w:r>
      <w:r>
        <w:rPr>
          <w:rFonts w:ascii="Palatino Linotype" w:eastAsia="Palatino Linotype" w:hAnsi="Palatino Linotype" w:cs="Palatino Linotype"/>
          <w:sz w:val="24"/>
          <w:szCs w:val="24"/>
        </w:rPr>
        <w:t>hacer un análisis caso por caso, con la finalidad de determinar si de dicha información se pueden obtener datos personales que no sean susceptibles de conocimiento público, como por ejemplo la Clave Única del Registro de Población, que, de difundirse, pudi</w:t>
      </w:r>
      <w:r>
        <w:rPr>
          <w:rFonts w:ascii="Palatino Linotype" w:eastAsia="Palatino Linotype" w:hAnsi="Palatino Linotype" w:cs="Palatino Linotype"/>
          <w:sz w:val="24"/>
          <w:szCs w:val="24"/>
        </w:rPr>
        <w:t xml:space="preserve">eran hacer </w:t>
      </w:r>
      <w:r>
        <w:rPr>
          <w:rFonts w:ascii="Palatino Linotype" w:eastAsia="Palatino Linotype" w:hAnsi="Palatino Linotype" w:cs="Palatino Linotype"/>
          <w:sz w:val="24"/>
          <w:szCs w:val="24"/>
        </w:rPr>
        <w:lastRenderedPageBreak/>
        <w:t xml:space="preserve">identificable a una persona, debiendo, de ser el caso,  clasificarse como información confidencial, de manera fundada y motivada en términos del artículo 143, fracción I de la Ley de Transparencia y Acceso a la Información Pública del Estado de </w:t>
      </w:r>
      <w:r>
        <w:rPr>
          <w:rFonts w:ascii="Palatino Linotype" w:eastAsia="Palatino Linotype" w:hAnsi="Palatino Linotype" w:cs="Palatino Linotype"/>
          <w:sz w:val="24"/>
          <w:szCs w:val="24"/>
        </w:rPr>
        <w:t>México y Municipios, de lo contrario, no es procedente su clasificación.</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 base en lo expuesto, se insiste que en la versión pública de los documentos que se ordenan se deben testar aquellos elementos señalados en la presente resolución, en el entendido de que debe ser pública toda la demás información relacionada que no encu</w:t>
      </w:r>
      <w:r>
        <w:rPr>
          <w:rFonts w:ascii="Palatino Linotype" w:eastAsia="Palatino Linotype" w:hAnsi="Palatino Linotype" w:cs="Palatino Linotype"/>
          <w:sz w:val="24"/>
          <w:szCs w:val="24"/>
        </w:rPr>
        <w:t>adre en los conceptos anteriores.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se destaca que la versión pública que elabore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el que se expon</w:t>
      </w:r>
      <w:r>
        <w:rPr>
          <w:rFonts w:ascii="Palatino Linotype" w:eastAsia="Palatino Linotype" w:hAnsi="Palatino Linotype" w:cs="Palatino Linotype"/>
          <w:sz w:val="24"/>
          <w:szCs w:val="24"/>
        </w:rPr>
        <w:t>gan los fundamentos y razonamientos que le llevaron a testar, suprimir o eliminar datos de dicho soporte documental, ya que no hacerlo implica que lo entregado no es legal ni formalmente una versión pública, sino más bien una documentación ilegible, incomp</w:t>
      </w:r>
      <w:r>
        <w:rPr>
          <w:rFonts w:ascii="Palatino Linotype" w:eastAsia="Palatino Linotype" w:hAnsi="Palatino Linotype" w:cs="Palatino Linotype"/>
          <w:sz w:val="24"/>
          <w:szCs w:val="24"/>
        </w:rPr>
        <w:t xml:space="preserve">leta o tachada; pues no señalar las razones por las que no se aprecian determinados datos -ya sea porque se testan o suprimen- deja al solicitante en estado de incertidumbre, al no conocer o comprender porque no aparecen en la documentación respectiva, es </w:t>
      </w:r>
      <w:r>
        <w:rPr>
          <w:rFonts w:ascii="Palatino Linotype" w:eastAsia="Palatino Linotype" w:hAnsi="Palatino Linotype" w:cs="Palatino Linotype"/>
          <w:sz w:val="24"/>
          <w:szCs w:val="24"/>
        </w:rPr>
        <w:t xml:space="preserve">decir, si no se exponen de manera puntual las razones de ello se estaría violentando desde un inicio el derecho de acceso a la información del solicitante, por lo que el acuerdo respectivo, deberá hacerse del conocimiento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w:t>
      </w:r>
      <w:r>
        <w:rPr>
          <w:rFonts w:ascii="Palatino Linotype" w:eastAsia="Palatino Linotype" w:hAnsi="Palatino Linotype" w:cs="Palatino Linotype"/>
          <w:sz w:val="24"/>
          <w:szCs w:val="24"/>
        </w:rPr>
        <w:t xml:space="preserve">odo, la versión pública que elabore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debe acompañarse del</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Acuerdo de Clasificación que emita el Comité de Transparencia, para lo cual se deberá observar lo dispuesto en la Ley de Transparencia y Acceso a la Información Pública del Estado </w:t>
      </w:r>
      <w:r>
        <w:rPr>
          <w:rFonts w:ascii="Palatino Linotype" w:eastAsia="Palatino Linotype" w:hAnsi="Palatino Linotype" w:cs="Palatino Linotype"/>
          <w:sz w:val="24"/>
          <w:szCs w:val="24"/>
        </w:rPr>
        <w:t>de México y Municipios, y en los Lineamientos Generales en Materia de Clasificación y Desclasificación de la Información, así como para la elaboración de Versiones Públicas, publicados en el Diario Oficial de la Federación en fecha quince de abril de la pr</w:t>
      </w:r>
      <w:r>
        <w:rPr>
          <w:rFonts w:ascii="Palatino Linotype" w:eastAsia="Palatino Linotype" w:hAnsi="Palatino Linotype" w:cs="Palatino Linotype"/>
          <w:sz w:val="24"/>
          <w:szCs w:val="24"/>
        </w:rPr>
        <w:t xml:space="preserve">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sz w:val="24"/>
          <w:szCs w:val="24"/>
          <w:u w:val="single"/>
        </w:rPr>
        <w:t>razones, motivos o circunstancias especiales</w:t>
      </w:r>
      <w:r>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el Lineamiento Quincuagésimo segundo de los Lineamientos Generales en Materia de C</w:t>
      </w:r>
      <w:r>
        <w:rPr>
          <w:rFonts w:ascii="Palatino Linotype" w:eastAsia="Palatino Linotype" w:hAnsi="Palatino Linotype" w:cs="Palatino Linotype"/>
          <w:sz w:val="24"/>
          <w:szCs w:val="24"/>
        </w:rPr>
        <w:t>lasificación y Desclasificación de la Información, así como para la Elaboración de Versiones Públicas, establece lo siguiente:</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“Quincuagésimo segundo</w:t>
      </w:r>
      <w:r>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w:t>
      </w:r>
      <w:r>
        <w:rPr>
          <w:rFonts w:ascii="Palatino Linotype" w:eastAsia="Palatino Linotype" w:hAnsi="Palatino Linotype" w:cs="Palatino Linotype"/>
          <w:i/>
        </w:rPr>
        <w:t>lizado para testar la información no podrá ser empleado para la sobreposición de contenido distinto al autorizado por el Comité.</w:t>
      </w:r>
    </w:p>
    <w:p w:rsidR="007B41FA" w:rsidRDefault="00330928">
      <w:pPr>
        <w:spacing w:before="120"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En el caso especifico de la clasificación y elaboración de versiones públicas de documentos que contengan información confidenc</w:t>
      </w:r>
      <w:r>
        <w:rPr>
          <w:rFonts w:ascii="Palatino Linotype" w:eastAsia="Palatino Linotype" w:hAnsi="Palatino Linotype" w:cs="Palatino Linotype"/>
          <w:i/>
        </w:rPr>
        <w:t xml:space="preserve">ial, las áreas de los sujetos obligados deberán: </w:t>
      </w:r>
    </w:p>
    <w:p w:rsidR="007B41FA" w:rsidRDefault="00330928">
      <w:pPr>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rsidR="007B41FA" w:rsidRDefault="00330928">
      <w:pPr>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Señalar dentro del documento el tipo de información confidencial que fue t</w:t>
      </w:r>
      <w:r>
        <w:rPr>
          <w:rFonts w:ascii="Palatino Linotype" w:eastAsia="Palatino Linotype" w:hAnsi="Palatino Linotype" w:cs="Palatino Linotype"/>
          <w:i/>
        </w:rPr>
        <w:t>estada en cada caso específico, de conformidad con el lineamiento trigésimo octavo; y</w:t>
      </w:r>
    </w:p>
    <w:p w:rsidR="007B41FA" w:rsidRDefault="00330928">
      <w:pPr>
        <w:spacing w:before="120" w:after="120" w:line="276"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Señalar las personas o instancias autorizadas a acceder a la información clasificada.</w:t>
      </w:r>
    </w:p>
    <w:p w:rsidR="007B41FA" w:rsidRDefault="00330928">
      <w:pPr>
        <w:spacing w:before="120"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los documentos de difusión electrónica, señalar en la primera hoja y en el n</w:t>
      </w:r>
      <w:r>
        <w:rPr>
          <w:rFonts w:ascii="Palatino Linotype" w:eastAsia="Palatino Linotype" w:hAnsi="Palatino Linotype" w:cs="Palatino Linotype"/>
          <w:i/>
        </w:rPr>
        <w:t>ombre del archivo, que la versión pública corresponde a un documento que contiene información confidencial.”</w:t>
      </w:r>
    </w:p>
    <w:p w:rsidR="007B41FA" w:rsidRDefault="007B41FA">
      <w:pPr>
        <w:spacing w:after="0" w:line="360" w:lineRule="auto"/>
        <w:ind w:left="851" w:right="900"/>
        <w:jc w:val="both"/>
        <w:rPr>
          <w:rFonts w:ascii="Palatino Linotype" w:eastAsia="Palatino Linotype" w:hAnsi="Palatino Linotype" w:cs="Palatino Linotype"/>
          <w:i/>
        </w:rPr>
      </w:pPr>
    </w:p>
    <w:p w:rsidR="007B41FA" w:rsidRDefault="00330928">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Deberá observar el Lineamiento Quincuagésimo tercero de los Lineamientos Generales en Materia de Clasificación y Desclasificación de la Información supraindicados, que establece los formatos para la clasificación de los documentos, conforme a lo siguiente:</w:t>
      </w:r>
      <w:r>
        <w:rPr>
          <w:rFonts w:ascii="Palatino Linotype" w:eastAsia="Palatino Linotype" w:hAnsi="Palatino Linotype" w:cs="Palatino Linotype"/>
          <w:sz w:val="24"/>
          <w:szCs w:val="24"/>
        </w:rPr>
        <w:t xml:space="preserve"> </w:t>
      </w:r>
    </w:p>
    <w:p w:rsidR="007B41FA" w:rsidRDefault="007B41FA">
      <w:pPr>
        <w:spacing w:after="120"/>
        <w:ind w:left="851" w:right="902"/>
        <w:jc w:val="both"/>
        <w:rPr>
          <w:rFonts w:ascii="Palatino Linotype" w:eastAsia="Palatino Linotype" w:hAnsi="Palatino Linotype" w:cs="Palatino Linotype"/>
          <w:b/>
          <w:i/>
        </w:rPr>
      </w:pPr>
    </w:p>
    <w:p w:rsidR="007B41FA" w:rsidRDefault="00330928">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w:t>
      </w:r>
      <w:r>
        <w:rPr>
          <w:rFonts w:ascii="Palatino Linotype" w:eastAsia="Palatino Linotype" w:hAnsi="Palatino Linotype" w:cs="Palatino Linotype"/>
          <w:sz w:val="24"/>
          <w:szCs w:val="24"/>
        </w:rPr>
        <w:t xml:space="preserve">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w:t>
      </w:r>
      <w:r>
        <w:rPr>
          <w:rFonts w:ascii="Palatino Linotype" w:eastAsia="Palatino Linotype" w:hAnsi="Palatino Linotype" w:cs="Palatino Linotype"/>
          <w:sz w:val="24"/>
          <w:szCs w:val="24"/>
        </w:rPr>
        <w:t xml:space="preserve">, incompleta o tachada; ya que el no justificar las causas o motivos por las que no se aprecian determinados datos -ya </w:t>
      </w:r>
      <w:r>
        <w:rPr>
          <w:rFonts w:ascii="Palatino Linotype" w:eastAsia="Palatino Linotype" w:hAnsi="Palatino Linotype" w:cs="Palatino Linotype"/>
          <w:sz w:val="24"/>
          <w:szCs w:val="24"/>
        </w:rPr>
        <w:lastRenderedPageBreak/>
        <w:t>sea porque se testan o suprimen- deja al solicitante en estado de incertidumbre, al no conocer o comprender porque no aparecen en la docu</w:t>
      </w:r>
      <w:r>
        <w:rPr>
          <w:rFonts w:ascii="Palatino Linotype" w:eastAsia="Palatino Linotype" w:hAnsi="Palatino Linotype" w:cs="Palatino Linotype"/>
          <w:sz w:val="24"/>
          <w:szCs w:val="24"/>
        </w:rPr>
        <w:t>mentación respectiva.</w:t>
      </w:r>
    </w:p>
    <w:p w:rsidR="007B41FA" w:rsidRDefault="007B41FA">
      <w:pPr>
        <w:spacing w:after="0" w:line="360" w:lineRule="auto"/>
        <w:ind w:right="49"/>
        <w:jc w:val="both"/>
        <w:rPr>
          <w:rFonts w:ascii="Palatino Linotype" w:eastAsia="Palatino Linotype" w:hAnsi="Palatino Linotype" w:cs="Palatino Linotype"/>
          <w:sz w:val="24"/>
          <w:szCs w:val="24"/>
        </w:rPr>
      </w:pPr>
    </w:p>
    <w:p w:rsidR="007B41FA" w:rsidRDefault="0033092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w:t>
      </w:r>
      <w:r>
        <w:rPr>
          <w:rFonts w:ascii="Palatino Linotype" w:eastAsia="Palatino Linotype" w:hAnsi="Palatino Linotype" w:cs="Palatino Linotype"/>
          <w:sz w:val="24"/>
          <w:szCs w:val="24"/>
        </w:rPr>
        <w:t>ciones I y II; 176, 178, 181, 185, fracción I, 186 y 188 de la Ley de Transparencia y Acceso a la Información Pública del Estado de México y Municipios, este Pleno:</w:t>
      </w:r>
    </w:p>
    <w:p w:rsidR="007B41FA" w:rsidRDefault="007B41FA">
      <w:pPr>
        <w:spacing w:after="0" w:line="360" w:lineRule="auto"/>
        <w:ind w:right="49"/>
        <w:jc w:val="both"/>
        <w:rPr>
          <w:rFonts w:ascii="Palatino Linotype" w:eastAsia="Palatino Linotype" w:hAnsi="Palatino Linotype" w:cs="Palatino Linotype"/>
          <w:sz w:val="24"/>
          <w:szCs w:val="24"/>
        </w:rPr>
      </w:pPr>
    </w:p>
    <w:p w:rsidR="007B41FA" w:rsidRDefault="00330928">
      <w:pPr>
        <w:spacing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rsidR="007B41FA" w:rsidRDefault="00330928">
      <w:pPr>
        <w:spacing w:line="360" w:lineRule="auto"/>
        <w:jc w:val="both"/>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Resultan parcialmente fundados los motivos de inconformidad hech</w:t>
      </w:r>
      <w:r>
        <w:rPr>
          <w:rFonts w:ascii="Palatino Linotype" w:eastAsia="Palatino Linotype" w:hAnsi="Palatino Linotype" w:cs="Palatino Linotype"/>
          <w:sz w:val="24"/>
          <w:szCs w:val="24"/>
        </w:rPr>
        <w:t xml:space="preserve">os valer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05439/INFOEM/IP/RR/2023,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color w:val="000000"/>
          <w:sz w:val="24"/>
          <w:szCs w:val="24"/>
        </w:rPr>
        <w:t xml:space="preserve">MODIFICA </w:t>
      </w:r>
      <w:r>
        <w:rPr>
          <w:rFonts w:ascii="Palatino Linotype" w:eastAsia="Palatino Linotype" w:hAnsi="Palatino Linotype" w:cs="Palatino Linotype"/>
          <w:sz w:val="24"/>
          <w:szCs w:val="24"/>
        </w:rPr>
        <w:t xml:space="preserve">la respuesta emitida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7B41FA" w:rsidRDefault="007B41FA">
      <w:pPr>
        <w:spacing w:line="360" w:lineRule="auto"/>
        <w:jc w:val="both"/>
        <w:rPr>
          <w:rFonts w:ascii="Palatino Linotype" w:eastAsia="Palatino Linotype" w:hAnsi="Palatino Linotype" w:cs="Palatino Linotype"/>
          <w:sz w:val="24"/>
          <w:szCs w:val="24"/>
        </w:rPr>
      </w:pPr>
    </w:p>
    <w:p w:rsidR="007B41FA" w:rsidRDefault="00330928">
      <w:pPr>
        <w:spacing w:line="360" w:lineRule="auto"/>
        <w:jc w:val="both"/>
        <w:rPr>
          <w:rFonts w:ascii="Palatino Linotype" w:eastAsia="Palatino Linotype" w:hAnsi="Palatino Linotype" w:cs="Palatino Linotype"/>
          <w:color w:val="000000"/>
          <w:sz w:val="24"/>
          <w:szCs w:val="24"/>
        </w:rPr>
      </w:pPr>
      <w:bookmarkStart w:id="1" w:name="_heading=h.kelgs2428oa6" w:colFirst="0" w:colLast="0"/>
      <w:bookmarkEnd w:id="1"/>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 los Consideran</w:t>
      </w:r>
      <w:r>
        <w:rPr>
          <w:rFonts w:ascii="Palatino Linotype" w:eastAsia="Palatino Linotype" w:hAnsi="Palatino Linotype" w:cs="Palatino Linotype"/>
          <w:color w:val="000000"/>
          <w:sz w:val="24"/>
          <w:szCs w:val="24"/>
        </w:rPr>
        <w:t>dos</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esta resolución, previa búsqueda exhaustiva y razonable, haga entrega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de ser el caso en versión pública, el documento donde conste</w:t>
      </w:r>
      <w:r>
        <w:rPr>
          <w:rFonts w:ascii="Palatino Linotype" w:eastAsia="Palatino Linotype" w:hAnsi="Palatino Linotype" w:cs="Palatino Linotype"/>
          <w:color w:val="000000"/>
          <w:sz w:val="24"/>
          <w:szCs w:val="24"/>
        </w:rPr>
        <w:t>:</w:t>
      </w:r>
    </w:p>
    <w:p w:rsidR="007B41FA" w:rsidRDefault="0033092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Pago a las agrupaciones faltantes que participaron en la f</w:t>
      </w:r>
      <w:r>
        <w:rPr>
          <w:rFonts w:ascii="Palatino Linotype" w:eastAsia="Palatino Linotype" w:hAnsi="Palatino Linotype" w:cs="Palatino Linotype"/>
          <w:color w:val="000000"/>
          <w:sz w:val="24"/>
          <w:szCs w:val="24"/>
        </w:rPr>
        <w:t>eria de Tlalmanalco 2023.</w:t>
      </w:r>
    </w:p>
    <w:p w:rsidR="007B41FA" w:rsidRDefault="00330928">
      <w:pPr>
        <w:pBdr>
          <w:top w:val="nil"/>
          <w:left w:val="nil"/>
          <w:bottom w:val="nil"/>
          <w:right w:val="nil"/>
          <w:between w:val="nil"/>
        </w:pBdr>
        <w:spacing w:after="0" w:line="276"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color w:val="000000"/>
        </w:rPr>
        <w:t xml:space="preserve"> supriman o eliminen, y se ponga a disposición de LA PARTE RECURRENTE.</w:t>
      </w:r>
    </w:p>
    <w:p w:rsidR="007B41FA" w:rsidRDefault="007B41FA">
      <w:pPr>
        <w:pBdr>
          <w:top w:val="nil"/>
          <w:left w:val="nil"/>
          <w:bottom w:val="nil"/>
          <w:right w:val="nil"/>
          <w:between w:val="nil"/>
        </w:pBdr>
        <w:spacing w:after="0" w:line="276" w:lineRule="auto"/>
        <w:jc w:val="both"/>
        <w:rPr>
          <w:rFonts w:ascii="Palatino Linotype" w:eastAsia="Palatino Linotype" w:hAnsi="Palatino Linotype" w:cs="Palatino Linotype"/>
          <w:i/>
        </w:rPr>
      </w:pPr>
    </w:p>
    <w:p w:rsidR="007B41FA" w:rsidRDefault="00330928">
      <w:pPr>
        <w:spacing w:after="0" w:line="276" w:lineRule="auto"/>
        <w:jc w:val="both"/>
        <w:rPr>
          <w:rFonts w:ascii="Palatino Linotype" w:eastAsia="Palatino Linotype" w:hAnsi="Palatino Linotype" w:cs="Palatino Linotype"/>
          <w:i/>
        </w:rPr>
      </w:pPr>
      <w:r>
        <w:rPr>
          <w:rFonts w:ascii="Palatino Linotype" w:eastAsia="Palatino Linotype" w:hAnsi="Palatino Linotype" w:cs="Palatino Linotype"/>
          <w:b/>
          <w:i/>
          <w:u w:val="single"/>
        </w:rPr>
        <w:t>En el supuesto que la información ordenada no obre en los archivos por no haberse generado, bastará con que así lo haga del conocimiento de la parte Recurrente, de manera fundada y mot</w:t>
      </w:r>
      <w:r>
        <w:rPr>
          <w:rFonts w:ascii="Palatino Linotype" w:eastAsia="Palatino Linotype" w:hAnsi="Palatino Linotype" w:cs="Palatino Linotype"/>
          <w:b/>
          <w:i/>
          <w:u w:val="single"/>
        </w:rPr>
        <w:t>ivada</w:t>
      </w:r>
      <w:r>
        <w:rPr>
          <w:rFonts w:ascii="Palatino Linotype" w:eastAsia="Palatino Linotype" w:hAnsi="Palatino Linotype" w:cs="Palatino Linotype"/>
          <w:i/>
        </w:rPr>
        <w:t>, en términos del artículo 19, párrafo segundo de la Ley de Transparencia y Acceso a la Información Pública del Estado de México y Municipios, para tener por colmado el requerimiento de información.</w:t>
      </w:r>
    </w:p>
    <w:p w:rsidR="007B41FA" w:rsidRDefault="007B41FA">
      <w:pPr>
        <w:pBdr>
          <w:top w:val="nil"/>
          <w:left w:val="nil"/>
          <w:bottom w:val="nil"/>
          <w:right w:val="nil"/>
          <w:between w:val="nil"/>
        </w:pBdr>
        <w:spacing w:line="276"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w:t>
      </w:r>
      <w:r>
        <w:rPr>
          <w:rFonts w:ascii="Palatino Linotype" w:eastAsia="Palatino Linotype" w:hAnsi="Palatino Linotype" w:cs="Palatino Linotype"/>
          <w:sz w:val="24"/>
          <w:szCs w:val="24"/>
        </w:rPr>
        <w:t xml:space="preserve"> dé cumplimiento a lo ordenado dentro del plazo de diez días hábiles, e informe a este Instituto en un plazo de tres días hábiles siguientes sobre el cumplimiento dado a la presente y, se le apercibe que en caso de negarse a cumplir la presente resolución </w:t>
      </w:r>
      <w:r>
        <w:rPr>
          <w:rFonts w:ascii="Palatino Linotype" w:eastAsia="Palatino Linotype" w:hAnsi="Palatino Linotype" w:cs="Palatino Linotype"/>
          <w:sz w:val="24"/>
          <w:szCs w:val="24"/>
        </w:rPr>
        <w:t>o hacerlo de manera parcial, se le impondrá una medida de apremio de conformidad con lo previsto en los artículos 198, 200, fracción III; 214, 215 y 216 de la Ley  de Transparencia y Acceso a la Información Pública del Estado de México y Municipios.</w:t>
      </w:r>
    </w:p>
    <w:p w:rsidR="007B41FA" w:rsidRDefault="007B41FA">
      <w:pPr>
        <w:spacing w:after="0" w:line="360" w:lineRule="auto"/>
        <w:jc w:val="both"/>
        <w:rPr>
          <w:rFonts w:ascii="Palatino Linotype" w:eastAsia="Palatino Linotype" w:hAnsi="Palatino Linotype" w:cs="Palatino Linotype"/>
          <w:sz w:val="24"/>
          <w:szCs w:val="24"/>
        </w:rPr>
      </w:pPr>
    </w:p>
    <w:p w:rsidR="007B41FA" w:rsidRDefault="00330928">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Pr>
          <w:rFonts w:ascii="Palatino Linotype" w:eastAsia="Palatino Linotype" w:hAnsi="Palatino Linotype" w:cs="Palatino Linotype"/>
          <w:b/>
          <w:sz w:val="24"/>
          <w:szCs w:val="24"/>
        </w:rPr>
        <w:t>CUART</w:t>
      </w:r>
      <w:r>
        <w:rPr>
          <w:rFonts w:ascii="Palatino Linotype" w:eastAsia="Palatino Linotype" w:hAnsi="Palatino Linotype" w:cs="Palatino Linotype"/>
          <w:b/>
          <w:sz w:val="24"/>
          <w:szCs w:val="24"/>
        </w:rPr>
        <w:t xml:space="preserve">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 manera fundada y motivada, podrá solicitar una ampliación de plazo para </w:t>
      </w:r>
      <w:r>
        <w:rPr>
          <w:rFonts w:ascii="Palatino Linotype" w:eastAsia="Palatino Linotype" w:hAnsi="Palatino Linotype" w:cs="Palatino Linotype"/>
          <w:sz w:val="24"/>
          <w:szCs w:val="24"/>
        </w:rPr>
        <w:t>el cumplimiento de la presente resolución.</w:t>
      </w:r>
    </w:p>
    <w:p w:rsidR="007B41FA" w:rsidRDefault="007B41FA">
      <w:pPr>
        <w:spacing w:line="360" w:lineRule="auto"/>
        <w:jc w:val="both"/>
        <w:rPr>
          <w:rFonts w:ascii="Palatino Linotype" w:eastAsia="Palatino Linotype" w:hAnsi="Palatino Linotype" w:cs="Palatino Linotype"/>
          <w:b/>
          <w:sz w:val="24"/>
          <w:szCs w:val="24"/>
        </w:rPr>
      </w:pPr>
      <w:bookmarkStart w:id="3" w:name="_heading=h.7sbbonkc1cjt" w:colFirst="0" w:colLast="0"/>
      <w:bookmarkEnd w:id="3"/>
    </w:p>
    <w:p w:rsidR="007B41FA" w:rsidRDefault="00330928">
      <w:pPr>
        <w:spacing w:line="360" w:lineRule="auto"/>
        <w:jc w:val="both"/>
        <w:rPr>
          <w:rFonts w:ascii="Palatino Linotype" w:eastAsia="Palatino Linotype" w:hAnsi="Palatino Linotype" w:cs="Palatino Linotype"/>
          <w:sz w:val="24"/>
          <w:szCs w:val="24"/>
        </w:rPr>
      </w:pPr>
      <w:bookmarkStart w:id="4" w:name="_heading=h.gjdgxs" w:colFirst="0" w:colLast="0"/>
      <w:bookmarkEnd w:id="4"/>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w:t>
      </w:r>
      <w:r>
        <w:rPr>
          <w:rFonts w:ascii="Palatino Linotype" w:eastAsia="Palatino Linotype" w:hAnsi="Palatino Linotype" w:cs="Palatino Linotype"/>
          <w:sz w:val="24"/>
          <w:szCs w:val="24"/>
        </w:rPr>
        <w:t xml:space="preserve">tículo 196 de la Ley de Transparencia y Acceso a la Información Pública del Estado de México y Municipios. </w:t>
      </w:r>
    </w:p>
    <w:p w:rsidR="007B41FA" w:rsidRDefault="007B41FA">
      <w:pPr>
        <w:spacing w:after="0" w:line="360" w:lineRule="auto"/>
        <w:jc w:val="both"/>
        <w:rPr>
          <w:rFonts w:ascii="Palatino Linotype" w:eastAsia="Palatino Linotype" w:hAnsi="Palatino Linotype" w:cs="Palatino Linotype"/>
        </w:rPr>
      </w:pPr>
    </w:p>
    <w:p w:rsidR="007B41FA" w:rsidRDefault="0033092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w:t>
      </w:r>
      <w:r>
        <w:rPr>
          <w:rFonts w:ascii="Palatino Linotype" w:eastAsia="Palatino Linotype" w:hAnsi="Palatino Linotype" w:cs="Palatino Linotype"/>
          <w:sz w:val="24"/>
          <w:szCs w:val="24"/>
        </w:rPr>
        <w:t xml:space="preserve"> DEL ESTADO DE MÉXICO Y MUNICIPIOS, CONFORMADO POR LOS COMISIONADOS JOSÉ MARTÍNEZ VILCHIS, MARÍA DEL ROSARIO MEJÍA AYALA, SHARON CRISTINA MORALES MARTÍNEZ, LUIS GUSTAVO PARRA NORIEGA Y GUADALUPE RAMÍREZ PEÑA; EN LA NOVENA SESIÓN ORDINARIA CELEBRADA EL TREC</w:t>
      </w:r>
      <w:r>
        <w:rPr>
          <w:rFonts w:ascii="Palatino Linotype" w:eastAsia="Palatino Linotype" w:hAnsi="Palatino Linotype" w:cs="Palatino Linotype"/>
          <w:sz w:val="24"/>
          <w:szCs w:val="24"/>
        </w:rPr>
        <w:t>E DE MARZO DE DOS MIL VEINTICUATRO, ANTE EL SECRETARIO TÉCNICO DEL PLENO ALEXIS TAPIA RAMÍREZ.</w:t>
      </w:r>
    </w:p>
    <w:p w:rsidR="007B41FA" w:rsidRDefault="007B41FA">
      <w:pPr>
        <w:tabs>
          <w:tab w:val="left" w:pos="709"/>
        </w:tabs>
        <w:spacing w:before="160" w:after="240" w:line="360" w:lineRule="auto"/>
        <w:ind w:right="40"/>
        <w:jc w:val="both"/>
        <w:rPr>
          <w:rFonts w:ascii="Palatino Linotype" w:eastAsia="Palatino Linotype" w:hAnsi="Palatino Linotype" w:cs="Palatino Linotype"/>
          <w:color w:val="000000"/>
          <w:sz w:val="24"/>
          <w:szCs w:val="24"/>
        </w:rPr>
      </w:pPr>
    </w:p>
    <w:p w:rsidR="007B41FA" w:rsidRDefault="007B41FA">
      <w:pPr>
        <w:tabs>
          <w:tab w:val="left" w:pos="709"/>
        </w:tabs>
        <w:spacing w:before="160" w:after="240" w:line="360" w:lineRule="auto"/>
        <w:ind w:right="40"/>
        <w:jc w:val="both"/>
        <w:rPr>
          <w:rFonts w:ascii="Palatino Linotype" w:eastAsia="Palatino Linotype" w:hAnsi="Palatino Linotype" w:cs="Palatino Linotype"/>
          <w:color w:val="000000"/>
          <w:sz w:val="24"/>
          <w:szCs w:val="24"/>
        </w:rPr>
      </w:pPr>
    </w:p>
    <w:p w:rsidR="007B41FA" w:rsidRDefault="007B41FA">
      <w:pPr>
        <w:tabs>
          <w:tab w:val="left" w:pos="709"/>
        </w:tabs>
        <w:spacing w:before="160" w:after="240" w:line="360" w:lineRule="auto"/>
        <w:ind w:right="40"/>
        <w:jc w:val="both"/>
        <w:rPr>
          <w:rFonts w:ascii="Palatino Linotype" w:eastAsia="Palatino Linotype" w:hAnsi="Palatino Linotype" w:cs="Palatino Linotype"/>
          <w:color w:val="000000"/>
          <w:sz w:val="24"/>
          <w:szCs w:val="24"/>
        </w:rPr>
      </w:pPr>
    </w:p>
    <w:p w:rsidR="007B41FA" w:rsidRDefault="007B41FA">
      <w:pPr>
        <w:tabs>
          <w:tab w:val="left" w:pos="709"/>
        </w:tabs>
        <w:spacing w:before="160" w:after="240" w:line="360" w:lineRule="auto"/>
        <w:ind w:right="40"/>
        <w:jc w:val="both"/>
        <w:rPr>
          <w:rFonts w:ascii="Palatino Linotype" w:eastAsia="Palatino Linotype" w:hAnsi="Palatino Linotype" w:cs="Palatino Linotype"/>
          <w:color w:val="000000"/>
          <w:sz w:val="24"/>
          <w:szCs w:val="24"/>
        </w:rPr>
      </w:pPr>
    </w:p>
    <w:p w:rsidR="007B41FA" w:rsidRDefault="007B41FA">
      <w:pPr>
        <w:tabs>
          <w:tab w:val="left" w:pos="709"/>
        </w:tabs>
        <w:spacing w:before="160" w:after="240" w:line="360" w:lineRule="auto"/>
        <w:ind w:right="40"/>
        <w:jc w:val="both"/>
        <w:rPr>
          <w:rFonts w:ascii="Palatino Linotype" w:eastAsia="Palatino Linotype" w:hAnsi="Palatino Linotype" w:cs="Palatino Linotype"/>
          <w:color w:val="000000"/>
          <w:sz w:val="24"/>
          <w:szCs w:val="24"/>
        </w:rPr>
      </w:pPr>
    </w:p>
    <w:p w:rsidR="007B41FA" w:rsidRDefault="007B41FA">
      <w:pPr>
        <w:tabs>
          <w:tab w:val="left" w:pos="709"/>
        </w:tabs>
        <w:spacing w:before="160" w:after="240" w:line="360" w:lineRule="auto"/>
        <w:ind w:right="40"/>
        <w:jc w:val="both"/>
        <w:rPr>
          <w:rFonts w:ascii="Palatino Linotype" w:eastAsia="Palatino Linotype" w:hAnsi="Palatino Linotype" w:cs="Palatino Linotype"/>
          <w:color w:val="000000"/>
          <w:sz w:val="24"/>
          <w:szCs w:val="24"/>
        </w:rPr>
      </w:pPr>
    </w:p>
    <w:p w:rsidR="007B41FA" w:rsidRDefault="007B41FA">
      <w:pPr>
        <w:tabs>
          <w:tab w:val="left" w:pos="709"/>
        </w:tabs>
        <w:spacing w:before="160" w:after="240" w:line="360" w:lineRule="auto"/>
        <w:ind w:right="40"/>
        <w:jc w:val="both"/>
        <w:rPr>
          <w:rFonts w:ascii="Palatino Linotype" w:eastAsia="Palatino Linotype" w:hAnsi="Palatino Linotype" w:cs="Palatino Linotype"/>
          <w:color w:val="000000"/>
          <w:sz w:val="24"/>
          <w:szCs w:val="24"/>
        </w:rPr>
      </w:pPr>
    </w:p>
    <w:sectPr w:rsidR="007B41FA">
      <w:headerReference w:type="default"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30928">
      <w:pPr>
        <w:spacing w:after="0" w:line="240" w:lineRule="auto"/>
      </w:pPr>
      <w:r>
        <w:separator/>
      </w:r>
    </w:p>
  </w:endnote>
  <w:endnote w:type="continuationSeparator" w:id="0">
    <w:p w:rsidR="00000000" w:rsidRDefault="0033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FA" w:rsidRDefault="0033092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7B41FA" w:rsidRDefault="007B41F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FA" w:rsidRDefault="0033092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7B41FA" w:rsidRDefault="007B41F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30928">
      <w:pPr>
        <w:spacing w:after="0" w:line="240" w:lineRule="auto"/>
      </w:pPr>
      <w:r>
        <w:separator/>
      </w:r>
    </w:p>
  </w:footnote>
  <w:footnote w:type="continuationSeparator" w:id="0">
    <w:p w:rsidR="00000000" w:rsidRDefault="00330928">
      <w:pPr>
        <w:spacing w:after="0" w:line="240" w:lineRule="auto"/>
      </w:pPr>
      <w:r>
        <w:continuationSeparator/>
      </w:r>
    </w:p>
  </w:footnote>
  <w:footnote w:id="1">
    <w:p w:rsidR="007B41FA" w:rsidRDefault="003309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color w:val="000000"/>
          <w:sz w:val="20"/>
          <w:szCs w:val="20"/>
        </w:rPr>
        <w:t xml:space="preserve"> (…)</w:t>
      </w:r>
    </w:p>
  </w:footnote>
  <w:footnote w:id="2">
    <w:p w:rsidR="007B41FA" w:rsidRDefault="0033092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w:t>
      </w:r>
      <w:r>
        <w:rPr>
          <w:rFonts w:ascii="Palatino Linotype" w:eastAsia="Palatino Linotype" w:hAnsi="Palatino Linotype" w:cs="Palatino Linotype"/>
          <w:color w:val="000000"/>
          <w:sz w:val="16"/>
          <w:szCs w:val="16"/>
        </w:rPr>
        <w:t>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FA" w:rsidRDefault="007B41FA">
    <w:pPr>
      <w:widowControl w:val="0"/>
      <w:pBdr>
        <w:top w:val="nil"/>
        <w:left w:val="nil"/>
        <w:bottom w:val="nil"/>
        <w:right w:val="nil"/>
        <w:between w:val="nil"/>
      </w:pBdr>
      <w:spacing w:after="0" w:line="276" w:lineRule="auto"/>
      <w:rPr>
        <w:color w:val="000000"/>
      </w:rPr>
    </w:pPr>
  </w:p>
  <w:tbl>
    <w:tblPr>
      <w:tblStyle w:val="a2"/>
      <w:tblW w:w="10538" w:type="dxa"/>
      <w:tblInd w:w="-1281" w:type="dxa"/>
      <w:tblLayout w:type="fixed"/>
      <w:tblLook w:val="0400" w:firstRow="0" w:lastRow="0" w:firstColumn="0" w:lastColumn="0" w:noHBand="0" w:noVBand="1"/>
    </w:tblPr>
    <w:tblGrid>
      <w:gridCol w:w="5660"/>
      <w:gridCol w:w="4878"/>
    </w:tblGrid>
    <w:tr w:rsidR="007B41FA">
      <w:trPr>
        <w:trHeight w:val="260"/>
      </w:trPr>
      <w:tc>
        <w:tcPr>
          <w:tcW w:w="5660" w:type="dxa"/>
        </w:tcPr>
        <w:p w:rsidR="007B41FA" w:rsidRDefault="0033092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rsidR="007B41FA" w:rsidRDefault="0033092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05439/INFOEM/IP/RR/2023.</w:t>
          </w:r>
        </w:p>
      </w:tc>
    </w:tr>
    <w:tr w:rsidR="007B41FA">
      <w:trPr>
        <w:trHeight w:val="224"/>
      </w:trPr>
      <w:tc>
        <w:tcPr>
          <w:tcW w:w="5660" w:type="dxa"/>
        </w:tcPr>
        <w:p w:rsidR="007B41FA" w:rsidRDefault="0033092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rsidR="007B41FA" w:rsidRDefault="007B41F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7B41FA">
      <w:trPr>
        <w:trHeight w:val="278"/>
      </w:trPr>
      <w:tc>
        <w:tcPr>
          <w:tcW w:w="5660" w:type="dxa"/>
        </w:tcPr>
        <w:p w:rsidR="007B41FA" w:rsidRDefault="0033092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rsidR="007B41FA" w:rsidRDefault="0033092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Tlalmanalco.</w:t>
          </w:r>
        </w:p>
      </w:tc>
    </w:tr>
    <w:tr w:rsidR="007B41FA">
      <w:trPr>
        <w:trHeight w:val="393"/>
      </w:trPr>
      <w:tc>
        <w:tcPr>
          <w:tcW w:w="5660" w:type="dxa"/>
        </w:tcPr>
        <w:p w:rsidR="007B41FA" w:rsidRDefault="0033092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rsidR="007B41FA" w:rsidRDefault="0033092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B41FA" w:rsidRDefault="0033092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-683893</wp:posOffset>
          </wp:positionH>
          <wp:positionV relativeFrom="paragraph">
            <wp:posOffset>-1473833</wp:posOffset>
          </wp:positionV>
          <wp:extent cx="7391400" cy="9952355"/>
          <wp:effectExtent l="0" t="0" r="0" b="0"/>
          <wp:wrapNone/>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91400" cy="995235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FA" w:rsidRDefault="007B41FA">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4"/>
        <w:szCs w:val="24"/>
      </w:rPr>
    </w:pPr>
  </w:p>
  <w:tbl>
    <w:tblPr>
      <w:tblStyle w:val="a1"/>
      <w:tblW w:w="10538" w:type="dxa"/>
      <w:tblInd w:w="-1281" w:type="dxa"/>
      <w:tblLayout w:type="fixed"/>
      <w:tblLook w:val="0400" w:firstRow="0" w:lastRow="0" w:firstColumn="0" w:lastColumn="0" w:noHBand="0" w:noVBand="1"/>
    </w:tblPr>
    <w:tblGrid>
      <w:gridCol w:w="5660"/>
      <w:gridCol w:w="4878"/>
    </w:tblGrid>
    <w:tr w:rsidR="007B41FA">
      <w:trPr>
        <w:trHeight w:val="260"/>
      </w:trPr>
      <w:tc>
        <w:tcPr>
          <w:tcW w:w="5660" w:type="dxa"/>
        </w:tcPr>
        <w:p w:rsidR="007B41FA" w:rsidRDefault="0033092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rsidR="007B41FA" w:rsidRDefault="0033092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05439/INFOEM/IP/RR/2023.</w:t>
          </w:r>
        </w:p>
      </w:tc>
    </w:tr>
    <w:tr w:rsidR="007B41FA">
      <w:trPr>
        <w:trHeight w:val="224"/>
      </w:trPr>
      <w:tc>
        <w:tcPr>
          <w:tcW w:w="5660" w:type="dxa"/>
        </w:tcPr>
        <w:p w:rsidR="007B41FA" w:rsidRDefault="0033092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rsidR="007B41FA" w:rsidRDefault="00330928" w:rsidP="00330928">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XXXXXXXX X</w:t>
          </w:r>
          <w:r>
            <w:rPr>
              <w:rFonts w:ascii="Palatino Linotype" w:eastAsia="Palatino Linotype" w:hAnsi="Palatino Linotype" w:cs="Palatino Linotype"/>
              <w:color w:val="000000"/>
              <w:sz w:val="24"/>
              <w:szCs w:val="24"/>
            </w:rPr>
            <w:t>.</w:t>
          </w:r>
        </w:p>
      </w:tc>
    </w:tr>
    <w:tr w:rsidR="007B41FA">
      <w:trPr>
        <w:trHeight w:val="278"/>
      </w:trPr>
      <w:tc>
        <w:tcPr>
          <w:tcW w:w="5660" w:type="dxa"/>
        </w:tcPr>
        <w:p w:rsidR="007B41FA" w:rsidRDefault="0033092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rsidR="007B41FA" w:rsidRDefault="0033092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Tlalmanalco.</w:t>
          </w:r>
        </w:p>
      </w:tc>
    </w:tr>
    <w:tr w:rsidR="007B41FA">
      <w:trPr>
        <w:trHeight w:val="393"/>
      </w:trPr>
      <w:tc>
        <w:tcPr>
          <w:tcW w:w="5660" w:type="dxa"/>
        </w:tcPr>
        <w:p w:rsidR="007B41FA" w:rsidRDefault="0033092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rsidR="007B41FA" w:rsidRDefault="0033092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B41FA" w:rsidRDefault="0033092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-1080133</wp:posOffset>
          </wp:positionH>
          <wp:positionV relativeFrom="paragraph">
            <wp:posOffset>-1470658</wp:posOffset>
          </wp:positionV>
          <wp:extent cx="7391400" cy="9952355"/>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91400" cy="995235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C2D3E"/>
    <w:multiLevelType w:val="multilevel"/>
    <w:tmpl w:val="E4E01AB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93A58"/>
    <w:multiLevelType w:val="multilevel"/>
    <w:tmpl w:val="FE746D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FAE29F4"/>
    <w:multiLevelType w:val="multilevel"/>
    <w:tmpl w:val="4D182AC6"/>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F066E2"/>
    <w:multiLevelType w:val="multilevel"/>
    <w:tmpl w:val="787A7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FB7302"/>
    <w:multiLevelType w:val="multilevel"/>
    <w:tmpl w:val="DB66752A"/>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1FA"/>
    <w:rsid w:val="00330928"/>
    <w:rsid w:val="007B41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A54E08-C2CA-4DE2-A59D-A8CD275C1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879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7912"/>
  </w:style>
  <w:style w:type="paragraph" w:styleId="Piedepgina">
    <w:name w:val="footer"/>
    <w:basedOn w:val="Normal"/>
    <w:link w:val="PiedepginaCar"/>
    <w:uiPriority w:val="99"/>
    <w:unhideWhenUsed/>
    <w:rsid w:val="004879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7912"/>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RRYDwd9Rm3We8ZenaDkluaB7A==">CgMxLjAyDmgua2VsZ3MyNDI4b2E2MghoLmdqZGd4czIJaC4zMGowemxsMg5oLjdzYmJvbmtjMWNqdDIIaC5namRneHM4AHIhMVJqUnRVektabkM5UjIwY3JNLTR5TVpCVHE1WngtT2ZC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15476</Words>
  <Characters>85122</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100398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dcterms:created xsi:type="dcterms:W3CDTF">2024-04-03T17:16:00Z</dcterms:created>
  <dcterms:modified xsi:type="dcterms:W3CDTF">2024-04-03T17:16:00Z</dcterms:modified>
</cp:coreProperties>
</file>