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66994" w:rsidRDefault="00AE3DA7" w:rsidP="00C66994">
          <w:pPr>
            <w:pStyle w:val="TtulodeTDC"/>
            <w:spacing w:before="0" w:line="240" w:lineRule="auto"/>
            <w:rPr>
              <w:rFonts w:ascii="Palatino Linotype" w:hAnsi="Palatino Linotype"/>
              <w:color w:val="auto"/>
              <w:sz w:val="24"/>
              <w:szCs w:val="24"/>
              <w:lang w:val="es-ES"/>
            </w:rPr>
          </w:pPr>
          <w:r w:rsidRPr="00C66994">
            <w:rPr>
              <w:rFonts w:ascii="Palatino Linotype" w:hAnsi="Palatino Linotype"/>
              <w:color w:val="auto"/>
              <w:sz w:val="24"/>
              <w:szCs w:val="24"/>
              <w:lang w:val="es-ES"/>
            </w:rPr>
            <w:t>Contenido</w:t>
          </w:r>
        </w:p>
        <w:p w14:paraId="3EB312A7" w14:textId="77777777" w:rsidR="00AA6EA9" w:rsidRPr="00C66994" w:rsidRDefault="00AA6EA9" w:rsidP="00C66994">
          <w:pPr>
            <w:spacing w:line="240" w:lineRule="auto"/>
            <w:rPr>
              <w:sz w:val="16"/>
              <w:szCs w:val="16"/>
              <w:lang w:val="es-ES" w:eastAsia="es-MX"/>
            </w:rPr>
          </w:pPr>
        </w:p>
        <w:p w14:paraId="2329EC34" w14:textId="77777777" w:rsidR="00C66994" w:rsidRDefault="00AE3DA7">
          <w:pPr>
            <w:pStyle w:val="TDC1"/>
            <w:tabs>
              <w:tab w:val="right" w:leader="dot" w:pos="9034"/>
            </w:tabs>
            <w:rPr>
              <w:rFonts w:asciiTheme="minorHAnsi" w:eastAsiaTheme="minorEastAsia" w:hAnsiTheme="minorHAnsi" w:cstheme="minorBidi"/>
              <w:noProof/>
              <w:szCs w:val="22"/>
              <w:lang w:eastAsia="es-MX"/>
            </w:rPr>
          </w:pPr>
          <w:r w:rsidRPr="00C66994">
            <w:rPr>
              <w:sz w:val="16"/>
              <w:szCs w:val="16"/>
            </w:rPr>
            <w:fldChar w:fldCharType="begin"/>
          </w:r>
          <w:r w:rsidRPr="00C66994">
            <w:rPr>
              <w:sz w:val="16"/>
              <w:szCs w:val="16"/>
            </w:rPr>
            <w:instrText xml:space="preserve"> TOC \o "1-3" \h \z \u </w:instrText>
          </w:r>
          <w:r w:rsidRPr="00C66994">
            <w:rPr>
              <w:sz w:val="16"/>
              <w:szCs w:val="16"/>
            </w:rPr>
            <w:fldChar w:fldCharType="separate"/>
          </w:r>
          <w:hyperlink w:anchor="_Toc183621246" w:history="1">
            <w:r w:rsidR="00C66994" w:rsidRPr="00641563">
              <w:rPr>
                <w:rStyle w:val="Hipervnculo"/>
                <w:noProof/>
              </w:rPr>
              <w:t>ANTECEDENTES</w:t>
            </w:r>
            <w:r w:rsidR="00C66994">
              <w:rPr>
                <w:noProof/>
                <w:webHidden/>
              </w:rPr>
              <w:tab/>
            </w:r>
            <w:r w:rsidR="00C66994">
              <w:rPr>
                <w:noProof/>
                <w:webHidden/>
              </w:rPr>
              <w:fldChar w:fldCharType="begin"/>
            </w:r>
            <w:r w:rsidR="00C66994">
              <w:rPr>
                <w:noProof/>
                <w:webHidden/>
              </w:rPr>
              <w:instrText xml:space="preserve"> PAGEREF _Toc183621246 \h </w:instrText>
            </w:r>
            <w:r w:rsidR="00C66994">
              <w:rPr>
                <w:noProof/>
                <w:webHidden/>
              </w:rPr>
            </w:r>
            <w:r w:rsidR="00C66994">
              <w:rPr>
                <w:noProof/>
                <w:webHidden/>
              </w:rPr>
              <w:fldChar w:fldCharType="separate"/>
            </w:r>
            <w:r w:rsidR="00176A8F">
              <w:rPr>
                <w:noProof/>
                <w:webHidden/>
              </w:rPr>
              <w:t>1</w:t>
            </w:r>
            <w:r w:rsidR="00C66994">
              <w:rPr>
                <w:noProof/>
                <w:webHidden/>
              </w:rPr>
              <w:fldChar w:fldCharType="end"/>
            </w:r>
          </w:hyperlink>
        </w:p>
        <w:p w14:paraId="1A575F15" w14:textId="77777777" w:rsidR="00C66994" w:rsidRDefault="009E0684">
          <w:pPr>
            <w:pStyle w:val="TDC2"/>
            <w:rPr>
              <w:rFonts w:asciiTheme="minorHAnsi" w:eastAsiaTheme="minorEastAsia" w:hAnsiTheme="minorHAnsi" w:cstheme="minorBidi"/>
              <w:noProof/>
              <w:szCs w:val="22"/>
              <w:lang w:eastAsia="es-MX"/>
            </w:rPr>
          </w:pPr>
          <w:hyperlink w:anchor="_Toc183621247" w:history="1">
            <w:r w:rsidR="00C66994" w:rsidRPr="00641563">
              <w:rPr>
                <w:rStyle w:val="Hipervnculo"/>
                <w:noProof/>
              </w:rPr>
              <w:t>DE LAS SOLICITUDES DE INFORMACIÓN</w:t>
            </w:r>
            <w:r w:rsidR="00C66994">
              <w:rPr>
                <w:noProof/>
                <w:webHidden/>
              </w:rPr>
              <w:tab/>
            </w:r>
            <w:r w:rsidR="00C66994">
              <w:rPr>
                <w:noProof/>
                <w:webHidden/>
              </w:rPr>
              <w:fldChar w:fldCharType="begin"/>
            </w:r>
            <w:r w:rsidR="00C66994">
              <w:rPr>
                <w:noProof/>
                <w:webHidden/>
              </w:rPr>
              <w:instrText xml:space="preserve"> PAGEREF _Toc183621247 \h </w:instrText>
            </w:r>
            <w:r w:rsidR="00C66994">
              <w:rPr>
                <w:noProof/>
                <w:webHidden/>
              </w:rPr>
            </w:r>
            <w:r w:rsidR="00C66994">
              <w:rPr>
                <w:noProof/>
                <w:webHidden/>
              </w:rPr>
              <w:fldChar w:fldCharType="separate"/>
            </w:r>
            <w:r w:rsidR="00176A8F">
              <w:rPr>
                <w:noProof/>
                <w:webHidden/>
              </w:rPr>
              <w:t>1</w:t>
            </w:r>
            <w:r w:rsidR="00C66994">
              <w:rPr>
                <w:noProof/>
                <w:webHidden/>
              </w:rPr>
              <w:fldChar w:fldCharType="end"/>
            </w:r>
          </w:hyperlink>
        </w:p>
        <w:p w14:paraId="24E77A74" w14:textId="77777777" w:rsidR="00C66994" w:rsidRDefault="009E0684">
          <w:pPr>
            <w:pStyle w:val="TDC3"/>
            <w:rPr>
              <w:rFonts w:asciiTheme="minorHAnsi" w:eastAsiaTheme="minorEastAsia" w:hAnsiTheme="minorHAnsi" w:cstheme="minorBidi"/>
              <w:noProof/>
              <w:szCs w:val="22"/>
              <w:lang w:eastAsia="es-MX"/>
            </w:rPr>
          </w:pPr>
          <w:hyperlink w:anchor="_Toc183621248" w:history="1">
            <w:r w:rsidR="00C66994" w:rsidRPr="00641563">
              <w:rPr>
                <w:rStyle w:val="Hipervnculo"/>
                <w:noProof/>
              </w:rPr>
              <w:t>a) Solicitudes de información</w:t>
            </w:r>
            <w:r w:rsidR="00C66994">
              <w:rPr>
                <w:noProof/>
                <w:webHidden/>
              </w:rPr>
              <w:tab/>
            </w:r>
            <w:r w:rsidR="00C66994">
              <w:rPr>
                <w:noProof/>
                <w:webHidden/>
              </w:rPr>
              <w:fldChar w:fldCharType="begin"/>
            </w:r>
            <w:r w:rsidR="00C66994">
              <w:rPr>
                <w:noProof/>
                <w:webHidden/>
              </w:rPr>
              <w:instrText xml:space="preserve"> PAGEREF _Toc183621248 \h </w:instrText>
            </w:r>
            <w:r w:rsidR="00C66994">
              <w:rPr>
                <w:noProof/>
                <w:webHidden/>
              </w:rPr>
            </w:r>
            <w:r w:rsidR="00C66994">
              <w:rPr>
                <w:noProof/>
                <w:webHidden/>
              </w:rPr>
              <w:fldChar w:fldCharType="separate"/>
            </w:r>
            <w:r w:rsidR="00176A8F">
              <w:rPr>
                <w:noProof/>
                <w:webHidden/>
              </w:rPr>
              <w:t>1</w:t>
            </w:r>
            <w:r w:rsidR="00C66994">
              <w:rPr>
                <w:noProof/>
                <w:webHidden/>
              </w:rPr>
              <w:fldChar w:fldCharType="end"/>
            </w:r>
          </w:hyperlink>
        </w:p>
        <w:p w14:paraId="5F51751A" w14:textId="77777777" w:rsidR="00C66994" w:rsidRDefault="009E0684">
          <w:pPr>
            <w:pStyle w:val="TDC3"/>
            <w:rPr>
              <w:rFonts w:asciiTheme="minorHAnsi" w:eastAsiaTheme="minorEastAsia" w:hAnsiTheme="minorHAnsi" w:cstheme="minorBidi"/>
              <w:noProof/>
              <w:szCs w:val="22"/>
              <w:lang w:eastAsia="es-MX"/>
            </w:rPr>
          </w:pPr>
          <w:hyperlink w:anchor="_Toc183621249" w:history="1">
            <w:r w:rsidR="00C66994" w:rsidRPr="00641563">
              <w:rPr>
                <w:rStyle w:val="Hipervnculo"/>
                <w:noProof/>
                <w:lang w:val="es-ES"/>
              </w:rPr>
              <w:t xml:space="preserve">b) Respuestas </w:t>
            </w:r>
            <w:r w:rsidR="00C66994" w:rsidRPr="00641563">
              <w:rPr>
                <w:rStyle w:val="Hipervnculo"/>
                <w:rFonts w:eastAsia="Calibri"/>
                <w:noProof/>
                <w:lang w:eastAsia="en-US"/>
              </w:rPr>
              <w:t>del Sujeto Obligado</w:t>
            </w:r>
            <w:r w:rsidR="00C66994">
              <w:rPr>
                <w:noProof/>
                <w:webHidden/>
              </w:rPr>
              <w:tab/>
            </w:r>
            <w:r w:rsidR="00C66994">
              <w:rPr>
                <w:noProof/>
                <w:webHidden/>
              </w:rPr>
              <w:fldChar w:fldCharType="begin"/>
            </w:r>
            <w:r w:rsidR="00C66994">
              <w:rPr>
                <w:noProof/>
                <w:webHidden/>
              </w:rPr>
              <w:instrText xml:space="preserve"> PAGEREF _Toc183621249 \h </w:instrText>
            </w:r>
            <w:r w:rsidR="00C66994">
              <w:rPr>
                <w:noProof/>
                <w:webHidden/>
              </w:rPr>
            </w:r>
            <w:r w:rsidR="00C66994">
              <w:rPr>
                <w:noProof/>
                <w:webHidden/>
              </w:rPr>
              <w:fldChar w:fldCharType="separate"/>
            </w:r>
            <w:r w:rsidR="00176A8F">
              <w:rPr>
                <w:noProof/>
                <w:webHidden/>
              </w:rPr>
              <w:t>3</w:t>
            </w:r>
            <w:r w:rsidR="00C66994">
              <w:rPr>
                <w:noProof/>
                <w:webHidden/>
              </w:rPr>
              <w:fldChar w:fldCharType="end"/>
            </w:r>
          </w:hyperlink>
        </w:p>
        <w:p w14:paraId="530652CA" w14:textId="77777777" w:rsidR="00C66994" w:rsidRDefault="009E0684">
          <w:pPr>
            <w:pStyle w:val="TDC2"/>
            <w:rPr>
              <w:rFonts w:asciiTheme="minorHAnsi" w:eastAsiaTheme="minorEastAsia" w:hAnsiTheme="minorHAnsi" w:cstheme="minorBidi"/>
              <w:noProof/>
              <w:szCs w:val="22"/>
              <w:lang w:eastAsia="es-MX"/>
            </w:rPr>
          </w:pPr>
          <w:hyperlink w:anchor="_Toc183621250" w:history="1">
            <w:r w:rsidR="00C66994" w:rsidRPr="00641563">
              <w:rPr>
                <w:rStyle w:val="Hipervnculo"/>
                <w:noProof/>
              </w:rPr>
              <w:t>DE LOS RECURSOS DE REVISIÓN</w:t>
            </w:r>
            <w:r w:rsidR="00C66994">
              <w:rPr>
                <w:noProof/>
                <w:webHidden/>
              </w:rPr>
              <w:tab/>
            </w:r>
            <w:r w:rsidR="00C66994">
              <w:rPr>
                <w:noProof/>
                <w:webHidden/>
              </w:rPr>
              <w:fldChar w:fldCharType="begin"/>
            </w:r>
            <w:r w:rsidR="00C66994">
              <w:rPr>
                <w:noProof/>
                <w:webHidden/>
              </w:rPr>
              <w:instrText xml:space="preserve"> PAGEREF _Toc183621250 \h </w:instrText>
            </w:r>
            <w:r w:rsidR="00C66994">
              <w:rPr>
                <w:noProof/>
                <w:webHidden/>
              </w:rPr>
            </w:r>
            <w:r w:rsidR="00C66994">
              <w:rPr>
                <w:noProof/>
                <w:webHidden/>
              </w:rPr>
              <w:fldChar w:fldCharType="separate"/>
            </w:r>
            <w:r w:rsidR="00176A8F">
              <w:rPr>
                <w:noProof/>
                <w:webHidden/>
              </w:rPr>
              <w:t>4</w:t>
            </w:r>
            <w:r w:rsidR="00C66994">
              <w:rPr>
                <w:noProof/>
                <w:webHidden/>
              </w:rPr>
              <w:fldChar w:fldCharType="end"/>
            </w:r>
          </w:hyperlink>
        </w:p>
        <w:p w14:paraId="34A30240" w14:textId="77777777" w:rsidR="00C66994" w:rsidRDefault="009E0684">
          <w:pPr>
            <w:pStyle w:val="TDC3"/>
            <w:rPr>
              <w:rFonts w:asciiTheme="minorHAnsi" w:eastAsiaTheme="minorEastAsia" w:hAnsiTheme="minorHAnsi" w:cstheme="minorBidi"/>
              <w:noProof/>
              <w:szCs w:val="22"/>
              <w:lang w:eastAsia="es-MX"/>
            </w:rPr>
          </w:pPr>
          <w:hyperlink w:anchor="_Toc183621251" w:history="1">
            <w:r w:rsidR="00C66994" w:rsidRPr="00641563">
              <w:rPr>
                <w:rStyle w:val="Hipervnculo"/>
                <w:noProof/>
              </w:rPr>
              <w:t>a) Interposición de los Recursos de Revisión</w:t>
            </w:r>
            <w:r w:rsidR="00C66994">
              <w:rPr>
                <w:noProof/>
                <w:webHidden/>
              </w:rPr>
              <w:tab/>
            </w:r>
            <w:r w:rsidR="00C66994">
              <w:rPr>
                <w:noProof/>
                <w:webHidden/>
              </w:rPr>
              <w:fldChar w:fldCharType="begin"/>
            </w:r>
            <w:r w:rsidR="00C66994">
              <w:rPr>
                <w:noProof/>
                <w:webHidden/>
              </w:rPr>
              <w:instrText xml:space="preserve"> PAGEREF _Toc183621251 \h </w:instrText>
            </w:r>
            <w:r w:rsidR="00C66994">
              <w:rPr>
                <w:noProof/>
                <w:webHidden/>
              </w:rPr>
            </w:r>
            <w:r w:rsidR="00C66994">
              <w:rPr>
                <w:noProof/>
                <w:webHidden/>
              </w:rPr>
              <w:fldChar w:fldCharType="separate"/>
            </w:r>
            <w:r w:rsidR="00176A8F">
              <w:rPr>
                <w:noProof/>
                <w:webHidden/>
              </w:rPr>
              <w:t>4</w:t>
            </w:r>
            <w:r w:rsidR="00C66994">
              <w:rPr>
                <w:noProof/>
                <w:webHidden/>
              </w:rPr>
              <w:fldChar w:fldCharType="end"/>
            </w:r>
          </w:hyperlink>
        </w:p>
        <w:p w14:paraId="6C9A162E" w14:textId="77777777" w:rsidR="00C66994" w:rsidRDefault="009E0684">
          <w:pPr>
            <w:pStyle w:val="TDC3"/>
            <w:rPr>
              <w:rFonts w:asciiTheme="minorHAnsi" w:eastAsiaTheme="minorEastAsia" w:hAnsiTheme="minorHAnsi" w:cstheme="minorBidi"/>
              <w:noProof/>
              <w:szCs w:val="22"/>
              <w:lang w:eastAsia="es-MX"/>
            </w:rPr>
          </w:pPr>
          <w:hyperlink w:anchor="_Toc183621252" w:history="1">
            <w:r w:rsidR="00C66994" w:rsidRPr="00641563">
              <w:rPr>
                <w:rStyle w:val="Hipervnculo"/>
                <w:noProof/>
              </w:rPr>
              <w:t>b) Turno de los Recursos de Revisión</w:t>
            </w:r>
            <w:r w:rsidR="00C66994">
              <w:rPr>
                <w:noProof/>
                <w:webHidden/>
              </w:rPr>
              <w:tab/>
            </w:r>
            <w:r w:rsidR="00C66994">
              <w:rPr>
                <w:noProof/>
                <w:webHidden/>
              </w:rPr>
              <w:fldChar w:fldCharType="begin"/>
            </w:r>
            <w:r w:rsidR="00C66994">
              <w:rPr>
                <w:noProof/>
                <w:webHidden/>
              </w:rPr>
              <w:instrText xml:space="preserve"> PAGEREF _Toc183621252 \h </w:instrText>
            </w:r>
            <w:r w:rsidR="00C66994">
              <w:rPr>
                <w:noProof/>
                <w:webHidden/>
              </w:rPr>
            </w:r>
            <w:r w:rsidR="00C66994">
              <w:rPr>
                <w:noProof/>
                <w:webHidden/>
              </w:rPr>
              <w:fldChar w:fldCharType="separate"/>
            </w:r>
            <w:r w:rsidR="00176A8F">
              <w:rPr>
                <w:noProof/>
                <w:webHidden/>
              </w:rPr>
              <w:t>5</w:t>
            </w:r>
            <w:r w:rsidR="00C66994">
              <w:rPr>
                <w:noProof/>
                <w:webHidden/>
              </w:rPr>
              <w:fldChar w:fldCharType="end"/>
            </w:r>
          </w:hyperlink>
        </w:p>
        <w:p w14:paraId="6E51E71B" w14:textId="77777777" w:rsidR="00C66994" w:rsidRDefault="009E0684">
          <w:pPr>
            <w:pStyle w:val="TDC3"/>
            <w:rPr>
              <w:rFonts w:asciiTheme="minorHAnsi" w:eastAsiaTheme="minorEastAsia" w:hAnsiTheme="minorHAnsi" w:cstheme="minorBidi"/>
              <w:noProof/>
              <w:szCs w:val="22"/>
              <w:lang w:eastAsia="es-MX"/>
            </w:rPr>
          </w:pPr>
          <w:hyperlink w:anchor="_Toc183621253" w:history="1">
            <w:r w:rsidR="00C66994" w:rsidRPr="00641563">
              <w:rPr>
                <w:rStyle w:val="Hipervnculo"/>
                <w:noProof/>
              </w:rPr>
              <w:t>c) Admisión de los Recursos de Revisión</w:t>
            </w:r>
            <w:r w:rsidR="00C66994">
              <w:rPr>
                <w:noProof/>
                <w:webHidden/>
              </w:rPr>
              <w:tab/>
            </w:r>
            <w:r w:rsidR="00C66994">
              <w:rPr>
                <w:noProof/>
                <w:webHidden/>
              </w:rPr>
              <w:fldChar w:fldCharType="begin"/>
            </w:r>
            <w:r w:rsidR="00C66994">
              <w:rPr>
                <w:noProof/>
                <w:webHidden/>
              </w:rPr>
              <w:instrText xml:space="preserve"> PAGEREF _Toc183621253 \h </w:instrText>
            </w:r>
            <w:r w:rsidR="00C66994">
              <w:rPr>
                <w:noProof/>
                <w:webHidden/>
              </w:rPr>
            </w:r>
            <w:r w:rsidR="00C66994">
              <w:rPr>
                <w:noProof/>
                <w:webHidden/>
              </w:rPr>
              <w:fldChar w:fldCharType="separate"/>
            </w:r>
            <w:r w:rsidR="00176A8F">
              <w:rPr>
                <w:noProof/>
                <w:webHidden/>
              </w:rPr>
              <w:t>5</w:t>
            </w:r>
            <w:r w:rsidR="00C66994">
              <w:rPr>
                <w:noProof/>
                <w:webHidden/>
              </w:rPr>
              <w:fldChar w:fldCharType="end"/>
            </w:r>
          </w:hyperlink>
        </w:p>
        <w:p w14:paraId="571BF583" w14:textId="77777777" w:rsidR="00C66994" w:rsidRDefault="009E0684">
          <w:pPr>
            <w:pStyle w:val="TDC3"/>
            <w:rPr>
              <w:rFonts w:asciiTheme="minorHAnsi" w:eastAsiaTheme="minorEastAsia" w:hAnsiTheme="minorHAnsi" w:cstheme="minorBidi"/>
              <w:noProof/>
              <w:szCs w:val="22"/>
              <w:lang w:eastAsia="es-MX"/>
            </w:rPr>
          </w:pPr>
          <w:hyperlink w:anchor="_Toc183621254" w:history="1">
            <w:r w:rsidR="00C66994" w:rsidRPr="00641563">
              <w:rPr>
                <w:rStyle w:val="Hipervnculo"/>
                <w:noProof/>
              </w:rPr>
              <w:t>d) Acumulación de los Recursos de Revisión</w:t>
            </w:r>
            <w:r w:rsidR="00C66994">
              <w:rPr>
                <w:noProof/>
                <w:webHidden/>
              </w:rPr>
              <w:tab/>
            </w:r>
            <w:r w:rsidR="00C66994">
              <w:rPr>
                <w:noProof/>
                <w:webHidden/>
              </w:rPr>
              <w:fldChar w:fldCharType="begin"/>
            </w:r>
            <w:r w:rsidR="00C66994">
              <w:rPr>
                <w:noProof/>
                <w:webHidden/>
              </w:rPr>
              <w:instrText xml:space="preserve"> PAGEREF _Toc183621254 \h </w:instrText>
            </w:r>
            <w:r w:rsidR="00C66994">
              <w:rPr>
                <w:noProof/>
                <w:webHidden/>
              </w:rPr>
            </w:r>
            <w:r w:rsidR="00C66994">
              <w:rPr>
                <w:noProof/>
                <w:webHidden/>
              </w:rPr>
              <w:fldChar w:fldCharType="separate"/>
            </w:r>
            <w:r w:rsidR="00176A8F">
              <w:rPr>
                <w:noProof/>
                <w:webHidden/>
              </w:rPr>
              <w:t>5</w:t>
            </w:r>
            <w:r w:rsidR="00C66994">
              <w:rPr>
                <w:noProof/>
                <w:webHidden/>
              </w:rPr>
              <w:fldChar w:fldCharType="end"/>
            </w:r>
          </w:hyperlink>
        </w:p>
        <w:p w14:paraId="66A6826C" w14:textId="77777777" w:rsidR="00C66994" w:rsidRDefault="009E0684">
          <w:pPr>
            <w:pStyle w:val="TDC3"/>
            <w:rPr>
              <w:rFonts w:asciiTheme="minorHAnsi" w:eastAsiaTheme="minorEastAsia" w:hAnsiTheme="minorHAnsi" w:cstheme="minorBidi"/>
              <w:noProof/>
              <w:szCs w:val="22"/>
              <w:lang w:eastAsia="es-MX"/>
            </w:rPr>
          </w:pPr>
          <w:hyperlink w:anchor="_Toc183621255" w:history="1">
            <w:r w:rsidR="00C66994" w:rsidRPr="00641563">
              <w:rPr>
                <w:rStyle w:val="Hipervnculo"/>
                <w:noProof/>
              </w:rPr>
              <w:t>e) Informe Justificado del Sujeto Obligado</w:t>
            </w:r>
            <w:r w:rsidR="00C66994">
              <w:rPr>
                <w:noProof/>
                <w:webHidden/>
              </w:rPr>
              <w:tab/>
            </w:r>
            <w:r w:rsidR="00C66994">
              <w:rPr>
                <w:noProof/>
                <w:webHidden/>
              </w:rPr>
              <w:fldChar w:fldCharType="begin"/>
            </w:r>
            <w:r w:rsidR="00C66994">
              <w:rPr>
                <w:noProof/>
                <w:webHidden/>
              </w:rPr>
              <w:instrText xml:space="preserve"> PAGEREF _Toc183621255 \h </w:instrText>
            </w:r>
            <w:r w:rsidR="00C66994">
              <w:rPr>
                <w:noProof/>
                <w:webHidden/>
              </w:rPr>
            </w:r>
            <w:r w:rsidR="00C66994">
              <w:rPr>
                <w:noProof/>
                <w:webHidden/>
              </w:rPr>
              <w:fldChar w:fldCharType="separate"/>
            </w:r>
            <w:r w:rsidR="00176A8F">
              <w:rPr>
                <w:noProof/>
                <w:webHidden/>
              </w:rPr>
              <w:t>6</w:t>
            </w:r>
            <w:r w:rsidR="00C66994">
              <w:rPr>
                <w:noProof/>
                <w:webHidden/>
              </w:rPr>
              <w:fldChar w:fldCharType="end"/>
            </w:r>
          </w:hyperlink>
        </w:p>
        <w:p w14:paraId="1CE64F4A" w14:textId="77777777" w:rsidR="00C66994" w:rsidRDefault="009E0684">
          <w:pPr>
            <w:pStyle w:val="TDC3"/>
            <w:rPr>
              <w:rFonts w:asciiTheme="minorHAnsi" w:eastAsiaTheme="minorEastAsia" w:hAnsiTheme="minorHAnsi" w:cstheme="minorBidi"/>
              <w:noProof/>
              <w:szCs w:val="22"/>
              <w:lang w:eastAsia="es-MX"/>
            </w:rPr>
          </w:pPr>
          <w:hyperlink w:anchor="_Toc183621256" w:history="1">
            <w:r w:rsidR="00C66994" w:rsidRPr="00641563">
              <w:rPr>
                <w:rStyle w:val="Hipervnculo"/>
                <w:rFonts w:eastAsia="Calibri"/>
                <w:bCs/>
                <w:noProof/>
                <w:lang w:eastAsia="en-US"/>
              </w:rPr>
              <w:t>f)</w:t>
            </w:r>
            <w:r w:rsidR="00C66994" w:rsidRPr="00641563">
              <w:rPr>
                <w:rStyle w:val="Hipervnculo"/>
                <w:noProof/>
              </w:rPr>
              <w:t xml:space="preserve"> </w:t>
            </w:r>
            <w:r w:rsidR="00C66994" w:rsidRPr="00641563">
              <w:rPr>
                <w:rStyle w:val="Hipervnculo"/>
                <w:noProof/>
                <w:lang w:val="es-ES"/>
              </w:rPr>
              <w:t>Manifestaciones de la Parte Recurrente</w:t>
            </w:r>
            <w:r w:rsidR="00C66994">
              <w:rPr>
                <w:noProof/>
                <w:webHidden/>
              </w:rPr>
              <w:tab/>
            </w:r>
            <w:r w:rsidR="00C66994">
              <w:rPr>
                <w:noProof/>
                <w:webHidden/>
              </w:rPr>
              <w:fldChar w:fldCharType="begin"/>
            </w:r>
            <w:r w:rsidR="00C66994">
              <w:rPr>
                <w:noProof/>
                <w:webHidden/>
              </w:rPr>
              <w:instrText xml:space="preserve"> PAGEREF _Toc183621256 \h </w:instrText>
            </w:r>
            <w:r w:rsidR="00C66994">
              <w:rPr>
                <w:noProof/>
                <w:webHidden/>
              </w:rPr>
            </w:r>
            <w:r w:rsidR="00C66994">
              <w:rPr>
                <w:noProof/>
                <w:webHidden/>
              </w:rPr>
              <w:fldChar w:fldCharType="separate"/>
            </w:r>
            <w:r w:rsidR="00176A8F">
              <w:rPr>
                <w:noProof/>
                <w:webHidden/>
              </w:rPr>
              <w:t>6</w:t>
            </w:r>
            <w:r w:rsidR="00C66994">
              <w:rPr>
                <w:noProof/>
                <w:webHidden/>
              </w:rPr>
              <w:fldChar w:fldCharType="end"/>
            </w:r>
          </w:hyperlink>
        </w:p>
        <w:p w14:paraId="4A7C8C7E" w14:textId="77777777" w:rsidR="00C66994" w:rsidRDefault="009E0684">
          <w:pPr>
            <w:pStyle w:val="TDC3"/>
            <w:rPr>
              <w:rFonts w:asciiTheme="minorHAnsi" w:eastAsiaTheme="minorEastAsia" w:hAnsiTheme="minorHAnsi" w:cstheme="minorBidi"/>
              <w:noProof/>
              <w:szCs w:val="22"/>
              <w:lang w:eastAsia="es-MX"/>
            </w:rPr>
          </w:pPr>
          <w:hyperlink w:anchor="_Toc183621257" w:history="1">
            <w:r w:rsidR="00C66994" w:rsidRPr="00641563">
              <w:rPr>
                <w:rStyle w:val="Hipervnculo"/>
                <w:noProof/>
              </w:rPr>
              <w:t>g) Cierre de instrucción</w:t>
            </w:r>
            <w:r w:rsidR="00C66994">
              <w:rPr>
                <w:noProof/>
                <w:webHidden/>
              </w:rPr>
              <w:tab/>
            </w:r>
            <w:r w:rsidR="00C66994">
              <w:rPr>
                <w:noProof/>
                <w:webHidden/>
              </w:rPr>
              <w:fldChar w:fldCharType="begin"/>
            </w:r>
            <w:r w:rsidR="00C66994">
              <w:rPr>
                <w:noProof/>
                <w:webHidden/>
              </w:rPr>
              <w:instrText xml:space="preserve"> PAGEREF _Toc183621257 \h </w:instrText>
            </w:r>
            <w:r w:rsidR="00C66994">
              <w:rPr>
                <w:noProof/>
                <w:webHidden/>
              </w:rPr>
            </w:r>
            <w:r w:rsidR="00C66994">
              <w:rPr>
                <w:noProof/>
                <w:webHidden/>
              </w:rPr>
              <w:fldChar w:fldCharType="separate"/>
            </w:r>
            <w:r w:rsidR="00176A8F">
              <w:rPr>
                <w:noProof/>
                <w:webHidden/>
              </w:rPr>
              <w:t>6</w:t>
            </w:r>
            <w:r w:rsidR="00C66994">
              <w:rPr>
                <w:noProof/>
                <w:webHidden/>
              </w:rPr>
              <w:fldChar w:fldCharType="end"/>
            </w:r>
          </w:hyperlink>
        </w:p>
        <w:p w14:paraId="2726A9F9" w14:textId="77777777" w:rsidR="00C66994" w:rsidRDefault="009E0684">
          <w:pPr>
            <w:pStyle w:val="TDC1"/>
            <w:tabs>
              <w:tab w:val="right" w:leader="dot" w:pos="9034"/>
            </w:tabs>
            <w:rPr>
              <w:rFonts w:asciiTheme="minorHAnsi" w:eastAsiaTheme="minorEastAsia" w:hAnsiTheme="minorHAnsi" w:cstheme="minorBidi"/>
              <w:noProof/>
              <w:szCs w:val="22"/>
              <w:lang w:eastAsia="es-MX"/>
            </w:rPr>
          </w:pPr>
          <w:hyperlink w:anchor="_Toc183621258" w:history="1">
            <w:r w:rsidR="00C66994" w:rsidRPr="00641563">
              <w:rPr>
                <w:rStyle w:val="Hipervnculo"/>
                <w:rFonts w:eastAsiaTheme="minorHAnsi"/>
                <w:noProof/>
                <w:lang w:eastAsia="en-US"/>
              </w:rPr>
              <w:t>CONSIDERANDOS</w:t>
            </w:r>
            <w:r w:rsidR="00C66994">
              <w:rPr>
                <w:noProof/>
                <w:webHidden/>
              </w:rPr>
              <w:tab/>
            </w:r>
            <w:r w:rsidR="00C66994">
              <w:rPr>
                <w:noProof/>
                <w:webHidden/>
              </w:rPr>
              <w:fldChar w:fldCharType="begin"/>
            </w:r>
            <w:r w:rsidR="00C66994">
              <w:rPr>
                <w:noProof/>
                <w:webHidden/>
              </w:rPr>
              <w:instrText xml:space="preserve"> PAGEREF _Toc183621258 \h </w:instrText>
            </w:r>
            <w:r w:rsidR="00C66994">
              <w:rPr>
                <w:noProof/>
                <w:webHidden/>
              </w:rPr>
            </w:r>
            <w:r w:rsidR="00C66994">
              <w:rPr>
                <w:noProof/>
                <w:webHidden/>
              </w:rPr>
              <w:fldChar w:fldCharType="separate"/>
            </w:r>
            <w:r w:rsidR="00176A8F">
              <w:rPr>
                <w:noProof/>
                <w:webHidden/>
              </w:rPr>
              <w:t>7</w:t>
            </w:r>
            <w:r w:rsidR="00C66994">
              <w:rPr>
                <w:noProof/>
                <w:webHidden/>
              </w:rPr>
              <w:fldChar w:fldCharType="end"/>
            </w:r>
          </w:hyperlink>
        </w:p>
        <w:p w14:paraId="11537406" w14:textId="77777777" w:rsidR="00C66994" w:rsidRDefault="009E0684">
          <w:pPr>
            <w:pStyle w:val="TDC2"/>
            <w:rPr>
              <w:rFonts w:asciiTheme="minorHAnsi" w:eastAsiaTheme="minorEastAsia" w:hAnsiTheme="minorHAnsi" w:cstheme="minorBidi"/>
              <w:noProof/>
              <w:szCs w:val="22"/>
              <w:lang w:eastAsia="es-MX"/>
            </w:rPr>
          </w:pPr>
          <w:hyperlink w:anchor="_Toc183621259" w:history="1">
            <w:r w:rsidR="00C66994" w:rsidRPr="00641563">
              <w:rPr>
                <w:rStyle w:val="Hipervnculo"/>
                <w:rFonts w:eastAsia="Batang"/>
                <w:noProof/>
              </w:rPr>
              <w:t>PRIMERO. Procedibilidad</w:t>
            </w:r>
            <w:r w:rsidR="00C66994">
              <w:rPr>
                <w:noProof/>
                <w:webHidden/>
              </w:rPr>
              <w:tab/>
            </w:r>
            <w:r w:rsidR="00C66994">
              <w:rPr>
                <w:noProof/>
                <w:webHidden/>
              </w:rPr>
              <w:fldChar w:fldCharType="begin"/>
            </w:r>
            <w:r w:rsidR="00C66994">
              <w:rPr>
                <w:noProof/>
                <w:webHidden/>
              </w:rPr>
              <w:instrText xml:space="preserve"> PAGEREF _Toc183621259 \h </w:instrText>
            </w:r>
            <w:r w:rsidR="00C66994">
              <w:rPr>
                <w:noProof/>
                <w:webHidden/>
              </w:rPr>
            </w:r>
            <w:r w:rsidR="00C66994">
              <w:rPr>
                <w:noProof/>
                <w:webHidden/>
              </w:rPr>
              <w:fldChar w:fldCharType="separate"/>
            </w:r>
            <w:r w:rsidR="00176A8F">
              <w:rPr>
                <w:noProof/>
                <w:webHidden/>
              </w:rPr>
              <w:t>7</w:t>
            </w:r>
            <w:r w:rsidR="00C66994">
              <w:rPr>
                <w:noProof/>
                <w:webHidden/>
              </w:rPr>
              <w:fldChar w:fldCharType="end"/>
            </w:r>
          </w:hyperlink>
        </w:p>
        <w:p w14:paraId="4996D75B" w14:textId="77777777" w:rsidR="00C66994" w:rsidRDefault="009E0684">
          <w:pPr>
            <w:pStyle w:val="TDC3"/>
            <w:rPr>
              <w:rFonts w:asciiTheme="minorHAnsi" w:eastAsiaTheme="minorEastAsia" w:hAnsiTheme="minorHAnsi" w:cstheme="minorBidi"/>
              <w:noProof/>
              <w:szCs w:val="22"/>
              <w:lang w:eastAsia="es-MX"/>
            </w:rPr>
          </w:pPr>
          <w:hyperlink w:anchor="_Toc183621260" w:history="1">
            <w:r w:rsidR="00C66994" w:rsidRPr="00641563">
              <w:rPr>
                <w:rStyle w:val="Hipervnculo"/>
                <w:noProof/>
              </w:rPr>
              <w:t>a) Competencia del Instituto</w:t>
            </w:r>
            <w:r w:rsidR="00C66994">
              <w:rPr>
                <w:noProof/>
                <w:webHidden/>
              </w:rPr>
              <w:tab/>
            </w:r>
            <w:r w:rsidR="00C66994">
              <w:rPr>
                <w:noProof/>
                <w:webHidden/>
              </w:rPr>
              <w:fldChar w:fldCharType="begin"/>
            </w:r>
            <w:r w:rsidR="00C66994">
              <w:rPr>
                <w:noProof/>
                <w:webHidden/>
              </w:rPr>
              <w:instrText xml:space="preserve"> PAGEREF _Toc183621260 \h </w:instrText>
            </w:r>
            <w:r w:rsidR="00C66994">
              <w:rPr>
                <w:noProof/>
                <w:webHidden/>
              </w:rPr>
            </w:r>
            <w:r w:rsidR="00C66994">
              <w:rPr>
                <w:noProof/>
                <w:webHidden/>
              </w:rPr>
              <w:fldChar w:fldCharType="separate"/>
            </w:r>
            <w:r w:rsidR="00176A8F">
              <w:rPr>
                <w:noProof/>
                <w:webHidden/>
              </w:rPr>
              <w:t>7</w:t>
            </w:r>
            <w:r w:rsidR="00C66994">
              <w:rPr>
                <w:noProof/>
                <w:webHidden/>
              </w:rPr>
              <w:fldChar w:fldCharType="end"/>
            </w:r>
          </w:hyperlink>
        </w:p>
        <w:p w14:paraId="3AD09B58" w14:textId="77777777" w:rsidR="00C66994" w:rsidRDefault="009E0684">
          <w:pPr>
            <w:pStyle w:val="TDC3"/>
            <w:rPr>
              <w:rFonts w:asciiTheme="minorHAnsi" w:eastAsiaTheme="minorEastAsia" w:hAnsiTheme="minorHAnsi" w:cstheme="minorBidi"/>
              <w:noProof/>
              <w:szCs w:val="22"/>
              <w:lang w:eastAsia="es-MX"/>
            </w:rPr>
          </w:pPr>
          <w:hyperlink w:anchor="_Toc183621261" w:history="1">
            <w:r w:rsidR="00C66994" w:rsidRPr="00641563">
              <w:rPr>
                <w:rStyle w:val="Hipervnculo"/>
                <w:noProof/>
              </w:rPr>
              <w:t>b) Legitimidad de la parte recurrente</w:t>
            </w:r>
            <w:r w:rsidR="00C66994">
              <w:rPr>
                <w:noProof/>
                <w:webHidden/>
              </w:rPr>
              <w:tab/>
            </w:r>
            <w:r w:rsidR="00C66994">
              <w:rPr>
                <w:noProof/>
                <w:webHidden/>
              </w:rPr>
              <w:fldChar w:fldCharType="begin"/>
            </w:r>
            <w:r w:rsidR="00C66994">
              <w:rPr>
                <w:noProof/>
                <w:webHidden/>
              </w:rPr>
              <w:instrText xml:space="preserve"> PAGEREF _Toc183621261 \h </w:instrText>
            </w:r>
            <w:r w:rsidR="00C66994">
              <w:rPr>
                <w:noProof/>
                <w:webHidden/>
              </w:rPr>
            </w:r>
            <w:r w:rsidR="00C66994">
              <w:rPr>
                <w:noProof/>
                <w:webHidden/>
              </w:rPr>
              <w:fldChar w:fldCharType="separate"/>
            </w:r>
            <w:r w:rsidR="00176A8F">
              <w:rPr>
                <w:noProof/>
                <w:webHidden/>
              </w:rPr>
              <w:t>7</w:t>
            </w:r>
            <w:r w:rsidR="00C66994">
              <w:rPr>
                <w:noProof/>
                <w:webHidden/>
              </w:rPr>
              <w:fldChar w:fldCharType="end"/>
            </w:r>
          </w:hyperlink>
        </w:p>
        <w:p w14:paraId="6FE45E46" w14:textId="77777777" w:rsidR="00C66994" w:rsidRDefault="009E0684">
          <w:pPr>
            <w:pStyle w:val="TDC3"/>
            <w:rPr>
              <w:rFonts w:asciiTheme="minorHAnsi" w:eastAsiaTheme="minorEastAsia" w:hAnsiTheme="minorHAnsi" w:cstheme="minorBidi"/>
              <w:noProof/>
              <w:szCs w:val="22"/>
              <w:lang w:eastAsia="es-MX"/>
            </w:rPr>
          </w:pPr>
          <w:hyperlink w:anchor="_Toc183621262" w:history="1">
            <w:r w:rsidR="00C66994" w:rsidRPr="00641563">
              <w:rPr>
                <w:rStyle w:val="Hipervnculo"/>
                <w:rFonts w:eastAsia="Calibri"/>
                <w:noProof/>
                <w:lang w:eastAsia="es-ES_tradnl"/>
              </w:rPr>
              <w:t>c) Plazo para interponer el recurso</w:t>
            </w:r>
            <w:r w:rsidR="00C66994">
              <w:rPr>
                <w:noProof/>
                <w:webHidden/>
              </w:rPr>
              <w:tab/>
            </w:r>
            <w:r w:rsidR="00C66994">
              <w:rPr>
                <w:noProof/>
                <w:webHidden/>
              </w:rPr>
              <w:fldChar w:fldCharType="begin"/>
            </w:r>
            <w:r w:rsidR="00C66994">
              <w:rPr>
                <w:noProof/>
                <w:webHidden/>
              </w:rPr>
              <w:instrText xml:space="preserve"> PAGEREF _Toc183621262 \h </w:instrText>
            </w:r>
            <w:r w:rsidR="00C66994">
              <w:rPr>
                <w:noProof/>
                <w:webHidden/>
              </w:rPr>
            </w:r>
            <w:r w:rsidR="00C66994">
              <w:rPr>
                <w:noProof/>
                <w:webHidden/>
              </w:rPr>
              <w:fldChar w:fldCharType="separate"/>
            </w:r>
            <w:r w:rsidR="00176A8F">
              <w:rPr>
                <w:noProof/>
                <w:webHidden/>
              </w:rPr>
              <w:t>8</w:t>
            </w:r>
            <w:r w:rsidR="00C66994">
              <w:rPr>
                <w:noProof/>
                <w:webHidden/>
              </w:rPr>
              <w:fldChar w:fldCharType="end"/>
            </w:r>
          </w:hyperlink>
        </w:p>
        <w:p w14:paraId="2701A56F" w14:textId="77777777" w:rsidR="00C66994" w:rsidRDefault="009E0684">
          <w:pPr>
            <w:pStyle w:val="TDC3"/>
            <w:rPr>
              <w:rFonts w:asciiTheme="minorHAnsi" w:eastAsiaTheme="minorEastAsia" w:hAnsiTheme="minorHAnsi" w:cstheme="minorBidi"/>
              <w:noProof/>
              <w:szCs w:val="22"/>
              <w:lang w:eastAsia="es-MX"/>
            </w:rPr>
          </w:pPr>
          <w:hyperlink w:anchor="_Toc183621263" w:history="1">
            <w:r w:rsidR="00C66994" w:rsidRPr="00641563">
              <w:rPr>
                <w:rStyle w:val="Hipervnculo"/>
                <w:rFonts w:eastAsia="Calibri"/>
                <w:noProof/>
                <w:lang w:eastAsia="es-ES_tradnl"/>
              </w:rPr>
              <w:t>d) Causal de procedencia</w:t>
            </w:r>
            <w:r w:rsidR="00C66994">
              <w:rPr>
                <w:noProof/>
                <w:webHidden/>
              </w:rPr>
              <w:tab/>
            </w:r>
            <w:r w:rsidR="00C66994">
              <w:rPr>
                <w:noProof/>
                <w:webHidden/>
              </w:rPr>
              <w:fldChar w:fldCharType="begin"/>
            </w:r>
            <w:r w:rsidR="00C66994">
              <w:rPr>
                <w:noProof/>
                <w:webHidden/>
              </w:rPr>
              <w:instrText xml:space="preserve"> PAGEREF _Toc183621263 \h </w:instrText>
            </w:r>
            <w:r w:rsidR="00C66994">
              <w:rPr>
                <w:noProof/>
                <w:webHidden/>
              </w:rPr>
            </w:r>
            <w:r w:rsidR="00C66994">
              <w:rPr>
                <w:noProof/>
                <w:webHidden/>
              </w:rPr>
              <w:fldChar w:fldCharType="separate"/>
            </w:r>
            <w:r w:rsidR="00176A8F">
              <w:rPr>
                <w:noProof/>
                <w:webHidden/>
              </w:rPr>
              <w:t>8</w:t>
            </w:r>
            <w:r w:rsidR="00C66994">
              <w:rPr>
                <w:noProof/>
                <w:webHidden/>
              </w:rPr>
              <w:fldChar w:fldCharType="end"/>
            </w:r>
          </w:hyperlink>
        </w:p>
        <w:p w14:paraId="05344C80" w14:textId="77777777" w:rsidR="00C66994" w:rsidRDefault="009E0684">
          <w:pPr>
            <w:pStyle w:val="TDC3"/>
            <w:rPr>
              <w:rFonts w:asciiTheme="minorHAnsi" w:eastAsiaTheme="minorEastAsia" w:hAnsiTheme="minorHAnsi" w:cstheme="minorBidi"/>
              <w:noProof/>
              <w:szCs w:val="22"/>
              <w:lang w:eastAsia="es-MX"/>
            </w:rPr>
          </w:pPr>
          <w:hyperlink w:anchor="_Toc183621264" w:history="1">
            <w:r w:rsidR="00C66994" w:rsidRPr="00641563">
              <w:rPr>
                <w:rStyle w:val="Hipervnculo"/>
                <w:noProof/>
              </w:rPr>
              <w:t>e) Requisitos formales para la interposición del recurso</w:t>
            </w:r>
            <w:r w:rsidR="00C66994">
              <w:rPr>
                <w:noProof/>
                <w:webHidden/>
              </w:rPr>
              <w:tab/>
            </w:r>
            <w:r w:rsidR="00C66994">
              <w:rPr>
                <w:noProof/>
                <w:webHidden/>
              </w:rPr>
              <w:fldChar w:fldCharType="begin"/>
            </w:r>
            <w:r w:rsidR="00C66994">
              <w:rPr>
                <w:noProof/>
                <w:webHidden/>
              </w:rPr>
              <w:instrText xml:space="preserve"> PAGEREF _Toc183621264 \h </w:instrText>
            </w:r>
            <w:r w:rsidR="00C66994">
              <w:rPr>
                <w:noProof/>
                <w:webHidden/>
              </w:rPr>
            </w:r>
            <w:r w:rsidR="00C66994">
              <w:rPr>
                <w:noProof/>
                <w:webHidden/>
              </w:rPr>
              <w:fldChar w:fldCharType="separate"/>
            </w:r>
            <w:r w:rsidR="00176A8F">
              <w:rPr>
                <w:noProof/>
                <w:webHidden/>
              </w:rPr>
              <w:t>8</w:t>
            </w:r>
            <w:r w:rsidR="00C66994">
              <w:rPr>
                <w:noProof/>
                <w:webHidden/>
              </w:rPr>
              <w:fldChar w:fldCharType="end"/>
            </w:r>
          </w:hyperlink>
        </w:p>
        <w:p w14:paraId="42676E51" w14:textId="77777777" w:rsidR="00C66994" w:rsidRDefault="009E0684">
          <w:pPr>
            <w:pStyle w:val="TDC3"/>
            <w:rPr>
              <w:rFonts w:asciiTheme="minorHAnsi" w:eastAsiaTheme="minorEastAsia" w:hAnsiTheme="minorHAnsi" w:cstheme="minorBidi"/>
              <w:noProof/>
              <w:szCs w:val="22"/>
              <w:lang w:eastAsia="es-MX"/>
            </w:rPr>
          </w:pPr>
          <w:hyperlink w:anchor="_Toc183621265" w:history="1">
            <w:r w:rsidR="00C66994" w:rsidRPr="00641563">
              <w:rPr>
                <w:rStyle w:val="Hipervnculo"/>
                <w:noProof/>
              </w:rPr>
              <w:t>f) Acumulación de los Recursos de Revisión</w:t>
            </w:r>
            <w:r w:rsidR="00C66994">
              <w:rPr>
                <w:noProof/>
                <w:webHidden/>
              </w:rPr>
              <w:tab/>
            </w:r>
            <w:r w:rsidR="00C66994">
              <w:rPr>
                <w:noProof/>
                <w:webHidden/>
              </w:rPr>
              <w:fldChar w:fldCharType="begin"/>
            </w:r>
            <w:r w:rsidR="00C66994">
              <w:rPr>
                <w:noProof/>
                <w:webHidden/>
              </w:rPr>
              <w:instrText xml:space="preserve"> PAGEREF _Toc183621265 \h </w:instrText>
            </w:r>
            <w:r w:rsidR="00C66994">
              <w:rPr>
                <w:noProof/>
                <w:webHidden/>
              </w:rPr>
            </w:r>
            <w:r w:rsidR="00C66994">
              <w:rPr>
                <w:noProof/>
                <w:webHidden/>
              </w:rPr>
              <w:fldChar w:fldCharType="separate"/>
            </w:r>
            <w:r w:rsidR="00176A8F">
              <w:rPr>
                <w:noProof/>
                <w:webHidden/>
              </w:rPr>
              <w:t>9</w:t>
            </w:r>
            <w:r w:rsidR="00C66994">
              <w:rPr>
                <w:noProof/>
                <w:webHidden/>
              </w:rPr>
              <w:fldChar w:fldCharType="end"/>
            </w:r>
          </w:hyperlink>
        </w:p>
        <w:p w14:paraId="14FFEC86" w14:textId="77777777" w:rsidR="00C66994" w:rsidRDefault="009E0684">
          <w:pPr>
            <w:pStyle w:val="TDC2"/>
            <w:rPr>
              <w:rFonts w:asciiTheme="minorHAnsi" w:eastAsiaTheme="minorEastAsia" w:hAnsiTheme="minorHAnsi" w:cstheme="minorBidi"/>
              <w:noProof/>
              <w:szCs w:val="22"/>
              <w:lang w:eastAsia="es-MX"/>
            </w:rPr>
          </w:pPr>
          <w:hyperlink w:anchor="_Toc183621266" w:history="1">
            <w:r w:rsidR="00C66994" w:rsidRPr="00641563">
              <w:rPr>
                <w:rStyle w:val="Hipervnculo"/>
                <w:noProof/>
              </w:rPr>
              <w:t>SEGUNDO. Estudio de Fondo</w:t>
            </w:r>
            <w:r w:rsidR="00C66994">
              <w:rPr>
                <w:noProof/>
                <w:webHidden/>
              </w:rPr>
              <w:tab/>
            </w:r>
            <w:r w:rsidR="00C66994">
              <w:rPr>
                <w:noProof/>
                <w:webHidden/>
              </w:rPr>
              <w:fldChar w:fldCharType="begin"/>
            </w:r>
            <w:r w:rsidR="00C66994">
              <w:rPr>
                <w:noProof/>
                <w:webHidden/>
              </w:rPr>
              <w:instrText xml:space="preserve"> PAGEREF _Toc183621266 \h </w:instrText>
            </w:r>
            <w:r w:rsidR="00C66994">
              <w:rPr>
                <w:noProof/>
                <w:webHidden/>
              </w:rPr>
            </w:r>
            <w:r w:rsidR="00C66994">
              <w:rPr>
                <w:noProof/>
                <w:webHidden/>
              </w:rPr>
              <w:fldChar w:fldCharType="separate"/>
            </w:r>
            <w:r w:rsidR="00176A8F">
              <w:rPr>
                <w:noProof/>
                <w:webHidden/>
              </w:rPr>
              <w:t>10</w:t>
            </w:r>
            <w:r w:rsidR="00C66994">
              <w:rPr>
                <w:noProof/>
                <w:webHidden/>
              </w:rPr>
              <w:fldChar w:fldCharType="end"/>
            </w:r>
          </w:hyperlink>
        </w:p>
        <w:p w14:paraId="39219504" w14:textId="77777777" w:rsidR="00C66994" w:rsidRDefault="009E0684">
          <w:pPr>
            <w:pStyle w:val="TDC3"/>
            <w:rPr>
              <w:rFonts w:asciiTheme="minorHAnsi" w:eastAsiaTheme="minorEastAsia" w:hAnsiTheme="minorHAnsi" w:cstheme="minorBidi"/>
              <w:noProof/>
              <w:szCs w:val="22"/>
              <w:lang w:eastAsia="es-MX"/>
            </w:rPr>
          </w:pPr>
          <w:hyperlink w:anchor="_Toc183621267" w:history="1">
            <w:r w:rsidR="00C66994" w:rsidRPr="00641563">
              <w:rPr>
                <w:rStyle w:val="Hipervnculo"/>
                <w:noProof/>
              </w:rPr>
              <w:t>a) Mandato de transparencia y responsabilidad del Sujeto Obligado</w:t>
            </w:r>
            <w:r w:rsidR="00C66994">
              <w:rPr>
                <w:noProof/>
                <w:webHidden/>
              </w:rPr>
              <w:tab/>
            </w:r>
            <w:r w:rsidR="00C66994">
              <w:rPr>
                <w:noProof/>
                <w:webHidden/>
              </w:rPr>
              <w:fldChar w:fldCharType="begin"/>
            </w:r>
            <w:r w:rsidR="00C66994">
              <w:rPr>
                <w:noProof/>
                <w:webHidden/>
              </w:rPr>
              <w:instrText xml:space="preserve"> PAGEREF _Toc183621267 \h </w:instrText>
            </w:r>
            <w:r w:rsidR="00C66994">
              <w:rPr>
                <w:noProof/>
                <w:webHidden/>
              </w:rPr>
            </w:r>
            <w:r w:rsidR="00C66994">
              <w:rPr>
                <w:noProof/>
                <w:webHidden/>
              </w:rPr>
              <w:fldChar w:fldCharType="separate"/>
            </w:r>
            <w:r w:rsidR="00176A8F">
              <w:rPr>
                <w:noProof/>
                <w:webHidden/>
              </w:rPr>
              <w:t>10</w:t>
            </w:r>
            <w:r w:rsidR="00C66994">
              <w:rPr>
                <w:noProof/>
                <w:webHidden/>
              </w:rPr>
              <w:fldChar w:fldCharType="end"/>
            </w:r>
          </w:hyperlink>
        </w:p>
        <w:p w14:paraId="585E871B" w14:textId="77777777" w:rsidR="00C66994" w:rsidRDefault="009E0684">
          <w:pPr>
            <w:pStyle w:val="TDC3"/>
            <w:rPr>
              <w:rFonts w:asciiTheme="minorHAnsi" w:eastAsiaTheme="minorEastAsia" w:hAnsiTheme="minorHAnsi" w:cstheme="minorBidi"/>
              <w:noProof/>
              <w:szCs w:val="22"/>
              <w:lang w:eastAsia="es-MX"/>
            </w:rPr>
          </w:pPr>
          <w:hyperlink w:anchor="_Toc183621268" w:history="1">
            <w:r w:rsidR="00C66994" w:rsidRPr="00641563">
              <w:rPr>
                <w:rStyle w:val="Hipervnculo"/>
                <w:rFonts w:eastAsia="Calibri"/>
                <w:noProof/>
                <w:lang w:eastAsia="es-ES_tradnl"/>
              </w:rPr>
              <w:t>b) Controversia a resolver</w:t>
            </w:r>
            <w:r w:rsidR="00C66994">
              <w:rPr>
                <w:noProof/>
                <w:webHidden/>
              </w:rPr>
              <w:tab/>
            </w:r>
            <w:r w:rsidR="00C66994">
              <w:rPr>
                <w:noProof/>
                <w:webHidden/>
              </w:rPr>
              <w:fldChar w:fldCharType="begin"/>
            </w:r>
            <w:r w:rsidR="00C66994">
              <w:rPr>
                <w:noProof/>
                <w:webHidden/>
              </w:rPr>
              <w:instrText xml:space="preserve"> PAGEREF _Toc183621268 \h </w:instrText>
            </w:r>
            <w:r w:rsidR="00C66994">
              <w:rPr>
                <w:noProof/>
                <w:webHidden/>
              </w:rPr>
            </w:r>
            <w:r w:rsidR="00C66994">
              <w:rPr>
                <w:noProof/>
                <w:webHidden/>
              </w:rPr>
              <w:fldChar w:fldCharType="separate"/>
            </w:r>
            <w:r w:rsidR="00176A8F">
              <w:rPr>
                <w:noProof/>
                <w:webHidden/>
              </w:rPr>
              <w:t>13</w:t>
            </w:r>
            <w:r w:rsidR="00C66994">
              <w:rPr>
                <w:noProof/>
                <w:webHidden/>
              </w:rPr>
              <w:fldChar w:fldCharType="end"/>
            </w:r>
          </w:hyperlink>
        </w:p>
        <w:p w14:paraId="3D71E9AE" w14:textId="77777777" w:rsidR="00C66994" w:rsidRDefault="009E0684">
          <w:pPr>
            <w:pStyle w:val="TDC3"/>
            <w:rPr>
              <w:rFonts w:asciiTheme="minorHAnsi" w:eastAsiaTheme="minorEastAsia" w:hAnsiTheme="minorHAnsi" w:cstheme="minorBidi"/>
              <w:noProof/>
              <w:szCs w:val="22"/>
              <w:lang w:eastAsia="es-MX"/>
            </w:rPr>
          </w:pPr>
          <w:hyperlink w:anchor="_Toc183621269" w:history="1">
            <w:r w:rsidR="00C66994" w:rsidRPr="00641563">
              <w:rPr>
                <w:rStyle w:val="Hipervnculo"/>
                <w:noProof/>
              </w:rPr>
              <w:t>c) Estudio de la controversia</w:t>
            </w:r>
            <w:r w:rsidR="00C66994">
              <w:rPr>
                <w:noProof/>
                <w:webHidden/>
              </w:rPr>
              <w:tab/>
            </w:r>
            <w:r w:rsidR="00C66994">
              <w:rPr>
                <w:noProof/>
                <w:webHidden/>
              </w:rPr>
              <w:fldChar w:fldCharType="begin"/>
            </w:r>
            <w:r w:rsidR="00C66994">
              <w:rPr>
                <w:noProof/>
                <w:webHidden/>
              </w:rPr>
              <w:instrText xml:space="preserve"> PAGEREF _Toc183621269 \h </w:instrText>
            </w:r>
            <w:r w:rsidR="00C66994">
              <w:rPr>
                <w:noProof/>
                <w:webHidden/>
              </w:rPr>
            </w:r>
            <w:r w:rsidR="00C66994">
              <w:rPr>
                <w:noProof/>
                <w:webHidden/>
              </w:rPr>
              <w:fldChar w:fldCharType="separate"/>
            </w:r>
            <w:r w:rsidR="00176A8F">
              <w:rPr>
                <w:noProof/>
                <w:webHidden/>
              </w:rPr>
              <w:t>13</w:t>
            </w:r>
            <w:r w:rsidR="00C66994">
              <w:rPr>
                <w:noProof/>
                <w:webHidden/>
              </w:rPr>
              <w:fldChar w:fldCharType="end"/>
            </w:r>
          </w:hyperlink>
        </w:p>
        <w:p w14:paraId="561E8E01" w14:textId="77777777" w:rsidR="00C66994" w:rsidRDefault="009E0684">
          <w:pPr>
            <w:pStyle w:val="TDC3"/>
            <w:rPr>
              <w:rFonts w:asciiTheme="minorHAnsi" w:eastAsiaTheme="minorEastAsia" w:hAnsiTheme="minorHAnsi" w:cstheme="minorBidi"/>
              <w:noProof/>
              <w:szCs w:val="22"/>
              <w:lang w:eastAsia="es-MX"/>
            </w:rPr>
          </w:pPr>
          <w:hyperlink w:anchor="_Toc183621270" w:history="1">
            <w:r w:rsidR="00C66994" w:rsidRPr="00641563">
              <w:rPr>
                <w:rStyle w:val="Hipervnculo"/>
                <w:noProof/>
              </w:rPr>
              <w:t>d) Versión pública</w:t>
            </w:r>
            <w:r w:rsidR="00C66994">
              <w:rPr>
                <w:noProof/>
                <w:webHidden/>
              </w:rPr>
              <w:tab/>
            </w:r>
            <w:r w:rsidR="00C66994">
              <w:rPr>
                <w:noProof/>
                <w:webHidden/>
              </w:rPr>
              <w:fldChar w:fldCharType="begin"/>
            </w:r>
            <w:r w:rsidR="00C66994">
              <w:rPr>
                <w:noProof/>
                <w:webHidden/>
              </w:rPr>
              <w:instrText xml:space="preserve"> PAGEREF _Toc183621270 \h </w:instrText>
            </w:r>
            <w:r w:rsidR="00C66994">
              <w:rPr>
                <w:noProof/>
                <w:webHidden/>
              </w:rPr>
            </w:r>
            <w:r w:rsidR="00C66994">
              <w:rPr>
                <w:noProof/>
                <w:webHidden/>
              </w:rPr>
              <w:fldChar w:fldCharType="separate"/>
            </w:r>
            <w:r w:rsidR="00176A8F">
              <w:rPr>
                <w:noProof/>
                <w:webHidden/>
              </w:rPr>
              <w:t>26</w:t>
            </w:r>
            <w:r w:rsidR="00C66994">
              <w:rPr>
                <w:noProof/>
                <w:webHidden/>
              </w:rPr>
              <w:fldChar w:fldCharType="end"/>
            </w:r>
          </w:hyperlink>
        </w:p>
        <w:p w14:paraId="6D3A9560" w14:textId="77777777" w:rsidR="00C66994" w:rsidRDefault="009E0684">
          <w:pPr>
            <w:pStyle w:val="TDC3"/>
            <w:rPr>
              <w:rFonts w:asciiTheme="minorHAnsi" w:eastAsiaTheme="minorEastAsia" w:hAnsiTheme="minorHAnsi" w:cstheme="minorBidi"/>
              <w:noProof/>
              <w:szCs w:val="22"/>
              <w:lang w:eastAsia="es-MX"/>
            </w:rPr>
          </w:pPr>
          <w:hyperlink w:anchor="_Toc183621271" w:history="1">
            <w:r w:rsidR="00C66994" w:rsidRPr="00641563">
              <w:rPr>
                <w:rStyle w:val="Hipervnculo"/>
                <w:noProof/>
              </w:rPr>
              <w:t>e) Conclusión</w:t>
            </w:r>
            <w:r w:rsidR="00C66994">
              <w:rPr>
                <w:noProof/>
                <w:webHidden/>
              </w:rPr>
              <w:tab/>
            </w:r>
            <w:r w:rsidR="00C66994">
              <w:rPr>
                <w:noProof/>
                <w:webHidden/>
              </w:rPr>
              <w:fldChar w:fldCharType="begin"/>
            </w:r>
            <w:r w:rsidR="00C66994">
              <w:rPr>
                <w:noProof/>
                <w:webHidden/>
              </w:rPr>
              <w:instrText xml:space="preserve"> PAGEREF _Toc183621271 \h </w:instrText>
            </w:r>
            <w:r w:rsidR="00C66994">
              <w:rPr>
                <w:noProof/>
                <w:webHidden/>
              </w:rPr>
            </w:r>
            <w:r w:rsidR="00C66994">
              <w:rPr>
                <w:noProof/>
                <w:webHidden/>
              </w:rPr>
              <w:fldChar w:fldCharType="separate"/>
            </w:r>
            <w:r w:rsidR="00176A8F">
              <w:rPr>
                <w:noProof/>
                <w:webHidden/>
              </w:rPr>
              <w:t>37</w:t>
            </w:r>
            <w:r w:rsidR="00C66994">
              <w:rPr>
                <w:noProof/>
                <w:webHidden/>
              </w:rPr>
              <w:fldChar w:fldCharType="end"/>
            </w:r>
          </w:hyperlink>
        </w:p>
        <w:p w14:paraId="7B817BFB" w14:textId="77777777" w:rsidR="00C66994" w:rsidRDefault="009E0684">
          <w:pPr>
            <w:pStyle w:val="TDC1"/>
            <w:tabs>
              <w:tab w:val="right" w:leader="dot" w:pos="9034"/>
            </w:tabs>
            <w:rPr>
              <w:rFonts w:asciiTheme="minorHAnsi" w:eastAsiaTheme="minorEastAsia" w:hAnsiTheme="minorHAnsi" w:cstheme="minorBidi"/>
              <w:noProof/>
              <w:szCs w:val="22"/>
              <w:lang w:eastAsia="es-MX"/>
            </w:rPr>
          </w:pPr>
          <w:hyperlink w:anchor="_Toc183621272" w:history="1">
            <w:r w:rsidR="00C66994" w:rsidRPr="00641563">
              <w:rPr>
                <w:rStyle w:val="Hipervnculo"/>
                <w:noProof/>
              </w:rPr>
              <w:t>RESUELVE</w:t>
            </w:r>
            <w:r w:rsidR="00C66994">
              <w:rPr>
                <w:noProof/>
                <w:webHidden/>
              </w:rPr>
              <w:tab/>
            </w:r>
            <w:r w:rsidR="00C66994">
              <w:rPr>
                <w:noProof/>
                <w:webHidden/>
              </w:rPr>
              <w:fldChar w:fldCharType="begin"/>
            </w:r>
            <w:r w:rsidR="00C66994">
              <w:rPr>
                <w:noProof/>
                <w:webHidden/>
              </w:rPr>
              <w:instrText xml:space="preserve"> PAGEREF _Toc183621272 \h </w:instrText>
            </w:r>
            <w:r w:rsidR="00C66994">
              <w:rPr>
                <w:noProof/>
                <w:webHidden/>
              </w:rPr>
            </w:r>
            <w:r w:rsidR="00C66994">
              <w:rPr>
                <w:noProof/>
                <w:webHidden/>
              </w:rPr>
              <w:fldChar w:fldCharType="separate"/>
            </w:r>
            <w:r w:rsidR="00176A8F">
              <w:rPr>
                <w:noProof/>
                <w:webHidden/>
              </w:rPr>
              <w:t>37</w:t>
            </w:r>
            <w:r w:rsidR="00C66994">
              <w:rPr>
                <w:noProof/>
                <w:webHidden/>
              </w:rPr>
              <w:fldChar w:fldCharType="end"/>
            </w:r>
          </w:hyperlink>
        </w:p>
        <w:p w14:paraId="0C82FD7A" w14:textId="56536608" w:rsidR="009B2945" w:rsidRPr="00C66994" w:rsidRDefault="00AE3DA7" w:rsidP="00C66994">
          <w:pPr>
            <w:spacing w:line="240" w:lineRule="auto"/>
            <w:rPr>
              <w:b/>
              <w:bCs/>
              <w:lang w:val="es-ES"/>
            </w:rPr>
          </w:pPr>
          <w:r w:rsidRPr="00C66994">
            <w:rPr>
              <w:b/>
              <w:bCs/>
              <w:sz w:val="16"/>
              <w:szCs w:val="16"/>
              <w:lang w:val="es-ES"/>
            </w:rPr>
            <w:fldChar w:fldCharType="end"/>
          </w:r>
        </w:p>
      </w:sdtContent>
    </w:sdt>
    <w:p w14:paraId="603A07E2" w14:textId="77777777" w:rsidR="00646436" w:rsidRPr="00C66994" w:rsidRDefault="00646436" w:rsidP="00C66994">
      <w:pPr>
        <w:rPr>
          <w:rFonts w:cs="Tahoma"/>
          <w:szCs w:val="22"/>
        </w:rPr>
        <w:sectPr w:rsidR="00646436" w:rsidRPr="00C6699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E9D92A7" w:rsidR="00775BFC" w:rsidRPr="00C66994" w:rsidRDefault="00775BFC" w:rsidP="00C66994">
      <w:pPr>
        <w:rPr>
          <w:b/>
        </w:rPr>
      </w:pPr>
      <w:r w:rsidRPr="00C66994">
        <w:lastRenderedPageBreak/>
        <w:t xml:space="preserve">Resolución del Pleno del Instituto de Transparencia, Acceso a la Información Pública y Protección de Datos Personales del Estado de México y Municipios, con domicilio en Metepec, Estado de México, de </w:t>
      </w:r>
      <w:r w:rsidR="00216474" w:rsidRPr="00C66994">
        <w:rPr>
          <w:b/>
        </w:rPr>
        <w:t>veintisiete de noviembre</w:t>
      </w:r>
      <w:r w:rsidR="00664733" w:rsidRPr="00C66994">
        <w:rPr>
          <w:b/>
        </w:rPr>
        <w:t xml:space="preserve"> de dos mil veinticuatro.</w:t>
      </w:r>
    </w:p>
    <w:p w14:paraId="0AF3AAC4" w14:textId="77777777" w:rsidR="00775BFC" w:rsidRPr="00C66994" w:rsidRDefault="00775BFC" w:rsidP="00C66994"/>
    <w:p w14:paraId="40EAE038" w14:textId="70F1D0FC" w:rsidR="00775BFC" w:rsidRPr="00C66994" w:rsidRDefault="00775BFC" w:rsidP="00C66994">
      <w:r w:rsidRPr="00C66994">
        <w:rPr>
          <w:b/>
        </w:rPr>
        <w:t xml:space="preserve">VISTO </w:t>
      </w:r>
      <w:r w:rsidRPr="00C66994">
        <w:t xml:space="preserve">el expediente formado con motivo del Recurso de Revisión </w:t>
      </w:r>
      <w:bookmarkStart w:id="2" w:name="_GoBack"/>
      <w:r w:rsidR="00216474" w:rsidRPr="00C66994">
        <w:rPr>
          <w:rFonts w:eastAsia="Calibri"/>
          <w:b/>
          <w:lang w:eastAsia="en-US"/>
        </w:rPr>
        <w:t>06172</w:t>
      </w:r>
      <w:r w:rsidR="004E6F66" w:rsidRPr="00C66994">
        <w:rPr>
          <w:rFonts w:eastAsia="Calibri"/>
          <w:b/>
          <w:lang w:eastAsia="en-US"/>
        </w:rPr>
        <w:t>/INFOEM/IP/RR/2024</w:t>
      </w:r>
      <w:r w:rsidR="00664733" w:rsidRPr="00C66994">
        <w:rPr>
          <w:rFonts w:eastAsia="Calibri"/>
          <w:b/>
          <w:lang w:eastAsia="en-US"/>
        </w:rPr>
        <w:t xml:space="preserve">, </w:t>
      </w:r>
      <w:r w:rsidR="00216474" w:rsidRPr="00C66994">
        <w:rPr>
          <w:rFonts w:eastAsia="Calibri"/>
          <w:b/>
          <w:lang w:eastAsia="en-US"/>
        </w:rPr>
        <w:t>06176/INFOEM/IP/RR/2024, 06205/INFOEM/IP/RR/2024, 06206</w:t>
      </w:r>
      <w:r w:rsidR="004E6F66" w:rsidRPr="00C66994">
        <w:rPr>
          <w:rFonts w:eastAsia="Calibri"/>
          <w:b/>
          <w:lang w:eastAsia="en-US"/>
        </w:rPr>
        <w:t>/INFOEM/IP/RR/2024</w:t>
      </w:r>
      <w:r w:rsidR="00216474" w:rsidRPr="00C66994">
        <w:rPr>
          <w:rFonts w:eastAsia="Calibri"/>
          <w:b/>
          <w:lang w:eastAsia="en-US"/>
        </w:rPr>
        <w:t>, 06207/INFOEM/IP/RR/2024, 06208/INFOEM/IP/RR/2024, 06209/INFOEM/IP/RR/2024, 06210/INFOEM/IP/RR/2024 y 06211</w:t>
      </w:r>
      <w:r w:rsidR="004E6F66" w:rsidRPr="00C66994">
        <w:rPr>
          <w:rFonts w:eastAsia="Calibri"/>
          <w:b/>
          <w:lang w:eastAsia="en-US"/>
        </w:rPr>
        <w:t>/INFOEM/IP/RR/2024</w:t>
      </w:r>
      <w:r w:rsidR="00664733" w:rsidRPr="00C66994">
        <w:rPr>
          <w:rFonts w:eastAsia="Calibri"/>
          <w:b/>
          <w:lang w:eastAsia="en-US"/>
        </w:rPr>
        <w:t xml:space="preserve"> </w:t>
      </w:r>
      <w:bookmarkEnd w:id="2"/>
      <w:r w:rsidRPr="00C66994">
        <w:t xml:space="preserve">interpuesto </w:t>
      </w:r>
      <w:r w:rsidR="00216474" w:rsidRPr="00C66994">
        <w:t xml:space="preserve">por </w:t>
      </w:r>
      <w:r w:rsidR="00D814E1">
        <w:rPr>
          <w:b/>
        </w:rPr>
        <w:t>XXXXXXXXXXXXX XXX XXXXXX</w:t>
      </w:r>
      <w:r w:rsidRPr="00C66994">
        <w:t xml:space="preserve">, a quien en lo subsecuente se le denominará </w:t>
      </w:r>
      <w:r w:rsidRPr="00C66994">
        <w:rPr>
          <w:b/>
          <w:bCs/>
        </w:rPr>
        <w:t>LA PARTE RECURRENTE</w:t>
      </w:r>
      <w:r w:rsidRPr="00C66994">
        <w:t>, en contra de la respuesta emitida por</w:t>
      </w:r>
      <w:r w:rsidR="00216474" w:rsidRPr="00C66994">
        <w:t xml:space="preserve"> la</w:t>
      </w:r>
      <w:r w:rsidRPr="00C66994">
        <w:t xml:space="preserve"> </w:t>
      </w:r>
      <w:r w:rsidR="00216474" w:rsidRPr="00C66994">
        <w:rPr>
          <w:b/>
          <w:bCs/>
        </w:rPr>
        <w:t>Unidad de Asuntos Internos</w:t>
      </w:r>
      <w:r w:rsidRPr="00C66994">
        <w:t xml:space="preserve">, en adelante </w:t>
      </w:r>
      <w:r w:rsidRPr="00C66994">
        <w:rPr>
          <w:b/>
          <w:bCs/>
        </w:rPr>
        <w:t>EL SUJETO OBLIGADO</w:t>
      </w:r>
      <w:r w:rsidRPr="00C66994">
        <w:rPr>
          <w:rFonts w:eastAsia="Calibri"/>
          <w:lang w:eastAsia="en-US"/>
        </w:rPr>
        <w:t xml:space="preserve">, </w:t>
      </w:r>
      <w:r w:rsidRPr="00C66994">
        <w:t>se emite la presente Resolución con base en los Antecedentes y Considerandos que se exponen a continuación:</w:t>
      </w:r>
    </w:p>
    <w:p w14:paraId="2116968C" w14:textId="77777777" w:rsidR="00775BFC" w:rsidRPr="00C66994" w:rsidRDefault="00775BFC" w:rsidP="00C66994"/>
    <w:p w14:paraId="7CE9E53D" w14:textId="29F78B13" w:rsidR="00E37A3F" w:rsidRPr="00C66994" w:rsidRDefault="00664420" w:rsidP="00C66994">
      <w:pPr>
        <w:pStyle w:val="Ttulo1"/>
      </w:pPr>
      <w:bookmarkStart w:id="3" w:name="_Toc183621246"/>
      <w:r w:rsidRPr="00C66994">
        <w:t>ANTECEDENTES</w:t>
      </w:r>
      <w:bookmarkEnd w:id="3"/>
    </w:p>
    <w:p w14:paraId="5CB5034E" w14:textId="77777777" w:rsidR="00AC2DB8" w:rsidRPr="00C66994" w:rsidRDefault="00AC2DB8" w:rsidP="00C66994"/>
    <w:p w14:paraId="09B2D38F" w14:textId="02C898A1" w:rsidR="00664420" w:rsidRPr="00C66994" w:rsidRDefault="00E37A3F" w:rsidP="00C66994">
      <w:pPr>
        <w:pStyle w:val="Ttulo2"/>
      </w:pPr>
      <w:bookmarkStart w:id="4" w:name="_Toc183621247"/>
      <w:r w:rsidRPr="00C66994">
        <w:t>DE LA</w:t>
      </w:r>
      <w:r w:rsidR="00664733" w:rsidRPr="00C66994">
        <w:t>S</w:t>
      </w:r>
      <w:r w:rsidRPr="00C66994">
        <w:t xml:space="preserve"> SOLICITUD</w:t>
      </w:r>
      <w:r w:rsidR="00664733" w:rsidRPr="00C66994">
        <w:t>ES</w:t>
      </w:r>
      <w:r w:rsidRPr="00C66994">
        <w:t xml:space="preserve"> DE INFORMACIÓN</w:t>
      </w:r>
      <w:bookmarkEnd w:id="4"/>
    </w:p>
    <w:p w14:paraId="2C6AD1A5" w14:textId="31DCEC34" w:rsidR="00664420" w:rsidRPr="00C66994" w:rsidRDefault="00E37A3F" w:rsidP="00C66994">
      <w:pPr>
        <w:pStyle w:val="Ttulo3"/>
      </w:pPr>
      <w:bookmarkStart w:id="5" w:name="_Toc183621248"/>
      <w:r w:rsidRPr="00C66994">
        <w:t xml:space="preserve">a) </w:t>
      </w:r>
      <w:r w:rsidR="006B10B0" w:rsidRPr="00C66994">
        <w:t>S</w:t>
      </w:r>
      <w:r w:rsidR="00664420" w:rsidRPr="00C66994">
        <w:t>olicitud</w:t>
      </w:r>
      <w:r w:rsidR="00A97B5B" w:rsidRPr="00C66994">
        <w:t>es</w:t>
      </w:r>
      <w:r w:rsidR="00664420" w:rsidRPr="00C66994">
        <w:t xml:space="preserve"> de </w:t>
      </w:r>
      <w:r w:rsidR="006B10B0" w:rsidRPr="00C66994">
        <w:t>i</w:t>
      </w:r>
      <w:r w:rsidR="00664420" w:rsidRPr="00C66994">
        <w:t>nformación</w:t>
      </w:r>
      <w:bookmarkEnd w:id="5"/>
    </w:p>
    <w:p w14:paraId="3FF427FA" w14:textId="6818DB7B" w:rsidR="00862853" w:rsidRPr="00C66994" w:rsidRDefault="006B10B0" w:rsidP="00C66994">
      <w:pPr>
        <w:pStyle w:val="Prrafodelista"/>
        <w:tabs>
          <w:tab w:val="left" w:pos="0"/>
        </w:tabs>
        <w:ind w:left="0"/>
        <w:contextualSpacing w:val="0"/>
        <w:rPr>
          <w:rFonts w:cs="Tahoma"/>
        </w:rPr>
      </w:pPr>
      <w:r w:rsidRPr="00C66994">
        <w:rPr>
          <w:rFonts w:cs="Tahoma"/>
        </w:rPr>
        <w:t>El</w:t>
      </w:r>
      <w:r w:rsidR="00664420" w:rsidRPr="00C66994">
        <w:rPr>
          <w:rFonts w:cs="Tahoma"/>
        </w:rPr>
        <w:t xml:space="preserve"> </w:t>
      </w:r>
      <w:r w:rsidR="00216474" w:rsidRPr="00C66994">
        <w:rPr>
          <w:rFonts w:cs="Tahoma"/>
          <w:b/>
          <w:bCs/>
        </w:rPr>
        <w:t>catorce de septiembre</w:t>
      </w:r>
      <w:r w:rsidR="00A97B5B" w:rsidRPr="00C66994">
        <w:rPr>
          <w:rFonts w:cs="Tahoma"/>
          <w:b/>
          <w:bCs/>
        </w:rPr>
        <w:t xml:space="preserve"> </w:t>
      </w:r>
      <w:r w:rsidR="00664733" w:rsidRPr="00C66994">
        <w:rPr>
          <w:rFonts w:cs="Tahoma"/>
          <w:b/>
          <w:bCs/>
        </w:rPr>
        <w:t>de dos mil veinticuatro</w:t>
      </w:r>
      <w:r w:rsidR="00664420" w:rsidRPr="00C66994">
        <w:rPr>
          <w:rFonts w:cs="Tahoma"/>
        </w:rPr>
        <w:t xml:space="preserve">, </w:t>
      </w:r>
      <w:r w:rsidRPr="00C66994">
        <w:rPr>
          <w:b/>
          <w:bCs/>
        </w:rPr>
        <w:t>LA PARTE RECURRENTE</w:t>
      </w:r>
      <w:r w:rsidR="00664420" w:rsidRPr="00C66994">
        <w:rPr>
          <w:rFonts w:cs="Tahoma"/>
        </w:rPr>
        <w:t xml:space="preserve"> presentó </w:t>
      </w:r>
      <w:r w:rsidR="00664733" w:rsidRPr="00C66994">
        <w:rPr>
          <w:rFonts w:cs="Tahoma"/>
        </w:rPr>
        <w:t>diversas solicitudes</w:t>
      </w:r>
      <w:r w:rsidR="00664420" w:rsidRPr="00C66994">
        <w:rPr>
          <w:rFonts w:cs="Tahoma"/>
        </w:rPr>
        <w:t xml:space="preserve"> de acceso a la información pública </w:t>
      </w:r>
      <w:r w:rsidR="001F3515" w:rsidRPr="00C66994">
        <w:rPr>
          <w:rFonts w:cs="Tahoma"/>
        </w:rPr>
        <w:t xml:space="preserve">ante el </w:t>
      </w:r>
      <w:r w:rsidR="001F3515" w:rsidRPr="00C66994">
        <w:rPr>
          <w:rFonts w:cs="Tahoma"/>
          <w:b/>
          <w:bCs/>
        </w:rPr>
        <w:t>SUJETO OBLIGADO</w:t>
      </w:r>
      <w:r w:rsidR="001F3515" w:rsidRPr="00C66994">
        <w:rPr>
          <w:rFonts w:cs="Tahoma"/>
        </w:rPr>
        <w:t xml:space="preserve">, </w:t>
      </w:r>
      <w:r w:rsidR="00664420" w:rsidRPr="00C66994">
        <w:rPr>
          <w:rFonts w:cs="Tahoma"/>
        </w:rPr>
        <w:t>a través del Sistema de Acceso a la Información Mexiquense</w:t>
      </w:r>
      <w:r w:rsidRPr="00C66994">
        <w:rPr>
          <w:rFonts w:cs="Tahoma"/>
        </w:rPr>
        <w:t xml:space="preserve"> </w:t>
      </w:r>
      <w:r w:rsidR="009A2D78" w:rsidRPr="00C66994">
        <w:rPr>
          <w:rFonts w:cs="Tahoma"/>
        </w:rPr>
        <w:t>(</w:t>
      </w:r>
      <w:r w:rsidRPr="00C66994">
        <w:rPr>
          <w:rFonts w:cs="Tahoma"/>
        </w:rPr>
        <w:t>SAIMEX</w:t>
      </w:r>
      <w:r w:rsidR="009A2D78" w:rsidRPr="00C66994">
        <w:rPr>
          <w:rFonts w:cs="Tahoma"/>
        </w:rPr>
        <w:t>). Dicha</w:t>
      </w:r>
      <w:r w:rsidR="00664733" w:rsidRPr="00C66994">
        <w:rPr>
          <w:rFonts w:cs="Tahoma"/>
        </w:rPr>
        <w:t>s</w:t>
      </w:r>
      <w:r w:rsidR="009A2D78" w:rsidRPr="00C66994">
        <w:rPr>
          <w:rFonts w:cs="Tahoma"/>
        </w:rPr>
        <w:t xml:space="preserve"> solicitud</w:t>
      </w:r>
      <w:r w:rsidR="00664733" w:rsidRPr="00C66994">
        <w:rPr>
          <w:rFonts w:cs="Tahoma"/>
        </w:rPr>
        <w:t>es quedaron</w:t>
      </w:r>
      <w:r w:rsidRPr="00C66994">
        <w:rPr>
          <w:rFonts w:cs="Tahoma"/>
        </w:rPr>
        <w:t xml:space="preserve"> registrada</w:t>
      </w:r>
      <w:r w:rsidR="00664733" w:rsidRPr="00C66994">
        <w:rPr>
          <w:rFonts w:cs="Tahoma"/>
        </w:rPr>
        <w:t>s</w:t>
      </w:r>
      <w:r w:rsidRPr="00C66994">
        <w:rPr>
          <w:rFonts w:cs="Tahoma"/>
        </w:rPr>
        <w:t xml:space="preserve"> c</w:t>
      </w:r>
      <w:r w:rsidR="00664420" w:rsidRPr="00C66994">
        <w:rPr>
          <w:rFonts w:cs="Tahoma"/>
        </w:rPr>
        <w:t>on el número de folio</w:t>
      </w:r>
      <w:r w:rsidR="00664420" w:rsidRPr="00C66994">
        <w:rPr>
          <w:rFonts w:cs="Tahoma"/>
          <w:b/>
          <w:bCs/>
        </w:rPr>
        <w:t xml:space="preserve"> </w:t>
      </w:r>
      <w:r w:rsidR="00216474" w:rsidRPr="00C66994">
        <w:rPr>
          <w:rFonts w:cs="Tahoma"/>
          <w:b/>
          <w:bCs/>
        </w:rPr>
        <w:t>00015/UAI/IP/2024</w:t>
      </w:r>
      <w:r w:rsidR="00664733" w:rsidRPr="00C66994">
        <w:rPr>
          <w:rFonts w:cs="Tahoma"/>
          <w:b/>
          <w:bCs/>
        </w:rPr>
        <w:t xml:space="preserve">, </w:t>
      </w:r>
      <w:r w:rsidR="00216474" w:rsidRPr="00C66994">
        <w:rPr>
          <w:rFonts w:cs="Tahoma"/>
          <w:b/>
          <w:bCs/>
        </w:rPr>
        <w:t>00019/UAI/IP/2024</w:t>
      </w:r>
      <w:r w:rsidR="00664733" w:rsidRPr="00C66994">
        <w:rPr>
          <w:rFonts w:cs="Tahoma"/>
          <w:b/>
          <w:bCs/>
        </w:rPr>
        <w:t xml:space="preserve">, </w:t>
      </w:r>
      <w:r w:rsidR="00216474" w:rsidRPr="00C66994">
        <w:rPr>
          <w:rFonts w:cs="Tahoma"/>
          <w:b/>
          <w:bCs/>
        </w:rPr>
        <w:t>00043/UAI/IP/2024</w:t>
      </w:r>
      <w:r w:rsidR="00A97B5B" w:rsidRPr="00C66994">
        <w:rPr>
          <w:rFonts w:cs="Tahoma"/>
          <w:b/>
          <w:bCs/>
        </w:rPr>
        <w:t xml:space="preserve">, </w:t>
      </w:r>
      <w:r w:rsidR="00216474" w:rsidRPr="00C66994">
        <w:rPr>
          <w:rFonts w:cs="Tahoma"/>
          <w:b/>
          <w:bCs/>
        </w:rPr>
        <w:t>00044/UAI/IP/2024, 00045/UAI/IP/2024, 00046/UAI/IP/2024, 00047/UAI/IP/2024, 00048/UAI/IP/2024</w:t>
      </w:r>
      <w:r w:rsidR="00664733" w:rsidRPr="00C66994">
        <w:rPr>
          <w:rFonts w:cs="Tahoma"/>
          <w:b/>
          <w:bCs/>
        </w:rPr>
        <w:t xml:space="preserve"> y </w:t>
      </w:r>
      <w:r w:rsidR="00216474" w:rsidRPr="00C66994">
        <w:rPr>
          <w:rFonts w:cs="Tahoma"/>
          <w:b/>
          <w:bCs/>
        </w:rPr>
        <w:t>00049/UAI/IP/2024</w:t>
      </w:r>
      <w:r w:rsidR="00664733" w:rsidRPr="00C66994">
        <w:rPr>
          <w:rFonts w:cs="Tahoma"/>
          <w:b/>
          <w:bCs/>
        </w:rPr>
        <w:t xml:space="preserve">, </w:t>
      </w:r>
      <w:r w:rsidR="002A3601" w:rsidRPr="00C66994">
        <w:rPr>
          <w:rFonts w:cs="Tahoma"/>
        </w:rPr>
        <w:t xml:space="preserve"> y en ella</w:t>
      </w:r>
      <w:r w:rsidR="00216474" w:rsidRPr="00C66994">
        <w:rPr>
          <w:rFonts w:cs="Tahoma"/>
        </w:rPr>
        <w:t>s</w:t>
      </w:r>
      <w:r w:rsidR="002A3601" w:rsidRPr="00C66994">
        <w:rPr>
          <w:rFonts w:cs="Tahoma"/>
        </w:rPr>
        <w:t xml:space="preserve"> </w:t>
      </w:r>
      <w:r w:rsidR="009A2D78" w:rsidRPr="00C66994">
        <w:rPr>
          <w:rFonts w:cs="Tahoma"/>
        </w:rPr>
        <w:t>se requirió la siguiente información:</w:t>
      </w:r>
    </w:p>
    <w:p w14:paraId="1CA8F3A0" w14:textId="77777777" w:rsidR="00216474" w:rsidRDefault="00216474" w:rsidP="00C66994">
      <w:pPr>
        <w:pStyle w:val="Prrafodelista"/>
        <w:tabs>
          <w:tab w:val="left" w:pos="0"/>
        </w:tabs>
        <w:ind w:left="0"/>
        <w:contextualSpacing w:val="0"/>
        <w:rPr>
          <w:rFonts w:cs="Tahoma"/>
        </w:rPr>
      </w:pPr>
    </w:p>
    <w:p w14:paraId="317E52FB" w14:textId="77777777" w:rsidR="00C66994" w:rsidRPr="00C66994" w:rsidRDefault="00C66994" w:rsidP="00C66994">
      <w:pPr>
        <w:pStyle w:val="Prrafodelista"/>
        <w:tabs>
          <w:tab w:val="left" w:pos="0"/>
        </w:tabs>
        <w:ind w:left="0"/>
        <w:contextualSpacing w:val="0"/>
        <w:rPr>
          <w:rFonts w:cs="Tahoma"/>
        </w:rPr>
      </w:pPr>
    </w:p>
    <w:p w14:paraId="02EAC9AB" w14:textId="2FBD1AA1" w:rsidR="00862853" w:rsidRPr="00C66994" w:rsidRDefault="00216474" w:rsidP="00C66994">
      <w:pPr>
        <w:tabs>
          <w:tab w:val="left" w:pos="4667"/>
        </w:tabs>
        <w:spacing w:line="240" w:lineRule="auto"/>
        <w:ind w:left="567" w:right="567"/>
        <w:rPr>
          <w:rFonts w:cs="Tahoma"/>
          <w:b/>
          <w:bCs/>
          <w:i/>
        </w:rPr>
      </w:pPr>
      <w:r w:rsidRPr="00C66994">
        <w:rPr>
          <w:rFonts w:cs="Tahoma"/>
          <w:b/>
          <w:bCs/>
          <w:i/>
        </w:rPr>
        <w:lastRenderedPageBreak/>
        <w:t>00015/UAI/IP/2024</w:t>
      </w:r>
    </w:p>
    <w:p w14:paraId="64B27DE3" w14:textId="64D4F0C6" w:rsidR="00664420" w:rsidRPr="00C66994" w:rsidRDefault="00216474" w:rsidP="00C66994">
      <w:pPr>
        <w:tabs>
          <w:tab w:val="left" w:pos="4667"/>
        </w:tabs>
        <w:spacing w:line="240" w:lineRule="auto"/>
        <w:ind w:left="567" w:right="567"/>
        <w:rPr>
          <w:rFonts w:cs="Tahoma"/>
          <w:b/>
          <w:bCs/>
          <w:i/>
        </w:rPr>
      </w:pPr>
      <w:proofErr w:type="gramStart"/>
      <w:r w:rsidRPr="00C66994">
        <w:rPr>
          <w:rFonts w:eastAsiaTheme="majorEastAsia" w:cstheme="majorBidi"/>
          <w:i/>
          <w:kern w:val="28"/>
          <w:szCs w:val="56"/>
        </w:rPr>
        <w:t>todos</w:t>
      </w:r>
      <w:proofErr w:type="gramEnd"/>
      <w:r w:rsidRPr="00C66994">
        <w:rPr>
          <w:rFonts w:eastAsiaTheme="majorEastAsia" w:cstheme="majorBidi"/>
          <w:i/>
          <w:kern w:val="28"/>
          <w:szCs w:val="56"/>
        </w:rPr>
        <w:t xml:space="preserve"> los oficios emitidos por la dirección de responsabilidades de enero 2024</w:t>
      </w:r>
      <w:r w:rsidR="00A97B5B" w:rsidRPr="00C66994">
        <w:rPr>
          <w:rFonts w:eastAsiaTheme="majorEastAsia" w:cstheme="majorBidi"/>
          <w:i/>
          <w:kern w:val="28"/>
          <w:szCs w:val="56"/>
        </w:rPr>
        <w:t>.</w:t>
      </w:r>
    </w:p>
    <w:p w14:paraId="64FFF769" w14:textId="77777777" w:rsidR="00862853" w:rsidRPr="00C66994" w:rsidRDefault="00862853" w:rsidP="00C66994">
      <w:pPr>
        <w:tabs>
          <w:tab w:val="left" w:pos="4667"/>
        </w:tabs>
        <w:spacing w:line="240" w:lineRule="auto"/>
        <w:ind w:left="567" w:right="567"/>
        <w:rPr>
          <w:rFonts w:eastAsiaTheme="majorEastAsia" w:cstheme="majorBidi"/>
          <w:i/>
          <w:kern w:val="28"/>
          <w:szCs w:val="56"/>
        </w:rPr>
      </w:pPr>
    </w:p>
    <w:p w14:paraId="50B0F818" w14:textId="53DD793C" w:rsidR="00862853" w:rsidRPr="00C66994" w:rsidRDefault="00216474" w:rsidP="00C66994">
      <w:pPr>
        <w:tabs>
          <w:tab w:val="left" w:pos="4667"/>
        </w:tabs>
        <w:spacing w:line="240" w:lineRule="auto"/>
        <w:ind w:left="567" w:right="567"/>
        <w:rPr>
          <w:rFonts w:eastAsiaTheme="majorEastAsia" w:cstheme="majorBidi"/>
          <w:i/>
          <w:kern w:val="28"/>
          <w:szCs w:val="56"/>
        </w:rPr>
      </w:pPr>
      <w:r w:rsidRPr="00C66994">
        <w:rPr>
          <w:rFonts w:cs="Tahoma"/>
          <w:b/>
          <w:bCs/>
          <w:i/>
        </w:rPr>
        <w:t>00019/UAI/IP/2024</w:t>
      </w:r>
    </w:p>
    <w:p w14:paraId="4AC37207" w14:textId="34BF4999" w:rsidR="00862853" w:rsidRPr="00C66994" w:rsidRDefault="00216474" w:rsidP="00C66994">
      <w:pPr>
        <w:tabs>
          <w:tab w:val="left" w:pos="4667"/>
        </w:tabs>
        <w:spacing w:line="240" w:lineRule="auto"/>
        <w:ind w:left="567" w:right="567"/>
        <w:rPr>
          <w:rFonts w:cs="Tahoma"/>
          <w:bCs/>
          <w:i/>
          <w:szCs w:val="22"/>
        </w:rPr>
      </w:pPr>
      <w:proofErr w:type="gramStart"/>
      <w:r w:rsidRPr="00C66994">
        <w:rPr>
          <w:rFonts w:cs="Tahoma"/>
          <w:bCs/>
          <w:i/>
          <w:szCs w:val="22"/>
        </w:rPr>
        <w:t>todos</w:t>
      </w:r>
      <w:proofErr w:type="gramEnd"/>
      <w:r w:rsidRPr="00C66994">
        <w:rPr>
          <w:rFonts w:cs="Tahoma"/>
          <w:bCs/>
          <w:i/>
          <w:szCs w:val="22"/>
        </w:rPr>
        <w:t xml:space="preserve"> los oficios emitidos por la </w:t>
      </w:r>
      <w:proofErr w:type="spellStart"/>
      <w:r w:rsidRPr="00C66994">
        <w:rPr>
          <w:rFonts w:cs="Tahoma"/>
          <w:bCs/>
          <w:i/>
          <w:szCs w:val="22"/>
        </w:rPr>
        <w:t>direeción</w:t>
      </w:r>
      <w:proofErr w:type="spellEnd"/>
      <w:r w:rsidRPr="00C66994">
        <w:rPr>
          <w:rFonts w:cs="Tahoma"/>
          <w:bCs/>
          <w:i/>
          <w:szCs w:val="22"/>
        </w:rPr>
        <w:t xml:space="preserve"> de responsabilidades de </w:t>
      </w:r>
      <w:proofErr w:type="spellStart"/>
      <w:r w:rsidRPr="00C66994">
        <w:rPr>
          <w:rFonts w:cs="Tahoma"/>
          <w:bCs/>
          <w:i/>
          <w:szCs w:val="22"/>
        </w:rPr>
        <w:t>mearzo</w:t>
      </w:r>
      <w:proofErr w:type="spellEnd"/>
      <w:r w:rsidRPr="00C66994">
        <w:rPr>
          <w:rFonts w:cs="Tahoma"/>
          <w:bCs/>
          <w:i/>
          <w:szCs w:val="22"/>
        </w:rPr>
        <w:t xml:space="preserve"> de 2024</w:t>
      </w:r>
      <w:r w:rsidR="00A97B5B" w:rsidRPr="00C66994">
        <w:rPr>
          <w:rFonts w:cs="Tahoma"/>
          <w:bCs/>
          <w:i/>
          <w:szCs w:val="22"/>
        </w:rPr>
        <w:t>.</w:t>
      </w:r>
    </w:p>
    <w:p w14:paraId="79F63843" w14:textId="77777777" w:rsidR="00862853" w:rsidRPr="00C66994" w:rsidRDefault="00862853" w:rsidP="00C66994">
      <w:pPr>
        <w:tabs>
          <w:tab w:val="left" w:pos="4667"/>
        </w:tabs>
        <w:spacing w:line="240" w:lineRule="auto"/>
        <w:ind w:left="567" w:right="567"/>
        <w:rPr>
          <w:rFonts w:cs="Tahoma"/>
          <w:bCs/>
          <w:i/>
          <w:szCs w:val="22"/>
        </w:rPr>
      </w:pPr>
    </w:p>
    <w:p w14:paraId="4817A5FA" w14:textId="45B768F2" w:rsidR="00862853" w:rsidRPr="00C66994" w:rsidRDefault="00216474" w:rsidP="00C66994">
      <w:pPr>
        <w:tabs>
          <w:tab w:val="left" w:pos="4667"/>
        </w:tabs>
        <w:spacing w:line="240" w:lineRule="auto"/>
        <w:ind w:left="567" w:right="567"/>
        <w:rPr>
          <w:rFonts w:cs="Tahoma"/>
          <w:bCs/>
          <w:i/>
          <w:szCs w:val="22"/>
        </w:rPr>
      </w:pPr>
      <w:r w:rsidRPr="00C66994">
        <w:rPr>
          <w:rFonts w:cs="Tahoma"/>
          <w:b/>
          <w:bCs/>
          <w:i/>
        </w:rPr>
        <w:t>00043/UAI/IP/2024</w:t>
      </w:r>
    </w:p>
    <w:p w14:paraId="75D965C3" w14:textId="50F2C9D1" w:rsidR="00862853" w:rsidRPr="00C66994" w:rsidRDefault="00216474" w:rsidP="00C66994">
      <w:pPr>
        <w:tabs>
          <w:tab w:val="left" w:pos="4667"/>
        </w:tabs>
        <w:spacing w:line="240" w:lineRule="auto"/>
        <w:ind w:left="567" w:right="567"/>
        <w:rPr>
          <w:rFonts w:cs="Tahoma"/>
          <w:bCs/>
          <w:i/>
          <w:szCs w:val="22"/>
        </w:rPr>
      </w:pPr>
      <w:proofErr w:type="gramStart"/>
      <w:r w:rsidRPr="00C66994">
        <w:rPr>
          <w:rFonts w:cs="Tahoma"/>
          <w:bCs/>
          <w:i/>
          <w:szCs w:val="22"/>
        </w:rPr>
        <w:t>versión</w:t>
      </w:r>
      <w:proofErr w:type="gramEnd"/>
      <w:r w:rsidRPr="00C66994">
        <w:rPr>
          <w:rFonts w:cs="Tahoma"/>
          <w:bCs/>
          <w:i/>
          <w:szCs w:val="22"/>
        </w:rPr>
        <w:t xml:space="preserve"> pública de todos los oficios emitidos por la dirección de responsabilidades a la unidad de asuntos internos de la primera y segunda quincena de febrero de 2024</w:t>
      </w:r>
      <w:r w:rsidR="00A97B5B" w:rsidRPr="00C66994">
        <w:rPr>
          <w:rFonts w:cs="Tahoma"/>
          <w:bCs/>
          <w:i/>
          <w:szCs w:val="22"/>
        </w:rPr>
        <w:t>.</w:t>
      </w:r>
    </w:p>
    <w:p w14:paraId="662BE26D" w14:textId="77777777" w:rsidR="00862853" w:rsidRPr="00C66994" w:rsidRDefault="00862853" w:rsidP="00C66994">
      <w:pPr>
        <w:tabs>
          <w:tab w:val="left" w:pos="4667"/>
        </w:tabs>
        <w:spacing w:line="240" w:lineRule="auto"/>
        <w:ind w:left="567" w:right="567"/>
        <w:rPr>
          <w:rFonts w:cs="Tahoma"/>
          <w:bCs/>
          <w:i/>
          <w:szCs w:val="22"/>
        </w:rPr>
      </w:pPr>
    </w:p>
    <w:p w14:paraId="41C9EDFC" w14:textId="6377EC3C" w:rsidR="00862853" w:rsidRPr="00C66994" w:rsidRDefault="00216474" w:rsidP="00C66994">
      <w:pPr>
        <w:tabs>
          <w:tab w:val="left" w:pos="4667"/>
        </w:tabs>
        <w:spacing w:line="240" w:lineRule="auto"/>
        <w:ind w:left="567" w:right="567"/>
        <w:rPr>
          <w:rFonts w:cs="Tahoma"/>
          <w:bCs/>
          <w:i/>
          <w:szCs w:val="22"/>
        </w:rPr>
      </w:pPr>
      <w:r w:rsidRPr="00C66994">
        <w:rPr>
          <w:rFonts w:cs="Tahoma"/>
          <w:b/>
          <w:bCs/>
          <w:i/>
        </w:rPr>
        <w:t>00044/UAI/IP/2024</w:t>
      </w:r>
    </w:p>
    <w:p w14:paraId="3C9A5FEA" w14:textId="49A4DE6D" w:rsidR="00862853" w:rsidRPr="00C66994" w:rsidRDefault="00216474" w:rsidP="00C66994">
      <w:pPr>
        <w:tabs>
          <w:tab w:val="left" w:pos="4667"/>
        </w:tabs>
        <w:spacing w:line="240" w:lineRule="auto"/>
        <w:ind w:left="567" w:right="567"/>
        <w:rPr>
          <w:rFonts w:cs="Tahoma"/>
          <w:bCs/>
          <w:i/>
          <w:szCs w:val="22"/>
        </w:rPr>
      </w:pPr>
      <w:proofErr w:type="gramStart"/>
      <w:r w:rsidRPr="00C66994">
        <w:rPr>
          <w:rFonts w:cs="Tahoma"/>
          <w:bCs/>
          <w:i/>
          <w:szCs w:val="22"/>
        </w:rPr>
        <w:t>versión</w:t>
      </w:r>
      <w:proofErr w:type="gramEnd"/>
      <w:r w:rsidRPr="00C66994">
        <w:rPr>
          <w:rFonts w:cs="Tahoma"/>
          <w:bCs/>
          <w:i/>
          <w:szCs w:val="22"/>
        </w:rPr>
        <w:t xml:space="preserve"> pública de todos los oficios emitidos por la dirección de responsabilidades a la unidad de asuntos internos de la primera y segunda quincena de marzo de 2024</w:t>
      </w:r>
      <w:r w:rsidR="00A97B5B" w:rsidRPr="00C66994">
        <w:rPr>
          <w:rFonts w:cs="Tahoma"/>
          <w:bCs/>
          <w:i/>
          <w:szCs w:val="22"/>
        </w:rPr>
        <w:t>.</w:t>
      </w:r>
    </w:p>
    <w:p w14:paraId="758E946C" w14:textId="77777777" w:rsidR="00A97B5B" w:rsidRPr="00C66994" w:rsidRDefault="00A97B5B" w:rsidP="00C66994">
      <w:pPr>
        <w:tabs>
          <w:tab w:val="left" w:pos="4667"/>
        </w:tabs>
        <w:spacing w:line="240" w:lineRule="auto"/>
        <w:ind w:left="567" w:right="567"/>
        <w:rPr>
          <w:rFonts w:cs="Tahoma"/>
          <w:bCs/>
          <w:i/>
          <w:szCs w:val="22"/>
        </w:rPr>
      </w:pPr>
    </w:p>
    <w:p w14:paraId="4308028B" w14:textId="7868DFFA" w:rsidR="00A97B5B" w:rsidRPr="00C66994" w:rsidRDefault="00216474" w:rsidP="00C66994">
      <w:pPr>
        <w:tabs>
          <w:tab w:val="left" w:pos="4667"/>
        </w:tabs>
        <w:spacing w:line="240" w:lineRule="auto"/>
        <w:ind w:left="567" w:right="567"/>
        <w:rPr>
          <w:rFonts w:cs="Tahoma"/>
          <w:bCs/>
          <w:i/>
          <w:szCs w:val="22"/>
        </w:rPr>
      </w:pPr>
      <w:r w:rsidRPr="00C66994">
        <w:rPr>
          <w:rFonts w:cs="Tahoma"/>
          <w:b/>
          <w:bCs/>
          <w:i/>
        </w:rPr>
        <w:t>00045/UAI/IP/2024</w:t>
      </w:r>
    </w:p>
    <w:p w14:paraId="79E0E040" w14:textId="62DAE3AF" w:rsidR="00A97B5B" w:rsidRPr="00C66994" w:rsidRDefault="00216474" w:rsidP="00C66994">
      <w:pPr>
        <w:tabs>
          <w:tab w:val="left" w:pos="4667"/>
        </w:tabs>
        <w:spacing w:line="240" w:lineRule="auto"/>
        <w:ind w:left="567" w:right="567"/>
        <w:rPr>
          <w:rFonts w:cs="Tahoma"/>
          <w:bCs/>
          <w:i/>
          <w:szCs w:val="22"/>
        </w:rPr>
      </w:pPr>
      <w:proofErr w:type="gramStart"/>
      <w:r w:rsidRPr="00C66994">
        <w:rPr>
          <w:rFonts w:cs="Tahoma"/>
          <w:bCs/>
          <w:i/>
          <w:szCs w:val="22"/>
        </w:rPr>
        <w:t>versión</w:t>
      </w:r>
      <w:proofErr w:type="gramEnd"/>
      <w:r w:rsidRPr="00C66994">
        <w:rPr>
          <w:rFonts w:cs="Tahoma"/>
          <w:bCs/>
          <w:i/>
          <w:szCs w:val="22"/>
        </w:rPr>
        <w:t xml:space="preserve"> pública de todos los oficios emitidos por la dirección de responsabilidades a la unidad de asuntos internos de la primera y segunda quincena de abril de 2024</w:t>
      </w:r>
      <w:r w:rsidR="00A97B5B" w:rsidRPr="00C66994">
        <w:rPr>
          <w:rFonts w:cs="Tahoma"/>
          <w:bCs/>
          <w:i/>
          <w:szCs w:val="22"/>
        </w:rPr>
        <w:t>.</w:t>
      </w:r>
    </w:p>
    <w:p w14:paraId="5199CED7" w14:textId="77777777" w:rsidR="00216474" w:rsidRPr="00C66994" w:rsidRDefault="00216474" w:rsidP="00C66994">
      <w:pPr>
        <w:tabs>
          <w:tab w:val="left" w:pos="4667"/>
        </w:tabs>
        <w:spacing w:line="240" w:lineRule="auto"/>
        <w:ind w:left="567" w:right="567"/>
        <w:rPr>
          <w:rFonts w:cs="Tahoma"/>
          <w:bCs/>
          <w:i/>
          <w:szCs w:val="22"/>
        </w:rPr>
      </w:pPr>
    </w:p>
    <w:p w14:paraId="14A0F19D" w14:textId="0C1B14BA" w:rsidR="00216474" w:rsidRPr="00C66994" w:rsidRDefault="00216474" w:rsidP="00C66994">
      <w:pPr>
        <w:tabs>
          <w:tab w:val="left" w:pos="4667"/>
        </w:tabs>
        <w:spacing w:line="240" w:lineRule="auto"/>
        <w:ind w:left="567" w:right="567"/>
        <w:rPr>
          <w:rFonts w:cs="Tahoma"/>
          <w:b/>
          <w:bCs/>
          <w:i/>
          <w:szCs w:val="22"/>
        </w:rPr>
      </w:pPr>
      <w:r w:rsidRPr="00C66994">
        <w:rPr>
          <w:rFonts w:cs="Tahoma"/>
          <w:b/>
          <w:bCs/>
          <w:i/>
          <w:szCs w:val="22"/>
        </w:rPr>
        <w:t>00046/UAI/IP/2024</w:t>
      </w:r>
    </w:p>
    <w:p w14:paraId="05F6C8AA" w14:textId="658EA3BF" w:rsidR="00216474" w:rsidRPr="00C66994" w:rsidRDefault="00216474" w:rsidP="00C66994">
      <w:pPr>
        <w:tabs>
          <w:tab w:val="left" w:pos="4667"/>
        </w:tabs>
        <w:spacing w:line="240" w:lineRule="auto"/>
        <w:ind w:left="567" w:right="567"/>
        <w:rPr>
          <w:rFonts w:cs="Tahoma"/>
          <w:bCs/>
          <w:i/>
          <w:szCs w:val="22"/>
        </w:rPr>
      </w:pPr>
      <w:proofErr w:type="gramStart"/>
      <w:r w:rsidRPr="00C66994">
        <w:rPr>
          <w:rFonts w:cs="Tahoma"/>
          <w:bCs/>
          <w:i/>
          <w:szCs w:val="22"/>
        </w:rPr>
        <w:t>versión</w:t>
      </w:r>
      <w:proofErr w:type="gramEnd"/>
      <w:r w:rsidRPr="00C66994">
        <w:rPr>
          <w:rFonts w:cs="Tahoma"/>
          <w:bCs/>
          <w:i/>
          <w:szCs w:val="22"/>
        </w:rPr>
        <w:t xml:space="preserve"> pública de todos los oficios emitidos por la dirección de responsabilidades a la unidad de asuntos internos de la primera y segunda quincena de mayo de 2024.</w:t>
      </w:r>
    </w:p>
    <w:p w14:paraId="2AFB31F0" w14:textId="77777777" w:rsidR="00216474" w:rsidRPr="00C66994" w:rsidRDefault="00216474" w:rsidP="00C66994">
      <w:pPr>
        <w:tabs>
          <w:tab w:val="left" w:pos="4667"/>
        </w:tabs>
        <w:spacing w:line="240" w:lineRule="auto"/>
        <w:ind w:left="567" w:right="567"/>
        <w:rPr>
          <w:rFonts w:cs="Tahoma"/>
          <w:b/>
          <w:bCs/>
          <w:i/>
          <w:szCs w:val="22"/>
        </w:rPr>
      </w:pPr>
    </w:p>
    <w:p w14:paraId="677CD1DC" w14:textId="43CDADB1" w:rsidR="00216474" w:rsidRPr="00C66994" w:rsidRDefault="00216474" w:rsidP="00C66994">
      <w:pPr>
        <w:tabs>
          <w:tab w:val="left" w:pos="4667"/>
        </w:tabs>
        <w:spacing w:line="240" w:lineRule="auto"/>
        <w:ind w:left="567" w:right="567"/>
        <w:rPr>
          <w:rFonts w:cs="Tahoma"/>
          <w:b/>
          <w:bCs/>
          <w:i/>
          <w:szCs w:val="22"/>
        </w:rPr>
      </w:pPr>
      <w:r w:rsidRPr="00C66994">
        <w:rPr>
          <w:rFonts w:cs="Tahoma"/>
          <w:b/>
          <w:bCs/>
          <w:i/>
          <w:szCs w:val="22"/>
        </w:rPr>
        <w:t>00047/UAI/IP/2024</w:t>
      </w:r>
    </w:p>
    <w:p w14:paraId="7B77CAC5" w14:textId="07932DC3" w:rsidR="00216474" w:rsidRPr="00C66994" w:rsidRDefault="00216474" w:rsidP="00C66994">
      <w:pPr>
        <w:tabs>
          <w:tab w:val="left" w:pos="4667"/>
        </w:tabs>
        <w:spacing w:line="240" w:lineRule="auto"/>
        <w:ind w:left="567" w:right="567"/>
        <w:rPr>
          <w:rFonts w:cs="Tahoma"/>
          <w:bCs/>
          <w:i/>
          <w:szCs w:val="22"/>
        </w:rPr>
      </w:pPr>
      <w:proofErr w:type="gramStart"/>
      <w:r w:rsidRPr="00C66994">
        <w:rPr>
          <w:rFonts w:cs="Tahoma"/>
          <w:bCs/>
          <w:i/>
          <w:szCs w:val="22"/>
        </w:rPr>
        <w:t>versión</w:t>
      </w:r>
      <w:proofErr w:type="gramEnd"/>
      <w:r w:rsidRPr="00C66994">
        <w:rPr>
          <w:rFonts w:cs="Tahoma"/>
          <w:bCs/>
          <w:i/>
          <w:szCs w:val="22"/>
        </w:rPr>
        <w:t xml:space="preserve"> pública de todos los oficios emitidos por la dirección de responsabilidades a la unidad de asuntos internos de la primera y segunda quincena de junio de 2024.</w:t>
      </w:r>
    </w:p>
    <w:p w14:paraId="6C422602" w14:textId="77777777" w:rsidR="00862853" w:rsidRPr="00C66994" w:rsidRDefault="00862853" w:rsidP="00C66994">
      <w:pPr>
        <w:tabs>
          <w:tab w:val="left" w:pos="4667"/>
        </w:tabs>
        <w:ind w:left="567" w:right="567"/>
        <w:rPr>
          <w:rFonts w:cs="Tahoma"/>
          <w:bCs/>
          <w:i/>
          <w:szCs w:val="22"/>
        </w:rPr>
      </w:pPr>
    </w:p>
    <w:p w14:paraId="0E60204D" w14:textId="1F60A608" w:rsidR="00216474" w:rsidRPr="00C66994" w:rsidRDefault="00216474" w:rsidP="00C66994">
      <w:pPr>
        <w:tabs>
          <w:tab w:val="left" w:pos="4667"/>
        </w:tabs>
        <w:ind w:left="567" w:right="567"/>
        <w:rPr>
          <w:rFonts w:cs="Tahoma"/>
          <w:b/>
          <w:bCs/>
          <w:i/>
          <w:szCs w:val="22"/>
        </w:rPr>
      </w:pPr>
      <w:r w:rsidRPr="00C66994">
        <w:rPr>
          <w:rFonts w:cs="Tahoma"/>
          <w:b/>
          <w:bCs/>
          <w:i/>
          <w:szCs w:val="22"/>
        </w:rPr>
        <w:t>00048/UAI/IP/2024</w:t>
      </w:r>
    </w:p>
    <w:p w14:paraId="75259187" w14:textId="1A345EA2" w:rsidR="00216474" w:rsidRPr="00C66994" w:rsidRDefault="00216474" w:rsidP="00C66994">
      <w:pPr>
        <w:tabs>
          <w:tab w:val="left" w:pos="4667"/>
        </w:tabs>
        <w:spacing w:line="240" w:lineRule="auto"/>
        <w:ind w:left="567" w:right="567"/>
        <w:rPr>
          <w:rFonts w:cs="Tahoma"/>
          <w:b/>
          <w:bCs/>
          <w:i/>
          <w:szCs w:val="22"/>
        </w:rPr>
      </w:pPr>
      <w:proofErr w:type="gramStart"/>
      <w:r w:rsidRPr="00C66994">
        <w:rPr>
          <w:rFonts w:cs="Tahoma"/>
          <w:bCs/>
          <w:i/>
          <w:szCs w:val="22"/>
        </w:rPr>
        <w:t>versión</w:t>
      </w:r>
      <w:proofErr w:type="gramEnd"/>
      <w:r w:rsidRPr="00C66994">
        <w:rPr>
          <w:rFonts w:cs="Tahoma"/>
          <w:bCs/>
          <w:i/>
          <w:szCs w:val="22"/>
        </w:rPr>
        <w:t xml:space="preserve"> pública de todos los oficios emitidos por la dirección de responsabilidades a la unidad de asuntos internos de la primera y segunda quincena de julio de 2024.</w:t>
      </w:r>
    </w:p>
    <w:p w14:paraId="1E1DB7EC" w14:textId="77777777" w:rsidR="00216474" w:rsidRPr="00C66994" w:rsidRDefault="00216474" w:rsidP="00C66994">
      <w:pPr>
        <w:tabs>
          <w:tab w:val="left" w:pos="4667"/>
        </w:tabs>
        <w:ind w:right="567"/>
        <w:rPr>
          <w:rFonts w:cs="Tahoma"/>
          <w:b/>
          <w:bCs/>
          <w:i/>
          <w:szCs w:val="22"/>
        </w:rPr>
      </w:pPr>
    </w:p>
    <w:p w14:paraId="18C3F1FB" w14:textId="107DB6E8" w:rsidR="00216474" w:rsidRPr="00C66994" w:rsidRDefault="00216474" w:rsidP="00C66994">
      <w:pPr>
        <w:tabs>
          <w:tab w:val="left" w:pos="4667"/>
        </w:tabs>
        <w:ind w:left="567" w:right="567"/>
        <w:rPr>
          <w:rFonts w:cs="Tahoma"/>
          <w:b/>
          <w:bCs/>
          <w:i/>
          <w:szCs w:val="22"/>
        </w:rPr>
      </w:pPr>
      <w:r w:rsidRPr="00C66994">
        <w:rPr>
          <w:rFonts w:cs="Tahoma"/>
          <w:b/>
          <w:bCs/>
          <w:i/>
          <w:szCs w:val="22"/>
        </w:rPr>
        <w:t>00049/UAI/IP/2024</w:t>
      </w:r>
    </w:p>
    <w:p w14:paraId="5607A5DF" w14:textId="07CDA94A" w:rsidR="00216474" w:rsidRPr="00C66994" w:rsidRDefault="00216474" w:rsidP="00C66994">
      <w:pPr>
        <w:tabs>
          <w:tab w:val="left" w:pos="4667"/>
        </w:tabs>
        <w:spacing w:line="240" w:lineRule="auto"/>
        <w:ind w:left="567" w:right="567"/>
        <w:rPr>
          <w:rFonts w:cs="Tahoma"/>
          <w:bCs/>
          <w:i/>
          <w:szCs w:val="22"/>
        </w:rPr>
      </w:pPr>
      <w:proofErr w:type="gramStart"/>
      <w:r w:rsidRPr="00C66994">
        <w:rPr>
          <w:rFonts w:cs="Tahoma"/>
          <w:bCs/>
          <w:i/>
          <w:szCs w:val="22"/>
        </w:rPr>
        <w:t>versión</w:t>
      </w:r>
      <w:proofErr w:type="gramEnd"/>
      <w:r w:rsidRPr="00C66994">
        <w:rPr>
          <w:rFonts w:cs="Tahoma"/>
          <w:bCs/>
          <w:i/>
          <w:szCs w:val="22"/>
        </w:rPr>
        <w:t xml:space="preserve"> pública de todos los oficios emitidos por la dirección de responsabilidades a la unidad de asuntos internos de la primera y segunda quincena de agosto de 2024.</w:t>
      </w:r>
    </w:p>
    <w:p w14:paraId="51E60E21" w14:textId="77777777" w:rsidR="00216474" w:rsidRPr="00C66994" w:rsidRDefault="00216474" w:rsidP="00C66994">
      <w:pPr>
        <w:tabs>
          <w:tab w:val="left" w:pos="4667"/>
        </w:tabs>
        <w:spacing w:line="240" w:lineRule="auto"/>
        <w:ind w:left="567" w:right="567"/>
        <w:rPr>
          <w:rFonts w:cs="Tahoma"/>
          <w:bCs/>
          <w:i/>
          <w:szCs w:val="22"/>
        </w:rPr>
      </w:pPr>
    </w:p>
    <w:p w14:paraId="7B667FC9" w14:textId="4F4D8CE4" w:rsidR="007D1C55" w:rsidRPr="00C66994" w:rsidRDefault="009A2D78" w:rsidP="00C66994">
      <w:pPr>
        <w:tabs>
          <w:tab w:val="left" w:pos="4667"/>
        </w:tabs>
        <w:ind w:left="567" w:right="567"/>
        <w:rPr>
          <w:rFonts w:cs="Tahoma"/>
          <w:bCs/>
          <w:szCs w:val="22"/>
        </w:rPr>
      </w:pPr>
      <w:r w:rsidRPr="00C66994">
        <w:rPr>
          <w:rFonts w:cs="Tahoma"/>
          <w:b/>
          <w:bCs/>
          <w:szCs w:val="22"/>
        </w:rPr>
        <w:t>Modalidad de entrega</w:t>
      </w:r>
      <w:r w:rsidRPr="00C66994">
        <w:rPr>
          <w:rFonts w:cs="Tahoma"/>
          <w:bCs/>
          <w:szCs w:val="22"/>
        </w:rPr>
        <w:t>: a</w:t>
      </w:r>
      <w:r w:rsidR="00664420" w:rsidRPr="00C66994">
        <w:rPr>
          <w:rFonts w:cs="Tahoma"/>
          <w:bCs/>
          <w:i/>
          <w:szCs w:val="22"/>
        </w:rPr>
        <w:t xml:space="preserve"> través del SAIMEX</w:t>
      </w:r>
      <w:r w:rsidRPr="00C66994">
        <w:rPr>
          <w:rFonts w:cs="Tahoma"/>
          <w:bCs/>
          <w:i/>
          <w:szCs w:val="22"/>
        </w:rPr>
        <w:t>.</w:t>
      </w:r>
    </w:p>
    <w:p w14:paraId="3212BA4D" w14:textId="70003B8C" w:rsidR="00664420" w:rsidRPr="00C66994" w:rsidRDefault="00622553" w:rsidP="00C66994">
      <w:pPr>
        <w:pStyle w:val="Ttulo3"/>
        <w:rPr>
          <w:rFonts w:eastAsia="Calibri"/>
          <w:lang w:eastAsia="en-US"/>
        </w:rPr>
      </w:pPr>
      <w:bookmarkStart w:id="6" w:name="_Toc183621249"/>
      <w:r w:rsidRPr="00C66994">
        <w:rPr>
          <w:lang w:val="es-ES"/>
        </w:rPr>
        <w:lastRenderedPageBreak/>
        <w:t>b</w:t>
      </w:r>
      <w:r w:rsidR="00E37A3F" w:rsidRPr="00C66994">
        <w:rPr>
          <w:lang w:val="es-ES"/>
        </w:rPr>
        <w:t xml:space="preserve">) </w:t>
      </w:r>
      <w:r w:rsidR="00664420" w:rsidRPr="00C66994">
        <w:rPr>
          <w:lang w:val="es-ES"/>
        </w:rPr>
        <w:t>Respuesta</w:t>
      </w:r>
      <w:r w:rsidR="00A97B5B" w:rsidRPr="00C66994">
        <w:rPr>
          <w:lang w:val="es-ES"/>
        </w:rPr>
        <w:t>s</w:t>
      </w:r>
      <w:r w:rsidR="00664420" w:rsidRPr="00C66994">
        <w:rPr>
          <w:lang w:val="es-ES"/>
        </w:rPr>
        <w:t xml:space="preserve"> </w:t>
      </w:r>
      <w:r w:rsidR="00664420" w:rsidRPr="00C66994">
        <w:rPr>
          <w:rFonts w:eastAsia="Calibri"/>
          <w:lang w:eastAsia="en-US"/>
        </w:rPr>
        <w:t>del Sujeto Obligado</w:t>
      </w:r>
      <w:bookmarkEnd w:id="6"/>
    </w:p>
    <w:p w14:paraId="79199CC1" w14:textId="39C663EB" w:rsidR="00664420" w:rsidRPr="00C66994" w:rsidRDefault="00664420" w:rsidP="00C66994">
      <w:pPr>
        <w:pStyle w:val="Sinespaciado"/>
        <w:spacing w:after="240" w:line="360" w:lineRule="auto"/>
        <w:rPr>
          <w:lang w:val="es-ES"/>
        </w:rPr>
      </w:pPr>
      <w:r w:rsidRPr="00C66994">
        <w:rPr>
          <w:lang w:val="es-ES"/>
        </w:rPr>
        <w:t xml:space="preserve">El </w:t>
      </w:r>
      <w:r w:rsidR="00622553" w:rsidRPr="00C66994">
        <w:rPr>
          <w:b/>
          <w:bCs/>
          <w:lang w:val="es-ES"/>
        </w:rPr>
        <w:t>nueve de octubre</w:t>
      </w:r>
      <w:r w:rsidR="00BC7DCE" w:rsidRPr="00C66994">
        <w:rPr>
          <w:b/>
          <w:bCs/>
          <w:lang w:val="es-ES"/>
        </w:rPr>
        <w:t xml:space="preserve"> de dos mil veinticuatro,</w:t>
      </w:r>
      <w:r w:rsidRPr="00C66994">
        <w:rPr>
          <w:lang w:val="es-ES"/>
        </w:rPr>
        <w:t xml:space="preserve"> </w:t>
      </w:r>
      <w:r w:rsidR="00F07EE6" w:rsidRPr="00C66994">
        <w:rPr>
          <w:lang w:val="es-ES"/>
        </w:rPr>
        <w:t xml:space="preserve">el Titular de la Unidad de Transparencia del </w:t>
      </w:r>
      <w:r w:rsidR="00F07EE6" w:rsidRPr="00C66994">
        <w:rPr>
          <w:b/>
          <w:lang w:val="es-ES"/>
        </w:rPr>
        <w:t>SUJETO OBLIGADO</w:t>
      </w:r>
      <w:r w:rsidR="00F07EE6" w:rsidRPr="00C66994">
        <w:rPr>
          <w:lang w:val="es-ES"/>
        </w:rPr>
        <w:t xml:space="preserve"> notificó la siguiente respuesta a través del </w:t>
      </w:r>
      <w:r w:rsidRPr="00C66994">
        <w:rPr>
          <w:lang w:val="es-ES"/>
        </w:rPr>
        <w:t>SAIMEX</w:t>
      </w:r>
      <w:r w:rsidR="00F07EE6" w:rsidRPr="00C66994">
        <w:rPr>
          <w:lang w:val="es-ES"/>
        </w:rPr>
        <w:t>:</w:t>
      </w:r>
    </w:p>
    <w:p w14:paraId="11E57CD8" w14:textId="6AB5ACA8" w:rsidR="00622553" w:rsidRPr="00C66994" w:rsidRDefault="00487880" w:rsidP="00C66994">
      <w:pPr>
        <w:pStyle w:val="Puesto"/>
      </w:pPr>
      <w:r w:rsidRPr="00C66994">
        <w:t>“</w:t>
      </w:r>
      <w:r w:rsidR="00622553" w:rsidRPr="00C66994">
        <w:t>Se adjunta respuesta a su solicitud</w:t>
      </w:r>
    </w:p>
    <w:p w14:paraId="2BF315C7" w14:textId="77777777" w:rsidR="00622553" w:rsidRPr="00C66994" w:rsidRDefault="00622553" w:rsidP="00C66994">
      <w:pPr>
        <w:pStyle w:val="Puesto"/>
      </w:pPr>
      <w:r w:rsidRPr="00C66994">
        <w:t>ATENTAMENTE</w:t>
      </w:r>
    </w:p>
    <w:p w14:paraId="5D11024C" w14:textId="22CD7756" w:rsidR="00664420" w:rsidRPr="00C66994" w:rsidRDefault="00622553" w:rsidP="00C66994">
      <w:pPr>
        <w:pStyle w:val="Puesto"/>
        <w:spacing w:after="240"/>
      </w:pPr>
      <w:r w:rsidRPr="00C66994">
        <w:t>MTRO HÉCTOR DANIEL ZARAGOZA MANRÍQUE</w:t>
      </w:r>
      <w:r w:rsidR="00487880" w:rsidRPr="00C66994">
        <w:t>”</w:t>
      </w:r>
    </w:p>
    <w:tbl>
      <w:tblPr>
        <w:tblStyle w:val="Tablaconcuadrcula"/>
        <w:tblW w:w="9087" w:type="dxa"/>
        <w:jc w:val="center"/>
        <w:tblLook w:val="04A0" w:firstRow="1" w:lastRow="0" w:firstColumn="1" w:lastColumn="0" w:noHBand="0" w:noVBand="1"/>
      </w:tblPr>
      <w:tblGrid>
        <w:gridCol w:w="2122"/>
        <w:gridCol w:w="6965"/>
      </w:tblGrid>
      <w:tr w:rsidR="00C66994" w:rsidRPr="00C66994" w14:paraId="0C47F72F" w14:textId="77777777" w:rsidTr="00C66994">
        <w:trPr>
          <w:jc w:val="center"/>
        </w:trPr>
        <w:tc>
          <w:tcPr>
            <w:tcW w:w="2122" w:type="dxa"/>
          </w:tcPr>
          <w:p w14:paraId="5395928F" w14:textId="35A171CD" w:rsidR="00622553" w:rsidRPr="00C66994" w:rsidRDefault="00622553" w:rsidP="00C66994">
            <w:pPr>
              <w:rPr>
                <w:rFonts w:cs="Tahoma"/>
                <w:b/>
                <w:bCs/>
                <w:sz w:val="20"/>
              </w:rPr>
            </w:pPr>
            <w:r w:rsidRPr="00C66994">
              <w:rPr>
                <w:rFonts w:cs="Tahoma"/>
                <w:b/>
                <w:bCs/>
                <w:sz w:val="20"/>
              </w:rPr>
              <w:t>Solicitud de Información</w:t>
            </w:r>
          </w:p>
        </w:tc>
        <w:tc>
          <w:tcPr>
            <w:tcW w:w="6965" w:type="dxa"/>
            <w:vMerge w:val="restart"/>
          </w:tcPr>
          <w:p w14:paraId="774A1FC5" w14:textId="76EAF390" w:rsidR="00625BCF" w:rsidRPr="00C66994" w:rsidRDefault="00625BCF" w:rsidP="00C66994">
            <w:pPr>
              <w:spacing w:line="240" w:lineRule="auto"/>
              <w:rPr>
                <w:sz w:val="20"/>
              </w:rPr>
            </w:pPr>
            <w:r w:rsidRPr="00C66994">
              <w:rPr>
                <w:sz w:val="20"/>
              </w:rPr>
              <w:t>Es menester señalar que los documentos digitales presentados en calidad de respuesta medularmente contienen lo siguiente, en todas las solicitudes de información:</w:t>
            </w:r>
          </w:p>
          <w:p w14:paraId="73F7656A" w14:textId="14CD99ED" w:rsidR="00625BCF" w:rsidRPr="00C66994" w:rsidRDefault="00625BCF" w:rsidP="00C66994">
            <w:pPr>
              <w:pStyle w:val="Prrafodelista"/>
              <w:numPr>
                <w:ilvl w:val="0"/>
                <w:numId w:val="22"/>
              </w:numPr>
              <w:spacing w:line="240" w:lineRule="auto"/>
              <w:rPr>
                <w:sz w:val="20"/>
              </w:rPr>
            </w:pPr>
            <w:r w:rsidRPr="00C66994">
              <w:rPr>
                <w:sz w:val="20"/>
              </w:rPr>
              <w:t xml:space="preserve">Acta de la Cuarta Sesión Ordinaria de fecha 3 de octubre de 2024 en donde el Comité de Transparencia a través del acuerdo UAI/CT/ORDINARIA/2024/04/03 </w:t>
            </w:r>
            <w:r w:rsidR="001C763C" w:rsidRPr="00C66994">
              <w:rPr>
                <w:sz w:val="20"/>
              </w:rPr>
              <w:t>aprueba la clasificación de la información solicitada como reservada, bajo el argumento de que la divulgación de la documentación respectiva pudiese ocasionar un perjuicio en los procedimientos de investigación sustanciados en contra de integrantes de la Secretaria de Seguridad Del estado de México.</w:t>
            </w:r>
          </w:p>
          <w:p w14:paraId="14AB8176" w14:textId="77777777" w:rsidR="001C763C" w:rsidRPr="00C66994" w:rsidRDefault="001C763C" w:rsidP="00C66994">
            <w:pPr>
              <w:pStyle w:val="Prrafodelista"/>
              <w:numPr>
                <w:ilvl w:val="0"/>
                <w:numId w:val="22"/>
              </w:numPr>
              <w:spacing w:line="240" w:lineRule="auto"/>
              <w:rPr>
                <w:sz w:val="20"/>
              </w:rPr>
            </w:pPr>
            <w:r w:rsidRPr="00C66994">
              <w:rPr>
                <w:sz w:val="20"/>
              </w:rPr>
              <w:t xml:space="preserve">Prueba de Daño que consta de 8 fojas en donde se manifiesta que la información solicitada actualiza la causal de reserva establecida en el numeral 140 fracción VIII de la Ley de Transparencia Local, pues al publicarse la información se vulneraria la conducción de expedientes para la debida instauración del procedimiento administrativo derivado del incumplimiento a los requisitos u obligaciones de los integrantes de la Secretaría de Seguridad del Estado de México. </w:t>
            </w:r>
          </w:p>
          <w:p w14:paraId="2C246BCA" w14:textId="4676AF34" w:rsidR="001C763C" w:rsidRPr="00C66994" w:rsidRDefault="001C763C" w:rsidP="00C66994">
            <w:pPr>
              <w:pStyle w:val="Prrafodelista"/>
              <w:numPr>
                <w:ilvl w:val="0"/>
                <w:numId w:val="22"/>
              </w:numPr>
              <w:spacing w:line="240" w:lineRule="auto"/>
            </w:pPr>
            <w:r w:rsidRPr="00C66994">
              <w:rPr>
                <w:sz w:val="20"/>
              </w:rPr>
              <w:t xml:space="preserve">Oficios signados por el Titular de la Unidad de Transparencia en donde refiere que, las solicitudes de información se turnaron a la Dirección de Responsabilidades en Asuntos Internos la cual, después de analizar las mismas manifiesta medularmente que, con fundamento en el artículo 140 fracción VIII de la Ley de la materia, la información debe considerarse como clasificada, de igual forma resulta imposible realizar una versión pública tomando en cuenta que los oficios de dicha Dirección contienen datos personales generados por la Dirección de Investigación y Supervisión que provienen de una investigación por infracciones al régimen disciplinario </w:t>
            </w:r>
            <w:r w:rsidR="00487880" w:rsidRPr="00C66994">
              <w:rPr>
                <w:sz w:val="20"/>
              </w:rPr>
              <w:t>o requisitos de permanencia de los integrantes de la Secretaria de Seguridad Pública del Estado de México.</w:t>
            </w:r>
            <w:r w:rsidRPr="00C66994">
              <w:t xml:space="preserve"> </w:t>
            </w:r>
          </w:p>
        </w:tc>
      </w:tr>
      <w:tr w:rsidR="00C66994" w:rsidRPr="00C66994" w14:paraId="38DAF8E0" w14:textId="77777777" w:rsidTr="00C66994">
        <w:trPr>
          <w:jc w:val="center"/>
        </w:trPr>
        <w:tc>
          <w:tcPr>
            <w:tcW w:w="2122" w:type="dxa"/>
          </w:tcPr>
          <w:p w14:paraId="0F6D7AF2" w14:textId="2FEB795E" w:rsidR="00622553" w:rsidRPr="00C66994" w:rsidRDefault="00622553" w:rsidP="00C66994">
            <w:pPr>
              <w:rPr>
                <w:sz w:val="20"/>
              </w:rPr>
            </w:pPr>
            <w:r w:rsidRPr="00C66994">
              <w:rPr>
                <w:rFonts w:cs="Tahoma"/>
                <w:b/>
                <w:bCs/>
                <w:sz w:val="20"/>
              </w:rPr>
              <w:t>00015/UAI/IP/2024</w:t>
            </w:r>
          </w:p>
        </w:tc>
        <w:tc>
          <w:tcPr>
            <w:tcW w:w="6965" w:type="dxa"/>
            <w:vMerge/>
          </w:tcPr>
          <w:p w14:paraId="76125886" w14:textId="77777777" w:rsidR="00622553" w:rsidRPr="00C66994" w:rsidRDefault="00622553" w:rsidP="00C66994"/>
        </w:tc>
      </w:tr>
      <w:tr w:rsidR="00C66994" w:rsidRPr="00C66994" w14:paraId="5A3365E0" w14:textId="77777777" w:rsidTr="00C66994">
        <w:trPr>
          <w:jc w:val="center"/>
        </w:trPr>
        <w:tc>
          <w:tcPr>
            <w:tcW w:w="2122" w:type="dxa"/>
          </w:tcPr>
          <w:p w14:paraId="438A8E4E" w14:textId="45C3EF7D" w:rsidR="00622553" w:rsidRPr="00C66994" w:rsidRDefault="00622553" w:rsidP="00C66994">
            <w:pPr>
              <w:rPr>
                <w:sz w:val="20"/>
              </w:rPr>
            </w:pPr>
            <w:r w:rsidRPr="00C66994">
              <w:rPr>
                <w:rFonts w:cs="Tahoma"/>
                <w:b/>
                <w:bCs/>
                <w:sz w:val="20"/>
              </w:rPr>
              <w:t>00019/UAI/IP/2024</w:t>
            </w:r>
          </w:p>
        </w:tc>
        <w:tc>
          <w:tcPr>
            <w:tcW w:w="6965" w:type="dxa"/>
            <w:vMerge/>
          </w:tcPr>
          <w:p w14:paraId="35821383" w14:textId="77777777" w:rsidR="00622553" w:rsidRPr="00C66994" w:rsidRDefault="00622553" w:rsidP="00C66994"/>
        </w:tc>
      </w:tr>
      <w:tr w:rsidR="00C66994" w:rsidRPr="00C66994" w14:paraId="1E748114" w14:textId="77777777" w:rsidTr="00C66994">
        <w:trPr>
          <w:jc w:val="center"/>
        </w:trPr>
        <w:tc>
          <w:tcPr>
            <w:tcW w:w="2122" w:type="dxa"/>
          </w:tcPr>
          <w:p w14:paraId="00D821B0" w14:textId="174D8AF7" w:rsidR="00622553" w:rsidRPr="00C66994" w:rsidRDefault="00622553" w:rsidP="00C66994">
            <w:pPr>
              <w:rPr>
                <w:sz w:val="20"/>
              </w:rPr>
            </w:pPr>
            <w:r w:rsidRPr="00C66994">
              <w:rPr>
                <w:rFonts w:cs="Tahoma"/>
                <w:b/>
                <w:bCs/>
                <w:sz w:val="20"/>
              </w:rPr>
              <w:t>00043/UAI/IP/2024</w:t>
            </w:r>
          </w:p>
        </w:tc>
        <w:tc>
          <w:tcPr>
            <w:tcW w:w="6965" w:type="dxa"/>
            <w:vMerge/>
          </w:tcPr>
          <w:p w14:paraId="7E911235" w14:textId="77777777" w:rsidR="00622553" w:rsidRPr="00C66994" w:rsidRDefault="00622553" w:rsidP="00C66994"/>
        </w:tc>
      </w:tr>
      <w:tr w:rsidR="00C66994" w:rsidRPr="00C66994" w14:paraId="7A0D3F67" w14:textId="77777777" w:rsidTr="00C66994">
        <w:trPr>
          <w:jc w:val="center"/>
        </w:trPr>
        <w:tc>
          <w:tcPr>
            <w:tcW w:w="2122" w:type="dxa"/>
          </w:tcPr>
          <w:p w14:paraId="7688AB03" w14:textId="1CBB2E50" w:rsidR="00622553" w:rsidRPr="00C66994" w:rsidRDefault="00622553" w:rsidP="00C66994">
            <w:pPr>
              <w:rPr>
                <w:sz w:val="20"/>
              </w:rPr>
            </w:pPr>
            <w:r w:rsidRPr="00C66994">
              <w:rPr>
                <w:rFonts w:cs="Tahoma"/>
                <w:b/>
                <w:bCs/>
                <w:sz w:val="20"/>
              </w:rPr>
              <w:t>00044/UAI/IP/2024</w:t>
            </w:r>
          </w:p>
        </w:tc>
        <w:tc>
          <w:tcPr>
            <w:tcW w:w="6965" w:type="dxa"/>
            <w:vMerge/>
          </w:tcPr>
          <w:p w14:paraId="74158E9E" w14:textId="77777777" w:rsidR="00622553" w:rsidRPr="00C66994" w:rsidRDefault="00622553" w:rsidP="00C66994"/>
        </w:tc>
      </w:tr>
      <w:tr w:rsidR="00C66994" w:rsidRPr="00C66994" w14:paraId="3AC59C04" w14:textId="77777777" w:rsidTr="00C66994">
        <w:trPr>
          <w:jc w:val="center"/>
        </w:trPr>
        <w:tc>
          <w:tcPr>
            <w:tcW w:w="2122" w:type="dxa"/>
          </w:tcPr>
          <w:p w14:paraId="694643EF" w14:textId="0B8287B3" w:rsidR="00622553" w:rsidRPr="00C66994" w:rsidRDefault="00622553" w:rsidP="00C66994">
            <w:pPr>
              <w:rPr>
                <w:sz w:val="20"/>
              </w:rPr>
            </w:pPr>
            <w:r w:rsidRPr="00C66994">
              <w:rPr>
                <w:rFonts w:cs="Tahoma"/>
                <w:b/>
                <w:bCs/>
                <w:sz w:val="20"/>
              </w:rPr>
              <w:t>00045/UAI/IP/2024</w:t>
            </w:r>
          </w:p>
        </w:tc>
        <w:tc>
          <w:tcPr>
            <w:tcW w:w="6965" w:type="dxa"/>
            <w:vMerge/>
          </w:tcPr>
          <w:p w14:paraId="47A908DB" w14:textId="77777777" w:rsidR="00622553" w:rsidRPr="00C66994" w:rsidRDefault="00622553" w:rsidP="00C66994"/>
        </w:tc>
      </w:tr>
      <w:tr w:rsidR="00C66994" w:rsidRPr="00C66994" w14:paraId="178AD3EA" w14:textId="77777777" w:rsidTr="00C66994">
        <w:trPr>
          <w:jc w:val="center"/>
        </w:trPr>
        <w:tc>
          <w:tcPr>
            <w:tcW w:w="2122" w:type="dxa"/>
          </w:tcPr>
          <w:p w14:paraId="49FF12DB" w14:textId="2F38B349" w:rsidR="00622553" w:rsidRPr="00C66994" w:rsidRDefault="00622553" w:rsidP="00C66994">
            <w:pPr>
              <w:rPr>
                <w:sz w:val="20"/>
              </w:rPr>
            </w:pPr>
            <w:r w:rsidRPr="00C66994">
              <w:rPr>
                <w:rFonts w:cs="Tahoma"/>
                <w:b/>
                <w:bCs/>
                <w:sz w:val="20"/>
              </w:rPr>
              <w:t>00046/UAI/IP/2024</w:t>
            </w:r>
          </w:p>
        </w:tc>
        <w:tc>
          <w:tcPr>
            <w:tcW w:w="6965" w:type="dxa"/>
            <w:vMerge/>
          </w:tcPr>
          <w:p w14:paraId="59832763" w14:textId="77777777" w:rsidR="00622553" w:rsidRPr="00C66994" w:rsidRDefault="00622553" w:rsidP="00C66994"/>
        </w:tc>
      </w:tr>
      <w:tr w:rsidR="00C66994" w:rsidRPr="00C66994" w14:paraId="17319EF9" w14:textId="77777777" w:rsidTr="00C66994">
        <w:trPr>
          <w:jc w:val="center"/>
        </w:trPr>
        <w:tc>
          <w:tcPr>
            <w:tcW w:w="2122" w:type="dxa"/>
          </w:tcPr>
          <w:p w14:paraId="43F06E68" w14:textId="76249717" w:rsidR="00622553" w:rsidRPr="00C66994" w:rsidRDefault="00622553" w:rsidP="00C66994">
            <w:pPr>
              <w:rPr>
                <w:sz w:val="20"/>
              </w:rPr>
            </w:pPr>
            <w:r w:rsidRPr="00C66994">
              <w:rPr>
                <w:rFonts w:cs="Tahoma"/>
                <w:b/>
                <w:bCs/>
                <w:sz w:val="20"/>
              </w:rPr>
              <w:t>00047/UAI/IP/2024</w:t>
            </w:r>
          </w:p>
        </w:tc>
        <w:tc>
          <w:tcPr>
            <w:tcW w:w="6965" w:type="dxa"/>
            <w:vMerge/>
          </w:tcPr>
          <w:p w14:paraId="79C860AC" w14:textId="77777777" w:rsidR="00622553" w:rsidRPr="00C66994" w:rsidRDefault="00622553" w:rsidP="00C66994"/>
        </w:tc>
      </w:tr>
      <w:tr w:rsidR="00C66994" w:rsidRPr="00C66994" w14:paraId="63BAB827" w14:textId="77777777" w:rsidTr="00C66994">
        <w:trPr>
          <w:jc w:val="center"/>
        </w:trPr>
        <w:tc>
          <w:tcPr>
            <w:tcW w:w="2122" w:type="dxa"/>
          </w:tcPr>
          <w:p w14:paraId="65AC6CEE" w14:textId="431123F6" w:rsidR="00622553" w:rsidRPr="00C66994" w:rsidRDefault="00622553" w:rsidP="00C66994">
            <w:pPr>
              <w:rPr>
                <w:sz w:val="20"/>
              </w:rPr>
            </w:pPr>
            <w:r w:rsidRPr="00C66994">
              <w:rPr>
                <w:rFonts w:cs="Tahoma"/>
                <w:b/>
                <w:bCs/>
                <w:sz w:val="20"/>
              </w:rPr>
              <w:t>00048/UAI/IP/2024</w:t>
            </w:r>
          </w:p>
        </w:tc>
        <w:tc>
          <w:tcPr>
            <w:tcW w:w="6965" w:type="dxa"/>
            <w:vMerge/>
          </w:tcPr>
          <w:p w14:paraId="22DBC253" w14:textId="77777777" w:rsidR="00622553" w:rsidRPr="00C66994" w:rsidRDefault="00622553" w:rsidP="00C66994"/>
        </w:tc>
      </w:tr>
      <w:tr w:rsidR="00C66994" w:rsidRPr="00C66994" w14:paraId="5EB8A3EF" w14:textId="77777777" w:rsidTr="00C66994">
        <w:trPr>
          <w:jc w:val="center"/>
        </w:trPr>
        <w:tc>
          <w:tcPr>
            <w:tcW w:w="2122" w:type="dxa"/>
          </w:tcPr>
          <w:p w14:paraId="1B31FF87" w14:textId="6F47B5F8" w:rsidR="00622553" w:rsidRPr="00C66994" w:rsidRDefault="00622553" w:rsidP="00C66994">
            <w:pPr>
              <w:rPr>
                <w:sz w:val="20"/>
              </w:rPr>
            </w:pPr>
            <w:r w:rsidRPr="00C66994">
              <w:rPr>
                <w:rFonts w:cs="Tahoma"/>
                <w:b/>
                <w:bCs/>
                <w:sz w:val="20"/>
              </w:rPr>
              <w:t>00049/UAI/IP/2024</w:t>
            </w:r>
          </w:p>
        </w:tc>
        <w:tc>
          <w:tcPr>
            <w:tcW w:w="6965" w:type="dxa"/>
            <w:vMerge/>
          </w:tcPr>
          <w:p w14:paraId="682496C3" w14:textId="77777777" w:rsidR="00622553" w:rsidRPr="00C66994" w:rsidRDefault="00622553" w:rsidP="00C66994"/>
        </w:tc>
      </w:tr>
    </w:tbl>
    <w:p w14:paraId="4E767382" w14:textId="77777777" w:rsidR="00784235" w:rsidRPr="00C66994" w:rsidRDefault="00784235" w:rsidP="00C66994">
      <w:pPr>
        <w:autoSpaceDE w:val="0"/>
        <w:autoSpaceDN w:val="0"/>
        <w:adjustRightInd w:val="0"/>
        <w:ind w:right="-28"/>
        <w:rPr>
          <w:rFonts w:cs="Tahoma"/>
          <w:bCs/>
          <w:szCs w:val="22"/>
          <w:lang w:val="es-ES"/>
        </w:rPr>
      </w:pPr>
    </w:p>
    <w:p w14:paraId="5A5DAB9E" w14:textId="7F81AAA5" w:rsidR="00E37A3F" w:rsidRPr="00C66994" w:rsidRDefault="00E37A3F" w:rsidP="00C66994">
      <w:pPr>
        <w:pStyle w:val="Ttulo2"/>
        <w:jc w:val="left"/>
      </w:pPr>
      <w:bookmarkStart w:id="7" w:name="_Toc183621250"/>
      <w:r w:rsidRPr="00C66994">
        <w:lastRenderedPageBreak/>
        <w:t>D</w:t>
      </w:r>
      <w:r w:rsidR="00784235" w:rsidRPr="00C66994">
        <w:t>E LOS</w:t>
      </w:r>
      <w:r w:rsidRPr="00C66994">
        <w:t xml:space="preserve"> RECURSO</w:t>
      </w:r>
      <w:r w:rsidR="00784235" w:rsidRPr="00C66994">
        <w:t>S</w:t>
      </w:r>
      <w:r w:rsidRPr="00C66994">
        <w:t xml:space="preserve"> DE REVISIÓN</w:t>
      </w:r>
      <w:bookmarkEnd w:id="7"/>
    </w:p>
    <w:p w14:paraId="2B216813" w14:textId="44611952" w:rsidR="00664420" w:rsidRPr="00C66994" w:rsidRDefault="006E25BC" w:rsidP="00C66994">
      <w:pPr>
        <w:pStyle w:val="Ttulo3"/>
      </w:pPr>
      <w:bookmarkStart w:id="8" w:name="_Toc183621251"/>
      <w:r w:rsidRPr="00C66994">
        <w:rPr>
          <w:szCs w:val="32"/>
        </w:rPr>
        <w:t>a)</w:t>
      </w:r>
      <w:r w:rsidRPr="00C66994">
        <w:t xml:space="preserve"> </w:t>
      </w:r>
      <w:r w:rsidR="00784235" w:rsidRPr="00C66994">
        <w:t>Interposición de los</w:t>
      </w:r>
      <w:r w:rsidR="00664420" w:rsidRPr="00C66994">
        <w:t xml:space="preserve"> Recurso</w:t>
      </w:r>
      <w:r w:rsidR="00784235" w:rsidRPr="00C66994">
        <w:t>s</w:t>
      </w:r>
      <w:r w:rsidR="00664420" w:rsidRPr="00C66994">
        <w:t xml:space="preserve"> de Revisión</w:t>
      </w:r>
      <w:bookmarkEnd w:id="8"/>
    </w:p>
    <w:p w14:paraId="6279C622" w14:textId="3A2E245A" w:rsidR="00664420" w:rsidRPr="00C66994" w:rsidRDefault="00664420" w:rsidP="00C66994">
      <w:pPr>
        <w:autoSpaceDE w:val="0"/>
        <w:autoSpaceDN w:val="0"/>
        <w:adjustRightInd w:val="0"/>
        <w:ind w:right="-28"/>
        <w:rPr>
          <w:rFonts w:cs="Tahoma"/>
          <w:szCs w:val="22"/>
        </w:rPr>
      </w:pPr>
      <w:r w:rsidRPr="00C66994">
        <w:rPr>
          <w:rFonts w:cs="Tahoma"/>
          <w:szCs w:val="22"/>
        </w:rPr>
        <w:t xml:space="preserve">El </w:t>
      </w:r>
      <w:r w:rsidR="00487880" w:rsidRPr="00C66994">
        <w:rPr>
          <w:rFonts w:cs="Tahoma"/>
          <w:b/>
          <w:bCs/>
          <w:szCs w:val="22"/>
        </w:rPr>
        <w:t>diez de octubre</w:t>
      </w:r>
      <w:r w:rsidR="00784235" w:rsidRPr="00C66994">
        <w:rPr>
          <w:rFonts w:cs="Tahoma"/>
          <w:b/>
          <w:bCs/>
          <w:szCs w:val="22"/>
        </w:rPr>
        <w:t xml:space="preserve"> de dos mil veinticuatro</w:t>
      </w:r>
      <w:r w:rsidRPr="00C66994">
        <w:rPr>
          <w:rFonts w:cs="Tahoma"/>
          <w:szCs w:val="22"/>
        </w:rPr>
        <w:t xml:space="preserve"> </w:t>
      </w:r>
      <w:r w:rsidR="00F75D23" w:rsidRPr="00C66994">
        <w:rPr>
          <w:rFonts w:cs="Tahoma"/>
          <w:b/>
          <w:bCs/>
          <w:szCs w:val="22"/>
        </w:rPr>
        <w:t>LA PARTE RECURRENTE</w:t>
      </w:r>
      <w:r w:rsidR="00F75D23" w:rsidRPr="00C66994">
        <w:rPr>
          <w:rFonts w:cs="Tahoma"/>
          <w:szCs w:val="22"/>
        </w:rPr>
        <w:t xml:space="preserve"> interpuso </w:t>
      </w:r>
      <w:r w:rsidR="00784235" w:rsidRPr="00C66994">
        <w:rPr>
          <w:rFonts w:cs="Tahoma"/>
          <w:szCs w:val="22"/>
        </w:rPr>
        <w:t>los recursos</w:t>
      </w:r>
      <w:r w:rsidR="00F75D23" w:rsidRPr="00C66994">
        <w:rPr>
          <w:rFonts w:cs="Tahoma"/>
          <w:szCs w:val="22"/>
        </w:rPr>
        <w:t xml:space="preserve"> de revisión en contra de la</w:t>
      </w:r>
      <w:r w:rsidR="00784235" w:rsidRPr="00C66994">
        <w:rPr>
          <w:rFonts w:cs="Tahoma"/>
          <w:szCs w:val="22"/>
        </w:rPr>
        <w:t>s</w:t>
      </w:r>
      <w:r w:rsidR="00F75D23" w:rsidRPr="00C66994">
        <w:rPr>
          <w:rFonts w:cs="Tahoma"/>
          <w:szCs w:val="22"/>
        </w:rPr>
        <w:t xml:space="preserve"> respuesta</w:t>
      </w:r>
      <w:r w:rsidR="00784235" w:rsidRPr="00C66994">
        <w:rPr>
          <w:rFonts w:cs="Tahoma"/>
          <w:szCs w:val="22"/>
        </w:rPr>
        <w:t>s</w:t>
      </w:r>
      <w:r w:rsidR="00F75D23" w:rsidRPr="00C66994">
        <w:rPr>
          <w:rFonts w:cs="Tahoma"/>
          <w:szCs w:val="22"/>
        </w:rPr>
        <w:t xml:space="preserve"> emitida por el </w:t>
      </w:r>
      <w:r w:rsidR="00F75D23" w:rsidRPr="00C66994">
        <w:rPr>
          <w:rFonts w:cs="Tahoma"/>
          <w:b/>
          <w:bCs/>
          <w:szCs w:val="22"/>
        </w:rPr>
        <w:t>SUJETO OBLIGADO</w:t>
      </w:r>
      <w:r w:rsidR="00953430" w:rsidRPr="00C66994">
        <w:rPr>
          <w:rFonts w:cs="Tahoma"/>
          <w:szCs w:val="22"/>
        </w:rPr>
        <w:t>, mismo</w:t>
      </w:r>
      <w:r w:rsidR="00784235" w:rsidRPr="00C66994">
        <w:rPr>
          <w:rFonts w:cs="Tahoma"/>
          <w:szCs w:val="22"/>
        </w:rPr>
        <w:t>s</w:t>
      </w:r>
      <w:r w:rsidR="00953430" w:rsidRPr="00C66994">
        <w:rPr>
          <w:rFonts w:cs="Tahoma"/>
          <w:szCs w:val="22"/>
        </w:rPr>
        <w:t xml:space="preserve"> que fue</w:t>
      </w:r>
      <w:r w:rsidR="00784235" w:rsidRPr="00C66994">
        <w:rPr>
          <w:rFonts w:cs="Tahoma"/>
          <w:szCs w:val="22"/>
        </w:rPr>
        <w:t>ron</w:t>
      </w:r>
      <w:r w:rsidR="00953430" w:rsidRPr="00C66994">
        <w:rPr>
          <w:rFonts w:cs="Tahoma"/>
          <w:szCs w:val="22"/>
        </w:rPr>
        <w:t xml:space="preserve"> registrado</w:t>
      </w:r>
      <w:r w:rsidR="00784235" w:rsidRPr="00C66994">
        <w:rPr>
          <w:rFonts w:cs="Tahoma"/>
          <w:szCs w:val="22"/>
        </w:rPr>
        <w:t>s</w:t>
      </w:r>
      <w:r w:rsidR="00953430" w:rsidRPr="00C66994">
        <w:rPr>
          <w:rFonts w:cs="Tahoma"/>
          <w:szCs w:val="22"/>
        </w:rPr>
        <w:t xml:space="preserve"> en el SAIMEX con </w:t>
      </w:r>
      <w:r w:rsidR="00784235" w:rsidRPr="00C66994">
        <w:rPr>
          <w:rFonts w:cs="Tahoma"/>
          <w:szCs w:val="22"/>
        </w:rPr>
        <w:t>los</w:t>
      </w:r>
      <w:r w:rsidR="00953430" w:rsidRPr="00C66994">
        <w:rPr>
          <w:rFonts w:cs="Tahoma"/>
          <w:szCs w:val="22"/>
        </w:rPr>
        <w:t xml:space="preserve"> número</w:t>
      </w:r>
      <w:r w:rsidR="00784235" w:rsidRPr="00C66994">
        <w:rPr>
          <w:rFonts w:cs="Tahoma"/>
          <w:szCs w:val="22"/>
        </w:rPr>
        <w:t>s</w:t>
      </w:r>
      <w:r w:rsidR="00953430" w:rsidRPr="00C66994">
        <w:rPr>
          <w:rFonts w:cs="Tahoma"/>
          <w:szCs w:val="22"/>
        </w:rPr>
        <w:t xml:space="preserve"> de expediente </w:t>
      </w:r>
      <w:r w:rsidR="00487880" w:rsidRPr="00C66994">
        <w:rPr>
          <w:rFonts w:eastAsia="Calibri"/>
          <w:b/>
          <w:lang w:eastAsia="en-US"/>
        </w:rPr>
        <w:t>06172/INFOEM/IP/RR/2024, 06176/INFOEM/IP/RR/2024, 06205/INFOEM/IP/RR/2024, 06206/INFOEM/IP/RR/2024, 06207/INFOEM/IP/RR/2024, 06208/INFOEM/IP/RR/2024, 06209/INFOEM/IP/RR/2024, 06210/INFOEM/IP/RR/2024 y 06211/INFOEM/IP/RR/2024</w:t>
      </w:r>
      <w:r w:rsidR="00953430" w:rsidRPr="00C66994">
        <w:rPr>
          <w:rFonts w:cs="Tahoma"/>
          <w:szCs w:val="22"/>
        </w:rPr>
        <w:t xml:space="preserve">, y en </w:t>
      </w:r>
      <w:r w:rsidR="00784235" w:rsidRPr="00C66994">
        <w:rPr>
          <w:rFonts w:cs="Tahoma"/>
          <w:szCs w:val="22"/>
        </w:rPr>
        <w:t>los cuales</w:t>
      </w:r>
      <w:r w:rsidR="00953430" w:rsidRPr="00C66994">
        <w:rPr>
          <w:rFonts w:cs="Tahoma"/>
          <w:szCs w:val="22"/>
        </w:rPr>
        <w:t xml:space="preserve"> manifiesta lo siguiente</w:t>
      </w:r>
      <w:r w:rsidRPr="00C66994">
        <w:rPr>
          <w:rFonts w:cs="Tahoma"/>
          <w:szCs w:val="22"/>
        </w:rPr>
        <w:t>:</w:t>
      </w:r>
    </w:p>
    <w:p w14:paraId="74B30008" w14:textId="77777777" w:rsidR="00664420" w:rsidRPr="00C66994" w:rsidRDefault="00664420" w:rsidP="00C66994">
      <w:pPr>
        <w:tabs>
          <w:tab w:val="left" w:pos="4667"/>
        </w:tabs>
        <w:ind w:right="539"/>
        <w:rPr>
          <w:rFonts w:cs="Tahoma"/>
          <w:szCs w:val="22"/>
        </w:rPr>
      </w:pPr>
    </w:p>
    <w:p w14:paraId="18BF6011" w14:textId="30511DDA" w:rsidR="00784235" w:rsidRPr="00C66994" w:rsidRDefault="00784235" w:rsidP="00C66994">
      <w:pPr>
        <w:tabs>
          <w:tab w:val="left" w:pos="4667"/>
        </w:tabs>
        <w:ind w:right="539"/>
        <w:rPr>
          <w:rFonts w:cs="Tahoma"/>
          <w:b/>
          <w:szCs w:val="22"/>
          <w:u w:val="single"/>
        </w:rPr>
      </w:pPr>
      <w:r w:rsidRPr="00C66994">
        <w:rPr>
          <w:rFonts w:cs="Tahoma"/>
          <w:b/>
          <w:szCs w:val="22"/>
          <w:u w:val="single"/>
        </w:rPr>
        <w:t>Para todos los recursos de revisión promovidos:</w:t>
      </w:r>
    </w:p>
    <w:p w14:paraId="12153283" w14:textId="77777777" w:rsidR="00664420" w:rsidRPr="00C66994" w:rsidRDefault="00664420" w:rsidP="00C66994">
      <w:pPr>
        <w:tabs>
          <w:tab w:val="left" w:pos="4667"/>
        </w:tabs>
        <w:ind w:left="567" w:right="539"/>
        <w:rPr>
          <w:rFonts w:cs="Tahoma"/>
          <w:b/>
          <w:iCs/>
        </w:rPr>
      </w:pPr>
      <w:r w:rsidRPr="00C66994">
        <w:rPr>
          <w:rFonts w:cs="Tahoma"/>
          <w:b/>
          <w:iCs/>
        </w:rPr>
        <w:t>ACTO IMPUGNADO</w:t>
      </w:r>
      <w:r w:rsidRPr="00C66994">
        <w:rPr>
          <w:rFonts w:cs="Tahoma"/>
          <w:b/>
          <w:iCs/>
        </w:rPr>
        <w:tab/>
      </w:r>
    </w:p>
    <w:p w14:paraId="523F8BF4" w14:textId="550850DB" w:rsidR="00664420" w:rsidRPr="00C66994" w:rsidRDefault="00487880" w:rsidP="00C66994">
      <w:pPr>
        <w:tabs>
          <w:tab w:val="left" w:pos="4667"/>
        </w:tabs>
        <w:spacing w:line="240" w:lineRule="auto"/>
        <w:ind w:left="567" w:right="539"/>
        <w:rPr>
          <w:rFonts w:cs="Tahoma"/>
          <w:bCs/>
          <w:i/>
        </w:rPr>
      </w:pPr>
      <w:r w:rsidRPr="00C66994">
        <w:rPr>
          <w:rFonts w:cs="Tahoma"/>
          <w:bCs/>
          <w:i/>
        </w:rPr>
        <w:t>“la declaración de reserva de información en virtud que si bien mediante la entrega pudieran contener datos personales, por lo que, resulta oportuno observar lo dispuesto en los artículos 3, fracciones IX, XX, XXI y XLV; 4, 51, 91, 137 y 143 de la Ley de Transparencia y Acceso a la Información Pública del Estado de México y Municipios publicada el día cuatro de mayo de dos mil dieciséis, en el periódico oficial del Gobierno del Estado de México "Gaceta del Gobierno", de los cuales se desprende que el derecho de acceso a la información pública tiene como limitante el respeto a la intimidad y a la vida privada de las personas, por lo que la entrega de la información, en caso de contener datos personales, deberá ser en versión pública en la que se suprima aquella información relacionada con la vida privada de los particulares y de los servidores públicos</w:t>
      </w:r>
      <w:r w:rsidR="00784235" w:rsidRPr="00C66994">
        <w:rPr>
          <w:rFonts w:cs="Tahoma"/>
          <w:bCs/>
          <w:i/>
        </w:rPr>
        <w:t>.</w:t>
      </w:r>
      <w:r w:rsidRPr="00C66994">
        <w:rPr>
          <w:rFonts w:cs="Tahoma"/>
          <w:bCs/>
          <w:i/>
        </w:rPr>
        <w:t>”</w:t>
      </w:r>
    </w:p>
    <w:p w14:paraId="6AE8EA9A" w14:textId="77777777" w:rsidR="00664420" w:rsidRPr="00C66994" w:rsidRDefault="00664420" w:rsidP="00C66994">
      <w:pPr>
        <w:tabs>
          <w:tab w:val="left" w:pos="4667"/>
        </w:tabs>
        <w:ind w:right="539"/>
        <w:rPr>
          <w:rFonts w:cs="Tahoma"/>
          <w:bCs/>
          <w:i/>
        </w:rPr>
      </w:pPr>
    </w:p>
    <w:p w14:paraId="047D036B" w14:textId="77777777" w:rsidR="00664420" w:rsidRPr="00C66994" w:rsidRDefault="00664420" w:rsidP="00C66994">
      <w:pPr>
        <w:tabs>
          <w:tab w:val="left" w:pos="4667"/>
        </w:tabs>
        <w:ind w:left="567" w:right="539"/>
        <w:rPr>
          <w:rFonts w:cs="Tahoma"/>
          <w:b/>
          <w:iCs/>
        </w:rPr>
      </w:pPr>
      <w:r w:rsidRPr="00C66994">
        <w:rPr>
          <w:rFonts w:cs="Tahoma"/>
          <w:b/>
          <w:iCs/>
        </w:rPr>
        <w:t>RAZONES O MOTIVOS DE LA INCONFORMIDAD</w:t>
      </w:r>
      <w:r w:rsidRPr="00C66994">
        <w:rPr>
          <w:rFonts w:cs="Tahoma"/>
          <w:b/>
          <w:iCs/>
        </w:rPr>
        <w:tab/>
      </w:r>
    </w:p>
    <w:p w14:paraId="1DAE2563" w14:textId="05E6C539" w:rsidR="00953430" w:rsidRPr="00C66994" w:rsidRDefault="00487880" w:rsidP="00C66994">
      <w:pPr>
        <w:tabs>
          <w:tab w:val="left" w:pos="4667"/>
        </w:tabs>
        <w:spacing w:line="240" w:lineRule="auto"/>
        <w:ind w:left="567" w:right="539"/>
        <w:rPr>
          <w:rFonts w:cs="Tahoma"/>
          <w:bCs/>
          <w:i/>
        </w:rPr>
      </w:pPr>
      <w:r w:rsidRPr="00C66994">
        <w:rPr>
          <w:rFonts w:cs="Tahoma"/>
          <w:bCs/>
          <w:i/>
        </w:rPr>
        <w:t xml:space="preserve">“la declaración de reserva de información en virtud que si bien mediante la entrega pudieran contener datos personales, por lo que, resulta oportuno observar lo dispuesto en los artículos 3, fracciones IX, XX, XXI y XLV; 4, 51, 91, 137 y 143 de la Ley de Transparencia y Acceso a la Información Pública del Estado de México y Municipios publicada el día cuatro de mayo de dos mil dieciséis, en el periódico oficial del Gobierno del Estado de México "Gaceta del Gobierno", de los cuales se desprende que el derecho de acceso </w:t>
      </w:r>
      <w:r w:rsidRPr="00C66994">
        <w:rPr>
          <w:rFonts w:cs="Tahoma"/>
          <w:bCs/>
          <w:i/>
        </w:rPr>
        <w:lastRenderedPageBreak/>
        <w:t>a la información pública tiene como limitante el respeto a la intimidad y a la vida privada de las personas, por lo que la entrega de la información, en caso de contener datos personales, deberá ser en versión pública en la que se suprima aquella información relacionada con la vida privada de los particulares y de los servidores públicos</w:t>
      </w:r>
      <w:r w:rsidR="00784235" w:rsidRPr="00C66994">
        <w:rPr>
          <w:rFonts w:cs="Tahoma"/>
          <w:bCs/>
          <w:i/>
        </w:rPr>
        <w:t>.</w:t>
      </w:r>
      <w:r w:rsidRPr="00C66994">
        <w:rPr>
          <w:rFonts w:cs="Tahoma"/>
          <w:bCs/>
          <w:i/>
        </w:rPr>
        <w:t>”</w:t>
      </w:r>
    </w:p>
    <w:p w14:paraId="48FE75EA" w14:textId="77777777" w:rsidR="00664420" w:rsidRPr="00C66994" w:rsidRDefault="00664420" w:rsidP="00C66994">
      <w:pPr>
        <w:tabs>
          <w:tab w:val="left" w:pos="4667"/>
        </w:tabs>
        <w:ind w:right="567"/>
        <w:rPr>
          <w:rFonts w:cs="Tahoma"/>
          <w:b/>
          <w:bCs/>
        </w:rPr>
      </w:pPr>
    </w:p>
    <w:p w14:paraId="6804DEF1" w14:textId="181ECDB1" w:rsidR="00664420" w:rsidRPr="00C66994" w:rsidRDefault="006E25BC" w:rsidP="00C66994">
      <w:pPr>
        <w:pStyle w:val="Ttulo3"/>
      </w:pPr>
      <w:bookmarkStart w:id="9" w:name="_Toc183621252"/>
      <w:r w:rsidRPr="00C66994">
        <w:t>b</w:t>
      </w:r>
      <w:r w:rsidR="00784235" w:rsidRPr="00C66994">
        <w:t>) Turno de los</w:t>
      </w:r>
      <w:r w:rsidR="00664420" w:rsidRPr="00C66994">
        <w:t xml:space="preserve"> Recurso</w:t>
      </w:r>
      <w:r w:rsidR="00784235" w:rsidRPr="00C66994">
        <w:t>s</w:t>
      </w:r>
      <w:r w:rsidR="00664420" w:rsidRPr="00C66994">
        <w:t xml:space="preserve"> de Revisión</w:t>
      </w:r>
      <w:bookmarkEnd w:id="9"/>
    </w:p>
    <w:p w14:paraId="1173671B" w14:textId="43D5F9C5" w:rsidR="00C72DAA" w:rsidRPr="00C66994" w:rsidRDefault="00C72DAA" w:rsidP="00C66994">
      <w:r w:rsidRPr="00C66994">
        <w:t>Con fundamento en el artículo 185, fracción I de la Ley de Transparencia y Acceso a la Información Pública del Estado de México y Municipios, el</w:t>
      </w:r>
      <w:r w:rsidRPr="00C66994">
        <w:rPr>
          <w:b/>
          <w:bCs/>
        </w:rPr>
        <w:t xml:space="preserve"> </w:t>
      </w:r>
      <w:r w:rsidR="00335D2E" w:rsidRPr="00C66994">
        <w:rPr>
          <w:rFonts w:eastAsia="Palatino Linotype" w:cs="Palatino Linotype"/>
          <w:b/>
        </w:rPr>
        <w:t>diez de octubre d</w:t>
      </w:r>
      <w:r w:rsidR="00784235" w:rsidRPr="00C66994">
        <w:rPr>
          <w:rFonts w:eastAsia="Palatino Linotype" w:cs="Palatino Linotype"/>
          <w:b/>
        </w:rPr>
        <w:t>e dos mil veinticuatro</w:t>
      </w:r>
      <w:r w:rsidRPr="00C66994">
        <w:t xml:space="preserve"> se </w:t>
      </w:r>
      <w:r w:rsidR="00784235" w:rsidRPr="00C66994">
        <w:t>turnaron los</w:t>
      </w:r>
      <w:r w:rsidRPr="00C66994">
        <w:t xml:space="preserve"> recurso</w:t>
      </w:r>
      <w:r w:rsidR="00784235" w:rsidRPr="00C66994">
        <w:t>s</w:t>
      </w:r>
      <w:r w:rsidRPr="00C66994">
        <w:t xml:space="preserve"> de revisión a través del</w:t>
      </w:r>
      <w:r w:rsidRPr="00C66994">
        <w:rPr>
          <w:rFonts w:eastAsia="Arial Unicode MS"/>
        </w:rPr>
        <w:t xml:space="preserve"> </w:t>
      </w:r>
      <w:r w:rsidRPr="00C66994">
        <w:rPr>
          <w:rFonts w:eastAsia="Arial Unicode MS"/>
          <w:b/>
          <w:bCs/>
        </w:rPr>
        <w:t>SAIMEX</w:t>
      </w:r>
      <w:r w:rsidRPr="00C66994">
        <w:t xml:space="preserve"> a la</w:t>
      </w:r>
      <w:r w:rsidR="00487880" w:rsidRPr="00C66994">
        <w:t>s</w:t>
      </w:r>
      <w:r w:rsidRPr="00C66994">
        <w:t xml:space="preserve"> </w:t>
      </w:r>
      <w:r w:rsidRPr="00C66994">
        <w:rPr>
          <w:b/>
        </w:rPr>
        <w:t>Comisionada</w:t>
      </w:r>
      <w:r w:rsidR="00487880" w:rsidRPr="00C66994">
        <w:rPr>
          <w:b/>
        </w:rPr>
        <w:t>s</w:t>
      </w:r>
      <w:r w:rsidRPr="00C66994">
        <w:rPr>
          <w:b/>
        </w:rPr>
        <w:t xml:space="preserve"> Sharon Cristina Morales Martínez</w:t>
      </w:r>
      <w:r w:rsidR="00784235" w:rsidRPr="00C66994">
        <w:rPr>
          <w:b/>
        </w:rPr>
        <w:t xml:space="preserve">, </w:t>
      </w:r>
      <w:r w:rsidR="00C7126F" w:rsidRPr="00C66994">
        <w:rPr>
          <w:b/>
        </w:rPr>
        <w:t xml:space="preserve">María del Rosario Mejía Ayala, </w:t>
      </w:r>
      <w:r w:rsidR="00487880" w:rsidRPr="00C66994">
        <w:rPr>
          <w:b/>
        </w:rPr>
        <w:t>Guadalupe Ramírez Peña, a los</w:t>
      </w:r>
      <w:r w:rsidR="00784235" w:rsidRPr="00C66994">
        <w:rPr>
          <w:b/>
        </w:rPr>
        <w:t xml:space="preserve"> Comisionado</w:t>
      </w:r>
      <w:r w:rsidR="00487880" w:rsidRPr="00C66994">
        <w:rPr>
          <w:b/>
        </w:rPr>
        <w:t>s</w:t>
      </w:r>
      <w:r w:rsidR="00784235" w:rsidRPr="00C66994">
        <w:rPr>
          <w:b/>
        </w:rPr>
        <w:t xml:space="preserve"> Javier Martínez Vilchis</w:t>
      </w:r>
      <w:r w:rsidR="00C7126F" w:rsidRPr="00C66994">
        <w:rPr>
          <w:b/>
        </w:rPr>
        <w:t xml:space="preserve"> y Luis Gustavo Parra Noriega</w:t>
      </w:r>
      <w:r w:rsidRPr="00C66994">
        <w:rPr>
          <w:bCs/>
        </w:rPr>
        <w:t xml:space="preserve">, </w:t>
      </w:r>
      <w:r w:rsidRPr="00C66994">
        <w:t xml:space="preserve">a efecto de decretar su admisión o desechamiento. </w:t>
      </w:r>
    </w:p>
    <w:p w14:paraId="18F305CB" w14:textId="77777777" w:rsidR="00664420" w:rsidRPr="00C66994" w:rsidRDefault="00664420" w:rsidP="00C66994">
      <w:pPr>
        <w:rPr>
          <w:rFonts w:eastAsia="Batang" w:cs="Tahoma"/>
          <w:bCs/>
          <w:szCs w:val="22"/>
        </w:rPr>
      </w:pPr>
    </w:p>
    <w:p w14:paraId="3E31EC2D" w14:textId="1FC48DC9" w:rsidR="00664420" w:rsidRPr="00C66994" w:rsidRDefault="006E25BC" w:rsidP="00C66994">
      <w:pPr>
        <w:pStyle w:val="Ttulo3"/>
      </w:pPr>
      <w:bookmarkStart w:id="10" w:name="_Toc183621253"/>
      <w:r w:rsidRPr="00C66994">
        <w:t>c</w:t>
      </w:r>
      <w:r w:rsidR="00784235" w:rsidRPr="00C66994">
        <w:t>) Admisión de los</w:t>
      </w:r>
      <w:r w:rsidR="00664420" w:rsidRPr="00C66994">
        <w:t xml:space="preserve"> Recurso</w:t>
      </w:r>
      <w:r w:rsidR="00784235" w:rsidRPr="00C66994">
        <w:t>s</w:t>
      </w:r>
      <w:r w:rsidR="00664420" w:rsidRPr="00C66994">
        <w:t xml:space="preserve"> de Revisión</w:t>
      </w:r>
      <w:bookmarkEnd w:id="10"/>
    </w:p>
    <w:p w14:paraId="240447D5" w14:textId="2A4B895A" w:rsidR="000E09C4" w:rsidRPr="00C66994" w:rsidRDefault="000E09C4" w:rsidP="00C66994">
      <w:pPr>
        <w:rPr>
          <w:rFonts w:cs="Arial"/>
        </w:rPr>
      </w:pPr>
      <w:r w:rsidRPr="00C66994">
        <w:rPr>
          <w:rFonts w:cs="Arial"/>
        </w:rPr>
        <w:t xml:space="preserve">El </w:t>
      </w:r>
      <w:r w:rsidR="00487880" w:rsidRPr="00C66994">
        <w:rPr>
          <w:rFonts w:eastAsia="Palatino Linotype" w:cs="Palatino Linotype"/>
          <w:b/>
        </w:rPr>
        <w:t>catorce, quince y dieciséis de octubre</w:t>
      </w:r>
      <w:r w:rsidR="00D80A05" w:rsidRPr="00C66994">
        <w:rPr>
          <w:rFonts w:eastAsia="Palatino Linotype" w:cs="Palatino Linotype"/>
          <w:b/>
        </w:rPr>
        <w:t xml:space="preserve"> </w:t>
      </w:r>
      <w:r w:rsidR="00784235" w:rsidRPr="00C66994">
        <w:rPr>
          <w:rFonts w:eastAsia="Palatino Linotype" w:cs="Palatino Linotype"/>
          <w:b/>
        </w:rPr>
        <w:t>de dos mil veinticuatro</w:t>
      </w:r>
      <w:r w:rsidRPr="00C66994">
        <w:rPr>
          <w:rFonts w:cs="Arial"/>
        </w:rPr>
        <w:t xml:space="preserve"> se acordó la admisión a trámite </w:t>
      </w:r>
      <w:r w:rsidR="00784235" w:rsidRPr="00C66994">
        <w:rPr>
          <w:rFonts w:cs="Arial"/>
        </w:rPr>
        <w:t>los R</w:t>
      </w:r>
      <w:r w:rsidRPr="00C66994">
        <w:rPr>
          <w:rFonts w:cs="Arial"/>
        </w:rPr>
        <w:t>ecurso</w:t>
      </w:r>
      <w:r w:rsidR="00784235" w:rsidRPr="00C66994">
        <w:rPr>
          <w:rFonts w:cs="Arial"/>
        </w:rPr>
        <w:t>s</w:t>
      </w:r>
      <w:r w:rsidRPr="00C66994">
        <w:rPr>
          <w:rFonts w:cs="Arial"/>
        </w:rPr>
        <w:t xml:space="preserve"> de Revisión </w:t>
      </w:r>
      <w:r w:rsidR="00784235" w:rsidRPr="00C66994">
        <w:rPr>
          <w:rFonts w:cs="Arial"/>
        </w:rPr>
        <w:t xml:space="preserve">y se integraron los </w:t>
      </w:r>
      <w:r w:rsidRPr="00C66994">
        <w:rPr>
          <w:rFonts w:cs="Arial"/>
        </w:rPr>
        <w:t xml:space="preserve"> expediente</w:t>
      </w:r>
      <w:r w:rsidR="00784235" w:rsidRPr="00C66994">
        <w:rPr>
          <w:rFonts w:cs="Arial"/>
        </w:rPr>
        <w:t>s</w:t>
      </w:r>
      <w:r w:rsidRPr="00C66994">
        <w:rPr>
          <w:rFonts w:cs="Arial"/>
        </w:rPr>
        <w:t xml:space="preserve"> respectivo</w:t>
      </w:r>
      <w:r w:rsidR="00784235" w:rsidRPr="00C66994">
        <w:rPr>
          <w:rFonts w:cs="Arial"/>
        </w:rPr>
        <w:t>s</w:t>
      </w:r>
      <w:r w:rsidRPr="00C66994">
        <w:rPr>
          <w:rFonts w:cs="Arial"/>
        </w:rPr>
        <w:t>, mismo</w:t>
      </w:r>
      <w:r w:rsidR="00784235" w:rsidRPr="00C66994">
        <w:rPr>
          <w:rFonts w:cs="Arial"/>
        </w:rPr>
        <w:t>s que se pusieron</w:t>
      </w:r>
      <w:r w:rsidRPr="00C66994">
        <w:rPr>
          <w:rFonts w:cs="Arial"/>
        </w:rPr>
        <w:t xml:space="preserve"> a disposición de las partes para que, en un plazo de siete días hábiles, manifestaran lo que a su derecho conviniera, conforme a lo dispuesto por el artículo 185</w:t>
      </w:r>
      <w:r w:rsidR="00865CF4" w:rsidRPr="00C66994">
        <w:rPr>
          <w:rFonts w:cs="Arial"/>
        </w:rPr>
        <w:t>, fracción II</w:t>
      </w:r>
      <w:r w:rsidRPr="00C66994">
        <w:rPr>
          <w:rFonts w:cs="Arial"/>
        </w:rPr>
        <w:t xml:space="preserve"> de la Ley de Transparencia y Acceso a la Información Pública del Estado de México y Municipios.</w:t>
      </w:r>
    </w:p>
    <w:p w14:paraId="34EC3F86" w14:textId="77777777" w:rsidR="00D2790D" w:rsidRPr="00C66994" w:rsidRDefault="00D2790D" w:rsidP="00C66994">
      <w:pPr>
        <w:rPr>
          <w:rFonts w:cs="Arial"/>
        </w:rPr>
      </w:pPr>
    </w:p>
    <w:p w14:paraId="535A4241" w14:textId="1A1E3EA3" w:rsidR="00D2790D" w:rsidRPr="00C66994" w:rsidRDefault="006E25BC" w:rsidP="00C66994">
      <w:pPr>
        <w:pStyle w:val="Ttulo3"/>
      </w:pPr>
      <w:bookmarkStart w:id="11" w:name="_Toc183621254"/>
      <w:r w:rsidRPr="00C66994">
        <w:t>d</w:t>
      </w:r>
      <w:r w:rsidR="00D2790D" w:rsidRPr="00C66994">
        <w:t>) Acumulación de los Recursos de Revisión</w:t>
      </w:r>
      <w:bookmarkEnd w:id="11"/>
    </w:p>
    <w:p w14:paraId="09B589C5" w14:textId="4CD47365" w:rsidR="00664420" w:rsidRPr="00C66994" w:rsidRDefault="00D2790D" w:rsidP="00C66994">
      <w:pPr>
        <w:ind w:left="-57"/>
        <w:rPr>
          <w:rFonts w:eastAsia="Calibri"/>
          <w:b/>
          <w:lang w:eastAsia="en-US"/>
        </w:rPr>
      </w:pPr>
      <w:r w:rsidRPr="00C66994">
        <w:rPr>
          <w:rFonts w:cs="Arial"/>
          <w:lang w:val="es-ES_tradnl"/>
        </w:rPr>
        <w:t xml:space="preserve">Por economía procesal y </w:t>
      </w:r>
      <w:r w:rsidRPr="00C66994">
        <w:rPr>
          <w:rFonts w:cs="Arial"/>
        </w:rPr>
        <w:t xml:space="preserve">con la finalidad de evitar resoluciones contradictorias, en </w:t>
      </w:r>
      <w:r w:rsidRPr="00C66994">
        <w:t xml:space="preserve">la </w:t>
      </w:r>
      <w:r w:rsidR="00487880" w:rsidRPr="00C66994">
        <w:rPr>
          <w:b/>
        </w:rPr>
        <w:t xml:space="preserve">Trigésima Octava Sesión Ordinaria </w:t>
      </w:r>
      <w:r w:rsidR="00487880" w:rsidRPr="00C66994">
        <w:t xml:space="preserve">celebrada el </w:t>
      </w:r>
      <w:r w:rsidR="00487880" w:rsidRPr="00C66994">
        <w:rPr>
          <w:b/>
        </w:rPr>
        <w:t>seis de noviembre de dos mil veinticuatro</w:t>
      </w:r>
      <w:r w:rsidRPr="00C66994">
        <w:t xml:space="preserve">, el Pleno de este Instituto </w:t>
      </w:r>
      <w:r w:rsidRPr="00C66994">
        <w:rPr>
          <w:rFonts w:cs="Arial"/>
        </w:rPr>
        <w:t xml:space="preserve">determinó </w:t>
      </w:r>
      <w:r w:rsidRPr="00C66994">
        <w:t>acumular los Recursos de Revisión</w:t>
      </w:r>
      <w:bookmarkStart w:id="12" w:name="_Hlk109159636"/>
      <w:r w:rsidRPr="00C66994">
        <w:rPr>
          <w:rFonts w:cs="Arial"/>
          <w:b/>
          <w:bCs/>
        </w:rPr>
        <w:t xml:space="preserve"> </w:t>
      </w:r>
      <w:bookmarkEnd w:id="12"/>
      <w:r w:rsidR="00335D2E" w:rsidRPr="00C66994">
        <w:rPr>
          <w:rFonts w:eastAsia="Calibri"/>
          <w:b/>
          <w:lang w:eastAsia="en-US"/>
        </w:rPr>
        <w:t>06172/INFOEM/IP/RR/2024</w:t>
      </w:r>
      <w:r w:rsidR="00335D2E" w:rsidRPr="00C66994">
        <w:rPr>
          <w:rFonts w:eastAsia="Calibri"/>
          <w:lang w:eastAsia="en-US"/>
        </w:rPr>
        <w:t>,</w:t>
      </w:r>
      <w:r w:rsidR="00335D2E" w:rsidRPr="00C66994">
        <w:rPr>
          <w:rFonts w:eastAsia="Calibri"/>
          <w:b/>
          <w:lang w:eastAsia="en-US"/>
        </w:rPr>
        <w:t xml:space="preserve"> </w:t>
      </w:r>
      <w:r w:rsidR="00487880" w:rsidRPr="00C66994">
        <w:rPr>
          <w:rFonts w:eastAsia="Calibri"/>
          <w:b/>
          <w:lang w:eastAsia="en-US"/>
        </w:rPr>
        <w:t xml:space="preserve">06176/INFOEM/IP/RR/2024, 06205/INFOEM/IP/RR/2024, 06206/INFOEM/IP/RR/2024, </w:t>
      </w:r>
      <w:r w:rsidR="00487880" w:rsidRPr="00C66994">
        <w:rPr>
          <w:rFonts w:eastAsia="Calibri"/>
          <w:b/>
          <w:lang w:eastAsia="en-US"/>
        </w:rPr>
        <w:lastRenderedPageBreak/>
        <w:t>06207/INFOEM/IP/RR/2024, 06208/INFOEM/IP/RR/2024, 06209/INFOEM/IP/RR/2024, 06210/INFOEM/IP/RR/2024 y 06211/INFOEM/IP/RR/2024</w:t>
      </w:r>
      <w:r w:rsidR="00335D2E" w:rsidRPr="00C66994">
        <w:rPr>
          <w:rFonts w:eastAsia="Calibri"/>
          <w:b/>
          <w:lang w:eastAsia="en-US"/>
        </w:rPr>
        <w:t xml:space="preserve"> al 06172/INFOEM/IP/RR/2024.</w:t>
      </w:r>
    </w:p>
    <w:p w14:paraId="285BDF8E" w14:textId="77777777" w:rsidR="00335D2E" w:rsidRPr="00C66994" w:rsidRDefault="00335D2E" w:rsidP="00C66994">
      <w:pPr>
        <w:ind w:left="-57"/>
        <w:rPr>
          <w:rFonts w:cs="Tahoma"/>
          <w:b/>
          <w:szCs w:val="22"/>
        </w:rPr>
      </w:pPr>
    </w:p>
    <w:p w14:paraId="66BA6FC7" w14:textId="04A8C230" w:rsidR="00865CF4" w:rsidRPr="00C66994" w:rsidRDefault="006E25BC" w:rsidP="00C66994">
      <w:pPr>
        <w:pStyle w:val="Ttulo3"/>
      </w:pPr>
      <w:bookmarkStart w:id="13" w:name="_Toc183621255"/>
      <w:r w:rsidRPr="00C66994">
        <w:t>e</w:t>
      </w:r>
      <w:r w:rsidR="00664420" w:rsidRPr="00C66994">
        <w:t xml:space="preserve">) </w:t>
      </w:r>
      <w:r w:rsidR="00865CF4" w:rsidRPr="00C66994">
        <w:t>Informe Justificado del Sujeto Obligado</w:t>
      </w:r>
      <w:bookmarkEnd w:id="13"/>
    </w:p>
    <w:p w14:paraId="6E939452" w14:textId="53AFA430" w:rsidR="00865CF4" w:rsidRPr="00C66994" w:rsidRDefault="00487880" w:rsidP="00C66994">
      <w:pPr>
        <w:rPr>
          <w:rFonts w:eastAsia="Arial Unicode MS" w:cs="Arial"/>
        </w:rPr>
      </w:pPr>
      <w:r w:rsidRPr="00C66994">
        <w:rPr>
          <w:rFonts w:cs="Tahoma"/>
          <w:bCs/>
          <w:szCs w:val="24"/>
        </w:rPr>
        <w:t xml:space="preserve">El </w:t>
      </w:r>
      <w:r w:rsidR="00335D2E" w:rsidRPr="00C66994">
        <w:rPr>
          <w:rFonts w:cs="Tahoma"/>
          <w:b/>
          <w:szCs w:val="24"/>
        </w:rPr>
        <w:t xml:space="preserve">veintitrés y veinticuatro de octubre; así como, cinco de noviembre </w:t>
      </w:r>
      <w:r w:rsidRPr="00C66994">
        <w:rPr>
          <w:rFonts w:cs="Tahoma"/>
          <w:b/>
          <w:szCs w:val="24"/>
        </w:rPr>
        <w:t>de dos mil veinticuatro, EL SUJETO OBLIGADO</w:t>
      </w:r>
      <w:r w:rsidRPr="00C66994">
        <w:rPr>
          <w:rFonts w:cs="Tahoma"/>
          <w:bCs/>
          <w:szCs w:val="24"/>
        </w:rPr>
        <w:t xml:space="preserve"> rindió su informe justificado a través del </w:t>
      </w:r>
      <w:r w:rsidRPr="00C66994">
        <w:rPr>
          <w:rFonts w:cs="Tahoma"/>
          <w:b/>
          <w:bCs/>
          <w:szCs w:val="24"/>
        </w:rPr>
        <w:t>SAIMEX</w:t>
      </w:r>
      <w:r w:rsidRPr="00C66994">
        <w:rPr>
          <w:rFonts w:cs="Tahoma"/>
          <w:bCs/>
          <w:szCs w:val="24"/>
        </w:rPr>
        <w:t xml:space="preserve">, </w:t>
      </w:r>
      <w:r w:rsidRPr="00C66994">
        <w:rPr>
          <w:rFonts w:eastAsia="Calibri" w:cs="Tahoma"/>
          <w:szCs w:val="22"/>
          <w:lang w:eastAsia="en-US"/>
        </w:rPr>
        <w:t xml:space="preserve">en </w:t>
      </w:r>
      <w:r w:rsidR="00335D2E" w:rsidRPr="00C66994">
        <w:rPr>
          <w:rFonts w:eastAsia="Calibri" w:cs="Tahoma"/>
          <w:szCs w:val="22"/>
          <w:lang w:eastAsia="en-US"/>
        </w:rPr>
        <w:t>los</w:t>
      </w:r>
      <w:r w:rsidRPr="00C66994">
        <w:rPr>
          <w:rFonts w:eastAsia="Calibri" w:cs="Tahoma"/>
          <w:szCs w:val="22"/>
          <w:lang w:eastAsia="en-US"/>
        </w:rPr>
        <w:t xml:space="preserve"> cual</w:t>
      </w:r>
      <w:r w:rsidR="00335D2E" w:rsidRPr="00C66994">
        <w:rPr>
          <w:rFonts w:eastAsia="Calibri" w:cs="Tahoma"/>
          <w:szCs w:val="22"/>
          <w:lang w:eastAsia="en-US"/>
        </w:rPr>
        <w:t>es</w:t>
      </w:r>
      <w:r w:rsidRPr="00C66994">
        <w:rPr>
          <w:rFonts w:cs="Tahoma"/>
          <w:bCs/>
          <w:szCs w:val="24"/>
        </w:rPr>
        <w:t xml:space="preserve"> </w:t>
      </w:r>
      <w:r w:rsidRPr="00C66994">
        <w:rPr>
          <w:rFonts w:eastAsia="Calibri" w:cs="Tahoma"/>
          <w:b/>
          <w:szCs w:val="22"/>
          <w:lang w:eastAsia="en-US"/>
        </w:rPr>
        <w:t>ratificó su respuesta inicial</w:t>
      </w:r>
      <w:r w:rsidR="00486201" w:rsidRPr="00C66994">
        <w:rPr>
          <w:rFonts w:eastAsia="Arial Unicode MS" w:cs="Arial"/>
        </w:rPr>
        <w:t>.</w:t>
      </w:r>
    </w:p>
    <w:p w14:paraId="25BC91D4" w14:textId="77777777" w:rsidR="00487880" w:rsidRPr="00C66994" w:rsidRDefault="00487880" w:rsidP="00C66994">
      <w:pPr>
        <w:rPr>
          <w:rFonts w:eastAsia="Arial Unicode MS" w:cs="Arial"/>
        </w:rPr>
      </w:pPr>
    </w:p>
    <w:p w14:paraId="4E333D2B" w14:textId="788C7AE0" w:rsidR="00487880" w:rsidRPr="00C66994" w:rsidRDefault="00487880" w:rsidP="00C66994">
      <w:pPr>
        <w:rPr>
          <w:rFonts w:eastAsia="Calibri" w:cs="Tahoma"/>
          <w:szCs w:val="22"/>
          <w:lang w:eastAsia="en-US"/>
        </w:rPr>
      </w:pPr>
      <w:r w:rsidRPr="00C66994">
        <w:rPr>
          <w:rFonts w:cs="Tahoma"/>
          <w:bCs/>
          <w:szCs w:val="24"/>
        </w:rPr>
        <w:t xml:space="preserve">Esta información fue puesta a la vista de </w:t>
      </w:r>
      <w:r w:rsidRPr="00C66994">
        <w:rPr>
          <w:rFonts w:cs="Tahoma"/>
          <w:b/>
          <w:szCs w:val="24"/>
        </w:rPr>
        <w:t xml:space="preserve">LA PARTE RECURRENTE </w:t>
      </w:r>
      <w:r w:rsidRPr="00C66994">
        <w:rPr>
          <w:rFonts w:cs="Tahoma"/>
          <w:bCs/>
          <w:szCs w:val="24"/>
        </w:rPr>
        <w:t xml:space="preserve">el </w:t>
      </w:r>
      <w:r w:rsidRPr="00C66994">
        <w:rPr>
          <w:rFonts w:cs="Tahoma"/>
          <w:b/>
          <w:szCs w:val="24"/>
        </w:rPr>
        <w:t>diecinueve de noviembre de dos mil veinticuatro</w:t>
      </w:r>
      <w:r w:rsidRPr="00C66994">
        <w:rPr>
          <w:rFonts w:cs="Tahoma"/>
          <w:bCs/>
          <w:szCs w:val="24"/>
        </w:rPr>
        <w:t xml:space="preserve"> para que, en un plazo de tres días hábiles, manifestara lo que a su derecho conviniera, de conformidad con lo establecido en el </w:t>
      </w:r>
      <w:r w:rsidRPr="00C66994">
        <w:rPr>
          <w:rFonts w:cs="Arial"/>
        </w:rPr>
        <w:t>artículo 185, fracción III de la Ley de Transparencia y Acceso a la Información Pública del Estado de México y Municipios</w:t>
      </w:r>
      <w:r w:rsidRPr="00C66994">
        <w:rPr>
          <w:rFonts w:cs="Tahoma"/>
          <w:bCs/>
          <w:szCs w:val="24"/>
        </w:rPr>
        <w:t>.</w:t>
      </w:r>
    </w:p>
    <w:p w14:paraId="3B386B4C" w14:textId="77777777" w:rsidR="003A40C1" w:rsidRPr="00C66994" w:rsidRDefault="003A40C1" w:rsidP="00C66994">
      <w:pPr>
        <w:ind w:right="539"/>
        <w:rPr>
          <w:rFonts w:cs="Tahoma"/>
          <w:bCs/>
          <w:szCs w:val="24"/>
        </w:rPr>
      </w:pPr>
    </w:p>
    <w:p w14:paraId="755B7730" w14:textId="19C7EE54" w:rsidR="00664420" w:rsidRPr="00C66994" w:rsidRDefault="006E25BC" w:rsidP="00C66994">
      <w:pPr>
        <w:pStyle w:val="Ttulo3"/>
        <w:rPr>
          <w:lang w:val="es-ES"/>
        </w:rPr>
      </w:pPr>
      <w:bookmarkStart w:id="14" w:name="_Toc183621256"/>
      <w:r w:rsidRPr="00C66994">
        <w:rPr>
          <w:rFonts w:eastAsia="Calibri"/>
          <w:bCs/>
          <w:lang w:eastAsia="en-US"/>
        </w:rPr>
        <w:t>f</w:t>
      </w:r>
      <w:r w:rsidR="00664420" w:rsidRPr="00C66994">
        <w:rPr>
          <w:rFonts w:eastAsia="Calibri"/>
          <w:bCs/>
          <w:lang w:eastAsia="en-US"/>
        </w:rPr>
        <w:t>)</w:t>
      </w:r>
      <w:r w:rsidR="00664420" w:rsidRPr="00C66994">
        <w:t xml:space="preserve"> </w:t>
      </w:r>
      <w:r w:rsidR="00865CF4" w:rsidRPr="00C66994">
        <w:rPr>
          <w:lang w:val="es-ES"/>
        </w:rPr>
        <w:t>Manifestaciones de la Parte Recurrente</w:t>
      </w:r>
      <w:bookmarkEnd w:id="14"/>
    </w:p>
    <w:p w14:paraId="4E8AF011" w14:textId="77777777" w:rsidR="00865CF4" w:rsidRPr="00C66994" w:rsidRDefault="00865CF4" w:rsidP="00C66994">
      <w:pPr>
        <w:rPr>
          <w:rFonts w:eastAsia="Arial Unicode MS" w:cs="Arial"/>
        </w:rPr>
      </w:pPr>
      <w:r w:rsidRPr="00C66994">
        <w:rPr>
          <w:rFonts w:cs="Tahoma"/>
          <w:b/>
          <w:szCs w:val="24"/>
        </w:rPr>
        <w:t xml:space="preserve">LA PARTE RECURRENTE </w:t>
      </w:r>
      <w:r w:rsidRPr="00C66994">
        <w:rPr>
          <w:rFonts w:eastAsia="Arial Unicode MS" w:cs="Arial"/>
        </w:rPr>
        <w:t>no realizó manifestación alguna dentro del término legalmente concedido para tal efecto, ni presentó pruebas o alegatos.</w:t>
      </w:r>
    </w:p>
    <w:p w14:paraId="24F87764" w14:textId="77777777" w:rsidR="00664420" w:rsidRPr="00C66994" w:rsidRDefault="00664420" w:rsidP="00C66994">
      <w:pPr>
        <w:rPr>
          <w:rFonts w:cs="Tahoma"/>
          <w:bCs/>
          <w:szCs w:val="24"/>
        </w:rPr>
      </w:pPr>
    </w:p>
    <w:p w14:paraId="0E651988" w14:textId="40392FBF" w:rsidR="00664420" w:rsidRPr="00C66994" w:rsidRDefault="00486201" w:rsidP="00C66994">
      <w:pPr>
        <w:pStyle w:val="Ttulo3"/>
      </w:pPr>
      <w:bookmarkStart w:id="15" w:name="_Toc183621257"/>
      <w:r w:rsidRPr="00C66994">
        <w:t>g</w:t>
      </w:r>
      <w:r w:rsidR="00664420" w:rsidRPr="00C66994">
        <w:t>) Cierre de instrucción</w:t>
      </w:r>
      <w:bookmarkEnd w:id="15"/>
    </w:p>
    <w:p w14:paraId="741683E3" w14:textId="6AF4A9A6" w:rsidR="0011350D" w:rsidRPr="00C66994" w:rsidRDefault="00BF091A" w:rsidP="00C66994">
      <w:pPr>
        <w:rPr>
          <w:rFonts w:cs="Tahoma"/>
          <w:szCs w:val="22"/>
        </w:rPr>
      </w:pPr>
      <w:r w:rsidRPr="00C66994">
        <w:rPr>
          <w:rFonts w:cs="Tahoma"/>
          <w:szCs w:val="22"/>
        </w:rPr>
        <w:t>Al no existir diligencias pendientes por desahogar</w:t>
      </w:r>
      <w:r w:rsidRPr="00C66994">
        <w:rPr>
          <w:rFonts w:cs="Arial"/>
        </w:rPr>
        <w:t xml:space="preserve">, el </w:t>
      </w:r>
      <w:r w:rsidR="002D798B" w:rsidRPr="00C66994">
        <w:rPr>
          <w:rFonts w:cs="Arial"/>
          <w:b/>
        </w:rPr>
        <w:t>veintiséis</w:t>
      </w:r>
      <w:r w:rsidR="00487880" w:rsidRPr="00C66994">
        <w:rPr>
          <w:rFonts w:cs="Arial"/>
          <w:b/>
        </w:rPr>
        <w:t xml:space="preserve"> de noviembre</w:t>
      </w:r>
      <w:r w:rsidR="00E53550" w:rsidRPr="00C66994">
        <w:rPr>
          <w:rFonts w:cs="Arial"/>
          <w:b/>
        </w:rPr>
        <w:t xml:space="preserve"> de dos mil veinticuatro</w:t>
      </w:r>
      <w:r w:rsidRPr="00C66994">
        <w:rPr>
          <w:rFonts w:cs="Arial"/>
        </w:rPr>
        <w:t xml:space="preserve"> la </w:t>
      </w:r>
      <w:r w:rsidRPr="00C66994">
        <w:rPr>
          <w:rFonts w:cs="Arial"/>
          <w:b/>
          <w:bCs/>
        </w:rPr>
        <w:t xml:space="preserve">Comisionada </w:t>
      </w:r>
      <w:r w:rsidRPr="00C66994">
        <w:rPr>
          <w:b/>
        </w:rPr>
        <w:t xml:space="preserve">Sharon Cristina Morales Martínez </w:t>
      </w:r>
      <w:r w:rsidRPr="00C66994">
        <w:rPr>
          <w:rFonts w:cs="Arial"/>
        </w:rPr>
        <w:t>acordó el cierre de instrucción</w:t>
      </w:r>
      <w:r w:rsidR="0011350D" w:rsidRPr="00C66994">
        <w:rPr>
          <w:rFonts w:cs="Arial"/>
        </w:rPr>
        <w:t xml:space="preserve"> y</w:t>
      </w:r>
      <w:r w:rsidRPr="00C66994">
        <w:rPr>
          <w:rFonts w:cs="Arial"/>
        </w:rPr>
        <w:t xml:space="preserve"> </w:t>
      </w:r>
      <w:r w:rsidR="0011350D" w:rsidRPr="00C66994">
        <w:rPr>
          <w:rFonts w:cs="Arial"/>
        </w:rPr>
        <w:t xml:space="preserve">la </w:t>
      </w:r>
      <w:r w:rsidRPr="00C66994">
        <w:rPr>
          <w:rFonts w:cs="Arial"/>
        </w:rPr>
        <w:t xml:space="preserve">remisión del expediente a efecto de ser resuelto, de conformidad con lo establecido en el artículo 185 fracciones VI y VIII de la Ley de Transparencia y Acceso a la </w:t>
      </w:r>
      <w:r w:rsidRPr="00C66994">
        <w:rPr>
          <w:rFonts w:cs="Arial"/>
        </w:rPr>
        <w:lastRenderedPageBreak/>
        <w:t>Información Pública del Estado de México y Municipios</w:t>
      </w:r>
      <w:r w:rsidRPr="00C66994">
        <w:t>.</w:t>
      </w:r>
      <w:r w:rsidR="0011350D" w:rsidRPr="00C66994">
        <w:t xml:space="preserve"> Dicho acuerdo </w:t>
      </w:r>
      <w:r w:rsidR="00664420" w:rsidRPr="00C66994">
        <w:rPr>
          <w:rFonts w:cs="Tahoma"/>
          <w:szCs w:val="22"/>
        </w:rPr>
        <w:t xml:space="preserve">fue notificado a las partes el mismo día a través del </w:t>
      </w:r>
      <w:r w:rsidR="00664420" w:rsidRPr="00C66994">
        <w:rPr>
          <w:rFonts w:cs="Tahoma"/>
          <w:b/>
          <w:szCs w:val="22"/>
          <w:lang w:val="es-ES"/>
        </w:rPr>
        <w:t>SAIMEX</w:t>
      </w:r>
      <w:r w:rsidR="00664420" w:rsidRPr="00C66994">
        <w:rPr>
          <w:rFonts w:cs="Tahoma"/>
          <w:szCs w:val="22"/>
        </w:rPr>
        <w:t>.</w:t>
      </w:r>
    </w:p>
    <w:p w14:paraId="41F1E17F" w14:textId="77777777" w:rsidR="00335D2E" w:rsidRPr="00C66994" w:rsidRDefault="00335D2E" w:rsidP="00C66994"/>
    <w:p w14:paraId="7A9629DE" w14:textId="77777777" w:rsidR="00664420" w:rsidRPr="00C66994" w:rsidRDefault="00664420" w:rsidP="00C66994">
      <w:pPr>
        <w:pStyle w:val="Ttulo1"/>
        <w:rPr>
          <w:rFonts w:eastAsiaTheme="minorHAnsi"/>
          <w:lang w:eastAsia="en-US"/>
        </w:rPr>
      </w:pPr>
      <w:bookmarkStart w:id="16" w:name="_Toc183621258"/>
      <w:r w:rsidRPr="00C66994">
        <w:rPr>
          <w:rFonts w:eastAsiaTheme="minorHAnsi"/>
          <w:lang w:eastAsia="en-US"/>
        </w:rPr>
        <w:t>CONSIDERANDOS</w:t>
      </w:r>
      <w:bookmarkEnd w:id="16"/>
    </w:p>
    <w:p w14:paraId="6DD1243B" w14:textId="77777777" w:rsidR="00664420" w:rsidRPr="00C66994" w:rsidRDefault="00664420" w:rsidP="00C66994">
      <w:pPr>
        <w:contextualSpacing/>
        <w:jc w:val="center"/>
        <w:rPr>
          <w:rFonts w:eastAsiaTheme="minorHAnsi" w:cs="Tahoma"/>
          <w:b/>
          <w:szCs w:val="22"/>
          <w:lang w:eastAsia="en-US"/>
        </w:rPr>
      </w:pPr>
    </w:p>
    <w:p w14:paraId="0B67CB92" w14:textId="2E307D3B" w:rsidR="00664420" w:rsidRPr="00C66994" w:rsidRDefault="00664420" w:rsidP="00C66994">
      <w:pPr>
        <w:pStyle w:val="Ttulo2"/>
        <w:rPr>
          <w:rFonts w:eastAsia="Batang"/>
        </w:rPr>
      </w:pPr>
      <w:bookmarkStart w:id="17" w:name="_Toc183621259"/>
      <w:r w:rsidRPr="00C66994">
        <w:rPr>
          <w:rFonts w:eastAsia="Batang"/>
        </w:rPr>
        <w:t xml:space="preserve">PRIMERO. </w:t>
      </w:r>
      <w:r w:rsidR="00BA55A8" w:rsidRPr="00C66994">
        <w:rPr>
          <w:rFonts w:eastAsia="Batang"/>
        </w:rPr>
        <w:t>Procedibilidad</w:t>
      </w:r>
      <w:bookmarkEnd w:id="17"/>
    </w:p>
    <w:p w14:paraId="39C52BC1" w14:textId="56FCC20D" w:rsidR="00BA55A8" w:rsidRPr="00C66994" w:rsidRDefault="00BA55A8" w:rsidP="00C66994">
      <w:pPr>
        <w:pStyle w:val="Ttulo3"/>
      </w:pPr>
      <w:bookmarkStart w:id="18" w:name="_Toc183621260"/>
      <w:r w:rsidRPr="00C66994">
        <w:t>a) Competencia</w:t>
      </w:r>
      <w:r w:rsidR="00150C49" w:rsidRPr="00C66994">
        <w:t xml:space="preserve"> del Instituto</w:t>
      </w:r>
      <w:bookmarkEnd w:id="18"/>
    </w:p>
    <w:p w14:paraId="56E64942" w14:textId="6572EDF7" w:rsidR="0011350D" w:rsidRPr="00C66994" w:rsidRDefault="0011350D" w:rsidP="00C66994">
      <w:pPr>
        <w:rPr>
          <w:rFonts w:cs="Arial"/>
        </w:rPr>
      </w:pPr>
      <w:r w:rsidRPr="00C66994">
        <w:t xml:space="preserve">Este Instituto de Transparencia, Acceso a la Información Pública y Protección de Datos Personales del Estado de México y Municipios es competente para conocer y resolver </w:t>
      </w:r>
      <w:r w:rsidR="005F65B7" w:rsidRPr="00C66994">
        <w:t xml:space="preserve">el </w:t>
      </w:r>
      <w:r w:rsidRPr="00C6699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66994">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66994" w:rsidRDefault="00DB1C09" w:rsidP="00C66994">
      <w:pPr>
        <w:rPr>
          <w:rFonts w:cs="Arial"/>
        </w:rPr>
      </w:pPr>
    </w:p>
    <w:p w14:paraId="517A2DD6" w14:textId="4169BE4D" w:rsidR="00664420" w:rsidRPr="00C66994" w:rsidRDefault="00BA55A8" w:rsidP="00C66994">
      <w:pPr>
        <w:pStyle w:val="Ttulo3"/>
      </w:pPr>
      <w:bookmarkStart w:id="19" w:name="_Toc183621261"/>
      <w:r w:rsidRPr="00C66994">
        <w:t>b)</w:t>
      </w:r>
      <w:r w:rsidR="00664420" w:rsidRPr="00C66994">
        <w:t xml:space="preserve"> </w:t>
      </w:r>
      <w:r w:rsidR="00D91CB4" w:rsidRPr="00C66994">
        <w:t>Legitimidad</w:t>
      </w:r>
      <w:r w:rsidRPr="00C66994">
        <w:t xml:space="preserve"> de la parte recurrente</w:t>
      </w:r>
      <w:bookmarkEnd w:id="19"/>
    </w:p>
    <w:p w14:paraId="26FEA382" w14:textId="0B06695C" w:rsidR="00D91CB4" w:rsidRPr="00C66994" w:rsidRDefault="00D91CB4" w:rsidP="00C66994">
      <w:pPr>
        <w:rPr>
          <w:rFonts w:cs="Arial"/>
          <w:bCs/>
        </w:rPr>
      </w:pPr>
      <w:r w:rsidRPr="00C66994">
        <w:rPr>
          <w:rFonts w:cs="Arial"/>
          <w:bCs/>
        </w:rPr>
        <w:t>El recurso de revisión fue interpuesto por parte legítima, ya que se presentó por la misma persona que formuló la solicitud de acceso a la Información Pública,</w:t>
      </w:r>
      <w:r w:rsidRPr="00C66994">
        <w:rPr>
          <w:rFonts w:cs="Arial"/>
          <w:b/>
          <w:bCs/>
        </w:rPr>
        <w:t xml:space="preserve"> </w:t>
      </w:r>
      <w:r w:rsidRPr="00C66994">
        <w:rPr>
          <w:rFonts w:cs="Arial"/>
        </w:rPr>
        <w:t>debido a que los datos de acceso</w:t>
      </w:r>
      <w:r w:rsidRPr="00C66994">
        <w:rPr>
          <w:rFonts w:cs="Arial"/>
          <w:b/>
          <w:bCs/>
        </w:rPr>
        <w:t xml:space="preserve"> </w:t>
      </w:r>
      <w:r w:rsidRPr="00C66994">
        <w:rPr>
          <w:rFonts w:cs="Arial"/>
        </w:rPr>
        <w:t>SAIMEX</w:t>
      </w:r>
      <w:r w:rsidRPr="00C66994">
        <w:rPr>
          <w:rFonts w:eastAsia="Calibri" w:cs="Arial"/>
          <w:lang w:eastAsia="en-US"/>
        </w:rPr>
        <w:t xml:space="preserve"> son personales e irrepetibles.</w:t>
      </w:r>
    </w:p>
    <w:p w14:paraId="2C367810" w14:textId="77777777" w:rsidR="00D91CB4" w:rsidRPr="00C66994" w:rsidRDefault="00D91CB4" w:rsidP="00C66994"/>
    <w:p w14:paraId="496490FC" w14:textId="1A5F3FDB" w:rsidR="00D91CB4" w:rsidRPr="00C66994" w:rsidRDefault="00BA55A8" w:rsidP="00C66994">
      <w:pPr>
        <w:pStyle w:val="Ttulo3"/>
        <w:rPr>
          <w:rFonts w:eastAsia="Calibri"/>
          <w:lang w:eastAsia="es-ES_tradnl"/>
        </w:rPr>
      </w:pPr>
      <w:bookmarkStart w:id="20" w:name="_Toc183621262"/>
      <w:r w:rsidRPr="00C66994">
        <w:rPr>
          <w:rFonts w:eastAsia="Calibri"/>
          <w:lang w:eastAsia="es-ES_tradnl"/>
        </w:rPr>
        <w:lastRenderedPageBreak/>
        <w:t>c)</w:t>
      </w:r>
      <w:r w:rsidR="00664420" w:rsidRPr="00C66994">
        <w:rPr>
          <w:rFonts w:eastAsia="Calibri"/>
          <w:lang w:eastAsia="es-ES_tradnl"/>
        </w:rPr>
        <w:t xml:space="preserve"> </w:t>
      </w:r>
      <w:r w:rsidR="00D91CB4" w:rsidRPr="00C66994">
        <w:rPr>
          <w:rFonts w:eastAsia="Calibri"/>
          <w:lang w:eastAsia="es-ES_tradnl"/>
        </w:rPr>
        <w:t>Plazo para interponer el recurso</w:t>
      </w:r>
      <w:bookmarkEnd w:id="20"/>
    </w:p>
    <w:p w14:paraId="106D37EE" w14:textId="118C7536" w:rsidR="00D91CB4" w:rsidRPr="00C66994" w:rsidRDefault="00D91CB4" w:rsidP="00C66994">
      <w:pPr>
        <w:rPr>
          <w:rFonts w:eastAsiaTheme="minorEastAsia" w:cs="Arial"/>
          <w:lang w:val="es-ES_tradnl"/>
        </w:rPr>
      </w:pPr>
      <w:r w:rsidRPr="00C66994">
        <w:rPr>
          <w:rFonts w:cs="Arial"/>
          <w:b/>
        </w:rPr>
        <w:t>EL SUJETO OBLIGADO</w:t>
      </w:r>
      <w:r w:rsidRPr="00C66994">
        <w:rPr>
          <w:rFonts w:cs="Arial"/>
        </w:rPr>
        <w:t xml:space="preserve"> notificó la</w:t>
      </w:r>
      <w:r w:rsidR="001974BD" w:rsidRPr="00C66994">
        <w:rPr>
          <w:rFonts w:cs="Arial"/>
        </w:rPr>
        <w:t>s</w:t>
      </w:r>
      <w:r w:rsidRPr="00C66994">
        <w:rPr>
          <w:rFonts w:cs="Arial"/>
        </w:rPr>
        <w:t xml:space="preserve"> respuesta</w:t>
      </w:r>
      <w:r w:rsidR="001974BD" w:rsidRPr="00C66994">
        <w:rPr>
          <w:rFonts w:cs="Arial"/>
        </w:rPr>
        <w:t>s</w:t>
      </w:r>
      <w:r w:rsidRPr="00C66994">
        <w:rPr>
          <w:rFonts w:cs="Arial"/>
        </w:rPr>
        <w:t xml:space="preserve"> a la</w:t>
      </w:r>
      <w:r w:rsidR="001974BD" w:rsidRPr="00C66994">
        <w:rPr>
          <w:rFonts w:cs="Arial"/>
        </w:rPr>
        <w:t>s</w:t>
      </w:r>
      <w:r w:rsidRPr="00C66994">
        <w:rPr>
          <w:rFonts w:cs="Arial"/>
        </w:rPr>
        <w:t xml:space="preserve"> solicitud</w:t>
      </w:r>
      <w:r w:rsidR="001974BD" w:rsidRPr="00C66994">
        <w:rPr>
          <w:rFonts w:cs="Arial"/>
        </w:rPr>
        <w:t>es</w:t>
      </w:r>
      <w:r w:rsidRPr="00C66994">
        <w:rPr>
          <w:rFonts w:cs="Arial"/>
        </w:rPr>
        <w:t xml:space="preserve"> de acceso a la Información Pública el </w:t>
      </w:r>
      <w:r w:rsidR="00A041A8" w:rsidRPr="00C66994">
        <w:rPr>
          <w:rFonts w:eastAsia="Palatino Linotype" w:cs="Palatino Linotype"/>
          <w:b/>
        </w:rPr>
        <w:t>nueve de octubre</w:t>
      </w:r>
      <w:r w:rsidR="00060347" w:rsidRPr="00C66994">
        <w:rPr>
          <w:rFonts w:eastAsia="Palatino Linotype" w:cs="Palatino Linotype"/>
          <w:b/>
        </w:rPr>
        <w:t xml:space="preserve"> de dos mil veinticuatro</w:t>
      </w:r>
      <w:r w:rsidRPr="00C66994">
        <w:rPr>
          <w:rFonts w:cs="Arial"/>
        </w:rPr>
        <w:t xml:space="preserve"> </w:t>
      </w:r>
      <w:r w:rsidR="00A53315" w:rsidRPr="00C66994">
        <w:rPr>
          <w:rFonts w:cs="Arial"/>
        </w:rPr>
        <w:t xml:space="preserve">y el recurso </w:t>
      </w:r>
      <w:r w:rsidR="00A53315" w:rsidRPr="00C66994">
        <w:rPr>
          <w:rFonts w:eastAsia="Palatino Linotype" w:cs="Palatino Linotype"/>
        </w:rPr>
        <w:t xml:space="preserve">que nos ocupa se interpuso el </w:t>
      </w:r>
      <w:r w:rsidR="00A041A8" w:rsidRPr="00C66994">
        <w:rPr>
          <w:rFonts w:eastAsia="Palatino Linotype" w:cs="Palatino Linotype"/>
          <w:b/>
        </w:rPr>
        <w:t>diez de octubre</w:t>
      </w:r>
      <w:r w:rsidR="00060347" w:rsidRPr="00C66994">
        <w:rPr>
          <w:rFonts w:eastAsia="Palatino Linotype" w:cs="Palatino Linotype"/>
          <w:b/>
        </w:rPr>
        <w:t xml:space="preserve"> de dos mil veinticuatro</w:t>
      </w:r>
      <w:r w:rsidR="00A53315" w:rsidRPr="00C66994">
        <w:rPr>
          <w:rFonts w:eastAsia="Palatino Linotype" w:cs="Palatino Linotype"/>
          <w:bCs/>
        </w:rPr>
        <w:t>;</w:t>
      </w:r>
      <w:r w:rsidR="00A53315" w:rsidRPr="00C66994">
        <w:rPr>
          <w:rFonts w:eastAsia="Palatino Linotype" w:cs="Palatino Linotype"/>
        </w:rPr>
        <w:t xml:space="preserve"> por lo tanto, éste se encuentra dentro del margen temporal previsto en el artículo 178 de la </w:t>
      </w:r>
      <w:r w:rsidR="00A53315" w:rsidRPr="00C66994">
        <w:rPr>
          <w:rFonts w:cs="Arial"/>
        </w:rPr>
        <w:t xml:space="preserve">Ley de Transparencia y Acceso a la Información Pública del Estado de México y Municipios </w:t>
      </w:r>
      <w:bookmarkStart w:id="21" w:name="_Hlk62134391"/>
      <w:r w:rsidR="00060347" w:rsidRPr="00C66994">
        <w:rPr>
          <w:rFonts w:eastAsiaTheme="minorEastAsia" w:cs="Arial"/>
          <w:lang w:val="es-ES_tradnl"/>
        </w:rPr>
        <w:t xml:space="preserve">y </w:t>
      </w:r>
      <w:r w:rsidRPr="00C66994">
        <w:rPr>
          <w:rFonts w:eastAsiaTheme="minorEastAsia" w:cs="Arial"/>
          <w:lang w:val="es-ES_tradnl"/>
        </w:rPr>
        <w:t xml:space="preserve">en términos del </w:t>
      </w:r>
      <w:bookmarkEnd w:id="21"/>
      <w:r w:rsidRPr="00C66994">
        <w:rPr>
          <w:rFonts w:eastAsiaTheme="minorEastAsia" w:cs="Arial"/>
          <w:lang w:val="es-ES_tradnl"/>
        </w:rPr>
        <w:t>Calendario oficia</w:t>
      </w:r>
      <w:r w:rsidR="00CB7E9A" w:rsidRPr="00C66994">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C66994" w:rsidRDefault="00D91CB4" w:rsidP="00C66994">
      <w:pPr>
        <w:rPr>
          <w:rFonts w:eastAsia="Palatino Linotype" w:cs="Palatino Linotype"/>
        </w:rPr>
      </w:pPr>
    </w:p>
    <w:p w14:paraId="46C0EB3A" w14:textId="4631B2B9" w:rsidR="00A53315" w:rsidRPr="00C66994" w:rsidRDefault="00BA55A8" w:rsidP="00C66994">
      <w:pPr>
        <w:pStyle w:val="Ttulo3"/>
        <w:rPr>
          <w:rFonts w:eastAsia="Calibri"/>
          <w:lang w:eastAsia="es-ES_tradnl"/>
        </w:rPr>
      </w:pPr>
      <w:bookmarkStart w:id="22" w:name="_Toc183621263"/>
      <w:r w:rsidRPr="00C66994">
        <w:rPr>
          <w:rFonts w:eastAsia="Calibri"/>
          <w:lang w:eastAsia="es-ES_tradnl"/>
        </w:rPr>
        <w:t>d)</w:t>
      </w:r>
      <w:r w:rsidR="00486201" w:rsidRPr="00C66994">
        <w:rPr>
          <w:rFonts w:eastAsia="Calibri"/>
          <w:lang w:eastAsia="es-ES_tradnl"/>
        </w:rPr>
        <w:t xml:space="preserve"> Causal de procedencia</w:t>
      </w:r>
      <w:bookmarkEnd w:id="22"/>
    </w:p>
    <w:p w14:paraId="190404A6" w14:textId="4AA89A91" w:rsidR="00BA55A8" w:rsidRPr="00C66994" w:rsidRDefault="00BA55A8" w:rsidP="00C66994">
      <w:r w:rsidRPr="00C66994">
        <w:rPr>
          <w:rFonts w:cs="Arial"/>
        </w:rPr>
        <w:t xml:space="preserve">Resulta procedente la interposición del recurso de revisión, ya que </w:t>
      </w:r>
      <w:r w:rsidRPr="00C66994">
        <w:rPr>
          <w:rFonts w:eastAsia="Calibri" w:cs="Tahoma"/>
          <w:szCs w:val="22"/>
          <w:lang w:eastAsia="es-MX"/>
        </w:rPr>
        <w:t xml:space="preserve">se actualiza la causal de procedencia señalada en el artículo 179, fracción </w:t>
      </w:r>
      <w:r w:rsidR="00A041A8" w:rsidRPr="00C66994">
        <w:rPr>
          <w:rFonts w:eastAsia="Calibri" w:cs="Tahoma"/>
          <w:szCs w:val="22"/>
          <w:lang w:eastAsia="es-MX"/>
        </w:rPr>
        <w:t>I</w:t>
      </w:r>
      <w:r w:rsidR="00060347" w:rsidRPr="00C66994">
        <w:rPr>
          <w:rFonts w:eastAsia="Calibri" w:cs="Tahoma"/>
          <w:szCs w:val="22"/>
          <w:lang w:eastAsia="es-MX"/>
        </w:rPr>
        <w:t>I</w:t>
      </w:r>
      <w:r w:rsidRPr="00C66994">
        <w:rPr>
          <w:rFonts w:cs="Arial"/>
        </w:rPr>
        <w:t xml:space="preserve"> de la </w:t>
      </w:r>
      <w:r w:rsidRPr="00C66994">
        <w:t>Ley de Transparencia y Acceso a la Información Pública del Estado de México y Municipios.</w:t>
      </w:r>
    </w:p>
    <w:p w14:paraId="431B6CB1" w14:textId="77777777" w:rsidR="002A5A95" w:rsidRPr="00C66994" w:rsidRDefault="002A5A95" w:rsidP="00C66994"/>
    <w:p w14:paraId="5498FA9A" w14:textId="77777777" w:rsidR="002A5A95" w:rsidRPr="00C66994" w:rsidRDefault="002A5A95" w:rsidP="00C66994">
      <w:pPr>
        <w:pStyle w:val="Puesto"/>
        <w:rPr>
          <w:rFonts w:eastAsia="Palatino Linotype"/>
        </w:rPr>
      </w:pPr>
      <w:r w:rsidRPr="00C66994">
        <w:rPr>
          <w:rFonts w:eastAsia="Palatino Linotype"/>
        </w:rPr>
        <w:t>“</w:t>
      </w:r>
      <w:r w:rsidRPr="00C66994">
        <w:rPr>
          <w:rFonts w:eastAsia="Palatino Linotype"/>
          <w:b/>
        </w:rPr>
        <w:t>Artículo 179.</w:t>
      </w:r>
      <w:r w:rsidRPr="00C66994">
        <w:rPr>
          <w:rFonts w:eastAsia="Palatino Linotype"/>
        </w:rPr>
        <w:t xml:space="preserve"> El recurso de revisión es un medio de protección que la Ley otorga a los particulares, para hacer valer su derecho de acceso a la información pública, y procederá en contra de las siguientes causas:</w:t>
      </w:r>
    </w:p>
    <w:p w14:paraId="0BD2C841" w14:textId="438FDB8B" w:rsidR="002A5A95" w:rsidRPr="00C66994" w:rsidRDefault="002A5A95" w:rsidP="00C66994">
      <w:pPr>
        <w:pStyle w:val="Puesto"/>
        <w:rPr>
          <w:rFonts w:eastAsia="Palatino Linotype"/>
        </w:rPr>
      </w:pPr>
      <w:r w:rsidRPr="00C66994">
        <w:rPr>
          <w:rFonts w:eastAsia="Palatino Linotype"/>
        </w:rPr>
        <w:t>(…)</w:t>
      </w:r>
    </w:p>
    <w:p w14:paraId="30592514" w14:textId="77777777" w:rsidR="002A5A95" w:rsidRPr="00C66994" w:rsidRDefault="002A5A95" w:rsidP="00C66994">
      <w:pPr>
        <w:pStyle w:val="Puesto"/>
        <w:rPr>
          <w:rFonts w:eastAsia="Palatino Linotype"/>
          <w:b/>
        </w:rPr>
      </w:pPr>
      <w:r w:rsidRPr="00C66994">
        <w:rPr>
          <w:rFonts w:eastAsia="Palatino Linotype"/>
          <w:b/>
        </w:rPr>
        <w:t>II. La clasificación de la información;</w:t>
      </w:r>
    </w:p>
    <w:p w14:paraId="0E25A0DD" w14:textId="28E8D1B0" w:rsidR="002A5A95" w:rsidRPr="00C66994" w:rsidRDefault="002A5A95" w:rsidP="00C66994">
      <w:pPr>
        <w:pStyle w:val="Puesto"/>
      </w:pPr>
      <w:r w:rsidRPr="00C66994">
        <w:rPr>
          <w:rFonts w:eastAsia="Palatino Linotype"/>
        </w:rPr>
        <w:t xml:space="preserve"> (…)”</w:t>
      </w:r>
    </w:p>
    <w:p w14:paraId="0EFF7141" w14:textId="77777777" w:rsidR="00362A11" w:rsidRPr="00C66994" w:rsidRDefault="00362A11" w:rsidP="00C66994"/>
    <w:p w14:paraId="2284D7EB" w14:textId="3EE1D036" w:rsidR="00BA55A8" w:rsidRPr="00C66994" w:rsidRDefault="00362A11" w:rsidP="00C66994">
      <w:pPr>
        <w:pStyle w:val="Ttulo3"/>
      </w:pPr>
      <w:bookmarkStart w:id="23" w:name="_Toc183621264"/>
      <w:r w:rsidRPr="00C66994">
        <w:t>e) Requisitos formales para la interposición del recurso</w:t>
      </w:r>
      <w:bookmarkEnd w:id="23"/>
    </w:p>
    <w:p w14:paraId="6390674A" w14:textId="78A894DD" w:rsidR="00BA55A8" w:rsidRPr="00C66994" w:rsidRDefault="00BA55A8" w:rsidP="00C66994">
      <w:pPr>
        <w:rPr>
          <w:rFonts w:cs="Arial"/>
        </w:rPr>
      </w:pPr>
      <w:r w:rsidRPr="00C66994">
        <w:rPr>
          <w:rFonts w:cs="Arial"/>
          <w:b/>
          <w:bCs/>
        </w:rPr>
        <w:t xml:space="preserve">LA PARTE RECURRENTE </w:t>
      </w:r>
      <w:r w:rsidRPr="00C66994">
        <w:rPr>
          <w:rFonts w:cs="Arial"/>
        </w:rPr>
        <w:t>acreditó todos y cada uno de los elementos formales exigidos por el artículo 180 de la misma normatividad.</w:t>
      </w:r>
    </w:p>
    <w:p w14:paraId="61D887C7" w14:textId="77777777" w:rsidR="00486201" w:rsidRPr="00C66994" w:rsidRDefault="00486201" w:rsidP="00C66994">
      <w:pPr>
        <w:rPr>
          <w:rFonts w:cs="Arial"/>
        </w:rPr>
      </w:pPr>
    </w:p>
    <w:p w14:paraId="7281A438" w14:textId="77777777" w:rsidR="00486201" w:rsidRPr="00C66994" w:rsidRDefault="00486201" w:rsidP="00C66994">
      <w:pPr>
        <w:rPr>
          <w:rFonts w:cs="Arial"/>
          <w:sz w:val="24"/>
          <w:szCs w:val="24"/>
          <w:lang w:val="es-ES"/>
        </w:rPr>
      </w:pPr>
      <w:r w:rsidRPr="00C66994">
        <w:rPr>
          <w:szCs w:val="24"/>
          <w:lang w:val="es-ES"/>
        </w:rPr>
        <w:lastRenderedPageBreak/>
        <w:t xml:space="preserve">Es importante mencionar que, de la revisión del expediente electrónico del </w:t>
      </w:r>
      <w:r w:rsidRPr="00C66994">
        <w:rPr>
          <w:bCs/>
          <w:szCs w:val="24"/>
          <w:lang w:val="es-ES"/>
        </w:rPr>
        <w:t>SAIMEX,</w:t>
      </w:r>
      <w:r w:rsidRPr="00C66994">
        <w:rPr>
          <w:szCs w:val="24"/>
          <w:lang w:val="es-ES"/>
        </w:rPr>
        <w:t xml:space="preserve"> se observa que </w:t>
      </w:r>
      <w:r w:rsidRPr="00C66994">
        <w:rPr>
          <w:b/>
          <w:bCs/>
          <w:szCs w:val="24"/>
          <w:lang w:val="es-ES"/>
        </w:rPr>
        <w:t>LA PARTE RECURRENTE</w:t>
      </w:r>
      <w:r w:rsidRPr="00C66994">
        <w:rPr>
          <w:szCs w:val="24"/>
          <w:lang w:val="es-ES"/>
        </w:rPr>
        <w:t xml:space="preserve"> no proporcionó su nombre para ser identificado, lo que en estricto sentido provoca que </w:t>
      </w:r>
      <w:r w:rsidRPr="00C66994">
        <w:rPr>
          <w:rFonts w:cs="Arial"/>
          <w:szCs w:val="24"/>
          <w:lang w:val="es-ES"/>
        </w:rPr>
        <w:t>no</w:t>
      </w:r>
      <w:r w:rsidRPr="00C66994">
        <w:rPr>
          <w:szCs w:val="24"/>
          <w:lang w:val="es-ES"/>
        </w:rPr>
        <w:t xml:space="preserve"> se colmen los requisitos establecidos en el artículo 180 de la Ley de Transparencia; sin embargo, el artículo 15 de </w:t>
      </w:r>
      <w:r w:rsidRPr="00C66994">
        <w:rPr>
          <w:rFonts w:cs="Arial"/>
          <w:szCs w:val="24"/>
          <w:lang w:val="es-ES" w:eastAsia="es-MX"/>
        </w:rPr>
        <w:t xml:space="preserve">Ley de Transparencia y Acceso a la </w:t>
      </w:r>
      <w:r w:rsidRPr="00C66994">
        <w:rPr>
          <w:rFonts w:cs="Arial"/>
          <w:szCs w:val="24"/>
          <w:lang w:val="es-ES"/>
        </w:rPr>
        <w:t>Información</w:t>
      </w:r>
      <w:r w:rsidRPr="00C66994">
        <w:rPr>
          <w:rFonts w:cs="Arial"/>
          <w:szCs w:val="24"/>
          <w:lang w:val="es-ES" w:eastAsia="es-MX"/>
        </w:rPr>
        <w:t xml:space="preserve"> Pública del Estado de México y Municipios </w:t>
      </w:r>
      <w:r w:rsidRPr="00C66994">
        <w:rPr>
          <w:rFonts w:cs="Arial"/>
          <w:iCs/>
          <w:szCs w:val="24"/>
          <w:lang w:val="es-ES"/>
        </w:rPr>
        <w:t xml:space="preserve">prevé que </w:t>
      </w:r>
      <w:r w:rsidRPr="00C66994">
        <w:rPr>
          <w:szCs w:val="24"/>
          <w:lang w:val="es-ES"/>
        </w:rPr>
        <w:t xml:space="preserve">toda persona tendrá acceso a la información </w:t>
      </w:r>
      <w:r w:rsidRPr="00C66994">
        <w:rPr>
          <w:rFonts w:cs="Arial"/>
          <w:szCs w:val="24"/>
          <w:lang w:val="es-ES"/>
        </w:rPr>
        <w:t xml:space="preserve">sin necesidad de acreditar interés alguno o justificar su utilización, de lo que se infiere que </w:t>
      </w:r>
      <w:r w:rsidRPr="00C66994">
        <w:rPr>
          <w:rFonts w:cs="Arial"/>
          <w:b/>
          <w:szCs w:val="24"/>
          <w:u w:val="single"/>
          <w:lang w:val="es-ES"/>
        </w:rPr>
        <w:t xml:space="preserve">el nombre no es un requisito </w:t>
      </w:r>
      <w:r w:rsidRPr="00C66994">
        <w:rPr>
          <w:rFonts w:cs="Arial"/>
          <w:b/>
          <w:iCs/>
          <w:szCs w:val="24"/>
          <w:u w:val="single"/>
          <w:lang w:val="es-ES"/>
        </w:rPr>
        <w:t>indispensable</w:t>
      </w:r>
      <w:r w:rsidRPr="00C66994">
        <w:rPr>
          <w:rFonts w:cs="Arial"/>
          <w:szCs w:val="24"/>
          <w:lang w:val="es-ES"/>
        </w:rPr>
        <w:t xml:space="preserve"> para que las y los ciudadanos ejerzan el derecho de acceso a la información pública. </w:t>
      </w:r>
    </w:p>
    <w:p w14:paraId="7285FF10" w14:textId="77777777" w:rsidR="00486201" w:rsidRPr="00C66994" w:rsidRDefault="00486201" w:rsidP="00C66994">
      <w:pPr>
        <w:rPr>
          <w:rFonts w:cs="Arial"/>
          <w:sz w:val="24"/>
          <w:szCs w:val="24"/>
          <w:lang w:val="es-ES"/>
        </w:rPr>
      </w:pPr>
    </w:p>
    <w:p w14:paraId="1996F96F" w14:textId="77777777" w:rsidR="00486201" w:rsidRPr="00C66994" w:rsidRDefault="00486201" w:rsidP="00C66994">
      <w:pPr>
        <w:rPr>
          <w:sz w:val="24"/>
          <w:szCs w:val="24"/>
          <w:lang w:val="es-ES"/>
        </w:rPr>
      </w:pPr>
      <w:r w:rsidRPr="00C66994">
        <w:rPr>
          <w:rFonts w:cs="Arial"/>
          <w:szCs w:val="24"/>
          <w:lang w:val="es-ES"/>
        </w:rPr>
        <w:t>Asimismo, la Ley de la materia prevé en su artículo 155, párrafo segundo la posibilidad de que las solicitudes de información sean anónimas, al utilizar un nombre incompleto o, inclusive un seudónimo.</w:t>
      </w:r>
      <w:r w:rsidRPr="00C66994">
        <w:rPr>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C66994">
        <w:rPr>
          <w:b/>
          <w:bCs/>
          <w:szCs w:val="24"/>
          <w:lang w:val="es-ES"/>
        </w:rPr>
        <w:t>LA PARTE RECURRENTE</w:t>
      </w:r>
      <w:r w:rsidRPr="00C66994">
        <w:rPr>
          <w:rFonts w:cs="Arial"/>
          <w:b/>
          <w:szCs w:val="24"/>
          <w:lang w:val="es-ES"/>
        </w:rPr>
        <w:t>;</w:t>
      </w:r>
      <w:r w:rsidRPr="00C66994">
        <w:rPr>
          <w:szCs w:val="24"/>
          <w:lang w:val="es-ES"/>
        </w:rPr>
        <w:t xml:space="preserve"> por lo que, en el presente caso, al haber sido presentado el recurso de revisión vía </w:t>
      </w:r>
      <w:r w:rsidRPr="00C66994">
        <w:rPr>
          <w:bCs/>
          <w:szCs w:val="24"/>
          <w:lang w:val="es-ES"/>
        </w:rPr>
        <w:t>SAIMEX</w:t>
      </w:r>
      <w:r w:rsidRPr="00C66994">
        <w:rPr>
          <w:szCs w:val="24"/>
          <w:lang w:val="es-ES"/>
        </w:rPr>
        <w:t>, dicho requisito resulta innecesario.</w:t>
      </w:r>
    </w:p>
    <w:p w14:paraId="7744E955" w14:textId="77777777" w:rsidR="00575400" w:rsidRPr="00C66994" w:rsidRDefault="00575400" w:rsidP="00C66994">
      <w:pPr>
        <w:rPr>
          <w:rFonts w:cs="Arial"/>
        </w:rPr>
      </w:pPr>
    </w:p>
    <w:p w14:paraId="1E55F6E2" w14:textId="685B7BAE" w:rsidR="00575400" w:rsidRPr="00C66994" w:rsidRDefault="00575400" w:rsidP="00C66994">
      <w:pPr>
        <w:pStyle w:val="Ttulo3"/>
      </w:pPr>
      <w:bookmarkStart w:id="24" w:name="_Toc183621265"/>
      <w:r w:rsidRPr="00C66994">
        <w:t>f) Acumulación de los Recursos de Revisión</w:t>
      </w:r>
      <w:bookmarkEnd w:id="24"/>
    </w:p>
    <w:p w14:paraId="48C8D8CC" w14:textId="6B749D8F" w:rsidR="00575400" w:rsidRPr="00C66994" w:rsidRDefault="00575400" w:rsidP="00C66994">
      <w:pPr>
        <w:rPr>
          <w:rFonts w:cs="Arial"/>
          <w:b/>
          <w:bCs/>
        </w:rPr>
      </w:pPr>
      <w:r w:rsidRPr="00C66994">
        <w:rPr>
          <w:rFonts w:eastAsiaTheme="minorEastAsia"/>
          <w:lang w:val="es-ES_tradnl"/>
        </w:rPr>
        <w:t>De las constancias que obran en los expedientes acumulados, se advierte que los recursos de revisión</w:t>
      </w:r>
      <w:r w:rsidR="009D3B74" w:rsidRPr="00C66994">
        <w:rPr>
          <w:rFonts w:eastAsiaTheme="minorEastAsia" w:cstheme="minorBidi"/>
          <w:lang w:val="es-ES_tradnl"/>
        </w:rPr>
        <w:t xml:space="preserve"> </w:t>
      </w:r>
      <w:r w:rsidR="00335D2E" w:rsidRPr="00C66994">
        <w:rPr>
          <w:rFonts w:eastAsia="Calibri"/>
          <w:b/>
          <w:lang w:eastAsia="en-US"/>
        </w:rPr>
        <w:t>06172/INFOEM/IP/RR/2024</w:t>
      </w:r>
      <w:r w:rsidR="00335D2E" w:rsidRPr="00C66994">
        <w:rPr>
          <w:rFonts w:eastAsia="Calibri"/>
          <w:lang w:eastAsia="en-US"/>
        </w:rPr>
        <w:t>,</w:t>
      </w:r>
      <w:r w:rsidR="00335D2E" w:rsidRPr="00C66994">
        <w:rPr>
          <w:rFonts w:eastAsia="Calibri"/>
          <w:b/>
          <w:lang w:eastAsia="en-US"/>
        </w:rPr>
        <w:t xml:space="preserve"> </w:t>
      </w:r>
      <w:r w:rsidR="00BC1D71" w:rsidRPr="00C66994">
        <w:rPr>
          <w:rFonts w:eastAsia="Calibri"/>
          <w:b/>
          <w:lang w:eastAsia="en-US"/>
        </w:rPr>
        <w:t>06176/INFOEM/IP/RR/2024, 06205/INFOEM/IP/RR/2024, 06206/INFOEM/IP/RR/2024, 06207/INFOEM/IP/RR/2024, 06208/INFOEM/IP/RR/2024, 06209/INFOEM/IP/RR/2024, 06210/INFOEM/IP/RR/2024 y 06211/INFOEM/IP/RR/2024</w:t>
      </w:r>
      <w:r w:rsidRPr="00C66994">
        <w:rPr>
          <w:rFonts w:eastAsiaTheme="minorEastAsia"/>
          <w:b/>
          <w:bCs/>
          <w:lang w:val="es-ES_tradnl"/>
        </w:rPr>
        <w:t xml:space="preserve"> </w:t>
      </w:r>
      <w:r w:rsidRPr="00C66994">
        <w:rPr>
          <w:rFonts w:eastAsiaTheme="minorEastAsia"/>
          <w:lang w:val="es-ES_tradnl"/>
        </w:rPr>
        <w:t xml:space="preserve">fueron presentados por </w:t>
      </w:r>
      <w:r w:rsidR="00CD0B92" w:rsidRPr="00C66994">
        <w:rPr>
          <w:rFonts w:eastAsiaTheme="minorEastAsia"/>
          <w:lang w:val="es-ES_tradnl"/>
        </w:rPr>
        <w:t>la</w:t>
      </w:r>
      <w:r w:rsidRPr="00C66994">
        <w:rPr>
          <w:rFonts w:eastAsiaTheme="minorEastAsia"/>
          <w:lang w:val="es-ES_tradnl"/>
        </w:rPr>
        <w:t xml:space="preserve"> mism</w:t>
      </w:r>
      <w:r w:rsidR="00CD0B92" w:rsidRPr="00C66994">
        <w:rPr>
          <w:rFonts w:eastAsiaTheme="minorEastAsia"/>
          <w:lang w:val="es-ES_tradnl"/>
        </w:rPr>
        <w:t>a</w:t>
      </w:r>
      <w:r w:rsidRPr="00C66994">
        <w:rPr>
          <w:rFonts w:eastAsiaTheme="minorEastAsia"/>
          <w:lang w:val="es-ES_tradnl"/>
        </w:rPr>
        <w:t xml:space="preserve"> </w:t>
      </w:r>
      <w:r w:rsidR="00CD0B92" w:rsidRPr="00C66994">
        <w:rPr>
          <w:rFonts w:eastAsiaTheme="minorEastAsia"/>
          <w:b/>
          <w:lang w:val="es-ES_tradnl"/>
        </w:rPr>
        <w:t>PARTE RECURRENTE</w:t>
      </w:r>
      <w:r w:rsidRPr="00C66994">
        <w:rPr>
          <w:rFonts w:eastAsiaTheme="minorEastAsia"/>
          <w:lang w:val="es-ES_tradnl"/>
        </w:rPr>
        <w:t xml:space="preserve"> respecto de actos u omisiones</w:t>
      </w:r>
      <w:r w:rsidR="00CD0B92" w:rsidRPr="00C66994">
        <w:rPr>
          <w:rFonts w:eastAsiaTheme="minorEastAsia"/>
          <w:lang w:val="es-ES_tradnl"/>
        </w:rPr>
        <w:t xml:space="preserve"> similares, realizados por el</w:t>
      </w:r>
      <w:r w:rsidRPr="00C66994">
        <w:rPr>
          <w:rFonts w:eastAsiaTheme="minorEastAsia"/>
          <w:lang w:val="es-ES_tradnl"/>
        </w:rPr>
        <w:t xml:space="preserve"> mismo </w:t>
      </w:r>
      <w:r w:rsidRPr="00C66994">
        <w:rPr>
          <w:rFonts w:eastAsiaTheme="minorEastAsia"/>
          <w:b/>
          <w:lang w:val="es-ES_tradnl"/>
        </w:rPr>
        <w:t>SUJETO OBLIGADO</w:t>
      </w:r>
      <w:r w:rsidRPr="00C66994">
        <w:rPr>
          <w:rFonts w:eastAsiaTheme="minorEastAsia"/>
          <w:lang w:val="es-ES_tradnl"/>
        </w:rPr>
        <w:t>, razón por la cual</w:t>
      </w:r>
      <w:r w:rsidR="00CD0B92" w:rsidRPr="00C66994">
        <w:rPr>
          <w:rFonts w:eastAsiaTheme="minorEastAsia"/>
          <w:lang w:val="es-ES_tradnl"/>
        </w:rPr>
        <w:t xml:space="preserve">, con la finalidad de evitar la emisión de resoluciones contradictorias, </w:t>
      </w:r>
      <w:r w:rsidRPr="00C66994">
        <w:rPr>
          <w:rFonts w:eastAsiaTheme="minorEastAsia"/>
          <w:lang w:val="es-ES_tradnl"/>
        </w:rPr>
        <w:t xml:space="preserve">este Órgano </w:t>
      </w:r>
      <w:r w:rsidRPr="00C66994">
        <w:rPr>
          <w:rFonts w:eastAsiaTheme="minorEastAsia"/>
          <w:lang w:val="es-ES_tradnl"/>
        </w:rPr>
        <w:lastRenderedPageBreak/>
        <w:t xml:space="preserve">Garante realizó la acumulación respectiva, de conformidad con lo dispuesto en el artículo 18 del </w:t>
      </w:r>
      <w:r w:rsidRPr="00C66994">
        <w:rPr>
          <w:rFonts w:eastAsiaTheme="minorEastAsia"/>
          <w:lang w:val="es-ES"/>
        </w:rPr>
        <w:t xml:space="preserve">Código de Procedimientos Administrativos del Estado de México, de aplicación supletoria en términos del </w:t>
      </w:r>
      <w:r w:rsidRPr="00C66994">
        <w:rPr>
          <w:rFonts w:eastAsiaTheme="minorEastAsia"/>
          <w:lang w:val="es-ES_tradnl"/>
        </w:rPr>
        <w:t xml:space="preserve">artículo 195 de </w:t>
      </w:r>
      <w:r w:rsidRPr="00C66994">
        <w:rPr>
          <w:rFonts w:eastAsiaTheme="minorEastAsia" w:cstheme="minorBidi"/>
          <w:lang w:val="es-ES_tradnl"/>
        </w:rPr>
        <w:t>la Ley de Transparencia y Acceso a la Información Pública del Estado de México y Municipios en vigor</w:t>
      </w:r>
      <w:r w:rsidR="00CD0B92" w:rsidRPr="00C66994">
        <w:rPr>
          <w:rFonts w:eastAsiaTheme="minorEastAsia" w:cstheme="minorBidi"/>
          <w:lang w:val="es-ES_tradnl"/>
        </w:rPr>
        <w:t>.</w:t>
      </w:r>
    </w:p>
    <w:p w14:paraId="3A121826" w14:textId="77777777" w:rsidR="00C461EC" w:rsidRPr="00C66994" w:rsidRDefault="00C461EC" w:rsidP="00C66994">
      <w:pPr>
        <w:ind w:left="-57"/>
        <w:rPr>
          <w:bCs/>
          <w:lang w:val="es-ES_tradnl"/>
        </w:rPr>
      </w:pPr>
    </w:p>
    <w:p w14:paraId="457548E9" w14:textId="3F7AF03B" w:rsidR="00C71CEF" w:rsidRPr="00C66994" w:rsidRDefault="00C71CEF" w:rsidP="00C66994">
      <w:pPr>
        <w:pStyle w:val="Ttulo2"/>
      </w:pPr>
      <w:bookmarkStart w:id="25" w:name="_Toc183621266"/>
      <w:r w:rsidRPr="00C66994">
        <w:t>SEGUNDO. Estudio de Fondo</w:t>
      </w:r>
      <w:bookmarkEnd w:id="25"/>
    </w:p>
    <w:p w14:paraId="2A308F59" w14:textId="0FF373F0" w:rsidR="00C049E2" w:rsidRPr="00C66994" w:rsidRDefault="00C71CEF" w:rsidP="00C66994">
      <w:pPr>
        <w:pStyle w:val="Ttulo3"/>
      </w:pPr>
      <w:bookmarkStart w:id="26" w:name="_Toc183621267"/>
      <w:r w:rsidRPr="00C66994">
        <w:t>a</w:t>
      </w:r>
      <w:r w:rsidR="00C049E2" w:rsidRPr="00C66994">
        <w:t>) Mandato de transparencia y responsabilidad del Sujeto Obligado</w:t>
      </w:r>
      <w:bookmarkEnd w:id="26"/>
    </w:p>
    <w:p w14:paraId="6901A889" w14:textId="59EEDAE1" w:rsidR="00C049E2" w:rsidRPr="00C66994" w:rsidRDefault="00C049E2" w:rsidP="00C66994">
      <w:pPr>
        <w:rPr>
          <w:rFonts w:eastAsia="Palatino Linotype"/>
        </w:rPr>
      </w:pPr>
      <w:r w:rsidRPr="00C66994">
        <w:rPr>
          <w:rFonts w:eastAsia="Palatino Linotype"/>
        </w:rPr>
        <w:t xml:space="preserve">El </w:t>
      </w:r>
      <w:r w:rsidR="00717E59" w:rsidRPr="00C66994">
        <w:rPr>
          <w:rFonts w:eastAsia="Palatino Linotype"/>
        </w:rPr>
        <w:t>d</w:t>
      </w:r>
      <w:r w:rsidRPr="00C66994">
        <w:rPr>
          <w:rFonts w:eastAsia="Palatino Linotype"/>
        </w:rPr>
        <w:t xml:space="preserve">erecho de </w:t>
      </w:r>
      <w:r w:rsidR="00717E59" w:rsidRPr="00C66994">
        <w:rPr>
          <w:rFonts w:eastAsia="Palatino Linotype"/>
        </w:rPr>
        <w:t>a</w:t>
      </w:r>
      <w:r w:rsidRPr="00C66994">
        <w:rPr>
          <w:rFonts w:eastAsia="Palatino Linotype"/>
        </w:rPr>
        <w:t xml:space="preserve">cceso a la </w:t>
      </w:r>
      <w:r w:rsidR="00717E59" w:rsidRPr="00C66994">
        <w:rPr>
          <w:rFonts w:eastAsia="Palatino Linotype"/>
        </w:rPr>
        <w:t>i</w:t>
      </w:r>
      <w:r w:rsidRPr="00C66994">
        <w:rPr>
          <w:rFonts w:eastAsia="Palatino Linotype"/>
        </w:rPr>
        <w:t xml:space="preserve">nformación </w:t>
      </w:r>
      <w:r w:rsidR="00717E59" w:rsidRPr="00C66994">
        <w:rPr>
          <w:rFonts w:eastAsia="Palatino Linotype"/>
        </w:rPr>
        <w:t>p</w:t>
      </w:r>
      <w:r w:rsidRPr="00C6699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66994">
        <w:rPr>
          <w:rFonts w:eastAsia="Palatino Linotype"/>
        </w:rPr>
        <w:t>:</w:t>
      </w:r>
    </w:p>
    <w:p w14:paraId="7FAB8D32" w14:textId="77777777" w:rsidR="00C049E2" w:rsidRPr="00C66994" w:rsidRDefault="00C049E2" w:rsidP="00C66994">
      <w:pPr>
        <w:rPr>
          <w:rFonts w:eastAsia="Palatino Linotype"/>
        </w:rPr>
      </w:pPr>
    </w:p>
    <w:p w14:paraId="05320813" w14:textId="77777777" w:rsidR="00C049E2" w:rsidRPr="00C66994" w:rsidRDefault="00C049E2" w:rsidP="00C66994">
      <w:pPr>
        <w:spacing w:line="240" w:lineRule="auto"/>
        <w:ind w:left="567" w:right="539"/>
        <w:rPr>
          <w:rFonts w:eastAsia="Palatino Linotype"/>
          <w:b/>
          <w:i/>
        </w:rPr>
      </w:pPr>
      <w:r w:rsidRPr="00C66994">
        <w:rPr>
          <w:rFonts w:eastAsia="Palatino Linotype"/>
          <w:b/>
          <w:i/>
        </w:rPr>
        <w:t>Constitución Política de los Estados Unidos Mexicanos</w:t>
      </w:r>
    </w:p>
    <w:p w14:paraId="6B6C67B6" w14:textId="77777777" w:rsidR="00C049E2" w:rsidRPr="00C66994" w:rsidRDefault="00C049E2" w:rsidP="00C66994">
      <w:pPr>
        <w:spacing w:line="240" w:lineRule="auto"/>
        <w:ind w:left="567" w:right="539"/>
        <w:rPr>
          <w:rFonts w:eastAsia="Palatino Linotype"/>
          <w:b/>
          <w:i/>
        </w:rPr>
      </w:pPr>
      <w:r w:rsidRPr="00C66994">
        <w:rPr>
          <w:rFonts w:eastAsia="Palatino Linotype"/>
          <w:b/>
          <w:i/>
        </w:rPr>
        <w:t>“Artículo 6.</w:t>
      </w:r>
    </w:p>
    <w:p w14:paraId="38D3B4C4" w14:textId="77777777" w:rsidR="00C049E2" w:rsidRPr="00C66994" w:rsidRDefault="00C049E2" w:rsidP="00C66994">
      <w:pPr>
        <w:spacing w:line="240" w:lineRule="auto"/>
        <w:ind w:left="567" w:right="539"/>
        <w:rPr>
          <w:rFonts w:eastAsia="Palatino Linotype"/>
          <w:i/>
        </w:rPr>
      </w:pPr>
      <w:r w:rsidRPr="00C66994">
        <w:rPr>
          <w:rFonts w:eastAsia="Palatino Linotype"/>
          <w:i/>
        </w:rPr>
        <w:t>(…)</w:t>
      </w:r>
    </w:p>
    <w:p w14:paraId="2CCAA297" w14:textId="6602827B" w:rsidR="00C049E2" w:rsidRPr="00C66994" w:rsidRDefault="00C049E2" w:rsidP="00C66994">
      <w:pPr>
        <w:spacing w:line="240" w:lineRule="auto"/>
        <w:ind w:left="567" w:right="539"/>
        <w:rPr>
          <w:rFonts w:eastAsia="Palatino Linotype"/>
          <w:i/>
        </w:rPr>
      </w:pPr>
      <w:r w:rsidRPr="00C66994">
        <w:rPr>
          <w:rFonts w:eastAsia="Palatino Linotype"/>
          <w:i/>
        </w:rPr>
        <w:t>Para efectos de lo dispuesto en el presente artículo se observará lo siguiente:</w:t>
      </w:r>
    </w:p>
    <w:p w14:paraId="74CC3718" w14:textId="77777777" w:rsidR="00C049E2" w:rsidRPr="00C66994" w:rsidRDefault="00C049E2" w:rsidP="00C66994">
      <w:pPr>
        <w:spacing w:line="240" w:lineRule="auto"/>
        <w:ind w:left="567" w:right="539"/>
        <w:rPr>
          <w:rFonts w:eastAsia="Palatino Linotype"/>
          <w:b/>
          <w:i/>
        </w:rPr>
      </w:pPr>
      <w:r w:rsidRPr="00C66994">
        <w:rPr>
          <w:rFonts w:eastAsia="Palatino Linotype"/>
          <w:b/>
          <w:i/>
        </w:rPr>
        <w:t>A</w:t>
      </w:r>
      <w:r w:rsidRPr="00C66994">
        <w:rPr>
          <w:rFonts w:eastAsia="Palatino Linotype"/>
          <w:i/>
        </w:rPr>
        <w:t xml:space="preserve">. </w:t>
      </w:r>
      <w:r w:rsidRPr="00C66994">
        <w:rPr>
          <w:rFonts w:eastAsia="Palatino Linotype"/>
          <w:b/>
          <w:i/>
        </w:rPr>
        <w:t>Para el ejercicio del derecho de acceso a la información</w:t>
      </w:r>
      <w:r w:rsidRPr="00C66994">
        <w:rPr>
          <w:rFonts w:eastAsia="Palatino Linotype"/>
          <w:i/>
        </w:rPr>
        <w:t xml:space="preserve">, la Federación y </w:t>
      </w:r>
      <w:r w:rsidRPr="00C66994">
        <w:rPr>
          <w:rFonts w:eastAsia="Palatino Linotype"/>
          <w:b/>
          <w:i/>
        </w:rPr>
        <w:t>las entidades federativas, en el ámbito de sus respectivas competencias, se regirán por los siguientes principios y bases:</w:t>
      </w:r>
    </w:p>
    <w:p w14:paraId="596A956B" w14:textId="77777777" w:rsidR="00C049E2" w:rsidRPr="00C66994" w:rsidRDefault="00C049E2" w:rsidP="00C66994">
      <w:pPr>
        <w:spacing w:line="240" w:lineRule="auto"/>
        <w:ind w:left="567" w:right="539"/>
        <w:rPr>
          <w:rFonts w:eastAsia="Palatino Linotype"/>
          <w:i/>
        </w:rPr>
      </w:pPr>
      <w:r w:rsidRPr="00C66994">
        <w:rPr>
          <w:rFonts w:eastAsia="Palatino Linotype"/>
          <w:b/>
          <w:i/>
        </w:rPr>
        <w:t xml:space="preserve">I. </w:t>
      </w:r>
      <w:r w:rsidRPr="00C66994">
        <w:rPr>
          <w:rFonts w:eastAsia="Palatino Linotype"/>
          <w:b/>
          <w:i/>
        </w:rPr>
        <w:tab/>
        <w:t>Toda la información en posesión de cualquier</w:t>
      </w:r>
      <w:r w:rsidRPr="00C66994">
        <w:rPr>
          <w:rFonts w:eastAsia="Palatino Linotype"/>
          <w:i/>
        </w:rPr>
        <w:t xml:space="preserve"> </w:t>
      </w:r>
      <w:r w:rsidRPr="00C66994">
        <w:rPr>
          <w:rFonts w:eastAsia="Palatino Linotype"/>
          <w:b/>
          <w:i/>
        </w:rPr>
        <w:t>autoridad</w:t>
      </w:r>
      <w:r w:rsidRPr="00C6699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66994">
        <w:rPr>
          <w:rFonts w:eastAsia="Palatino Linotype"/>
          <w:b/>
          <w:i/>
        </w:rPr>
        <w:t>municipal</w:t>
      </w:r>
      <w:r w:rsidRPr="00C66994">
        <w:rPr>
          <w:rFonts w:eastAsia="Palatino Linotype"/>
          <w:i/>
        </w:rPr>
        <w:t xml:space="preserve">, </w:t>
      </w:r>
      <w:r w:rsidRPr="00C66994">
        <w:rPr>
          <w:rFonts w:eastAsia="Palatino Linotype"/>
          <w:b/>
          <w:i/>
        </w:rPr>
        <w:t>es pública</w:t>
      </w:r>
      <w:r w:rsidRPr="00C66994">
        <w:rPr>
          <w:rFonts w:eastAsia="Palatino Linotype"/>
          <w:i/>
        </w:rPr>
        <w:t xml:space="preserve"> y sólo podrá ser reservada temporalmente por razones de interés público y seguridad nacional, en los términos que fijen las leyes. </w:t>
      </w:r>
      <w:r w:rsidRPr="00C6699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66994">
        <w:rPr>
          <w:rFonts w:eastAsia="Palatino Linotype"/>
          <w:i/>
        </w:rPr>
        <w:t>, la ley determinará los supuestos específicos bajo los cuales procederá la declaración de inexistencia de la información.”</w:t>
      </w:r>
    </w:p>
    <w:p w14:paraId="68F313E4" w14:textId="77777777" w:rsidR="00C049E2" w:rsidRPr="00C66994" w:rsidRDefault="00C049E2" w:rsidP="00C66994">
      <w:pPr>
        <w:spacing w:line="240" w:lineRule="auto"/>
        <w:ind w:left="567" w:right="539"/>
        <w:rPr>
          <w:rFonts w:eastAsia="Palatino Linotype"/>
          <w:b/>
          <w:i/>
        </w:rPr>
      </w:pPr>
    </w:p>
    <w:p w14:paraId="504F12DB" w14:textId="77777777" w:rsidR="00C049E2" w:rsidRPr="00C66994" w:rsidRDefault="00C049E2" w:rsidP="00C66994">
      <w:pPr>
        <w:spacing w:line="240" w:lineRule="auto"/>
        <w:ind w:left="567" w:right="539"/>
        <w:rPr>
          <w:rFonts w:eastAsia="Palatino Linotype"/>
          <w:b/>
          <w:i/>
        </w:rPr>
      </w:pPr>
      <w:r w:rsidRPr="00C66994">
        <w:rPr>
          <w:rFonts w:eastAsia="Palatino Linotype"/>
          <w:b/>
          <w:i/>
        </w:rPr>
        <w:t>Constitución Política del Estado Libre y Soberano de México</w:t>
      </w:r>
    </w:p>
    <w:p w14:paraId="04932D29" w14:textId="77777777" w:rsidR="00C049E2" w:rsidRPr="00C66994" w:rsidRDefault="00C049E2" w:rsidP="00C66994">
      <w:pPr>
        <w:spacing w:line="240" w:lineRule="auto"/>
        <w:ind w:left="567" w:right="539"/>
        <w:rPr>
          <w:rFonts w:eastAsia="Palatino Linotype"/>
          <w:i/>
        </w:rPr>
      </w:pPr>
      <w:r w:rsidRPr="00C66994">
        <w:rPr>
          <w:rFonts w:eastAsia="Palatino Linotype"/>
          <w:b/>
          <w:i/>
        </w:rPr>
        <w:t>“Artículo 5</w:t>
      </w:r>
      <w:r w:rsidRPr="00C66994">
        <w:rPr>
          <w:rFonts w:eastAsia="Palatino Linotype"/>
          <w:i/>
        </w:rPr>
        <w:t xml:space="preserve">.- </w:t>
      </w:r>
    </w:p>
    <w:p w14:paraId="1D3829F4" w14:textId="77777777" w:rsidR="00C049E2" w:rsidRPr="00C66994" w:rsidRDefault="00C049E2" w:rsidP="00C66994">
      <w:pPr>
        <w:spacing w:line="240" w:lineRule="auto"/>
        <w:ind w:left="567" w:right="539"/>
        <w:rPr>
          <w:rFonts w:eastAsia="Palatino Linotype"/>
          <w:i/>
        </w:rPr>
      </w:pPr>
      <w:r w:rsidRPr="00C66994">
        <w:rPr>
          <w:rFonts w:eastAsia="Palatino Linotype"/>
          <w:i/>
        </w:rPr>
        <w:t>(…)</w:t>
      </w:r>
    </w:p>
    <w:p w14:paraId="0EAE47FD" w14:textId="77777777" w:rsidR="00C049E2" w:rsidRPr="00C66994" w:rsidRDefault="00C049E2" w:rsidP="00C66994">
      <w:pPr>
        <w:spacing w:line="240" w:lineRule="auto"/>
        <w:ind w:left="567" w:right="539"/>
        <w:rPr>
          <w:rFonts w:eastAsia="Palatino Linotype"/>
          <w:i/>
        </w:rPr>
      </w:pPr>
      <w:r w:rsidRPr="00C66994">
        <w:rPr>
          <w:rFonts w:eastAsia="Palatino Linotype"/>
          <w:b/>
          <w:i/>
        </w:rPr>
        <w:lastRenderedPageBreak/>
        <w:t>El derecho a la información será garantizado por el Estado. La ley establecerá las previsiones que permitan asegurar la protección, el respeto y la difusión de este derecho</w:t>
      </w:r>
      <w:r w:rsidRPr="00C66994">
        <w:rPr>
          <w:rFonts w:eastAsia="Palatino Linotype"/>
          <w:i/>
        </w:rPr>
        <w:t>.</w:t>
      </w:r>
    </w:p>
    <w:p w14:paraId="4F0C804A" w14:textId="77777777" w:rsidR="00C049E2" w:rsidRPr="00C66994" w:rsidRDefault="00C049E2" w:rsidP="00C66994">
      <w:pPr>
        <w:spacing w:line="240" w:lineRule="auto"/>
        <w:ind w:left="567" w:right="539"/>
        <w:rPr>
          <w:rFonts w:eastAsia="Palatino Linotype"/>
          <w:i/>
        </w:rPr>
      </w:pPr>
      <w:r w:rsidRPr="00C6699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66994" w:rsidRDefault="00C049E2" w:rsidP="00C66994">
      <w:pPr>
        <w:spacing w:line="240" w:lineRule="auto"/>
        <w:ind w:left="567" w:right="539"/>
        <w:rPr>
          <w:rFonts w:eastAsia="Palatino Linotype"/>
          <w:i/>
        </w:rPr>
      </w:pPr>
      <w:r w:rsidRPr="00C66994">
        <w:rPr>
          <w:rFonts w:eastAsia="Palatino Linotype"/>
          <w:b/>
          <w:i/>
        </w:rPr>
        <w:t>Este derecho se regirá por los principios y bases siguientes</w:t>
      </w:r>
      <w:r w:rsidRPr="00C66994">
        <w:rPr>
          <w:rFonts w:eastAsia="Palatino Linotype"/>
          <w:i/>
        </w:rPr>
        <w:t>:</w:t>
      </w:r>
    </w:p>
    <w:p w14:paraId="4A3E8CBA" w14:textId="77777777" w:rsidR="00C049E2" w:rsidRPr="00C66994" w:rsidRDefault="00C049E2" w:rsidP="00C66994">
      <w:pPr>
        <w:spacing w:line="240" w:lineRule="auto"/>
        <w:ind w:left="567" w:right="539"/>
        <w:rPr>
          <w:rFonts w:eastAsia="Palatino Linotype"/>
          <w:i/>
        </w:rPr>
      </w:pPr>
      <w:r w:rsidRPr="00C66994">
        <w:rPr>
          <w:rFonts w:eastAsia="Palatino Linotype"/>
          <w:b/>
          <w:i/>
        </w:rPr>
        <w:t>I. Toda la información en posesión de cualquier autoridad, entidad, órgano y organismos de los</w:t>
      </w:r>
      <w:r w:rsidRPr="00C66994">
        <w:rPr>
          <w:rFonts w:eastAsia="Palatino Linotype"/>
          <w:i/>
        </w:rPr>
        <w:t xml:space="preserve"> Poderes Ejecutivo, Legislativo y Judicial, órganos autónomos, partidos políticos, fideicomisos y fondos públicos estatales y </w:t>
      </w:r>
      <w:r w:rsidRPr="00C66994">
        <w:rPr>
          <w:rFonts w:eastAsia="Palatino Linotype"/>
          <w:b/>
          <w:i/>
        </w:rPr>
        <w:t>municipales</w:t>
      </w:r>
      <w:r w:rsidRPr="00C6699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66994">
        <w:rPr>
          <w:rFonts w:eastAsia="Palatino Linotype"/>
          <w:b/>
          <w:i/>
        </w:rPr>
        <w:t>es pública</w:t>
      </w:r>
      <w:r w:rsidRPr="00C6699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66994">
        <w:rPr>
          <w:rFonts w:eastAsia="Palatino Linotype"/>
          <w:b/>
          <w:i/>
        </w:rPr>
        <w:t>En la interpretación de este derecho deberá prevalecer el principio de máxima publicidad</w:t>
      </w:r>
      <w:r w:rsidRPr="00C66994">
        <w:rPr>
          <w:rFonts w:eastAsia="Palatino Linotype"/>
          <w:i/>
        </w:rPr>
        <w:t xml:space="preserve">. </w:t>
      </w:r>
      <w:r w:rsidRPr="00C66994">
        <w:rPr>
          <w:rFonts w:eastAsia="Palatino Linotype"/>
          <w:b/>
          <w:i/>
        </w:rPr>
        <w:t>Los sujetos obligados deberán documentar todo acto que derive del ejercicio de sus facultades, competencias o funciones</w:t>
      </w:r>
      <w:r w:rsidRPr="00C66994">
        <w:rPr>
          <w:rFonts w:eastAsia="Palatino Linotype"/>
          <w:i/>
        </w:rPr>
        <w:t>, la ley determinará los supuestos específicos bajo los cuales procederá la declaración de inexistencia de la información.”</w:t>
      </w:r>
    </w:p>
    <w:p w14:paraId="5CA98E37" w14:textId="77777777" w:rsidR="00C049E2" w:rsidRPr="00C66994" w:rsidRDefault="00C049E2" w:rsidP="00C66994">
      <w:pPr>
        <w:rPr>
          <w:rFonts w:eastAsia="Palatino Linotype"/>
          <w:b/>
          <w:i/>
        </w:rPr>
      </w:pPr>
    </w:p>
    <w:p w14:paraId="6FC1BB3B" w14:textId="3BF4A33D" w:rsidR="00C049E2" w:rsidRPr="00C66994" w:rsidRDefault="00717E59" w:rsidP="00C66994">
      <w:pPr>
        <w:rPr>
          <w:rFonts w:eastAsia="Palatino Linotype"/>
          <w:i/>
        </w:rPr>
      </w:pPr>
      <w:r w:rsidRPr="00C66994">
        <w:rPr>
          <w:rFonts w:eastAsia="Palatino Linotype"/>
        </w:rPr>
        <w:t xml:space="preserve">Asimismo, </w:t>
      </w:r>
      <w:r w:rsidR="00C049E2" w:rsidRPr="00C66994">
        <w:rPr>
          <w:rFonts w:eastAsia="Palatino Linotype"/>
        </w:rPr>
        <w:t>el artículo 150 de la Ley de Transparencia y Acceso a la Información Pública del Estado de México y Municipios</w:t>
      </w:r>
      <w:r w:rsidR="00057B2D" w:rsidRPr="00C66994">
        <w:rPr>
          <w:rFonts w:eastAsia="Palatino Linotype"/>
        </w:rPr>
        <w:t xml:space="preserve"> </w:t>
      </w:r>
      <w:r w:rsidR="00E9335C" w:rsidRPr="00C66994">
        <w:rPr>
          <w:rFonts w:eastAsia="Palatino Linotype"/>
        </w:rPr>
        <w:t xml:space="preserve">indica </w:t>
      </w:r>
      <w:r w:rsidR="00057B2D" w:rsidRPr="00C66994">
        <w:rPr>
          <w:rFonts w:eastAsia="Palatino Linotype"/>
        </w:rPr>
        <w:t>que</w:t>
      </w:r>
      <w:r w:rsidR="00C049E2" w:rsidRPr="00C66994">
        <w:rPr>
          <w:rFonts w:eastAsia="Palatino Linotype"/>
        </w:rPr>
        <w:t xml:space="preserve"> la solicitud es la garantía primaria del Derecho de Acceso a la Información, además, establece que se regirá </w:t>
      </w:r>
      <w:r w:rsidR="00C049E2" w:rsidRPr="00C66994">
        <w:rPr>
          <w:rFonts w:eastAsia="Palatino Linotype"/>
          <w:i/>
        </w:rPr>
        <w:t>por los principios de simplicidad, rapidez</w:t>
      </w:r>
      <w:r w:rsidR="005F65B7" w:rsidRPr="00C66994">
        <w:rPr>
          <w:rFonts w:eastAsia="Palatino Linotype"/>
          <w:i/>
        </w:rPr>
        <w:t>,</w:t>
      </w:r>
      <w:r w:rsidR="00C049E2" w:rsidRPr="00C66994">
        <w:rPr>
          <w:rFonts w:eastAsia="Palatino Linotype"/>
          <w:i/>
        </w:rPr>
        <w:t xml:space="preserve"> gratuidad del procedimiento, auxilio y orientación a los particulare</w:t>
      </w:r>
      <w:r w:rsidR="001A58B3" w:rsidRPr="00C66994">
        <w:rPr>
          <w:rFonts w:eastAsia="Palatino Linotype"/>
          <w:i/>
        </w:rPr>
        <w:t>s.</w:t>
      </w:r>
    </w:p>
    <w:p w14:paraId="033466A6" w14:textId="77777777" w:rsidR="001A58B3" w:rsidRPr="00C66994" w:rsidRDefault="001A58B3" w:rsidP="00C66994">
      <w:pPr>
        <w:rPr>
          <w:rFonts w:eastAsia="Palatino Linotype"/>
          <w:i/>
        </w:rPr>
      </w:pPr>
    </w:p>
    <w:p w14:paraId="04ADA10B" w14:textId="574A944A" w:rsidR="001A58B3" w:rsidRPr="00C66994" w:rsidRDefault="00233F17" w:rsidP="00C66994">
      <w:pPr>
        <w:rPr>
          <w:rFonts w:eastAsia="Palatino Linotype" w:cs="Palatino Linotype"/>
          <w:i/>
          <w:szCs w:val="22"/>
        </w:rPr>
      </w:pPr>
      <w:r w:rsidRPr="00C66994">
        <w:rPr>
          <w:rFonts w:eastAsia="Palatino Linotype" w:cs="Palatino Linotype"/>
        </w:rPr>
        <w:t xml:space="preserve">Por su parte, el artículo 4 de </w:t>
      </w:r>
      <w:r w:rsidR="001A58B3" w:rsidRPr="00C6699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66994">
        <w:rPr>
          <w:rFonts w:eastAsia="Palatino Linotype" w:cs="Palatino Linotype"/>
        </w:rPr>
        <w:t>.</w:t>
      </w:r>
    </w:p>
    <w:p w14:paraId="1407DBB8" w14:textId="77777777" w:rsidR="001A58B3" w:rsidRPr="00C66994" w:rsidRDefault="001A58B3" w:rsidP="00C66994">
      <w:pPr>
        <w:rPr>
          <w:rFonts w:eastAsia="Palatino Linotype" w:cs="Palatino Linotype"/>
        </w:rPr>
      </w:pPr>
    </w:p>
    <w:p w14:paraId="7552AA79" w14:textId="7E89FC5C" w:rsidR="001A58B3" w:rsidRPr="00C66994" w:rsidRDefault="001A58B3" w:rsidP="00C66994">
      <w:pPr>
        <w:rPr>
          <w:rFonts w:eastAsia="Palatino Linotype" w:cs="Palatino Linotype"/>
        </w:rPr>
      </w:pPr>
      <w:r w:rsidRPr="00C66994">
        <w:rPr>
          <w:rFonts w:eastAsia="Palatino Linotype" w:cs="Palatino Linotype"/>
        </w:rPr>
        <w:lastRenderedPageBreak/>
        <w:t xml:space="preserve">Esto es, que los </w:t>
      </w:r>
      <w:r w:rsidR="00053A9E" w:rsidRPr="00C66994">
        <w:rPr>
          <w:rFonts w:eastAsia="Palatino Linotype" w:cs="Palatino Linotype"/>
          <w:b/>
        </w:rPr>
        <w:t>SUJETOS OBLIGADOS</w:t>
      </w:r>
      <w:r w:rsidR="00053A9E" w:rsidRPr="00C66994">
        <w:rPr>
          <w:rFonts w:eastAsia="Palatino Linotype" w:cs="Palatino Linotype"/>
        </w:rPr>
        <w:t xml:space="preserve"> </w:t>
      </w:r>
      <w:r w:rsidR="00FA5957" w:rsidRPr="00C66994">
        <w:rPr>
          <w:rFonts w:eastAsia="Palatino Linotype" w:cs="Palatino Linotype"/>
        </w:rPr>
        <w:t>deben</w:t>
      </w:r>
      <w:r w:rsidRPr="00C66994">
        <w:rPr>
          <w:rFonts w:eastAsia="Palatino Linotype" w:cs="Palatino Linotype"/>
        </w:rPr>
        <w:t xml:space="preserve"> atender las solicitudes de acceso a la información pública que se les </w:t>
      </w:r>
      <w:r w:rsidR="00FA5957" w:rsidRPr="00C66994">
        <w:rPr>
          <w:rFonts w:eastAsia="Palatino Linotype" w:cs="Palatino Linotype"/>
        </w:rPr>
        <w:t>sean realizadas,</w:t>
      </w:r>
      <w:r w:rsidRPr="00C66994">
        <w:rPr>
          <w:rFonts w:eastAsia="Palatino Linotype" w:cs="Palatino Linotype"/>
        </w:rPr>
        <w:t xml:space="preserve"> y proporcionar la información pública que obre en su poder</w:t>
      </w:r>
      <w:r w:rsidR="00FA5957" w:rsidRPr="00C66994">
        <w:rPr>
          <w:rFonts w:eastAsia="Palatino Linotype" w:cs="Palatino Linotype"/>
        </w:rPr>
        <w:t>,</w:t>
      </w:r>
      <w:r w:rsidRPr="00C66994">
        <w:rPr>
          <w:rFonts w:eastAsia="Palatino Linotype" w:cs="Palatino Linotype"/>
        </w:rPr>
        <w:t xml:space="preserve"> conforme </w:t>
      </w:r>
      <w:r w:rsidR="00FA5957" w:rsidRPr="00C66994">
        <w:rPr>
          <w:rFonts w:eastAsia="Palatino Linotype" w:cs="Palatino Linotype"/>
        </w:rPr>
        <w:t>a</w:t>
      </w:r>
      <w:r w:rsidRPr="00C66994">
        <w:rPr>
          <w:rFonts w:eastAsia="Palatino Linotype" w:cs="Palatino Linotype"/>
        </w:rPr>
        <w:t xml:space="preserve">l estado </w:t>
      </w:r>
      <w:r w:rsidR="00FA5957" w:rsidRPr="00C66994">
        <w:rPr>
          <w:rFonts w:eastAsia="Palatino Linotype" w:cs="Palatino Linotype"/>
        </w:rPr>
        <w:t xml:space="preserve">en </w:t>
      </w:r>
      <w:r w:rsidRPr="00C66994">
        <w:rPr>
          <w:rFonts w:eastAsia="Palatino Linotype" w:cs="Palatino Linotype"/>
        </w:rPr>
        <w:t>que se encuentr</w:t>
      </w:r>
      <w:r w:rsidR="00FA5957" w:rsidRPr="00C66994">
        <w:rPr>
          <w:rFonts w:eastAsia="Palatino Linotype" w:cs="Palatino Linotype"/>
        </w:rPr>
        <w:t>e, sin que sea necesario</w:t>
      </w:r>
      <w:r w:rsidRPr="00C66994">
        <w:rPr>
          <w:rFonts w:eastAsia="Palatino Linotype" w:cs="Palatino Linotype"/>
        </w:rPr>
        <w:t xml:space="preserve"> </w:t>
      </w:r>
      <w:r w:rsidR="00FA5957" w:rsidRPr="00C66994">
        <w:rPr>
          <w:rFonts w:eastAsia="Palatino Linotype" w:cs="Palatino Linotype"/>
        </w:rPr>
        <w:t>procesar</w:t>
      </w:r>
      <w:r w:rsidRPr="00C66994">
        <w:rPr>
          <w:rFonts w:eastAsia="Palatino Linotype" w:cs="Palatino Linotype"/>
        </w:rPr>
        <w:t xml:space="preserve"> la misma, ni presentarla conforme al interés del solicitante; </w:t>
      </w:r>
      <w:r w:rsidR="00FA5957" w:rsidRPr="00C66994">
        <w:rPr>
          <w:rFonts w:eastAsia="Palatino Linotype" w:cs="Palatino Linotype"/>
        </w:rPr>
        <w:t>tal y como</w:t>
      </w:r>
      <w:r w:rsidRPr="00C66994">
        <w:rPr>
          <w:rFonts w:eastAsia="Palatino Linotype" w:cs="Palatino Linotype"/>
        </w:rPr>
        <w:t xml:space="preserve"> lo establece el artículo 12 de la Ley de Transparencia y Acceso a la Información Pública del Estado de México y Municipios</w:t>
      </w:r>
      <w:r w:rsidR="00970EB3" w:rsidRPr="00C66994">
        <w:rPr>
          <w:rFonts w:eastAsia="Palatino Linotype" w:cs="Palatino Linotype"/>
        </w:rPr>
        <w:t>.</w:t>
      </w:r>
    </w:p>
    <w:p w14:paraId="73245195" w14:textId="77777777" w:rsidR="00970EB3" w:rsidRPr="00C66994" w:rsidRDefault="00970EB3" w:rsidP="00C66994">
      <w:pPr>
        <w:rPr>
          <w:rFonts w:eastAsia="Palatino Linotype" w:cs="Palatino Linotype"/>
        </w:rPr>
      </w:pPr>
    </w:p>
    <w:p w14:paraId="7F62D4DF" w14:textId="775730E1" w:rsidR="001A58B3" w:rsidRPr="00C66994" w:rsidRDefault="001A58B3" w:rsidP="00C66994">
      <w:pPr>
        <w:rPr>
          <w:rFonts w:eastAsia="Palatino Linotype" w:cs="Palatino Linotype"/>
        </w:rPr>
      </w:pPr>
      <w:r w:rsidRPr="00C66994">
        <w:rPr>
          <w:rFonts w:eastAsia="Palatino Linotype" w:cs="Palatino Linotype"/>
        </w:rPr>
        <w:t>Es decir, que todo sujeto obligado que genere, recopile, administre, procese, archive, posea o conserven, son responsables de la misma</w:t>
      </w:r>
      <w:r w:rsidR="00970EB3" w:rsidRPr="00C66994">
        <w:rPr>
          <w:rFonts w:eastAsia="Palatino Linotype" w:cs="Palatino Linotype"/>
        </w:rPr>
        <w:t>,</w:t>
      </w:r>
      <w:r w:rsidRPr="00C6699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66994">
        <w:rPr>
          <w:rFonts w:eastAsia="Palatino Linotype" w:cs="Palatino Linotype"/>
        </w:rPr>
        <w:t>o</w:t>
      </w:r>
      <w:r w:rsidRPr="00C6699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66994" w:rsidRDefault="001A58B3" w:rsidP="00C66994">
      <w:pPr>
        <w:rPr>
          <w:rFonts w:eastAsia="Palatino Linotype" w:cs="Palatino Linotype"/>
        </w:rPr>
      </w:pPr>
    </w:p>
    <w:p w14:paraId="04E42DFE" w14:textId="573F1198" w:rsidR="001A58B3" w:rsidRPr="00C66994" w:rsidRDefault="001A58B3" w:rsidP="00C66994">
      <w:pPr>
        <w:rPr>
          <w:rFonts w:eastAsia="Palatino Linotype" w:cs="Palatino Linotype"/>
        </w:rPr>
      </w:pPr>
      <w:r w:rsidRPr="00C6699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66994">
        <w:rPr>
          <w:rFonts w:eastAsia="Palatino Linotype" w:cs="Palatino Linotype"/>
        </w:rPr>
        <w:t>, s</w:t>
      </w:r>
      <w:r w:rsidRPr="00C66994">
        <w:rPr>
          <w:rFonts w:eastAsia="Palatino Linotype" w:cs="Palatino Linotype"/>
        </w:rPr>
        <w:t xml:space="preserve">iempre y cuando no se trate de información reservada o </w:t>
      </w:r>
      <w:r w:rsidR="00331F35" w:rsidRPr="00C66994">
        <w:rPr>
          <w:rFonts w:eastAsia="Palatino Linotype" w:cs="Palatino Linotype"/>
        </w:rPr>
        <w:t>confidencial.</w:t>
      </w:r>
    </w:p>
    <w:p w14:paraId="40C5219F" w14:textId="77777777" w:rsidR="001A58B3" w:rsidRPr="00C66994" w:rsidRDefault="001A58B3" w:rsidP="00C66994">
      <w:pPr>
        <w:rPr>
          <w:rFonts w:eastAsia="Palatino Linotype" w:cs="Palatino Linotype"/>
        </w:rPr>
      </w:pPr>
    </w:p>
    <w:p w14:paraId="2E629608" w14:textId="01727E15" w:rsidR="00C049E2" w:rsidRPr="00C66994" w:rsidRDefault="006067C7" w:rsidP="00C66994">
      <w:pPr>
        <w:rPr>
          <w:rFonts w:eastAsia="Palatino Linotype"/>
        </w:rPr>
      </w:pPr>
      <w:bookmarkStart w:id="27" w:name="_heading=h.2s8eyo1" w:colFirst="0" w:colLast="0"/>
      <w:bookmarkEnd w:id="27"/>
      <w:r w:rsidRPr="00C66994">
        <w:rPr>
          <w:rFonts w:eastAsia="Palatino Linotype"/>
        </w:rPr>
        <w:t>Con base en lo anterior</w:t>
      </w:r>
      <w:r w:rsidR="00B22A80" w:rsidRPr="00C66994">
        <w:rPr>
          <w:rFonts w:eastAsia="Palatino Linotype"/>
        </w:rPr>
        <w:t>, se considera que</w:t>
      </w:r>
      <w:r w:rsidR="00C049E2" w:rsidRPr="00C66994">
        <w:rPr>
          <w:rFonts w:eastAsia="Palatino Linotype"/>
        </w:rPr>
        <w:t xml:space="preserve"> </w:t>
      </w:r>
      <w:r w:rsidR="00B22A80" w:rsidRPr="00C66994">
        <w:rPr>
          <w:rFonts w:eastAsia="Palatino Linotype"/>
          <w:b/>
          <w:bCs/>
        </w:rPr>
        <w:t>EL</w:t>
      </w:r>
      <w:r w:rsidR="00C049E2" w:rsidRPr="00C66994">
        <w:rPr>
          <w:rFonts w:eastAsia="Palatino Linotype"/>
        </w:rPr>
        <w:t xml:space="preserve"> </w:t>
      </w:r>
      <w:r w:rsidR="00C049E2" w:rsidRPr="00C66994">
        <w:rPr>
          <w:rFonts w:eastAsia="Palatino Linotype"/>
          <w:b/>
        </w:rPr>
        <w:t>SUJETO OBLIGADO</w:t>
      </w:r>
      <w:r w:rsidR="00C049E2" w:rsidRPr="00C66994">
        <w:rPr>
          <w:rFonts w:eastAsia="Palatino Linotype"/>
        </w:rPr>
        <w:t xml:space="preserve"> </w:t>
      </w:r>
      <w:r w:rsidR="00B22A80" w:rsidRPr="00C66994">
        <w:rPr>
          <w:rFonts w:eastAsia="Palatino Linotype"/>
        </w:rPr>
        <w:t xml:space="preserve">se </w:t>
      </w:r>
      <w:r w:rsidR="00717E59" w:rsidRPr="00C66994">
        <w:rPr>
          <w:rFonts w:eastAsia="Palatino Linotype"/>
        </w:rPr>
        <w:t>encontraba</w:t>
      </w:r>
      <w:r w:rsidR="00B22A80" w:rsidRPr="00C66994">
        <w:rPr>
          <w:rFonts w:eastAsia="Palatino Linotype"/>
        </w:rPr>
        <w:t xml:space="preserve"> compelido a</w:t>
      </w:r>
      <w:r w:rsidR="00C049E2" w:rsidRPr="00C66994">
        <w:rPr>
          <w:rFonts w:eastAsia="Palatino Linotype"/>
        </w:rPr>
        <w:t xml:space="preserve"> atender la solicitud de acceso a la información </w:t>
      </w:r>
      <w:r w:rsidR="00B22A80" w:rsidRPr="00C66994">
        <w:rPr>
          <w:rFonts w:eastAsia="Palatino Linotype"/>
        </w:rPr>
        <w:t xml:space="preserve">realizada por </w:t>
      </w:r>
      <w:r w:rsidR="00B22A80" w:rsidRPr="00C66994">
        <w:rPr>
          <w:rFonts w:eastAsia="Palatino Linotype"/>
          <w:b/>
          <w:bCs/>
        </w:rPr>
        <w:t>LA PARTE RECURRENTE</w:t>
      </w:r>
      <w:r w:rsidR="00331F35" w:rsidRPr="00C66994">
        <w:rPr>
          <w:rFonts w:eastAsia="Palatino Linotype"/>
        </w:rPr>
        <w:t>.</w:t>
      </w:r>
    </w:p>
    <w:p w14:paraId="1611F147" w14:textId="77777777" w:rsidR="00BD5A7C" w:rsidRPr="00C66994" w:rsidRDefault="00BD5A7C" w:rsidP="00C66994">
      <w:pPr>
        <w:rPr>
          <w:rFonts w:eastAsia="Palatino Linotype"/>
        </w:rPr>
      </w:pPr>
    </w:p>
    <w:p w14:paraId="51A0E8B4" w14:textId="676DCA47" w:rsidR="00664420" w:rsidRPr="00C66994" w:rsidRDefault="00C71CEF" w:rsidP="00C66994">
      <w:pPr>
        <w:pStyle w:val="Ttulo3"/>
        <w:rPr>
          <w:rFonts w:eastAsia="Calibri"/>
          <w:lang w:eastAsia="es-ES_tradnl"/>
        </w:rPr>
      </w:pPr>
      <w:bookmarkStart w:id="28" w:name="_Toc183621268"/>
      <w:r w:rsidRPr="00C66994">
        <w:rPr>
          <w:rFonts w:eastAsia="Calibri"/>
          <w:lang w:eastAsia="es-ES_tradnl"/>
        </w:rPr>
        <w:lastRenderedPageBreak/>
        <w:t>b)</w:t>
      </w:r>
      <w:r w:rsidR="00A53315" w:rsidRPr="00C66994">
        <w:rPr>
          <w:rFonts w:eastAsia="Calibri"/>
          <w:lang w:eastAsia="es-ES_tradnl"/>
        </w:rPr>
        <w:t xml:space="preserve"> </w:t>
      </w:r>
      <w:r w:rsidR="00A21A20" w:rsidRPr="00C66994">
        <w:rPr>
          <w:rFonts w:eastAsia="Calibri"/>
          <w:lang w:eastAsia="es-ES_tradnl"/>
        </w:rPr>
        <w:t>Controversia a resolver</w:t>
      </w:r>
      <w:bookmarkEnd w:id="28"/>
    </w:p>
    <w:p w14:paraId="5DAE2A65" w14:textId="382C31A9" w:rsidR="00664420" w:rsidRPr="00C66994" w:rsidRDefault="00664420" w:rsidP="00C66994">
      <w:pPr>
        <w:rPr>
          <w:rFonts w:eastAsia="Calibri"/>
          <w:lang w:eastAsia="es-ES_tradnl"/>
        </w:rPr>
      </w:pPr>
      <w:r w:rsidRPr="00C6699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66994">
        <w:rPr>
          <w:rFonts w:eastAsia="Calibri"/>
          <w:b/>
          <w:bCs/>
          <w:lang w:eastAsia="es-ES_tradnl"/>
        </w:rPr>
        <w:t>LA PARTE RECURRENTE</w:t>
      </w:r>
      <w:r w:rsidRPr="00C66994">
        <w:rPr>
          <w:rFonts w:eastAsia="Calibri"/>
          <w:lang w:eastAsia="es-ES_tradnl"/>
        </w:rPr>
        <w:t xml:space="preserve"> solicitó lo siguiente:</w:t>
      </w:r>
    </w:p>
    <w:p w14:paraId="7D9D559B" w14:textId="77777777" w:rsidR="00664420" w:rsidRPr="00C66994" w:rsidRDefault="00664420" w:rsidP="00C66994">
      <w:pPr>
        <w:tabs>
          <w:tab w:val="left" w:pos="4962"/>
        </w:tabs>
        <w:contextualSpacing/>
        <w:rPr>
          <w:rFonts w:eastAsia="Calibri" w:cs="Tahoma"/>
          <w:iCs/>
          <w:szCs w:val="22"/>
          <w:lang w:eastAsia="es-ES_tradnl"/>
        </w:rPr>
      </w:pPr>
    </w:p>
    <w:p w14:paraId="144B628C" w14:textId="76CD696C" w:rsidR="00FF5372" w:rsidRPr="00C66994" w:rsidRDefault="005D10C4" w:rsidP="00C66994">
      <w:pPr>
        <w:pStyle w:val="Prrafodelista"/>
        <w:numPr>
          <w:ilvl w:val="0"/>
          <w:numId w:val="8"/>
        </w:numPr>
        <w:tabs>
          <w:tab w:val="left" w:pos="4962"/>
        </w:tabs>
        <w:rPr>
          <w:rFonts w:eastAsiaTheme="minorHAnsi" w:cs="Tahoma"/>
          <w:bCs/>
          <w:iCs/>
          <w:szCs w:val="22"/>
          <w:lang w:eastAsia="en-US"/>
        </w:rPr>
      </w:pPr>
      <w:r w:rsidRPr="00C66994">
        <w:rPr>
          <w:rFonts w:cs="Tahoma"/>
          <w:bCs/>
          <w:iCs/>
          <w:szCs w:val="22"/>
        </w:rPr>
        <w:t>Oficios emitidos por la Dirección de Responsabilidades</w:t>
      </w:r>
      <w:r w:rsidR="00FF5372" w:rsidRPr="00C66994">
        <w:rPr>
          <w:rFonts w:cs="Tahoma"/>
          <w:bCs/>
          <w:iCs/>
          <w:szCs w:val="22"/>
        </w:rPr>
        <w:t xml:space="preserve"> </w:t>
      </w:r>
      <w:r w:rsidRPr="00C66994">
        <w:rPr>
          <w:rFonts w:cs="Tahoma"/>
          <w:bCs/>
          <w:iCs/>
          <w:szCs w:val="22"/>
        </w:rPr>
        <w:t>en el mes de enero y marzo 2024;</w:t>
      </w:r>
    </w:p>
    <w:p w14:paraId="41525410" w14:textId="0BDF4C33" w:rsidR="005D10C4" w:rsidRPr="00C66994" w:rsidRDefault="005D10C4" w:rsidP="00C66994">
      <w:pPr>
        <w:pStyle w:val="Prrafodelista"/>
        <w:numPr>
          <w:ilvl w:val="0"/>
          <w:numId w:val="8"/>
        </w:numPr>
        <w:tabs>
          <w:tab w:val="left" w:pos="4962"/>
        </w:tabs>
        <w:rPr>
          <w:rFonts w:eastAsiaTheme="minorHAnsi" w:cs="Tahoma"/>
          <w:bCs/>
          <w:iCs/>
          <w:szCs w:val="22"/>
          <w:lang w:eastAsia="en-US"/>
        </w:rPr>
      </w:pPr>
      <w:r w:rsidRPr="00C66994">
        <w:rPr>
          <w:rFonts w:cs="Tahoma"/>
          <w:bCs/>
          <w:iCs/>
          <w:szCs w:val="22"/>
        </w:rPr>
        <w:t>Oficios emitidos por la Dirección de Responsabilidades a la Unidad de Asuntos Internos en los meses de febrero, marzo, abril, mayo, junio, julio, agosto de 2024.</w:t>
      </w:r>
    </w:p>
    <w:p w14:paraId="2E517346" w14:textId="77777777" w:rsidR="00FF5372" w:rsidRPr="00C66994" w:rsidRDefault="00FF5372" w:rsidP="00C66994">
      <w:pPr>
        <w:pStyle w:val="Prrafodelista"/>
        <w:tabs>
          <w:tab w:val="left" w:pos="4962"/>
        </w:tabs>
        <w:rPr>
          <w:rFonts w:eastAsiaTheme="minorHAnsi" w:cs="Tahoma"/>
          <w:bCs/>
          <w:iCs/>
          <w:szCs w:val="22"/>
          <w:lang w:eastAsia="en-US"/>
        </w:rPr>
      </w:pPr>
    </w:p>
    <w:p w14:paraId="1CED052A" w14:textId="58EF1CA7" w:rsidR="00664420" w:rsidRPr="00C66994" w:rsidRDefault="00664420" w:rsidP="00C66994">
      <w:pPr>
        <w:tabs>
          <w:tab w:val="left" w:pos="4962"/>
        </w:tabs>
        <w:rPr>
          <w:rFonts w:eastAsiaTheme="minorHAnsi" w:cs="Tahoma"/>
          <w:bCs/>
          <w:iCs/>
          <w:szCs w:val="22"/>
          <w:lang w:eastAsia="en-US"/>
        </w:rPr>
      </w:pPr>
      <w:r w:rsidRPr="00C66994">
        <w:rPr>
          <w:rFonts w:eastAsiaTheme="minorHAnsi" w:cs="Tahoma"/>
          <w:bCs/>
          <w:iCs/>
          <w:szCs w:val="22"/>
          <w:lang w:eastAsia="en-US"/>
        </w:rPr>
        <w:t xml:space="preserve">En respuesta, </w:t>
      </w:r>
      <w:r w:rsidR="005D5A50" w:rsidRPr="00C66994">
        <w:rPr>
          <w:rFonts w:eastAsiaTheme="minorHAnsi" w:cs="Tahoma"/>
          <w:b/>
          <w:iCs/>
          <w:szCs w:val="22"/>
          <w:lang w:eastAsia="en-US"/>
        </w:rPr>
        <w:t>EL SUJETO OBLIGADO</w:t>
      </w:r>
      <w:r w:rsidRPr="00C66994">
        <w:rPr>
          <w:rFonts w:eastAsiaTheme="minorHAnsi" w:cs="Tahoma"/>
          <w:bCs/>
          <w:iCs/>
          <w:szCs w:val="22"/>
          <w:lang w:eastAsia="en-US"/>
        </w:rPr>
        <w:t xml:space="preserve"> se pronunció por conducto de </w:t>
      </w:r>
      <w:r w:rsidR="009D3B74" w:rsidRPr="00C66994">
        <w:rPr>
          <w:rFonts w:cs="Tahoma"/>
          <w:bCs/>
          <w:szCs w:val="22"/>
          <w:lang w:val="es-ES"/>
        </w:rPr>
        <w:t xml:space="preserve">la </w:t>
      </w:r>
      <w:r w:rsidR="00FF5372" w:rsidRPr="00C66994">
        <w:rPr>
          <w:rFonts w:cs="Tahoma"/>
          <w:bCs/>
          <w:szCs w:val="22"/>
          <w:lang w:val="es-ES"/>
        </w:rPr>
        <w:t xml:space="preserve">Titular de la Unidad de Transparencia </w:t>
      </w:r>
      <w:r w:rsidR="005D10C4" w:rsidRPr="00C66994">
        <w:rPr>
          <w:rFonts w:cs="Tahoma"/>
          <w:bCs/>
          <w:szCs w:val="22"/>
          <w:lang w:val="es-ES"/>
        </w:rPr>
        <w:t>el cual refirió que, con base a lo señalado por la Dirección de Responsabilidades en Asuntos Internos, la información solicitada actualiza la causal de reserva establecida en el artículo 140 fracción VIII de la Ley de la materia, asimismo se proporcionó el acta del Comité de Transparencia en donde se aprueba dicha clasificación, tomando en cuenta la prueba de daño presentada en calidad de respuesta.</w:t>
      </w:r>
      <w:r w:rsidR="00CF7586" w:rsidRPr="00C66994">
        <w:rPr>
          <w:rFonts w:eastAsiaTheme="minorHAnsi" w:cs="Tahoma"/>
          <w:bCs/>
          <w:iCs/>
          <w:szCs w:val="22"/>
          <w:lang w:eastAsia="en-US"/>
        </w:rPr>
        <w:t xml:space="preserve"> </w:t>
      </w:r>
    </w:p>
    <w:p w14:paraId="4BEBD880" w14:textId="77777777" w:rsidR="00664420" w:rsidRPr="00C66994" w:rsidRDefault="00664420" w:rsidP="00C66994">
      <w:pPr>
        <w:tabs>
          <w:tab w:val="left" w:pos="4962"/>
        </w:tabs>
        <w:contextualSpacing/>
        <w:rPr>
          <w:rFonts w:eastAsiaTheme="minorHAnsi" w:cs="Tahoma"/>
          <w:bCs/>
          <w:iCs/>
          <w:szCs w:val="22"/>
          <w:lang w:eastAsia="en-US"/>
        </w:rPr>
      </w:pPr>
    </w:p>
    <w:p w14:paraId="31DD81D7" w14:textId="0234F945" w:rsidR="00664420" w:rsidRPr="00C66994" w:rsidRDefault="00CF7586" w:rsidP="00C66994">
      <w:pPr>
        <w:tabs>
          <w:tab w:val="left" w:pos="4962"/>
        </w:tabs>
        <w:contextualSpacing/>
        <w:rPr>
          <w:rFonts w:eastAsiaTheme="minorHAnsi" w:cs="Tahoma"/>
          <w:bCs/>
          <w:iCs/>
          <w:szCs w:val="22"/>
          <w:lang w:eastAsia="en-US"/>
        </w:rPr>
      </w:pPr>
      <w:r w:rsidRPr="00C66994">
        <w:rPr>
          <w:rFonts w:eastAsiaTheme="minorHAnsi" w:cs="Tahoma"/>
          <w:bCs/>
          <w:iCs/>
          <w:szCs w:val="22"/>
          <w:lang w:eastAsia="en-US"/>
        </w:rPr>
        <w:t xml:space="preserve">Ahora bien, en la interposición del presente recurso </w:t>
      </w:r>
      <w:r w:rsidRPr="00C66994">
        <w:rPr>
          <w:rFonts w:eastAsiaTheme="minorHAnsi" w:cs="Tahoma"/>
          <w:b/>
          <w:iCs/>
          <w:szCs w:val="22"/>
          <w:lang w:eastAsia="en-US"/>
        </w:rPr>
        <w:t>LA PARTE RECURRENTE</w:t>
      </w:r>
      <w:r w:rsidR="00664420" w:rsidRPr="00C66994">
        <w:rPr>
          <w:rFonts w:eastAsiaTheme="minorHAnsi" w:cs="Tahoma"/>
          <w:bCs/>
          <w:iCs/>
          <w:szCs w:val="22"/>
          <w:lang w:eastAsia="en-US"/>
        </w:rPr>
        <w:t xml:space="preserve"> se inconformó de </w:t>
      </w:r>
      <w:r w:rsidR="002A5A95" w:rsidRPr="00C66994">
        <w:rPr>
          <w:rFonts w:eastAsiaTheme="minorHAnsi" w:cs="Tahoma"/>
          <w:bCs/>
          <w:iCs/>
          <w:szCs w:val="22"/>
          <w:lang w:eastAsia="en-US"/>
        </w:rPr>
        <w:t>la clasificación de la información solicitada</w:t>
      </w:r>
      <w:r w:rsidRPr="00C66994">
        <w:rPr>
          <w:rFonts w:eastAsiaTheme="minorHAnsi" w:cs="Tahoma"/>
          <w:bCs/>
          <w:iCs/>
          <w:szCs w:val="22"/>
          <w:lang w:eastAsia="en-US"/>
        </w:rPr>
        <w:t xml:space="preserve">, por lo cual, el estudio </w:t>
      </w:r>
      <w:r w:rsidR="00860496" w:rsidRPr="00C66994">
        <w:rPr>
          <w:rFonts w:eastAsiaTheme="minorHAnsi" w:cs="Tahoma"/>
          <w:bCs/>
          <w:iCs/>
          <w:szCs w:val="22"/>
          <w:lang w:eastAsia="en-US"/>
        </w:rPr>
        <w:t xml:space="preserve">se centrará en determinar </w:t>
      </w:r>
      <w:r w:rsidR="00D2790D" w:rsidRPr="00C66994">
        <w:rPr>
          <w:rFonts w:eastAsiaTheme="minorHAnsi" w:cs="Tahoma"/>
          <w:bCs/>
          <w:iCs/>
          <w:szCs w:val="22"/>
          <w:lang w:eastAsia="en-US"/>
        </w:rPr>
        <w:t xml:space="preserve">si la información entregada colma todo lo </w:t>
      </w:r>
      <w:r w:rsidR="00860496" w:rsidRPr="00C66994">
        <w:rPr>
          <w:rFonts w:eastAsiaTheme="minorHAnsi" w:cs="Tahoma"/>
          <w:bCs/>
          <w:iCs/>
          <w:szCs w:val="22"/>
          <w:lang w:eastAsia="en-US"/>
        </w:rPr>
        <w:t>requerido</w:t>
      </w:r>
      <w:r w:rsidR="00D2790D" w:rsidRPr="00C66994">
        <w:rPr>
          <w:rFonts w:eastAsiaTheme="minorHAnsi" w:cs="Tahoma"/>
          <w:bCs/>
          <w:iCs/>
          <w:szCs w:val="22"/>
          <w:lang w:eastAsia="en-US"/>
        </w:rPr>
        <w:t xml:space="preserve"> por </w:t>
      </w:r>
      <w:r w:rsidR="00860496" w:rsidRPr="00C66994">
        <w:rPr>
          <w:rFonts w:eastAsiaTheme="minorHAnsi" w:cs="Tahoma"/>
          <w:b/>
          <w:bCs/>
          <w:iCs/>
          <w:szCs w:val="22"/>
          <w:lang w:eastAsia="en-US"/>
        </w:rPr>
        <w:t>LA PARTE RECURRENTE</w:t>
      </w:r>
      <w:r w:rsidR="009D3B74" w:rsidRPr="00C66994">
        <w:rPr>
          <w:rFonts w:eastAsiaTheme="minorHAnsi" w:cs="Tahoma"/>
          <w:bCs/>
          <w:iCs/>
          <w:szCs w:val="22"/>
          <w:lang w:eastAsia="en-US"/>
        </w:rPr>
        <w:t>.</w:t>
      </w:r>
    </w:p>
    <w:p w14:paraId="42FA6D40" w14:textId="77777777" w:rsidR="009D3B74" w:rsidRPr="00C66994" w:rsidRDefault="009D3B74" w:rsidP="00C66994">
      <w:pPr>
        <w:tabs>
          <w:tab w:val="left" w:pos="4962"/>
        </w:tabs>
        <w:contextualSpacing/>
        <w:rPr>
          <w:rFonts w:eastAsiaTheme="minorHAnsi" w:cs="Tahoma"/>
          <w:bCs/>
          <w:iCs/>
          <w:szCs w:val="22"/>
          <w:lang w:eastAsia="en-US"/>
        </w:rPr>
      </w:pPr>
    </w:p>
    <w:p w14:paraId="414FD2D5" w14:textId="4408E416" w:rsidR="00664420" w:rsidRPr="00C66994" w:rsidRDefault="00A21A20" w:rsidP="00C66994">
      <w:pPr>
        <w:pStyle w:val="Ttulo3"/>
      </w:pPr>
      <w:bookmarkStart w:id="29" w:name="_Toc183621269"/>
      <w:r w:rsidRPr="00C66994">
        <w:t>c)</w:t>
      </w:r>
      <w:r w:rsidR="00664420" w:rsidRPr="00C66994">
        <w:t xml:space="preserve"> </w:t>
      </w:r>
      <w:r w:rsidRPr="00C66994">
        <w:t>Estudio de la controversia</w:t>
      </w:r>
      <w:bookmarkEnd w:id="29"/>
    </w:p>
    <w:p w14:paraId="6C055C35" w14:textId="484F107A" w:rsidR="00006346" w:rsidRPr="00C66994" w:rsidRDefault="00A96BFC" w:rsidP="00C66994">
      <w:pPr>
        <w:ind w:right="-93"/>
        <w:rPr>
          <w:rFonts w:cs="Tahoma"/>
          <w:bCs/>
          <w:szCs w:val="22"/>
        </w:rPr>
      </w:pPr>
      <w:r w:rsidRPr="00C66994">
        <w:rPr>
          <w:rFonts w:cs="Tahoma"/>
          <w:bCs/>
          <w:szCs w:val="22"/>
        </w:rPr>
        <w:t>E</w:t>
      </w:r>
      <w:r w:rsidR="00006346" w:rsidRPr="00C66994">
        <w:rPr>
          <w:rFonts w:cs="Tahoma"/>
          <w:bCs/>
          <w:szCs w:val="22"/>
        </w:rPr>
        <w:t xml:space="preserve">n ese sentido, </w:t>
      </w:r>
      <w:r w:rsidR="002A5A95" w:rsidRPr="00C66994">
        <w:rPr>
          <w:rFonts w:cs="Tahoma"/>
          <w:bCs/>
          <w:szCs w:val="22"/>
        </w:rPr>
        <w:t xml:space="preserve">resulta necesario mencionar que el presente caso, la respuesta fue proporcionada a través de lo referido por la Dirección de Responsabilidades en Asuntos Internos, para lo cual es menester invocar lo que establece el </w:t>
      </w:r>
      <w:r w:rsidR="002A5A95" w:rsidRPr="00C66994">
        <w:rPr>
          <w:rFonts w:eastAsia="Palatino Linotype" w:cs="Palatino Linotype"/>
        </w:rPr>
        <w:t xml:space="preserve">Manual General de Organización </w:t>
      </w:r>
      <w:r w:rsidR="002A5A95" w:rsidRPr="00C66994">
        <w:rPr>
          <w:rFonts w:eastAsia="Palatino Linotype" w:cs="Palatino Linotype"/>
        </w:rPr>
        <w:lastRenderedPageBreak/>
        <w:t>de la Unidad de Asuntos Internos, marco normativo que de nuestro interés, establece lo siguiente</w:t>
      </w:r>
      <w:r w:rsidR="00E85047" w:rsidRPr="00C66994">
        <w:rPr>
          <w:rFonts w:cs="Tahoma"/>
          <w:bCs/>
          <w:szCs w:val="22"/>
        </w:rPr>
        <w:t xml:space="preserve">: </w:t>
      </w:r>
    </w:p>
    <w:p w14:paraId="2FC4CF96" w14:textId="77777777" w:rsidR="009803B0" w:rsidRPr="00C66994" w:rsidRDefault="009803B0" w:rsidP="00C66994">
      <w:pPr>
        <w:ind w:right="-93"/>
        <w:rPr>
          <w:rFonts w:cs="Tahoma"/>
          <w:bCs/>
          <w:szCs w:val="22"/>
        </w:rPr>
      </w:pPr>
    </w:p>
    <w:p w14:paraId="2B06CCE9" w14:textId="25105E15" w:rsidR="002A5A95" w:rsidRPr="00C66994" w:rsidRDefault="002A5A95" w:rsidP="00C66994">
      <w:pPr>
        <w:spacing w:line="240" w:lineRule="auto"/>
        <w:ind w:left="851" w:right="822"/>
        <w:rPr>
          <w:b/>
          <w:i/>
        </w:rPr>
      </w:pPr>
      <w:r w:rsidRPr="00C66994">
        <w:rPr>
          <w:i/>
        </w:rPr>
        <w:t xml:space="preserve">206C0301050000L </w:t>
      </w:r>
      <w:r w:rsidRPr="00C66994">
        <w:rPr>
          <w:b/>
          <w:i/>
        </w:rPr>
        <w:t>DIRECCIÓN DE RESPONSABILIDADES EN ASUNTOS INTERNOS</w:t>
      </w:r>
    </w:p>
    <w:p w14:paraId="1117ACE9" w14:textId="77777777" w:rsidR="002A5A95" w:rsidRPr="00C66994" w:rsidRDefault="002A5A95" w:rsidP="00C66994">
      <w:pPr>
        <w:spacing w:line="240" w:lineRule="auto"/>
        <w:ind w:left="851" w:right="822"/>
        <w:rPr>
          <w:i/>
        </w:rPr>
      </w:pPr>
    </w:p>
    <w:p w14:paraId="408732D1" w14:textId="77777777" w:rsidR="002A5A95" w:rsidRPr="00C66994" w:rsidRDefault="002A5A95" w:rsidP="00C66994">
      <w:pPr>
        <w:spacing w:line="240" w:lineRule="auto"/>
        <w:ind w:left="851" w:right="822"/>
        <w:rPr>
          <w:i/>
        </w:rPr>
      </w:pPr>
      <w:r w:rsidRPr="00C66994">
        <w:rPr>
          <w:i/>
        </w:rPr>
        <w:t xml:space="preserve">OBJETIVO: </w:t>
      </w:r>
    </w:p>
    <w:p w14:paraId="7FF6197A" w14:textId="5262BDF5" w:rsidR="002A5A95" w:rsidRPr="00C66994" w:rsidRDefault="002A5A95" w:rsidP="00C66994">
      <w:pPr>
        <w:spacing w:line="240" w:lineRule="auto"/>
        <w:ind w:left="851" w:right="822"/>
        <w:rPr>
          <w:i/>
        </w:rPr>
      </w:pPr>
      <w:r w:rsidRPr="00C66994">
        <w:rPr>
          <w:i/>
        </w:rPr>
        <w:t>Coordinar la elaboración del proyecto de solicitud de inicio del procedimiento administrativo correspondiente a la Comisión de Honor y Justicia en contra de integrantes de la Secretaría de Seguridad por faltas administrativas, infracciones disciplinarias o incumplimiento a los deberes o las normas jurídicas aplicables, debidamente fundado y motivado, para lo cual verificará que el expediente de investigación correspondiente contenga los elementos suficientes que acrediten su probable responsabilidad.</w:t>
      </w:r>
    </w:p>
    <w:p w14:paraId="311E4AEE" w14:textId="77777777" w:rsidR="002A5A95" w:rsidRPr="00C66994" w:rsidRDefault="002A5A95" w:rsidP="00C66994">
      <w:pPr>
        <w:spacing w:line="240" w:lineRule="auto"/>
        <w:ind w:left="851" w:right="822"/>
        <w:rPr>
          <w:i/>
        </w:rPr>
      </w:pPr>
    </w:p>
    <w:p w14:paraId="722D47A7" w14:textId="12165215" w:rsidR="002A5A95" w:rsidRPr="00C66994" w:rsidRDefault="002A5A95" w:rsidP="00C66994">
      <w:pPr>
        <w:spacing w:line="240" w:lineRule="auto"/>
        <w:ind w:left="851" w:right="822"/>
        <w:rPr>
          <w:i/>
        </w:rPr>
      </w:pPr>
      <w:r w:rsidRPr="00C66994">
        <w:rPr>
          <w:i/>
        </w:rPr>
        <w:t>FUNCIONES:</w:t>
      </w:r>
    </w:p>
    <w:p w14:paraId="533F42B0" w14:textId="77777777" w:rsidR="002A5A95" w:rsidRPr="00C66994" w:rsidRDefault="002A5A95" w:rsidP="00C66994">
      <w:pPr>
        <w:pStyle w:val="Prrafodelista"/>
        <w:numPr>
          <w:ilvl w:val="0"/>
          <w:numId w:val="23"/>
        </w:numPr>
        <w:spacing w:line="240" w:lineRule="auto"/>
        <w:ind w:left="851" w:right="822"/>
        <w:rPr>
          <w:i/>
        </w:rPr>
      </w:pPr>
      <w:r w:rsidRPr="00C66994">
        <w:rPr>
          <w:i/>
        </w:rPr>
        <w:t xml:space="preserve">Instruir la revisión y el registro de los expedientes de investigación remitidos por la Dirección de Investigación y Supervisión. </w:t>
      </w:r>
    </w:p>
    <w:p w14:paraId="6D2DAD24" w14:textId="77777777" w:rsidR="002A5A95" w:rsidRPr="00C66994" w:rsidRDefault="002A5A95" w:rsidP="00C66994">
      <w:pPr>
        <w:pStyle w:val="Prrafodelista"/>
        <w:numPr>
          <w:ilvl w:val="0"/>
          <w:numId w:val="23"/>
        </w:numPr>
        <w:spacing w:line="240" w:lineRule="auto"/>
        <w:ind w:left="851" w:right="822"/>
        <w:rPr>
          <w:i/>
        </w:rPr>
      </w:pPr>
      <w:r w:rsidRPr="00C66994">
        <w:rPr>
          <w:i/>
        </w:rPr>
        <w:t xml:space="preserve">Supervisar que los expedientes de investigación cumplan con los requisitos previamente establecidos. </w:t>
      </w:r>
    </w:p>
    <w:p w14:paraId="2FF5865B" w14:textId="4E3253BC" w:rsidR="002A5A95" w:rsidRPr="00C66994" w:rsidRDefault="002A5A95" w:rsidP="00C66994">
      <w:pPr>
        <w:pStyle w:val="Prrafodelista"/>
        <w:numPr>
          <w:ilvl w:val="0"/>
          <w:numId w:val="23"/>
        </w:numPr>
        <w:spacing w:line="240" w:lineRule="auto"/>
        <w:ind w:left="851" w:right="822"/>
        <w:rPr>
          <w:i/>
        </w:rPr>
      </w:pPr>
      <w:r w:rsidRPr="00C66994">
        <w:rPr>
          <w:i/>
        </w:rPr>
        <w:t>Someter a consideración de la persona titular de la Unidad de Asuntos Internos el proyecto de acuerdo fundado y motivado para la improcedencia o reserva de expedientes.</w:t>
      </w:r>
    </w:p>
    <w:p w14:paraId="68E3C1C2" w14:textId="06C150C3" w:rsidR="002A5A95" w:rsidRPr="00C66994" w:rsidRDefault="002A5A95" w:rsidP="00C66994">
      <w:pPr>
        <w:pStyle w:val="Prrafodelista"/>
        <w:numPr>
          <w:ilvl w:val="0"/>
          <w:numId w:val="23"/>
        </w:numPr>
        <w:spacing w:line="240" w:lineRule="auto"/>
        <w:ind w:left="851" w:right="822"/>
        <w:rPr>
          <w:i/>
        </w:rPr>
      </w:pPr>
      <w:r w:rsidRPr="00C66994">
        <w:rPr>
          <w:i/>
        </w:rPr>
        <w:t>Proponer a la persona titular de la Unidad de Asuntos Internos, el proyecto de acuerdo para la reapertura de los expedientes de reserva.</w:t>
      </w:r>
    </w:p>
    <w:p w14:paraId="41C2C34F" w14:textId="5188B4CD" w:rsidR="002A5A95" w:rsidRPr="00C66994" w:rsidRDefault="002A5A95" w:rsidP="00C66994">
      <w:pPr>
        <w:pStyle w:val="Prrafodelista"/>
        <w:numPr>
          <w:ilvl w:val="0"/>
          <w:numId w:val="23"/>
        </w:numPr>
        <w:spacing w:line="240" w:lineRule="auto"/>
        <w:ind w:left="851" w:right="822"/>
        <w:rPr>
          <w:i/>
        </w:rPr>
      </w:pPr>
      <w:r w:rsidRPr="00C66994">
        <w:rPr>
          <w:i/>
        </w:rPr>
        <w:t>Presentar a la persona titular de la Unidad de Asuntos Internos, el proyecto de solicitud de inicio de procedimiento disciplinario a la Comisión de Honor y Justicia de la Secretaría de Seguridad.</w:t>
      </w:r>
    </w:p>
    <w:p w14:paraId="7D57AFB0" w14:textId="67CB7A93" w:rsidR="002A5A95" w:rsidRPr="00C66994" w:rsidRDefault="002A5A95" w:rsidP="00C66994">
      <w:pPr>
        <w:pStyle w:val="Prrafodelista"/>
        <w:numPr>
          <w:ilvl w:val="0"/>
          <w:numId w:val="23"/>
        </w:numPr>
        <w:spacing w:line="240" w:lineRule="auto"/>
        <w:ind w:left="851" w:right="822"/>
        <w:rPr>
          <w:i/>
        </w:rPr>
      </w:pPr>
      <w:r w:rsidRPr="00C66994">
        <w:rPr>
          <w:i/>
        </w:rPr>
        <w:t>Proponer a la persona titular de la Unidad de Asuntos Internos, la aplicación de medidas precautorias a integrantes de la Secretaría de Seguridad que se encuentren involucrados en la comisión de ilícitos o de faltas administrativas en los que por la naturaleza y la afectación operativa que representaría para la Secretaría de Seguridad, requieran la acción que impida su continuación.</w:t>
      </w:r>
    </w:p>
    <w:p w14:paraId="53367E37" w14:textId="6AC998CE" w:rsidR="002A5A95" w:rsidRPr="00C66994" w:rsidRDefault="002A5A95" w:rsidP="00C66994">
      <w:pPr>
        <w:pStyle w:val="Prrafodelista"/>
        <w:numPr>
          <w:ilvl w:val="0"/>
          <w:numId w:val="23"/>
        </w:numPr>
        <w:spacing w:line="240" w:lineRule="auto"/>
        <w:ind w:left="851" w:right="822"/>
        <w:rPr>
          <w:i/>
        </w:rPr>
      </w:pPr>
      <w:r w:rsidRPr="00C66994">
        <w:rPr>
          <w:i/>
        </w:rPr>
        <w:t xml:space="preserve">Orientar sobre la motivación y fundamentación que se debe observar en los proyectos de solicitud a la Comisión de Honor y Justicia de la Secretaría de Seguridad, del </w:t>
      </w:r>
      <w:r w:rsidRPr="00C66994">
        <w:rPr>
          <w:i/>
        </w:rPr>
        <w:lastRenderedPageBreak/>
        <w:t>inicio del procedimiento administrativo y de la aplicación de las medidas precautorias.</w:t>
      </w:r>
    </w:p>
    <w:p w14:paraId="51E0E5E6" w14:textId="046300F0" w:rsidR="002A5A95" w:rsidRPr="00C66994" w:rsidRDefault="002A5A95" w:rsidP="00C66994">
      <w:pPr>
        <w:pStyle w:val="Prrafodelista"/>
        <w:numPr>
          <w:ilvl w:val="0"/>
          <w:numId w:val="23"/>
        </w:numPr>
        <w:spacing w:line="240" w:lineRule="auto"/>
        <w:ind w:left="851" w:right="822"/>
        <w:rPr>
          <w:i/>
        </w:rPr>
      </w:pPr>
      <w:r w:rsidRPr="00C66994">
        <w:rPr>
          <w:i/>
        </w:rPr>
        <w:t>Verificar que los proyectos de inicio de procedimiento solicitados a la Comisión de Honor y Justicia de la Secretaría de Seguridad y de la aplicación de medidas precautorias, se elaboren de conformidad con la normatividad establecida.</w:t>
      </w:r>
    </w:p>
    <w:p w14:paraId="231B1751" w14:textId="3EC81C5A" w:rsidR="002A5A95" w:rsidRPr="00C66994" w:rsidRDefault="002A5A95" w:rsidP="00C66994">
      <w:pPr>
        <w:pStyle w:val="Prrafodelista"/>
        <w:numPr>
          <w:ilvl w:val="0"/>
          <w:numId w:val="23"/>
        </w:numPr>
        <w:spacing w:line="240" w:lineRule="auto"/>
        <w:ind w:left="851" w:right="822"/>
        <w:rPr>
          <w:i/>
        </w:rPr>
      </w:pPr>
      <w:r w:rsidRPr="00C66994">
        <w:rPr>
          <w:i/>
        </w:rPr>
        <w:t>Asistir a las sesiones de la Comisión de Honor y Justicia de la Secretaría de Seguridad cuando se ventilen procedimientos disciplinarios originados en las investigaciones realizadas por la Unidad de Asuntos Internos.</w:t>
      </w:r>
    </w:p>
    <w:p w14:paraId="63186F9E" w14:textId="2EE49283" w:rsidR="002A5A95" w:rsidRPr="00C66994" w:rsidRDefault="002A5A95" w:rsidP="00C66994">
      <w:pPr>
        <w:pStyle w:val="Prrafodelista"/>
        <w:numPr>
          <w:ilvl w:val="0"/>
          <w:numId w:val="23"/>
        </w:numPr>
        <w:spacing w:line="240" w:lineRule="auto"/>
        <w:ind w:left="851" w:right="822"/>
        <w:rPr>
          <w:i/>
        </w:rPr>
      </w:pPr>
      <w:r w:rsidRPr="00C66994">
        <w:rPr>
          <w:i/>
        </w:rPr>
        <w:t>Someter a consideración de la persona titular de la Unidad de Asuntos Internos, las normas, políticas y procedimientos para el desarrollo e instrumentación de programas de visitas e inspecciones a las unidades administrativas de la Secretaría de Seguridad, derivadas de las solicitudes de inicio de procedimiento enviadas a la Comisión de Honor y Justicia de la Secretaría de Seguridad.</w:t>
      </w:r>
    </w:p>
    <w:p w14:paraId="4A521D22" w14:textId="337601F6" w:rsidR="002A5A95" w:rsidRPr="00C66994" w:rsidRDefault="002A5A95" w:rsidP="00C66994">
      <w:pPr>
        <w:pStyle w:val="Prrafodelista"/>
        <w:numPr>
          <w:ilvl w:val="0"/>
          <w:numId w:val="23"/>
        </w:numPr>
        <w:spacing w:line="240" w:lineRule="auto"/>
        <w:ind w:left="851" w:right="822"/>
        <w:rPr>
          <w:i/>
        </w:rPr>
      </w:pPr>
      <w:r w:rsidRPr="00C66994">
        <w:rPr>
          <w:i/>
        </w:rPr>
        <w:t>Remitir de forma oportuna y debidamente integrado el expediente de la investigación a la Dirección General de Responsabilidades Administrativas de la Secretaría de la Contraloría solicitando que se resguarde la identidad de la persona denunciante conforme a las disposiciones aplicables.</w:t>
      </w:r>
    </w:p>
    <w:p w14:paraId="5899EECD" w14:textId="3B87140E" w:rsidR="002A5A95" w:rsidRPr="00C66994" w:rsidRDefault="002A5A95" w:rsidP="00C66994">
      <w:pPr>
        <w:pStyle w:val="Prrafodelista"/>
        <w:numPr>
          <w:ilvl w:val="0"/>
          <w:numId w:val="23"/>
        </w:numPr>
        <w:spacing w:line="240" w:lineRule="auto"/>
        <w:ind w:left="851" w:right="822"/>
        <w:rPr>
          <w:i/>
        </w:rPr>
      </w:pPr>
      <w:r w:rsidRPr="00C66994">
        <w:rPr>
          <w:i/>
        </w:rPr>
        <w:t>Coordinar acciones para vigilar que no opere el vencimiento del plazo de prescripción de las facultades sancionadoras de la Comisión de Honor y Justicia o del Órgano Interno de Control de la Secretaría de Seguridad.</w:t>
      </w:r>
    </w:p>
    <w:p w14:paraId="59BD3632" w14:textId="16B5581D" w:rsidR="002A5A95" w:rsidRPr="00C66994" w:rsidRDefault="002A5A95" w:rsidP="00C66994">
      <w:pPr>
        <w:pStyle w:val="Prrafodelista"/>
        <w:numPr>
          <w:ilvl w:val="0"/>
          <w:numId w:val="23"/>
        </w:numPr>
        <w:spacing w:line="240" w:lineRule="auto"/>
        <w:ind w:left="851" w:right="822"/>
        <w:rPr>
          <w:i/>
        </w:rPr>
      </w:pPr>
      <w:r w:rsidRPr="00C66994">
        <w:rPr>
          <w:i/>
        </w:rPr>
        <w:t xml:space="preserve">Someter a consideración de la persona titular de la Unidad de Asuntos Internos, el proyecto de impugnación de las resoluciones favorables a integrantes de la Secretaría de Seguridad, emitidos por la Comisión de Honor y Justicia, cuya acusación derive de las investigaciones realizadas por la Unidad de Asuntos Internos. </w:t>
      </w:r>
    </w:p>
    <w:p w14:paraId="776D4982" w14:textId="3D4E896C" w:rsidR="002A5A95" w:rsidRPr="00C66994" w:rsidRDefault="002A5A95" w:rsidP="00C66994">
      <w:pPr>
        <w:pStyle w:val="Prrafodelista"/>
        <w:numPr>
          <w:ilvl w:val="0"/>
          <w:numId w:val="23"/>
        </w:numPr>
        <w:spacing w:line="240" w:lineRule="auto"/>
        <w:ind w:left="851" w:right="822"/>
        <w:rPr>
          <w:i/>
        </w:rPr>
      </w:pPr>
      <w:r w:rsidRPr="00C66994">
        <w:rPr>
          <w:i/>
        </w:rPr>
        <w:t>Gestionar ante las autoridades competentes, las impugnaciones de las resoluciones favorables emitidas por la Comisión de Honor y Justicia de la Secretaría de Seguridad.</w:t>
      </w:r>
    </w:p>
    <w:p w14:paraId="12A60F75" w14:textId="27224D8C" w:rsidR="002A5A95" w:rsidRPr="00C66994" w:rsidRDefault="002A5A95" w:rsidP="00C66994">
      <w:pPr>
        <w:pStyle w:val="Prrafodelista"/>
        <w:numPr>
          <w:ilvl w:val="0"/>
          <w:numId w:val="23"/>
        </w:numPr>
        <w:spacing w:line="240" w:lineRule="auto"/>
        <w:ind w:left="851" w:right="822"/>
        <w:rPr>
          <w:i/>
        </w:rPr>
      </w:pPr>
      <w:r w:rsidRPr="00C66994">
        <w:rPr>
          <w:i/>
        </w:rPr>
        <w:t>Supervisar que se realice el seguimiento y vigilancia del cumplimiento de las sanciones impuestas por la Comisión de Honor y Justicia de la Secretaría de Seguridad.</w:t>
      </w:r>
    </w:p>
    <w:p w14:paraId="3A4C6FF6" w14:textId="4538BD96" w:rsidR="002A5A95" w:rsidRPr="00C66994" w:rsidRDefault="002A5A95" w:rsidP="00C66994">
      <w:pPr>
        <w:pStyle w:val="Prrafodelista"/>
        <w:numPr>
          <w:ilvl w:val="0"/>
          <w:numId w:val="23"/>
        </w:numPr>
        <w:spacing w:line="240" w:lineRule="auto"/>
        <w:ind w:left="851" w:right="822"/>
        <w:rPr>
          <w:i/>
        </w:rPr>
      </w:pPr>
      <w:r w:rsidRPr="00C66994">
        <w:rPr>
          <w:i/>
        </w:rPr>
        <w:t>Vigilar que la actualización de la base de datos de sanciones administrativas se realice en tiempo y forma.</w:t>
      </w:r>
    </w:p>
    <w:p w14:paraId="079F7150" w14:textId="37CCDACE" w:rsidR="002A5A95" w:rsidRPr="00C66994" w:rsidRDefault="002A5A95" w:rsidP="00C66994">
      <w:pPr>
        <w:pStyle w:val="Prrafodelista"/>
        <w:numPr>
          <w:ilvl w:val="0"/>
          <w:numId w:val="23"/>
        </w:numPr>
        <w:spacing w:line="240" w:lineRule="auto"/>
        <w:ind w:left="851" w:right="822"/>
        <w:rPr>
          <w:i/>
        </w:rPr>
      </w:pPr>
      <w:r w:rsidRPr="00C66994">
        <w:rPr>
          <w:i/>
        </w:rPr>
        <w:t>Someter a consideración de la persona titular de la Unidad de Asuntos Internos, la propuesta de respuesta para dar atención a peticiones de autoridades competentes.</w:t>
      </w:r>
    </w:p>
    <w:p w14:paraId="25ACB7FB" w14:textId="3412E34F" w:rsidR="002A5A95" w:rsidRPr="00C66994" w:rsidRDefault="002A5A95" w:rsidP="00C66994">
      <w:pPr>
        <w:pStyle w:val="Prrafodelista"/>
        <w:numPr>
          <w:ilvl w:val="0"/>
          <w:numId w:val="23"/>
        </w:numPr>
        <w:spacing w:line="240" w:lineRule="auto"/>
        <w:ind w:left="851" w:right="822"/>
        <w:rPr>
          <w:i/>
        </w:rPr>
      </w:pPr>
      <w:r w:rsidRPr="00C66994">
        <w:rPr>
          <w:i/>
        </w:rPr>
        <w:t>Verificar que, en el sistema de registro y control, así como en el resguardo de expedientes y demás información de integrantes de la Secretaría de Seguridad sujetas a procedimientos, se preserve la confidencialidad y la protección de datos personales.</w:t>
      </w:r>
    </w:p>
    <w:p w14:paraId="74078170" w14:textId="063AB1B4" w:rsidR="002A5A95" w:rsidRPr="00C66994" w:rsidRDefault="002A5A95" w:rsidP="00C66994">
      <w:pPr>
        <w:pStyle w:val="Prrafodelista"/>
        <w:numPr>
          <w:ilvl w:val="0"/>
          <w:numId w:val="23"/>
        </w:numPr>
        <w:spacing w:line="240" w:lineRule="auto"/>
        <w:ind w:left="851" w:right="822"/>
        <w:rPr>
          <w:i/>
        </w:rPr>
      </w:pPr>
      <w:r w:rsidRPr="00C66994">
        <w:rPr>
          <w:i/>
        </w:rPr>
        <w:lastRenderedPageBreak/>
        <w:t>Establecer los criterios, lineamientos y procedimientos necesarios en materia de recursos o medios de impugnación.</w:t>
      </w:r>
    </w:p>
    <w:p w14:paraId="34193B9C" w14:textId="7FC3639F" w:rsidR="002A5A95" w:rsidRPr="00C66994" w:rsidRDefault="002A5A95" w:rsidP="00C66994">
      <w:pPr>
        <w:pStyle w:val="Prrafodelista"/>
        <w:numPr>
          <w:ilvl w:val="0"/>
          <w:numId w:val="23"/>
        </w:numPr>
        <w:spacing w:line="240" w:lineRule="auto"/>
        <w:ind w:left="851" w:right="822"/>
        <w:rPr>
          <w:i/>
        </w:rPr>
      </w:pPr>
      <w:r w:rsidRPr="00C66994">
        <w:rPr>
          <w:i/>
        </w:rPr>
        <w:t>Emitir la respuesta de los informes, demandas y contestaciones a éstas, en los juicios en los que la Unidad de Asuntos Internos sea parte, así como interponer toda clase de recursos o medios de impugnación para cuidar los intereses del mismo.</w:t>
      </w:r>
    </w:p>
    <w:p w14:paraId="7A23DA2E" w14:textId="7CE63895" w:rsidR="002A5A95" w:rsidRPr="00C66994" w:rsidRDefault="002A5A95" w:rsidP="00C66994">
      <w:pPr>
        <w:pStyle w:val="Prrafodelista"/>
        <w:numPr>
          <w:ilvl w:val="0"/>
          <w:numId w:val="23"/>
        </w:numPr>
        <w:spacing w:line="240" w:lineRule="auto"/>
        <w:ind w:left="851" w:right="822"/>
        <w:rPr>
          <w:i/>
        </w:rPr>
      </w:pPr>
      <w:r w:rsidRPr="00C66994">
        <w:rPr>
          <w:i/>
        </w:rPr>
        <w:t>Representar jurídicamente a la Unidad de Asuntos Internos ante los órganos formal o materialmente jurisdiccionales, en todos los procedimientos o procesos.</w:t>
      </w:r>
    </w:p>
    <w:p w14:paraId="204A6EC0" w14:textId="60FE62D1" w:rsidR="002A5A95" w:rsidRPr="00C66994" w:rsidRDefault="002A5A95" w:rsidP="00C66994">
      <w:pPr>
        <w:pStyle w:val="Prrafodelista"/>
        <w:numPr>
          <w:ilvl w:val="0"/>
          <w:numId w:val="23"/>
        </w:numPr>
        <w:spacing w:line="240" w:lineRule="auto"/>
        <w:ind w:left="851" w:right="822"/>
        <w:rPr>
          <w:i/>
        </w:rPr>
      </w:pPr>
      <w:r w:rsidRPr="00C66994">
        <w:rPr>
          <w:i/>
        </w:rPr>
        <w:t>Notificar a la persona denunciante, en caso de identificarse, el resultado de la investigación. Desarrollar las demás funciones inherentes al área de su competencia.</w:t>
      </w:r>
    </w:p>
    <w:p w14:paraId="1F3C52F6" w14:textId="77777777" w:rsidR="002A5A95" w:rsidRPr="00C66994" w:rsidRDefault="002A5A95" w:rsidP="00C66994">
      <w:pPr>
        <w:ind w:right="-93"/>
      </w:pPr>
    </w:p>
    <w:p w14:paraId="19648B15" w14:textId="5F7FE5DC" w:rsidR="00E85047" w:rsidRPr="00C66994" w:rsidRDefault="00C10C62" w:rsidP="00C66994">
      <w:pPr>
        <w:ind w:right="-93"/>
      </w:pPr>
      <w:r w:rsidRPr="00C66994">
        <w:t xml:space="preserve">Atento a lo anterior, podemos advertir que, </w:t>
      </w:r>
      <w:r w:rsidR="00E85047" w:rsidRPr="00C66994">
        <w:rPr>
          <w:rFonts w:cs="Tahoma"/>
          <w:bCs/>
          <w:szCs w:val="22"/>
        </w:rPr>
        <w:t xml:space="preserve">se demuestra que, </w:t>
      </w:r>
      <w:r w:rsidR="00E85047" w:rsidRPr="00C66994">
        <w:rPr>
          <w:rFonts w:cs="Tahoma"/>
          <w:b/>
          <w:bCs/>
          <w:szCs w:val="22"/>
        </w:rPr>
        <w:t>EL SUJETO OBLIGADO</w:t>
      </w:r>
      <w:r w:rsidR="00E85047" w:rsidRPr="00C66994">
        <w:rPr>
          <w:rFonts w:cs="Tahoma"/>
          <w:bCs/>
          <w:szCs w:val="22"/>
        </w:rPr>
        <w:t xml:space="preserve"> siguió </w:t>
      </w:r>
      <w:r w:rsidR="00E85047" w:rsidRPr="00C66994">
        <w:t>el procedimiento establecido por el artículo 162 de la Ley de Transparencia y Acceso a la Información Pública del Estado de México y Municipios, turnando la solicitud a las áreas en las que pudiera obrar la información de conformidad con la fracción XXXIX del artículo tercero de la legislación local vigente en materia de transparencia:</w:t>
      </w:r>
    </w:p>
    <w:p w14:paraId="413863A5" w14:textId="77777777" w:rsidR="00E85047" w:rsidRPr="00C66994" w:rsidRDefault="00E85047" w:rsidP="00C66994">
      <w:pPr>
        <w:ind w:right="-93"/>
      </w:pPr>
    </w:p>
    <w:p w14:paraId="2B538191" w14:textId="77777777" w:rsidR="00E85047" w:rsidRPr="00C66994" w:rsidRDefault="00E85047" w:rsidP="00C66994">
      <w:pPr>
        <w:spacing w:line="240" w:lineRule="auto"/>
        <w:ind w:left="851" w:right="822"/>
        <w:rPr>
          <w:rFonts w:cs="Tahoma"/>
          <w:bCs/>
          <w:i/>
          <w:szCs w:val="22"/>
        </w:rPr>
      </w:pPr>
      <w:r w:rsidRPr="00C66994">
        <w:rPr>
          <w:b/>
          <w:i/>
        </w:rPr>
        <w:t>XXXIX.</w:t>
      </w:r>
      <w:r w:rsidRPr="00C66994">
        <w:rPr>
          <w:i/>
        </w:rPr>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D9E5C3C" w14:textId="77777777" w:rsidR="00E85047" w:rsidRPr="00C66994" w:rsidRDefault="00E85047" w:rsidP="00C66994">
      <w:pPr>
        <w:ind w:right="-93"/>
        <w:rPr>
          <w:rFonts w:cs="Tahoma"/>
          <w:bCs/>
          <w:szCs w:val="22"/>
        </w:rPr>
      </w:pPr>
    </w:p>
    <w:p w14:paraId="7F454B5A" w14:textId="77777777" w:rsidR="00E85047" w:rsidRPr="00C66994" w:rsidRDefault="00E85047" w:rsidP="00C66994">
      <w:pPr>
        <w:ind w:right="-93"/>
      </w:pPr>
      <w:r w:rsidRPr="00C66994">
        <w:t>Así las cosas, se advierte que efectivamente la Unidad de Transparencia cumplió con lo establecido en el artículo 162 de la Ley de Transparencia y Acceso a la Información Pública del Estado de México y Municipios, el cual menciona lo siguiente:</w:t>
      </w:r>
    </w:p>
    <w:p w14:paraId="2068A892" w14:textId="77777777" w:rsidR="00E85047" w:rsidRPr="00C66994" w:rsidRDefault="00E85047" w:rsidP="00C66994">
      <w:pPr>
        <w:ind w:right="-93"/>
      </w:pPr>
    </w:p>
    <w:p w14:paraId="6A1799AA" w14:textId="77777777" w:rsidR="00E85047" w:rsidRPr="00C66994" w:rsidRDefault="00E85047" w:rsidP="00C66994">
      <w:pPr>
        <w:spacing w:line="240" w:lineRule="auto"/>
        <w:ind w:left="851" w:right="822"/>
        <w:rPr>
          <w:rFonts w:cs="Tahoma"/>
          <w:bCs/>
          <w:i/>
          <w:szCs w:val="22"/>
        </w:rPr>
      </w:pPr>
      <w:r w:rsidRPr="00C66994">
        <w:rPr>
          <w:i/>
        </w:rPr>
        <w:t xml:space="preserve">“Artículo 162. Las unidades de transparencia deberán garantizar que las solicitudes se turnen a </w:t>
      </w:r>
      <w:r w:rsidRPr="00C66994">
        <w:rPr>
          <w:b/>
          <w:i/>
        </w:rPr>
        <w:t>todas las Áreas competentes</w:t>
      </w:r>
      <w:r w:rsidRPr="00C66994">
        <w:rPr>
          <w:i/>
        </w:rPr>
        <w:t xml:space="preserve"> que cuenten con la información o deban tenerla de acuerdo a sus facultades, competencias y funciones, con el objeto de que realicen una búsqueda exhaustiva y razonable de la información solicitada.”</w:t>
      </w:r>
    </w:p>
    <w:p w14:paraId="11753A76" w14:textId="77777777" w:rsidR="00E85047" w:rsidRPr="00C66994" w:rsidRDefault="00E85047" w:rsidP="00C66994">
      <w:pPr>
        <w:ind w:right="-93"/>
        <w:rPr>
          <w:rFonts w:cs="Tahoma"/>
          <w:bCs/>
          <w:szCs w:val="22"/>
        </w:rPr>
      </w:pPr>
    </w:p>
    <w:p w14:paraId="0FAC03F4" w14:textId="5915ABAD" w:rsidR="00C10C62" w:rsidRPr="00C66994" w:rsidRDefault="00C10C62" w:rsidP="00C66994">
      <w:pPr>
        <w:ind w:right="-93"/>
      </w:pPr>
      <w:r w:rsidRPr="00C66994">
        <w:rPr>
          <w:rFonts w:cs="Tahoma"/>
          <w:bCs/>
          <w:szCs w:val="22"/>
        </w:rPr>
        <w:lastRenderedPageBreak/>
        <w:t xml:space="preserve">Por otro lado, ante los requerimientos inmersos en la solicitud de información, es preciso decir que </w:t>
      </w:r>
      <w:r w:rsidRPr="00C66994">
        <w:t>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5520696D" w14:textId="77777777" w:rsidR="00C10C62" w:rsidRPr="00C66994" w:rsidRDefault="00C10C62" w:rsidP="00C66994">
      <w:pPr>
        <w:ind w:right="-93"/>
      </w:pPr>
    </w:p>
    <w:p w14:paraId="577966DE" w14:textId="77777777" w:rsidR="00C10C62" w:rsidRPr="00C66994" w:rsidRDefault="00C10C62" w:rsidP="00C66994">
      <w:pPr>
        <w:ind w:right="-93"/>
      </w:pPr>
      <w:r w:rsidRPr="00C66994">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676C3E8B" w14:textId="77777777" w:rsidR="00C10C62" w:rsidRPr="00C66994" w:rsidRDefault="00C10C62" w:rsidP="00C66994">
      <w:pPr>
        <w:ind w:right="-93"/>
      </w:pPr>
    </w:p>
    <w:p w14:paraId="3EA849EA" w14:textId="77777777" w:rsidR="00C10C62" w:rsidRPr="00C66994" w:rsidRDefault="00C10C62" w:rsidP="00C66994">
      <w:pPr>
        <w:ind w:right="-93"/>
      </w:pPr>
      <w:r w:rsidRPr="00C66994">
        <w:t xml:space="preserve">Lo anterior toma relevancia, pues según Jarquín, Soledad (2019), en el “Diccionario de Transparencia y Acceso a la Información Pública” (p. 126 y 127), todos los </w:t>
      </w:r>
      <w:r w:rsidRPr="00C66994">
        <w:rPr>
          <w:b/>
        </w:rPr>
        <w:t>SUJETOS OBLIGADOS</w:t>
      </w:r>
      <w:r w:rsidRPr="00C66994">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92873AB" w14:textId="77777777" w:rsidR="00C10C62" w:rsidRPr="00C66994" w:rsidRDefault="00C10C62" w:rsidP="00C66994">
      <w:pPr>
        <w:ind w:right="-93"/>
      </w:pPr>
    </w:p>
    <w:p w14:paraId="7FEA42E8" w14:textId="77777777" w:rsidR="00C10C62" w:rsidRPr="00C66994" w:rsidRDefault="00C10C62" w:rsidP="00C66994">
      <w:pPr>
        <w:ind w:right="-93"/>
      </w:pPr>
      <w:r w:rsidRPr="00C66994">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6BC5D527" w14:textId="77777777" w:rsidR="00C10C62" w:rsidRPr="00C66994" w:rsidRDefault="00C10C62" w:rsidP="00C66994">
      <w:pPr>
        <w:ind w:right="-93"/>
        <w:rPr>
          <w:rFonts w:cs="Tahoma"/>
          <w:bCs/>
          <w:szCs w:val="22"/>
        </w:rPr>
      </w:pPr>
    </w:p>
    <w:p w14:paraId="7B5E8CE7" w14:textId="34378BE1" w:rsidR="009803B0" w:rsidRPr="00C66994" w:rsidRDefault="00E85047" w:rsidP="00C66994">
      <w:pPr>
        <w:ind w:right="-93"/>
        <w:rPr>
          <w:rFonts w:cs="Tahoma"/>
          <w:bCs/>
          <w:szCs w:val="22"/>
        </w:rPr>
      </w:pPr>
      <w:r w:rsidRPr="00C66994">
        <w:rPr>
          <w:rFonts w:cs="Tahoma"/>
          <w:bCs/>
          <w:szCs w:val="22"/>
        </w:rPr>
        <w:lastRenderedPageBreak/>
        <w:t xml:space="preserve">Ahora bien, dada la inconformidad hecha valer por </w:t>
      </w:r>
      <w:r w:rsidRPr="00C66994">
        <w:rPr>
          <w:rFonts w:cs="Tahoma"/>
          <w:b/>
          <w:bCs/>
          <w:szCs w:val="22"/>
        </w:rPr>
        <w:t>LA PARTE RECURRENTE</w:t>
      </w:r>
      <w:r w:rsidRPr="00C66994">
        <w:rPr>
          <w:rFonts w:cs="Tahoma"/>
          <w:bCs/>
          <w:szCs w:val="22"/>
        </w:rPr>
        <w:t xml:space="preserve">, </w:t>
      </w:r>
      <w:r w:rsidR="003E5692" w:rsidRPr="00C66994">
        <w:rPr>
          <w:rFonts w:cs="Tahoma"/>
          <w:bCs/>
          <w:szCs w:val="22"/>
        </w:rPr>
        <w:t xml:space="preserve">resulta oportuno dilucidar si es viable la clasificación de la información o bien, es prudente su divulgación. </w:t>
      </w:r>
    </w:p>
    <w:p w14:paraId="51FE0929" w14:textId="77777777" w:rsidR="003E5692" w:rsidRPr="00C66994" w:rsidRDefault="003E5692" w:rsidP="00C66994">
      <w:pPr>
        <w:ind w:right="-93"/>
        <w:rPr>
          <w:rFonts w:cs="Tahoma"/>
          <w:bCs/>
          <w:szCs w:val="22"/>
        </w:rPr>
      </w:pPr>
    </w:p>
    <w:p w14:paraId="40902A6B" w14:textId="0EF8977C" w:rsidR="003E5692" w:rsidRPr="00C66994" w:rsidRDefault="003E5692" w:rsidP="00C66994">
      <w:pPr>
        <w:ind w:right="-93"/>
        <w:rPr>
          <w:rFonts w:cs="Tahoma"/>
          <w:bCs/>
          <w:szCs w:val="22"/>
        </w:rPr>
      </w:pPr>
      <w:r w:rsidRPr="00C66994">
        <w:rPr>
          <w:rFonts w:eastAsia="Palatino Linotype" w:cs="Palatino Linotype"/>
        </w:rPr>
        <w:t xml:space="preserve">Los artículos 122, 128 y 130 de la Ley Transparencia y Acceso a la Información Pública del Estado de México y Municipios, se prevé que </w:t>
      </w:r>
      <w:r w:rsidRPr="00C66994">
        <w:rPr>
          <w:rFonts w:eastAsia="Palatino Linotype" w:cs="Palatino Linotype"/>
          <w:b/>
        </w:rPr>
        <w:t xml:space="preserve">la clasificación </w:t>
      </w:r>
      <w:r w:rsidRPr="00C66994">
        <w:rPr>
          <w:rFonts w:eastAsia="Palatino Linotype" w:cs="Palatino Linotype"/>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19B23C3E" w14:textId="77777777" w:rsidR="003E5692" w:rsidRPr="00C66994" w:rsidRDefault="003E5692" w:rsidP="00C66994">
      <w:pPr>
        <w:ind w:right="-93"/>
        <w:rPr>
          <w:rFonts w:cs="Tahoma"/>
          <w:bCs/>
          <w:szCs w:val="22"/>
        </w:rPr>
      </w:pPr>
    </w:p>
    <w:p w14:paraId="2317BD42" w14:textId="6C037190" w:rsidR="00C10C62" w:rsidRPr="00C66994" w:rsidRDefault="003E5692" w:rsidP="00C66994">
      <w:pPr>
        <w:ind w:right="-93"/>
        <w:rPr>
          <w:rFonts w:eastAsia="Palatino Linotype" w:cs="Palatino Linotype"/>
          <w:b/>
        </w:rPr>
      </w:pPr>
      <w:r w:rsidRPr="00C66994">
        <w:rPr>
          <w:rFonts w:eastAsia="Palatino Linotype" w:cs="Palatino Linotype"/>
        </w:rPr>
        <w:t xml:space="preserve">Por su parte, según Bonifaz, Leticia (2016), en la “Ley General de Transparencia y Acceso a la Información Pública Comentada” (p. 342), la </w:t>
      </w:r>
      <w:r w:rsidRPr="00C66994">
        <w:rPr>
          <w:rFonts w:eastAsia="Palatino Linotype" w:cs="Palatino Linotype"/>
          <w:b/>
        </w:rPr>
        <w:t>clasificación de la información</w:t>
      </w:r>
      <w:r w:rsidRPr="00C66994">
        <w:rPr>
          <w:rFonts w:eastAsia="Palatino Linotype" w:cs="Palatino Linotype"/>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C66994">
        <w:rPr>
          <w:rFonts w:eastAsia="Palatino Linotype" w:cs="Palatino Linotype"/>
          <w:b/>
        </w:rPr>
        <w:t>de manera adecuada la negativa de información.</w:t>
      </w:r>
    </w:p>
    <w:p w14:paraId="5B288651" w14:textId="77777777" w:rsidR="003E5692" w:rsidRPr="00C66994" w:rsidRDefault="003E5692" w:rsidP="00C66994">
      <w:pPr>
        <w:ind w:right="-93"/>
        <w:rPr>
          <w:rFonts w:eastAsia="Palatino Linotype" w:cs="Palatino Linotype"/>
          <w:b/>
        </w:rPr>
      </w:pPr>
    </w:p>
    <w:p w14:paraId="3CB5A592" w14:textId="71AED30F" w:rsidR="003E5692" w:rsidRPr="00C66994" w:rsidRDefault="003E5692" w:rsidP="00C66994">
      <w:pPr>
        <w:ind w:right="-93"/>
        <w:rPr>
          <w:rFonts w:cs="Tahoma"/>
          <w:bCs/>
          <w:szCs w:val="22"/>
        </w:rPr>
      </w:pPr>
      <w:r w:rsidRPr="00C66994">
        <w:rPr>
          <w:rFonts w:cs="Tahoma"/>
          <w:bCs/>
          <w:szCs w:val="22"/>
        </w:rPr>
        <w:t xml:space="preserve">En ese sentido, </w:t>
      </w:r>
      <w:r w:rsidRPr="00C66994">
        <w:rPr>
          <w:rFonts w:cs="Tahoma"/>
          <w:b/>
          <w:bCs/>
          <w:szCs w:val="22"/>
        </w:rPr>
        <w:t xml:space="preserve">EL SUJETO OBLIGADO </w:t>
      </w:r>
      <w:r w:rsidRPr="00C66994">
        <w:rPr>
          <w:rFonts w:cs="Tahoma"/>
          <w:bCs/>
          <w:szCs w:val="22"/>
        </w:rPr>
        <w:t xml:space="preserve">negó el acceso a las documentales requeridas a través del ejercicio del derecho de acceso a la información pública a través del acuerdo emitido por el Comité de Transparencia, en donde se aprueba </w:t>
      </w:r>
      <w:r w:rsidRPr="00C66994">
        <w:rPr>
          <w:rFonts w:eastAsia="Palatino Linotype" w:cs="Palatino Linotype"/>
        </w:rPr>
        <w:t>la clasificación de la información solicitada, como reservada, en términos del artículo 140 fracción VIII</w:t>
      </w:r>
    </w:p>
    <w:p w14:paraId="60C46085" w14:textId="77777777" w:rsidR="00C10C62" w:rsidRPr="00C66994" w:rsidRDefault="00C10C62" w:rsidP="00C66994">
      <w:pPr>
        <w:ind w:right="-93"/>
        <w:rPr>
          <w:rFonts w:cs="Tahoma"/>
          <w:bCs/>
          <w:szCs w:val="22"/>
        </w:rPr>
      </w:pPr>
    </w:p>
    <w:p w14:paraId="4C911253" w14:textId="6FCA3A66" w:rsidR="00697C2E" w:rsidRPr="00C66994" w:rsidRDefault="003E5692" w:rsidP="00C66994">
      <w:pPr>
        <w:ind w:right="-93"/>
        <w:rPr>
          <w:rFonts w:eastAsia="Palatino Linotype" w:cs="Palatino Linotype"/>
          <w:b/>
        </w:rPr>
      </w:pPr>
      <w:r w:rsidRPr="00C66994">
        <w:rPr>
          <w:rFonts w:eastAsia="Palatino Linotype" w:cs="Palatino Linotype"/>
        </w:rPr>
        <w:t xml:space="preserve">No obstante lo anterior, del acta en referencia puede observarse que, dicha autoridad </w:t>
      </w:r>
      <w:r w:rsidR="00C17403" w:rsidRPr="00C66994">
        <w:rPr>
          <w:rFonts w:eastAsia="Palatino Linotype" w:cs="Palatino Linotype"/>
        </w:rPr>
        <w:t>aprobó la clasificación de la información de diversas solicitudes de información para lo cual</w:t>
      </w:r>
      <w:r w:rsidRPr="00C66994">
        <w:rPr>
          <w:rFonts w:eastAsia="Palatino Linotype" w:cs="Palatino Linotype"/>
        </w:rPr>
        <w:t xml:space="preserve">, conforme </w:t>
      </w:r>
      <w:r w:rsidRPr="00C66994">
        <w:rPr>
          <w:rFonts w:eastAsia="Palatino Linotype" w:cs="Palatino Linotype"/>
        </w:rPr>
        <w:lastRenderedPageBreak/>
        <w:t>al artículo 134 de la Ley de Transparencia y Acceso a la Información Pública del Estado de México y Municipios y el Sexto de los Lineamientos Generales en Materia de Clasificación y Desclasificación de la Información, así como para la Ela</w:t>
      </w:r>
      <w:r w:rsidR="00C17403" w:rsidRPr="00C66994">
        <w:rPr>
          <w:rFonts w:eastAsia="Palatino Linotype" w:cs="Palatino Linotype"/>
        </w:rPr>
        <w:t>boración de Versiones Públicas</w:t>
      </w:r>
      <w:r w:rsidRPr="00C66994">
        <w:rPr>
          <w:rFonts w:eastAsia="Palatino Linotype" w:cs="Palatino Linotype"/>
        </w:rPr>
        <w:t xml:space="preserve">, los </w:t>
      </w:r>
      <w:r w:rsidR="00C17403" w:rsidRPr="00C66994">
        <w:rPr>
          <w:rFonts w:eastAsia="Palatino Linotype" w:cs="Palatino Linotype"/>
          <w:b/>
        </w:rPr>
        <w:t>SUJETOS OBLIGADOS</w:t>
      </w:r>
      <w:r w:rsidR="00C17403" w:rsidRPr="00C66994">
        <w:rPr>
          <w:rFonts w:eastAsia="Palatino Linotype" w:cs="Palatino Linotype"/>
        </w:rPr>
        <w:t xml:space="preserve"> </w:t>
      </w:r>
      <w:r w:rsidRPr="00C66994">
        <w:rPr>
          <w:rFonts w:eastAsia="Palatino Linotype" w:cs="Palatino Linotype"/>
        </w:rPr>
        <w:t xml:space="preserve">no podrán emitir acuerdos de carácter general que clasifiquen documentos o expedientes; por lo que, la clasificación de información se llevará a cabo mediante un </w:t>
      </w:r>
      <w:r w:rsidRPr="00C66994">
        <w:rPr>
          <w:rFonts w:eastAsia="Palatino Linotype" w:cs="Palatino Linotype"/>
          <w:b/>
        </w:rPr>
        <w:t>análisis caso por caso</w:t>
      </w:r>
      <w:r w:rsidR="00C17403" w:rsidRPr="00C66994">
        <w:rPr>
          <w:rFonts w:eastAsia="Palatino Linotype" w:cs="Palatino Linotype"/>
          <w:b/>
        </w:rPr>
        <w:t>.</w:t>
      </w:r>
    </w:p>
    <w:p w14:paraId="3C2F3C89" w14:textId="77777777" w:rsidR="00C17403" w:rsidRPr="00C66994" w:rsidRDefault="00C17403" w:rsidP="00C66994">
      <w:pPr>
        <w:ind w:right="-93"/>
        <w:rPr>
          <w:rFonts w:eastAsia="Palatino Linotype" w:cs="Palatino Linotype"/>
          <w:b/>
        </w:rPr>
      </w:pPr>
    </w:p>
    <w:p w14:paraId="7B3239BE" w14:textId="6FA8C07E" w:rsidR="00C17403" w:rsidRPr="00C66994" w:rsidRDefault="00C17403" w:rsidP="00C66994">
      <w:pPr>
        <w:ind w:right="-93"/>
        <w:rPr>
          <w:rFonts w:eastAsia="Palatino Linotype" w:cs="Palatino Linotype"/>
        </w:rPr>
      </w:pPr>
      <w:r w:rsidRPr="00C66994">
        <w:rPr>
          <w:rFonts w:eastAsia="Palatino Linotype" w:cs="Palatino Linotype"/>
        </w:rPr>
        <w:t xml:space="preserve">Además, el artículo 131 de la Ley referida, así como el Quinto de los Lineamientos Generales, establecen que los sujetos obligados </w:t>
      </w:r>
      <w:r w:rsidRPr="00C66994">
        <w:rPr>
          <w:rFonts w:eastAsia="Palatino Linotype" w:cs="Palatino Linotype"/>
          <w:b/>
        </w:rPr>
        <w:t>deberán fundar y motivar</w:t>
      </w:r>
      <w:r w:rsidRPr="00C66994">
        <w:rPr>
          <w:rFonts w:eastAsia="Palatino Linotype" w:cs="Palatino Linotype"/>
        </w:rPr>
        <w:t xml:space="preserve"> debidamente la clasificación de la información.</w:t>
      </w:r>
    </w:p>
    <w:p w14:paraId="37ED98FC" w14:textId="77777777" w:rsidR="00C17403" w:rsidRPr="00C66994" w:rsidRDefault="00C17403" w:rsidP="00C66994">
      <w:pPr>
        <w:ind w:right="-93"/>
        <w:rPr>
          <w:rFonts w:eastAsia="Palatino Linotype" w:cs="Palatino Linotype"/>
        </w:rPr>
      </w:pPr>
    </w:p>
    <w:p w14:paraId="2B312A1C" w14:textId="77777777" w:rsidR="00C17403" w:rsidRPr="00C66994" w:rsidRDefault="00C17403" w:rsidP="00C66994">
      <w:pPr>
        <w:rPr>
          <w:rFonts w:eastAsia="Palatino Linotype" w:cs="Palatino Linotype"/>
        </w:rPr>
      </w:pPr>
      <w:r w:rsidRPr="00C66994">
        <w:rPr>
          <w:rFonts w:eastAsia="Palatino Linotype" w:cs="Palatino Linotype"/>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18292E2B" w14:textId="77777777" w:rsidR="00C17403" w:rsidRPr="00C66994" w:rsidRDefault="00C17403" w:rsidP="00C66994">
      <w:pPr>
        <w:rPr>
          <w:rFonts w:eastAsia="Palatino Linotype" w:cs="Palatino Linotype"/>
        </w:rPr>
      </w:pPr>
    </w:p>
    <w:p w14:paraId="3112D516" w14:textId="7EDCF1B9" w:rsidR="00C17403" w:rsidRPr="00C66994" w:rsidRDefault="00C17403" w:rsidP="00C66994">
      <w:pPr>
        <w:pStyle w:val="Puesto"/>
        <w:rPr>
          <w:rFonts w:cs="Tahoma"/>
          <w:bCs/>
          <w:szCs w:val="22"/>
        </w:rPr>
      </w:pPr>
      <w:r w:rsidRPr="00C66994">
        <w:rPr>
          <w:rFonts w:eastAsia="Palatino Linotype"/>
          <w:b/>
        </w:rPr>
        <w:t xml:space="preserve">“FUNDAMENTACION Y MOTIVACION, CONCEPTO DE. </w:t>
      </w:r>
      <w:r w:rsidRPr="00C66994">
        <w:rPr>
          <w:rFonts w:eastAsia="Palatino Linotype"/>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49480EBC" w14:textId="5CAADD69" w:rsidR="009803B0" w:rsidRPr="00C66994" w:rsidRDefault="009803B0" w:rsidP="00C66994">
      <w:pPr>
        <w:ind w:right="-93"/>
        <w:rPr>
          <w:rFonts w:cs="Tahoma"/>
          <w:bCs/>
          <w:szCs w:val="22"/>
        </w:rPr>
      </w:pPr>
    </w:p>
    <w:p w14:paraId="521F8AA7" w14:textId="2A74A3D0" w:rsidR="00C17403" w:rsidRPr="00C66994" w:rsidRDefault="00C17403" w:rsidP="00C66994">
      <w:pPr>
        <w:ind w:right="-93"/>
        <w:rPr>
          <w:rFonts w:cs="Tahoma"/>
          <w:bCs/>
          <w:szCs w:val="22"/>
        </w:rPr>
      </w:pPr>
      <w:r w:rsidRPr="00C66994">
        <w:rPr>
          <w:rFonts w:cs="Tahoma"/>
          <w:bCs/>
          <w:szCs w:val="22"/>
        </w:rPr>
        <w:lastRenderedPageBreak/>
        <w:t xml:space="preserve">Ahora bien, acorde a la causal invocada por </w:t>
      </w:r>
      <w:r w:rsidRPr="00C66994">
        <w:rPr>
          <w:rFonts w:cs="Tahoma"/>
          <w:b/>
          <w:bCs/>
          <w:szCs w:val="22"/>
        </w:rPr>
        <w:t xml:space="preserve">EL SUJETO OBLIGADO </w:t>
      </w:r>
      <w:r w:rsidRPr="00C66994">
        <w:rPr>
          <w:rFonts w:cs="Tahoma"/>
          <w:bCs/>
          <w:szCs w:val="22"/>
        </w:rPr>
        <w:t>será información reservada aquella que “Vulnere la conducción de los expedientes judiciales o de los procedimientos administrativos seguidos en forma de juicio, en tanto no hayan quedado firmes”</w:t>
      </w:r>
    </w:p>
    <w:p w14:paraId="21FCEC9F" w14:textId="77777777" w:rsidR="003E5692" w:rsidRPr="00C66994" w:rsidRDefault="003E5692" w:rsidP="00C66994">
      <w:pPr>
        <w:ind w:right="-93"/>
        <w:rPr>
          <w:rFonts w:cs="Tahoma"/>
          <w:bCs/>
          <w:szCs w:val="22"/>
        </w:rPr>
      </w:pPr>
    </w:p>
    <w:p w14:paraId="7F0E63AE" w14:textId="4C302FFF" w:rsidR="003E5692" w:rsidRPr="00C66994" w:rsidRDefault="00C17403" w:rsidP="00C66994">
      <w:pPr>
        <w:ind w:right="-93"/>
        <w:rPr>
          <w:rFonts w:cs="Tahoma"/>
          <w:bCs/>
          <w:szCs w:val="22"/>
        </w:rPr>
      </w:pPr>
      <w:r w:rsidRPr="00C66994">
        <w:rPr>
          <w:rFonts w:cs="Tahoma"/>
          <w:bCs/>
          <w:szCs w:val="22"/>
        </w:rPr>
        <w:t>Atento a lo anterior, los Lineamientos Generales, anteriormente referidos, establecen por cuanto hace a la causal de reserva invocada, lo siguiente:</w:t>
      </w:r>
    </w:p>
    <w:p w14:paraId="6FAE3648" w14:textId="77777777" w:rsidR="00C17403" w:rsidRPr="00C66994" w:rsidRDefault="00C17403" w:rsidP="00C66994">
      <w:pPr>
        <w:ind w:right="-93"/>
        <w:rPr>
          <w:rFonts w:cs="Tahoma"/>
          <w:bCs/>
          <w:szCs w:val="22"/>
        </w:rPr>
      </w:pPr>
    </w:p>
    <w:p w14:paraId="2584E569" w14:textId="77777777" w:rsidR="00C17403" w:rsidRPr="00C66994" w:rsidRDefault="00C17403" w:rsidP="00C66994">
      <w:pPr>
        <w:pStyle w:val="Puesto"/>
      </w:pPr>
      <w:r w:rsidRPr="00C66994">
        <w:rPr>
          <w:b/>
        </w:rPr>
        <w:t>Vigésimo séptimo.</w:t>
      </w:r>
      <w:r w:rsidRPr="00C66994">
        <w:t>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7661A5DD" w14:textId="77777777" w:rsidR="00C17403" w:rsidRPr="00C66994" w:rsidRDefault="00C17403" w:rsidP="00C66994">
      <w:pPr>
        <w:pStyle w:val="Puesto"/>
      </w:pPr>
      <w:r w:rsidRPr="00C66994">
        <w:rPr>
          <w:b/>
        </w:rPr>
        <w:t>I.</w:t>
      </w:r>
      <w:r w:rsidRPr="00C66994">
        <w:t>        La existencia de un proceso deliberativo en curso, precisando la fecha de inicio;</w:t>
      </w:r>
    </w:p>
    <w:p w14:paraId="1B24FC62" w14:textId="77777777" w:rsidR="00C17403" w:rsidRPr="00C66994" w:rsidRDefault="00C17403" w:rsidP="00C66994">
      <w:pPr>
        <w:pStyle w:val="Puesto"/>
      </w:pPr>
      <w:r w:rsidRPr="00C66994">
        <w:rPr>
          <w:b/>
        </w:rPr>
        <w:t>II.</w:t>
      </w:r>
      <w:r w:rsidRPr="00C66994">
        <w:t>       Que la información consista en opiniones, recomendaciones o puntos de vista de los servidores públicos que participan en el proceso deliberativo;</w:t>
      </w:r>
    </w:p>
    <w:p w14:paraId="74F3010F" w14:textId="77777777" w:rsidR="00C17403" w:rsidRPr="00C66994" w:rsidRDefault="00C17403" w:rsidP="00C66994">
      <w:pPr>
        <w:pStyle w:val="Puesto"/>
      </w:pPr>
      <w:r w:rsidRPr="00C66994">
        <w:rPr>
          <w:b/>
        </w:rPr>
        <w:t>III.</w:t>
      </w:r>
      <w:r w:rsidRPr="00C66994">
        <w:t>      Que la información se encuentre relacionada, de manera directa, con el proceso deliberativo, y</w:t>
      </w:r>
    </w:p>
    <w:p w14:paraId="297C84E7" w14:textId="77777777" w:rsidR="00C17403" w:rsidRPr="00C66994" w:rsidRDefault="00C17403" w:rsidP="00C66994">
      <w:pPr>
        <w:pStyle w:val="Puesto"/>
      </w:pPr>
      <w:r w:rsidRPr="00C66994">
        <w:rPr>
          <w:b/>
        </w:rPr>
        <w:t>IV.</w:t>
      </w:r>
      <w:r w:rsidRPr="00C66994">
        <w:t>      Que con su difusión se pueda llegar a interrumpir, menoscabar o inhibir el diseño, negociación, determinación o implementación de los asuntos sometidos a deliberación.</w:t>
      </w:r>
    </w:p>
    <w:p w14:paraId="09655089" w14:textId="77777777" w:rsidR="00C17403" w:rsidRPr="00C66994" w:rsidRDefault="00C17403" w:rsidP="00C66994">
      <w:pPr>
        <w:ind w:right="-93"/>
        <w:rPr>
          <w:rFonts w:cs="Tahoma"/>
          <w:bCs/>
          <w:szCs w:val="22"/>
        </w:rPr>
      </w:pPr>
    </w:p>
    <w:p w14:paraId="6612F4D5" w14:textId="2B8CD6E5" w:rsidR="003E5692" w:rsidRPr="00C66994" w:rsidRDefault="00C17403" w:rsidP="00C66994">
      <w:pPr>
        <w:ind w:right="-93"/>
        <w:rPr>
          <w:rFonts w:cs="Tahoma"/>
          <w:bCs/>
          <w:szCs w:val="22"/>
        </w:rPr>
      </w:pPr>
      <w:r w:rsidRPr="00C66994">
        <w:rPr>
          <w:rFonts w:cs="Tahoma"/>
          <w:bCs/>
          <w:szCs w:val="22"/>
        </w:rPr>
        <w:t xml:space="preserve">En ese orden de ideas, el marco normativo señalado con antelación, prevé que, respecto de la causal de reservada en cita, deberá acreditarse </w:t>
      </w:r>
      <w:r w:rsidR="00421838" w:rsidRPr="00C66994">
        <w:rPr>
          <w:rFonts w:cs="Tahoma"/>
          <w:bCs/>
          <w:szCs w:val="22"/>
        </w:rPr>
        <w:t xml:space="preserve">la existencia del proceso deliberativo; que la información solicitada consista en las opiniones, recomendaciones o puntos de vista de los servidores públicos que participan en dicho proceso; que dicha información se encuentre relacionada directamente con el proceso deliberativo y por otro lado que su difusión pueda causar realmente una interrupción o afectación a la implementación o determinación de los asuntos sometidos a deliberación. </w:t>
      </w:r>
    </w:p>
    <w:p w14:paraId="551CC8F6" w14:textId="77777777" w:rsidR="00421838" w:rsidRPr="00C66994" w:rsidRDefault="00421838" w:rsidP="00C66994">
      <w:pPr>
        <w:ind w:right="-93"/>
        <w:rPr>
          <w:rFonts w:cs="Tahoma"/>
          <w:bCs/>
          <w:szCs w:val="22"/>
        </w:rPr>
      </w:pPr>
    </w:p>
    <w:p w14:paraId="4C5660EE" w14:textId="0F9DC47A" w:rsidR="00421838" w:rsidRPr="00C66994" w:rsidRDefault="00421838" w:rsidP="00C66994">
      <w:pPr>
        <w:ind w:right="-93"/>
        <w:rPr>
          <w:rFonts w:eastAsia="Palatino Linotype" w:cs="Palatino Linotype"/>
        </w:rPr>
      </w:pPr>
      <w:r w:rsidRPr="00C66994">
        <w:rPr>
          <w:rFonts w:cs="Tahoma"/>
          <w:bCs/>
          <w:szCs w:val="22"/>
        </w:rPr>
        <w:lastRenderedPageBreak/>
        <w:t xml:space="preserve">En ese sentido, </w:t>
      </w:r>
      <w:r w:rsidRPr="00C66994">
        <w:rPr>
          <w:rFonts w:cs="Tahoma"/>
          <w:b/>
          <w:bCs/>
          <w:szCs w:val="22"/>
        </w:rPr>
        <w:t>EL SUJETO OBLIGADO</w:t>
      </w:r>
      <w:r w:rsidRPr="00C66994">
        <w:rPr>
          <w:rFonts w:cs="Tahoma"/>
          <w:bCs/>
          <w:szCs w:val="22"/>
        </w:rPr>
        <w:t xml:space="preserve"> no acredita cada uno de los puntos inmersos en el lineamiento aplicable a la causal de reserva invocada, ya que del contenido inmerso en la prueba de daño y en el acta del Comité de Transparencia que acuerda la clasificación de la información, no se desprende la relación directa que tiene el soporte documental solicitado, con los procesos instaurados en donde se delibere una posible responsabilidad administrativa; por ende dicha autoridad ha omitido indicar la</w:t>
      </w:r>
      <w:r w:rsidRPr="00C66994">
        <w:rPr>
          <w:rFonts w:eastAsia="Palatino Linotype" w:cs="Palatino Linotype"/>
        </w:rPr>
        <w:t xml:space="preserve"> razón por la que la divulgación de la información afectaría la determinación sobre el procedimiento correspondiente. </w:t>
      </w:r>
    </w:p>
    <w:p w14:paraId="32873EEF" w14:textId="77777777" w:rsidR="00421838" w:rsidRPr="00C66994" w:rsidRDefault="00421838" w:rsidP="00C66994">
      <w:pPr>
        <w:ind w:right="-93"/>
        <w:rPr>
          <w:rFonts w:eastAsia="Palatino Linotype" w:cs="Palatino Linotype"/>
        </w:rPr>
      </w:pPr>
    </w:p>
    <w:p w14:paraId="4F71AFB7" w14:textId="77777777" w:rsidR="00421838" w:rsidRPr="00C66994" w:rsidRDefault="00421838" w:rsidP="00C66994">
      <w:pPr>
        <w:tabs>
          <w:tab w:val="left" w:pos="4962"/>
        </w:tabs>
        <w:rPr>
          <w:rFonts w:eastAsia="Palatino Linotype" w:cs="Palatino Linotype"/>
        </w:rPr>
      </w:pPr>
      <w:r w:rsidRPr="00C66994">
        <w:rPr>
          <w:rFonts w:eastAsia="Palatino Linotype" w:cs="Palatino Linotype"/>
        </w:rPr>
        <w:t>Por otro lado, cabe traer a colación el artículo 141 de la Ley de Transparencia y Acceso a la Información Pública del Estado de México y Municipios, establece que las causales de reserva se deberán fundar y motivar, a través de la aplicación de la prueba de daño establecida en el artículo 129 de dicho ordenamiento, que se debe justificar de la siguiente manera:</w:t>
      </w:r>
    </w:p>
    <w:p w14:paraId="576ED0C7" w14:textId="77777777" w:rsidR="00421838" w:rsidRPr="00C66994" w:rsidRDefault="00421838" w:rsidP="00C66994">
      <w:pPr>
        <w:tabs>
          <w:tab w:val="left" w:pos="4962"/>
        </w:tabs>
        <w:rPr>
          <w:rFonts w:eastAsia="Palatino Linotype" w:cs="Palatino Linotype"/>
        </w:rPr>
      </w:pPr>
    </w:p>
    <w:p w14:paraId="514C3F34" w14:textId="77777777" w:rsidR="00421838" w:rsidRPr="00C66994" w:rsidRDefault="00421838" w:rsidP="00C66994">
      <w:pPr>
        <w:numPr>
          <w:ilvl w:val="0"/>
          <w:numId w:val="24"/>
        </w:numPr>
        <w:tabs>
          <w:tab w:val="left" w:pos="4962"/>
        </w:tabs>
        <w:ind w:left="851" w:hanging="437"/>
        <w:rPr>
          <w:rFonts w:eastAsia="Palatino Linotype" w:cs="Palatino Linotype"/>
        </w:rPr>
      </w:pPr>
      <w:r w:rsidRPr="00C66994">
        <w:rPr>
          <w:rFonts w:eastAsia="Palatino Linotype" w:cs="Palatino Linotype"/>
        </w:rPr>
        <w:t>La divulgación de la información representa un riesgo real, demostrable e identificable de perjuicio significativo al interés público o a la seguridad nacional.</w:t>
      </w:r>
    </w:p>
    <w:p w14:paraId="752190B8" w14:textId="77777777" w:rsidR="00421838" w:rsidRPr="00C66994" w:rsidRDefault="00421838" w:rsidP="00C66994">
      <w:pPr>
        <w:numPr>
          <w:ilvl w:val="0"/>
          <w:numId w:val="24"/>
        </w:numPr>
        <w:tabs>
          <w:tab w:val="left" w:pos="4962"/>
        </w:tabs>
        <w:ind w:left="851" w:hanging="437"/>
        <w:rPr>
          <w:rFonts w:eastAsia="Palatino Linotype" w:cs="Palatino Linotype"/>
        </w:rPr>
      </w:pPr>
      <w:r w:rsidRPr="00C66994">
        <w:rPr>
          <w:rFonts w:eastAsia="Palatino Linotype" w:cs="Palatino Linotype"/>
        </w:rPr>
        <w:t>El riesgo de perjuicio supera el interés público general de que se difunda.</w:t>
      </w:r>
    </w:p>
    <w:p w14:paraId="09861CA9" w14:textId="23B9D317" w:rsidR="00421838" w:rsidRPr="00C66994" w:rsidRDefault="00421838" w:rsidP="00C66994">
      <w:pPr>
        <w:numPr>
          <w:ilvl w:val="0"/>
          <w:numId w:val="24"/>
        </w:numPr>
        <w:tabs>
          <w:tab w:val="left" w:pos="4962"/>
        </w:tabs>
        <w:ind w:left="851" w:hanging="437"/>
        <w:rPr>
          <w:rFonts w:cs="Tahoma"/>
          <w:bCs/>
          <w:szCs w:val="22"/>
        </w:rPr>
      </w:pPr>
      <w:r w:rsidRPr="00C66994">
        <w:rPr>
          <w:rFonts w:eastAsia="Palatino Linotype" w:cs="Palatino Linotype"/>
        </w:rPr>
        <w:t>Que la limitación se adecua al principio de proporcionalidad y representa el medio menos restrictivo disponible para evitar el perjuicio.</w:t>
      </w:r>
    </w:p>
    <w:p w14:paraId="555F0276" w14:textId="77777777" w:rsidR="00421838" w:rsidRPr="00C66994" w:rsidRDefault="00421838" w:rsidP="00C66994">
      <w:pPr>
        <w:ind w:right="-93"/>
        <w:rPr>
          <w:rFonts w:cs="Tahoma"/>
          <w:bCs/>
          <w:szCs w:val="22"/>
        </w:rPr>
      </w:pPr>
    </w:p>
    <w:p w14:paraId="1322236E" w14:textId="60F1D57A" w:rsidR="00421838" w:rsidRPr="00C66994" w:rsidRDefault="00421838" w:rsidP="00C66994">
      <w:pPr>
        <w:ind w:right="-93"/>
        <w:rPr>
          <w:rFonts w:eastAsia="Palatino Linotype" w:cs="Palatino Linotype"/>
        </w:rPr>
      </w:pPr>
      <w:r w:rsidRPr="00C66994">
        <w:rPr>
          <w:rFonts w:eastAsia="Palatino Linotype" w:cs="Palatino Linotype"/>
        </w:rPr>
        <w:t xml:space="preserve">A mayor abundamiento, se analizará el Acta del Comité de Transparencia y su prueba de daño, a fin de establecer si esta cumple con las formalidades exigidas por el artículo 113 de la Ley General de Transparencia y Acceso a la Información Pública, numeral trigésimo fracción I de los Lineamientos Generales en Materia de Clasificación y Desclasificación de la Información, así como para la Elaboración de Versiones Públicas, así como los artículos 91, 128, 129, 140, y </w:t>
      </w:r>
      <w:r w:rsidRPr="00C66994">
        <w:rPr>
          <w:rFonts w:eastAsia="Palatino Linotype" w:cs="Palatino Linotype"/>
        </w:rPr>
        <w:lastRenderedPageBreak/>
        <w:t>141, de la Ley de Transparencia y Acceso a la Información Pública del Estado de México y Municipios, se analizará lo siguiente:</w:t>
      </w:r>
    </w:p>
    <w:p w14:paraId="110B7369" w14:textId="77777777" w:rsidR="00421838" w:rsidRPr="00C66994" w:rsidRDefault="00421838" w:rsidP="00C66994">
      <w:pPr>
        <w:ind w:right="-93"/>
        <w:rPr>
          <w:rFonts w:eastAsia="Palatino Linotype" w:cs="Palatino Linotype"/>
        </w:rPr>
      </w:pPr>
    </w:p>
    <w:p w14:paraId="38979F4C" w14:textId="77777777" w:rsidR="00421838" w:rsidRPr="00C66994" w:rsidRDefault="00421838" w:rsidP="00C66994">
      <w:pPr>
        <w:ind w:right="-93"/>
        <w:rPr>
          <w:rFonts w:eastAsia="Palatino Linotype" w:cs="Palatino Linotype"/>
        </w:rPr>
      </w:pPr>
    </w:p>
    <w:tbl>
      <w:tblPr>
        <w:tblW w:w="9321"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1276"/>
        <w:gridCol w:w="5528"/>
      </w:tblGrid>
      <w:tr w:rsidR="00C66994" w:rsidRPr="00C66994" w14:paraId="48ED2653" w14:textId="77777777" w:rsidTr="00421838">
        <w:tc>
          <w:tcPr>
            <w:tcW w:w="2517" w:type="dxa"/>
            <w:tcBorders>
              <w:top w:val="nil"/>
              <w:left w:val="nil"/>
            </w:tcBorders>
          </w:tcPr>
          <w:p w14:paraId="5F6E0B58" w14:textId="77777777" w:rsidR="00421838" w:rsidRPr="00C66994" w:rsidRDefault="00421838" w:rsidP="00C66994">
            <w:pPr>
              <w:pBdr>
                <w:top w:val="nil"/>
                <w:left w:val="nil"/>
                <w:bottom w:val="nil"/>
                <w:right w:val="nil"/>
                <w:between w:val="nil"/>
              </w:pBdr>
              <w:spacing w:line="240" w:lineRule="auto"/>
              <w:ind w:left="47"/>
              <w:rPr>
                <w:b/>
              </w:rPr>
            </w:pPr>
          </w:p>
        </w:tc>
        <w:tc>
          <w:tcPr>
            <w:tcW w:w="1276" w:type="dxa"/>
            <w:tcBorders>
              <w:bottom w:val="single" w:sz="4" w:space="0" w:color="000000"/>
            </w:tcBorders>
            <w:shd w:val="clear" w:color="auto" w:fill="BFBFBF"/>
            <w:vAlign w:val="bottom"/>
          </w:tcPr>
          <w:p w14:paraId="1BB60A3C" w14:textId="77777777" w:rsidR="00421838" w:rsidRPr="00C66994" w:rsidRDefault="00421838" w:rsidP="00C66994">
            <w:pPr>
              <w:pBdr>
                <w:top w:val="nil"/>
                <w:left w:val="nil"/>
                <w:bottom w:val="nil"/>
                <w:right w:val="nil"/>
                <w:between w:val="nil"/>
              </w:pBdr>
              <w:spacing w:line="240" w:lineRule="auto"/>
              <w:ind w:left="47"/>
              <w:jc w:val="center"/>
              <w:rPr>
                <w:b/>
              </w:rPr>
            </w:pPr>
            <w:r w:rsidRPr="00C66994">
              <w:rPr>
                <w:b/>
              </w:rPr>
              <w:t>Cumplió:</w:t>
            </w:r>
          </w:p>
        </w:tc>
        <w:tc>
          <w:tcPr>
            <w:tcW w:w="5528" w:type="dxa"/>
            <w:tcBorders>
              <w:bottom w:val="single" w:sz="4" w:space="0" w:color="000000"/>
            </w:tcBorders>
            <w:shd w:val="clear" w:color="auto" w:fill="BFBFBF"/>
            <w:vAlign w:val="bottom"/>
          </w:tcPr>
          <w:p w14:paraId="31B35C6A" w14:textId="77777777" w:rsidR="00421838" w:rsidRPr="00C66994" w:rsidRDefault="00421838" w:rsidP="00C66994">
            <w:pPr>
              <w:pBdr>
                <w:top w:val="nil"/>
                <w:left w:val="nil"/>
                <w:bottom w:val="nil"/>
                <w:right w:val="nil"/>
                <w:between w:val="nil"/>
              </w:pBdr>
              <w:spacing w:line="240" w:lineRule="auto"/>
              <w:ind w:left="47"/>
              <w:jc w:val="center"/>
              <w:rPr>
                <w:b/>
              </w:rPr>
            </w:pPr>
            <w:r w:rsidRPr="00C66994">
              <w:rPr>
                <w:b/>
              </w:rPr>
              <w:t>Contenido</w:t>
            </w:r>
          </w:p>
        </w:tc>
      </w:tr>
      <w:tr w:rsidR="00C66994" w:rsidRPr="00C66994" w14:paraId="71D75764" w14:textId="77777777" w:rsidTr="00421838">
        <w:tc>
          <w:tcPr>
            <w:tcW w:w="2517" w:type="dxa"/>
            <w:vAlign w:val="center"/>
          </w:tcPr>
          <w:p w14:paraId="4CE4137F" w14:textId="77777777" w:rsidR="00421838" w:rsidRPr="00C66994" w:rsidRDefault="00421838" w:rsidP="00C66994">
            <w:pPr>
              <w:spacing w:line="240" w:lineRule="auto"/>
              <w:jc w:val="center"/>
              <w:rPr>
                <w:b/>
              </w:rPr>
            </w:pPr>
            <w:r w:rsidRPr="00C66994">
              <w:rPr>
                <w:b/>
              </w:rPr>
              <w:t>Número de folio de la solicitud</w:t>
            </w:r>
          </w:p>
        </w:tc>
        <w:tc>
          <w:tcPr>
            <w:tcW w:w="1276" w:type="dxa"/>
            <w:tcBorders>
              <w:top w:val="single" w:sz="4" w:space="0" w:color="000000"/>
            </w:tcBorders>
            <w:vAlign w:val="center"/>
          </w:tcPr>
          <w:p w14:paraId="64CCC4B4" w14:textId="77777777" w:rsidR="00421838" w:rsidRPr="00C66994" w:rsidRDefault="00421838" w:rsidP="00C66994">
            <w:pPr>
              <w:spacing w:line="240" w:lineRule="auto"/>
              <w:ind w:left="47"/>
              <w:jc w:val="center"/>
              <w:rPr>
                <w:b/>
              </w:rPr>
            </w:pPr>
            <w:r w:rsidRPr="00C66994">
              <w:rPr>
                <w:b/>
              </w:rPr>
              <w:t>Sí</w:t>
            </w:r>
          </w:p>
        </w:tc>
        <w:tc>
          <w:tcPr>
            <w:tcW w:w="5528" w:type="dxa"/>
            <w:tcBorders>
              <w:top w:val="single" w:sz="4" w:space="0" w:color="000000"/>
            </w:tcBorders>
            <w:vAlign w:val="center"/>
          </w:tcPr>
          <w:p w14:paraId="1EA317DE" w14:textId="4CE62DE5" w:rsidR="00421838" w:rsidRPr="00C66994" w:rsidRDefault="00421838" w:rsidP="00C66994">
            <w:pPr>
              <w:spacing w:line="240" w:lineRule="auto"/>
              <w:ind w:left="-115"/>
              <w:jc w:val="center"/>
            </w:pPr>
            <w:r w:rsidRPr="00C66994">
              <w:rPr>
                <w:noProof/>
                <w:lang w:eastAsia="es-MX"/>
              </w:rPr>
              <w:drawing>
                <wp:inline distT="0" distB="0" distL="0" distR="0" wp14:anchorId="357B99D6" wp14:editId="61C972F1">
                  <wp:extent cx="3373120" cy="1488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3120" cy="1488440"/>
                          </a:xfrm>
                          <a:prstGeom prst="rect">
                            <a:avLst/>
                          </a:prstGeom>
                        </pic:spPr>
                      </pic:pic>
                    </a:graphicData>
                  </a:graphic>
                </wp:inline>
              </w:drawing>
            </w:r>
            <w:r w:rsidRPr="00C66994">
              <w:t xml:space="preserve"> </w:t>
            </w:r>
          </w:p>
        </w:tc>
      </w:tr>
      <w:tr w:rsidR="00C66994" w:rsidRPr="00C66994" w14:paraId="0FAA499F" w14:textId="77777777" w:rsidTr="00421838">
        <w:trPr>
          <w:trHeight w:val="1825"/>
        </w:trPr>
        <w:tc>
          <w:tcPr>
            <w:tcW w:w="2517" w:type="dxa"/>
            <w:vAlign w:val="center"/>
          </w:tcPr>
          <w:p w14:paraId="6D409CEC" w14:textId="77777777" w:rsidR="00421838" w:rsidRPr="00C66994" w:rsidRDefault="00421838" w:rsidP="00C66994">
            <w:pPr>
              <w:spacing w:line="240" w:lineRule="auto"/>
              <w:jc w:val="center"/>
              <w:rPr>
                <w:b/>
              </w:rPr>
            </w:pPr>
            <w:r w:rsidRPr="00C66994">
              <w:rPr>
                <w:b/>
              </w:rPr>
              <w:t>Referencia de la información solicitada</w:t>
            </w:r>
          </w:p>
        </w:tc>
        <w:tc>
          <w:tcPr>
            <w:tcW w:w="1276" w:type="dxa"/>
            <w:vAlign w:val="center"/>
          </w:tcPr>
          <w:p w14:paraId="62D104D7" w14:textId="77777777" w:rsidR="00421838" w:rsidRPr="00C66994" w:rsidRDefault="00421838" w:rsidP="00C66994">
            <w:pPr>
              <w:spacing w:line="240" w:lineRule="auto"/>
              <w:ind w:left="47"/>
              <w:jc w:val="center"/>
              <w:rPr>
                <w:b/>
              </w:rPr>
            </w:pPr>
            <w:r w:rsidRPr="00C66994">
              <w:rPr>
                <w:b/>
              </w:rPr>
              <w:t>Sí</w:t>
            </w:r>
          </w:p>
        </w:tc>
        <w:tc>
          <w:tcPr>
            <w:tcW w:w="5528" w:type="dxa"/>
            <w:vAlign w:val="center"/>
          </w:tcPr>
          <w:p w14:paraId="07B396BB" w14:textId="00227CE3" w:rsidR="00421838" w:rsidRPr="00C66994" w:rsidRDefault="00134A1E" w:rsidP="00C66994">
            <w:pPr>
              <w:spacing w:line="240" w:lineRule="auto"/>
              <w:jc w:val="center"/>
              <w:rPr>
                <w:b/>
              </w:rPr>
            </w:pPr>
            <w:r w:rsidRPr="00C66994">
              <w:rPr>
                <w:b/>
                <w:noProof/>
                <w:lang w:eastAsia="es-MX"/>
              </w:rPr>
              <w:drawing>
                <wp:inline distT="0" distB="0" distL="0" distR="0" wp14:anchorId="461DC4C4" wp14:editId="5746EC1F">
                  <wp:extent cx="1803625" cy="238950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37220" cy="2434013"/>
                          </a:xfrm>
                          <a:prstGeom prst="rect">
                            <a:avLst/>
                          </a:prstGeom>
                        </pic:spPr>
                      </pic:pic>
                    </a:graphicData>
                  </a:graphic>
                </wp:inline>
              </w:drawing>
            </w:r>
          </w:p>
        </w:tc>
      </w:tr>
      <w:tr w:rsidR="00C66994" w:rsidRPr="00C66994" w14:paraId="6A11DF79" w14:textId="77777777" w:rsidTr="00421838">
        <w:tc>
          <w:tcPr>
            <w:tcW w:w="2517" w:type="dxa"/>
            <w:vAlign w:val="center"/>
          </w:tcPr>
          <w:p w14:paraId="12D70965" w14:textId="77777777" w:rsidR="00421838" w:rsidRPr="00C66994" w:rsidRDefault="00421838" w:rsidP="00C66994">
            <w:pPr>
              <w:spacing w:line="240" w:lineRule="auto"/>
              <w:jc w:val="center"/>
              <w:rPr>
                <w:b/>
              </w:rPr>
            </w:pPr>
            <w:r w:rsidRPr="00C66994">
              <w:rPr>
                <w:b/>
              </w:rPr>
              <w:t xml:space="preserve">Causal aplicable del artículo 113 de la Ley General, vinculándola con el Lineamiento específico del presente ordenamiento y, cuando corresponda, el supuesto normativo que expresamente le </w:t>
            </w:r>
            <w:r w:rsidRPr="00C66994">
              <w:rPr>
                <w:b/>
              </w:rPr>
              <w:lastRenderedPageBreak/>
              <w:t>otorga el carácter de información reservada</w:t>
            </w:r>
          </w:p>
        </w:tc>
        <w:tc>
          <w:tcPr>
            <w:tcW w:w="1276" w:type="dxa"/>
            <w:vAlign w:val="center"/>
          </w:tcPr>
          <w:p w14:paraId="5E9016BF" w14:textId="77777777" w:rsidR="00421838" w:rsidRPr="00C66994" w:rsidRDefault="00421838" w:rsidP="00C66994">
            <w:pPr>
              <w:spacing w:line="240" w:lineRule="auto"/>
              <w:ind w:left="47"/>
              <w:jc w:val="center"/>
            </w:pPr>
            <w:r w:rsidRPr="00C66994">
              <w:rPr>
                <w:b/>
              </w:rPr>
              <w:lastRenderedPageBreak/>
              <w:t>No</w:t>
            </w:r>
          </w:p>
        </w:tc>
        <w:tc>
          <w:tcPr>
            <w:tcW w:w="5528" w:type="dxa"/>
            <w:vAlign w:val="center"/>
          </w:tcPr>
          <w:p w14:paraId="56DD43F1" w14:textId="6A942D5B" w:rsidR="00134A1E" w:rsidRPr="00C66994" w:rsidRDefault="00134A1E" w:rsidP="00C66994">
            <w:pPr>
              <w:spacing w:line="240" w:lineRule="auto"/>
            </w:pPr>
            <w:r w:rsidRPr="00C66994">
              <w:rPr>
                <w:noProof/>
                <w:lang w:eastAsia="es-MX"/>
              </w:rPr>
              <w:drawing>
                <wp:inline distT="0" distB="0" distL="0" distR="0" wp14:anchorId="519CEC3A" wp14:editId="0C1F43B1">
                  <wp:extent cx="3057952" cy="193384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7952" cy="1933845"/>
                          </a:xfrm>
                          <a:prstGeom prst="rect">
                            <a:avLst/>
                          </a:prstGeom>
                        </pic:spPr>
                      </pic:pic>
                    </a:graphicData>
                  </a:graphic>
                </wp:inline>
              </w:drawing>
            </w:r>
          </w:p>
          <w:p w14:paraId="018456DC" w14:textId="77777777" w:rsidR="00134A1E" w:rsidRPr="00C66994" w:rsidRDefault="00134A1E" w:rsidP="00C66994">
            <w:pPr>
              <w:spacing w:line="240" w:lineRule="auto"/>
            </w:pPr>
          </w:p>
          <w:p w14:paraId="58C579EC" w14:textId="77777777" w:rsidR="00421838" w:rsidRPr="00C66994" w:rsidRDefault="00421838" w:rsidP="00C66994">
            <w:pPr>
              <w:spacing w:line="240" w:lineRule="auto"/>
            </w:pPr>
            <w:r w:rsidRPr="00C66994">
              <w:t xml:space="preserve">Del contenido del acta de sesión del Comité de Transparencia no se advierte la relación entre la causal establecida en el artículo 113 de la Ley General y el Lineamiento especifico que le otorgue a la certificación de competencia laboral, la calidad de información reservada. </w:t>
            </w:r>
          </w:p>
          <w:p w14:paraId="2AE33917" w14:textId="77777777" w:rsidR="00421838" w:rsidRPr="00C66994" w:rsidRDefault="00421838" w:rsidP="00C66994">
            <w:pPr>
              <w:spacing w:line="240" w:lineRule="auto"/>
              <w:jc w:val="center"/>
            </w:pPr>
          </w:p>
        </w:tc>
      </w:tr>
      <w:tr w:rsidR="00C66994" w:rsidRPr="00C66994" w14:paraId="4007D29F" w14:textId="77777777" w:rsidTr="00421838">
        <w:tc>
          <w:tcPr>
            <w:tcW w:w="2517" w:type="dxa"/>
            <w:vAlign w:val="center"/>
          </w:tcPr>
          <w:p w14:paraId="4AB72708" w14:textId="77777777" w:rsidR="00421838" w:rsidRPr="00C66994" w:rsidRDefault="00421838" w:rsidP="00C66994">
            <w:pPr>
              <w:tabs>
                <w:tab w:val="left" w:pos="317"/>
              </w:tabs>
              <w:spacing w:line="240" w:lineRule="auto"/>
              <w:jc w:val="center"/>
              <w:rPr>
                <w:b/>
              </w:rPr>
            </w:pPr>
            <w:r w:rsidRPr="00C66994">
              <w:rPr>
                <w:b/>
              </w:rPr>
              <w:lastRenderedPageBreak/>
              <w:t>Fundamento y Motivación Legal</w:t>
            </w:r>
          </w:p>
        </w:tc>
        <w:tc>
          <w:tcPr>
            <w:tcW w:w="1276" w:type="dxa"/>
            <w:vAlign w:val="center"/>
          </w:tcPr>
          <w:p w14:paraId="6F614455" w14:textId="77777777" w:rsidR="00421838" w:rsidRPr="00C66994" w:rsidRDefault="00421838" w:rsidP="00C66994">
            <w:pPr>
              <w:spacing w:line="240" w:lineRule="auto"/>
              <w:ind w:left="47"/>
              <w:jc w:val="center"/>
              <w:rPr>
                <w:b/>
              </w:rPr>
            </w:pPr>
            <w:r w:rsidRPr="00C66994">
              <w:rPr>
                <w:b/>
              </w:rPr>
              <w:t>Parcial</w:t>
            </w:r>
          </w:p>
        </w:tc>
        <w:tc>
          <w:tcPr>
            <w:tcW w:w="5528" w:type="dxa"/>
            <w:vAlign w:val="center"/>
          </w:tcPr>
          <w:p w14:paraId="01875656" w14:textId="77777777" w:rsidR="00421838" w:rsidRPr="00C66994" w:rsidRDefault="00421838" w:rsidP="00C66994">
            <w:pPr>
              <w:spacing w:line="240" w:lineRule="auto"/>
            </w:pPr>
            <w:r w:rsidRPr="00C66994">
              <w:t>En el acta de sesión del Comité de Transparencia únicamente puede observarse distintos preceptos normativos que se pretenden encuadrar a la reserva de información, sin embargo del contenido íntegro no se aprecia la motivación que da sustento al riesgo de hacer pública la información solicitada.</w:t>
            </w:r>
          </w:p>
        </w:tc>
      </w:tr>
      <w:tr w:rsidR="00C66994" w:rsidRPr="00C66994" w14:paraId="219ADFDF" w14:textId="77777777" w:rsidTr="00421838">
        <w:tc>
          <w:tcPr>
            <w:tcW w:w="9321" w:type="dxa"/>
            <w:gridSpan w:val="3"/>
            <w:shd w:val="clear" w:color="auto" w:fill="D9D9D9"/>
            <w:vAlign w:val="center"/>
          </w:tcPr>
          <w:p w14:paraId="0727EC24" w14:textId="77777777" w:rsidR="00421838" w:rsidRPr="00C66994" w:rsidRDefault="00421838" w:rsidP="00C66994">
            <w:pPr>
              <w:pBdr>
                <w:top w:val="nil"/>
                <w:left w:val="nil"/>
                <w:bottom w:val="nil"/>
                <w:right w:val="nil"/>
                <w:between w:val="nil"/>
              </w:pBdr>
              <w:spacing w:line="240" w:lineRule="auto"/>
              <w:ind w:left="29" w:firstLine="18"/>
              <w:jc w:val="center"/>
            </w:pPr>
            <w:r w:rsidRPr="00C66994">
              <w:rPr>
                <w:b/>
              </w:rPr>
              <w:t>Prueba de Daño</w:t>
            </w:r>
          </w:p>
        </w:tc>
      </w:tr>
      <w:tr w:rsidR="00C66994" w:rsidRPr="00C66994" w14:paraId="5DEEEB7A" w14:textId="77777777" w:rsidTr="00421838">
        <w:trPr>
          <w:trHeight w:val="2218"/>
        </w:trPr>
        <w:tc>
          <w:tcPr>
            <w:tcW w:w="2517" w:type="dxa"/>
            <w:vAlign w:val="center"/>
          </w:tcPr>
          <w:p w14:paraId="4D8B29BB" w14:textId="77777777" w:rsidR="00421838" w:rsidRPr="00C66994" w:rsidRDefault="00421838" w:rsidP="00C66994">
            <w:pPr>
              <w:spacing w:line="240" w:lineRule="auto"/>
              <w:jc w:val="center"/>
              <w:rPr>
                <w:b/>
              </w:rPr>
            </w:pPr>
            <w:r w:rsidRPr="00C66994">
              <w:rPr>
                <w:b/>
              </w:rPr>
              <w:t>Riesgo Real, Demostrable e Identificable</w:t>
            </w:r>
          </w:p>
          <w:p w14:paraId="6ECCBBDB" w14:textId="77777777" w:rsidR="00421838" w:rsidRPr="00C66994" w:rsidRDefault="00421838" w:rsidP="00C66994">
            <w:pPr>
              <w:spacing w:line="240" w:lineRule="auto"/>
              <w:jc w:val="center"/>
              <w:rPr>
                <w:b/>
              </w:rPr>
            </w:pPr>
            <w:r w:rsidRPr="00C66994">
              <w:rPr>
                <w:b/>
              </w:rPr>
              <w:t>(Modo, Tiempo y Lugar)</w:t>
            </w:r>
          </w:p>
        </w:tc>
        <w:tc>
          <w:tcPr>
            <w:tcW w:w="1276" w:type="dxa"/>
            <w:vAlign w:val="center"/>
          </w:tcPr>
          <w:p w14:paraId="3F4FA0FE" w14:textId="409479BC" w:rsidR="00421838" w:rsidRPr="00C66994" w:rsidRDefault="00134A1E" w:rsidP="00C66994">
            <w:pPr>
              <w:pBdr>
                <w:top w:val="nil"/>
                <w:left w:val="nil"/>
                <w:bottom w:val="nil"/>
                <w:right w:val="nil"/>
                <w:between w:val="nil"/>
              </w:pBdr>
              <w:spacing w:line="240" w:lineRule="auto"/>
              <w:ind w:left="29" w:firstLine="18"/>
              <w:jc w:val="center"/>
              <w:rPr>
                <w:b/>
              </w:rPr>
            </w:pPr>
            <w:r w:rsidRPr="00C66994">
              <w:rPr>
                <w:b/>
              </w:rPr>
              <w:t>No</w:t>
            </w:r>
          </w:p>
        </w:tc>
        <w:tc>
          <w:tcPr>
            <w:tcW w:w="5528" w:type="dxa"/>
            <w:vAlign w:val="center"/>
          </w:tcPr>
          <w:p w14:paraId="6CE0016B" w14:textId="188C5593" w:rsidR="00421838" w:rsidRPr="00C66994" w:rsidRDefault="00134A1E" w:rsidP="00C66994">
            <w:pPr>
              <w:spacing w:line="240" w:lineRule="auto"/>
            </w:pPr>
            <w:r w:rsidRPr="00C66994">
              <w:rPr>
                <w:noProof/>
                <w:lang w:eastAsia="es-MX"/>
              </w:rPr>
              <w:t>Del contenido integro inmerso en el desgloce de la prueba de daño, es posible observar que existe el pronunciamiento sobre el riesgo real, demostrable e identificable, sin embargo no se precisan de</w:t>
            </w:r>
            <w:r w:rsidR="00F27141" w:rsidRPr="00C66994">
              <w:rPr>
                <w:noProof/>
                <w:lang w:eastAsia="es-MX"/>
              </w:rPr>
              <w:t xml:space="preserve"> los argumentos tendientes a llevar a cabo una reserva de información, ya que unicamente los razonamientos presentados estan apegados a lo que establece el marco normativo aplicable.</w:t>
            </w:r>
          </w:p>
          <w:p w14:paraId="68A35B35" w14:textId="77777777" w:rsidR="00421838" w:rsidRPr="00C66994" w:rsidRDefault="00421838" w:rsidP="00C66994">
            <w:pPr>
              <w:spacing w:line="240" w:lineRule="auto"/>
            </w:pPr>
          </w:p>
        </w:tc>
      </w:tr>
      <w:tr w:rsidR="00C66994" w:rsidRPr="00C66994" w14:paraId="7AD731E5" w14:textId="77777777" w:rsidTr="00421838">
        <w:trPr>
          <w:trHeight w:val="1875"/>
        </w:trPr>
        <w:tc>
          <w:tcPr>
            <w:tcW w:w="2517" w:type="dxa"/>
            <w:vAlign w:val="center"/>
          </w:tcPr>
          <w:p w14:paraId="31CC7E63" w14:textId="77777777" w:rsidR="00421838" w:rsidRPr="00C66994" w:rsidRDefault="00421838" w:rsidP="00C66994">
            <w:pPr>
              <w:spacing w:line="240" w:lineRule="auto"/>
              <w:jc w:val="center"/>
              <w:rPr>
                <w:b/>
              </w:rPr>
            </w:pPr>
            <w:r w:rsidRPr="00C66994">
              <w:rPr>
                <w:b/>
              </w:rPr>
              <w:t>Temporalidad de la Reserva de la información.</w:t>
            </w:r>
          </w:p>
        </w:tc>
        <w:tc>
          <w:tcPr>
            <w:tcW w:w="1276" w:type="dxa"/>
            <w:shd w:val="clear" w:color="auto" w:fill="auto"/>
            <w:vAlign w:val="center"/>
          </w:tcPr>
          <w:p w14:paraId="0D19785B" w14:textId="7ABB068B" w:rsidR="00421838" w:rsidRPr="00C66994" w:rsidRDefault="00B413B4" w:rsidP="00C66994">
            <w:pPr>
              <w:pBdr>
                <w:top w:val="nil"/>
                <w:left w:val="nil"/>
                <w:bottom w:val="nil"/>
                <w:right w:val="nil"/>
                <w:between w:val="nil"/>
              </w:pBdr>
              <w:spacing w:line="240" w:lineRule="auto"/>
              <w:ind w:left="29" w:firstLine="18"/>
              <w:jc w:val="center"/>
              <w:rPr>
                <w:b/>
              </w:rPr>
            </w:pPr>
            <w:r w:rsidRPr="00C66994">
              <w:rPr>
                <w:b/>
              </w:rPr>
              <w:t>Si</w:t>
            </w:r>
          </w:p>
        </w:tc>
        <w:tc>
          <w:tcPr>
            <w:tcW w:w="5528" w:type="dxa"/>
            <w:vAlign w:val="center"/>
          </w:tcPr>
          <w:p w14:paraId="252AED1D" w14:textId="76ED9133" w:rsidR="00421838" w:rsidRPr="00C66994" w:rsidRDefault="00B413B4" w:rsidP="00C66994">
            <w:pPr>
              <w:spacing w:line="240" w:lineRule="auto"/>
            </w:pPr>
            <w:r w:rsidRPr="00C66994">
              <w:rPr>
                <w:noProof/>
                <w:lang w:eastAsia="es-MX"/>
              </w:rPr>
              <w:drawing>
                <wp:inline distT="0" distB="0" distL="0" distR="0" wp14:anchorId="12E8533B" wp14:editId="75CDC217">
                  <wp:extent cx="3373120" cy="39497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3120" cy="394970"/>
                          </a:xfrm>
                          <a:prstGeom prst="rect">
                            <a:avLst/>
                          </a:prstGeom>
                        </pic:spPr>
                      </pic:pic>
                    </a:graphicData>
                  </a:graphic>
                </wp:inline>
              </w:drawing>
            </w:r>
          </w:p>
        </w:tc>
      </w:tr>
      <w:tr w:rsidR="00421838" w:rsidRPr="00C66994" w14:paraId="345B4266" w14:textId="77777777" w:rsidTr="00421838">
        <w:trPr>
          <w:trHeight w:val="2867"/>
        </w:trPr>
        <w:tc>
          <w:tcPr>
            <w:tcW w:w="2517" w:type="dxa"/>
            <w:vAlign w:val="center"/>
          </w:tcPr>
          <w:p w14:paraId="2CA21F85" w14:textId="77777777" w:rsidR="00421838" w:rsidRPr="00C66994" w:rsidRDefault="00421838" w:rsidP="00C66994">
            <w:pPr>
              <w:tabs>
                <w:tab w:val="left" w:pos="317"/>
              </w:tabs>
              <w:spacing w:line="240" w:lineRule="auto"/>
              <w:jc w:val="center"/>
              <w:rPr>
                <w:b/>
              </w:rPr>
            </w:pPr>
            <w:r w:rsidRPr="00C66994">
              <w:rPr>
                <w:b/>
              </w:rPr>
              <w:lastRenderedPageBreak/>
              <w:t>Autoridades competentes.</w:t>
            </w:r>
          </w:p>
        </w:tc>
        <w:tc>
          <w:tcPr>
            <w:tcW w:w="1276" w:type="dxa"/>
            <w:vAlign w:val="center"/>
          </w:tcPr>
          <w:p w14:paraId="629FF892" w14:textId="77777777" w:rsidR="00421838" w:rsidRPr="00C66994" w:rsidRDefault="00421838" w:rsidP="00C66994">
            <w:pPr>
              <w:pBdr>
                <w:top w:val="nil"/>
                <w:left w:val="nil"/>
                <w:bottom w:val="nil"/>
                <w:right w:val="nil"/>
                <w:between w:val="nil"/>
              </w:pBdr>
              <w:spacing w:line="240" w:lineRule="auto"/>
              <w:ind w:left="29" w:firstLine="18"/>
              <w:jc w:val="center"/>
              <w:rPr>
                <w:b/>
              </w:rPr>
            </w:pPr>
            <w:r w:rsidRPr="00C66994">
              <w:rPr>
                <w:b/>
              </w:rPr>
              <w:t>Sí</w:t>
            </w:r>
          </w:p>
        </w:tc>
        <w:tc>
          <w:tcPr>
            <w:tcW w:w="5528" w:type="dxa"/>
          </w:tcPr>
          <w:p w14:paraId="5B731254" w14:textId="77777777" w:rsidR="00421838" w:rsidRPr="00C66994" w:rsidRDefault="00F27141" w:rsidP="00C66994">
            <w:pPr>
              <w:spacing w:line="240" w:lineRule="auto"/>
            </w:pPr>
            <w:r w:rsidRPr="00C66994">
              <w:rPr>
                <w:noProof/>
                <w:lang w:eastAsia="es-MX"/>
              </w:rPr>
              <w:drawing>
                <wp:inline distT="0" distB="0" distL="0" distR="0" wp14:anchorId="68C94A29" wp14:editId="0D2EE77B">
                  <wp:extent cx="3373120" cy="176466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73120" cy="1764665"/>
                          </a:xfrm>
                          <a:prstGeom prst="rect">
                            <a:avLst/>
                          </a:prstGeom>
                        </pic:spPr>
                      </pic:pic>
                    </a:graphicData>
                  </a:graphic>
                </wp:inline>
              </w:drawing>
            </w:r>
          </w:p>
          <w:p w14:paraId="2E0FEF47" w14:textId="3F95593B" w:rsidR="00F27141" w:rsidRPr="00C66994" w:rsidRDefault="00F27141" w:rsidP="00C66994">
            <w:pPr>
              <w:spacing w:line="240" w:lineRule="auto"/>
            </w:pPr>
            <w:r w:rsidRPr="00C66994">
              <w:rPr>
                <w:noProof/>
                <w:lang w:eastAsia="es-MX"/>
              </w:rPr>
              <w:drawing>
                <wp:inline distT="0" distB="0" distL="0" distR="0" wp14:anchorId="5F8D0D17" wp14:editId="413C1155">
                  <wp:extent cx="3373120" cy="116649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3120" cy="1166495"/>
                          </a:xfrm>
                          <a:prstGeom prst="rect">
                            <a:avLst/>
                          </a:prstGeom>
                        </pic:spPr>
                      </pic:pic>
                    </a:graphicData>
                  </a:graphic>
                </wp:inline>
              </w:drawing>
            </w:r>
          </w:p>
        </w:tc>
      </w:tr>
    </w:tbl>
    <w:p w14:paraId="2BC6ED0B" w14:textId="77777777" w:rsidR="00421838" w:rsidRPr="00C66994" w:rsidRDefault="00421838" w:rsidP="00C66994">
      <w:pPr>
        <w:ind w:right="-93"/>
        <w:rPr>
          <w:rFonts w:cs="Tahoma"/>
          <w:bCs/>
          <w:szCs w:val="22"/>
        </w:rPr>
      </w:pPr>
    </w:p>
    <w:p w14:paraId="38EE4C26" w14:textId="606FDE99" w:rsidR="00421838" w:rsidRPr="00C66994" w:rsidRDefault="00F27141" w:rsidP="00C66994">
      <w:pPr>
        <w:ind w:right="-93"/>
        <w:rPr>
          <w:rFonts w:eastAsia="Palatino Linotype" w:cs="Palatino Linotype"/>
        </w:rPr>
      </w:pPr>
      <w:r w:rsidRPr="00C66994">
        <w:rPr>
          <w:rFonts w:eastAsia="Palatino Linotype" w:cs="Palatino Linotype"/>
        </w:rPr>
        <w:t xml:space="preserve">De lo anterior, </w:t>
      </w:r>
      <w:r w:rsidRPr="00C66994">
        <w:rPr>
          <w:rFonts w:eastAsia="Palatino Linotype" w:cs="Palatino Linotype"/>
          <w:b/>
        </w:rPr>
        <w:t>EL SUJETO OBLIGADO</w:t>
      </w:r>
      <w:r w:rsidRPr="00C66994">
        <w:rPr>
          <w:rFonts w:eastAsia="Palatino Linotype" w:cs="Palatino Linotype"/>
        </w:rPr>
        <w:t xml:space="preserve">, si bien, a través del acuerdo emitido por su Comité de Transparencia realizó la prueba de daño; </w:t>
      </w:r>
      <w:r w:rsidRPr="00C66994">
        <w:rPr>
          <w:rFonts w:eastAsia="Palatino Linotype" w:cs="Palatino Linotype"/>
          <w:b/>
          <w:u w:val="single"/>
        </w:rPr>
        <w:t>no acreditó cabalmente las razones por las cuales la entrega de la información generaría una afectación a los procedimientos de responsabilidades administrativas que refiere aún no han quedado firmes;</w:t>
      </w:r>
      <w:r w:rsidRPr="00C66994">
        <w:rPr>
          <w:rFonts w:eastAsia="Palatino Linotype" w:cs="Palatino Linotype"/>
          <w:b/>
        </w:rPr>
        <w:t xml:space="preserve"> </w:t>
      </w:r>
      <w:r w:rsidRPr="00C66994">
        <w:rPr>
          <w:rFonts w:eastAsia="Palatino Linotype" w:cs="Palatino Linotype"/>
        </w:rPr>
        <w:t>además que no se encuentra debidamente fundada y motivada.</w:t>
      </w:r>
    </w:p>
    <w:p w14:paraId="3EBB8F5D" w14:textId="77777777" w:rsidR="00F27141" w:rsidRPr="00C66994" w:rsidRDefault="00F27141" w:rsidP="00C66994">
      <w:pPr>
        <w:ind w:right="-93"/>
        <w:rPr>
          <w:rFonts w:eastAsia="Palatino Linotype" w:cs="Palatino Linotype"/>
        </w:rPr>
      </w:pPr>
    </w:p>
    <w:p w14:paraId="1C8911DD" w14:textId="77777777" w:rsidR="002A0421" w:rsidRPr="00C66994" w:rsidRDefault="00F27141" w:rsidP="00C66994">
      <w:pPr>
        <w:ind w:right="-93"/>
        <w:rPr>
          <w:rFonts w:eastAsia="Palatino Linotype" w:cs="Palatino Linotype"/>
        </w:rPr>
      </w:pPr>
      <w:r w:rsidRPr="00C66994">
        <w:rPr>
          <w:rFonts w:eastAsia="Palatino Linotype" w:cs="Palatino Linotype"/>
        </w:rPr>
        <w:t xml:space="preserve">De esta manera, atendiendo que en el caso no se acreditó la reserva de la información requerida por la causal de clasificación invocada por </w:t>
      </w:r>
      <w:r w:rsidRPr="00C66994">
        <w:rPr>
          <w:rFonts w:eastAsia="Palatino Linotype" w:cs="Palatino Linotype"/>
          <w:b/>
        </w:rPr>
        <w:t xml:space="preserve">EL SUJETO OBLIGADO, </w:t>
      </w:r>
      <w:r w:rsidRPr="00C66994">
        <w:rPr>
          <w:rFonts w:eastAsia="Palatino Linotype" w:cs="Palatino Linotype"/>
        </w:rPr>
        <w:t xml:space="preserve">lo procedente es </w:t>
      </w:r>
      <w:r w:rsidRPr="00C66994">
        <w:rPr>
          <w:rFonts w:eastAsia="Palatino Linotype" w:cs="Palatino Linotype"/>
          <w:b/>
        </w:rPr>
        <w:t xml:space="preserve">REVOCAR </w:t>
      </w:r>
      <w:r w:rsidRPr="00C66994">
        <w:rPr>
          <w:rFonts w:eastAsia="Palatino Linotype" w:cs="Palatino Linotype"/>
        </w:rPr>
        <w:t xml:space="preserve">la respuesta y ordenar la entrega, de ser procedente en </w:t>
      </w:r>
      <w:r w:rsidRPr="00C66994">
        <w:rPr>
          <w:rFonts w:eastAsia="Palatino Linotype" w:cs="Palatino Linotype"/>
          <w:b/>
        </w:rPr>
        <w:t>versión pública</w:t>
      </w:r>
      <w:r w:rsidRPr="00C66994">
        <w:rPr>
          <w:rFonts w:eastAsia="Palatino Linotype" w:cs="Palatino Linotype"/>
        </w:rPr>
        <w:t>, de la información solicitada.</w:t>
      </w:r>
    </w:p>
    <w:p w14:paraId="1347AAC0" w14:textId="77777777" w:rsidR="002A0421" w:rsidRPr="00C66994" w:rsidRDefault="002A0421" w:rsidP="00C66994">
      <w:pPr>
        <w:ind w:right="-93"/>
        <w:rPr>
          <w:rFonts w:eastAsia="Palatino Linotype" w:cs="Palatino Linotype"/>
        </w:rPr>
      </w:pPr>
    </w:p>
    <w:p w14:paraId="19F309A3" w14:textId="517F14A4" w:rsidR="002A0421" w:rsidRDefault="002A0421" w:rsidP="00C66994">
      <w:pPr>
        <w:ind w:right="-93"/>
        <w:rPr>
          <w:rFonts w:eastAsia="Palatino Linotype" w:cs="Palatino Linotype"/>
        </w:rPr>
      </w:pPr>
      <w:r w:rsidRPr="00C66994">
        <w:rPr>
          <w:rFonts w:eastAsia="Palatino Linotype" w:cs="Palatino Linotype"/>
        </w:rPr>
        <w:t xml:space="preserve">Sin embargo, no obsta mencionar que cabe la posibilidad de que dentro de la información que se ordena, pudieran encontrarse oficios que contengan información que actualice alguna de las causales de reserva establecidas en el artículo 140 de la Ley de Transparencia y Acceso a la </w:t>
      </w:r>
      <w:r w:rsidRPr="00C66994">
        <w:rPr>
          <w:rFonts w:eastAsia="Palatino Linotype" w:cs="Palatino Linotype"/>
        </w:rPr>
        <w:lastRenderedPageBreak/>
        <w:t>Información Pública del Estado de México y Municipios, concretamente por lo que se refiere a las quejas y denuncias, que de haberse presentado y se encontraran en trámite a la fecha de la solicitud, actualizarían el supuesto establecido en la fracción VI, de precepto legal referido, en cuyo caso se deberá emitir un acuerdo que clasifique con tal carácter el documento, de conformidad con lo previsto en los artículos 49, fracciones II y VIII, 129, 132, 134, 141 y 142, de la misma Ley, así como en los Lineamientos Generales en materia de Clasificación y Desclasificación de la Información, así como para la elaboración de Versiones Públicas, para efectos de clasificar dicha información hasta en tanto no se emita una resolución definitiva, cumpliendo con las formalidades anteriormente analizadas.</w:t>
      </w:r>
    </w:p>
    <w:p w14:paraId="706874D4" w14:textId="77777777" w:rsidR="00C66994" w:rsidRPr="00C66994" w:rsidRDefault="00C66994" w:rsidP="00C66994">
      <w:pPr>
        <w:ind w:right="-93"/>
        <w:rPr>
          <w:rFonts w:eastAsia="Palatino Linotype" w:cs="Palatino Linotype"/>
        </w:rPr>
      </w:pPr>
    </w:p>
    <w:p w14:paraId="1BC56BEA" w14:textId="77777777" w:rsidR="002A0421" w:rsidRPr="00C66994" w:rsidRDefault="002A0421" w:rsidP="00C66994">
      <w:pPr>
        <w:rPr>
          <w:rFonts w:eastAsia="Palatino Linotype" w:cs="Palatino Linotype"/>
        </w:rPr>
      </w:pPr>
      <w:r w:rsidRPr="00C66994">
        <w:rPr>
          <w:rFonts w:eastAsia="Palatino Linotype" w:cs="Palatino Linotype"/>
        </w:rPr>
        <w:t>Lo anterior, siempre y cuando no se relacionen los oficios con los supuestos previstos en el artículo 142 de la Ley de Transparencia Local, a saber:</w:t>
      </w:r>
    </w:p>
    <w:p w14:paraId="7FC99E3C" w14:textId="77777777" w:rsidR="002A0421" w:rsidRPr="00C66994" w:rsidRDefault="002A0421" w:rsidP="00C66994">
      <w:pPr>
        <w:rPr>
          <w:rFonts w:eastAsia="Palatino Linotype" w:cs="Palatino Linotype"/>
        </w:rPr>
      </w:pPr>
    </w:p>
    <w:p w14:paraId="74C866C5" w14:textId="77777777" w:rsidR="002A0421" w:rsidRPr="00C66994" w:rsidRDefault="002A0421" w:rsidP="00C66994">
      <w:pPr>
        <w:pStyle w:val="Puesto"/>
        <w:rPr>
          <w:rFonts w:eastAsia="Palatino Linotype"/>
          <w:b/>
        </w:rPr>
      </w:pPr>
      <w:r w:rsidRPr="00C66994">
        <w:rPr>
          <w:rFonts w:eastAsia="Palatino Linotype"/>
        </w:rPr>
        <w:t>“</w:t>
      </w:r>
      <w:r w:rsidRPr="00C66994">
        <w:rPr>
          <w:rFonts w:eastAsia="Palatino Linotype"/>
          <w:b/>
        </w:rPr>
        <w:t>Artículo 142. Bajo ninguna circunstancia podrá invocarse el carácter de reservado cuando:</w:t>
      </w:r>
    </w:p>
    <w:p w14:paraId="471B80E3" w14:textId="77777777" w:rsidR="002A0421" w:rsidRPr="00C66994" w:rsidRDefault="002A0421" w:rsidP="00C66994">
      <w:pPr>
        <w:pStyle w:val="Puesto"/>
        <w:rPr>
          <w:rFonts w:eastAsia="Palatino Linotype"/>
        </w:rPr>
      </w:pPr>
      <w:r w:rsidRPr="00C66994">
        <w:rPr>
          <w:rFonts w:eastAsia="Palatino Linotype"/>
        </w:rPr>
        <w:t xml:space="preserve">I. </w:t>
      </w:r>
      <w:r w:rsidRPr="00C66994">
        <w:rPr>
          <w:rFonts w:eastAsia="Palatino Linotype"/>
          <w:b/>
        </w:rPr>
        <w:t>Se trate de violaciones graves de derechos humanos</w:t>
      </w:r>
      <w:r w:rsidRPr="00C66994">
        <w:rPr>
          <w:rFonts w:eastAsia="Palatino Linotype"/>
        </w:rPr>
        <w:t>, calificada así por autoridad competente;</w:t>
      </w:r>
    </w:p>
    <w:p w14:paraId="052C5EE8" w14:textId="77777777" w:rsidR="002A0421" w:rsidRPr="00C66994" w:rsidRDefault="002A0421" w:rsidP="00C66994">
      <w:pPr>
        <w:pStyle w:val="Puesto"/>
        <w:rPr>
          <w:rFonts w:eastAsia="Palatino Linotype"/>
        </w:rPr>
      </w:pPr>
      <w:r w:rsidRPr="00C66994">
        <w:rPr>
          <w:rFonts w:eastAsia="Palatino Linotype"/>
          <w:b/>
        </w:rPr>
        <w:t>II.</w:t>
      </w:r>
      <w:r w:rsidRPr="00C66994">
        <w:rPr>
          <w:rFonts w:eastAsia="Palatino Linotype"/>
        </w:rPr>
        <w:t xml:space="preserve"> </w:t>
      </w:r>
      <w:r w:rsidRPr="00C66994">
        <w:rPr>
          <w:rFonts w:eastAsia="Palatino Linotype"/>
          <w:b/>
        </w:rPr>
        <w:t>Se trate de la investigación de posibles violaciones graves de derechos humanos</w:t>
      </w:r>
      <w:r w:rsidRPr="00C66994">
        <w:rPr>
          <w:rFonts w:eastAsia="Palatino Linotype"/>
        </w:rPr>
        <w:t xml:space="preserve"> aun cuando no exista pronunciamiento previo de autoridad competente, cuando se determine, a partir de criterios cuantitativos y cualitativos la trascendencia social de las violaciones;</w:t>
      </w:r>
    </w:p>
    <w:p w14:paraId="1241A6FA" w14:textId="77777777" w:rsidR="002A0421" w:rsidRPr="00C66994" w:rsidRDefault="002A0421" w:rsidP="00C66994">
      <w:pPr>
        <w:pStyle w:val="Puesto"/>
        <w:rPr>
          <w:rFonts w:eastAsia="Palatino Linotype"/>
        </w:rPr>
      </w:pPr>
      <w:r w:rsidRPr="00C66994">
        <w:rPr>
          <w:rFonts w:eastAsia="Palatino Linotype"/>
          <w:b/>
        </w:rPr>
        <w:t>III.</w:t>
      </w:r>
      <w:r w:rsidRPr="00C66994">
        <w:rPr>
          <w:rFonts w:eastAsia="Palatino Linotype"/>
        </w:rPr>
        <w:t xml:space="preserve"> </w:t>
      </w:r>
      <w:r w:rsidRPr="00C66994">
        <w:rPr>
          <w:rFonts w:eastAsia="Palatino Linotype"/>
          <w:b/>
        </w:rPr>
        <w:t>Se trate de delitos de lesa humanidad</w:t>
      </w:r>
      <w:r w:rsidRPr="00C66994">
        <w:rPr>
          <w:rFonts w:eastAsia="Palatino Linotype"/>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7BAF7D3D" w14:textId="77777777" w:rsidR="002A0421" w:rsidRPr="00C66994" w:rsidRDefault="002A0421" w:rsidP="00C66994">
      <w:pPr>
        <w:pStyle w:val="Puesto"/>
        <w:rPr>
          <w:rFonts w:cs="Tahoma"/>
          <w:bCs/>
          <w:szCs w:val="22"/>
        </w:rPr>
      </w:pPr>
      <w:r w:rsidRPr="00C66994">
        <w:rPr>
          <w:rFonts w:eastAsia="Palatino Linotype"/>
          <w:b/>
        </w:rPr>
        <w:t>IV. Se trate de información relacionada con actos de corrupción</w:t>
      </w:r>
      <w:r w:rsidRPr="00C66994">
        <w:rPr>
          <w:rFonts w:eastAsia="Palatino Linotype"/>
        </w:rPr>
        <w:t xml:space="preserve"> de conformidad con las disposiciones jurídicas aplicables.</w:t>
      </w:r>
    </w:p>
    <w:p w14:paraId="166484C0" w14:textId="77777777" w:rsidR="002A0421" w:rsidRPr="00C66994" w:rsidRDefault="002A0421" w:rsidP="00C66994">
      <w:pPr>
        <w:ind w:right="-93"/>
        <w:rPr>
          <w:rFonts w:eastAsia="Palatino Linotype" w:cs="Palatino Linotype"/>
        </w:rPr>
      </w:pPr>
    </w:p>
    <w:p w14:paraId="29456955" w14:textId="77777777" w:rsidR="002A0421" w:rsidRPr="00C66994" w:rsidRDefault="002A0421" w:rsidP="00C66994">
      <w:pPr>
        <w:ind w:right="-93"/>
        <w:rPr>
          <w:rFonts w:cs="Tahoma"/>
          <w:bCs/>
          <w:szCs w:val="22"/>
        </w:rPr>
      </w:pPr>
      <w:r w:rsidRPr="00C66994">
        <w:rPr>
          <w:rFonts w:eastAsia="Palatino Linotype" w:cs="Palatino Linotype"/>
        </w:rPr>
        <w:t>Del artículo en estudio, se aprecia claramente en qué supuestos no se puede invocar el carácter de reservada.</w:t>
      </w:r>
    </w:p>
    <w:p w14:paraId="38F39F19" w14:textId="77777777" w:rsidR="002A0421" w:rsidRPr="00C66994" w:rsidRDefault="002A0421" w:rsidP="00C66994">
      <w:pPr>
        <w:ind w:right="-93"/>
        <w:rPr>
          <w:rFonts w:cs="Tahoma"/>
          <w:bCs/>
          <w:szCs w:val="22"/>
        </w:rPr>
      </w:pPr>
      <w:r w:rsidRPr="00C66994">
        <w:rPr>
          <w:rFonts w:eastAsia="Palatino Linotype" w:cs="Palatino Linotype"/>
        </w:rPr>
        <w:lastRenderedPageBreak/>
        <w:t xml:space="preserve">Por lo que </w:t>
      </w:r>
      <w:r w:rsidRPr="00C66994">
        <w:rPr>
          <w:rFonts w:eastAsia="Palatino Linotype" w:cs="Palatino Linotype"/>
          <w:b/>
        </w:rPr>
        <w:t>EL SUJETO OBLIGADO</w:t>
      </w:r>
      <w:r w:rsidRPr="00C66994">
        <w:rPr>
          <w:rFonts w:eastAsia="Palatino Linotype" w:cs="Palatino Linotype"/>
        </w:rPr>
        <w:t xml:space="preserve"> deberá analizar la información requerida por la parte recurrente y, de ser el caso de que se actualice alguno de los supuestos contemplados en el artículo 142 de la Ley de Transparencia y Acceso a la Información del Estado de México y Municipios, deberá entregar a la parte recurrente</w:t>
      </w:r>
      <w:r w:rsidRPr="00C66994">
        <w:rPr>
          <w:rFonts w:eastAsia="Palatino Linotype" w:cs="Palatino Linotype"/>
          <w:b/>
        </w:rPr>
        <w:t xml:space="preserve"> </w:t>
      </w:r>
      <w:r w:rsidRPr="00C66994">
        <w:rPr>
          <w:rFonts w:eastAsia="Palatino Linotype" w:cs="Palatino Linotype"/>
        </w:rPr>
        <w:t xml:space="preserve">la información en versión pública a efecto de proteger cualquier dato personal sensible de ser clasificado de terceros, si no se pudiera encuadrar tal circunstancia el </w:t>
      </w:r>
      <w:r w:rsidRPr="00C66994">
        <w:rPr>
          <w:rFonts w:eastAsia="Palatino Linotype" w:cs="Palatino Linotype"/>
          <w:b/>
        </w:rPr>
        <w:t xml:space="preserve">Sujeto Obligado </w:t>
      </w:r>
      <w:r w:rsidRPr="00C66994">
        <w:rPr>
          <w:rFonts w:eastAsia="Palatino Linotype" w:cs="Palatino Linotype"/>
        </w:rPr>
        <w:t>deberá fundar y motivar debidamente las razones por las cuales no se le puede entregar la información, esto es emitir el acuerdo de reserva correspondiente.</w:t>
      </w:r>
    </w:p>
    <w:p w14:paraId="36DC233F" w14:textId="77777777" w:rsidR="002A0421" w:rsidRPr="00C66994" w:rsidRDefault="002A0421" w:rsidP="00C66994">
      <w:pPr>
        <w:ind w:right="-93"/>
        <w:rPr>
          <w:rFonts w:eastAsia="Palatino Linotype" w:cs="Palatino Linotype"/>
        </w:rPr>
      </w:pPr>
    </w:p>
    <w:p w14:paraId="6459870B" w14:textId="77777777" w:rsidR="00F27141" w:rsidRPr="00C66994" w:rsidRDefault="00F27141" w:rsidP="00C66994">
      <w:pPr>
        <w:pStyle w:val="Ttulo3"/>
      </w:pPr>
      <w:bookmarkStart w:id="30" w:name="_Toc165402882"/>
      <w:bookmarkStart w:id="31" w:name="_Toc183621270"/>
      <w:r w:rsidRPr="00C66994">
        <w:t>d) Versión pública</w:t>
      </w:r>
      <w:bookmarkEnd w:id="30"/>
      <w:bookmarkEnd w:id="31"/>
    </w:p>
    <w:p w14:paraId="599EA5BC" w14:textId="77777777" w:rsidR="00F27141" w:rsidRPr="00C66994" w:rsidRDefault="00F27141" w:rsidP="00C66994">
      <w:pPr>
        <w:rPr>
          <w:bCs/>
        </w:rPr>
      </w:pPr>
      <w:r w:rsidRPr="00C66994">
        <w:t xml:space="preserve">Para el caso de que el o los documentos de los cuales se ordena su entrega contengan datos personales susceptibles de ser testados, deberán ser entregados en </w:t>
      </w:r>
      <w:r w:rsidRPr="00C66994">
        <w:rPr>
          <w:b/>
        </w:rPr>
        <w:t>versión pública</w:t>
      </w:r>
      <w:r w:rsidRPr="00C66994">
        <w:t>, pues el</w:t>
      </w:r>
      <w:r w:rsidRPr="00C6699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648F6FD" w14:textId="77777777" w:rsidR="00F27141" w:rsidRPr="00C66994" w:rsidRDefault="00F27141" w:rsidP="00C66994">
      <w:pPr>
        <w:rPr>
          <w:rFonts w:eastAsia="Calibri"/>
          <w:bCs/>
          <w:lang w:eastAsia="en-US"/>
        </w:rPr>
      </w:pPr>
    </w:p>
    <w:p w14:paraId="28380BA6" w14:textId="77777777" w:rsidR="00F27141" w:rsidRPr="00C66994" w:rsidRDefault="00F27141" w:rsidP="00C66994">
      <w:pPr>
        <w:rPr>
          <w:bCs/>
        </w:rPr>
      </w:pPr>
      <w:r w:rsidRPr="00C66994">
        <w:rPr>
          <w:bCs/>
        </w:rPr>
        <w:t>A este respecto, los artículos 3, fracciones IX, XX, XXI y XLV; 51 y 52 de la Ley de Transparencia y Acceso a la Información Pública del Estado de México y Municipios establecen:</w:t>
      </w:r>
    </w:p>
    <w:p w14:paraId="09239A94" w14:textId="77777777" w:rsidR="00F27141" w:rsidRDefault="00F27141" w:rsidP="00C66994"/>
    <w:p w14:paraId="18C2FAC2" w14:textId="77777777" w:rsidR="00C66994" w:rsidRPr="00C66994" w:rsidRDefault="00C66994" w:rsidP="00C66994"/>
    <w:p w14:paraId="35EDC6E1" w14:textId="77777777" w:rsidR="00F27141" w:rsidRPr="00C66994" w:rsidRDefault="00F27141" w:rsidP="00C66994">
      <w:pPr>
        <w:pStyle w:val="Puesto"/>
      </w:pPr>
      <w:r w:rsidRPr="00C66994">
        <w:rPr>
          <w:b/>
          <w:bCs/>
          <w:noProof/>
        </w:rPr>
        <w:lastRenderedPageBreak/>
        <w:t>“</w:t>
      </w:r>
      <w:r w:rsidRPr="00C66994">
        <w:rPr>
          <w:b/>
          <w:bCs/>
        </w:rPr>
        <w:t xml:space="preserve">Artículo 3. </w:t>
      </w:r>
      <w:r w:rsidRPr="00C66994">
        <w:t xml:space="preserve">Para los efectos de la presente Ley se entenderá por: </w:t>
      </w:r>
    </w:p>
    <w:p w14:paraId="7DF37888" w14:textId="77777777" w:rsidR="00F27141" w:rsidRPr="00C66994" w:rsidRDefault="00F27141" w:rsidP="00C66994">
      <w:pPr>
        <w:pStyle w:val="Puesto"/>
      </w:pPr>
      <w:r w:rsidRPr="00C66994">
        <w:rPr>
          <w:b/>
        </w:rPr>
        <w:t>IX.</w:t>
      </w:r>
      <w:r w:rsidRPr="00C66994">
        <w:t xml:space="preserve"> </w:t>
      </w:r>
      <w:r w:rsidRPr="00C66994">
        <w:rPr>
          <w:b/>
        </w:rPr>
        <w:t xml:space="preserve">Datos personales: </w:t>
      </w:r>
      <w:r w:rsidRPr="00C66994">
        <w:t xml:space="preserve">La información concerniente a una persona, identificada o identificable según lo dispuesto por la Ley de Protección de Datos Personales del Estado de México; </w:t>
      </w:r>
    </w:p>
    <w:p w14:paraId="0063EE99" w14:textId="77777777" w:rsidR="00F27141" w:rsidRPr="00C66994" w:rsidRDefault="00F27141" w:rsidP="00C66994">
      <w:pPr>
        <w:spacing w:line="240" w:lineRule="auto"/>
      </w:pPr>
    </w:p>
    <w:p w14:paraId="14C51A5C" w14:textId="77777777" w:rsidR="00F27141" w:rsidRPr="00C66994" w:rsidRDefault="00F27141" w:rsidP="00C66994">
      <w:pPr>
        <w:pStyle w:val="Puesto"/>
      </w:pPr>
      <w:r w:rsidRPr="00C66994">
        <w:rPr>
          <w:b/>
        </w:rPr>
        <w:t>XX.</w:t>
      </w:r>
      <w:r w:rsidRPr="00C66994">
        <w:t xml:space="preserve"> </w:t>
      </w:r>
      <w:r w:rsidRPr="00C66994">
        <w:rPr>
          <w:b/>
        </w:rPr>
        <w:t>Información clasificada:</w:t>
      </w:r>
      <w:r w:rsidRPr="00C66994">
        <w:t xml:space="preserve"> Aquella considerada por la presente Ley como reservada o confidencial; </w:t>
      </w:r>
    </w:p>
    <w:p w14:paraId="6890E66E" w14:textId="77777777" w:rsidR="00F27141" w:rsidRPr="00C66994" w:rsidRDefault="00F27141" w:rsidP="00C66994">
      <w:pPr>
        <w:spacing w:line="240" w:lineRule="auto"/>
      </w:pPr>
    </w:p>
    <w:p w14:paraId="19E4FC36" w14:textId="77777777" w:rsidR="00F27141" w:rsidRPr="00C66994" w:rsidRDefault="00F27141" w:rsidP="00C66994">
      <w:pPr>
        <w:pStyle w:val="Puesto"/>
      </w:pPr>
      <w:r w:rsidRPr="00C66994">
        <w:rPr>
          <w:b/>
        </w:rPr>
        <w:t>XXI.</w:t>
      </w:r>
      <w:r w:rsidRPr="00C66994">
        <w:t xml:space="preserve"> </w:t>
      </w:r>
      <w:r w:rsidRPr="00C66994">
        <w:rPr>
          <w:b/>
        </w:rPr>
        <w:t>Información confidencial</w:t>
      </w:r>
      <w:r w:rsidRPr="00C6699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0AC5F0A" w14:textId="77777777" w:rsidR="00F27141" w:rsidRPr="00C66994" w:rsidRDefault="00F27141" w:rsidP="00C66994">
      <w:pPr>
        <w:spacing w:line="240" w:lineRule="auto"/>
      </w:pPr>
    </w:p>
    <w:p w14:paraId="6FC6B7AE" w14:textId="77777777" w:rsidR="00F27141" w:rsidRPr="00C66994" w:rsidRDefault="00F27141" w:rsidP="00C66994">
      <w:pPr>
        <w:pStyle w:val="Puesto"/>
      </w:pPr>
      <w:r w:rsidRPr="00C66994">
        <w:rPr>
          <w:b/>
        </w:rPr>
        <w:t>XLV. Versión pública:</w:t>
      </w:r>
      <w:r w:rsidRPr="00C66994">
        <w:t xml:space="preserve"> Documento en el que se elimine, suprime o borra la información clasificada como reservada o confidencial para permitir su acceso. </w:t>
      </w:r>
    </w:p>
    <w:p w14:paraId="35817F21" w14:textId="77777777" w:rsidR="00F27141" w:rsidRPr="00C66994" w:rsidRDefault="00F27141" w:rsidP="00C66994">
      <w:pPr>
        <w:spacing w:line="240" w:lineRule="auto"/>
      </w:pPr>
    </w:p>
    <w:p w14:paraId="43F6F02D" w14:textId="77777777" w:rsidR="00F27141" w:rsidRPr="00C66994" w:rsidRDefault="00F27141" w:rsidP="00C66994">
      <w:pPr>
        <w:pStyle w:val="Puesto"/>
      </w:pPr>
      <w:r w:rsidRPr="00C66994">
        <w:rPr>
          <w:b/>
        </w:rPr>
        <w:t>Artículo 51.</w:t>
      </w:r>
      <w:r w:rsidRPr="00C66994">
        <w:t xml:space="preserve"> Los sujetos obligados designaran a un responsable para atender la Unidad de Transparencia, quien fungirá como enlace entre éstos y los solicitantes. Dicha Unidad será la encargada de tramitar internamente la solicitud de información </w:t>
      </w:r>
      <w:r w:rsidRPr="00C66994">
        <w:rPr>
          <w:b/>
        </w:rPr>
        <w:t xml:space="preserve">y tendrá la responsabilidad de verificar en cada caso que la misma no sea confidencial o reservada. </w:t>
      </w:r>
      <w:r w:rsidRPr="00C66994">
        <w:t>Dicha Unidad contará con las facultades internas necesarias para gestionar la atención a las solicitudes de información en los términos de la Ley General y la presente Ley.</w:t>
      </w:r>
    </w:p>
    <w:p w14:paraId="7368CA5B" w14:textId="77777777" w:rsidR="00F27141" w:rsidRPr="00C66994" w:rsidRDefault="00F27141" w:rsidP="00C66994">
      <w:pPr>
        <w:spacing w:line="240" w:lineRule="auto"/>
      </w:pPr>
    </w:p>
    <w:p w14:paraId="1628075D" w14:textId="77777777" w:rsidR="00F27141" w:rsidRPr="00C66994" w:rsidRDefault="00F27141" w:rsidP="00C66994">
      <w:pPr>
        <w:pStyle w:val="Puesto"/>
      </w:pPr>
      <w:r w:rsidRPr="00C66994">
        <w:rPr>
          <w:b/>
        </w:rPr>
        <w:t>Artículo 52.</w:t>
      </w:r>
      <w:r w:rsidRPr="00C66994">
        <w:t xml:space="preserve"> Las solicitudes de acceso a la información y las respuestas que se les dé, incluyendo, en su caso, </w:t>
      </w:r>
      <w:r w:rsidRPr="00C66994">
        <w:rPr>
          <w:u w:val="single"/>
        </w:rPr>
        <w:t>la información entregada, así como las resoluciones a los recursos que en su caso se promuevan serán públicas, y de ser el caso que contenga datos personales que deban ser protegidos se podrá dar su acceso en su versión pública</w:t>
      </w:r>
      <w:r w:rsidRPr="00C66994">
        <w:t>, siempre y cuando la resolución de referencia se someta a un proceso de disociación, es decir, no haga identificable al titular de tales datos personales.</w:t>
      </w:r>
      <w:r w:rsidRPr="00C66994">
        <w:rPr>
          <w:bCs/>
          <w:noProof/>
        </w:rPr>
        <w:t xml:space="preserve">” </w:t>
      </w:r>
      <w:r w:rsidRPr="00C66994">
        <w:rPr>
          <w:i w:val="0"/>
          <w:iCs/>
          <w:szCs w:val="22"/>
        </w:rPr>
        <w:t>(Énfasis añadido)</w:t>
      </w:r>
    </w:p>
    <w:p w14:paraId="18AF2978" w14:textId="77777777" w:rsidR="00F27141" w:rsidRPr="00C66994" w:rsidRDefault="00F27141" w:rsidP="00C66994"/>
    <w:p w14:paraId="12D69A4B" w14:textId="77777777" w:rsidR="00F27141" w:rsidRPr="00C66994" w:rsidRDefault="00F27141" w:rsidP="00C66994">
      <w:r w:rsidRPr="00C6699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w:t>
      </w:r>
      <w:r w:rsidRPr="00C66994">
        <w:lastRenderedPageBreak/>
        <w:t xml:space="preserve">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DE9DD7A" w14:textId="77777777" w:rsidR="00F27141" w:rsidRPr="00C66994" w:rsidRDefault="00F27141" w:rsidP="00C66994"/>
    <w:p w14:paraId="1FE26DEF" w14:textId="77777777" w:rsidR="00F27141" w:rsidRPr="00C66994" w:rsidRDefault="00F27141" w:rsidP="00C66994">
      <w:pPr>
        <w:pStyle w:val="Puesto"/>
        <w:rPr>
          <w:rFonts w:eastAsia="Arial Unicode MS"/>
        </w:rPr>
      </w:pPr>
      <w:r w:rsidRPr="00C66994">
        <w:rPr>
          <w:rFonts w:eastAsia="Arial Unicode MS"/>
          <w:b/>
        </w:rPr>
        <w:t>“Artículo 22.</w:t>
      </w:r>
      <w:r w:rsidRPr="00C6699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CA030C8" w14:textId="77777777" w:rsidR="00F27141" w:rsidRPr="00C66994" w:rsidRDefault="00F27141" w:rsidP="00C66994">
      <w:pPr>
        <w:rPr>
          <w:rFonts w:eastAsia="Arial Unicode MS"/>
        </w:rPr>
      </w:pPr>
    </w:p>
    <w:p w14:paraId="387C4305" w14:textId="77777777" w:rsidR="00F27141" w:rsidRPr="00C66994" w:rsidRDefault="00F27141" w:rsidP="00C66994">
      <w:pPr>
        <w:pStyle w:val="Puesto"/>
        <w:rPr>
          <w:rFonts w:eastAsia="Arial Unicode MS"/>
        </w:rPr>
      </w:pPr>
      <w:r w:rsidRPr="00C66994">
        <w:rPr>
          <w:rFonts w:eastAsia="Arial Unicode MS"/>
          <w:b/>
        </w:rPr>
        <w:t>Artículo 38.</w:t>
      </w:r>
      <w:r w:rsidRPr="00C6699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66994">
        <w:rPr>
          <w:rFonts w:eastAsia="Arial Unicode MS"/>
          <w:b/>
        </w:rPr>
        <w:t>”</w:t>
      </w:r>
      <w:r w:rsidRPr="00C66994">
        <w:rPr>
          <w:rFonts w:eastAsia="Arial Unicode MS"/>
        </w:rPr>
        <w:t xml:space="preserve"> </w:t>
      </w:r>
    </w:p>
    <w:p w14:paraId="1223F2E8" w14:textId="77777777" w:rsidR="00F27141" w:rsidRPr="00C66994" w:rsidRDefault="00F27141" w:rsidP="00C66994">
      <w:pPr>
        <w:rPr>
          <w:rFonts w:eastAsia="Arial Unicode MS"/>
          <w:i/>
          <w:szCs w:val="22"/>
        </w:rPr>
      </w:pPr>
    </w:p>
    <w:p w14:paraId="082A6AD4" w14:textId="77777777" w:rsidR="00F27141" w:rsidRPr="00C66994" w:rsidRDefault="00F27141" w:rsidP="00C66994">
      <w:r w:rsidRPr="00C6699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E50F180" w14:textId="77777777" w:rsidR="00F27141" w:rsidRPr="00C66994" w:rsidRDefault="00F27141" w:rsidP="00C66994"/>
    <w:p w14:paraId="624D94F6" w14:textId="77777777" w:rsidR="00F27141" w:rsidRPr="00C66994" w:rsidRDefault="00F27141" w:rsidP="00C66994">
      <w:r w:rsidRPr="00C66994">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66994">
        <w:rPr>
          <w:rFonts w:eastAsia="Arial Unicode MS"/>
        </w:rPr>
        <w:t xml:space="preserve"> que debe ser protegida por </w:t>
      </w:r>
      <w:r w:rsidRPr="00C66994">
        <w:rPr>
          <w:rFonts w:eastAsia="Arial Unicode MS"/>
          <w:b/>
        </w:rPr>
        <w:t>EL SUJETO OBLIGADO,</w:t>
      </w:r>
      <w:r w:rsidRPr="00C66994">
        <w:rPr>
          <w:rFonts w:eastAsia="Arial Unicode MS"/>
        </w:rPr>
        <w:t xml:space="preserve"> por lo </w:t>
      </w:r>
      <w:r w:rsidRPr="00C66994">
        <w:t>que, todo dato personal susceptible de clasificación debe ser protegido.</w:t>
      </w:r>
    </w:p>
    <w:p w14:paraId="4388F7BB" w14:textId="77777777" w:rsidR="00F27141" w:rsidRPr="00C66994" w:rsidRDefault="00F27141" w:rsidP="00C66994">
      <w:r w:rsidRPr="00C66994">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8948D48" w14:textId="77777777" w:rsidR="00F27141" w:rsidRPr="00C66994" w:rsidRDefault="00F27141" w:rsidP="00C66994"/>
    <w:p w14:paraId="75FD06E1" w14:textId="77777777" w:rsidR="00F27141" w:rsidRPr="00C66994" w:rsidRDefault="00F27141" w:rsidP="00C66994">
      <w:r w:rsidRPr="00C6699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6FDCC2B" w14:textId="77777777" w:rsidR="00F27141" w:rsidRPr="00C66994" w:rsidRDefault="00F27141" w:rsidP="00C66994"/>
    <w:p w14:paraId="518E4CC9" w14:textId="77777777" w:rsidR="00F27141" w:rsidRPr="00C66994" w:rsidRDefault="00F27141" w:rsidP="00C66994">
      <w:pPr>
        <w:spacing w:line="240" w:lineRule="auto"/>
        <w:ind w:left="851" w:right="822"/>
        <w:jc w:val="center"/>
        <w:rPr>
          <w:b/>
          <w:i/>
          <w:szCs w:val="22"/>
        </w:rPr>
      </w:pPr>
      <w:r w:rsidRPr="00C66994">
        <w:rPr>
          <w:b/>
          <w:i/>
          <w:szCs w:val="22"/>
          <w:lang w:val="es-ES_tradnl"/>
        </w:rPr>
        <w:t>Ley de Transparencia y Acceso a la Información Pública del Estado de México y Municipios</w:t>
      </w:r>
    </w:p>
    <w:p w14:paraId="5B249994" w14:textId="77777777" w:rsidR="00F27141" w:rsidRPr="00C66994" w:rsidRDefault="00F27141" w:rsidP="00C66994">
      <w:pPr>
        <w:spacing w:line="240" w:lineRule="auto"/>
        <w:ind w:left="851" w:right="822"/>
      </w:pPr>
    </w:p>
    <w:p w14:paraId="2624A573" w14:textId="77777777" w:rsidR="00F27141" w:rsidRPr="00C66994" w:rsidRDefault="00F27141" w:rsidP="00C66994">
      <w:pPr>
        <w:pStyle w:val="Puesto"/>
        <w:ind w:left="851" w:right="822"/>
      </w:pPr>
      <w:r w:rsidRPr="00C66994">
        <w:rPr>
          <w:b/>
        </w:rPr>
        <w:t xml:space="preserve">“Artículo 49. </w:t>
      </w:r>
      <w:r w:rsidRPr="00C66994">
        <w:t>Los Comités de Transparencia tendrán las siguientes atribuciones:</w:t>
      </w:r>
    </w:p>
    <w:p w14:paraId="66EBE8B8" w14:textId="77777777" w:rsidR="00F27141" w:rsidRPr="00C66994" w:rsidRDefault="00F27141" w:rsidP="00C66994">
      <w:pPr>
        <w:pStyle w:val="Puesto"/>
        <w:ind w:left="851" w:right="822"/>
      </w:pPr>
      <w:r w:rsidRPr="00C66994">
        <w:rPr>
          <w:b/>
        </w:rPr>
        <w:t>VIII.</w:t>
      </w:r>
      <w:r w:rsidRPr="00C66994">
        <w:t xml:space="preserve"> Aprobar, modificar o revocar la clasificación de la información;</w:t>
      </w:r>
    </w:p>
    <w:p w14:paraId="034BC0AD" w14:textId="77777777" w:rsidR="00F27141" w:rsidRPr="00C66994" w:rsidRDefault="00F27141" w:rsidP="00C66994">
      <w:pPr>
        <w:spacing w:line="240" w:lineRule="auto"/>
        <w:ind w:left="851" w:right="822"/>
      </w:pPr>
    </w:p>
    <w:p w14:paraId="0C2B5A8F" w14:textId="77777777" w:rsidR="00F27141" w:rsidRPr="00C66994" w:rsidRDefault="00F27141" w:rsidP="00C66994">
      <w:pPr>
        <w:pStyle w:val="Puesto"/>
        <w:ind w:left="851" w:right="822"/>
      </w:pPr>
      <w:r w:rsidRPr="00C66994">
        <w:rPr>
          <w:b/>
        </w:rPr>
        <w:t>Artículo 132.</w:t>
      </w:r>
      <w:r w:rsidRPr="00C66994">
        <w:t xml:space="preserve"> La clasificación de la información se llevará a cabo en el momento en que:</w:t>
      </w:r>
    </w:p>
    <w:p w14:paraId="763DCBC8" w14:textId="77777777" w:rsidR="00F27141" w:rsidRPr="00C66994" w:rsidRDefault="00F27141" w:rsidP="00C66994">
      <w:pPr>
        <w:pStyle w:val="Puesto"/>
        <w:ind w:left="851" w:right="822"/>
      </w:pPr>
      <w:r w:rsidRPr="00C66994">
        <w:rPr>
          <w:b/>
        </w:rPr>
        <w:t>I.</w:t>
      </w:r>
      <w:r w:rsidRPr="00C66994">
        <w:t xml:space="preserve"> Se reciba una solicitud de acceso a la información;</w:t>
      </w:r>
    </w:p>
    <w:p w14:paraId="3BBFB274" w14:textId="77777777" w:rsidR="00F27141" w:rsidRPr="00C66994" w:rsidRDefault="00F27141" w:rsidP="00C66994">
      <w:pPr>
        <w:pStyle w:val="Puesto"/>
        <w:ind w:left="851" w:right="822"/>
      </w:pPr>
      <w:r w:rsidRPr="00C66994">
        <w:rPr>
          <w:b/>
        </w:rPr>
        <w:t>II.</w:t>
      </w:r>
      <w:r w:rsidRPr="00C66994">
        <w:t xml:space="preserve"> Se determine mediante resolución de autoridad competente; o</w:t>
      </w:r>
    </w:p>
    <w:p w14:paraId="442DF1F8" w14:textId="77777777" w:rsidR="00F27141" w:rsidRPr="00C66994" w:rsidRDefault="00F27141" w:rsidP="00C66994">
      <w:pPr>
        <w:pStyle w:val="Puesto"/>
        <w:ind w:left="851" w:right="822"/>
        <w:rPr>
          <w:b/>
        </w:rPr>
      </w:pPr>
      <w:r w:rsidRPr="00C66994">
        <w:rPr>
          <w:b/>
          <w:bCs/>
        </w:rPr>
        <w:t>III.</w:t>
      </w:r>
      <w:r w:rsidRPr="00C66994">
        <w:t xml:space="preserve"> Se generen versiones públicas para dar cumplimiento a las obligaciones de transparencia previstas en esta Ley.</w:t>
      </w:r>
      <w:r w:rsidRPr="00C66994">
        <w:rPr>
          <w:b/>
        </w:rPr>
        <w:t>”</w:t>
      </w:r>
    </w:p>
    <w:p w14:paraId="31A88B2A" w14:textId="77777777" w:rsidR="00F27141" w:rsidRPr="00C66994" w:rsidRDefault="00F27141" w:rsidP="00C66994">
      <w:pPr>
        <w:spacing w:line="240" w:lineRule="auto"/>
        <w:ind w:left="851" w:right="822"/>
      </w:pPr>
    </w:p>
    <w:p w14:paraId="29EF9C75" w14:textId="77777777" w:rsidR="00F27141" w:rsidRPr="00C66994" w:rsidRDefault="00F27141" w:rsidP="00C66994">
      <w:pPr>
        <w:pStyle w:val="Puesto"/>
        <w:ind w:left="851" w:right="822"/>
      </w:pPr>
      <w:r w:rsidRPr="00C66994">
        <w:rPr>
          <w:b/>
        </w:rPr>
        <w:t>“Segundo. -</w:t>
      </w:r>
      <w:r w:rsidRPr="00C66994">
        <w:t xml:space="preserve"> Para efectos de los presentes Lineamientos Generales, se entenderá por:</w:t>
      </w:r>
    </w:p>
    <w:p w14:paraId="6851F1F1" w14:textId="77777777" w:rsidR="00F27141" w:rsidRPr="00C66994" w:rsidRDefault="00F27141" w:rsidP="00C66994">
      <w:pPr>
        <w:pStyle w:val="Puesto"/>
        <w:ind w:left="851" w:right="822"/>
      </w:pPr>
      <w:r w:rsidRPr="00C66994">
        <w:rPr>
          <w:b/>
        </w:rPr>
        <w:t>XVIII.</w:t>
      </w:r>
      <w:r w:rsidRPr="00C66994">
        <w:t xml:space="preserve">  </w:t>
      </w:r>
      <w:r w:rsidRPr="00C66994">
        <w:rPr>
          <w:b/>
        </w:rPr>
        <w:t>Versión pública:</w:t>
      </w:r>
      <w:r w:rsidRPr="00C66994">
        <w:t xml:space="preserve"> El documento a partir del que se otorga acceso a la información, en el que se testan partes o secciones clasificadas, indicando el contenido </w:t>
      </w:r>
      <w:r w:rsidRPr="00C66994">
        <w:lastRenderedPageBreak/>
        <w:t>de éstas de manera genérica, fundando y motivando la reserva o confidencialidad, a través de la resolución que para tal efecto emita el Comité de Transparencia.</w:t>
      </w:r>
    </w:p>
    <w:p w14:paraId="2ABBA8A8" w14:textId="77777777" w:rsidR="00F27141" w:rsidRPr="00C66994" w:rsidRDefault="00F27141" w:rsidP="00C66994">
      <w:pPr>
        <w:pStyle w:val="Puesto"/>
        <w:ind w:left="851" w:right="822"/>
      </w:pPr>
    </w:p>
    <w:p w14:paraId="7C420367" w14:textId="77777777" w:rsidR="00F27141" w:rsidRPr="00C66994" w:rsidRDefault="00F27141" w:rsidP="00C66994">
      <w:pPr>
        <w:pStyle w:val="Puesto"/>
        <w:ind w:left="851" w:right="822"/>
        <w:rPr>
          <w:b/>
          <w:lang w:val="es-ES_tradnl" w:eastAsia="es-MX"/>
        </w:rPr>
      </w:pPr>
      <w:r w:rsidRPr="00C66994">
        <w:rPr>
          <w:b/>
          <w:lang w:val="es-ES_tradnl" w:eastAsia="es-MX"/>
        </w:rPr>
        <w:t xml:space="preserve">Lineamientos Generales en materia de Clasificación y Desclasificación de la </w:t>
      </w:r>
      <w:r w:rsidRPr="00C66994">
        <w:rPr>
          <w:b/>
          <w:lang w:val="es-ES_tradnl"/>
        </w:rPr>
        <w:t>Información</w:t>
      </w:r>
    </w:p>
    <w:p w14:paraId="0B898679" w14:textId="77777777" w:rsidR="00F27141" w:rsidRPr="00C66994" w:rsidRDefault="00F27141" w:rsidP="00C66994">
      <w:pPr>
        <w:pStyle w:val="Puesto"/>
        <w:ind w:left="851" w:right="822"/>
      </w:pPr>
    </w:p>
    <w:p w14:paraId="35F893C5" w14:textId="77777777" w:rsidR="00F27141" w:rsidRPr="00C66994" w:rsidRDefault="00F27141" w:rsidP="00C66994">
      <w:pPr>
        <w:pStyle w:val="Puesto"/>
        <w:ind w:left="851" w:right="822"/>
      </w:pPr>
      <w:r w:rsidRPr="00C66994">
        <w:rPr>
          <w:b/>
        </w:rPr>
        <w:t>Cuarto.</w:t>
      </w:r>
      <w:r w:rsidRPr="00C6699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C49AECE" w14:textId="77777777" w:rsidR="00F27141" w:rsidRPr="00C66994" w:rsidRDefault="00F27141" w:rsidP="00C66994">
      <w:pPr>
        <w:pStyle w:val="Puesto"/>
        <w:ind w:left="851" w:right="822"/>
      </w:pPr>
      <w:r w:rsidRPr="00C66994">
        <w:t>Los sujetos obligados deberán aplicar, de manera estricta, las excepciones al derecho de acceso a la información y sólo podrán invocarlas cuando acrediten su procedencia.</w:t>
      </w:r>
    </w:p>
    <w:p w14:paraId="51C3DE31" w14:textId="77777777" w:rsidR="00F27141" w:rsidRPr="00C66994" w:rsidRDefault="00F27141" w:rsidP="00C66994">
      <w:pPr>
        <w:spacing w:line="240" w:lineRule="auto"/>
        <w:ind w:left="851" w:right="822"/>
      </w:pPr>
    </w:p>
    <w:p w14:paraId="622FD0F8" w14:textId="77777777" w:rsidR="00F27141" w:rsidRPr="00C66994" w:rsidRDefault="00F27141" w:rsidP="00C66994">
      <w:pPr>
        <w:pStyle w:val="Puesto"/>
        <w:ind w:left="851" w:right="822"/>
      </w:pPr>
      <w:r w:rsidRPr="00C66994">
        <w:rPr>
          <w:b/>
        </w:rPr>
        <w:t>Quinto.</w:t>
      </w:r>
      <w:r w:rsidRPr="00C6699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F70ABC2" w14:textId="77777777" w:rsidR="00F27141" w:rsidRPr="00C66994" w:rsidRDefault="00F27141" w:rsidP="00C66994">
      <w:pPr>
        <w:spacing w:line="240" w:lineRule="auto"/>
        <w:ind w:left="851" w:right="822"/>
      </w:pPr>
    </w:p>
    <w:p w14:paraId="007A2060" w14:textId="77777777" w:rsidR="00F27141" w:rsidRPr="00C66994" w:rsidRDefault="00F27141" w:rsidP="00C66994">
      <w:pPr>
        <w:pStyle w:val="Puesto"/>
        <w:ind w:left="851" w:right="822"/>
      </w:pPr>
      <w:r w:rsidRPr="00C66994">
        <w:rPr>
          <w:b/>
        </w:rPr>
        <w:t>Sexto.</w:t>
      </w:r>
      <w:r w:rsidRPr="00C66994">
        <w:t xml:space="preserve"> Se deroga.</w:t>
      </w:r>
    </w:p>
    <w:p w14:paraId="6838AFC1" w14:textId="77777777" w:rsidR="00F27141" w:rsidRPr="00C66994" w:rsidRDefault="00F27141" w:rsidP="00C66994">
      <w:pPr>
        <w:spacing w:line="240" w:lineRule="auto"/>
        <w:ind w:left="851" w:right="822"/>
      </w:pPr>
    </w:p>
    <w:p w14:paraId="61BB77BF" w14:textId="77777777" w:rsidR="00F27141" w:rsidRPr="00C66994" w:rsidRDefault="00F27141" w:rsidP="00C66994">
      <w:pPr>
        <w:pStyle w:val="Puesto"/>
        <w:ind w:left="851" w:right="822"/>
      </w:pPr>
      <w:r w:rsidRPr="00C66994">
        <w:rPr>
          <w:b/>
        </w:rPr>
        <w:t>Séptimo.</w:t>
      </w:r>
      <w:r w:rsidRPr="00C66994">
        <w:t xml:space="preserve"> La clasificación de la información se llevará a cabo en el momento en que:</w:t>
      </w:r>
    </w:p>
    <w:p w14:paraId="6FEDD09F" w14:textId="77777777" w:rsidR="00F27141" w:rsidRPr="00C66994" w:rsidRDefault="00F27141" w:rsidP="00C66994">
      <w:pPr>
        <w:pStyle w:val="Puesto"/>
        <w:ind w:left="851" w:right="822"/>
      </w:pPr>
      <w:r w:rsidRPr="00C66994">
        <w:rPr>
          <w:b/>
        </w:rPr>
        <w:t>I.</w:t>
      </w:r>
      <w:r w:rsidRPr="00C66994">
        <w:t xml:space="preserve">        Se reciba una solicitud de acceso a la información;</w:t>
      </w:r>
    </w:p>
    <w:p w14:paraId="116955BB" w14:textId="77777777" w:rsidR="00F27141" w:rsidRPr="00C66994" w:rsidRDefault="00F27141" w:rsidP="00C66994">
      <w:pPr>
        <w:pStyle w:val="Puesto"/>
        <w:ind w:left="851" w:right="822"/>
      </w:pPr>
      <w:r w:rsidRPr="00C66994">
        <w:rPr>
          <w:b/>
        </w:rPr>
        <w:t>II.</w:t>
      </w:r>
      <w:r w:rsidRPr="00C66994">
        <w:t xml:space="preserve">       Se determine mediante resolución del Comité de Transparencia, el órgano garante competente, o en cumplimiento a una sentencia del Poder Judicial; o</w:t>
      </w:r>
    </w:p>
    <w:p w14:paraId="110AA50D" w14:textId="77777777" w:rsidR="00F27141" w:rsidRPr="00C66994" w:rsidRDefault="00F27141" w:rsidP="00C66994">
      <w:pPr>
        <w:pStyle w:val="Puesto"/>
        <w:ind w:left="851" w:right="822"/>
      </w:pPr>
      <w:r w:rsidRPr="00C66994">
        <w:rPr>
          <w:b/>
        </w:rPr>
        <w:t>III.</w:t>
      </w:r>
      <w:r w:rsidRPr="00C66994">
        <w:t xml:space="preserve">      Se generen versiones públicas para dar cumplimiento a las obligaciones de transparencia previstas en la Ley General, la Ley Federal y las correspondientes de las entidades federativas.</w:t>
      </w:r>
    </w:p>
    <w:p w14:paraId="606AAD73" w14:textId="77777777" w:rsidR="00F27141" w:rsidRPr="00C66994" w:rsidRDefault="00F27141" w:rsidP="00C66994">
      <w:pPr>
        <w:pStyle w:val="Puesto"/>
        <w:ind w:left="851" w:right="822"/>
      </w:pPr>
      <w:r w:rsidRPr="00C66994">
        <w:t xml:space="preserve">Los titulares de las áreas deberán revisar la información requerida al momento de la recepción de una solicitud de acceso, para verificar, conforme a su naturaleza, si encuadra en una causal de reserva o de confidencialidad. </w:t>
      </w:r>
    </w:p>
    <w:p w14:paraId="778D0AC9" w14:textId="77777777" w:rsidR="00F27141" w:rsidRPr="00C66994" w:rsidRDefault="00F27141" w:rsidP="00C66994">
      <w:pPr>
        <w:spacing w:line="240" w:lineRule="auto"/>
        <w:ind w:left="851" w:right="822"/>
      </w:pPr>
    </w:p>
    <w:p w14:paraId="78E3C471" w14:textId="77777777" w:rsidR="00F27141" w:rsidRPr="00C66994" w:rsidRDefault="00F27141" w:rsidP="00C66994">
      <w:pPr>
        <w:pStyle w:val="Puesto"/>
        <w:ind w:left="851" w:right="822"/>
      </w:pPr>
      <w:r w:rsidRPr="00C66994">
        <w:rPr>
          <w:b/>
        </w:rPr>
        <w:lastRenderedPageBreak/>
        <w:t>Octavo.</w:t>
      </w:r>
      <w:r w:rsidRPr="00C6699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F413F7" w14:textId="77777777" w:rsidR="00F27141" w:rsidRPr="00C66994" w:rsidRDefault="00F27141" w:rsidP="00C66994">
      <w:pPr>
        <w:pStyle w:val="Puesto"/>
        <w:ind w:left="851" w:right="822"/>
      </w:pPr>
      <w:r w:rsidRPr="00C66994">
        <w:t>Para motivar la clasificación se deberán señalar las razones o circunstancias especiales que lo llevaron a concluir que el caso particular se ajusta al supuesto previsto por la norma legal invocada como fundamento.</w:t>
      </w:r>
    </w:p>
    <w:p w14:paraId="32AEE0BE" w14:textId="77777777" w:rsidR="00F27141" w:rsidRPr="00C66994" w:rsidRDefault="00F27141" w:rsidP="00C66994">
      <w:pPr>
        <w:pStyle w:val="Puesto"/>
        <w:ind w:left="851" w:right="822"/>
      </w:pPr>
      <w:r w:rsidRPr="00C6699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9F0B615" w14:textId="77777777" w:rsidR="00F27141" w:rsidRPr="00C66994" w:rsidRDefault="00F27141" w:rsidP="00C66994">
      <w:pPr>
        <w:spacing w:line="240" w:lineRule="auto"/>
        <w:ind w:left="851" w:right="822"/>
      </w:pPr>
    </w:p>
    <w:p w14:paraId="22863466" w14:textId="77777777" w:rsidR="00F27141" w:rsidRPr="00C66994" w:rsidRDefault="00F27141" w:rsidP="00C66994">
      <w:pPr>
        <w:pStyle w:val="Puesto"/>
        <w:ind w:left="851" w:right="822"/>
      </w:pPr>
      <w:r w:rsidRPr="00C66994">
        <w:rPr>
          <w:b/>
        </w:rPr>
        <w:t>Noveno.</w:t>
      </w:r>
      <w:r w:rsidRPr="00C6699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194EEC5" w14:textId="77777777" w:rsidR="00F27141" w:rsidRPr="00C66994" w:rsidRDefault="00F27141" w:rsidP="00C66994">
      <w:pPr>
        <w:spacing w:line="240" w:lineRule="auto"/>
        <w:ind w:left="851" w:right="822"/>
      </w:pPr>
    </w:p>
    <w:p w14:paraId="1998BA82" w14:textId="77777777" w:rsidR="00F27141" w:rsidRPr="00C66994" w:rsidRDefault="00F27141" w:rsidP="00C66994">
      <w:pPr>
        <w:pStyle w:val="Puesto"/>
        <w:ind w:left="851" w:right="822"/>
      </w:pPr>
      <w:r w:rsidRPr="00C66994">
        <w:rPr>
          <w:b/>
        </w:rPr>
        <w:t>Décimo.</w:t>
      </w:r>
      <w:r w:rsidRPr="00C6699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337D6E2" w14:textId="77777777" w:rsidR="00F27141" w:rsidRPr="00C66994" w:rsidRDefault="00F27141" w:rsidP="00C66994">
      <w:pPr>
        <w:pStyle w:val="Puesto"/>
        <w:ind w:left="851" w:right="822"/>
      </w:pPr>
      <w:r w:rsidRPr="00C66994">
        <w:t>En ausencia de los titulares de las áreas, la información será clasificada o desclasificada por la persona que lo supla, en términos de la normativa que rija la actuación del sujeto obligado.</w:t>
      </w:r>
    </w:p>
    <w:p w14:paraId="603B64C8" w14:textId="77777777" w:rsidR="00F27141" w:rsidRPr="00C66994" w:rsidRDefault="00F27141" w:rsidP="00C66994">
      <w:pPr>
        <w:pStyle w:val="Puesto"/>
        <w:ind w:left="851" w:right="822"/>
        <w:rPr>
          <w:b/>
        </w:rPr>
      </w:pPr>
      <w:r w:rsidRPr="00C66994">
        <w:rPr>
          <w:b/>
        </w:rPr>
        <w:t>Décimo primero.</w:t>
      </w:r>
      <w:r w:rsidRPr="00C6699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66994">
        <w:rPr>
          <w:b/>
        </w:rPr>
        <w:t>”</w:t>
      </w:r>
    </w:p>
    <w:p w14:paraId="61962DD6" w14:textId="77777777" w:rsidR="00F27141" w:rsidRPr="00C66994" w:rsidRDefault="00F27141" w:rsidP="00C66994"/>
    <w:p w14:paraId="6C6BEA9E" w14:textId="5ACCC26E" w:rsidR="003E5692" w:rsidRPr="00C66994" w:rsidRDefault="00F27141" w:rsidP="00C66994">
      <w:pPr>
        <w:ind w:right="-93"/>
        <w:rPr>
          <w:lang w:eastAsia="es-CO"/>
        </w:rPr>
      </w:pPr>
      <w:r w:rsidRPr="00C66994">
        <w:t xml:space="preserve">Consecuentemente, se destaca que la versión pública que elabore </w:t>
      </w:r>
      <w:r w:rsidRPr="00C66994">
        <w:rPr>
          <w:b/>
        </w:rPr>
        <w:t>EL SUJETO OBLIGADO</w:t>
      </w:r>
      <w:r w:rsidRPr="00C66994">
        <w:t xml:space="preserve"> debe cumplir con las formalidades exigidas en la Ley, por lo que para tal efecto emitirá el </w:t>
      </w:r>
      <w:r w:rsidRPr="00C66994">
        <w:rPr>
          <w:b/>
        </w:rPr>
        <w:t>Acuerdo del Comité de Transparencia</w:t>
      </w:r>
      <w:r w:rsidRPr="00C66994">
        <w:t xml:space="preserve"> en términos de los artículos 122 y 124 de la Ley de Transparencia y Acceso a la Información Pública del Estado de México y Municipios, con el </w:t>
      </w:r>
      <w:r w:rsidRPr="00C66994">
        <w:lastRenderedPageBreak/>
        <w:t>cual sustentará la clasificación de datos y con ello la "versión pública" de los documentos materia de la solicitud</w:t>
      </w:r>
      <w:r w:rsidRPr="00C66994">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404D47A" w14:textId="77777777" w:rsidR="002A0421" w:rsidRPr="00C66994" w:rsidRDefault="002A0421" w:rsidP="00C66994">
      <w:pPr>
        <w:ind w:right="-93"/>
        <w:rPr>
          <w:lang w:eastAsia="es-CO"/>
        </w:rPr>
      </w:pPr>
    </w:p>
    <w:p w14:paraId="623BF556" w14:textId="3F206F1F" w:rsidR="002A0421" w:rsidRPr="00C66994" w:rsidRDefault="002A0421" w:rsidP="00C66994">
      <w:pPr>
        <w:ind w:right="-93"/>
        <w:rPr>
          <w:rFonts w:cs="Arial"/>
        </w:rPr>
      </w:pPr>
      <w:r w:rsidRPr="00C66994">
        <w:rPr>
          <w:lang w:eastAsia="es-CO"/>
        </w:rPr>
        <w:t xml:space="preserve">Ahora bien, no se omite comentar que para el caso de que algún o algunos oficios sean parte de un procedimiento o </w:t>
      </w:r>
      <w:r w:rsidRPr="00C66994">
        <w:rPr>
          <w:rFonts w:cs="Arial"/>
        </w:rPr>
        <w:t>encuadre en alguno de los supuestos de reserva que enmarca la Ley de Transparencia y Acceso a la Información Pública del Estado de México y Municipios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313FDF0D" w14:textId="77777777" w:rsidR="002A0421" w:rsidRPr="00C66994" w:rsidRDefault="002A0421" w:rsidP="00C66994">
      <w:pPr>
        <w:autoSpaceDE w:val="0"/>
        <w:autoSpaceDN w:val="0"/>
        <w:adjustRightInd w:val="0"/>
        <w:rPr>
          <w:rFonts w:cs="Arial"/>
        </w:rPr>
      </w:pPr>
    </w:p>
    <w:p w14:paraId="7A5CC465" w14:textId="77777777" w:rsidR="002A0421" w:rsidRPr="00C66994" w:rsidRDefault="002A0421" w:rsidP="00C66994">
      <w:pPr>
        <w:rPr>
          <w:rFonts w:cs="Arial"/>
        </w:rPr>
      </w:pPr>
      <w:r w:rsidRPr="00C66994">
        <w:rPr>
          <w:rFonts w:cs="Arial"/>
        </w:rPr>
        <w:t xml:space="preserve">Lo anterior, sin perder de vista que la Constitución Política de los Estados Unidos Mexicanos le otorga a </w:t>
      </w:r>
      <w:r w:rsidRPr="00C66994">
        <w:rPr>
          <w:rFonts w:cs="Arial"/>
          <w:b/>
        </w:rPr>
        <w:t>todos los documentos</w:t>
      </w:r>
      <w:r w:rsidRPr="00C66994">
        <w:rPr>
          <w:rFonts w:cs="Arial"/>
        </w:rPr>
        <w:t xml:space="preserve"> en posesión de las autoridades </w:t>
      </w:r>
      <w:r w:rsidRPr="00C66994">
        <w:rPr>
          <w:rFonts w:cs="Arial"/>
          <w:b/>
        </w:rPr>
        <w:t>la calidad de públicos</w:t>
      </w:r>
      <w:r w:rsidRPr="00C66994">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w:t>
      </w:r>
      <w:r w:rsidRPr="00C66994">
        <w:rPr>
          <w:rFonts w:cs="Arial"/>
        </w:rPr>
        <w:lastRenderedPageBreak/>
        <w:t>que se ponen en riesgo al liberarse la información, señalando un plazo justificado para la reserva de la información.</w:t>
      </w:r>
    </w:p>
    <w:p w14:paraId="53E74C41" w14:textId="77777777" w:rsidR="002A0421" w:rsidRPr="00C66994" w:rsidRDefault="002A0421" w:rsidP="00C66994">
      <w:pPr>
        <w:rPr>
          <w:rFonts w:cs="Arial"/>
        </w:rPr>
      </w:pPr>
    </w:p>
    <w:p w14:paraId="6B65334D" w14:textId="77777777" w:rsidR="002A0421" w:rsidRPr="00C66994" w:rsidRDefault="002A0421" w:rsidP="00C66994">
      <w:r w:rsidRPr="00C66994">
        <w:t xml:space="preserve">Siendo pertinente aclarar que, la información que se clasifica bajo la premisa de reservada, </w:t>
      </w:r>
      <w:r w:rsidRPr="00C66994">
        <w:rPr>
          <w:b/>
        </w:rPr>
        <w:t>no pierde el carácter de pública</w:t>
      </w:r>
      <w:r w:rsidRPr="00C66994">
        <w:t xml:space="preserve">, sino que </w:t>
      </w:r>
      <w:r w:rsidRPr="00C66994">
        <w:rPr>
          <w:b/>
        </w:rPr>
        <w:t>se reserva temporalmente</w:t>
      </w:r>
      <w:r w:rsidRPr="00C66994">
        <w:t xml:space="preserve"> </w:t>
      </w:r>
      <w:r w:rsidRPr="00C66994">
        <w:rPr>
          <w:b/>
        </w:rPr>
        <w:t>del conocimiento público</w:t>
      </w:r>
      <w:r w:rsidRPr="00C66994">
        <w:t xml:space="preserve">, es decir, que, </w:t>
      </w:r>
      <w:r w:rsidRPr="00C66994">
        <w:rPr>
          <w:b/>
        </w:rPr>
        <w:t>por un tiempo determinado</w:t>
      </w:r>
      <w:r w:rsidRPr="00C66994">
        <w:t>, se conservará y custodiará la información de manera especial, y una vez transcurrido el plazo de reserva, el documento podrá divulgarse.</w:t>
      </w:r>
    </w:p>
    <w:p w14:paraId="246DFB13" w14:textId="77777777" w:rsidR="002A0421" w:rsidRPr="00C66994" w:rsidRDefault="002A0421" w:rsidP="00C66994"/>
    <w:p w14:paraId="2A45C32C" w14:textId="77777777" w:rsidR="002A0421" w:rsidRPr="00C66994" w:rsidRDefault="002A0421" w:rsidP="00C66994">
      <w:pPr>
        <w:rPr>
          <w:rFonts w:eastAsia="Calibri" w:cs="Arial"/>
        </w:rPr>
      </w:pPr>
      <w:r w:rsidRPr="00C66994">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15D3C76" w14:textId="77777777" w:rsidR="002A0421" w:rsidRPr="00C66994" w:rsidRDefault="002A0421" w:rsidP="00C66994">
      <w:pPr>
        <w:rPr>
          <w:rFonts w:eastAsia="Calibri" w:cs="Arial"/>
        </w:rPr>
      </w:pPr>
    </w:p>
    <w:p w14:paraId="00E54DAB" w14:textId="77777777" w:rsidR="002A0421" w:rsidRPr="00C66994" w:rsidRDefault="002A0421" w:rsidP="00C66994">
      <w:pPr>
        <w:rPr>
          <w:rFonts w:eastAsia="Calibri" w:cs="Arial"/>
          <w:bCs/>
        </w:rPr>
      </w:pPr>
      <w:r w:rsidRPr="00C66994">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C66994">
        <w:rPr>
          <w:rFonts w:eastAsia="Arial Unicode MS" w:cs="Arial"/>
        </w:rPr>
        <w:t>,</w:t>
      </w:r>
      <w:r w:rsidRPr="00C66994">
        <w:rPr>
          <w:rFonts w:eastAsia="Calibri" w:cs="Arial"/>
          <w:bCs/>
        </w:rPr>
        <w:t xml:space="preserve"> que literalmente señala:</w:t>
      </w:r>
    </w:p>
    <w:p w14:paraId="77E14194" w14:textId="77777777" w:rsidR="002A0421" w:rsidRPr="00C66994" w:rsidRDefault="002A0421" w:rsidP="00C66994">
      <w:pPr>
        <w:rPr>
          <w:rFonts w:eastAsia="Calibri" w:cs="Arial"/>
          <w:bCs/>
        </w:rPr>
      </w:pPr>
    </w:p>
    <w:p w14:paraId="179DCE45" w14:textId="77777777" w:rsidR="002A0421" w:rsidRPr="00C66994" w:rsidRDefault="002A0421" w:rsidP="00C66994">
      <w:pPr>
        <w:pStyle w:val="Puesto"/>
        <w:rPr>
          <w:rFonts w:eastAsia="Calibri"/>
        </w:rPr>
      </w:pPr>
      <w:r w:rsidRPr="00C66994">
        <w:rPr>
          <w:rFonts w:eastAsia="Calibri"/>
        </w:rPr>
        <w:t>“</w:t>
      </w:r>
      <w:r w:rsidRPr="00C66994">
        <w:rPr>
          <w:rFonts w:eastAsia="Calibri"/>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C66994">
        <w:rPr>
          <w:rFonts w:eastAsia="Calibr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w:t>
      </w:r>
      <w:r w:rsidRPr="00C66994">
        <w:rPr>
          <w:rFonts w:eastAsia="Calibri"/>
        </w:rPr>
        <w:lastRenderedPageBreak/>
        <w:t xml:space="preserve">aplicar la "prueba de daño e interés público" ex </w:t>
      </w:r>
      <w:proofErr w:type="spellStart"/>
      <w:r w:rsidRPr="00C66994">
        <w:rPr>
          <w:rFonts w:eastAsia="Calibri"/>
        </w:rPr>
        <w:t>officio</w:t>
      </w:r>
      <w:proofErr w:type="spellEnd"/>
      <w:r w:rsidRPr="00C66994">
        <w:rPr>
          <w:rFonts w:eastAsia="Calibri"/>
        </w:rPr>
        <w:t>, con el propósito de obtener una versión que sea pública para la parte interesada.” (</w:t>
      </w:r>
      <w:proofErr w:type="gramStart"/>
      <w:r w:rsidRPr="00C66994">
        <w:rPr>
          <w:rFonts w:eastAsia="Calibri"/>
        </w:rPr>
        <w:t>sic</w:t>
      </w:r>
      <w:proofErr w:type="gramEnd"/>
      <w:r w:rsidRPr="00C66994">
        <w:rPr>
          <w:rFonts w:eastAsia="Calibri"/>
        </w:rPr>
        <w:t>)</w:t>
      </w:r>
    </w:p>
    <w:p w14:paraId="1BFEE3B1" w14:textId="77777777" w:rsidR="002A0421" w:rsidRPr="00C66994" w:rsidRDefault="002A0421" w:rsidP="00C66994">
      <w:pPr>
        <w:ind w:left="851" w:right="902"/>
        <w:rPr>
          <w:rFonts w:eastAsia="Calibri"/>
          <w:i/>
          <w:szCs w:val="22"/>
        </w:rPr>
      </w:pPr>
    </w:p>
    <w:p w14:paraId="1C71C0BD" w14:textId="77777777" w:rsidR="002A0421" w:rsidRPr="00C66994" w:rsidRDefault="002A0421" w:rsidP="00C66994">
      <w:pPr>
        <w:rPr>
          <w:bCs/>
        </w:rPr>
      </w:pPr>
      <w:r w:rsidRPr="00C66994">
        <w:rPr>
          <w:bCs/>
        </w:rPr>
        <w:t xml:space="preserve">Por todo lo anterior, la reserva de la información implica una clasificación, la cual debe entenderse como el proceso mediante el cual </w:t>
      </w:r>
      <w:r w:rsidRPr="00C66994">
        <w:rPr>
          <w:b/>
          <w:bCs/>
        </w:rPr>
        <w:t>EL SUJETO OBLIGADO</w:t>
      </w:r>
      <w:r w:rsidRPr="00C66994">
        <w:rPr>
          <w:bCs/>
        </w:rPr>
        <w:t xml:space="preserve"> determina que la información en su poder, actualiza alguno de los supuestos conforme a las normas aplicables.</w:t>
      </w:r>
    </w:p>
    <w:p w14:paraId="52FBD86B" w14:textId="77777777" w:rsidR="002A0421" w:rsidRPr="00C66994" w:rsidRDefault="002A0421" w:rsidP="00C66994">
      <w:pPr>
        <w:rPr>
          <w:bCs/>
        </w:rPr>
      </w:pPr>
    </w:p>
    <w:p w14:paraId="22AA5ED5" w14:textId="77777777" w:rsidR="002A0421" w:rsidRPr="00C66994" w:rsidRDefault="002A0421" w:rsidP="00C66994">
      <w:r w:rsidRPr="00C66994">
        <w:t xml:space="preserve">En tal virtud, conforme al artículo 49, fracción VIII de la </w:t>
      </w:r>
      <w:r w:rsidRPr="00C66994">
        <w:rPr>
          <w:rFonts w:cs="Arial"/>
        </w:rPr>
        <w:t>Ley de Transparencia y Acceso a la Información Pública del Estado de México y Municipios</w:t>
      </w:r>
      <w:r w:rsidRPr="00C66994">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C66994">
        <w:rPr>
          <w:b/>
        </w:rPr>
        <w:t>SUJETO OBLIGADO</w:t>
      </w:r>
      <w:r w:rsidRPr="00C66994">
        <w:t xml:space="preserve"> a concluir que el caso particular se ajusta al supuesto previsto por la norma legal invocada como fundamento; siendo que, además, </w:t>
      </w:r>
      <w:r w:rsidRPr="00C66994">
        <w:rPr>
          <w:b/>
        </w:rPr>
        <w:t>EL SUJETO OBLIGADO</w:t>
      </w:r>
      <w:r w:rsidRPr="00C66994">
        <w:t xml:space="preserve"> debe, en todo momento, aplicar una prueba de daño.</w:t>
      </w:r>
    </w:p>
    <w:p w14:paraId="7D04E2AC" w14:textId="77777777" w:rsidR="002A0421" w:rsidRPr="00C66994" w:rsidRDefault="002A0421" w:rsidP="00C66994"/>
    <w:p w14:paraId="3F78E3C2" w14:textId="77777777" w:rsidR="002A0421" w:rsidRPr="00C66994" w:rsidRDefault="002A0421" w:rsidP="00C66994">
      <w:r w:rsidRPr="00C66994">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1BC66C4F" w14:textId="77777777" w:rsidR="002A0421" w:rsidRPr="00C66994" w:rsidRDefault="002A0421" w:rsidP="00C66994"/>
    <w:p w14:paraId="2635DC95" w14:textId="77777777" w:rsidR="002A0421" w:rsidRPr="00C66994" w:rsidRDefault="002A0421" w:rsidP="00C66994">
      <w:r w:rsidRPr="00C66994">
        <w:lastRenderedPageBreak/>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B5BF759" w14:textId="77777777" w:rsidR="002A0421" w:rsidRPr="00C66994" w:rsidRDefault="002A0421" w:rsidP="00C66994"/>
    <w:p w14:paraId="122D0C84" w14:textId="77777777" w:rsidR="002A0421" w:rsidRPr="00C66994" w:rsidRDefault="002A0421" w:rsidP="00C66994">
      <w:pPr>
        <w:numPr>
          <w:ilvl w:val="0"/>
          <w:numId w:val="26"/>
        </w:numPr>
        <w:ind w:left="1276" w:hanging="425"/>
      </w:pPr>
      <w:r w:rsidRPr="00C66994">
        <w:t>Se reciba una solicitud de acceso a la información;</w:t>
      </w:r>
    </w:p>
    <w:p w14:paraId="6545EF1B" w14:textId="77777777" w:rsidR="002A0421" w:rsidRPr="00C66994" w:rsidRDefault="002A0421" w:rsidP="00C66994">
      <w:pPr>
        <w:numPr>
          <w:ilvl w:val="0"/>
          <w:numId w:val="26"/>
        </w:numPr>
        <w:ind w:left="1276" w:hanging="425"/>
      </w:pPr>
      <w:r w:rsidRPr="00C66994">
        <w:t>Se determine mediante resolución de autoridad competente; y/o</w:t>
      </w:r>
    </w:p>
    <w:p w14:paraId="46F2BFC4" w14:textId="77777777" w:rsidR="002A0421" w:rsidRPr="00C66994" w:rsidRDefault="002A0421" w:rsidP="00C66994">
      <w:pPr>
        <w:numPr>
          <w:ilvl w:val="0"/>
          <w:numId w:val="26"/>
        </w:numPr>
        <w:ind w:left="1276" w:hanging="425"/>
      </w:pPr>
      <w:r w:rsidRPr="00C66994">
        <w:t>Se generen versiones públicas para dar cumplimiento a las obligaciones de transparencia previstas en la Ley.</w:t>
      </w:r>
    </w:p>
    <w:p w14:paraId="69B39DB0" w14:textId="77777777" w:rsidR="002A0421" w:rsidRPr="00C66994" w:rsidRDefault="002A0421" w:rsidP="00C66994">
      <w:pPr>
        <w:ind w:left="1276"/>
      </w:pPr>
    </w:p>
    <w:p w14:paraId="2AB560D3" w14:textId="77777777" w:rsidR="002A0421" w:rsidRPr="00C66994" w:rsidRDefault="002A0421" w:rsidP="00C66994">
      <w:r w:rsidRPr="00C66994">
        <w:t>Situación que se robustece con el artículo 141 de la misma Ley, que señala que las causales de reserva previstas, se deberán fundar y motivar, a través de la aplicación de la prueba de daño.</w:t>
      </w:r>
    </w:p>
    <w:p w14:paraId="0B504A1C" w14:textId="77777777" w:rsidR="002A0421" w:rsidRPr="00C66994" w:rsidRDefault="002A0421" w:rsidP="00C66994"/>
    <w:p w14:paraId="2237C447" w14:textId="77777777" w:rsidR="002A0421" w:rsidRPr="00C66994" w:rsidRDefault="002A0421" w:rsidP="00C66994">
      <w:r w:rsidRPr="00C66994">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5071A2CC" w14:textId="77777777" w:rsidR="002A0421" w:rsidRPr="00C66994" w:rsidRDefault="002A0421" w:rsidP="00C66994"/>
    <w:p w14:paraId="327F3F22" w14:textId="77777777" w:rsidR="002A0421" w:rsidRPr="00C66994" w:rsidRDefault="002A0421" w:rsidP="00C66994">
      <w:pPr>
        <w:numPr>
          <w:ilvl w:val="0"/>
          <w:numId w:val="27"/>
        </w:numPr>
        <w:ind w:left="1134" w:hanging="283"/>
      </w:pPr>
      <w:r w:rsidRPr="00C66994">
        <w:t xml:space="preserve">La divulgación de la información representa un </w:t>
      </w:r>
      <w:r w:rsidRPr="00C66994">
        <w:rPr>
          <w:b/>
        </w:rPr>
        <w:t>riesgo real, demostrable e identificable del perjuicio significativo al interés público o a la seguridad pública</w:t>
      </w:r>
      <w:r w:rsidRPr="00C66994">
        <w:t>;</w:t>
      </w:r>
    </w:p>
    <w:p w14:paraId="56A5B8B7" w14:textId="77777777" w:rsidR="002A0421" w:rsidRPr="00C66994" w:rsidRDefault="002A0421" w:rsidP="00C66994">
      <w:pPr>
        <w:numPr>
          <w:ilvl w:val="0"/>
          <w:numId w:val="27"/>
        </w:numPr>
        <w:ind w:left="1134" w:hanging="283"/>
      </w:pPr>
      <w:r w:rsidRPr="00C66994">
        <w:lastRenderedPageBreak/>
        <w:t>El riesgo de perjuicio que supondría la divulgación supera el interés público general de que se difunda; y,</w:t>
      </w:r>
    </w:p>
    <w:p w14:paraId="2EAC3B9E" w14:textId="77777777" w:rsidR="002A0421" w:rsidRPr="00C66994" w:rsidRDefault="002A0421" w:rsidP="00C66994">
      <w:pPr>
        <w:numPr>
          <w:ilvl w:val="0"/>
          <w:numId w:val="27"/>
        </w:numPr>
        <w:ind w:left="1134" w:hanging="283"/>
      </w:pPr>
      <w:r w:rsidRPr="00C66994">
        <w:t xml:space="preserve">La limitación se adecua al principio de proporcionalidad y representa el medio menos restrictivo disponible para evitar el perjuicio. </w:t>
      </w:r>
    </w:p>
    <w:p w14:paraId="2077EEE6" w14:textId="77777777" w:rsidR="002A0421" w:rsidRPr="00C66994" w:rsidRDefault="002A0421" w:rsidP="00C66994">
      <w:pPr>
        <w:ind w:left="1134"/>
      </w:pPr>
    </w:p>
    <w:p w14:paraId="3414A082" w14:textId="77777777" w:rsidR="002A0421" w:rsidRPr="00C66994" w:rsidRDefault="002A0421" w:rsidP="00C66994">
      <w:pPr>
        <w:widowControl w:val="0"/>
        <w:tabs>
          <w:tab w:val="left" w:pos="1276"/>
          <w:tab w:val="left" w:pos="1701"/>
          <w:tab w:val="left" w:pos="1843"/>
        </w:tabs>
        <w:autoSpaceDE w:val="0"/>
        <w:autoSpaceDN w:val="0"/>
        <w:adjustRightInd w:val="0"/>
        <w:ind w:right="49"/>
        <w:rPr>
          <w:rFonts w:cs="Arial"/>
        </w:rPr>
      </w:pPr>
      <w:r w:rsidRPr="00C66994">
        <w:rPr>
          <w:bCs/>
        </w:rPr>
        <w:t xml:space="preserve">Atento a lo anterior, </w:t>
      </w:r>
      <w:r w:rsidRPr="00C66994">
        <w:rPr>
          <w:rFonts w:cs="Arial"/>
          <w:lang w:eastAsia="es-MX"/>
        </w:rPr>
        <w:t xml:space="preserve">es necesario hacer hincapié que para el caso de que existan </w:t>
      </w:r>
      <w:r w:rsidRPr="00C66994">
        <w:t xml:space="preserve">causas presentes que impiden la publicidad de la información durante cierto periodo de tiempo, </w:t>
      </w:r>
      <w:r w:rsidRPr="00C66994">
        <w:rPr>
          <w:rFonts w:cs="Arial"/>
          <w:lang w:eastAsia="es-MX"/>
        </w:rPr>
        <w:t xml:space="preserve">debe clasificar la información </w:t>
      </w:r>
      <w:r w:rsidRPr="00C66994">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165E627C" w14:textId="77777777" w:rsidR="002A0421" w:rsidRPr="00C66994" w:rsidRDefault="002A0421" w:rsidP="00C66994"/>
    <w:p w14:paraId="3DF4FEEC" w14:textId="77777777" w:rsidR="002A0421" w:rsidRPr="00C66994" w:rsidRDefault="002A0421" w:rsidP="00C66994">
      <w:pPr>
        <w:ind w:right="49"/>
        <w:rPr>
          <w:rFonts w:cs="Arial"/>
          <w:lang w:val="es-ES_tradnl"/>
        </w:rPr>
      </w:pPr>
      <w:r w:rsidRPr="00C66994">
        <w:rPr>
          <w:rFonts w:cs="Arial"/>
          <w:lang w:val="es-ES_tradnl"/>
        </w:rPr>
        <w:t xml:space="preserve">Por lo tanto, la entrega de documentos, en su </w:t>
      </w:r>
      <w:r w:rsidRPr="00C66994">
        <w:rPr>
          <w:rFonts w:cs="Arial"/>
          <w:b/>
          <w:lang w:val="es-ES_tradnl"/>
        </w:rPr>
        <w:t>versión pública</w:t>
      </w:r>
      <w:r w:rsidRPr="00C66994">
        <w:rPr>
          <w:rFonts w:cs="Arial"/>
          <w:lang w:val="es-ES_tradnl"/>
        </w:rPr>
        <w:t xml:space="preserve">, debe acompañarse necesariamente del Acuerdo del Comité de Transparencia que la sustente, en el que se expongan los fundamentos y razonamientos que llevaron al </w:t>
      </w:r>
      <w:r w:rsidRPr="00C66994">
        <w:rPr>
          <w:rFonts w:cs="Arial"/>
          <w:b/>
          <w:lang w:val="es-ES_tradnl"/>
        </w:rPr>
        <w:t>SUJETO OBLIGADO</w:t>
      </w:r>
      <w:r w:rsidRPr="00C66994">
        <w:rPr>
          <w:rFonts w:cs="Arial"/>
          <w:lang w:val="es-ES_tradnl"/>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AE46F55" w14:textId="77777777" w:rsidR="002A0421" w:rsidRDefault="002A0421" w:rsidP="00C66994"/>
    <w:p w14:paraId="0B35CC27" w14:textId="77777777" w:rsidR="00C66994" w:rsidRPr="00C66994" w:rsidRDefault="00C66994" w:rsidP="00C66994"/>
    <w:p w14:paraId="1664AD31" w14:textId="4953D6AF" w:rsidR="00703347" w:rsidRPr="00C66994" w:rsidRDefault="00FB610C" w:rsidP="00C66994">
      <w:pPr>
        <w:pStyle w:val="Ttulo3"/>
      </w:pPr>
      <w:bookmarkStart w:id="32" w:name="_Toc183621271"/>
      <w:r w:rsidRPr="00C66994">
        <w:lastRenderedPageBreak/>
        <w:t>e</w:t>
      </w:r>
      <w:r w:rsidR="00BD5A7C" w:rsidRPr="00C66994">
        <w:t>) Conclusión</w:t>
      </w:r>
      <w:bookmarkStart w:id="33" w:name="_Hlk165381027"/>
      <w:bookmarkEnd w:id="32"/>
    </w:p>
    <w:p w14:paraId="5962E1C9" w14:textId="4FEE8991" w:rsidR="002A0421" w:rsidRPr="00C66994" w:rsidRDefault="002A0421" w:rsidP="00C66994">
      <w:pPr>
        <w:widowControl w:val="0"/>
        <w:tabs>
          <w:tab w:val="left" w:pos="1701"/>
          <w:tab w:val="left" w:pos="1843"/>
        </w:tabs>
        <w:rPr>
          <w:rFonts w:eastAsia="Palatino Linotype" w:cs="Palatino Linotype"/>
        </w:rPr>
      </w:pPr>
      <w:r w:rsidRPr="00C66994">
        <w:rPr>
          <w:rFonts w:eastAsia="Palatino Linotype" w:cs="Palatino Linotype"/>
        </w:rPr>
        <w:t xml:space="preserve">En razón de lo anteriormente expuesto, este Instituto estima que las razones o motivos de inconformidad hechos valer por </w:t>
      </w:r>
      <w:r w:rsidRPr="00C66994">
        <w:rPr>
          <w:rFonts w:eastAsiaTheme="minorHAnsi" w:cs="Tahoma"/>
          <w:b/>
          <w:iCs/>
          <w:szCs w:val="22"/>
          <w:lang w:eastAsia="en-US"/>
        </w:rPr>
        <w:t>LA PARTE RECURRENTE</w:t>
      </w:r>
      <w:r w:rsidRPr="00C66994">
        <w:rPr>
          <w:rFonts w:eastAsiaTheme="minorHAnsi" w:cs="Tahoma"/>
          <w:bCs/>
          <w:iCs/>
          <w:szCs w:val="22"/>
          <w:lang w:eastAsia="en-US"/>
        </w:rPr>
        <w:t xml:space="preserve"> </w:t>
      </w:r>
      <w:r w:rsidRPr="00C66994">
        <w:rPr>
          <w:rFonts w:eastAsia="Palatino Linotype" w:cs="Palatino Linotype"/>
        </w:rPr>
        <w:t xml:space="preserve">devienen </w:t>
      </w:r>
      <w:r w:rsidRPr="00C66994">
        <w:rPr>
          <w:rFonts w:eastAsia="Palatino Linotype" w:cs="Palatino Linotype"/>
          <w:b/>
        </w:rPr>
        <w:t>fundadas</w:t>
      </w:r>
      <w:r w:rsidRPr="00C66994">
        <w:rPr>
          <w:rFonts w:eastAsia="Palatino Linotype" w:cs="Palatino Linotype"/>
        </w:rPr>
        <w:t xml:space="preserve"> y suficientes para </w:t>
      </w:r>
      <w:r w:rsidRPr="00C66994">
        <w:rPr>
          <w:rFonts w:eastAsia="Palatino Linotype" w:cs="Palatino Linotype"/>
          <w:b/>
        </w:rPr>
        <w:t>REVOCAR</w:t>
      </w:r>
      <w:r w:rsidRPr="00C66994">
        <w:rPr>
          <w:rFonts w:eastAsia="Palatino Linotype" w:cs="Palatino Linotype"/>
        </w:rPr>
        <w:t xml:space="preserve"> las respuestas del </w:t>
      </w:r>
      <w:r w:rsidRPr="00C66994">
        <w:rPr>
          <w:rFonts w:eastAsia="Palatino Linotype" w:cs="Palatino Linotype"/>
          <w:b/>
        </w:rPr>
        <w:t>SUJETO OBLIGADO</w:t>
      </w:r>
      <w:r w:rsidRPr="00C66994">
        <w:rPr>
          <w:rFonts w:eastAsia="Palatino Linotype" w:cs="Palatino Linotype"/>
        </w:rPr>
        <w:t xml:space="preserve"> y ordenarle haga entrega de la información descrita en el presente Considerando.</w:t>
      </w:r>
    </w:p>
    <w:p w14:paraId="417CBD6D" w14:textId="77777777" w:rsidR="002A0421" w:rsidRPr="00C66994" w:rsidRDefault="002A0421" w:rsidP="00C66994">
      <w:pPr>
        <w:ind w:right="-93"/>
        <w:rPr>
          <w:rFonts w:cs="Tahoma"/>
          <w:bCs/>
          <w:szCs w:val="22"/>
        </w:rPr>
      </w:pPr>
    </w:p>
    <w:p w14:paraId="2A6E04B9" w14:textId="06E28954" w:rsidR="00C66994" w:rsidRDefault="00703347" w:rsidP="000B7759">
      <w:pPr>
        <w:ind w:right="-93"/>
        <w:rPr>
          <w:rFonts w:cs="Tahoma"/>
          <w:bCs/>
          <w:szCs w:val="22"/>
        </w:rPr>
      </w:pPr>
      <w:r w:rsidRPr="00C6699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3"/>
    </w:p>
    <w:p w14:paraId="1046CE74" w14:textId="77777777" w:rsidR="000B7759" w:rsidRPr="00C66994" w:rsidRDefault="000B7759" w:rsidP="000B7759">
      <w:pPr>
        <w:ind w:right="-93"/>
      </w:pPr>
    </w:p>
    <w:p w14:paraId="5C396097" w14:textId="684A0E4F" w:rsidR="00664420" w:rsidRPr="00C66994" w:rsidRDefault="00664420" w:rsidP="00C66994">
      <w:pPr>
        <w:pStyle w:val="Ttulo1"/>
      </w:pPr>
      <w:bookmarkStart w:id="34" w:name="_Toc183621272"/>
      <w:r w:rsidRPr="00C66994">
        <w:t>RESUELVE</w:t>
      </w:r>
      <w:bookmarkEnd w:id="34"/>
    </w:p>
    <w:p w14:paraId="40DE562B" w14:textId="581F85F0" w:rsidR="00FC3CE0" w:rsidRPr="00C66994" w:rsidRDefault="00FC3CE0" w:rsidP="00C66994">
      <w:pPr>
        <w:widowControl w:val="0"/>
        <w:rPr>
          <w:rFonts w:eastAsia="Calibri" w:cs="Tahoma"/>
          <w:bCs/>
          <w:szCs w:val="22"/>
          <w:lang w:eastAsia="en-US"/>
        </w:rPr>
      </w:pPr>
      <w:r w:rsidRPr="00C66994">
        <w:rPr>
          <w:b/>
          <w:bCs/>
        </w:rPr>
        <w:t>PRIMERO.</w:t>
      </w:r>
      <w:r w:rsidRPr="00C66994">
        <w:t xml:space="preserve"> </w:t>
      </w:r>
      <w:r w:rsidR="00F27141" w:rsidRPr="00C66994">
        <w:rPr>
          <w:rFonts w:cs="Tahoma"/>
          <w:szCs w:val="22"/>
        </w:rPr>
        <w:t xml:space="preserve">Se </w:t>
      </w:r>
      <w:r w:rsidR="00F27141" w:rsidRPr="00C66994">
        <w:rPr>
          <w:rFonts w:cs="Tahoma"/>
          <w:b/>
          <w:bCs/>
          <w:szCs w:val="22"/>
        </w:rPr>
        <w:t>REVOCAN</w:t>
      </w:r>
      <w:r w:rsidR="00F27141" w:rsidRPr="00C66994">
        <w:rPr>
          <w:rFonts w:cs="Tahoma"/>
          <w:szCs w:val="22"/>
        </w:rPr>
        <w:t xml:space="preserve"> las respuestas entregadas por el </w:t>
      </w:r>
      <w:r w:rsidR="00F27141" w:rsidRPr="00C66994">
        <w:rPr>
          <w:rFonts w:cs="Tahoma"/>
          <w:b/>
          <w:bCs/>
          <w:szCs w:val="22"/>
        </w:rPr>
        <w:t>SUJETO OBLIGADO</w:t>
      </w:r>
      <w:r w:rsidR="00F27141" w:rsidRPr="00C66994">
        <w:rPr>
          <w:rFonts w:cs="Tahoma"/>
          <w:szCs w:val="22"/>
        </w:rPr>
        <w:t xml:space="preserve"> en las solicitudes de información </w:t>
      </w:r>
      <w:r w:rsidR="00F27141" w:rsidRPr="00C66994">
        <w:rPr>
          <w:rFonts w:cs="Tahoma"/>
          <w:b/>
          <w:bCs/>
        </w:rPr>
        <w:t>00015/UAI/IP/2024, 00019/UAI/IP/2024, 00043/UAI/IP/2024, 00044/UAI/IP/2024, 00045/UAI/IP/2024, 00046/UAI/IP/2024, 00047/UAI/IP/2024, 00048/UAI/IP/2024 y 00049/UAI/IP/2024</w:t>
      </w:r>
      <w:r w:rsidR="00F27141" w:rsidRPr="00C66994">
        <w:rPr>
          <w:rFonts w:cs="Tahoma"/>
          <w:bCs/>
          <w:szCs w:val="22"/>
        </w:rPr>
        <w:t xml:space="preserve">, </w:t>
      </w:r>
      <w:r w:rsidR="00F27141" w:rsidRPr="00C66994">
        <w:rPr>
          <w:rFonts w:eastAsia="Calibri" w:cs="Tahoma"/>
          <w:bCs/>
          <w:szCs w:val="22"/>
          <w:lang w:eastAsia="en-US"/>
        </w:rPr>
        <w:t xml:space="preserve">por resultar </w:t>
      </w:r>
      <w:r w:rsidR="00F27141" w:rsidRPr="00C66994">
        <w:rPr>
          <w:rFonts w:eastAsia="Calibri" w:cs="Tahoma"/>
          <w:b/>
          <w:bCs/>
          <w:szCs w:val="22"/>
          <w:lang w:eastAsia="en-US"/>
        </w:rPr>
        <w:t>FUNDADAS</w:t>
      </w:r>
      <w:r w:rsidR="00F27141" w:rsidRPr="00C66994">
        <w:rPr>
          <w:rFonts w:eastAsia="Calibri" w:cs="Tahoma"/>
          <w:bCs/>
          <w:szCs w:val="22"/>
          <w:lang w:eastAsia="en-US"/>
        </w:rPr>
        <w:t xml:space="preserve"> las razones o motivos de inconformidad hechos valer por </w:t>
      </w:r>
      <w:r w:rsidR="00F27141" w:rsidRPr="00C66994">
        <w:rPr>
          <w:rFonts w:eastAsia="Calibri" w:cs="Tahoma"/>
          <w:b/>
          <w:szCs w:val="22"/>
          <w:lang w:eastAsia="en-US"/>
        </w:rPr>
        <w:t>LA PARTE RECURRENTE</w:t>
      </w:r>
      <w:r w:rsidR="00F27141" w:rsidRPr="00C66994">
        <w:rPr>
          <w:rFonts w:eastAsia="Calibri" w:cs="Tahoma"/>
          <w:bCs/>
          <w:szCs w:val="22"/>
          <w:lang w:eastAsia="en-US"/>
        </w:rPr>
        <w:t xml:space="preserve"> en los Recursos de Revisión </w:t>
      </w:r>
      <w:r w:rsidR="00F27141" w:rsidRPr="00C66994">
        <w:rPr>
          <w:rFonts w:eastAsia="Calibri"/>
          <w:b/>
          <w:lang w:eastAsia="en-US"/>
        </w:rPr>
        <w:t>06172/INFOEM/IP/RR/2024, 06176/INFOEM/IP/RR/2024, 06205/INFOEM/IP/RR/2024, 06206/INFOEM/IP/RR/2024, 06207/INFOEM/IP/RR/2024, 06208/INFOEM/IP/RR/2024, 06209/INFOEM/IP/RR/2024, 06210/INFOEM/IP/RR/2024 y 06211/INFOEM/IP/RR/2024</w:t>
      </w:r>
      <w:r w:rsidR="00F27141" w:rsidRPr="00C66994">
        <w:rPr>
          <w:rFonts w:eastAsiaTheme="minorHAnsi" w:cstheme="minorBidi"/>
          <w:szCs w:val="22"/>
          <w:lang w:eastAsia="en-US"/>
        </w:rPr>
        <w:t>,</w:t>
      </w:r>
      <w:r w:rsidR="00F27141" w:rsidRPr="00C66994">
        <w:rPr>
          <w:rFonts w:cs="Tahoma"/>
          <w:b/>
          <w:szCs w:val="22"/>
        </w:rPr>
        <w:t xml:space="preserve"> </w:t>
      </w:r>
      <w:r w:rsidR="00F27141" w:rsidRPr="00C66994">
        <w:rPr>
          <w:rFonts w:eastAsia="Calibri" w:cs="Tahoma"/>
          <w:bCs/>
          <w:szCs w:val="22"/>
          <w:lang w:eastAsia="en-US"/>
        </w:rPr>
        <w:t xml:space="preserve">en términos del considerando </w:t>
      </w:r>
      <w:r w:rsidR="00F27141" w:rsidRPr="00C66994">
        <w:rPr>
          <w:rFonts w:eastAsia="Calibri" w:cs="Tahoma"/>
          <w:b/>
          <w:szCs w:val="22"/>
          <w:lang w:eastAsia="en-US"/>
        </w:rPr>
        <w:t>SEGUNDO</w:t>
      </w:r>
      <w:r w:rsidR="00F27141" w:rsidRPr="00C66994">
        <w:rPr>
          <w:rFonts w:eastAsia="Calibri" w:cs="Tahoma"/>
          <w:bCs/>
          <w:szCs w:val="22"/>
          <w:lang w:eastAsia="en-US"/>
        </w:rPr>
        <w:t xml:space="preserve"> de la presente Resolución.</w:t>
      </w:r>
    </w:p>
    <w:p w14:paraId="4C624039" w14:textId="77777777" w:rsidR="00F27141" w:rsidRPr="00C66994" w:rsidRDefault="00F27141" w:rsidP="00C66994">
      <w:pPr>
        <w:widowControl w:val="0"/>
        <w:rPr>
          <w:rFonts w:eastAsia="Calibri" w:cs="Tahoma"/>
          <w:bCs/>
          <w:szCs w:val="22"/>
          <w:lang w:eastAsia="en-US"/>
        </w:rPr>
      </w:pPr>
    </w:p>
    <w:p w14:paraId="7046A418" w14:textId="71B45C18" w:rsidR="00F27141" w:rsidRPr="00C66994" w:rsidRDefault="00F27141" w:rsidP="00C66994">
      <w:pPr>
        <w:widowControl w:val="0"/>
        <w:rPr>
          <w:rFonts w:eastAsia="Calibri" w:cs="Tahoma"/>
          <w:bCs/>
          <w:szCs w:val="22"/>
          <w:lang w:eastAsia="en-US"/>
        </w:rPr>
      </w:pPr>
      <w:r w:rsidRPr="00C66994">
        <w:rPr>
          <w:rFonts w:eastAsia="Calibri" w:cs="Tahoma"/>
          <w:b/>
          <w:bCs/>
          <w:szCs w:val="22"/>
          <w:lang w:eastAsia="en-US"/>
        </w:rPr>
        <w:t>SEGUNDO.</w:t>
      </w:r>
      <w:r w:rsidRPr="00C66994">
        <w:rPr>
          <w:rFonts w:eastAsia="Calibri" w:cs="Tahoma"/>
          <w:szCs w:val="22"/>
          <w:lang w:eastAsia="es-MX"/>
        </w:rPr>
        <w:t xml:space="preserve"> Se </w:t>
      </w:r>
      <w:r w:rsidRPr="00C66994">
        <w:rPr>
          <w:rFonts w:eastAsia="Calibri" w:cs="Tahoma"/>
          <w:b/>
          <w:szCs w:val="22"/>
          <w:lang w:eastAsia="es-MX"/>
        </w:rPr>
        <w:t xml:space="preserve">ORDENA </w:t>
      </w:r>
      <w:r w:rsidRPr="00C66994">
        <w:rPr>
          <w:rFonts w:eastAsia="Calibri" w:cs="Tahoma"/>
          <w:szCs w:val="22"/>
          <w:lang w:eastAsia="es-MX"/>
        </w:rPr>
        <w:t xml:space="preserve">al </w:t>
      </w:r>
      <w:r w:rsidRPr="00C66994">
        <w:rPr>
          <w:rFonts w:eastAsia="Calibri" w:cs="Tahoma"/>
          <w:b/>
          <w:bCs/>
          <w:szCs w:val="22"/>
          <w:lang w:eastAsia="es-MX"/>
        </w:rPr>
        <w:t>SUJETO OBLIGADO</w:t>
      </w:r>
      <w:r w:rsidRPr="00C66994">
        <w:rPr>
          <w:rFonts w:eastAsia="Calibri" w:cs="Tahoma"/>
          <w:szCs w:val="22"/>
          <w:lang w:eastAsia="es-MX"/>
        </w:rPr>
        <w:t xml:space="preserve">, </w:t>
      </w:r>
      <w:r w:rsidRPr="00C66994">
        <w:rPr>
          <w:rFonts w:eastAsia="Calibri" w:cs="Tahoma"/>
          <w:bCs/>
          <w:szCs w:val="22"/>
          <w:lang w:eastAsia="en-US"/>
        </w:rPr>
        <w:t xml:space="preserve">a efecto de que, previa búsqueda exhaustiva y razonable de la información, entregue a través del </w:t>
      </w:r>
      <w:r w:rsidRPr="00C66994">
        <w:rPr>
          <w:rFonts w:eastAsia="Calibri" w:cs="Tahoma"/>
          <w:b/>
          <w:bCs/>
          <w:szCs w:val="22"/>
          <w:lang w:eastAsia="en-US"/>
        </w:rPr>
        <w:t>SAIMEX</w:t>
      </w:r>
      <w:r w:rsidRPr="00C66994">
        <w:rPr>
          <w:rFonts w:eastAsia="Calibri" w:cs="Tahoma"/>
          <w:bCs/>
          <w:szCs w:val="22"/>
          <w:lang w:eastAsia="en-US"/>
        </w:rPr>
        <w:t xml:space="preserve">, </w:t>
      </w:r>
      <w:r w:rsidR="006448AF" w:rsidRPr="00C66994">
        <w:rPr>
          <w:rFonts w:eastAsia="Calibri" w:cs="Tahoma"/>
          <w:bCs/>
          <w:szCs w:val="22"/>
          <w:lang w:eastAsia="en-US"/>
        </w:rPr>
        <w:t xml:space="preserve">de ser procedente </w:t>
      </w:r>
      <w:r w:rsidRPr="00C66994">
        <w:rPr>
          <w:rFonts w:eastAsia="Calibri" w:cs="Tahoma"/>
          <w:bCs/>
          <w:szCs w:val="22"/>
          <w:lang w:eastAsia="en-US"/>
        </w:rPr>
        <w:lastRenderedPageBreak/>
        <w:t xml:space="preserve">en </w:t>
      </w:r>
      <w:r w:rsidRPr="00C66994">
        <w:rPr>
          <w:rFonts w:eastAsia="Calibri" w:cs="Tahoma"/>
          <w:b/>
          <w:bCs/>
          <w:szCs w:val="22"/>
          <w:lang w:eastAsia="en-US"/>
        </w:rPr>
        <w:t>versión</w:t>
      </w:r>
      <w:r w:rsidRPr="00C66994">
        <w:rPr>
          <w:rFonts w:eastAsia="Calibri" w:cs="Tahoma"/>
          <w:bCs/>
          <w:szCs w:val="22"/>
          <w:lang w:eastAsia="en-US"/>
        </w:rPr>
        <w:t xml:space="preserve"> </w:t>
      </w:r>
      <w:r w:rsidRPr="00C66994">
        <w:rPr>
          <w:rFonts w:eastAsia="Calibri" w:cs="Tahoma"/>
          <w:b/>
          <w:bCs/>
          <w:szCs w:val="22"/>
          <w:lang w:eastAsia="en-US"/>
        </w:rPr>
        <w:t>pública</w:t>
      </w:r>
      <w:r w:rsidR="006230B1" w:rsidRPr="00C66994">
        <w:rPr>
          <w:rFonts w:eastAsia="Calibri" w:cs="Tahoma"/>
          <w:bCs/>
          <w:szCs w:val="22"/>
          <w:lang w:eastAsia="en-US"/>
        </w:rPr>
        <w:t xml:space="preserve"> </w:t>
      </w:r>
      <w:r w:rsidRPr="00C66994">
        <w:rPr>
          <w:rFonts w:eastAsia="Calibri" w:cs="Tahoma"/>
          <w:bCs/>
          <w:szCs w:val="22"/>
          <w:lang w:eastAsia="en-US"/>
        </w:rPr>
        <w:t>lo siguiente:</w:t>
      </w:r>
    </w:p>
    <w:p w14:paraId="530E3212" w14:textId="77777777" w:rsidR="006230B1" w:rsidRPr="00C66994" w:rsidRDefault="006230B1" w:rsidP="00C66994">
      <w:pPr>
        <w:widowControl w:val="0"/>
        <w:rPr>
          <w:rFonts w:eastAsia="Calibri" w:cs="Tahoma"/>
          <w:bCs/>
          <w:szCs w:val="22"/>
          <w:lang w:eastAsia="en-US"/>
        </w:rPr>
      </w:pPr>
    </w:p>
    <w:p w14:paraId="4E228099" w14:textId="695C94BD" w:rsidR="006230B1" w:rsidRPr="00C66994" w:rsidRDefault="006448AF" w:rsidP="00C66994">
      <w:pPr>
        <w:pStyle w:val="Puesto"/>
        <w:numPr>
          <w:ilvl w:val="0"/>
          <w:numId w:val="28"/>
        </w:numPr>
        <w:ind w:left="851" w:right="822" w:firstLine="0"/>
        <w:rPr>
          <w:rFonts w:eastAsia="Calibri"/>
          <w:lang w:eastAsia="en-US"/>
        </w:rPr>
      </w:pPr>
      <w:r w:rsidRPr="00C66994">
        <w:rPr>
          <w:rFonts w:eastAsia="Calibri"/>
          <w:lang w:eastAsia="en-US"/>
        </w:rPr>
        <w:t>Los o</w:t>
      </w:r>
      <w:r w:rsidR="006230B1" w:rsidRPr="00C66994">
        <w:rPr>
          <w:rFonts w:eastAsia="Calibri"/>
          <w:lang w:eastAsia="en-US"/>
        </w:rPr>
        <w:t xml:space="preserve">ficios generados por la Dirección de Responsabilidades en los meses de enero y marzo de 2024. </w:t>
      </w:r>
    </w:p>
    <w:p w14:paraId="4885A119" w14:textId="77777777" w:rsidR="006448AF" w:rsidRPr="00C66994" w:rsidRDefault="006448AF" w:rsidP="00C66994">
      <w:pPr>
        <w:pStyle w:val="Puesto"/>
        <w:ind w:left="851" w:right="822"/>
        <w:rPr>
          <w:iCs/>
        </w:rPr>
      </w:pPr>
    </w:p>
    <w:p w14:paraId="1084EF6E" w14:textId="6EA5DE8E" w:rsidR="006230B1" w:rsidRPr="00C66994" w:rsidRDefault="006448AF" w:rsidP="00C66994">
      <w:pPr>
        <w:pStyle w:val="Puesto"/>
        <w:ind w:left="851" w:right="822"/>
        <w:rPr>
          <w:rFonts w:eastAsia="Calibri"/>
          <w:lang w:eastAsia="en-US"/>
        </w:rPr>
      </w:pPr>
      <w:r w:rsidRPr="00C66994">
        <w:rPr>
          <w:b/>
          <w:iCs/>
        </w:rPr>
        <w:t xml:space="preserve">b) </w:t>
      </w:r>
      <w:r w:rsidRPr="00C66994">
        <w:rPr>
          <w:rFonts w:eastAsia="Calibri"/>
          <w:lang w:eastAsia="en-US"/>
        </w:rPr>
        <w:t xml:space="preserve">Los oficios emitidos </w:t>
      </w:r>
      <w:r w:rsidR="006230B1" w:rsidRPr="00C66994">
        <w:rPr>
          <w:iCs/>
        </w:rPr>
        <w:t>por la Dirección de Responsabilidades a la Unidad de Asuntos Internos en los meses de febrero, marzo, abril, mayo, junio, julio, agosto de 2024.</w:t>
      </w:r>
    </w:p>
    <w:p w14:paraId="182B8EEB" w14:textId="77777777" w:rsidR="006230B1" w:rsidRPr="00C66994" w:rsidRDefault="006230B1" w:rsidP="00C66994">
      <w:pPr>
        <w:pStyle w:val="Prrafodelista"/>
        <w:widowControl w:val="0"/>
        <w:spacing w:line="240" w:lineRule="auto"/>
        <w:ind w:left="851" w:right="822"/>
        <w:rPr>
          <w:rFonts w:cs="Tahoma"/>
          <w:bCs/>
          <w:i/>
          <w:iCs/>
          <w:szCs w:val="22"/>
        </w:rPr>
      </w:pPr>
    </w:p>
    <w:p w14:paraId="5A167EBF" w14:textId="2FC9822A" w:rsidR="006230B1" w:rsidRPr="00C66994" w:rsidRDefault="006230B1" w:rsidP="00C66994">
      <w:pPr>
        <w:spacing w:line="240" w:lineRule="auto"/>
        <w:ind w:left="851" w:right="822"/>
        <w:rPr>
          <w:i/>
        </w:rPr>
      </w:pPr>
      <w:r w:rsidRPr="00C66994">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0934086" w14:textId="77777777" w:rsidR="006230B1" w:rsidRPr="00C66994" w:rsidRDefault="006230B1" w:rsidP="00C66994">
      <w:pPr>
        <w:spacing w:line="240" w:lineRule="auto"/>
        <w:ind w:left="851" w:right="822"/>
        <w:rPr>
          <w:i/>
        </w:rPr>
      </w:pPr>
    </w:p>
    <w:p w14:paraId="0C1F4886" w14:textId="65F5F8A6" w:rsidR="006230B1" w:rsidRPr="00C66994" w:rsidRDefault="006448AF" w:rsidP="00C66994">
      <w:pPr>
        <w:spacing w:line="240" w:lineRule="auto"/>
        <w:ind w:left="851" w:right="822"/>
        <w:rPr>
          <w:rFonts w:eastAsia="Calibri" w:cs="Tahoma"/>
          <w:bCs/>
          <w:i/>
          <w:szCs w:val="22"/>
          <w:lang w:eastAsia="en-US"/>
        </w:rPr>
      </w:pPr>
      <w:r w:rsidRPr="00C66994">
        <w:rPr>
          <w:i/>
        </w:rPr>
        <w:t xml:space="preserve">Para el caso de que existan oficios cancelados, </w:t>
      </w:r>
      <w:r w:rsidRPr="00C66994">
        <w:rPr>
          <w:b/>
          <w:i/>
        </w:rPr>
        <w:t>EL SUJETO OBLIGADO</w:t>
      </w:r>
      <w:r w:rsidRPr="00C66994">
        <w:rPr>
          <w:i/>
        </w:rPr>
        <w:t xml:space="preserve"> deberá de hacerlo del conocimiento de </w:t>
      </w:r>
      <w:r w:rsidRPr="00C66994">
        <w:rPr>
          <w:b/>
          <w:i/>
        </w:rPr>
        <w:t>LA PARTE RECURRENTE</w:t>
      </w:r>
      <w:r w:rsidRPr="00C66994">
        <w:rPr>
          <w:i/>
        </w:rPr>
        <w:t xml:space="preserve"> </w:t>
      </w:r>
      <w:r w:rsidR="006230B1" w:rsidRPr="00C66994">
        <w:rPr>
          <w:rFonts w:eastAsia="Calibri" w:cs="Tahoma"/>
          <w:bCs/>
          <w:i/>
          <w:szCs w:val="22"/>
          <w:lang w:eastAsia="en-US"/>
        </w:rPr>
        <w:t>al momento de dar atención a la presente resolución.</w:t>
      </w:r>
    </w:p>
    <w:p w14:paraId="56E20728" w14:textId="77777777" w:rsidR="006230B1" w:rsidRPr="00C66994" w:rsidRDefault="006230B1" w:rsidP="00C66994">
      <w:pPr>
        <w:rPr>
          <w:b/>
          <w:bCs/>
        </w:rPr>
      </w:pPr>
    </w:p>
    <w:p w14:paraId="0A106B2B" w14:textId="1F424B02" w:rsidR="006230B1" w:rsidRPr="00C66994" w:rsidRDefault="006230B1" w:rsidP="00C66994">
      <w:r w:rsidRPr="00C66994">
        <w:rPr>
          <w:b/>
          <w:bCs/>
        </w:rPr>
        <w:t>TERCERO.</w:t>
      </w:r>
      <w:r w:rsidRPr="00C66994">
        <w:t xml:space="preserve"> Notifíquese la presente resolución al Titular de la Unidad de Transparencia del </w:t>
      </w:r>
      <w:r w:rsidRPr="00C66994">
        <w:rPr>
          <w:b/>
          <w:bCs/>
        </w:rPr>
        <w:t>SUJETO OBLIGADO a través del sistema SAIMEX</w:t>
      </w:r>
      <w:r w:rsidRPr="00C66994">
        <w:t xml:space="preserve">, para que conforme al artículo 186 último párrafo, 189 segundo párrafo y 194 de la Ley de Transparencia y Acceso a la Información Pública del Estado de México y Municipios, dé cumplimiento a lo ordenado dentro del plazo de </w:t>
      </w:r>
      <w:r w:rsidRPr="00C66994">
        <w:rPr>
          <w:b/>
          <w:bCs/>
        </w:rPr>
        <w:t>diez días hábiles</w:t>
      </w:r>
      <w:r w:rsidRPr="00C66994">
        <w:t xml:space="preserve">, e informe a este Instituto en un plazo de </w:t>
      </w:r>
      <w:r w:rsidRPr="00C66994">
        <w:rPr>
          <w:b/>
          <w:bCs/>
        </w:rPr>
        <w:t>tres días hábiles</w:t>
      </w:r>
      <w:r w:rsidRPr="00C66994">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EBF75C" w14:textId="77777777" w:rsidR="006230B1" w:rsidRPr="00C66994" w:rsidRDefault="006230B1" w:rsidP="00C66994"/>
    <w:p w14:paraId="217D5ABE" w14:textId="77777777" w:rsidR="006230B1" w:rsidRPr="00C66994" w:rsidRDefault="006230B1" w:rsidP="00C66994">
      <w:r w:rsidRPr="00C66994">
        <w:rPr>
          <w:b/>
          <w:bCs/>
        </w:rPr>
        <w:t>CUARTO.</w:t>
      </w:r>
      <w:r w:rsidRPr="00C66994">
        <w:t xml:space="preserve"> Notifíquese a </w:t>
      </w:r>
      <w:r w:rsidRPr="00C66994">
        <w:rPr>
          <w:b/>
          <w:bCs/>
        </w:rPr>
        <w:t>LA PARTE RECURRENTE</w:t>
      </w:r>
      <w:r w:rsidRPr="00C66994">
        <w:t xml:space="preserve"> la presente resolución vía Sistema de Acceso a la Información Mexiquense (SAIMEX).</w:t>
      </w:r>
    </w:p>
    <w:p w14:paraId="610EE817" w14:textId="77777777" w:rsidR="006230B1" w:rsidRPr="00C66994" w:rsidRDefault="006230B1" w:rsidP="00C66994"/>
    <w:p w14:paraId="13EA959F" w14:textId="77777777" w:rsidR="006230B1" w:rsidRPr="00C66994" w:rsidRDefault="006230B1" w:rsidP="00C66994">
      <w:r w:rsidRPr="00C66994">
        <w:rPr>
          <w:b/>
          <w:bCs/>
        </w:rPr>
        <w:t>QUINTO</w:t>
      </w:r>
      <w:r w:rsidRPr="00C66994">
        <w:t xml:space="preserve">. Hágase del conocimiento a </w:t>
      </w:r>
      <w:r w:rsidRPr="00C66994">
        <w:rPr>
          <w:b/>
          <w:bCs/>
        </w:rPr>
        <w:t>LA PARTE RECURRENTE</w:t>
      </w:r>
      <w:r w:rsidRPr="00C6699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D443E9A" w14:textId="77777777" w:rsidR="006230B1" w:rsidRPr="00C66994" w:rsidRDefault="006230B1" w:rsidP="00C66994"/>
    <w:p w14:paraId="78D4A482" w14:textId="297AB161" w:rsidR="00FC3CE0" w:rsidRPr="00C66994" w:rsidRDefault="006230B1" w:rsidP="00C66994">
      <w:pPr>
        <w:widowControl w:val="0"/>
        <w:rPr>
          <w:rFonts w:eastAsia="Calibri" w:cs="Tahoma"/>
          <w:bCs/>
          <w:szCs w:val="22"/>
          <w:lang w:eastAsia="en-US"/>
        </w:rPr>
      </w:pPr>
      <w:r w:rsidRPr="00C66994">
        <w:rPr>
          <w:b/>
          <w:bCs/>
        </w:rPr>
        <w:t>SEXTO.</w:t>
      </w:r>
      <w:r w:rsidRPr="00C66994">
        <w:t xml:space="preserve"> De conformidad con el artículo 198 de la Ley de Transparencia y Acceso a la Información Pública del Estado de México y Municipios, el </w:t>
      </w:r>
      <w:r w:rsidRPr="00C66994">
        <w:rPr>
          <w:b/>
          <w:bCs/>
        </w:rPr>
        <w:t>SUJETO OBLIGADO</w:t>
      </w:r>
      <w:r w:rsidRPr="00C66994">
        <w:t xml:space="preserve"> podrá solicitar una ampliación de plazo de manera fundada y motivada, para el cumplimiento de la presente resolución.</w:t>
      </w:r>
    </w:p>
    <w:p w14:paraId="2BC8564F" w14:textId="77777777" w:rsidR="00FC3CE0" w:rsidRPr="00C66994" w:rsidRDefault="00FC3CE0" w:rsidP="00C66994">
      <w:pPr>
        <w:ind w:right="113"/>
        <w:rPr>
          <w:rFonts w:cs="Arial"/>
          <w:b/>
          <w:szCs w:val="22"/>
        </w:rPr>
      </w:pPr>
    </w:p>
    <w:p w14:paraId="4F4BD3B1" w14:textId="77777777" w:rsidR="002A0421" w:rsidRPr="00C66994" w:rsidRDefault="002A0421" w:rsidP="00C66994">
      <w:pPr>
        <w:rPr>
          <w:rFonts w:eastAsia="Palatino Linotype" w:cs="Palatino Linotype"/>
          <w:szCs w:val="22"/>
        </w:rPr>
      </w:pPr>
      <w:r w:rsidRPr="00C66994">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14:paraId="4399A2F8" w14:textId="77777777" w:rsidR="00703347" w:rsidRPr="00C66994" w:rsidRDefault="00703347" w:rsidP="00C66994">
      <w:pPr>
        <w:rPr>
          <w:rFonts w:eastAsiaTheme="minorEastAsia"/>
          <w:sz w:val="20"/>
          <w:lang w:val="es-419"/>
        </w:rPr>
      </w:pPr>
      <w:r w:rsidRPr="00C66994">
        <w:rPr>
          <w:rFonts w:eastAsiaTheme="minorEastAsia"/>
          <w:sz w:val="20"/>
          <w:lang w:val="es-ES_tradnl"/>
        </w:rPr>
        <w:t>SCMM/AGZ/DEMF/</w:t>
      </w:r>
      <w:r w:rsidRPr="00C66994">
        <w:rPr>
          <w:rFonts w:eastAsiaTheme="minorEastAsia"/>
          <w:sz w:val="20"/>
          <w:lang w:val="es-419"/>
        </w:rPr>
        <w:t>CDFE</w:t>
      </w:r>
    </w:p>
    <w:p w14:paraId="49D72DA3" w14:textId="77777777" w:rsidR="00664420" w:rsidRPr="00C66994" w:rsidRDefault="00664420" w:rsidP="00C66994">
      <w:pPr>
        <w:ind w:right="-93"/>
        <w:rPr>
          <w:rFonts w:eastAsia="Calibri" w:cs="Tahoma"/>
          <w:bCs/>
          <w:szCs w:val="22"/>
          <w:lang w:eastAsia="en-US"/>
        </w:rPr>
      </w:pPr>
    </w:p>
    <w:p w14:paraId="5EFEA0CD" w14:textId="77777777" w:rsidR="00664420" w:rsidRPr="00C66994" w:rsidRDefault="00664420" w:rsidP="00C66994">
      <w:pPr>
        <w:ind w:right="-93"/>
        <w:rPr>
          <w:rFonts w:eastAsia="Calibri" w:cs="Tahoma"/>
          <w:szCs w:val="22"/>
          <w:lang w:val="es-ES"/>
        </w:rPr>
      </w:pPr>
    </w:p>
    <w:p w14:paraId="696BC976" w14:textId="77777777" w:rsidR="00664420" w:rsidRPr="00C66994" w:rsidRDefault="00664420" w:rsidP="00C66994">
      <w:pPr>
        <w:ind w:right="-93"/>
        <w:rPr>
          <w:rFonts w:eastAsia="Calibri" w:cs="Tahoma"/>
          <w:bCs/>
          <w:szCs w:val="22"/>
          <w:lang w:val="es-ES" w:eastAsia="en-US"/>
        </w:rPr>
      </w:pPr>
    </w:p>
    <w:p w14:paraId="671CB0C5" w14:textId="77777777" w:rsidR="00664420" w:rsidRPr="00C66994" w:rsidRDefault="00664420" w:rsidP="00C66994">
      <w:pPr>
        <w:ind w:right="-93"/>
        <w:rPr>
          <w:rFonts w:eastAsia="Calibri" w:cs="Tahoma"/>
          <w:bCs/>
          <w:szCs w:val="22"/>
          <w:lang w:val="es-ES_tradnl" w:eastAsia="en-US"/>
        </w:rPr>
      </w:pPr>
    </w:p>
    <w:p w14:paraId="52B66DE7" w14:textId="77777777" w:rsidR="00664420" w:rsidRPr="00C66994" w:rsidRDefault="00664420" w:rsidP="00C66994">
      <w:pPr>
        <w:ind w:right="-93"/>
        <w:rPr>
          <w:rFonts w:eastAsia="Calibri" w:cs="Tahoma"/>
          <w:bCs/>
          <w:szCs w:val="22"/>
          <w:lang w:val="es-ES_tradnl" w:eastAsia="en-US"/>
        </w:rPr>
      </w:pPr>
    </w:p>
    <w:p w14:paraId="3BA305D1" w14:textId="77777777" w:rsidR="00664420" w:rsidRPr="00C66994" w:rsidRDefault="00664420" w:rsidP="00C66994">
      <w:pPr>
        <w:ind w:right="-93"/>
        <w:rPr>
          <w:rFonts w:eastAsia="Calibri" w:cs="Tahoma"/>
          <w:bCs/>
          <w:szCs w:val="22"/>
          <w:lang w:val="es-ES_tradnl" w:eastAsia="en-US"/>
        </w:rPr>
      </w:pPr>
    </w:p>
    <w:p w14:paraId="78230707" w14:textId="77777777" w:rsidR="00664420" w:rsidRPr="00C66994" w:rsidRDefault="00664420" w:rsidP="00C66994">
      <w:pPr>
        <w:ind w:right="-93"/>
        <w:rPr>
          <w:rFonts w:eastAsia="Calibri" w:cs="Tahoma"/>
          <w:bCs/>
          <w:szCs w:val="22"/>
          <w:lang w:val="es-ES_tradnl" w:eastAsia="en-US"/>
        </w:rPr>
      </w:pPr>
    </w:p>
    <w:p w14:paraId="72D18B28" w14:textId="77777777" w:rsidR="00664420" w:rsidRPr="00C66994" w:rsidRDefault="00664420" w:rsidP="00C66994">
      <w:pPr>
        <w:ind w:right="-93"/>
        <w:rPr>
          <w:rFonts w:eastAsia="Calibri" w:cs="Tahoma"/>
          <w:bCs/>
          <w:szCs w:val="22"/>
          <w:lang w:val="es-ES_tradnl" w:eastAsia="en-US"/>
        </w:rPr>
      </w:pPr>
    </w:p>
    <w:p w14:paraId="6BD461DC" w14:textId="77777777" w:rsidR="00664420" w:rsidRPr="00C66994" w:rsidRDefault="00664420" w:rsidP="00C66994">
      <w:pPr>
        <w:tabs>
          <w:tab w:val="center" w:pos="4568"/>
        </w:tabs>
        <w:ind w:right="-93"/>
        <w:rPr>
          <w:rFonts w:eastAsia="Calibri" w:cs="Tahoma"/>
          <w:bCs/>
          <w:szCs w:val="22"/>
          <w:lang w:eastAsia="en-US"/>
        </w:rPr>
      </w:pPr>
    </w:p>
    <w:p w14:paraId="4DBB1727" w14:textId="77777777" w:rsidR="00664420" w:rsidRPr="00C66994" w:rsidRDefault="00664420" w:rsidP="00C66994">
      <w:pPr>
        <w:tabs>
          <w:tab w:val="center" w:pos="4568"/>
        </w:tabs>
        <w:ind w:right="-93"/>
        <w:rPr>
          <w:rFonts w:eastAsia="Calibri" w:cs="Tahoma"/>
          <w:bCs/>
          <w:szCs w:val="22"/>
          <w:lang w:eastAsia="en-US"/>
        </w:rPr>
      </w:pPr>
    </w:p>
    <w:p w14:paraId="1D74121B" w14:textId="77777777" w:rsidR="00664420" w:rsidRPr="00C66994" w:rsidRDefault="00664420" w:rsidP="00C66994">
      <w:pPr>
        <w:tabs>
          <w:tab w:val="center" w:pos="4568"/>
        </w:tabs>
        <w:ind w:right="-93"/>
        <w:rPr>
          <w:rFonts w:eastAsia="Calibri" w:cs="Tahoma"/>
          <w:bCs/>
          <w:szCs w:val="22"/>
          <w:lang w:eastAsia="en-US"/>
        </w:rPr>
      </w:pPr>
    </w:p>
    <w:p w14:paraId="08E74E9C" w14:textId="77777777" w:rsidR="00664420" w:rsidRPr="00C66994" w:rsidRDefault="00664420" w:rsidP="00C66994">
      <w:pPr>
        <w:tabs>
          <w:tab w:val="center" w:pos="4568"/>
        </w:tabs>
        <w:ind w:right="-93"/>
        <w:rPr>
          <w:rFonts w:eastAsia="Calibri" w:cs="Tahoma"/>
          <w:bCs/>
          <w:szCs w:val="22"/>
          <w:lang w:eastAsia="en-US"/>
        </w:rPr>
      </w:pPr>
    </w:p>
    <w:p w14:paraId="2CBF5E03" w14:textId="77777777" w:rsidR="00664420" w:rsidRPr="00C66994" w:rsidRDefault="00664420" w:rsidP="00C66994">
      <w:pPr>
        <w:tabs>
          <w:tab w:val="center" w:pos="4568"/>
        </w:tabs>
        <w:ind w:right="-93"/>
        <w:rPr>
          <w:rFonts w:eastAsia="Calibri" w:cs="Tahoma"/>
          <w:bCs/>
          <w:szCs w:val="22"/>
          <w:lang w:eastAsia="en-US"/>
        </w:rPr>
      </w:pPr>
    </w:p>
    <w:p w14:paraId="44865A6D" w14:textId="77777777" w:rsidR="00664420" w:rsidRPr="00C66994" w:rsidRDefault="00664420" w:rsidP="00C66994">
      <w:pPr>
        <w:tabs>
          <w:tab w:val="center" w:pos="4568"/>
        </w:tabs>
        <w:ind w:right="-93"/>
        <w:rPr>
          <w:rFonts w:eastAsia="Calibri" w:cs="Tahoma"/>
          <w:bCs/>
          <w:szCs w:val="22"/>
          <w:lang w:eastAsia="en-US"/>
        </w:rPr>
      </w:pPr>
    </w:p>
    <w:p w14:paraId="7147F06B" w14:textId="77777777" w:rsidR="00664420" w:rsidRPr="00C66994" w:rsidRDefault="00664420" w:rsidP="00C66994">
      <w:pPr>
        <w:tabs>
          <w:tab w:val="center" w:pos="4568"/>
        </w:tabs>
        <w:ind w:right="-93"/>
        <w:rPr>
          <w:rFonts w:eastAsia="Calibri" w:cs="Tahoma"/>
          <w:bCs/>
          <w:szCs w:val="22"/>
          <w:lang w:eastAsia="en-US"/>
        </w:rPr>
      </w:pPr>
    </w:p>
    <w:p w14:paraId="6FDF3D7E" w14:textId="77777777" w:rsidR="00664420" w:rsidRPr="00C66994" w:rsidRDefault="00664420" w:rsidP="00C66994">
      <w:pPr>
        <w:tabs>
          <w:tab w:val="center" w:pos="4568"/>
        </w:tabs>
        <w:ind w:right="-93"/>
        <w:rPr>
          <w:rFonts w:eastAsia="Calibri" w:cs="Tahoma"/>
          <w:bCs/>
          <w:szCs w:val="22"/>
          <w:lang w:eastAsia="en-US"/>
        </w:rPr>
      </w:pPr>
    </w:p>
    <w:p w14:paraId="6246F818" w14:textId="77777777" w:rsidR="00664420" w:rsidRPr="00C66994" w:rsidRDefault="00664420" w:rsidP="00C66994">
      <w:pPr>
        <w:tabs>
          <w:tab w:val="center" w:pos="4568"/>
        </w:tabs>
        <w:ind w:right="-93"/>
        <w:rPr>
          <w:rFonts w:eastAsia="Calibri" w:cs="Tahoma"/>
          <w:bCs/>
          <w:szCs w:val="22"/>
          <w:lang w:eastAsia="en-US"/>
        </w:rPr>
      </w:pPr>
    </w:p>
    <w:p w14:paraId="57A88B28" w14:textId="77777777" w:rsidR="00664420" w:rsidRPr="00C66994" w:rsidRDefault="00664420" w:rsidP="00C66994">
      <w:pPr>
        <w:tabs>
          <w:tab w:val="center" w:pos="4568"/>
        </w:tabs>
        <w:ind w:right="-93"/>
        <w:rPr>
          <w:rFonts w:eastAsia="Calibri" w:cs="Tahoma"/>
          <w:bCs/>
          <w:szCs w:val="22"/>
          <w:lang w:eastAsia="en-US"/>
        </w:rPr>
      </w:pPr>
    </w:p>
    <w:p w14:paraId="77EF6095" w14:textId="77777777" w:rsidR="00664420" w:rsidRPr="00C66994" w:rsidRDefault="00664420" w:rsidP="00C66994">
      <w:pPr>
        <w:tabs>
          <w:tab w:val="center" w:pos="4568"/>
        </w:tabs>
        <w:ind w:right="-93"/>
        <w:rPr>
          <w:rFonts w:eastAsia="Calibri" w:cs="Tahoma"/>
          <w:bCs/>
          <w:szCs w:val="22"/>
          <w:lang w:eastAsia="en-US"/>
        </w:rPr>
      </w:pPr>
    </w:p>
    <w:p w14:paraId="35593947" w14:textId="77777777" w:rsidR="00664420" w:rsidRPr="00C66994" w:rsidRDefault="00664420" w:rsidP="00C66994">
      <w:pPr>
        <w:tabs>
          <w:tab w:val="center" w:pos="4568"/>
        </w:tabs>
        <w:ind w:right="-93"/>
        <w:rPr>
          <w:rFonts w:eastAsia="Calibri" w:cs="Tahoma"/>
          <w:bCs/>
          <w:szCs w:val="22"/>
          <w:lang w:eastAsia="en-US"/>
        </w:rPr>
      </w:pPr>
    </w:p>
    <w:p w14:paraId="3AF72A17" w14:textId="77777777" w:rsidR="00664420" w:rsidRPr="00C66994" w:rsidRDefault="00664420" w:rsidP="00C66994">
      <w:pPr>
        <w:tabs>
          <w:tab w:val="center" w:pos="4568"/>
        </w:tabs>
        <w:ind w:right="-93"/>
        <w:rPr>
          <w:rFonts w:eastAsia="Calibri" w:cs="Tahoma"/>
          <w:bCs/>
          <w:szCs w:val="22"/>
          <w:lang w:eastAsia="en-US"/>
        </w:rPr>
      </w:pPr>
    </w:p>
    <w:p w14:paraId="37169144" w14:textId="77777777" w:rsidR="00664420" w:rsidRPr="00C66994" w:rsidRDefault="00664420" w:rsidP="00C66994">
      <w:pPr>
        <w:tabs>
          <w:tab w:val="center" w:pos="4568"/>
        </w:tabs>
        <w:ind w:right="-93"/>
        <w:rPr>
          <w:rFonts w:eastAsia="Calibri" w:cs="Tahoma"/>
          <w:bCs/>
          <w:szCs w:val="22"/>
          <w:lang w:eastAsia="en-US"/>
        </w:rPr>
      </w:pPr>
    </w:p>
    <w:p w14:paraId="77CFC088" w14:textId="77777777" w:rsidR="00664420" w:rsidRPr="00C66994" w:rsidRDefault="00664420" w:rsidP="00C66994">
      <w:pPr>
        <w:tabs>
          <w:tab w:val="center" w:pos="4568"/>
        </w:tabs>
        <w:ind w:right="-93"/>
        <w:rPr>
          <w:rFonts w:eastAsia="Calibri" w:cs="Tahoma"/>
          <w:bCs/>
          <w:szCs w:val="22"/>
          <w:lang w:eastAsia="en-US"/>
        </w:rPr>
      </w:pPr>
    </w:p>
    <w:p w14:paraId="781A11A5" w14:textId="77777777" w:rsidR="00664420" w:rsidRPr="00C66994" w:rsidRDefault="00664420" w:rsidP="00C66994">
      <w:pPr>
        <w:tabs>
          <w:tab w:val="center" w:pos="4568"/>
        </w:tabs>
        <w:ind w:right="-93"/>
        <w:rPr>
          <w:rFonts w:eastAsia="Calibri" w:cs="Tahoma"/>
          <w:bCs/>
          <w:szCs w:val="22"/>
          <w:lang w:eastAsia="en-US"/>
        </w:rPr>
      </w:pPr>
    </w:p>
    <w:p w14:paraId="5B4ADFF3" w14:textId="77777777" w:rsidR="00A131AC" w:rsidRPr="00C66994" w:rsidRDefault="00A131AC" w:rsidP="00C66994"/>
    <w:sectPr w:rsidR="00A131AC" w:rsidRPr="00C66994"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9D6AB" w14:textId="77777777" w:rsidR="009E0684" w:rsidRDefault="009E0684" w:rsidP="00664420">
      <w:pPr>
        <w:spacing w:line="240" w:lineRule="auto"/>
      </w:pPr>
      <w:r>
        <w:separator/>
      </w:r>
    </w:p>
  </w:endnote>
  <w:endnote w:type="continuationSeparator" w:id="0">
    <w:p w14:paraId="1A27CE24" w14:textId="77777777" w:rsidR="009E0684" w:rsidRDefault="009E068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35D2E" w:rsidRDefault="00335D2E">
    <w:pPr>
      <w:tabs>
        <w:tab w:val="center" w:pos="4550"/>
        <w:tab w:val="left" w:pos="5818"/>
      </w:tabs>
      <w:ind w:right="260"/>
      <w:jc w:val="right"/>
      <w:rPr>
        <w:color w:val="071320" w:themeColor="text2" w:themeShade="80"/>
        <w:sz w:val="24"/>
        <w:szCs w:val="24"/>
      </w:rPr>
    </w:pPr>
  </w:p>
  <w:p w14:paraId="1BCA7F23" w14:textId="77777777" w:rsidR="00335D2E" w:rsidRDefault="00335D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35D2E" w:rsidRDefault="00335D2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814E1" w:rsidRPr="00D814E1">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814E1" w:rsidRPr="00D814E1">
      <w:rPr>
        <w:noProof/>
        <w:color w:val="0A1D30" w:themeColor="text2" w:themeShade="BF"/>
        <w:sz w:val="24"/>
        <w:szCs w:val="24"/>
        <w:lang w:val="es-ES"/>
      </w:rPr>
      <w:t>42</w:t>
    </w:r>
    <w:r>
      <w:rPr>
        <w:color w:val="0A1D30" w:themeColor="text2" w:themeShade="BF"/>
        <w:sz w:val="24"/>
        <w:szCs w:val="24"/>
      </w:rPr>
      <w:fldChar w:fldCharType="end"/>
    </w:r>
  </w:p>
  <w:p w14:paraId="310E15C0" w14:textId="77777777" w:rsidR="00335D2E" w:rsidRDefault="00335D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22D91" w14:textId="77777777" w:rsidR="009E0684" w:rsidRDefault="009E0684" w:rsidP="00664420">
      <w:pPr>
        <w:spacing w:line="240" w:lineRule="auto"/>
      </w:pPr>
      <w:r>
        <w:separator/>
      </w:r>
    </w:p>
  </w:footnote>
  <w:footnote w:type="continuationSeparator" w:id="0">
    <w:p w14:paraId="661DF80E" w14:textId="77777777" w:rsidR="009E0684" w:rsidRDefault="009E0684"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35D2E" w:rsidRPr="00330DA7" w14:paraId="070A4B18" w14:textId="77777777" w:rsidTr="003F35FD">
      <w:trPr>
        <w:trHeight w:val="144"/>
        <w:jc w:val="right"/>
      </w:trPr>
      <w:tc>
        <w:tcPr>
          <w:tcW w:w="2727" w:type="dxa"/>
        </w:tcPr>
        <w:p w14:paraId="62B7493A" w14:textId="77777777" w:rsidR="00335D2E" w:rsidRPr="00330DA7" w:rsidRDefault="00335D2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3DD7F5D" w:rsidR="00335D2E" w:rsidRPr="00A90C72" w:rsidRDefault="00335D2E" w:rsidP="003F35FD">
          <w:pPr>
            <w:tabs>
              <w:tab w:val="right" w:pos="8838"/>
            </w:tabs>
            <w:ind w:left="-74" w:right="-105"/>
            <w:rPr>
              <w:rFonts w:eastAsia="Calibri" w:cs="Tahoma"/>
              <w:szCs w:val="22"/>
              <w:lang w:eastAsia="en-US"/>
            </w:rPr>
          </w:pPr>
          <w:r w:rsidRPr="00216474">
            <w:rPr>
              <w:rFonts w:eastAsia="Calibri" w:cs="Tahoma"/>
              <w:szCs w:val="22"/>
              <w:lang w:eastAsia="en-US"/>
            </w:rPr>
            <w:t>06172/INFOEM/IP/RR/2024</w:t>
          </w:r>
          <w:r>
            <w:rPr>
              <w:rFonts w:eastAsia="Calibri" w:cs="Tahoma"/>
              <w:szCs w:val="22"/>
              <w:lang w:eastAsia="en-US"/>
            </w:rPr>
            <w:t xml:space="preserve"> y acumulados</w:t>
          </w:r>
        </w:p>
      </w:tc>
    </w:tr>
    <w:tr w:rsidR="00335D2E" w:rsidRPr="00330DA7" w14:paraId="4521E058" w14:textId="77777777" w:rsidTr="003F35FD">
      <w:trPr>
        <w:trHeight w:val="283"/>
        <w:jc w:val="right"/>
      </w:trPr>
      <w:tc>
        <w:tcPr>
          <w:tcW w:w="2727" w:type="dxa"/>
        </w:tcPr>
        <w:p w14:paraId="0B68C086" w14:textId="77777777" w:rsidR="00335D2E" w:rsidRPr="00330DA7" w:rsidRDefault="00335D2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0665D45" w:rsidR="00335D2E" w:rsidRPr="00952DD0" w:rsidRDefault="00335D2E" w:rsidP="003F35FD">
          <w:pPr>
            <w:tabs>
              <w:tab w:val="left" w:pos="2834"/>
              <w:tab w:val="right" w:pos="8838"/>
            </w:tabs>
            <w:ind w:left="-108" w:right="-105"/>
            <w:rPr>
              <w:rFonts w:eastAsia="Calibri" w:cs="Tahoma"/>
              <w:szCs w:val="22"/>
              <w:lang w:eastAsia="en-US"/>
            </w:rPr>
          </w:pPr>
          <w:r w:rsidRPr="00216474">
            <w:rPr>
              <w:rFonts w:eastAsia="Calibri" w:cs="Tahoma"/>
              <w:szCs w:val="22"/>
              <w:lang w:eastAsia="en-US"/>
            </w:rPr>
            <w:t>Unidad de Asuntos Internos</w:t>
          </w:r>
        </w:p>
      </w:tc>
    </w:tr>
    <w:tr w:rsidR="00335D2E" w:rsidRPr="00330DA7" w14:paraId="6331D9B6" w14:textId="77777777" w:rsidTr="003F35FD">
      <w:trPr>
        <w:trHeight w:val="283"/>
        <w:jc w:val="right"/>
      </w:trPr>
      <w:tc>
        <w:tcPr>
          <w:tcW w:w="2727" w:type="dxa"/>
        </w:tcPr>
        <w:p w14:paraId="3FA86BAE" w14:textId="29B1B6EF" w:rsidR="00335D2E" w:rsidRPr="00330DA7" w:rsidRDefault="00335D2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335D2E" w:rsidRPr="00EA66FC" w:rsidRDefault="00335D2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35D2E" w:rsidRPr="00443C6B" w:rsidRDefault="00335D2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35D2E" w:rsidRPr="00330DA7" w14:paraId="29CFF901" w14:textId="77777777" w:rsidTr="00664733">
      <w:trPr>
        <w:trHeight w:val="1435"/>
      </w:trPr>
      <w:tc>
        <w:tcPr>
          <w:tcW w:w="283" w:type="dxa"/>
          <w:shd w:val="clear" w:color="auto" w:fill="auto"/>
        </w:tcPr>
        <w:p w14:paraId="046B9F8F" w14:textId="77777777" w:rsidR="00335D2E" w:rsidRPr="00330DA7" w:rsidRDefault="00335D2E" w:rsidP="0066473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35D2E" w:rsidRPr="00330DA7" w14:paraId="04F272D2" w14:textId="77777777" w:rsidTr="00664733">
            <w:trPr>
              <w:trHeight w:val="144"/>
            </w:trPr>
            <w:tc>
              <w:tcPr>
                <w:tcW w:w="2727" w:type="dxa"/>
              </w:tcPr>
              <w:p w14:paraId="2FD4DBF6" w14:textId="77777777" w:rsidR="00335D2E" w:rsidRPr="00330DA7" w:rsidRDefault="00335D2E" w:rsidP="0066473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903CAA5" w:rsidR="00335D2E" w:rsidRPr="00A90C72" w:rsidRDefault="00335D2E" w:rsidP="00664733">
                <w:pPr>
                  <w:tabs>
                    <w:tab w:val="right" w:pos="8838"/>
                  </w:tabs>
                  <w:ind w:left="-74" w:right="-105"/>
                  <w:rPr>
                    <w:rFonts w:eastAsia="Calibri" w:cs="Tahoma"/>
                    <w:szCs w:val="22"/>
                    <w:lang w:eastAsia="en-US"/>
                  </w:rPr>
                </w:pPr>
                <w:r w:rsidRPr="00216474">
                  <w:rPr>
                    <w:rFonts w:eastAsia="Calibri" w:cs="Tahoma"/>
                    <w:szCs w:val="22"/>
                    <w:lang w:eastAsia="en-US"/>
                  </w:rPr>
                  <w:t>06172/INFOEM/IP/RR/2024</w:t>
                </w:r>
                <w:r>
                  <w:rPr>
                    <w:rFonts w:eastAsia="Calibri" w:cs="Tahoma"/>
                    <w:szCs w:val="22"/>
                    <w:lang w:eastAsia="en-US"/>
                  </w:rPr>
                  <w:t xml:space="preserve"> y acumulados </w:t>
                </w:r>
              </w:p>
            </w:tc>
            <w:tc>
              <w:tcPr>
                <w:tcW w:w="3402" w:type="dxa"/>
              </w:tcPr>
              <w:p w14:paraId="71DEA1CF" w14:textId="77777777" w:rsidR="00335D2E" w:rsidRDefault="00335D2E" w:rsidP="00664733">
                <w:pPr>
                  <w:tabs>
                    <w:tab w:val="right" w:pos="8838"/>
                  </w:tabs>
                  <w:ind w:left="-74" w:right="-105"/>
                  <w:rPr>
                    <w:rFonts w:eastAsia="Calibri" w:cs="Tahoma"/>
                    <w:szCs w:val="22"/>
                    <w:lang w:eastAsia="en-US"/>
                  </w:rPr>
                </w:pPr>
              </w:p>
            </w:tc>
          </w:tr>
          <w:tr w:rsidR="00335D2E" w:rsidRPr="00330DA7" w14:paraId="05C58951" w14:textId="77777777" w:rsidTr="00664733">
            <w:trPr>
              <w:trHeight w:val="144"/>
            </w:trPr>
            <w:tc>
              <w:tcPr>
                <w:tcW w:w="2727" w:type="dxa"/>
              </w:tcPr>
              <w:p w14:paraId="642B9610" w14:textId="77777777" w:rsidR="00335D2E" w:rsidRPr="00330DA7" w:rsidRDefault="00335D2E" w:rsidP="0066473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BEA433E" w:rsidR="00335D2E" w:rsidRPr="005F19B1" w:rsidRDefault="00D814E1" w:rsidP="00664733">
                <w:pPr>
                  <w:tabs>
                    <w:tab w:val="left" w:pos="3122"/>
                    <w:tab w:val="right" w:pos="8838"/>
                  </w:tabs>
                  <w:ind w:left="-105" w:right="-105"/>
                  <w:rPr>
                    <w:rFonts w:eastAsia="Calibri" w:cs="Tahoma"/>
                    <w:szCs w:val="22"/>
                    <w:lang w:eastAsia="en-US"/>
                  </w:rPr>
                </w:pPr>
                <w:r>
                  <w:rPr>
                    <w:rFonts w:eastAsia="Calibri" w:cs="Tahoma"/>
                    <w:szCs w:val="22"/>
                    <w:lang w:eastAsia="en-US"/>
                  </w:rPr>
                  <w:t>XXXXXXXXXXXXX XXX XXXXXX</w:t>
                </w:r>
              </w:p>
            </w:tc>
            <w:tc>
              <w:tcPr>
                <w:tcW w:w="3402" w:type="dxa"/>
              </w:tcPr>
              <w:p w14:paraId="73F47F53" w14:textId="77777777" w:rsidR="00335D2E" w:rsidRPr="005F19B1" w:rsidRDefault="00335D2E" w:rsidP="00664733">
                <w:pPr>
                  <w:tabs>
                    <w:tab w:val="left" w:pos="3122"/>
                    <w:tab w:val="right" w:pos="8838"/>
                  </w:tabs>
                  <w:ind w:left="-105" w:right="-105"/>
                  <w:rPr>
                    <w:rFonts w:eastAsia="Calibri" w:cs="Tahoma"/>
                    <w:szCs w:val="22"/>
                    <w:lang w:eastAsia="en-US"/>
                  </w:rPr>
                </w:pPr>
              </w:p>
            </w:tc>
          </w:tr>
          <w:bookmarkEnd w:id="1"/>
          <w:tr w:rsidR="00335D2E" w:rsidRPr="00330DA7" w14:paraId="00E6CDC1" w14:textId="77777777" w:rsidTr="00664733">
            <w:trPr>
              <w:trHeight w:val="283"/>
            </w:trPr>
            <w:tc>
              <w:tcPr>
                <w:tcW w:w="2727" w:type="dxa"/>
              </w:tcPr>
              <w:p w14:paraId="0631AD24" w14:textId="77777777" w:rsidR="00335D2E" w:rsidRPr="00330DA7" w:rsidRDefault="00335D2E" w:rsidP="0066473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4177F6D" w:rsidR="00335D2E" w:rsidRPr="00952DD0" w:rsidRDefault="00335D2E" w:rsidP="00664733">
                <w:pPr>
                  <w:tabs>
                    <w:tab w:val="left" w:pos="2834"/>
                    <w:tab w:val="right" w:pos="8838"/>
                  </w:tabs>
                  <w:ind w:left="-108" w:right="-105"/>
                  <w:rPr>
                    <w:rFonts w:eastAsia="Calibri" w:cs="Tahoma"/>
                    <w:szCs w:val="22"/>
                    <w:lang w:eastAsia="en-US"/>
                  </w:rPr>
                </w:pPr>
                <w:r w:rsidRPr="00216474">
                  <w:rPr>
                    <w:rFonts w:eastAsia="Calibri" w:cs="Tahoma"/>
                    <w:szCs w:val="22"/>
                    <w:lang w:eastAsia="en-US"/>
                  </w:rPr>
                  <w:t>Unidad de Asuntos Internos</w:t>
                </w:r>
              </w:p>
            </w:tc>
            <w:tc>
              <w:tcPr>
                <w:tcW w:w="3402" w:type="dxa"/>
              </w:tcPr>
              <w:p w14:paraId="3A7DA319" w14:textId="77777777" w:rsidR="00335D2E" w:rsidRPr="00A90C72" w:rsidRDefault="00335D2E" w:rsidP="00664733">
                <w:pPr>
                  <w:tabs>
                    <w:tab w:val="left" w:pos="2834"/>
                    <w:tab w:val="right" w:pos="8838"/>
                  </w:tabs>
                  <w:ind w:left="-108" w:right="-105"/>
                  <w:rPr>
                    <w:rFonts w:eastAsia="Calibri" w:cs="Tahoma"/>
                    <w:szCs w:val="22"/>
                    <w:lang w:eastAsia="en-US"/>
                  </w:rPr>
                </w:pPr>
              </w:p>
            </w:tc>
          </w:tr>
          <w:tr w:rsidR="00335D2E" w:rsidRPr="00330DA7" w14:paraId="0F6CD8D2" w14:textId="77777777" w:rsidTr="00664733">
            <w:trPr>
              <w:trHeight w:val="283"/>
            </w:trPr>
            <w:tc>
              <w:tcPr>
                <w:tcW w:w="2727" w:type="dxa"/>
              </w:tcPr>
              <w:p w14:paraId="31700628" w14:textId="66F30D43" w:rsidR="00335D2E" w:rsidRPr="00330DA7" w:rsidRDefault="00335D2E" w:rsidP="0066473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335D2E" w:rsidRPr="00EA66FC" w:rsidRDefault="00335D2E" w:rsidP="0066473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35D2E" w:rsidRPr="00330DA7" w:rsidRDefault="00335D2E" w:rsidP="00664733">
                <w:pPr>
                  <w:tabs>
                    <w:tab w:val="right" w:pos="8838"/>
                  </w:tabs>
                  <w:ind w:left="-108" w:right="-105"/>
                  <w:rPr>
                    <w:rFonts w:eastAsia="Calibri" w:cs="Tahoma"/>
                    <w:szCs w:val="22"/>
                    <w:lang w:eastAsia="en-US"/>
                  </w:rPr>
                </w:pPr>
              </w:p>
            </w:tc>
          </w:tr>
        </w:tbl>
        <w:p w14:paraId="5DC6AC61" w14:textId="77777777" w:rsidR="00335D2E" w:rsidRPr="00330DA7" w:rsidRDefault="00335D2E" w:rsidP="00664733">
          <w:pPr>
            <w:tabs>
              <w:tab w:val="right" w:pos="8838"/>
            </w:tabs>
            <w:ind w:left="-28"/>
            <w:rPr>
              <w:rFonts w:ascii="Arial" w:eastAsia="Calibri" w:hAnsi="Arial" w:cs="Arial"/>
              <w:b/>
              <w:szCs w:val="22"/>
              <w:lang w:eastAsia="en-US"/>
            </w:rPr>
          </w:pPr>
        </w:p>
      </w:tc>
    </w:tr>
  </w:tbl>
  <w:p w14:paraId="2A906731" w14:textId="77777777" w:rsidR="00335D2E" w:rsidRPr="00765661" w:rsidRDefault="009E0684" w:rsidP="0066473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68.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E20"/>
    <w:multiLevelType w:val="hybridMultilevel"/>
    <w:tmpl w:val="393AD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CF44779"/>
    <w:multiLevelType w:val="hybridMultilevel"/>
    <w:tmpl w:val="7ACC5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A31502"/>
    <w:multiLevelType w:val="hybridMultilevel"/>
    <w:tmpl w:val="601C7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FF7253"/>
    <w:multiLevelType w:val="hybridMultilevel"/>
    <w:tmpl w:val="66F2DB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182B0C"/>
    <w:multiLevelType w:val="hybridMultilevel"/>
    <w:tmpl w:val="5E126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E42464B"/>
    <w:multiLevelType w:val="hybridMultilevel"/>
    <w:tmpl w:val="FB466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601C56"/>
    <w:multiLevelType w:val="hybridMultilevel"/>
    <w:tmpl w:val="AD2040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1510FAA"/>
    <w:multiLevelType w:val="hybridMultilevel"/>
    <w:tmpl w:val="0052B9EA"/>
    <w:lvl w:ilvl="0" w:tplc="8D06B61C">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71B048AF"/>
    <w:multiLevelType w:val="hybridMultilevel"/>
    <w:tmpl w:val="3F889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C20B78"/>
    <w:multiLevelType w:val="hybridMultilevel"/>
    <w:tmpl w:val="D99E2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C5109A"/>
    <w:multiLevelType w:val="multilevel"/>
    <w:tmpl w:val="48C62B4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num>
  <w:num w:numId="3">
    <w:abstractNumId w:val="21"/>
  </w:num>
  <w:num w:numId="4">
    <w:abstractNumId w:val="6"/>
  </w:num>
  <w:num w:numId="5">
    <w:abstractNumId w:val="3"/>
  </w:num>
  <w:num w:numId="6">
    <w:abstractNumId w:val="24"/>
  </w:num>
  <w:num w:numId="7">
    <w:abstractNumId w:val="15"/>
  </w:num>
  <w:num w:numId="8">
    <w:abstractNumId w:val="5"/>
  </w:num>
  <w:num w:numId="9">
    <w:abstractNumId w:val="14"/>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2"/>
  </w:num>
  <w:num w:numId="14">
    <w:abstractNumId w:val="4"/>
  </w:num>
  <w:num w:numId="15">
    <w:abstractNumId w:val="16"/>
  </w:num>
  <w:num w:numId="16">
    <w:abstractNumId w:val="20"/>
  </w:num>
  <w:num w:numId="17">
    <w:abstractNumId w:val="10"/>
  </w:num>
  <w:num w:numId="18">
    <w:abstractNumId w:val="0"/>
  </w:num>
  <w:num w:numId="19">
    <w:abstractNumId w:val="9"/>
  </w:num>
  <w:num w:numId="20">
    <w:abstractNumId w:val="19"/>
  </w:num>
  <w:num w:numId="21">
    <w:abstractNumId w:val="17"/>
  </w:num>
  <w:num w:numId="22">
    <w:abstractNumId w:val="23"/>
  </w:num>
  <w:num w:numId="23">
    <w:abstractNumId w:val="25"/>
  </w:num>
  <w:num w:numId="24">
    <w:abstractNumId w:val="26"/>
  </w:num>
  <w:num w:numId="25">
    <w:abstractNumId w:val="1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6346"/>
    <w:rsid w:val="0002479C"/>
    <w:rsid w:val="000318BC"/>
    <w:rsid w:val="00053A9E"/>
    <w:rsid w:val="00057B2D"/>
    <w:rsid w:val="00060347"/>
    <w:rsid w:val="00062D2C"/>
    <w:rsid w:val="00080071"/>
    <w:rsid w:val="000B7759"/>
    <w:rsid w:val="000D0D67"/>
    <w:rsid w:val="000E09C4"/>
    <w:rsid w:val="0011350D"/>
    <w:rsid w:val="00134A1E"/>
    <w:rsid w:val="00141876"/>
    <w:rsid w:val="0014207B"/>
    <w:rsid w:val="00150C49"/>
    <w:rsid w:val="00176A8F"/>
    <w:rsid w:val="00185B3C"/>
    <w:rsid w:val="001974BD"/>
    <w:rsid w:val="001A58B3"/>
    <w:rsid w:val="001C763C"/>
    <w:rsid w:val="001C7688"/>
    <w:rsid w:val="001D28A5"/>
    <w:rsid w:val="001F3515"/>
    <w:rsid w:val="00216474"/>
    <w:rsid w:val="0022088B"/>
    <w:rsid w:val="00233005"/>
    <w:rsid w:val="00233F17"/>
    <w:rsid w:val="00260FBA"/>
    <w:rsid w:val="0027417A"/>
    <w:rsid w:val="002A0421"/>
    <w:rsid w:val="002A3601"/>
    <w:rsid w:val="002A5A95"/>
    <w:rsid w:val="002B7C6F"/>
    <w:rsid w:val="002D111C"/>
    <w:rsid w:val="002D798B"/>
    <w:rsid w:val="002E34E3"/>
    <w:rsid w:val="00302476"/>
    <w:rsid w:val="00331F35"/>
    <w:rsid w:val="00335CDF"/>
    <w:rsid w:val="00335D2E"/>
    <w:rsid w:val="003617EC"/>
    <w:rsid w:val="00362A11"/>
    <w:rsid w:val="003A40C1"/>
    <w:rsid w:val="003A67D6"/>
    <w:rsid w:val="003B4166"/>
    <w:rsid w:val="003B5D3E"/>
    <w:rsid w:val="003E5692"/>
    <w:rsid w:val="003F35FD"/>
    <w:rsid w:val="0041385B"/>
    <w:rsid w:val="00421838"/>
    <w:rsid w:val="00441BFA"/>
    <w:rsid w:val="00454FBD"/>
    <w:rsid w:val="00486201"/>
    <w:rsid w:val="00487880"/>
    <w:rsid w:val="004D7CD8"/>
    <w:rsid w:val="004E5068"/>
    <w:rsid w:val="004E6F66"/>
    <w:rsid w:val="004F7A00"/>
    <w:rsid w:val="00523F48"/>
    <w:rsid w:val="005365FA"/>
    <w:rsid w:val="005723CB"/>
    <w:rsid w:val="00575400"/>
    <w:rsid w:val="005B18AF"/>
    <w:rsid w:val="005D00A2"/>
    <w:rsid w:val="005D10C4"/>
    <w:rsid w:val="005D5A50"/>
    <w:rsid w:val="005E2E91"/>
    <w:rsid w:val="005F5301"/>
    <w:rsid w:val="005F65B7"/>
    <w:rsid w:val="006067C7"/>
    <w:rsid w:val="006159AD"/>
    <w:rsid w:val="00622553"/>
    <w:rsid w:val="006230B1"/>
    <w:rsid w:val="00625BCF"/>
    <w:rsid w:val="006448AF"/>
    <w:rsid w:val="00646436"/>
    <w:rsid w:val="00664420"/>
    <w:rsid w:val="00664733"/>
    <w:rsid w:val="00671C7E"/>
    <w:rsid w:val="00697C2E"/>
    <w:rsid w:val="00697FF3"/>
    <w:rsid w:val="006A646A"/>
    <w:rsid w:val="006B10B0"/>
    <w:rsid w:val="006E25BC"/>
    <w:rsid w:val="006E2E18"/>
    <w:rsid w:val="006E6BBC"/>
    <w:rsid w:val="006F7768"/>
    <w:rsid w:val="00703347"/>
    <w:rsid w:val="00717E59"/>
    <w:rsid w:val="00775BFC"/>
    <w:rsid w:val="00784235"/>
    <w:rsid w:val="007A3459"/>
    <w:rsid w:val="007B6074"/>
    <w:rsid w:val="007C7650"/>
    <w:rsid w:val="007D1C55"/>
    <w:rsid w:val="007D317F"/>
    <w:rsid w:val="007F5D06"/>
    <w:rsid w:val="00805A6E"/>
    <w:rsid w:val="00833778"/>
    <w:rsid w:val="00860496"/>
    <w:rsid w:val="00860D7F"/>
    <w:rsid w:val="00862853"/>
    <w:rsid w:val="00865CF4"/>
    <w:rsid w:val="00876DBC"/>
    <w:rsid w:val="008A6003"/>
    <w:rsid w:val="008A6F88"/>
    <w:rsid w:val="008B104A"/>
    <w:rsid w:val="008B1E16"/>
    <w:rsid w:val="008E1316"/>
    <w:rsid w:val="00910FD2"/>
    <w:rsid w:val="00911A4C"/>
    <w:rsid w:val="00931437"/>
    <w:rsid w:val="00953430"/>
    <w:rsid w:val="00960D82"/>
    <w:rsid w:val="00970EB3"/>
    <w:rsid w:val="00974619"/>
    <w:rsid w:val="009803B0"/>
    <w:rsid w:val="009A2D78"/>
    <w:rsid w:val="009A7C10"/>
    <w:rsid w:val="009B0E3C"/>
    <w:rsid w:val="009B2945"/>
    <w:rsid w:val="009D3B74"/>
    <w:rsid w:val="009E0684"/>
    <w:rsid w:val="009E2DEE"/>
    <w:rsid w:val="009F797C"/>
    <w:rsid w:val="00A041A8"/>
    <w:rsid w:val="00A131AC"/>
    <w:rsid w:val="00A16D85"/>
    <w:rsid w:val="00A21A20"/>
    <w:rsid w:val="00A36A99"/>
    <w:rsid w:val="00A53315"/>
    <w:rsid w:val="00A70EF0"/>
    <w:rsid w:val="00A9208D"/>
    <w:rsid w:val="00A96BFC"/>
    <w:rsid w:val="00A97B5B"/>
    <w:rsid w:val="00AA6EA9"/>
    <w:rsid w:val="00AC2DB8"/>
    <w:rsid w:val="00AC3CA0"/>
    <w:rsid w:val="00AE3DA7"/>
    <w:rsid w:val="00AF03C4"/>
    <w:rsid w:val="00B22A80"/>
    <w:rsid w:val="00B413B4"/>
    <w:rsid w:val="00BA55A8"/>
    <w:rsid w:val="00BB2ABF"/>
    <w:rsid w:val="00BB64F4"/>
    <w:rsid w:val="00BC1D71"/>
    <w:rsid w:val="00BC7DCE"/>
    <w:rsid w:val="00BD3F4F"/>
    <w:rsid w:val="00BD5A7C"/>
    <w:rsid w:val="00BE7A1B"/>
    <w:rsid w:val="00BF0221"/>
    <w:rsid w:val="00BF091A"/>
    <w:rsid w:val="00BF4EAD"/>
    <w:rsid w:val="00C049E2"/>
    <w:rsid w:val="00C10C62"/>
    <w:rsid w:val="00C17403"/>
    <w:rsid w:val="00C36795"/>
    <w:rsid w:val="00C461EC"/>
    <w:rsid w:val="00C507D4"/>
    <w:rsid w:val="00C66994"/>
    <w:rsid w:val="00C6774B"/>
    <w:rsid w:val="00C7126F"/>
    <w:rsid w:val="00C71CEF"/>
    <w:rsid w:val="00C72DAA"/>
    <w:rsid w:val="00C80B14"/>
    <w:rsid w:val="00C92963"/>
    <w:rsid w:val="00CB7E9A"/>
    <w:rsid w:val="00CD0B92"/>
    <w:rsid w:val="00CE29D3"/>
    <w:rsid w:val="00CF2D8B"/>
    <w:rsid w:val="00CF7586"/>
    <w:rsid w:val="00D036D3"/>
    <w:rsid w:val="00D2790D"/>
    <w:rsid w:val="00D51ECD"/>
    <w:rsid w:val="00D6170E"/>
    <w:rsid w:val="00D70A4E"/>
    <w:rsid w:val="00D80A05"/>
    <w:rsid w:val="00D814E1"/>
    <w:rsid w:val="00D91CB4"/>
    <w:rsid w:val="00DB1C09"/>
    <w:rsid w:val="00DC57B6"/>
    <w:rsid w:val="00DE1133"/>
    <w:rsid w:val="00E16BF5"/>
    <w:rsid w:val="00E37A3F"/>
    <w:rsid w:val="00E37D3C"/>
    <w:rsid w:val="00E53550"/>
    <w:rsid w:val="00E62E6A"/>
    <w:rsid w:val="00E83EF5"/>
    <w:rsid w:val="00E85047"/>
    <w:rsid w:val="00E9335C"/>
    <w:rsid w:val="00ED1C1E"/>
    <w:rsid w:val="00EE2AF2"/>
    <w:rsid w:val="00EF3107"/>
    <w:rsid w:val="00EF5B43"/>
    <w:rsid w:val="00F07EE6"/>
    <w:rsid w:val="00F27141"/>
    <w:rsid w:val="00F33CC8"/>
    <w:rsid w:val="00F4481C"/>
    <w:rsid w:val="00F65193"/>
    <w:rsid w:val="00F75D23"/>
    <w:rsid w:val="00F97C0F"/>
    <w:rsid w:val="00FA5957"/>
    <w:rsid w:val="00FB610C"/>
    <w:rsid w:val="00FC3CE0"/>
    <w:rsid w:val="00FD06A8"/>
    <w:rsid w:val="00FF53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3669">
      <w:bodyDiv w:val="1"/>
      <w:marLeft w:val="0"/>
      <w:marRight w:val="0"/>
      <w:marTop w:val="0"/>
      <w:marBottom w:val="0"/>
      <w:divBdr>
        <w:top w:val="none" w:sz="0" w:space="0" w:color="auto"/>
        <w:left w:val="none" w:sz="0" w:space="0" w:color="auto"/>
        <w:bottom w:val="none" w:sz="0" w:space="0" w:color="auto"/>
        <w:right w:val="none" w:sz="0" w:space="0" w:color="auto"/>
      </w:divBdr>
    </w:div>
    <w:div w:id="142552614">
      <w:bodyDiv w:val="1"/>
      <w:marLeft w:val="0"/>
      <w:marRight w:val="0"/>
      <w:marTop w:val="0"/>
      <w:marBottom w:val="0"/>
      <w:divBdr>
        <w:top w:val="none" w:sz="0" w:space="0" w:color="auto"/>
        <w:left w:val="none" w:sz="0" w:space="0" w:color="auto"/>
        <w:bottom w:val="none" w:sz="0" w:space="0" w:color="auto"/>
        <w:right w:val="none" w:sz="0" w:space="0" w:color="auto"/>
      </w:divBdr>
    </w:div>
    <w:div w:id="560215774">
      <w:bodyDiv w:val="1"/>
      <w:marLeft w:val="0"/>
      <w:marRight w:val="0"/>
      <w:marTop w:val="0"/>
      <w:marBottom w:val="0"/>
      <w:divBdr>
        <w:top w:val="none" w:sz="0" w:space="0" w:color="auto"/>
        <w:left w:val="none" w:sz="0" w:space="0" w:color="auto"/>
        <w:bottom w:val="none" w:sz="0" w:space="0" w:color="auto"/>
        <w:right w:val="none" w:sz="0" w:space="0" w:color="auto"/>
      </w:divBdr>
      <w:divsChild>
        <w:div w:id="1744714268">
          <w:marLeft w:val="0"/>
          <w:marRight w:val="0"/>
          <w:marTop w:val="0"/>
          <w:marBottom w:val="101"/>
          <w:divBdr>
            <w:top w:val="none" w:sz="0" w:space="0" w:color="auto"/>
            <w:left w:val="none" w:sz="0" w:space="0" w:color="auto"/>
            <w:bottom w:val="none" w:sz="0" w:space="0" w:color="auto"/>
            <w:right w:val="none" w:sz="0" w:space="0" w:color="auto"/>
          </w:divBdr>
        </w:div>
        <w:div w:id="1795319792">
          <w:marLeft w:val="864"/>
          <w:marRight w:val="0"/>
          <w:marTop w:val="0"/>
          <w:marBottom w:val="101"/>
          <w:divBdr>
            <w:top w:val="none" w:sz="0" w:space="0" w:color="auto"/>
            <w:left w:val="none" w:sz="0" w:space="0" w:color="auto"/>
            <w:bottom w:val="none" w:sz="0" w:space="0" w:color="auto"/>
            <w:right w:val="none" w:sz="0" w:space="0" w:color="auto"/>
          </w:divBdr>
        </w:div>
        <w:div w:id="303127173">
          <w:marLeft w:val="864"/>
          <w:marRight w:val="0"/>
          <w:marTop w:val="0"/>
          <w:marBottom w:val="101"/>
          <w:divBdr>
            <w:top w:val="none" w:sz="0" w:space="0" w:color="auto"/>
            <w:left w:val="none" w:sz="0" w:space="0" w:color="auto"/>
            <w:bottom w:val="none" w:sz="0" w:space="0" w:color="auto"/>
            <w:right w:val="none" w:sz="0" w:space="0" w:color="auto"/>
          </w:divBdr>
        </w:div>
        <w:div w:id="1155606014">
          <w:marLeft w:val="864"/>
          <w:marRight w:val="0"/>
          <w:marTop w:val="0"/>
          <w:marBottom w:val="101"/>
          <w:divBdr>
            <w:top w:val="none" w:sz="0" w:space="0" w:color="auto"/>
            <w:left w:val="none" w:sz="0" w:space="0" w:color="auto"/>
            <w:bottom w:val="none" w:sz="0" w:space="0" w:color="auto"/>
            <w:right w:val="none" w:sz="0" w:space="0" w:color="auto"/>
          </w:divBdr>
        </w:div>
        <w:div w:id="256643391">
          <w:marLeft w:val="864"/>
          <w:marRight w:val="0"/>
          <w:marTop w:val="0"/>
          <w:marBottom w:val="101"/>
          <w:divBdr>
            <w:top w:val="none" w:sz="0" w:space="0" w:color="auto"/>
            <w:left w:val="none" w:sz="0" w:space="0" w:color="auto"/>
            <w:bottom w:val="none" w:sz="0" w:space="0" w:color="auto"/>
            <w:right w:val="none" w:sz="0" w:space="0" w:color="auto"/>
          </w:divBdr>
        </w:div>
      </w:divsChild>
    </w:div>
    <w:div w:id="798492450">
      <w:bodyDiv w:val="1"/>
      <w:marLeft w:val="0"/>
      <w:marRight w:val="0"/>
      <w:marTop w:val="0"/>
      <w:marBottom w:val="0"/>
      <w:divBdr>
        <w:top w:val="none" w:sz="0" w:space="0" w:color="auto"/>
        <w:left w:val="none" w:sz="0" w:space="0" w:color="auto"/>
        <w:bottom w:val="none" w:sz="0" w:space="0" w:color="auto"/>
        <w:right w:val="none" w:sz="0" w:space="0" w:color="auto"/>
      </w:divBdr>
    </w:div>
    <w:div w:id="812016544">
      <w:bodyDiv w:val="1"/>
      <w:marLeft w:val="0"/>
      <w:marRight w:val="0"/>
      <w:marTop w:val="0"/>
      <w:marBottom w:val="0"/>
      <w:divBdr>
        <w:top w:val="none" w:sz="0" w:space="0" w:color="auto"/>
        <w:left w:val="none" w:sz="0" w:space="0" w:color="auto"/>
        <w:bottom w:val="none" w:sz="0" w:space="0" w:color="auto"/>
        <w:right w:val="none" w:sz="0" w:space="0" w:color="auto"/>
      </w:divBdr>
    </w:div>
    <w:div w:id="1125586014">
      <w:bodyDiv w:val="1"/>
      <w:marLeft w:val="0"/>
      <w:marRight w:val="0"/>
      <w:marTop w:val="0"/>
      <w:marBottom w:val="0"/>
      <w:divBdr>
        <w:top w:val="none" w:sz="0" w:space="0" w:color="auto"/>
        <w:left w:val="none" w:sz="0" w:space="0" w:color="auto"/>
        <w:bottom w:val="none" w:sz="0" w:space="0" w:color="auto"/>
        <w:right w:val="none" w:sz="0" w:space="0" w:color="auto"/>
      </w:divBdr>
    </w:div>
    <w:div w:id="1275137921">
      <w:bodyDiv w:val="1"/>
      <w:marLeft w:val="0"/>
      <w:marRight w:val="0"/>
      <w:marTop w:val="0"/>
      <w:marBottom w:val="0"/>
      <w:divBdr>
        <w:top w:val="none" w:sz="0" w:space="0" w:color="auto"/>
        <w:left w:val="none" w:sz="0" w:space="0" w:color="auto"/>
        <w:bottom w:val="none" w:sz="0" w:space="0" w:color="auto"/>
        <w:right w:val="none" w:sz="0" w:space="0" w:color="auto"/>
      </w:divBdr>
    </w:div>
    <w:div w:id="1276139058">
      <w:bodyDiv w:val="1"/>
      <w:marLeft w:val="0"/>
      <w:marRight w:val="0"/>
      <w:marTop w:val="0"/>
      <w:marBottom w:val="0"/>
      <w:divBdr>
        <w:top w:val="none" w:sz="0" w:space="0" w:color="auto"/>
        <w:left w:val="none" w:sz="0" w:space="0" w:color="auto"/>
        <w:bottom w:val="none" w:sz="0" w:space="0" w:color="auto"/>
        <w:right w:val="none" w:sz="0" w:space="0" w:color="auto"/>
      </w:divBdr>
    </w:div>
    <w:div w:id="1424641299">
      <w:bodyDiv w:val="1"/>
      <w:marLeft w:val="0"/>
      <w:marRight w:val="0"/>
      <w:marTop w:val="0"/>
      <w:marBottom w:val="0"/>
      <w:divBdr>
        <w:top w:val="none" w:sz="0" w:space="0" w:color="auto"/>
        <w:left w:val="none" w:sz="0" w:space="0" w:color="auto"/>
        <w:bottom w:val="none" w:sz="0" w:space="0" w:color="auto"/>
        <w:right w:val="none" w:sz="0" w:space="0" w:color="auto"/>
      </w:divBdr>
      <w:divsChild>
        <w:div w:id="1792623274">
          <w:marLeft w:val="0"/>
          <w:marRight w:val="0"/>
          <w:marTop w:val="0"/>
          <w:marBottom w:val="101"/>
          <w:divBdr>
            <w:top w:val="none" w:sz="0" w:space="0" w:color="auto"/>
            <w:left w:val="none" w:sz="0" w:space="0" w:color="auto"/>
            <w:bottom w:val="none" w:sz="0" w:space="0" w:color="auto"/>
            <w:right w:val="none" w:sz="0" w:space="0" w:color="auto"/>
          </w:divBdr>
        </w:div>
        <w:div w:id="110825224">
          <w:marLeft w:val="864"/>
          <w:marRight w:val="0"/>
          <w:marTop w:val="0"/>
          <w:marBottom w:val="101"/>
          <w:divBdr>
            <w:top w:val="none" w:sz="0" w:space="0" w:color="auto"/>
            <w:left w:val="none" w:sz="0" w:space="0" w:color="auto"/>
            <w:bottom w:val="none" w:sz="0" w:space="0" w:color="auto"/>
            <w:right w:val="none" w:sz="0" w:space="0" w:color="auto"/>
          </w:divBdr>
        </w:div>
        <w:div w:id="882517743">
          <w:marLeft w:val="864"/>
          <w:marRight w:val="0"/>
          <w:marTop w:val="0"/>
          <w:marBottom w:val="101"/>
          <w:divBdr>
            <w:top w:val="none" w:sz="0" w:space="0" w:color="auto"/>
            <w:left w:val="none" w:sz="0" w:space="0" w:color="auto"/>
            <w:bottom w:val="none" w:sz="0" w:space="0" w:color="auto"/>
            <w:right w:val="none" w:sz="0" w:space="0" w:color="auto"/>
          </w:divBdr>
        </w:div>
        <w:div w:id="835191335">
          <w:marLeft w:val="864"/>
          <w:marRight w:val="0"/>
          <w:marTop w:val="0"/>
          <w:marBottom w:val="101"/>
          <w:divBdr>
            <w:top w:val="none" w:sz="0" w:space="0" w:color="auto"/>
            <w:left w:val="none" w:sz="0" w:space="0" w:color="auto"/>
            <w:bottom w:val="none" w:sz="0" w:space="0" w:color="auto"/>
            <w:right w:val="none" w:sz="0" w:space="0" w:color="auto"/>
          </w:divBdr>
        </w:div>
        <w:div w:id="675232230">
          <w:marLeft w:val="864"/>
          <w:marRight w:val="0"/>
          <w:marTop w:val="0"/>
          <w:marBottom w:val="101"/>
          <w:divBdr>
            <w:top w:val="none" w:sz="0" w:space="0" w:color="auto"/>
            <w:left w:val="none" w:sz="0" w:space="0" w:color="auto"/>
            <w:bottom w:val="none" w:sz="0" w:space="0" w:color="auto"/>
            <w:right w:val="none" w:sz="0" w:space="0" w:color="auto"/>
          </w:divBdr>
        </w:div>
      </w:divsChild>
    </w:div>
    <w:div w:id="1630895962">
      <w:bodyDiv w:val="1"/>
      <w:marLeft w:val="0"/>
      <w:marRight w:val="0"/>
      <w:marTop w:val="0"/>
      <w:marBottom w:val="0"/>
      <w:divBdr>
        <w:top w:val="none" w:sz="0" w:space="0" w:color="auto"/>
        <w:left w:val="none" w:sz="0" w:space="0" w:color="auto"/>
        <w:bottom w:val="none" w:sz="0" w:space="0" w:color="auto"/>
        <w:right w:val="none" w:sz="0" w:space="0" w:color="auto"/>
      </w:divBdr>
    </w:div>
    <w:div w:id="1752267762">
      <w:bodyDiv w:val="1"/>
      <w:marLeft w:val="0"/>
      <w:marRight w:val="0"/>
      <w:marTop w:val="0"/>
      <w:marBottom w:val="0"/>
      <w:divBdr>
        <w:top w:val="none" w:sz="0" w:space="0" w:color="auto"/>
        <w:left w:val="none" w:sz="0" w:space="0" w:color="auto"/>
        <w:bottom w:val="none" w:sz="0" w:space="0" w:color="auto"/>
        <w:right w:val="none" w:sz="0" w:space="0" w:color="auto"/>
      </w:divBdr>
    </w:div>
    <w:div w:id="1909072149">
      <w:bodyDiv w:val="1"/>
      <w:marLeft w:val="0"/>
      <w:marRight w:val="0"/>
      <w:marTop w:val="0"/>
      <w:marBottom w:val="0"/>
      <w:divBdr>
        <w:top w:val="none" w:sz="0" w:space="0" w:color="auto"/>
        <w:left w:val="none" w:sz="0" w:space="0" w:color="auto"/>
        <w:bottom w:val="none" w:sz="0" w:space="0" w:color="auto"/>
        <w:right w:val="none" w:sz="0" w:space="0" w:color="auto"/>
      </w:divBdr>
    </w:div>
    <w:div w:id="1975675811">
      <w:bodyDiv w:val="1"/>
      <w:marLeft w:val="0"/>
      <w:marRight w:val="0"/>
      <w:marTop w:val="0"/>
      <w:marBottom w:val="0"/>
      <w:divBdr>
        <w:top w:val="none" w:sz="0" w:space="0" w:color="auto"/>
        <w:left w:val="none" w:sz="0" w:space="0" w:color="auto"/>
        <w:bottom w:val="none" w:sz="0" w:space="0" w:color="auto"/>
        <w:right w:val="none" w:sz="0" w:space="0" w:color="auto"/>
      </w:divBdr>
    </w:div>
    <w:div w:id="2014647825">
      <w:bodyDiv w:val="1"/>
      <w:marLeft w:val="0"/>
      <w:marRight w:val="0"/>
      <w:marTop w:val="0"/>
      <w:marBottom w:val="0"/>
      <w:divBdr>
        <w:top w:val="none" w:sz="0" w:space="0" w:color="auto"/>
        <w:left w:val="none" w:sz="0" w:space="0" w:color="auto"/>
        <w:bottom w:val="none" w:sz="0" w:space="0" w:color="auto"/>
        <w:right w:val="none" w:sz="0" w:space="0" w:color="auto"/>
      </w:divBdr>
    </w:div>
    <w:div w:id="20832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2387E-7860-4695-BAB3-530B23E4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10974</Words>
  <Characters>60359</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2024-11-28T15:52:00Z</cp:lastPrinted>
  <dcterms:created xsi:type="dcterms:W3CDTF">2024-11-25T21:21:00Z</dcterms:created>
  <dcterms:modified xsi:type="dcterms:W3CDTF">2025-01-21T20:48:00Z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