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3FEA" w14:textId="5FDEACA8" w:rsidR="00B2396D" w:rsidRPr="00B97489" w:rsidRDefault="00925FEF">
      <w:pPr>
        <w:spacing w:line="360" w:lineRule="auto"/>
        <w:jc w:val="both"/>
        <w:rPr>
          <w:rFonts w:ascii="Palatino Linotype" w:eastAsia="Palatino Linotype" w:hAnsi="Palatino Linotype" w:cs="Palatino Linotype"/>
          <w:b/>
          <w:bCs/>
          <w:color w:val="000000"/>
        </w:rPr>
      </w:pPr>
      <w:bookmarkStart w:id="0" w:name="_GoBack"/>
      <w:bookmarkEnd w:id="0"/>
      <w:r w:rsidRPr="00173989">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w:t>
      </w:r>
      <w:r w:rsidRPr="00B97489">
        <w:rPr>
          <w:rFonts w:ascii="Palatino Linotype" w:eastAsia="Palatino Linotype" w:hAnsi="Palatino Linotype" w:cs="Palatino Linotype"/>
          <w:b/>
          <w:bCs/>
          <w:color w:val="000000"/>
        </w:rPr>
        <w:t xml:space="preserve">el veintiocho de febrero de dos mil veinticuatro. </w:t>
      </w:r>
    </w:p>
    <w:p w14:paraId="68D19C2B" w14:textId="77777777" w:rsidR="00B2396D" w:rsidRPr="00173989" w:rsidRDefault="00B2396D">
      <w:pPr>
        <w:spacing w:line="360" w:lineRule="auto"/>
        <w:jc w:val="both"/>
        <w:rPr>
          <w:rFonts w:ascii="Palatino Linotype" w:eastAsia="Palatino Linotype" w:hAnsi="Palatino Linotype" w:cs="Palatino Linotype"/>
          <w:color w:val="000000"/>
        </w:rPr>
      </w:pPr>
    </w:p>
    <w:p w14:paraId="4C61053F" w14:textId="77777777" w:rsidR="00B2396D" w:rsidRPr="00173989" w:rsidRDefault="00925FEF">
      <w:pPr>
        <w:spacing w:line="360" w:lineRule="auto"/>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rPr>
        <w:t>VISTO</w:t>
      </w:r>
      <w:r w:rsidRPr="00173989">
        <w:rPr>
          <w:rFonts w:ascii="Palatino Linotype" w:eastAsia="Palatino Linotype" w:hAnsi="Palatino Linotype" w:cs="Palatino Linotype"/>
          <w:color w:val="000000"/>
        </w:rPr>
        <w:t xml:space="preserve"> el expediente formado con motivo del Recurso de Revisión</w:t>
      </w:r>
      <w:r w:rsidRPr="00173989">
        <w:rPr>
          <w:rFonts w:ascii="Palatino Linotype" w:eastAsia="Palatino Linotype" w:hAnsi="Palatino Linotype" w:cs="Palatino Linotype"/>
          <w:b/>
          <w:color w:val="000000"/>
        </w:rPr>
        <w:t xml:space="preserve"> 04442/INFOEM/IP/RR/2023</w:t>
      </w:r>
      <w:r w:rsidRPr="00173989">
        <w:rPr>
          <w:rFonts w:ascii="Palatino Linotype" w:eastAsia="Palatino Linotype" w:hAnsi="Palatino Linotype" w:cs="Palatino Linotype"/>
          <w:color w:val="000000"/>
        </w:rPr>
        <w:t>, promovido por una persona de manera anónima</w:t>
      </w:r>
      <w:r w:rsidRPr="00173989">
        <w:rPr>
          <w:rFonts w:ascii="Palatino Linotype" w:eastAsia="Palatino Linotype" w:hAnsi="Palatino Linotype" w:cs="Palatino Linotype"/>
          <w:b/>
          <w:i/>
          <w:shd w:val="clear" w:color="auto" w:fill="F7F7F8"/>
        </w:rPr>
        <w:t xml:space="preserve"> </w:t>
      </w:r>
      <w:r w:rsidRPr="00173989">
        <w:rPr>
          <w:rFonts w:ascii="Palatino Linotype" w:eastAsia="Palatino Linotype" w:hAnsi="Palatino Linotype" w:cs="Palatino Linotype"/>
          <w:color w:val="000000"/>
        </w:rPr>
        <w:t>que</w:t>
      </w:r>
      <w:r w:rsidRPr="00173989">
        <w:rPr>
          <w:rFonts w:ascii="Palatino Linotype" w:eastAsia="Palatino Linotype" w:hAnsi="Palatino Linotype" w:cs="Palatino Linotype"/>
          <w:b/>
          <w:color w:val="000000"/>
        </w:rPr>
        <w:t xml:space="preserve"> </w:t>
      </w:r>
      <w:r w:rsidRPr="00173989">
        <w:rPr>
          <w:rFonts w:ascii="Palatino Linotype" w:eastAsia="Palatino Linotype" w:hAnsi="Palatino Linotype" w:cs="Palatino Linotype"/>
          <w:color w:val="000000"/>
        </w:rPr>
        <w:t xml:space="preserve">en lo sucesivo se denominará </w:t>
      </w:r>
      <w:r w:rsidRPr="00173989">
        <w:rPr>
          <w:rFonts w:ascii="Palatino Linotype" w:eastAsia="Palatino Linotype" w:hAnsi="Palatino Linotype" w:cs="Palatino Linotype"/>
          <w:b/>
          <w:color w:val="000000"/>
        </w:rPr>
        <w:t>LA RECURRENTE</w:t>
      </w:r>
      <w:r w:rsidRPr="00173989">
        <w:rPr>
          <w:rFonts w:ascii="Palatino Linotype" w:eastAsia="Palatino Linotype" w:hAnsi="Palatino Linotype" w:cs="Palatino Linotype"/>
          <w:color w:val="000000"/>
        </w:rPr>
        <w:t xml:space="preserve">, en contra de la respuesta emitida por el </w:t>
      </w:r>
      <w:r w:rsidRPr="00173989">
        <w:rPr>
          <w:rFonts w:ascii="Palatino Linotype" w:eastAsia="Palatino Linotype" w:hAnsi="Palatino Linotype" w:cs="Palatino Linotype"/>
          <w:b/>
          <w:color w:val="000000"/>
        </w:rPr>
        <w:t>Ayuntamiento de Toluca,</w:t>
      </w:r>
      <w:r w:rsidRPr="00173989">
        <w:rPr>
          <w:rFonts w:ascii="Palatino Linotype" w:eastAsia="Palatino Linotype" w:hAnsi="Palatino Linotype" w:cs="Palatino Linotype"/>
          <w:color w:val="000000"/>
        </w:rPr>
        <w:t xml:space="preserve"> en lo sucesivo, </w:t>
      </w:r>
      <w:r w:rsidRPr="00173989">
        <w:rPr>
          <w:rFonts w:ascii="Palatino Linotype" w:eastAsia="Palatino Linotype" w:hAnsi="Palatino Linotype" w:cs="Palatino Linotype"/>
          <w:b/>
          <w:color w:val="000000"/>
        </w:rPr>
        <w:t>EL SUJETO OBLIGADO</w:t>
      </w:r>
      <w:r w:rsidRPr="00173989">
        <w:rPr>
          <w:rFonts w:ascii="Palatino Linotype" w:eastAsia="Palatino Linotype" w:hAnsi="Palatino Linotype" w:cs="Palatino Linotype"/>
          <w:color w:val="000000"/>
        </w:rPr>
        <w:t xml:space="preserve">, se procede a dictar la presente resolución con base en los siguientes: </w:t>
      </w:r>
    </w:p>
    <w:p w14:paraId="411323BE" w14:textId="77777777" w:rsidR="00B2396D" w:rsidRPr="00173989" w:rsidRDefault="00B2396D">
      <w:pPr>
        <w:jc w:val="both"/>
        <w:rPr>
          <w:rFonts w:ascii="Palatino Linotype" w:eastAsia="Palatino Linotype" w:hAnsi="Palatino Linotype" w:cs="Palatino Linotype"/>
          <w:color w:val="000000"/>
        </w:rPr>
      </w:pPr>
    </w:p>
    <w:p w14:paraId="164F1268" w14:textId="77777777" w:rsidR="00B2396D" w:rsidRPr="00173989" w:rsidRDefault="00925FEF">
      <w:pPr>
        <w:jc w:val="center"/>
        <w:rPr>
          <w:rFonts w:ascii="Palatino Linotype" w:eastAsia="Palatino Linotype" w:hAnsi="Palatino Linotype" w:cs="Palatino Linotype"/>
          <w:b/>
          <w:color w:val="000000"/>
          <w:sz w:val="28"/>
          <w:szCs w:val="28"/>
        </w:rPr>
      </w:pPr>
      <w:r w:rsidRPr="00173989">
        <w:rPr>
          <w:rFonts w:ascii="Palatino Linotype" w:eastAsia="Palatino Linotype" w:hAnsi="Palatino Linotype" w:cs="Palatino Linotype"/>
          <w:b/>
          <w:color w:val="000000"/>
          <w:sz w:val="28"/>
          <w:szCs w:val="28"/>
        </w:rPr>
        <w:t>ANTECEDENTES</w:t>
      </w:r>
    </w:p>
    <w:p w14:paraId="7281E636" w14:textId="77777777" w:rsidR="00B2396D" w:rsidRPr="00173989" w:rsidRDefault="00B2396D">
      <w:pPr>
        <w:jc w:val="center"/>
        <w:rPr>
          <w:rFonts w:ascii="Palatino Linotype" w:eastAsia="Palatino Linotype" w:hAnsi="Palatino Linotype" w:cs="Palatino Linotype"/>
          <w:b/>
          <w:color w:val="000000"/>
        </w:rPr>
      </w:pPr>
    </w:p>
    <w:p w14:paraId="7C699BED" w14:textId="77777777" w:rsidR="00B2396D" w:rsidRPr="00173989" w:rsidRDefault="00925FEF">
      <w:pPr>
        <w:spacing w:line="360" w:lineRule="auto"/>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sz w:val="28"/>
          <w:szCs w:val="28"/>
        </w:rPr>
        <w:t>I. De la Solicitud de Información</w:t>
      </w:r>
    </w:p>
    <w:p w14:paraId="7A8FCC1B" w14:textId="7CC78663"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t xml:space="preserve">1. Presentación. </w:t>
      </w:r>
      <w:r w:rsidRPr="00173989">
        <w:rPr>
          <w:rFonts w:ascii="Palatino Linotype" w:eastAsia="Palatino Linotype" w:hAnsi="Palatino Linotype" w:cs="Palatino Linotype"/>
          <w:color w:val="000000"/>
        </w:rPr>
        <w:t xml:space="preserve">El cinco de julio de dos mil veintitrés, </w:t>
      </w:r>
      <w:r w:rsidRPr="00173989">
        <w:rPr>
          <w:rFonts w:ascii="Palatino Linotype" w:eastAsia="Palatino Linotype" w:hAnsi="Palatino Linotype" w:cs="Palatino Linotype"/>
          <w:b/>
          <w:color w:val="000000"/>
        </w:rPr>
        <w:t>LA RECURRENTE</w:t>
      </w:r>
      <w:r w:rsidRPr="00173989">
        <w:rPr>
          <w:rFonts w:ascii="Palatino Linotype" w:eastAsia="Palatino Linotype" w:hAnsi="Palatino Linotype" w:cs="Palatino Linotype"/>
          <w:color w:val="000000"/>
        </w:rPr>
        <w:t xml:space="preserve"> presentó a través del Sistema de Acceso a la Información Mexiquense, en lo subsecuente, </w:t>
      </w:r>
      <w:r w:rsidRPr="00173989">
        <w:rPr>
          <w:rFonts w:ascii="Palatino Linotype" w:eastAsia="Palatino Linotype" w:hAnsi="Palatino Linotype" w:cs="Palatino Linotype"/>
          <w:b/>
          <w:color w:val="000000"/>
        </w:rPr>
        <w:t>EL SAIMEX</w:t>
      </w:r>
      <w:r w:rsidRPr="00173989">
        <w:rPr>
          <w:rFonts w:ascii="Palatino Linotype" w:eastAsia="Palatino Linotype" w:hAnsi="Palatino Linotype" w:cs="Palatino Linotype"/>
          <w:color w:val="000000"/>
        </w:rPr>
        <w:t xml:space="preserve"> ante </w:t>
      </w:r>
      <w:r w:rsidRPr="00173989">
        <w:rPr>
          <w:rFonts w:ascii="Palatino Linotype" w:eastAsia="Palatino Linotype" w:hAnsi="Palatino Linotype" w:cs="Palatino Linotype"/>
          <w:b/>
          <w:color w:val="000000"/>
        </w:rPr>
        <w:t>EL SUJETO OBLIGADO</w:t>
      </w:r>
      <w:r w:rsidRPr="00173989">
        <w:rPr>
          <w:rFonts w:ascii="Palatino Linotype" w:eastAsia="Palatino Linotype" w:hAnsi="Palatino Linotype" w:cs="Palatino Linotype"/>
          <w:color w:val="000000"/>
        </w:rPr>
        <w:t>, la solicitud de Acceso a la Información pública, a la que se le asignó el número de folio</w:t>
      </w:r>
      <w:r w:rsidRPr="00173989">
        <w:rPr>
          <w:rFonts w:ascii="Palatino Linotype" w:eastAsia="Palatino Linotype" w:hAnsi="Palatino Linotype" w:cs="Palatino Linotype"/>
          <w:b/>
          <w:color w:val="000000"/>
        </w:rPr>
        <w:t xml:space="preserve"> 02448/TOLUCA/IP/2023</w:t>
      </w:r>
      <w:r w:rsidRPr="00173989">
        <w:rPr>
          <w:rFonts w:ascii="Palatino Linotype" w:eastAsia="Palatino Linotype" w:hAnsi="Palatino Linotype" w:cs="Palatino Linotype"/>
          <w:b/>
          <w:color w:val="000000"/>
          <w:vertAlign w:val="superscript"/>
        </w:rPr>
        <w:footnoteReference w:id="1"/>
      </w:r>
      <w:r w:rsidRPr="00173989">
        <w:rPr>
          <w:rFonts w:ascii="Palatino Linotype" w:eastAsia="Palatino Linotype" w:hAnsi="Palatino Linotype" w:cs="Palatino Linotype"/>
          <w:b/>
          <w:color w:val="000000"/>
        </w:rPr>
        <w:t>,</w:t>
      </w:r>
      <w:r w:rsidRPr="00173989">
        <w:rPr>
          <w:rFonts w:ascii="Palatino Linotype" w:eastAsia="Palatino Linotype" w:hAnsi="Palatino Linotype" w:cs="Palatino Linotype"/>
          <w:color w:val="000000"/>
        </w:rPr>
        <w:t xml:space="preserve"> mediante la cual requirió lo siguiente:</w:t>
      </w:r>
    </w:p>
    <w:p w14:paraId="79960F22" w14:textId="77777777" w:rsidR="00B2396D" w:rsidRPr="00173989" w:rsidRDefault="00B2396D">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0CCF77C7" w14:textId="77777777" w:rsidR="00B2396D" w:rsidRPr="00173989" w:rsidRDefault="00925FEF">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bookmarkStart w:id="1" w:name="_heading=h.gjdgxs" w:colFirst="0" w:colLast="0"/>
      <w:bookmarkEnd w:id="1"/>
      <w:r w:rsidRPr="00173989">
        <w:rPr>
          <w:rFonts w:ascii="Palatino Linotype" w:eastAsia="Palatino Linotype" w:hAnsi="Palatino Linotype" w:cs="Palatino Linotype"/>
          <w:i/>
          <w:color w:val="000000"/>
          <w:sz w:val="22"/>
          <w:szCs w:val="22"/>
        </w:rPr>
        <w:t xml:space="preserve">“solicito saber nombres y </w:t>
      </w:r>
      <w:proofErr w:type="spellStart"/>
      <w:r w:rsidRPr="00173989">
        <w:rPr>
          <w:rFonts w:ascii="Palatino Linotype" w:eastAsia="Palatino Linotype" w:hAnsi="Palatino Linotype" w:cs="Palatino Linotype"/>
          <w:i/>
          <w:color w:val="000000"/>
          <w:sz w:val="22"/>
          <w:szCs w:val="22"/>
        </w:rPr>
        <w:t>cuantop</w:t>
      </w:r>
      <w:proofErr w:type="spellEnd"/>
      <w:r w:rsidRPr="00173989">
        <w:rPr>
          <w:rFonts w:ascii="Palatino Linotype" w:eastAsia="Palatino Linotype" w:hAnsi="Palatino Linotype" w:cs="Palatino Linotype"/>
          <w:i/>
          <w:color w:val="000000"/>
          <w:sz w:val="22"/>
          <w:szCs w:val="22"/>
        </w:rPr>
        <w:t xml:space="preserve"> ganan los adscritos a la dirección de recursos humanos y materiales.” (Sic).</w:t>
      </w:r>
    </w:p>
    <w:p w14:paraId="0E32BA7A" w14:textId="77777777" w:rsidR="00B2396D" w:rsidRPr="00173989" w:rsidRDefault="00B2396D">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4B28A21A" w14:textId="77777777" w:rsidR="00B2396D" w:rsidRPr="00173989" w:rsidRDefault="00925FEF">
      <w:pPr>
        <w:spacing w:line="360" w:lineRule="auto"/>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rPr>
        <w:t>MODALIDAD DE ENTREGA:</w:t>
      </w:r>
      <w:r w:rsidRPr="00173989">
        <w:rPr>
          <w:rFonts w:ascii="Palatino Linotype" w:eastAsia="Palatino Linotype" w:hAnsi="Palatino Linotype" w:cs="Palatino Linotype"/>
          <w:color w:val="000000"/>
        </w:rPr>
        <w:t xml:space="preserve"> vía </w:t>
      </w:r>
      <w:r w:rsidRPr="00173989">
        <w:rPr>
          <w:rFonts w:ascii="Palatino Linotype" w:eastAsia="Palatino Linotype" w:hAnsi="Palatino Linotype" w:cs="Palatino Linotype"/>
          <w:b/>
          <w:color w:val="000000"/>
        </w:rPr>
        <w:t xml:space="preserve">SAIMEX. </w:t>
      </w:r>
    </w:p>
    <w:p w14:paraId="70DF99BB" w14:textId="77777777" w:rsidR="00B2396D" w:rsidRPr="00173989" w:rsidRDefault="00B2396D">
      <w:pPr>
        <w:spacing w:line="360" w:lineRule="auto"/>
        <w:jc w:val="both"/>
        <w:rPr>
          <w:rFonts w:ascii="Palatino Linotype" w:eastAsia="Palatino Linotype" w:hAnsi="Palatino Linotype" w:cs="Palatino Linotype"/>
          <w:b/>
          <w:color w:val="000000"/>
        </w:rPr>
      </w:pPr>
    </w:p>
    <w:p w14:paraId="4D19966A"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lastRenderedPageBreak/>
        <w:t xml:space="preserve">2. Turno de requerimiento del Sujeto Obligado. </w:t>
      </w:r>
      <w:r w:rsidRPr="00173989">
        <w:rPr>
          <w:rFonts w:ascii="Palatino Linotype" w:eastAsia="Palatino Linotype" w:hAnsi="Palatino Linotype" w:cs="Palatino Linotype"/>
          <w:color w:val="000000"/>
        </w:rPr>
        <w:t>Con la finalidad de dar cumplimiento al artículo 162 de la Ley de Transparencia y Acceso a la Información Pública del Estado de México y Municipios</w:t>
      </w:r>
      <w:r w:rsidRPr="00173989">
        <w:rPr>
          <w:rFonts w:ascii="Palatino Linotype" w:eastAsia="Palatino Linotype" w:hAnsi="Palatino Linotype" w:cs="Palatino Linotype"/>
          <w:color w:val="000000"/>
          <w:vertAlign w:val="superscript"/>
        </w:rPr>
        <w:footnoteReference w:id="2"/>
      </w:r>
      <w:r w:rsidRPr="00173989">
        <w:rPr>
          <w:rFonts w:ascii="Palatino Linotype" w:eastAsia="Palatino Linotype" w:hAnsi="Palatino Linotype" w:cs="Palatino Linotype"/>
          <w:color w:val="000000"/>
        </w:rPr>
        <w:t xml:space="preserve">, el </w:t>
      </w:r>
      <w:r w:rsidRPr="00173989">
        <w:rPr>
          <w:rFonts w:ascii="Palatino Linotype" w:eastAsia="Palatino Linotype" w:hAnsi="Palatino Linotype" w:cs="Palatino Linotype"/>
          <w:b/>
          <w:color w:val="000000"/>
        </w:rPr>
        <w:t>seis de julio de dos mil veintitrés,</w:t>
      </w:r>
      <w:r w:rsidRPr="00173989">
        <w:rPr>
          <w:rFonts w:ascii="Palatino Linotype" w:eastAsia="Palatino Linotype" w:hAnsi="Palatino Linotype" w:cs="Palatino Linotype"/>
          <w:color w:val="000000"/>
        </w:rPr>
        <w:t xml:space="preserve"> la Titular de la Unidad de Transparencia del </w:t>
      </w:r>
      <w:r w:rsidRPr="00173989">
        <w:rPr>
          <w:rFonts w:ascii="Palatino Linotype" w:eastAsia="Palatino Linotype" w:hAnsi="Palatino Linotype" w:cs="Palatino Linotype"/>
          <w:b/>
          <w:color w:val="000000"/>
        </w:rPr>
        <w:t>SUJETO OBLIGADO</w:t>
      </w:r>
      <w:r w:rsidRPr="00173989">
        <w:rPr>
          <w:rFonts w:ascii="Palatino Linotype" w:eastAsia="Palatino Linotype" w:hAnsi="Palatino Linotype" w:cs="Palatino Linotype"/>
          <w:color w:val="000000"/>
        </w:rPr>
        <w:t>, turnó el requerimiento de información al servidor público habilitado que estimó pertinente, a fin de colmar la solicitud.</w:t>
      </w:r>
    </w:p>
    <w:p w14:paraId="69AC4788" w14:textId="77777777" w:rsidR="00B2396D" w:rsidRPr="00173989" w:rsidRDefault="00B2396D">
      <w:pPr>
        <w:tabs>
          <w:tab w:val="left" w:pos="3226"/>
        </w:tabs>
        <w:spacing w:line="360" w:lineRule="auto"/>
        <w:jc w:val="both"/>
        <w:rPr>
          <w:rFonts w:ascii="Palatino Linotype" w:eastAsia="Palatino Linotype" w:hAnsi="Palatino Linotype" w:cs="Palatino Linotype"/>
          <w:color w:val="000000"/>
        </w:rPr>
      </w:pPr>
    </w:p>
    <w:p w14:paraId="1141233F"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t>3.</w:t>
      </w:r>
      <w:r w:rsidRPr="00173989">
        <w:rPr>
          <w:rFonts w:ascii="Palatino Linotype" w:eastAsia="Palatino Linotype" w:hAnsi="Palatino Linotype" w:cs="Palatino Linotype"/>
          <w:color w:val="000000"/>
        </w:rPr>
        <w:t xml:space="preserve"> </w:t>
      </w:r>
      <w:r w:rsidRPr="00173989">
        <w:rPr>
          <w:rFonts w:ascii="Palatino Linotype" w:eastAsia="Palatino Linotype" w:hAnsi="Palatino Linotype" w:cs="Palatino Linotype"/>
          <w:b/>
          <w:color w:val="000000"/>
        </w:rPr>
        <w:t xml:space="preserve">Respuesta del Sujeto Obligado. </w:t>
      </w:r>
      <w:r w:rsidRPr="00173989">
        <w:rPr>
          <w:rFonts w:ascii="Palatino Linotype" w:eastAsia="Palatino Linotype" w:hAnsi="Palatino Linotype" w:cs="Palatino Linotype"/>
          <w:color w:val="000000"/>
        </w:rPr>
        <w:t xml:space="preserve">El nueve de agosto de dos mil veintitrés, </w:t>
      </w:r>
      <w:r w:rsidRPr="00173989">
        <w:rPr>
          <w:rFonts w:ascii="Palatino Linotype" w:eastAsia="Palatino Linotype" w:hAnsi="Palatino Linotype" w:cs="Palatino Linotype"/>
          <w:b/>
          <w:color w:val="000000"/>
        </w:rPr>
        <w:t>EL SUJETO OBLIGADO</w:t>
      </w:r>
      <w:r w:rsidRPr="00173989">
        <w:rPr>
          <w:rFonts w:ascii="Palatino Linotype" w:eastAsia="Palatino Linotype" w:hAnsi="Palatino Linotype" w:cs="Palatino Linotype"/>
          <w:color w:val="000000"/>
        </w:rPr>
        <w:t xml:space="preserve"> dio respuesta a la solicitud, en los términos que a continuación se citan:</w:t>
      </w:r>
    </w:p>
    <w:p w14:paraId="0AF1DE83" w14:textId="77777777" w:rsidR="00B2396D" w:rsidRPr="00173989" w:rsidRDefault="00B2396D">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7BF20B06" w14:textId="77777777" w:rsidR="00B2396D" w:rsidRPr="00173989" w:rsidRDefault="00925FEF">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173989">
        <w:rPr>
          <w:rFonts w:ascii="Palatino Linotype" w:eastAsia="Palatino Linotype" w:hAnsi="Palatino Linotype" w:cs="Palatino Linotype"/>
          <w:i/>
          <w:color w:val="000000"/>
          <w:sz w:val="22"/>
          <w:szCs w:val="22"/>
        </w:rPr>
        <w:t>“…</w:t>
      </w:r>
    </w:p>
    <w:p w14:paraId="0F9DD14E" w14:textId="77777777" w:rsidR="00B2396D" w:rsidRPr="00173989" w:rsidRDefault="00925FEF">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173989">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4735502" w14:textId="77777777" w:rsidR="00B2396D" w:rsidRPr="00173989" w:rsidRDefault="00925FEF">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173989">
        <w:rPr>
          <w:rFonts w:ascii="Palatino Linotype" w:eastAsia="Palatino Linotype" w:hAnsi="Palatino Linotype" w:cs="Palatino Linotype"/>
          <w:i/>
          <w:color w:val="000000"/>
          <w:sz w:val="22"/>
          <w:szCs w:val="22"/>
        </w:rPr>
        <w:t xml:space="preserve">En atención a la solicitud con folio 02448/TOLUCA/IP/2023, me permito adjuntar al presente la respuesta correspondiente. Sin más por el momento, reciba un saludo.” (sic) </w:t>
      </w:r>
    </w:p>
    <w:p w14:paraId="479105FE" w14:textId="77777777" w:rsidR="00B2396D" w:rsidRPr="00173989" w:rsidRDefault="00B2396D">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219FBA11"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Y acompañó a su respuesta </w:t>
      </w:r>
      <w:r w:rsidR="007D107A" w:rsidRPr="00173989">
        <w:rPr>
          <w:rFonts w:ascii="Palatino Linotype" w:eastAsia="Palatino Linotype" w:hAnsi="Palatino Linotype" w:cs="Palatino Linotype"/>
          <w:color w:val="000000"/>
        </w:rPr>
        <w:t>el archivo</w:t>
      </w:r>
      <w:r w:rsidRPr="00173989">
        <w:rPr>
          <w:rFonts w:ascii="Palatino Linotype" w:eastAsia="Palatino Linotype" w:hAnsi="Palatino Linotype" w:cs="Palatino Linotype"/>
          <w:color w:val="000000"/>
        </w:rPr>
        <w:t xml:space="preserve"> que a continuación se describe: </w:t>
      </w:r>
    </w:p>
    <w:p w14:paraId="07B1DB05" w14:textId="77777777" w:rsidR="00B2396D" w:rsidRPr="00173989" w:rsidRDefault="00B2396D">
      <w:pPr>
        <w:spacing w:line="360" w:lineRule="auto"/>
        <w:jc w:val="both"/>
        <w:rPr>
          <w:rFonts w:ascii="Palatino Linotype" w:eastAsia="Palatino Linotype" w:hAnsi="Palatino Linotype" w:cs="Palatino Linotype"/>
          <w:color w:val="000000"/>
        </w:rPr>
      </w:pPr>
    </w:p>
    <w:p w14:paraId="4D2C152C" w14:textId="77777777" w:rsidR="00B2396D" w:rsidRPr="00173989" w:rsidRDefault="00925FEF">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i/>
          <w:color w:val="000000"/>
        </w:rPr>
        <w:t>Respuesta 2448.pdf:</w:t>
      </w:r>
      <w:r w:rsidRPr="00173989">
        <w:rPr>
          <w:rFonts w:ascii="Palatino Linotype" w:eastAsia="Palatino Linotype" w:hAnsi="Palatino Linotype" w:cs="Palatino Linotype"/>
          <w:b/>
          <w:color w:val="000000"/>
        </w:rPr>
        <w:t xml:space="preserve"> </w:t>
      </w:r>
      <w:r w:rsidRPr="00173989">
        <w:rPr>
          <w:rFonts w:ascii="Palatino Linotype" w:eastAsia="Palatino Linotype" w:hAnsi="Palatino Linotype" w:cs="Palatino Linotype"/>
          <w:color w:val="000000"/>
        </w:rPr>
        <w:t xml:space="preserve">El cual de su contenido se advierte que se trata de la respuesta formal dirigida al solicitante, en donde le informan que la Dirección General de Administración proporcionó vínculo de consulta de IPOMEX relativo a personal adscrito a la Dirección de Recursos Humanos y a la Dirección de Recursos Materiales. </w:t>
      </w:r>
    </w:p>
    <w:p w14:paraId="2F352854" w14:textId="77777777" w:rsidR="007D107A" w:rsidRPr="00173989" w:rsidRDefault="007D107A" w:rsidP="007D107A">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2558F536" w14:textId="77777777" w:rsidR="00B2396D" w:rsidRPr="00173989" w:rsidRDefault="00925FE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sz w:val="28"/>
          <w:szCs w:val="28"/>
        </w:rPr>
        <w:t>II. Del Recurso de Revisión</w:t>
      </w:r>
    </w:p>
    <w:p w14:paraId="60C3D229"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rPr>
        <w:t>1. Presentación.</w:t>
      </w:r>
      <w:r w:rsidRPr="00173989">
        <w:rPr>
          <w:rFonts w:ascii="Palatino Linotype" w:eastAsia="Palatino Linotype" w:hAnsi="Palatino Linotype" w:cs="Palatino Linotype"/>
          <w:color w:val="000000"/>
        </w:rPr>
        <w:t xml:space="preserve"> Inconforme con la respuesta, el diez de agosto de dos mil veintitrés, </w:t>
      </w:r>
      <w:r w:rsidRPr="00173989">
        <w:rPr>
          <w:rFonts w:ascii="Palatino Linotype" w:eastAsia="Palatino Linotype" w:hAnsi="Palatino Linotype" w:cs="Palatino Linotype"/>
          <w:b/>
          <w:color w:val="000000"/>
        </w:rPr>
        <w:t xml:space="preserve">LA RECURRENTE </w:t>
      </w:r>
      <w:r w:rsidRPr="00173989">
        <w:rPr>
          <w:rFonts w:ascii="Palatino Linotype" w:eastAsia="Palatino Linotype" w:hAnsi="Palatino Linotype" w:cs="Palatino Linotype"/>
          <w:color w:val="000000"/>
        </w:rPr>
        <w:t xml:space="preserve">interpuso el Recurso de Revisión en </w:t>
      </w:r>
      <w:r w:rsidRPr="00173989">
        <w:rPr>
          <w:rFonts w:ascii="Palatino Linotype" w:eastAsia="Palatino Linotype" w:hAnsi="Palatino Linotype" w:cs="Palatino Linotype"/>
          <w:b/>
          <w:color w:val="000000"/>
        </w:rPr>
        <w:t xml:space="preserve">EL SAIMEX </w:t>
      </w:r>
      <w:r w:rsidRPr="00173989">
        <w:rPr>
          <w:rFonts w:ascii="Palatino Linotype" w:eastAsia="Palatino Linotype" w:hAnsi="Palatino Linotype" w:cs="Palatino Linotype"/>
          <w:color w:val="000000"/>
        </w:rPr>
        <w:t xml:space="preserve">y se le asignó el número de expediente </w:t>
      </w:r>
      <w:r w:rsidRPr="00173989">
        <w:rPr>
          <w:rFonts w:ascii="Palatino Linotype" w:eastAsia="Palatino Linotype" w:hAnsi="Palatino Linotype" w:cs="Palatino Linotype"/>
          <w:b/>
          <w:color w:val="000000"/>
        </w:rPr>
        <w:t>04442/INFOEM/IP/RR/2023,</w:t>
      </w:r>
      <w:r w:rsidRPr="00173989">
        <w:rPr>
          <w:rFonts w:ascii="Palatino Linotype" w:eastAsia="Palatino Linotype" w:hAnsi="Palatino Linotype" w:cs="Palatino Linotype"/>
          <w:color w:val="000000"/>
        </w:rPr>
        <w:t xml:space="preserve"> en el que señaló como:</w:t>
      </w:r>
    </w:p>
    <w:p w14:paraId="53625BEA" w14:textId="77777777" w:rsidR="00B2396D" w:rsidRPr="00173989" w:rsidRDefault="00B2396D">
      <w:pPr>
        <w:spacing w:line="360" w:lineRule="auto"/>
        <w:ind w:right="899"/>
        <w:jc w:val="both"/>
        <w:rPr>
          <w:rFonts w:ascii="Palatino Linotype" w:eastAsia="Palatino Linotype" w:hAnsi="Palatino Linotype" w:cs="Palatino Linotype"/>
          <w:i/>
          <w:color w:val="000000"/>
          <w:sz w:val="22"/>
          <w:szCs w:val="22"/>
        </w:rPr>
      </w:pPr>
    </w:p>
    <w:p w14:paraId="7F6D04DC"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rPr>
        <w:t xml:space="preserve">Acto impugnado: </w:t>
      </w:r>
    </w:p>
    <w:p w14:paraId="1460587F" w14:textId="77777777" w:rsidR="00B2396D" w:rsidRPr="00173989" w:rsidRDefault="00B2396D">
      <w:pPr>
        <w:pBdr>
          <w:top w:val="nil"/>
          <w:left w:val="nil"/>
          <w:bottom w:val="nil"/>
          <w:right w:val="nil"/>
          <w:between w:val="nil"/>
        </w:pBdr>
        <w:jc w:val="both"/>
        <w:rPr>
          <w:rFonts w:ascii="Palatino Linotype" w:eastAsia="Palatino Linotype" w:hAnsi="Palatino Linotype" w:cs="Palatino Linotype"/>
          <w:b/>
          <w:color w:val="000000"/>
        </w:rPr>
      </w:pPr>
    </w:p>
    <w:p w14:paraId="4F2FBB41" w14:textId="77777777" w:rsidR="00B2396D" w:rsidRPr="00173989" w:rsidRDefault="00925FEF">
      <w:pPr>
        <w:ind w:left="851" w:right="899"/>
        <w:jc w:val="both"/>
        <w:rPr>
          <w:rFonts w:ascii="Palatino Linotype" w:eastAsia="Palatino Linotype" w:hAnsi="Palatino Linotype" w:cs="Palatino Linotype"/>
          <w:i/>
          <w:color w:val="000000"/>
          <w:sz w:val="22"/>
          <w:szCs w:val="22"/>
        </w:rPr>
      </w:pPr>
      <w:r w:rsidRPr="00173989">
        <w:rPr>
          <w:rFonts w:ascii="Palatino Linotype" w:eastAsia="Palatino Linotype" w:hAnsi="Palatino Linotype" w:cs="Palatino Linotype"/>
          <w:i/>
          <w:color w:val="000000"/>
          <w:sz w:val="22"/>
          <w:szCs w:val="22"/>
        </w:rPr>
        <w:t xml:space="preserve">“la respuesta.” (sic) </w:t>
      </w:r>
    </w:p>
    <w:p w14:paraId="752F9283" w14:textId="77777777" w:rsidR="00B2396D" w:rsidRPr="00173989" w:rsidRDefault="00B2396D">
      <w:pPr>
        <w:ind w:left="851" w:right="899"/>
        <w:jc w:val="both"/>
        <w:rPr>
          <w:rFonts w:ascii="Palatino Linotype" w:eastAsia="Palatino Linotype" w:hAnsi="Palatino Linotype" w:cs="Palatino Linotype"/>
          <w:i/>
          <w:color w:val="000000"/>
          <w:sz w:val="22"/>
          <w:szCs w:val="22"/>
        </w:rPr>
      </w:pPr>
    </w:p>
    <w:p w14:paraId="3D14ACFE"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rPr>
        <w:t>Así como, razones o motivos de inconformidad:</w:t>
      </w:r>
    </w:p>
    <w:p w14:paraId="5D3D5A6C" w14:textId="77777777" w:rsidR="00B2396D" w:rsidRPr="00173989" w:rsidRDefault="00B2396D">
      <w:pPr>
        <w:pBdr>
          <w:top w:val="nil"/>
          <w:left w:val="nil"/>
          <w:bottom w:val="nil"/>
          <w:right w:val="nil"/>
          <w:between w:val="nil"/>
        </w:pBdr>
        <w:jc w:val="both"/>
        <w:rPr>
          <w:rFonts w:ascii="Palatino Linotype" w:eastAsia="Palatino Linotype" w:hAnsi="Palatino Linotype" w:cs="Palatino Linotype"/>
          <w:b/>
          <w:color w:val="000000"/>
        </w:rPr>
      </w:pPr>
    </w:p>
    <w:p w14:paraId="15C2CC62" w14:textId="77777777" w:rsidR="00B2396D" w:rsidRPr="00173989" w:rsidRDefault="00925FEF">
      <w:pPr>
        <w:ind w:left="851" w:right="899"/>
        <w:jc w:val="both"/>
        <w:rPr>
          <w:rFonts w:ascii="Palatino Linotype" w:eastAsia="Palatino Linotype" w:hAnsi="Palatino Linotype" w:cs="Palatino Linotype"/>
          <w:i/>
          <w:color w:val="000000"/>
          <w:sz w:val="22"/>
          <w:szCs w:val="22"/>
        </w:rPr>
      </w:pPr>
      <w:r w:rsidRPr="00173989">
        <w:rPr>
          <w:rFonts w:ascii="Palatino Linotype" w:eastAsia="Palatino Linotype" w:hAnsi="Palatino Linotype" w:cs="Palatino Linotype"/>
          <w:i/>
          <w:color w:val="000000"/>
          <w:sz w:val="22"/>
          <w:szCs w:val="22"/>
        </w:rPr>
        <w:t xml:space="preserve">“me entregan un documento que no </w:t>
      </w:r>
      <w:proofErr w:type="spellStart"/>
      <w:r w:rsidRPr="00173989">
        <w:rPr>
          <w:rFonts w:ascii="Palatino Linotype" w:eastAsia="Palatino Linotype" w:hAnsi="Palatino Linotype" w:cs="Palatino Linotype"/>
          <w:i/>
          <w:color w:val="000000"/>
          <w:sz w:val="22"/>
          <w:szCs w:val="22"/>
        </w:rPr>
        <w:t>esta</w:t>
      </w:r>
      <w:proofErr w:type="spellEnd"/>
      <w:r w:rsidRPr="00173989">
        <w:rPr>
          <w:rFonts w:ascii="Palatino Linotype" w:eastAsia="Palatino Linotype" w:hAnsi="Palatino Linotype" w:cs="Palatino Linotype"/>
          <w:i/>
          <w:color w:val="000000"/>
          <w:sz w:val="22"/>
          <w:szCs w:val="22"/>
        </w:rPr>
        <w:t xml:space="preserve"> firmado por la titular de transparencia, así como me mandan dos ligas sin orientarme a donde lo puedo encontrar, ni me adjuntan el </w:t>
      </w:r>
      <w:proofErr w:type="spellStart"/>
      <w:r w:rsidRPr="00173989">
        <w:rPr>
          <w:rFonts w:ascii="Palatino Linotype" w:eastAsia="Palatino Linotype" w:hAnsi="Palatino Linotype" w:cs="Palatino Linotype"/>
          <w:i/>
          <w:color w:val="000000"/>
          <w:sz w:val="22"/>
          <w:szCs w:val="22"/>
        </w:rPr>
        <w:t>hipervinculo</w:t>
      </w:r>
      <w:proofErr w:type="spellEnd"/>
      <w:r w:rsidRPr="00173989">
        <w:rPr>
          <w:rFonts w:ascii="Palatino Linotype" w:eastAsia="Palatino Linotype" w:hAnsi="Palatino Linotype" w:cs="Palatino Linotype"/>
          <w:i/>
          <w:color w:val="000000"/>
          <w:sz w:val="22"/>
          <w:szCs w:val="22"/>
        </w:rPr>
        <w:t xml:space="preserve">, así como se indica en el oficio, no </w:t>
      </w:r>
      <w:proofErr w:type="spellStart"/>
      <w:r w:rsidRPr="00173989">
        <w:rPr>
          <w:rFonts w:ascii="Palatino Linotype" w:eastAsia="Palatino Linotype" w:hAnsi="Palatino Linotype" w:cs="Palatino Linotype"/>
          <w:i/>
          <w:color w:val="000000"/>
          <w:sz w:val="22"/>
          <w:szCs w:val="22"/>
        </w:rPr>
        <w:t>esta</w:t>
      </w:r>
      <w:proofErr w:type="spellEnd"/>
      <w:r w:rsidRPr="00173989">
        <w:rPr>
          <w:rFonts w:ascii="Palatino Linotype" w:eastAsia="Palatino Linotype" w:hAnsi="Palatino Linotype" w:cs="Palatino Linotype"/>
          <w:i/>
          <w:color w:val="000000"/>
          <w:sz w:val="22"/>
          <w:szCs w:val="22"/>
        </w:rPr>
        <w:t xml:space="preserve"> completa la información debido a los registros que se visualizan.” (sic) </w:t>
      </w:r>
    </w:p>
    <w:p w14:paraId="6D279BB3" w14:textId="77777777" w:rsidR="00B2396D" w:rsidRPr="00173989" w:rsidRDefault="00B2396D">
      <w:pPr>
        <w:ind w:right="899"/>
        <w:jc w:val="both"/>
        <w:rPr>
          <w:rFonts w:ascii="Palatino Linotype" w:eastAsia="Palatino Linotype" w:hAnsi="Palatino Linotype" w:cs="Palatino Linotype"/>
          <w:i/>
          <w:color w:val="000000"/>
          <w:sz w:val="22"/>
          <w:szCs w:val="22"/>
        </w:rPr>
      </w:pPr>
    </w:p>
    <w:p w14:paraId="238D0289"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t xml:space="preserve">2. Del turno del Recurso de Revisión. </w:t>
      </w:r>
      <w:r w:rsidRPr="00173989">
        <w:rPr>
          <w:rFonts w:ascii="Palatino Linotype" w:eastAsia="Palatino Linotype" w:hAnsi="Palatino Linotype" w:cs="Palatino Linotype"/>
          <w:color w:val="000000"/>
        </w:rPr>
        <w:t xml:space="preserve">El mismo día el Recurso de que se trata se envió electrónicamente a este Instituto de Transparencia; por lo que, con fundamento en el artículo 185, fracción I de la Ley de Transparencia Local, se turnó, a través del </w:t>
      </w:r>
      <w:r w:rsidRPr="00173989">
        <w:rPr>
          <w:rFonts w:ascii="Palatino Linotype" w:eastAsia="Palatino Linotype" w:hAnsi="Palatino Linotype" w:cs="Palatino Linotype"/>
          <w:b/>
          <w:color w:val="000000"/>
        </w:rPr>
        <w:t>SAIMEX</w:t>
      </w:r>
      <w:r w:rsidRPr="00173989">
        <w:rPr>
          <w:rFonts w:ascii="Palatino Linotype" w:eastAsia="Palatino Linotype" w:hAnsi="Palatino Linotype" w:cs="Palatino Linotype"/>
          <w:color w:val="000000"/>
        </w:rPr>
        <w:t xml:space="preserve">, a la comisionada </w:t>
      </w:r>
      <w:r w:rsidRPr="00173989">
        <w:rPr>
          <w:rFonts w:ascii="Palatino Linotype" w:eastAsia="Palatino Linotype" w:hAnsi="Palatino Linotype" w:cs="Palatino Linotype"/>
          <w:b/>
          <w:color w:val="000000"/>
        </w:rPr>
        <w:t>Sharon Cristina Morales Martínez</w:t>
      </w:r>
      <w:r w:rsidRPr="00173989">
        <w:rPr>
          <w:rFonts w:ascii="Palatino Linotype" w:eastAsia="Palatino Linotype" w:hAnsi="Palatino Linotype" w:cs="Palatino Linotype"/>
          <w:color w:val="000000"/>
        </w:rPr>
        <w:t>, a efecto de decretar su admisión o desechamiento.</w:t>
      </w:r>
    </w:p>
    <w:p w14:paraId="73A719CF" w14:textId="77777777" w:rsidR="00B2396D" w:rsidRPr="00173989" w:rsidRDefault="00B2396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C960472" w14:textId="77777777" w:rsidR="00B2396D" w:rsidRPr="00173989" w:rsidRDefault="00925FEF">
      <w:pPr>
        <w:tabs>
          <w:tab w:val="center" w:pos="4252"/>
          <w:tab w:val="right" w:pos="8504"/>
        </w:tabs>
        <w:spacing w:line="360" w:lineRule="auto"/>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rPr>
        <w:t xml:space="preserve">3. Admisión del Recurso de Revisión. </w:t>
      </w:r>
      <w:r w:rsidRPr="00173989">
        <w:rPr>
          <w:rFonts w:ascii="Palatino Linotype" w:eastAsia="Palatino Linotype" w:hAnsi="Palatino Linotype" w:cs="Palatino Linotype"/>
          <w:color w:val="000000"/>
        </w:rPr>
        <w:t xml:space="preserve">El </w:t>
      </w:r>
      <w:r w:rsidRPr="00173989">
        <w:rPr>
          <w:rFonts w:ascii="Palatino Linotype" w:eastAsia="Palatino Linotype" w:hAnsi="Palatino Linotype" w:cs="Palatino Linotype"/>
          <w:b/>
          <w:color w:val="000000"/>
        </w:rPr>
        <w:t>catorce de agosto de dos mil veintitrés</w:t>
      </w:r>
      <w:r w:rsidRPr="00173989">
        <w:rPr>
          <w:rFonts w:ascii="Palatino Linotype" w:eastAsia="Palatino Linotype" w:hAnsi="Palatino Linotype" w:cs="Palatino Linotype"/>
          <w:color w:val="000000"/>
        </w:rPr>
        <w:t xml:space="preserve">, se acordó la admisión a trámite del Recurso de Revisión que nos ocupa; así como la integración del expediente respectivo, mismo que se puso a disposición de las partes, para que en un plazo máximo de siete días hábiles </w:t>
      </w:r>
      <w:r w:rsidRPr="00173989">
        <w:rPr>
          <w:rFonts w:ascii="Palatino Linotype" w:eastAsia="Palatino Linotype" w:hAnsi="Palatino Linotype" w:cs="Palatino Linotype"/>
          <w:b/>
          <w:color w:val="000000"/>
        </w:rPr>
        <w:t xml:space="preserve">LA RECURRENTE </w:t>
      </w:r>
      <w:r w:rsidRPr="00173989">
        <w:rPr>
          <w:rFonts w:ascii="Palatino Linotype" w:eastAsia="Palatino Linotype" w:hAnsi="Palatino Linotype" w:cs="Palatino Linotype"/>
          <w:color w:val="000000"/>
        </w:rPr>
        <w:t xml:space="preserve">manifestara lo </w:t>
      </w:r>
      <w:r w:rsidRPr="00173989">
        <w:rPr>
          <w:rFonts w:ascii="Palatino Linotype" w:eastAsia="Palatino Linotype" w:hAnsi="Palatino Linotype" w:cs="Palatino Linotype"/>
          <w:color w:val="000000"/>
        </w:rPr>
        <w:lastRenderedPageBreak/>
        <w:t xml:space="preserve">que a su derecho conviniera, a efecto de presentar pruebas o alegatos y, en su caso, </w:t>
      </w:r>
      <w:r w:rsidRPr="00173989">
        <w:rPr>
          <w:rFonts w:ascii="Palatino Linotype" w:eastAsia="Palatino Linotype" w:hAnsi="Palatino Linotype" w:cs="Palatino Linotype"/>
          <w:b/>
          <w:color w:val="000000"/>
        </w:rPr>
        <w:t xml:space="preserve">EL SUJETO OBLIGADO </w:t>
      </w:r>
      <w:r w:rsidRPr="00173989">
        <w:rPr>
          <w:rFonts w:ascii="Palatino Linotype" w:eastAsia="Palatino Linotype" w:hAnsi="Palatino Linotype" w:cs="Palatino Linotype"/>
          <w:color w:val="000000"/>
        </w:rPr>
        <w:t xml:space="preserve">rindiera su correspondiente Informe Justificado; lo anterior, conforme a lo dispuesto por el artículo 185 de la Ley de Transparencia Local. </w:t>
      </w:r>
    </w:p>
    <w:p w14:paraId="52357922" w14:textId="77777777" w:rsidR="00B2396D" w:rsidRPr="00173989" w:rsidRDefault="00B2396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874E098"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t xml:space="preserve">4. Manifestaciones e Informe Justificado. </w:t>
      </w:r>
      <w:r w:rsidRPr="00173989">
        <w:rPr>
          <w:rFonts w:ascii="Palatino Linotype" w:eastAsia="Palatino Linotype" w:hAnsi="Palatino Linotype" w:cs="Palatino Linotype"/>
        </w:rPr>
        <w:t>D</w:t>
      </w:r>
      <w:r w:rsidRPr="00173989">
        <w:rPr>
          <w:rFonts w:ascii="Palatino Linotype" w:eastAsia="Palatino Linotype" w:hAnsi="Palatino Linotype" w:cs="Palatino Linotype"/>
          <w:color w:val="000000"/>
        </w:rPr>
        <w:t xml:space="preserve">entro del término legalmente concedido al </w:t>
      </w:r>
      <w:r w:rsidRPr="00173989">
        <w:rPr>
          <w:rFonts w:ascii="Palatino Linotype" w:eastAsia="Palatino Linotype" w:hAnsi="Palatino Linotype" w:cs="Palatino Linotype"/>
          <w:b/>
          <w:color w:val="000000"/>
        </w:rPr>
        <w:t>RECURRENTE</w:t>
      </w:r>
      <w:r w:rsidRPr="00173989">
        <w:rPr>
          <w:rFonts w:ascii="Palatino Linotype" w:eastAsia="Palatino Linotype" w:hAnsi="Palatino Linotype" w:cs="Palatino Linotype"/>
          <w:color w:val="000000"/>
        </w:rPr>
        <w:t>, éste no realizó manifestación alguna, ni presentó pruebas o alegatos.</w:t>
      </w:r>
    </w:p>
    <w:p w14:paraId="66D91FDA" w14:textId="77777777" w:rsidR="00B2396D" w:rsidRPr="00173989" w:rsidRDefault="00B2396D">
      <w:pPr>
        <w:spacing w:line="360" w:lineRule="auto"/>
        <w:jc w:val="both"/>
        <w:rPr>
          <w:rFonts w:ascii="Palatino Linotype" w:eastAsia="Palatino Linotype" w:hAnsi="Palatino Linotype" w:cs="Palatino Linotype"/>
          <w:color w:val="000000"/>
        </w:rPr>
      </w:pPr>
    </w:p>
    <w:p w14:paraId="32A7D8F8"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Por su parte, </w:t>
      </w:r>
      <w:r w:rsidRPr="00173989">
        <w:rPr>
          <w:rFonts w:ascii="Palatino Linotype" w:eastAsia="Palatino Linotype" w:hAnsi="Palatino Linotype" w:cs="Palatino Linotype"/>
          <w:b/>
          <w:color w:val="000000"/>
        </w:rPr>
        <w:t>EL SUJETO OBLIGADO</w:t>
      </w:r>
      <w:r w:rsidRPr="00173989">
        <w:rPr>
          <w:rFonts w:ascii="Palatino Linotype" w:eastAsia="Palatino Linotype" w:hAnsi="Palatino Linotype" w:cs="Palatino Linotype"/>
          <w:color w:val="000000"/>
        </w:rPr>
        <w:t xml:space="preserve"> rindió su Informe Justificado con el archivo </w:t>
      </w:r>
      <w:r w:rsidRPr="00173989">
        <w:rPr>
          <w:rFonts w:ascii="Palatino Linotype" w:eastAsia="Palatino Linotype" w:hAnsi="Palatino Linotype" w:cs="Palatino Linotype"/>
          <w:i/>
          <w:color w:val="000000"/>
        </w:rPr>
        <w:t xml:space="preserve">RR4442.pdf </w:t>
      </w:r>
      <w:r w:rsidRPr="00173989">
        <w:rPr>
          <w:rFonts w:ascii="Palatino Linotype" w:eastAsia="Palatino Linotype" w:hAnsi="Palatino Linotype" w:cs="Palatino Linotype"/>
          <w:color w:val="000000"/>
        </w:rPr>
        <w:t>en donde ratifica su respuesta y solicita se confirme la misma.</w:t>
      </w:r>
    </w:p>
    <w:p w14:paraId="6C3B75B6" w14:textId="77777777" w:rsidR="00B2396D" w:rsidRPr="00173989" w:rsidRDefault="00B2396D">
      <w:pPr>
        <w:tabs>
          <w:tab w:val="left" w:pos="6820"/>
        </w:tabs>
        <w:spacing w:line="360" w:lineRule="auto"/>
        <w:jc w:val="both"/>
        <w:rPr>
          <w:rFonts w:ascii="Palatino Linotype" w:eastAsia="Palatino Linotype" w:hAnsi="Palatino Linotype" w:cs="Palatino Linotype"/>
          <w:color w:val="000000"/>
        </w:rPr>
      </w:pPr>
    </w:p>
    <w:p w14:paraId="401FBC3B" w14:textId="77777777" w:rsidR="00B2396D" w:rsidRPr="00173989" w:rsidRDefault="00925FEF">
      <w:pPr>
        <w:widowControl w:val="0"/>
        <w:tabs>
          <w:tab w:val="left" w:pos="0"/>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rPr>
        <w:t xml:space="preserve">5. De la ampliación. </w:t>
      </w:r>
      <w:r w:rsidRPr="00173989">
        <w:rPr>
          <w:rFonts w:ascii="Palatino Linotype" w:eastAsia="Palatino Linotype" w:hAnsi="Palatino Linotype" w:cs="Palatino Linotype"/>
          <w:color w:val="000000"/>
        </w:rPr>
        <w:t xml:space="preserve">El </w:t>
      </w:r>
      <w:r w:rsidRPr="00173989">
        <w:rPr>
          <w:rFonts w:ascii="Palatino Linotype" w:eastAsia="Palatino Linotype" w:hAnsi="Palatino Linotype" w:cs="Palatino Linotype"/>
          <w:b/>
          <w:color w:val="000000"/>
        </w:rPr>
        <w:t>dos de octubre de dos mil veintitrés</w:t>
      </w:r>
      <w:r w:rsidRPr="00173989">
        <w:rPr>
          <w:rFonts w:ascii="Palatino Linotype" w:eastAsia="Palatino Linotype" w:hAnsi="Palatino Linotype" w:cs="Palatino Linotype"/>
          <w:color w:val="000000"/>
        </w:rPr>
        <w:t>, se notificó el acuerdo de ampliación de plazo para resolver el presente Recurso de Revisión, previsto en el artículo 181, tercer párrafo de la Ley de Transparencia Local.</w:t>
      </w:r>
    </w:p>
    <w:p w14:paraId="1C84F9AE" w14:textId="77777777" w:rsidR="00B2396D" w:rsidRPr="00173989" w:rsidRDefault="00B2396D">
      <w:pPr>
        <w:spacing w:line="360" w:lineRule="auto"/>
        <w:jc w:val="both"/>
        <w:rPr>
          <w:rFonts w:ascii="Palatino Linotype" w:eastAsia="Palatino Linotype" w:hAnsi="Palatino Linotype" w:cs="Palatino Linotype"/>
          <w:color w:val="000000"/>
        </w:rPr>
      </w:pPr>
    </w:p>
    <w:p w14:paraId="346B3E4F"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11423C16" w14:textId="77777777" w:rsidR="00B2396D" w:rsidRPr="00173989" w:rsidRDefault="00B2396D">
      <w:pPr>
        <w:spacing w:line="360" w:lineRule="auto"/>
        <w:jc w:val="both"/>
        <w:rPr>
          <w:rFonts w:ascii="Palatino Linotype" w:eastAsia="Palatino Linotype" w:hAnsi="Palatino Linotype" w:cs="Palatino Linotype"/>
          <w:color w:val="000000"/>
        </w:rPr>
      </w:pPr>
    </w:p>
    <w:p w14:paraId="3507D43C"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w:t>
      </w:r>
      <w:r w:rsidRPr="00173989">
        <w:rPr>
          <w:rFonts w:ascii="Palatino Linotype" w:eastAsia="Palatino Linotype" w:hAnsi="Palatino Linotype" w:cs="Palatino Linotype"/>
          <w:color w:val="000000"/>
        </w:rPr>
        <w:lastRenderedPageBreak/>
        <w:t>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865DD23" w14:textId="77777777" w:rsidR="00B2396D" w:rsidRPr="00173989" w:rsidRDefault="00B2396D">
      <w:pPr>
        <w:spacing w:line="360" w:lineRule="auto"/>
        <w:jc w:val="both"/>
        <w:rPr>
          <w:rFonts w:ascii="Palatino Linotype" w:eastAsia="Palatino Linotype" w:hAnsi="Palatino Linotype" w:cs="Palatino Linotype"/>
          <w:color w:val="000000"/>
        </w:rPr>
      </w:pPr>
    </w:p>
    <w:p w14:paraId="46E14B4D"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C129CAB" w14:textId="77777777" w:rsidR="00B2396D" w:rsidRPr="00173989" w:rsidRDefault="00B2396D">
      <w:pPr>
        <w:spacing w:line="360" w:lineRule="auto"/>
        <w:jc w:val="both"/>
        <w:rPr>
          <w:rFonts w:ascii="Palatino Linotype" w:eastAsia="Palatino Linotype" w:hAnsi="Palatino Linotype" w:cs="Palatino Linotype"/>
          <w:color w:val="000000"/>
        </w:rPr>
      </w:pPr>
    </w:p>
    <w:p w14:paraId="011121D8"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94C0728" w14:textId="77777777" w:rsidR="00B2396D" w:rsidRPr="00173989" w:rsidRDefault="00B2396D">
      <w:pPr>
        <w:spacing w:line="360" w:lineRule="auto"/>
        <w:jc w:val="both"/>
        <w:rPr>
          <w:rFonts w:ascii="Palatino Linotype" w:eastAsia="Palatino Linotype" w:hAnsi="Palatino Linotype" w:cs="Palatino Linotype"/>
          <w:color w:val="000000"/>
        </w:rPr>
      </w:pPr>
    </w:p>
    <w:p w14:paraId="44BB3909"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14:paraId="5D87F9C1" w14:textId="77777777" w:rsidR="00B2396D" w:rsidRPr="00173989" w:rsidRDefault="00B2396D">
      <w:pPr>
        <w:spacing w:line="360" w:lineRule="auto"/>
        <w:jc w:val="both"/>
        <w:rPr>
          <w:rFonts w:ascii="Palatino Linotype" w:eastAsia="Palatino Linotype" w:hAnsi="Palatino Linotype" w:cs="Palatino Linotype"/>
          <w:color w:val="000000"/>
        </w:rPr>
      </w:pPr>
    </w:p>
    <w:p w14:paraId="44853D6D" w14:textId="77777777" w:rsidR="00B2396D" w:rsidRPr="00173989" w:rsidRDefault="00925FE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Complejidad del asunto: La complejidad de la prueba, la pluralidad de sujetos procesales, el tiempo transcurrido, las características y contexto del recurso.</w:t>
      </w:r>
    </w:p>
    <w:p w14:paraId="4692500B" w14:textId="77777777" w:rsidR="00B2396D" w:rsidRPr="00173989" w:rsidRDefault="00925FE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Actividad Procesal del interesado: Acciones u omisiones del interesado.</w:t>
      </w:r>
    </w:p>
    <w:p w14:paraId="7615A0D7" w14:textId="77777777" w:rsidR="00B2396D" w:rsidRPr="00173989" w:rsidRDefault="00925FE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36C8590F" w14:textId="77777777" w:rsidR="00B2396D" w:rsidRPr="00173989" w:rsidRDefault="00925FE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lastRenderedPageBreak/>
        <w:t>La afectación generada en la situación jurídica de la persona involucrada en el proceso: Violación a sus derechos humanos.</w:t>
      </w:r>
    </w:p>
    <w:p w14:paraId="3F0D5F27" w14:textId="77777777" w:rsidR="00B2396D" w:rsidRPr="00173989" w:rsidRDefault="00B2396D">
      <w:pPr>
        <w:spacing w:line="360" w:lineRule="auto"/>
        <w:ind w:left="360"/>
        <w:jc w:val="both"/>
        <w:rPr>
          <w:rFonts w:ascii="Palatino Linotype" w:eastAsia="Palatino Linotype" w:hAnsi="Palatino Linotype" w:cs="Palatino Linotype"/>
          <w:color w:val="000000"/>
        </w:rPr>
      </w:pPr>
    </w:p>
    <w:p w14:paraId="7F0838AD"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973390F" w14:textId="77777777" w:rsidR="00B2396D" w:rsidRPr="00173989" w:rsidRDefault="00B2396D">
      <w:pPr>
        <w:spacing w:line="360" w:lineRule="auto"/>
        <w:jc w:val="both"/>
        <w:rPr>
          <w:rFonts w:ascii="Palatino Linotype" w:eastAsia="Palatino Linotype" w:hAnsi="Palatino Linotype" w:cs="Palatino Linotype"/>
          <w:color w:val="000000"/>
        </w:rPr>
      </w:pPr>
    </w:p>
    <w:p w14:paraId="5460EA29"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Argumento que encuentra sustento en la jurisprudencia P./J. 32/92 emitida por el Pleno de la Suprema Corte de Justicia de la Nación de rubro “</w:t>
      </w:r>
      <w:r w:rsidRPr="00173989">
        <w:rPr>
          <w:rFonts w:ascii="Palatino Linotype" w:eastAsia="Palatino Linotype" w:hAnsi="Palatino Linotype" w:cs="Palatino Linotype"/>
          <w:color w:val="000000"/>
          <w:sz w:val="22"/>
          <w:szCs w:val="22"/>
        </w:rPr>
        <w:t>TÉRMINOS PROCESALES. PARA DETERMINAR SI UN FUNCIONARIO JUDICIAL ACTUÓ INDEBIDAMENTE POR NO RESPETARLOS SE DEBE ATENDER AL PRESUPUESTO QUE CONSIDERÓ EL LEGISLADOR AL FIJARLOS Y LAS CARACTERÍSTICAS DEL CASO</w:t>
      </w:r>
      <w:r w:rsidRPr="00173989">
        <w:rPr>
          <w:rFonts w:ascii="Palatino Linotype" w:eastAsia="Palatino Linotype" w:hAnsi="Palatino Linotype" w:cs="Palatino Linotype"/>
          <w:color w:val="000000"/>
        </w:rPr>
        <w:t>.”, visible en la Gaceta del Seminario Judicial de la Federación con el registro digital 205635.</w:t>
      </w:r>
    </w:p>
    <w:p w14:paraId="25040E86" w14:textId="77777777" w:rsidR="00B2396D" w:rsidRPr="00173989" w:rsidRDefault="00B2396D">
      <w:pPr>
        <w:spacing w:line="360" w:lineRule="auto"/>
        <w:jc w:val="both"/>
        <w:rPr>
          <w:rFonts w:ascii="Palatino Linotype" w:eastAsia="Palatino Linotype" w:hAnsi="Palatino Linotype" w:cs="Palatino Linotype"/>
          <w:color w:val="000000"/>
        </w:rPr>
      </w:pPr>
    </w:p>
    <w:p w14:paraId="27ADE62D"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173989">
        <w:rPr>
          <w:rFonts w:ascii="Palatino Linotype" w:eastAsia="Palatino Linotype" w:hAnsi="Palatino Linotype" w:cs="Palatino Linotype"/>
          <w:color w:val="000000"/>
        </w:rPr>
        <w:lastRenderedPageBreak/>
        <w:t>términos legales previamente establecidos por la Ley, por tratarse de causas de fuerza mayor.</w:t>
      </w:r>
    </w:p>
    <w:p w14:paraId="5564085D" w14:textId="77777777" w:rsidR="00B2396D" w:rsidRPr="00173989" w:rsidRDefault="00B2396D">
      <w:pPr>
        <w:spacing w:line="360" w:lineRule="auto"/>
        <w:jc w:val="both"/>
        <w:rPr>
          <w:rFonts w:ascii="Palatino Linotype" w:eastAsia="Palatino Linotype" w:hAnsi="Palatino Linotype" w:cs="Palatino Linotype"/>
          <w:color w:val="000000"/>
        </w:rPr>
      </w:pPr>
    </w:p>
    <w:p w14:paraId="79A1C494"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DFF5814" w14:textId="77777777" w:rsidR="00B2396D" w:rsidRPr="00173989" w:rsidRDefault="00B2396D">
      <w:pPr>
        <w:spacing w:line="360" w:lineRule="auto"/>
        <w:jc w:val="both"/>
        <w:rPr>
          <w:rFonts w:ascii="Palatino Linotype" w:eastAsia="Palatino Linotype" w:hAnsi="Palatino Linotype" w:cs="Palatino Linotype"/>
          <w:color w:val="000000"/>
        </w:rPr>
      </w:pPr>
    </w:p>
    <w:p w14:paraId="57E2C9E9"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w:t>
      </w:r>
      <w:r w:rsidRPr="00173989">
        <w:rPr>
          <w:rFonts w:ascii="Palatino Linotype" w:eastAsia="Palatino Linotype" w:hAnsi="Palatino Linotype" w:cs="Palatino Linotype"/>
          <w:color w:val="000000"/>
          <w:sz w:val="22"/>
          <w:szCs w:val="22"/>
        </w:rPr>
        <w:t>PLAZO RAZONABLE PARA RESOLVER. DIMENSIÓN Y EFECTOS DE ESTE CONCEPTO CUANDO SE ADUCE EXCESIVA CARGA DE TRABAJO</w:t>
      </w:r>
      <w:r w:rsidRPr="00173989">
        <w:rPr>
          <w:rFonts w:ascii="Palatino Linotype" w:eastAsia="Palatino Linotype" w:hAnsi="Palatino Linotype" w:cs="Palatino Linotype"/>
          <w:color w:val="000000"/>
        </w:rPr>
        <w:t>.” consultable en el Seminario Judicial de la Federación y su gaceta, con el registro digital 2002351.</w:t>
      </w:r>
    </w:p>
    <w:p w14:paraId="3268D6E6" w14:textId="77777777" w:rsidR="00B2396D" w:rsidRPr="00173989" w:rsidRDefault="00B2396D">
      <w:pPr>
        <w:spacing w:line="360" w:lineRule="auto"/>
        <w:jc w:val="both"/>
        <w:rPr>
          <w:rFonts w:ascii="Palatino Linotype" w:eastAsia="Palatino Linotype" w:hAnsi="Palatino Linotype" w:cs="Palatino Linotype"/>
          <w:color w:val="000000"/>
        </w:rPr>
      </w:pPr>
    </w:p>
    <w:p w14:paraId="7B08F491"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w:t>
      </w:r>
      <w:r w:rsidRPr="00173989">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w:t>
      </w:r>
      <w:r w:rsidRPr="00173989">
        <w:rPr>
          <w:rFonts w:ascii="Palatino Linotype" w:eastAsia="Palatino Linotype" w:hAnsi="Palatino Linotype" w:cs="Palatino Linotype"/>
          <w:color w:val="000000"/>
        </w:rPr>
        <w:t>.”, visible en el Seminario Judicial de la Federación y su gaceta, con el registro digital 2002350.</w:t>
      </w:r>
    </w:p>
    <w:p w14:paraId="219B55AA" w14:textId="77777777" w:rsidR="00B2396D" w:rsidRPr="00173989" w:rsidRDefault="00B2396D">
      <w:pPr>
        <w:spacing w:line="360" w:lineRule="auto"/>
        <w:jc w:val="both"/>
        <w:rPr>
          <w:rFonts w:ascii="Palatino Linotype" w:eastAsia="Palatino Linotype" w:hAnsi="Palatino Linotype" w:cs="Palatino Linotype"/>
          <w:color w:val="000000"/>
        </w:rPr>
      </w:pPr>
    </w:p>
    <w:p w14:paraId="5F321F51"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20E847FC" w14:textId="77777777" w:rsidR="00B2396D" w:rsidRPr="00173989" w:rsidRDefault="00B2396D">
      <w:pPr>
        <w:tabs>
          <w:tab w:val="left" w:pos="6820"/>
        </w:tabs>
        <w:spacing w:line="360" w:lineRule="auto"/>
        <w:jc w:val="both"/>
        <w:rPr>
          <w:rFonts w:ascii="Palatino Linotype" w:eastAsia="Palatino Linotype" w:hAnsi="Palatino Linotype" w:cs="Palatino Linotype"/>
          <w:color w:val="000000"/>
        </w:rPr>
      </w:pPr>
    </w:p>
    <w:p w14:paraId="0A1E550F" w14:textId="77777777" w:rsidR="00B2396D" w:rsidRPr="00173989" w:rsidRDefault="00925FEF">
      <w:pPr>
        <w:widowControl w:val="0"/>
        <w:tabs>
          <w:tab w:val="left" w:pos="0"/>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t xml:space="preserve">6. Cierre de Instrucción. </w:t>
      </w:r>
      <w:r w:rsidRPr="00173989">
        <w:rPr>
          <w:rFonts w:ascii="Palatino Linotype" w:eastAsia="Palatino Linotype" w:hAnsi="Palatino Linotype" w:cs="Palatino Linotype"/>
          <w:color w:val="000000"/>
        </w:rPr>
        <w:t xml:space="preserve">Por lo que, una vez analizado el estado procesal que guarda el expediente, el </w:t>
      </w:r>
      <w:r w:rsidRPr="00173989">
        <w:rPr>
          <w:rFonts w:ascii="Palatino Linotype" w:eastAsia="Palatino Linotype" w:hAnsi="Palatino Linotype" w:cs="Palatino Linotype"/>
          <w:b/>
          <w:color w:val="000000"/>
        </w:rPr>
        <w:t>veintisiete de febrero de dos mil veinticuatro</w:t>
      </w:r>
      <w:r w:rsidRPr="00173989">
        <w:rPr>
          <w:rFonts w:ascii="Palatino Linotype" w:eastAsia="Palatino Linotype" w:hAnsi="Palatino Linotype" w:cs="Palatino Linotype"/>
          <w:color w:val="000000"/>
        </w:rPr>
        <w:t xml:space="preserve">, la </w:t>
      </w:r>
      <w:r w:rsidRPr="00173989">
        <w:rPr>
          <w:rFonts w:ascii="Palatino Linotype" w:eastAsia="Palatino Linotype" w:hAnsi="Palatino Linotype" w:cs="Palatino Linotype"/>
          <w:b/>
          <w:color w:val="000000"/>
        </w:rPr>
        <w:t xml:space="preserve">Comisionada Sharon Cristina Morales Martínez </w:t>
      </w:r>
      <w:r w:rsidRPr="00173989">
        <w:rPr>
          <w:rFonts w:ascii="Palatino Linotype" w:eastAsia="Palatino Linotype" w:hAnsi="Palatino Linotype" w:cs="Palatino Linotype"/>
          <w:color w:val="000000"/>
        </w:rPr>
        <w:t xml:space="preserve">acordó el cierre de instrucción, así como la remisión del mismo, a efecto de ser resuelto, de conformidad con lo establecido en el artículo 185 </w:t>
      </w:r>
      <w:r w:rsidRPr="00173989">
        <w:rPr>
          <w:rFonts w:ascii="Palatino Linotype" w:eastAsia="Palatino Linotype" w:hAnsi="Palatino Linotype" w:cs="Palatino Linotype"/>
          <w:color w:val="000000"/>
        </w:rPr>
        <w:lastRenderedPageBreak/>
        <w:t>fracciones VI y VIII de la Ley de Transparencia Local.</w:t>
      </w:r>
    </w:p>
    <w:p w14:paraId="48B1D101" w14:textId="77777777" w:rsidR="00B2396D" w:rsidRPr="00173989" w:rsidRDefault="00B2396D">
      <w:pPr>
        <w:spacing w:line="360" w:lineRule="auto"/>
        <w:jc w:val="center"/>
        <w:rPr>
          <w:rFonts w:ascii="Palatino Linotype" w:eastAsia="Palatino Linotype" w:hAnsi="Palatino Linotype" w:cs="Palatino Linotype"/>
          <w:b/>
          <w:color w:val="000000"/>
          <w:sz w:val="28"/>
          <w:szCs w:val="28"/>
        </w:rPr>
      </w:pPr>
    </w:p>
    <w:p w14:paraId="68ABE1D0" w14:textId="77777777" w:rsidR="00B2396D" w:rsidRPr="00173989" w:rsidRDefault="00925FEF">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502C939" w14:textId="77777777" w:rsidR="00B2396D" w:rsidRPr="00173989" w:rsidRDefault="00B2396D">
      <w:pPr>
        <w:jc w:val="center"/>
        <w:rPr>
          <w:rFonts w:ascii="Palatino Linotype" w:eastAsia="Palatino Linotype" w:hAnsi="Palatino Linotype" w:cs="Palatino Linotype"/>
          <w:b/>
          <w:color w:val="000000"/>
          <w:sz w:val="28"/>
          <w:szCs w:val="28"/>
        </w:rPr>
      </w:pPr>
    </w:p>
    <w:p w14:paraId="76EE4F51" w14:textId="77777777" w:rsidR="00B2396D" w:rsidRPr="00173989" w:rsidRDefault="00925FEF">
      <w:pPr>
        <w:jc w:val="center"/>
        <w:rPr>
          <w:rFonts w:ascii="Palatino Linotype" w:eastAsia="Palatino Linotype" w:hAnsi="Palatino Linotype" w:cs="Palatino Linotype"/>
          <w:b/>
          <w:color w:val="000000"/>
          <w:sz w:val="28"/>
          <w:szCs w:val="28"/>
        </w:rPr>
      </w:pPr>
      <w:r w:rsidRPr="00173989">
        <w:rPr>
          <w:rFonts w:ascii="Palatino Linotype" w:eastAsia="Palatino Linotype" w:hAnsi="Palatino Linotype" w:cs="Palatino Linotype"/>
          <w:b/>
          <w:color w:val="000000"/>
          <w:sz w:val="28"/>
          <w:szCs w:val="28"/>
        </w:rPr>
        <w:t>CONSIDERANDOS</w:t>
      </w:r>
    </w:p>
    <w:p w14:paraId="2F65DECC" w14:textId="77777777" w:rsidR="00B2396D" w:rsidRPr="00173989" w:rsidRDefault="00B2396D">
      <w:pPr>
        <w:jc w:val="center"/>
        <w:rPr>
          <w:rFonts w:ascii="Palatino Linotype" w:eastAsia="Palatino Linotype" w:hAnsi="Palatino Linotype" w:cs="Palatino Linotype"/>
          <w:b/>
          <w:color w:val="000000"/>
          <w:sz w:val="28"/>
          <w:szCs w:val="28"/>
        </w:rPr>
      </w:pPr>
    </w:p>
    <w:p w14:paraId="72210210" w14:textId="77777777" w:rsidR="00B2396D" w:rsidRPr="00173989" w:rsidRDefault="00925FEF">
      <w:pPr>
        <w:spacing w:line="360" w:lineRule="auto"/>
        <w:ind w:right="50"/>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sz w:val="28"/>
          <w:szCs w:val="28"/>
        </w:rPr>
        <w:t>PRIMERO</w:t>
      </w:r>
      <w:r w:rsidRPr="00173989">
        <w:rPr>
          <w:rFonts w:ascii="Palatino Linotype" w:eastAsia="Palatino Linotype" w:hAnsi="Palatino Linotype" w:cs="Palatino Linotype"/>
          <w:b/>
          <w:color w:val="000000"/>
        </w:rPr>
        <w:t>.</w:t>
      </w:r>
      <w:r w:rsidRPr="00173989">
        <w:rPr>
          <w:rFonts w:ascii="Palatino Linotype" w:eastAsia="Palatino Linotype" w:hAnsi="Palatino Linotype" w:cs="Palatino Linotype"/>
          <w:color w:val="000000"/>
        </w:rPr>
        <w:t xml:space="preserve"> </w:t>
      </w:r>
      <w:r w:rsidRPr="00173989">
        <w:rPr>
          <w:rFonts w:ascii="Palatino Linotype" w:eastAsia="Palatino Linotype" w:hAnsi="Palatino Linotype" w:cs="Palatino Linotype"/>
          <w:b/>
          <w:color w:val="000000"/>
        </w:rPr>
        <w:t>Competencia</w:t>
      </w:r>
      <w:r w:rsidRPr="00173989">
        <w:rPr>
          <w:rFonts w:ascii="Palatino Linotype" w:eastAsia="Palatino Linotype" w:hAnsi="Palatino Linotype" w:cs="Palatino Linotype"/>
          <w:color w:val="000000"/>
        </w:rPr>
        <w:t>.</w:t>
      </w:r>
      <w:r w:rsidRPr="00173989">
        <w:rPr>
          <w:rFonts w:ascii="Palatino Linotype" w:eastAsia="Palatino Linotype" w:hAnsi="Palatino Linotype" w:cs="Palatino Linotype"/>
          <w:b/>
          <w:color w:val="000000"/>
        </w:rPr>
        <w:t xml:space="preserve"> </w:t>
      </w:r>
    </w:p>
    <w:p w14:paraId="7759045D" w14:textId="77777777" w:rsidR="00B2396D" w:rsidRPr="00173989" w:rsidRDefault="00925FEF">
      <w:pPr>
        <w:spacing w:line="360" w:lineRule="auto"/>
        <w:ind w:right="50"/>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2D095AFF" w14:textId="77777777" w:rsidR="00B2396D" w:rsidRPr="00173989" w:rsidRDefault="00B2396D">
      <w:pPr>
        <w:spacing w:line="360" w:lineRule="auto"/>
        <w:ind w:right="50"/>
        <w:jc w:val="both"/>
        <w:rPr>
          <w:rFonts w:ascii="Palatino Linotype" w:eastAsia="Palatino Linotype" w:hAnsi="Palatino Linotype" w:cs="Palatino Linotype"/>
          <w:color w:val="000000"/>
        </w:rPr>
      </w:pPr>
    </w:p>
    <w:p w14:paraId="5AF4C22D"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r w:rsidRPr="00173989">
        <w:rPr>
          <w:rFonts w:ascii="Palatino Linotype" w:eastAsia="Palatino Linotype" w:hAnsi="Palatino Linotype" w:cs="Palatino Linotype"/>
          <w:b/>
          <w:color w:val="000000"/>
          <w:sz w:val="28"/>
          <w:szCs w:val="28"/>
        </w:rPr>
        <w:t xml:space="preserve">SEGUNDO. Requisitos de procedencia. </w:t>
      </w:r>
    </w:p>
    <w:p w14:paraId="7ACA1482"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El Recurso de Revisión reúne los requisitos establecidos en los artículos 178, 179 y 180 de la ley de la materia, conforme a lo siguiente: </w:t>
      </w:r>
    </w:p>
    <w:p w14:paraId="3581A91A" w14:textId="77777777" w:rsidR="00B2396D" w:rsidRPr="00173989" w:rsidRDefault="00B2396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A41173F"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lastRenderedPageBreak/>
        <w:t xml:space="preserve">a) Forma. </w:t>
      </w:r>
      <w:r w:rsidRPr="00173989">
        <w:rPr>
          <w:rFonts w:ascii="Palatino Linotype" w:eastAsia="Palatino Linotype" w:hAnsi="Palatino Linotype" w:cs="Palatino Linotype"/>
          <w:color w:val="000000"/>
        </w:rPr>
        <w:t xml:space="preserve">El Recurso de Revisión en estudio fue presentado vía </w:t>
      </w:r>
      <w:r w:rsidRPr="00173989">
        <w:rPr>
          <w:rFonts w:ascii="Palatino Linotype" w:eastAsia="Palatino Linotype" w:hAnsi="Palatino Linotype" w:cs="Palatino Linotype"/>
          <w:b/>
          <w:color w:val="000000"/>
        </w:rPr>
        <w:t>SAIMEX</w:t>
      </w:r>
      <w:r w:rsidRPr="00173989">
        <w:rPr>
          <w:rFonts w:ascii="Palatino Linotype" w:eastAsia="Palatino Linotype" w:hAnsi="Palatino Linotype" w:cs="Palatino Linotype"/>
          <w:color w:val="000000"/>
        </w:rPr>
        <w:t xml:space="preserve">, constando </w:t>
      </w:r>
      <w:r w:rsidRPr="00173989">
        <w:rPr>
          <w:rFonts w:ascii="Palatino Linotype" w:eastAsia="Palatino Linotype" w:hAnsi="Palatino Linotype" w:cs="Palatino Linotype"/>
          <w:b/>
          <w:color w:val="000000"/>
        </w:rPr>
        <w:t>EL SUJETO OBLIGADO</w:t>
      </w:r>
      <w:r w:rsidRPr="00173989">
        <w:rPr>
          <w:rFonts w:ascii="Palatino Linotype" w:eastAsia="Palatino Linotype" w:hAnsi="Palatino Linotype" w:cs="Palatino Linotype"/>
          <w:color w:val="000000"/>
        </w:rPr>
        <w:t>, el nombre del solicitante, el número de folio de respuesta, la fecha en que fue notificada al solicitante, el acto recurrido y los motivos de inconformidad.</w:t>
      </w:r>
    </w:p>
    <w:p w14:paraId="3E25ACB2" w14:textId="77777777" w:rsidR="00B2396D" w:rsidRPr="00173989" w:rsidRDefault="00B2396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65EF637"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t xml:space="preserve">b) Interés. </w:t>
      </w:r>
      <w:r w:rsidRPr="00173989">
        <w:rPr>
          <w:rFonts w:ascii="Palatino Linotype" w:eastAsia="Palatino Linotype" w:hAnsi="Palatino Linotype" w:cs="Palatino Linotype"/>
          <w:color w:val="000000"/>
        </w:rPr>
        <w:t xml:space="preserve">El Recurso de Revisión fue interpuesto por parte legítima, en atención a que se presentó por </w:t>
      </w:r>
      <w:r w:rsidRPr="00173989">
        <w:rPr>
          <w:rFonts w:ascii="Palatino Linotype" w:eastAsia="Palatino Linotype" w:hAnsi="Palatino Linotype" w:cs="Palatino Linotype"/>
          <w:b/>
          <w:color w:val="000000"/>
        </w:rPr>
        <w:t>LA RECURRENTE,</w:t>
      </w:r>
      <w:r w:rsidRPr="00173989">
        <w:rPr>
          <w:rFonts w:ascii="Palatino Linotype" w:eastAsia="Palatino Linotype" w:hAnsi="Palatino Linotype" w:cs="Palatino Linotype"/>
          <w:color w:val="000000"/>
        </w:rPr>
        <w:t xml:space="preserve"> quien es la misma persona que formuló la solicitud de acceso a la información pública al </w:t>
      </w:r>
      <w:r w:rsidRPr="00173989">
        <w:rPr>
          <w:rFonts w:ascii="Palatino Linotype" w:eastAsia="Palatino Linotype" w:hAnsi="Palatino Linotype" w:cs="Palatino Linotype"/>
          <w:b/>
          <w:color w:val="000000"/>
        </w:rPr>
        <w:t xml:space="preserve">SUJETO OBLIGADO, </w:t>
      </w:r>
      <w:r w:rsidRPr="00173989">
        <w:rPr>
          <w:rFonts w:ascii="Palatino Linotype" w:eastAsia="Palatino Linotype" w:hAnsi="Palatino Linotype" w:cs="Palatino Linotype"/>
          <w:color w:val="000000"/>
        </w:rPr>
        <w:t xml:space="preserve">pues para ello, es necesario que el particular ingrese al </w:t>
      </w:r>
      <w:r w:rsidRPr="00173989">
        <w:rPr>
          <w:rFonts w:ascii="Palatino Linotype" w:eastAsia="Palatino Linotype" w:hAnsi="Palatino Linotype" w:cs="Palatino Linotype"/>
          <w:b/>
          <w:color w:val="000000"/>
        </w:rPr>
        <w:t xml:space="preserve">SAIMEX </w:t>
      </w:r>
      <w:r w:rsidRPr="00173989">
        <w:rPr>
          <w:rFonts w:ascii="Palatino Linotype" w:eastAsia="Palatino Linotype" w:hAnsi="Palatino Linotype" w:cs="Palatino Linotype"/>
          <w:color w:val="000000"/>
        </w:rPr>
        <w:t>mediante la utilización de su clave de usuario y contraseña.</w:t>
      </w:r>
    </w:p>
    <w:p w14:paraId="441875BF" w14:textId="77777777" w:rsidR="00B2396D" w:rsidRPr="00173989" w:rsidRDefault="00B2396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969EB16" w14:textId="77777777" w:rsidR="00B2396D" w:rsidRPr="00173989" w:rsidRDefault="00925FEF">
      <w:pPr>
        <w:spacing w:line="360" w:lineRule="auto"/>
        <w:ind w:right="49"/>
        <w:jc w:val="both"/>
        <w:rPr>
          <w:rFonts w:ascii="Palatino Linotype" w:eastAsia="Palatino Linotype" w:hAnsi="Palatino Linotype" w:cs="Palatino Linotype"/>
        </w:rPr>
      </w:pPr>
      <w:r w:rsidRPr="00173989">
        <w:rPr>
          <w:rFonts w:ascii="Palatino Linotype" w:eastAsia="Palatino Linotype" w:hAnsi="Palatino Linotype" w:cs="Palatino Linotype"/>
          <w:b/>
        </w:rPr>
        <w:t xml:space="preserve">c) Nombre de LA RECURRENTE.  </w:t>
      </w:r>
      <w:r w:rsidRPr="00173989">
        <w:rPr>
          <w:rFonts w:ascii="Palatino Linotype" w:eastAsia="Palatino Linotype" w:hAnsi="Palatino Linotype" w:cs="Palatino Linotype"/>
        </w:rPr>
        <w:t xml:space="preserve">Se considera importante precisar que conforme al artículo 180, fracción II, último párrafo de la Ley de Transparencia local, cuando las solicitudes se presenten de manera electrónica no es requisito indispensable el proporcionar el nombre, tal como se muestra a continuación: </w:t>
      </w:r>
    </w:p>
    <w:p w14:paraId="6F6CAEDD" w14:textId="77777777" w:rsidR="00B2396D" w:rsidRPr="00173989" w:rsidRDefault="00B2396D">
      <w:pPr>
        <w:ind w:right="49"/>
        <w:jc w:val="both"/>
        <w:rPr>
          <w:rFonts w:ascii="Palatino Linotype" w:eastAsia="Palatino Linotype" w:hAnsi="Palatino Linotype" w:cs="Palatino Linotype"/>
        </w:rPr>
      </w:pPr>
    </w:p>
    <w:p w14:paraId="377D4880" w14:textId="77777777" w:rsidR="00B2396D" w:rsidRPr="00173989" w:rsidRDefault="00925FEF">
      <w:pPr>
        <w:tabs>
          <w:tab w:val="left" w:pos="851"/>
        </w:tabs>
        <w:ind w:left="851" w:right="901"/>
        <w:jc w:val="both"/>
        <w:rPr>
          <w:rFonts w:ascii="Palatino Linotype" w:eastAsia="Palatino Linotype" w:hAnsi="Palatino Linotype" w:cs="Palatino Linotype"/>
          <w:b/>
          <w:i/>
          <w:sz w:val="22"/>
          <w:szCs w:val="22"/>
        </w:rPr>
      </w:pPr>
      <w:r w:rsidRPr="00173989">
        <w:rPr>
          <w:rFonts w:ascii="Palatino Linotype" w:eastAsia="Palatino Linotype" w:hAnsi="Palatino Linotype" w:cs="Palatino Linotype"/>
          <w:b/>
          <w:i/>
          <w:sz w:val="22"/>
          <w:szCs w:val="22"/>
        </w:rPr>
        <w:t xml:space="preserve">“Artículo 180. </w:t>
      </w:r>
      <w:r w:rsidRPr="00173989">
        <w:rPr>
          <w:rFonts w:ascii="Palatino Linotype" w:eastAsia="Palatino Linotype" w:hAnsi="Palatino Linotype" w:cs="Palatino Linotype"/>
          <w:i/>
          <w:sz w:val="22"/>
          <w:szCs w:val="22"/>
        </w:rPr>
        <w:t>El Recurso de Revisión contendrá:</w:t>
      </w:r>
      <w:r w:rsidRPr="00173989">
        <w:rPr>
          <w:rFonts w:ascii="Palatino Linotype" w:eastAsia="Palatino Linotype" w:hAnsi="Palatino Linotype" w:cs="Palatino Linotype"/>
          <w:b/>
          <w:i/>
          <w:sz w:val="22"/>
          <w:szCs w:val="22"/>
        </w:rPr>
        <w:t xml:space="preserve"> </w:t>
      </w:r>
    </w:p>
    <w:p w14:paraId="5C5325D9" w14:textId="77777777" w:rsidR="00B2396D" w:rsidRPr="00173989" w:rsidRDefault="00925FEF">
      <w:pPr>
        <w:tabs>
          <w:tab w:val="left" w:pos="851"/>
        </w:tabs>
        <w:ind w:left="851" w:right="901"/>
        <w:jc w:val="both"/>
        <w:rPr>
          <w:rFonts w:ascii="Palatino Linotype" w:eastAsia="Palatino Linotype" w:hAnsi="Palatino Linotype" w:cs="Palatino Linotype"/>
          <w:b/>
          <w:i/>
          <w:sz w:val="22"/>
          <w:szCs w:val="22"/>
        </w:rPr>
      </w:pPr>
      <w:r w:rsidRPr="00173989">
        <w:rPr>
          <w:rFonts w:ascii="Palatino Linotype" w:eastAsia="Palatino Linotype" w:hAnsi="Palatino Linotype" w:cs="Palatino Linotype"/>
          <w:b/>
          <w:i/>
          <w:sz w:val="22"/>
          <w:szCs w:val="22"/>
        </w:rPr>
        <w:t>…</w:t>
      </w:r>
    </w:p>
    <w:p w14:paraId="7CDFDD61" w14:textId="77777777" w:rsidR="00B2396D" w:rsidRPr="00173989" w:rsidRDefault="00925FEF">
      <w:pPr>
        <w:tabs>
          <w:tab w:val="left" w:pos="851"/>
        </w:tabs>
        <w:ind w:left="851" w:right="901"/>
        <w:jc w:val="both"/>
        <w:rPr>
          <w:rFonts w:ascii="Palatino Linotype" w:eastAsia="Palatino Linotype" w:hAnsi="Palatino Linotype" w:cs="Palatino Linotype"/>
          <w:i/>
          <w:sz w:val="22"/>
          <w:szCs w:val="22"/>
        </w:rPr>
      </w:pPr>
      <w:r w:rsidRPr="00173989">
        <w:rPr>
          <w:rFonts w:ascii="Palatino Linotype" w:eastAsia="Palatino Linotype" w:hAnsi="Palatino Linotype" w:cs="Palatino Linotype"/>
          <w:b/>
          <w:i/>
          <w:sz w:val="22"/>
          <w:szCs w:val="22"/>
        </w:rPr>
        <w:t xml:space="preserve">II. El nombre del solicitante </w:t>
      </w:r>
      <w:r w:rsidRPr="00173989">
        <w:rPr>
          <w:rFonts w:ascii="Palatino Linotype" w:eastAsia="Palatino Linotype" w:hAnsi="Palatino Linotype" w:cs="Palatino Linotype"/>
          <w:b/>
          <w:i/>
          <w:color w:val="222222"/>
          <w:sz w:val="22"/>
          <w:szCs w:val="22"/>
        </w:rPr>
        <w:t>que</w:t>
      </w:r>
      <w:r w:rsidRPr="00173989">
        <w:rPr>
          <w:rFonts w:ascii="Palatino Linotype" w:eastAsia="Palatino Linotype" w:hAnsi="Palatino Linotype" w:cs="Palatino Linotype"/>
          <w:b/>
          <w:i/>
          <w:sz w:val="22"/>
          <w:szCs w:val="22"/>
        </w:rPr>
        <w:t xml:space="preserve"> recurre </w:t>
      </w:r>
      <w:r w:rsidRPr="00173989">
        <w:rPr>
          <w:rFonts w:ascii="Palatino Linotype" w:eastAsia="Palatino Linotype" w:hAnsi="Palatino Linotype" w:cs="Palatino Linotype"/>
          <w:i/>
          <w:sz w:val="22"/>
          <w:szCs w:val="22"/>
        </w:rPr>
        <w:t>o de su representante y, en su caso, …</w:t>
      </w:r>
    </w:p>
    <w:p w14:paraId="333CD37E" w14:textId="77777777" w:rsidR="00B2396D" w:rsidRPr="00173989" w:rsidRDefault="00925FEF">
      <w:pPr>
        <w:tabs>
          <w:tab w:val="left" w:pos="851"/>
        </w:tabs>
        <w:ind w:left="851" w:right="901"/>
        <w:jc w:val="both"/>
        <w:rPr>
          <w:rFonts w:ascii="Palatino Linotype" w:eastAsia="Palatino Linotype" w:hAnsi="Palatino Linotype" w:cs="Palatino Linotype"/>
          <w:b/>
          <w:i/>
          <w:sz w:val="22"/>
          <w:szCs w:val="22"/>
        </w:rPr>
      </w:pPr>
      <w:r w:rsidRPr="00173989">
        <w:rPr>
          <w:rFonts w:ascii="Palatino Linotype" w:eastAsia="Palatino Linotype" w:hAnsi="Palatino Linotype" w:cs="Palatino Linotype"/>
          <w:b/>
          <w:i/>
          <w:sz w:val="22"/>
          <w:szCs w:val="22"/>
        </w:rPr>
        <w:t xml:space="preserve">En caso de </w:t>
      </w:r>
      <w:r w:rsidRPr="00173989">
        <w:rPr>
          <w:rFonts w:ascii="Palatino Linotype" w:eastAsia="Palatino Linotype" w:hAnsi="Palatino Linotype" w:cs="Palatino Linotype"/>
          <w:b/>
          <w:i/>
          <w:color w:val="222222"/>
          <w:sz w:val="22"/>
          <w:szCs w:val="22"/>
        </w:rPr>
        <w:t>que</w:t>
      </w:r>
      <w:r w:rsidRPr="00173989">
        <w:rPr>
          <w:rFonts w:ascii="Palatino Linotype" w:eastAsia="Palatino Linotype" w:hAnsi="Palatino Linotype" w:cs="Palatino Linotype"/>
          <w:b/>
          <w:i/>
          <w:sz w:val="22"/>
          <w:szCs w:val="22"/>
        </w:rPr>
        <w:t xml:space="preserve"> el recurso se interponga de manera electrónica no será indispensable que contengan los requisitos establecidos en las fracciones II</w:t>
      </w:r>
      <w:r w:rsidRPr="00173989">
        <w:rPr>
          <w:rFonts w:ascii="Palatino Linotype" w:eastAsia="Palatino Linotype" w:hAnsi="Palatino Linotype" w:cs="Palatino Linotype"/>
          <w:i/>
          <w:sz w:val="22"/>
          <w:szCs w:val="22"/>
        </w:rPr>
        <w:t>, IV, VII y VIII.</w:t>
      </w:r>
      <w:r w:rsidRPr="00173989">
        <w:rPr>
          <w:rFonts w:ascii="Palatino Linotype" w:eastAsia="Palatino Linotype" w:hAnsi="Palatino Linotype" w:cs="Palatino Linotype"/>
          <w:b/>
          <w:i/>
          <w:sz w:val="22"/>
          <w:szCs w:val="22"/>
        </w:rPr>
        <w:t>”</w:t>
      </w:r>
    </w:p>
    <w:p w14:paraId="3F8A48FD" w14:textId="77777777" w:rsidR="00B2396D" w:rsidRPr="00173989" w:rsidRDefault="00925FEF">
      <w:pPr>
        <w:tabs>
          <w:tab w:val="left" w:pos="851"/>
        </w:tabs>
        <w:ind w:left="851" w:right="901"/>
        <w:jc w:val="right"/>
        <w:rPr>
          <w:rFonts w:ascii="Palatino Linotype" w:eastAsia="Palatino Linotype" w:hAnsi="Palatino Linotype" w:cs="Palatino Linotype"/>
          <w:i/>
          <w:sz w:val="16"/>
          <w:szCs w:val="16"/>
        </w:rPr>
      </w:pPr>
      <w:r w:rsidRPr="00173989">
        <w:rPr>
          <w:rFonts w:ascii="Palatino Linotype" w:eastAsia="Palatino Linotype" w:hAnsi="Palatino Linotype" w:cs="Palatino Linotype"/>
          <w:i/>
          <w:sz w:val="16"/>
          <w:szCs w:val="16"/>
        </w:rPr>
        <w:t>(Énfasis añadido)</w:t>
      </w:r>
    </w:p>
    <w:p w14:paraId="371EDEF0" w14:textId="77777777" w:rsidR="00B2396D" w:rsidRPr="00173989" w:rsidRDefault="00B2396D">
      <w:pPr>
        <w:tabs>
          <w:tab w:val="left" w:pos="851"/>
        </w:tabs>
        <w:ind w:right="901"/>
        <w:jc w:val="both"/>
        <w:rPr>
          <w:rFonts w:ascii="Palatino Linotype" w:eastAsia="Palatino Linotype" w:hAnsi="Palatino Linotype" w:cs="Palatino Linotype"/>
          <w:i/>
          <w:sz w:val="22"/>
          <w:szCs w:val="22"/>
        </w:rPr>
      </w:pPr>
    </w:p>
    <w:p w14:paraId="365B6C8A" w14:textId="77777777" w:rsidR="00B2396D" w:rsidRPr="00173989" w:rsidRDefault="00925FEF">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Es así como derivado que el Recurso de Revisión materia del presente asunto, se interpuso de manera electrónica, no es necesario que contenga determinados </w:t>
      </w:r>
      <w:r w:rsidRPr="00173989">
        <w:rPr>
          <w:rFonts w:ascii="Palatino Linotype" w:eastAsia="Palatino Linotype" w:hAnsi="Palatino Linotype" w:cs="Palatino Linotype"/>
        </w:rPr>
        <w:lastRenderedPageBreak/>
        <w:t>requisitos, entre ellos, el nombre</w:t>
      </w:r>
      <w:r w:rsidRPr="00173989">
        <w:rPr>
          <w:rFonts w:ascii="Palatino Linotype" w:eastAsia="Palatino Linotype" w:hAnsi="Palatino Linotype" w:cs="Palatino Linotype"/>
          <w:b/>
        </w:rPr>
        <w:t>;</w:t>
      </w:r>
      <w:r w:rsidRPr="00173989">
        <w:rPr>
          <w:rFonts w:ascii="Palatino Linotype" w:eastAsia="Palatino Linotype" w:hAnsi="Palatino Linotype" w:cs="Palatino Linotype"/>
        </w:rPr>
        <w:t xml:space="preserve"> por lo que, en el presente caso, al haber sido presentado el Recurso de Revisión vía </w:t>
      </w:r>
      <w:r w:rsidRPr="00173989">
        <w:rPr>
          <w:rFonts w:ascii="Palatino Linotype" w:eastAsia="Palatino Linotype" w:hAnsi="Palatino Linotype" w:cs="Palatino Linotype"/>
          <w:b/>
        </w:rPr>
        <w:t>SAIMEX</w:t>
      </w:r>
      <w:r w:rsidRPr="00173989">
        <w:rPr>
          <w:rFonts w:ascii="Palatino Linotype" w:eastAsia="Palatino Linotype" w:hAnsi="Palatino Linotype" w:cs="Palatino Linotype"/>
        </w:rPr>
        <w:t>, dicho requisito resulta innecesario.</w:t>
      </w:r>
    </w:p>
    <w:p w14:paraId="6C5FAB51" w14:textId="77777777" w:rsidR="00B2396D" w:rsidRPr="00173989" w:rsidRDefault="00B2396D">
      <w:pPr>
        <w:spacing w:line="360" w:lineRule="auto"/>
        <w:jc w:val="both"/>
        <w:rPr>
          <w:rFonts w:ascii="Palatino Linotype" w:eastAsia="Palatino Linotype" w:hAnsi="Palatino Linotype" w:cs="Palatino Linotype"/>
        </w:rPr>
      </w:pPr>
    </w:p>
    <w:p w14:paraId="2D3C43AE" w14:textId="77777777" w:rsidR="00B2396D" w:rsidRPr="00173989" w:rsidRDefault="00925FEF">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Lo anterior es así, pues el artículo 15 de Ley de Transparencia local prevé que, toda persona tendrá Acceso a la Información sin necesidad de acreditar interés alguno o justificar su utilización, de lo que se infiere que para el ejercicio del derecho de Acceso a la Información Pública, </w:t>
      </w:r>
      <w:r w:rsidRPr="00173989">
        <w:rPr>
          <w:rFonts w:ascii="Palatino Linotype" w:eastAsia="Palatino Linotype" w:hAnsi="Palatino Linotype" w:cs="Palatino Linotype"/>
          <w:u w:val="single"/>
        </w:rPr>
        <w:t xml:space="preserve">el nombre no es un requisito </w:t>
      </w:r>
      <w:r w:rsidRPr="00173989">
        <w:rPr>
          <w:rFonts w:ascii="Palatino Linotype" w:eastAsia="Palatino Linotype" w:hAnsi="Palatino Linotype" w:cs="Palatino Linotype"/>
          <w:i/>
          <w:u w:val="single"/>
        </w:rPr>
        <w:t>sine qua non</w:t>
      </w:r>
      <w:r w:rsidRPr="00173989">
        <w:rPr>
          <w:rFonts w:ascii="Palatino Linotype" w:eastAsia="Palatino Linotype" w:hAnsi="Palatino Linotype" w:cs="Palatino Linotype"/>
          <w:b/>
          <w:i/>
          <w:u w:val="single"/>
        </w:rPr>
        <w:t xml:space="preserve"> </w:t>
      </w:r>
      <w:r w:rsidRPr="00173989">
        <w:rPr>
          <w:rFonts w:ascii="Palatino Linotype" w:eastAsia="Palatino Linotype" w:hAnsi="Palatino Linotype" w:cs="Palatino Linotype"/>
          <w:u w:val="single"/>
        </w:rPr>
        <w:t>—sin el cual-</w:t>
      </w:r>
      <w:r w:rsidRPr="00173989">
        <w:rPr>
          <w:rFonts w:ascii="Palatino Linotype" w:eastAsia="Palatino Linotype" w:hAnsi="Palatino Linotype" w:cs="Palatino Linotype"/>
        </w:rPr>
        <w:t>indispensable—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7BFD2A6C" w14:textId="77777777" w:rsidR="00B2396D" w:rsidRPr="00173989" w:rsidRDefault="00B2396D">
      <w:pPr>
        <w:spacing w:line="360" w:lineRule="auto"/>
        <w:jc w:val="both"/>
        <w:rPr>
          <w:rFonts w:ascii="Palatino Linotype" w:eastAsia="Palatino Linotype" w:hAnsi="Palatino Linotype" w:cs="Palatino Linotype"/>
        </w:rPr>
      </w:pPr>
    </w:p>
    <w:p w14:paraId="3A5164A0" w14:textId="77777777" w:rsidR="00B2396D" w:rsidRPr="00173989" w:rsidRDefault="00925FEF">
      <w:pPr>
        <w:spacing w:line="360" w:lineRule="auto"/>
        <w:jc w:val="both"/>
        <w:rPr>
          <w:rFonts w:ascii="Palatino Linotype" w:eastAsia="Palatino Linotype" w:hAnsi="Palatino Linotype" w:cs="Palatino Linotype"/>
          <w:sz w:val="22"/>
          <w:szCs w:val="22"/>
        </w:rPr>
      </w:pPr>
      <w:r w:rsidRPr="00173989">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F8E1D79" w14:textId="77777777" w:rsidR="00B2396D" w:rsidRPr="00173989" w:rsidRDefault="00B2396D">
      <w:pPr>
        <w:tabs>
          <w:tab w:val="left" w:pos="851"/>
        </w:tabs>
        <w:spacing w:line="360" w:lineRule="auto"/>
        <w:ind w:left="851" w:right="901"/>
        <w:jc w:val="both"/>
        <w:rPr>
          <w:rFonts w:ascii="Palatino Linotype" w:eastAsia="Palatino Linotype" w:hAnsi="Palatino Linotype" w:cs="Palatino Linotype"/>
          <w:sz w:val="22"/>
          <w:szCs w:val="22"/>
        </w:rPr>
      </w:pPr>
    </w:p>
    <w:p w14:paraId="6A0D9281" w14:textId="77777777" w:rsidR="00B2396D" w:rsidRPr="00173989" w:rsidRDefault="00925FEF">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Asimismo, se estima que el requisito relativo al nombre de </w:t>
      </w:r>
      <w:r w:rsidRPr="00173989">
        <w:rPr>
          <w:rFonts w:ascii="Palatino Linotype" w:eastAsia="Palatino Linotype" w:hAnsi="Palatino Linotype" w:cs="Palatino Linotype"/>
          <w:b/>
        </w:rPr>
        <w:t>LA RECURRENTE</w:t>
      </w:r>
      <w:r w:rsidRPr="00173989">
        <w:rPr>
          <w:rFonts w:ascii="Palatino Linotype" w:eastAsia="Palatino Linotype" w:hAnsi="Palatino Linotype" w:cs="Palatino Linotype"/>
        </w:rPr>
        <w:t xml:space="preserve"> no constituye un presupuesto indispensable de procedibilidad de los recursos de revisión, en términos de los artículos 25 de la Convención Americana de Derechos Humanos, 1 párrafos segundo y tercero, 6 apartado A, fracciones III y IV de la Constitución Política </w:t>
      </w:r>
      <w:r w:rsidRPr="00173989">
        <w:rPr>
          <w:rFonts w:ascii="Palatino Linotype" w:eastAsia="Palatino Linotype" w:hAnsi="Palatino Linotype" w:cs="Palatino Linotype"/>
        </w:rPr>
        <w:lastRenderedPageBreak/>
        <w:t xml:space="preserve">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173989">
        <w:rPr>
          <w:rFonts w:ascii="Palatino Linotype" w:eastAsia="Palatino Linotype" w:hAnsi="Palatino Linotype" w:cs="Palatino Linotype"/>
          <w:b/>
        </w:rPr>
        <w:t xml:space="preserve">LA RECURRENTE </w:t>
      </w:r>
      <w:r w:rsidRPr="00173989">
        <w:rPr>
          <w:rFonts w:ascii="Palatino Linotype" w:eastAsia="Palatino Linotype" w:hAnsi="Palatino Linotype" w:cs="Palatino Linotype"/>
        </w:rPr>
        <w:t xml:space="preserve"> es la misma persona que realizó la solicitud de Acceso a la Información Pública que ahora se impugna.</w:t>
      </w:r>
    </w:p>
    <w:p w14:paraId="25BA601E" w14:textId="77777777" w:rsidR="00B2396D" w:rsidRPr="00173989" w:rsidRDefault="00B2396D">
      <w:pPr>
        <w:tabs>
          <w:tab w:val="left" w:pos="851"/>
        </w:tabs>
        <w:spacing w:line="360" w:lineRule="auto"/>
        <w:ind w:left="851" w:right="901"/>
        <w:jc w:val="both"/>
        <w:rPr>
          <w:rFonts w:ascii="Palatino Linotype" w:eastAsia="Palatino Linotype" w:hAnsi="Palatino Linotype" w:cs="Palatino Linotype"/>
          <w:sz w:val="22"/>
          <w:szCs w:val="22"/>
        </w:rPr>
      </w:pPr>
    </w:p>
    <w:p w14:paraId="7A061F09" w14:textId="77777777" w:rsidR="00B2396D" w:rsidRPr="00173989" w:rsidRDefault="00925FEF">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por lo que, resulta ocioso realizar dicho análisis, en la inteligencia de que se limitaría el ejercicio de un Derecho Humano, como el Derecho de Acceso a la Información Pública, por una cuestión procedimental. </w:t>
      </w:r>
    </w:p>
    <w:p w14:paraId="57E188B1" w14:textId="77777777" w:rsidR="00B2396D" w:rsidRPr="00173989" w:rsidRDefault="00B2396D">
      <w:pPr>
        <w:pBdr>
          <w:top w:val="nil"/>
          <w:left w:val="nil"/>
          <w:bottom w:val="nil"/>
          <w:right w:val="nil"/>
          <w:between w:val="nil"/>
        </w:pBdr>
        <w:spacing w:line="360" w:lineRule="auto"/>
        <w:jc w:val="both"/>
        <w:rPr>
          <w:rFonts w:ascii="Palatino Linotype" w:eastAsia="Palatino Linotype" w:hAnsi="Palatino Linotype" w:cs="Palatino Linotype"/>
          <w:b/>
          <w:color w:val="FF0000"/>
        </w:rPr>
      </w:pPr>
    </w:p>
    <w:p w14:paraId="0245C1DA"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t xml:space="preserve">d) Oportunidad. </w:t>
      </w:r>
      <w:r w:rsidRPr="00173989">
        <w:rPr>
          <w:rFonts w:ascii="Palatino Linotype" w:eastAsia="Palatino Linotype" w:hAnsi="Palatino Linotype" w:cs="Palatino Linotype"/>
          <w:color w:val="000000"/>
        </w:rPr>
        <w:t xml:space="preserve">El Recurso de Revisión fue interpuesto dentro del plazo de quince días hábiles contados a partir del día siguiente a aquel en que </w:t>
      </w:r>
      <w:r w:rsidRPr="00173989">
        <w:rPr>
          <w:rFonts w:ascii="Palatino Linotype" w:eastAsia="Palatino Linotype" w:hAnsi="Palatino Linotype" w:cs="Palatino Linotype"/>
          <w:b/>
          <w:color w:val="000000"/>
        </w:rPr>
        <w:t xml:space="preserve">LA RECURRENTE </w:t>
      </w:r>
      <w:r w:rsidRPr="00173989">
        <w:rPr>
          <w:rFonts w:ascii="Palatino Linotype" w:eastAsia="Palatino Linotype" w:hAnsi="Palatino Linotype" w:cs="Palatino Linotype"/>
          <w:color w:val="000000"/>
        </w:rPr>
        <w:t xml:space="preserve">tuvo </w:t>
      </w:r>
      <w:r w:rsidRPr="00173989">
        <w:rPr>
          <w:rFonts w:ascii="Palatino Linotype" w:eastAsia="Palatino Linotype" w:hAnsi="Palatino Linotype" w:cs="Palatino Linotype"/>
          <w:color w:val="000000"/>
        </w:rPr>
        <w:lastRenderedPageBreak/>
        <w:t>conocimiento de la respuesta ahora impugnada, como lo prevé el artículo 178 de la Ley de Transparencia local</w:t>
      </w:r>
      <w:r w:rsidRPr="00173989">
        <w:rPr>
          <w:rFonts w:ascii="Palatino Linotype" w:eastAsia="Palatino Linotype" w:hAnsi="Palatino Linotype" w:cs="Palatino Linotype"/>
          <w:color w:val="000000"/>
          <w:vertAlign w:val="superscript"/>
        </w:rPr>
        <w:footnoteReference w:id="3"/>
      </w:r>
      <w:r w:rsidRPr="00173989">
        <w:rPr>
          <w:rFonts w:ascii="Palatino Linotype" w:eastAsia="Palatino Linotype" w:hAnsi="Palatino Linotype" w:cs="Palatino Linotype"/>
          <w:color w:val="000000"/>
        </w:rPr>
        <w:t>.</w:t>
      </w:r>
    </w:p>
    <w:p w14:paraId="492A699D"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 </w:t>
      </w:r>
    </w:p>
    <w:p w14:paraId="7B228653"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En efecto, la respuesta a la solicitud de información se notificó el </w:t>
      </w:r>
      <w:r w:rsidRPr="00173989">
        <w:rPr>
          <w:rFonts w:ascii="Palatino Linotype" w:eastAsia="Palatino Linotype" w:hAnsi="Palatino Linotype" w:cs="Palatino Linotype"/>
          <w:b/>
          <w:color w:val="000000"/>
        </w:rPr>
        <w:t>miércoles</w:t>
      </w:r>
      <w:r w:rsidRPr="00173989">
        <w:rPr>
          <w:rFonts w:ascii="Palatino Linotype" w:eastAsia="Palatino Linotype" w:hAnsi="Palatino Linotype" w:cs="Palatino Linotype"/>
          <w:color w:val="000000"/>
        </w:rPr>
        <w:t xml:space="preserve"> </w:t>
      </w:r>
      <w:r w:rsidRPr="00173989">
        <w:rPr>
          <w:rFonts w:ascii="Palatino Linotype" w:eastAsia="Palatino Linotype" w:hAnsi="Palatino Linotype" w:cs="Palatino Linotype"/>
          <w:b/>
          <w:color w:val="000000"/>
        </w:rPr>
        <w:t xml:space="preserve">nueve de agosto de dos mil veintitrés; </w:t>
      </w:r>
      <w:r w:rsidRPr="00173989">
        <w:rPr>
          <w:rFonts w:ascii="Palatino Linotype" w:eastAsia="Palatino Linotype" w:hAnsi="Palatino Linotype" w:cs="Palatino Linotype"/>
          <w:color w:val="000000"/>
        </w:rPr>
        <w:t>en consecuencia, el plazo de quince días hábiles para presentar el recurso de revisión, transcurrió del</w:t>
      </w:r>
      <w:r w:rsidRPr="00173989">
        <w:rPr>
          <w:rFonts w:ascii="Palatino Linotype" w:eastAsia="Palatino Linotype" w:hAnsi="Palatino Linotype" w:cs="Palatino Linotype"/>
          <w:b/>
          <w:color w:val="000000"/>
        </w:rPr>
        <w:t xml:space="preserve"> jueves diez de agosto al miércoles treinta de agosto de dos mil veintitrés</w:t>
      </w:r>
      <w:r w:rsidRPr="00173989">
        <w:rPr>
          <w:rFonts w:ascii="Palatino Linotype" w:eastAsia="Palatino Linotype" w:hAnsi="Palatino Linotype" w:cs="Palatino Linotype"/>
          <w:color w:val="000000"/>
          <w:vertAlign w:val="superscript"/>
        </w:rPr>
        <w:footnoteReference w:id="4"/>
      </w:r>
      <w:r w:rsidRPr="00173989">
        <w:rPr>
          <w:rFonts w:ascii="Palatino Linotype" w:eastAsia="Palatino Linotype" w:hAnsi="Palatino Linotype" w:cs="Palatino Linotype"/>
          <w:color w:val="000000"/>
        </w:rPr>
        <w:t xml:space="preserve">; si el recurso se interpuso el </w:t>
      </w:r>
      <w:r w:rsidRPr="00173989">
        <w:rPr>
          <w:rFonts w:ascii="Palatino Linotype" w:eastAsia="Palatino Linotype" w:hAnsi="Palatino Linotype" w:cs="Palatino Linotype"/>
          <w:b/>
          <w:color w:val="000000"/>
        </w:rPr>
        <w:t>diez de agosto de dos mil veintitrés</w:t>
      </w:r>
      <w:r w:rsidRPr="00173989">
        <w:rPr>
          <w:rFonts w:ascii="Palatino Linotype" w:eastAsia="Palatino Linotype" w:hAnsi="Palatino Linotype" w:cs="Palatino Linotype"/>
          <w:color w:val="000000"/>
        </w:rPr>
        <w:t>, éste se encuentra dentro de los márgenes temporales previstos en el citado precepto legal y, por tanto, se considera interpuesto en tiempo.</w:t>
      </w:r>
    </w:p>
    <w:p w14:paraId="76880A45" w14:textId="77777777" w:rsidR="00B2396D" w:rsidRPr="00173989" w:rsidRDefault="00B2396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BFEFD77"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t xml:space="preserve">d). Actualización de la procedencia. </w:t>
      </w:r>
      <w:r w:rsidRPr="00173989">
        <w:rPr>
          <w:rFonts w:ascii="Palatino Linotype" w:eastAsia="Palatino Linotype" w:hAnsi="Palatino Linotype" w:cs="Palatino Linotype"/>
          <w:color w:val="000000"/>
        </w:rPr>
        <w:t xml:space="preserve">Para determinar si la causa que hace valer </w:t>
      </w:r>
      <w:r w:rsidRPr="00173989">
        <w:rPr>
          <w:rFonts w:ascii="Palatino Linotype" w:eastAsia="Palatino Linotype" w:hAnsi="Palatino Linotype" w:cs="Palatino Linotype"/>
          <w:b/>
          <w:color w:val="000000"/>
        </w:rPr>
        <w:t>LA RECURRENTE</w:t>
      </w:r>
      <w:r w:rsidRPr="00173989">
        <w:rPr>
          <w:rFonts w:ascii="Palatino Linotype" w:eastAsia="Palatino Linotype" w:hAnsi="Palatino Linotype" w:cs="Palatino Linotype"/>
          <w:color w:val="000000"/>
        </w:rPr>
        <w:t xml:space="preserve"> se encuentra dentro de las hipótesis previstas en el artículo 179 de la Ley de Transparencia local, se revisa el acto impugnado y las razones de inconformidad anunciadas en los antecedentes. Así, advertimos que la acción intentada por el solicitante es</w:t>
      </w:r>
      <w:r w:rsidRPr="00173989">
        <w:rPr>
          <w:rFonts w:ascii="Palatino Linotype" w:eastAsia="Palatino Linotype" w:hAnsi="Palatino Linotype" w:cs="Palatino Linotype"/>
          <w:b/>
          <w:i/>
          <w:color w:val="000000"/>
        </w:rPr>
        <w:t xml:space="preserve"> “La entrega de información incompleta;”</w:t>
      </w:r>
      <w:r w:rsidRPr="00173989">
        <w:rPr>
          <w:rFonts w:ascii="Palatino Linotype" w:eastAsia="Palatino Linotype" w:hAnsi="Palatino Linotype" w:cs="Palatino Linotype"/>
          <w:b/>
          <w:i/>
          <w:color w:val="000000"/>
          <w:sz w:val="18"/>
          <w:szCs w:val="18"/>
        </w:rPr>
        <w:t xml:space="preserve"> </w:t>
      </w:r>
      <w:r w:rsidRPr="00173989">
        <w:rPr>
          <w:rFonts w:ascii="Palatino Linotype" w:eastAsia="Palatino Linotype" w:hAnsi="Palatino Linotype" w:cs="Palatino Linotype"/>
          <w:color w:val="000000"/>
        </w:rPr>
        <w:t>en términos del citado artículo 179, en su fracción V.</w:t>
      </w:r>
    </w:p>
    <w:p w14:paraId="604E9692" w14:textId="77777777" w:rsidR="00B2396D" w:rsidRPr="00173989" w:rsidRDefault="00B2396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1F33ECC" w14:textId="77777777" w:rsidR="00B2396D" w:rsidRPr="00173989" w:rsidRDefault="00925FE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lastRenderedPageBreak/>
        <w:t>Analizados los requisitos de procedencia, por ser de previo y especial pronunciamiento, se advierte que no se actualiza alguna causal de improcedencia o sobreseimiento; que impida continuar con el estudio de fondo.</w:t>
      </w:r>
    </w:p>
    <w:p w14:paraId="2BBCF732" w14:textId="77777777" w:rsidR="00B2396D" w:rsidRPr="00173989" w:rsidRDefault="00B2396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B63FFE6" w14:textId="77777777" w:rsidR="00B2396D" w:rsidRPr="00173989" w:rsidRDefault="00925FEF">
      <w:pPr>
        <w:widowControl w:val="0"/>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sz w:val="28"/>
          <w:szCs w:val="28"/>
        </w:rPr>
        <w:t>TERCERO</w:t>
      </w:r>
      <w:r w:rsidRPr="00173989">
        <w:rPr>
          <w:rFonts w:ascii="Palatino Linotype" w:eastAsia="Palatino Linotype" w:hAnsi="Palatino Linotype" w:cs="Palatino Linotype"/>
          <w:b/>
          <w:color w:val="000000"/>
        </w:rPr>
        <w:t xml:space="preserve">. Marco Normativo General. </w:t>
      </w:r>
    </w:p>
    <w:p w14:paraId="165CE004" w14:textId="77777777" w:rsidR="00B2396D" w:rsidRPr="00173989" w:rsidRDefault="00925FEF">
      <w:pPr>
        <w:tabs>
          <w:tab w:val="left" w:pos="2422"/>
        </w:tabs>
        <w:spacing w:line="360" w:lineRule="auto"/>
        <w:ind w:right="51"/>
        <w:jc w:val="both"/>
        <w:rPr>
          <w:rFonts w:ascii="Palatino Linotype" w:eastAsia="Palatino Linotype" w:hAnsi="Palatino Linotype" w:cs="Palatino Linotype"/>
        </w:rPr>
      </w:pPr>
      <w:r w:rsidRPr="00173989">
        <w:rPr>
          <w:rFonts w:ascii="Palatino Linotype" w:eastAsia="Palatino Linotype" w:hAnsi="Palatino Linotype" w:cs="Palatino Linotype"/>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w:t>
      </w:r>
      <w:r w:rsidRPr="00173989">
        <w:rPr>
          <w:rFonts w:ascii="Palatino Linotype" w:eastAsia="Palatino Linotype" w:hAnsi="Palatino Linotype" w:cs="Palatino Linotype"/>
          <w:vertAlign w:val="superscript"/>
        </w:rPr>
        <w:footnoteReference w:id="5"/>
      </w:r>
      <w:r w:rsidRPr="00173989">
        <w:rPr>
          <w:rFonts w:ascii="Palatino Linotype" w:eastAsia="Palatino Linotype" w:hAnsi="Palatino Linotype" w:cs="Palatino Linotype"/>
        </w:rPr>
        <w:t xml:space="preserve">. </w:t>
      </w:r>
    </w:p>
    <w:p w14:paraId="040ABB8B" w14:textId="77777777" w:rsidR="00B2396D" w:rsidRPr="00173989" w:rsidRDefault="00B2396D">
      <w:pPr>
        <w:tabs>
          <w:tab w:val="left" w:pos="2422"/>
        </w:tabs>
        <w:spacing w:line="360" w:lineRule="auto"/>
        <w:ind w:right="51"/>
        <w:jc w:val="both"/>
        <w:rPr>
          <w:rFonts w:ascii="Palatino Linotype" w:eastAsia="Palatino Linotype" w:hAnsi="Palatino Linotype" w:cs="Palatino Linotype"/>
        </w:rPr>
      </w:pPr>
    </w:p>
    <w:p w14:paraId="2AC97EEA"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rPr>
        <w:t>En nuestra entidad, el derecho a la información será garantizado por el Estado, la ley establecerá las previsiones que permitan asegurar la protección, el respeto y la difusión de este derecho</w:t>
      </w:r>
      <w:r w:rsidRPr="00173989">
        <w:rPr>
          <w:rFonts w:ascii="Palatino Linotype" w:eastAsia="Palatino Linotype" w:hAnsi="Palatino Linotype" w:cs="Palatino Linotype"/>
          <w:vertAlign w:val="superscript"/>
        </w:rPr>
        <w:footnoteReference w:id="6"/>
      </w:r>
      <w:r w:rsidRPr="00173989">
        <w:rPr>
          <w:rFonts w:ascii="Palatino Linotype" w:eastAsia="Palatino Linotype" w:hAnsi="Palatino Linotype" w:cs="Palatino Linotype"/>
        </w:rPr>
        <w:t xml:space="preserve">. </w:t>
      </w:r>
      <w:r w:rsidRPr="00173989">
        <w:rPr>
          <w:rFonts w:ascii="Palatino Linotype" w:eastAsia="Palatino Linotype" w:hAnsi="Palatino Linotype" w:cs="Palatino Linotype"/>
          <w:b/>
          <w:color w:val="000000"/>
        </w:rPr>
        <w:t>Se considera información pública al conjunto de datos que posee cualquier autoridad, obtenidos en virtud del ejercicio de sus funciones de derecho público,</w:t>
      </w:r>
      <w:r w:rsidRPr="00173989">
        <w:rPr>
          <w:rFonts w:ascii="Palatino Linotype" w:eastAsia="Palatino Linotype" w:hAnsi="Palatino Linotype" w:cs="Palatino Linotype"/>
        </w:rPr>
        <w:t xml:space="preserve"> c</w:t>
      </w:r>
      <w:r w:rsidRPr="00173989">
        <w:rPr>
          <w:rFonts w:ascii="Palatino Linotype" w:eastAsia="Palatino Linotype" w:hAnsi="Palatino Linotype" w:cs="Palatino Linotype"/>
          <w:color w:val="000000"/>
        </w:rPr>
        <w:t>riterio que ha sostenido la Suprema Corte de Justicia de la Nación</w:t>
      </w:r>
      <w:r w:rsidRPr="00173989">
        <w:rPr>
          <w:rFonts w:ascii="Palatino Linotype" w:eastAsia="Palatino Linotype" w:hAnsi="Palatino Linotype" w:cs="Palatino Linotype"/>
          <w:color w:val="000000"/>
          <w:vertAlign w:val="superscript"/>
        </w:rPr>
        <w:footnoteReference w:id="7"/>
      </w:r>
      <w:r w:rsidRPr="00173989">
        <w:rPr>
          <w:rFonts w:ascii="Palatino Linotype" w:eastAsia="Palatino Linotype" w:hAnsi="Palatino Linotype" w:cs="Palatino Linotype"/>
          <w:color w:val="000000"/>
        </w:rPr>
        <w:t>.</w:t>
      </w:r>
    </w:p>
    <w:p w14:paraId="0F16B26C" w14:textId="77777777" w:rsidR="00B2396D" w:rsidRPr="00173989" w:rsidRDefault="00B2396D">
      <w:pPr>
        <w:spacing w:line="360" w:lineRule="auto"/>
        <w:jc w:val="both"/>
        <w:rPr>
          <w:rFonts w:ascii="Palatino Linotype" w:eastAsia="Palatino Linotype" w:hAnsi="Palatino Linotype" w:cs="Palatino Linotype"/>
          <w:color w:val="000000"/>
        </w:rPr>
      </w:pPr>
    </w:p>
    <w:p w14:paraId="74C7A3C9" w14:textId="77777777" w:rsidR="00B2396D" w:rsidRPr="00173989" w:rsidRDefault="00925FEF">
      <w:pPr>
        <w:tabs>
          <w:tab w:val="left" w:pos="709"/>
        </w:tabs>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De acuerdo con la Ley de Transparencia local</w:t>
      </w:r>
      <w:r w:rsidRPr="00173989">
        <w:rPr>
          <w:rFonts w:ascii="Palatino Linotype" w:eastAsia="Palatino Linotype" w:hAnsi="Palatino Linotype" w:cs="Palatino Linotype"/>
          <w:vertAlign w:val="superscript"/>
        </w:rPr>
        <w:footnoteReference w:id="8"/>
      </w:r>
      <w:r w:rsidRPr="00173989">
        <w:rPr>
          <w:rFonts w:ascii="Palatino Linotype" w:eastAsia="Palatino Linotype" w:hAnsi="Palatino Linotype" w:cs="Palatino Linotype"/>
        </w:rPr>
        <w:t>, los Sujetos Obligados se encuentran constreñidos a entregar la información pública solicitada por los particulares que se encuentre en sus archivos o que obre en su posesión, privilegiando en todo momento el principio de máxima publicidad, sin generarla, procesarla, resumirla, ni presentarla conforme al interés del solicitante.</w:t>
      </w:r>
    </w:p>
    <w:p w14:paraId="29E34BF5" w14:textId="77777777" w:rsidR="00B2396D" w:rsidRPr="00173989" w:rsidRDefault="00B2396D">
      <w:pPr>
        <w:spacing w:line="360" w:lineRule="auto"/>
        <w:jc w:val="both"/>
        <w:rPr>
          <w:rFonts w:ascii="Palatino Linotype" w:eastAsia="Palatino Linotype" w:hAnsi="Palatino Linotype" w:cs="Palatino Linotype"/>
          <w:color w:val="000000"/>
        </w:rPr>
      </w:pPr>
    </w:p>
    <w:p w14:paraId="0FE5CC40"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Aunado a lo anterior, el artículo 24 de la Ley en cita, señala que los Sujetos Obligados sólo proporcionarán la información pública que generen, administren o posean en el ejercicio de sus atribuciones; por consiguiente, la información pública se encuentra a disposición de cualquier persona, siendo el deber de los Sujetos Obligados, garantizar a toda persona el derecho de acceso a la información pública. </w:t>
      </w:r>
    </w:p>
    <w:p w14:paraId="7DD96958" w14:textId="77777777" w:rsidR="00B2396D" w:rsidRPr="00173989" w:rsidRDefault="00B2396D">
      <w:pPr>
        <w:spacing w:line="360" w:lineRule="auto"/>
        <w:jc w:val="both"/>
        <w:rPr>
          <w:rFonts w:ascii="Palatino Linotype" w:eastAsia="Palatino Linotype" w:hAnsi="Palatino Linotype" w:cs="Palatino Linotype"/>
          <w:color w:val="000000"/>
        </w:rPr>
      </w:pPr>
    </w:p>
    <w:p w14:paraId="18AB5AB8"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w:t>
      </w:r>
      <w:r w:rsidRPr="00173989">
        <w:rPr>
          <w:rFonts w:ascii="Palatino Linotype" w:eastAsia="Palatino Linotype" w:hAnsi="Palatino Linotype" w:cs="Palatino Linotype"/>
          <w:color w:val="000000"/>
        </w:rPr>
        <w:lastRenderedPageBreak/>
        <w:t>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w:t>
      </w:r>
      <w:r w:rsidRPr="00173989">
        <w:rPr>
          <w:rFonts w:ascii="Palatino Linotype" w:eastAsia="Palatino Linotype" w:hAnsi="Palatino Linotype" w:cs="Palatino Linotype"/>
          <w:color w:val="000000"/>
          <w:vertAlign w:val="superscript"/>
        </w:rPr>
        <w:footnoteReference w:id="9"/>
      </w:r>
      <w:r w:rsidRPr="00173989">
        <w:rPr>
          <w:rFonts w:ascii="Palatino Linotype" w:eastAsia="Palatino Linotype" w:hAnsi="Palatino Linotype" w:cs="Palatino Linotype"/>
          <w:color w:val="000000"/>
        </w:rPr>
        <w:t xml:space="preserve"> de la Ley de Transparencia local. </w:t>
      </w:r>
    </w:p>
    <w:p w14:paraId="00C4012A" w14:textId="77777777" w:rsidR="00B2396D" w:rsidRPr="00173989" w:rsidRDefault="00B2396D">
      <w:pPr>
        <w:spacing w:line="360" w:lineRule="auto"/>
        <w:jc w:val="both"/>
        <w:rPr>
          <w:rFonts w:ascii="Palatino Linotype" w:eastAsia="Palatino Linotype" w:hAnsi="Palatino Linotype" w:cs="Palatino Linotype"/>
          <w:color w:val="000000"/>
        </w:rPr>
      </w:pPr>
    </w:p>
    <w:p w14:paraId="7A6D6432"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Así que la obligación de acceso a la información se tendrá por cumplida cuando el solicitante tenga a su disposición la información requerida, o cuando realice su consulta en el lugar que ésta se localice, conforme a lo previsto en los artículos 3 fracción XI, 4, 12 y 24 último párrafo de la Ley de Transparencia local.</w:t>
      </w:r>
    </w:p>
    <w:p w14:paraId="51A9DE5B" w14:textId="77777777" w:rsidR="00B2396D" w:rsidRPr="00173989" w:rsidRDefault="00B2396D">
      <w:pPr>
        <w:spacing w:line="360" w:lineRule="auto"/>
        <w:jc w:val="both"/>
        <w:rPr>
          <w:rFonts w:ascii="Palatino Linotype" w:eastAsia="Palatino Linotype" w:hAnsi="Palatino Linotype" w:cs="Palatino Linotype"/>
          <w:color w:val="000000"/>
        </w:rPr>
      </w:pPr>
    </w:p>
    <w:p w14:paraId="7CC428BD" w14:textId="77777777" w:rsidR="00B2396D" w:rsidRPr="00173989" w:rsidRDefault="00925FEF">
      <w:pPr>
        <w:spacing w:line="360" w:lineRule="auto"/>
        <w:ind w:right="49"/>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Las autoridades locales se encuentran constreñidas a la observancia del </w:t>
      </w:r>
      <w:r w:rsidRPr="00173989">
        <w:rPr>
          <w:rFonts w:ascii="Palatino Linotype" w:eastAsia="Palatino Linotype" w:hAnsi="Palatino Linotype" w:cs="Palatino Linotype"/>
          <w:b/>
        </w:rPr>
        <w:t>principio de máxima publicidad</w:t>
      </w:r>
      <w:r w:rsidRPr="00173989">
        <w:rPr>
          <w:rFonts w:ascii="Palatino Linotype" w:eastAsia="Palatino Linotype" w:hAnsi="Palatino Linotype" w:cs="Palatino Linotype"/>
        </w:rPr>
        <w:t xml:space="preserve"> y en caso de negarse o limitarse el acceso a la información deberán motivar la clasificación de la información que consideren susceptible de tal actuación, señalando las causas especiales que los llevaron a dicha actuación. </w:t>
      </w:r>
    </w:p>
    <w:p w14:paraId="0C5BD925" w14:textId="77777777" w:rsidR="00B2396D" w:rsidRPr="00173989" w:rsidRDefault="00B2396D">
      <w:pPr>
        <w:spacing w:line="360" w:lineRule="auto"/>
        <w:ind w:right="49"/>
        <w:jc w:val="both"/>
        <w:rPr>
          <w:rFonts w:ascii="Palatino Linotype" w:eastAsia="Palatino Linotype" w:hAnsi="Palatino Linotype" w:cs="Palatino Linotype"/>
        </w:rPr>
      </w:pPr>
    </w:p>
    <w:p w14:paraId="3AA604EF" w14:textId="77777777" w:rsidR="00B2396D" w:rsidRPr="00173989" w:rsidRDefault="00925FEF">
      <w:pPr>
        <w:spacing w:line="360" w:lineRule="auto"/>
        <w:ind w:right="49"/>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Por tanto,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w:t>
      </w:r>
      <w:r w:rsidRPr="00173989">
        <w:rPr>
          <w:rFonts w:ascii="Palatino Linotype" w:eastAsia="Palatino Linotype" w:hAnsi="Palatino Linotype" w:cs="Palatino Linotype"/>
        </w:rPr>
        <w:lastRenderedPageBreak/>
        <w:t xml:space="preserve">de generar un documento </w:t>
      </w:r>
      <w:r w:rsidRPr="00173989">
        <w:rPr>
          <w:rFonts w:ascii="Palatino Linotype" w:eastAsia="Palatino Linotype" w:hAnsi="Palatino Linotype" w:cs="Palatino Linotype"/>
          <w:i/>
        </w:rPr>
        <w:t>ad hoc</w:t>
      </w:r>
      <w:r w:rsidRPr="00173989">
        <w:rPr>
          <w:rFonts w:ascii="Palatino Linotype" w:eastAsia="Palatino Linotype" w:hAnsi="Palatino Linotype" w:cs="Palatino Linotype"/>
        </w:rPr>
        <w:t xml:space="preserve"> —a modo—, para satisfacer el Derecho de Acceso a la Información Pública, pero si el deber de documentar todos sus actos que realicen derivado del ejercicio de sus atribuciones.</w:t>
      </w:r>
    </w:p>
    <w:p w14:paraId="0E1809E9" w14:textId="77777777" w:rsidR="00B2396D" w:rsidRPr="00173989" w:rsidRDefault="00B2396D">
      <w:pPr>
        <w:spacing w:line="360" w:lineRule="auto"/>
        <w:ind w:right="49"/>
        <w:jc w:val="both"/>
        <w:rPr>
          <w:rFonts w:ascii="Palatino Linotype" w:eastAsia="Palatino Linotype" w:hAnsi="Palatino Linotype" w:cs="Palatino Linotype"/>
        </w:rPr>
      </w:pPr>
    </w:p>
    <w:p w14:paraId="4B40F541" w14:textId="77777777" w:rsidR="00B2396D" w:rsidRPr="00173989" w:rsidRDefault="00925FEF">
      <w:pPr>
        <w:spacing w:line="360" w:lineRule="auto"/>
        <w:ind w:right="49"/>
        <w:jc w:val="both"/>
        <w:rPr>
          <w:rFonts w:ascii="Palatino Linotype" w:eastAsia="Palatino Linotype" w:hAnsi="Palatino Linotype" w:cs="Palatino Linotype"/>
          <w:b/>
        </w:rPr>
      </w:pPr>
      <w:r w:rsidRPr="00173989">
        <w:rPr>
          <w:rFonts w:ascii="Palatino Linotype" w:eastAsia="Palatino Linotype" w:hAnsi="Palatino Linotype" w:cs="Palatino Linotype"/>
        </w:rPr>
        <w:t>Fijado el marco constitucional y legal, procederemos al análisis</w:t>
      </w:r>
      <w:r w:rsidRPr="00173989">
        <w:rPr>
          <w:rFonts w:ascii="Palatino Linotype" w:eastAsia="Palatino Linotype" w:hAnsi="Palatino Linotype" w:cs="Palatino Linotype"/>
          <w:b/>
        </w:rPr>
        <w:t>.</w:t>
      </w:r>
    </w:p>
    <w:p w14:paraId="160D8EA4" w14:textId="77777777" w:rsidR="00B2396D" w:rsidRPr="00173989" w:rsidRDefault="00B2396D">
      <w:pPr>
        <w:spacing w:line="360" w:lineRule="auto"/>
        <w:jc w:val="both"/>
        <w:rPr>
          <w:rFonts w:ascii="Palatino Linotype" w:eastAsia="Palatino Linotype" w:hAnsi="Palatino Linotype" w:cs="Palatino Linotype"/>
          <w:color w:val="000000"/>
        </w:rPr>
      </w:pPr>
    </w:p>
    <w:p w14:paraId="2125DCC2" w14:textId="77777777" w:rsidR="00B2396D" w:rsidRPr="00173989" w:rsidRDefault="00925FEF">
      <w:pPr>
        <w:spacing w:line="360" w:lineRule="auto"/>
        <w:jc w:val="both"/>
        <w:rPr>
          <w:rFonts w:ascii="Palatino Linotype" w:eastAsia="Palatino Linotype" w:hAnsi="Palatino Linotype" w:cs="Palatino Linotype"/>
          <w:b/>
          <w:color w:val="000000"/>
          <w:sz w:val="28"/>
          <w:szCs w:val="28"/>
        </w:rPr>
      </w:pPr>
      <w:r w:rsidRPr="00173989">
        <w:rPr>
          <w:rFonts w:ascii="Palatino Linotype" w:eastAsia="Palatino Linotype" w:hAnsi="Palatino Linotype" w:cs="Palatino Linotype"/>
          <w:b/>
          <w:color w:val="000000"/>
          <w:sz w:val="28"/>
          <w:szCs w:val="28"/>
        </w:rPr>
        <w:t>CUARTO. Del caso en concreto.</w:t>
      </w:r>
    </w:p>
    <w:p w14:paraId="4492B446" w14:textId="77777777" w:rsidR="00B2396D" w:rsidRPr="00173989" w:rsidRDefault="00925FEF">
      <w:pP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4B1ACB4E" w14:textId="77777777" w:rsidR="00B2396D" w:rsidRPr="00173989" w:rsidRDefault="00B2396D">
      <w:pPr>
        <w:spacing w:line="360" w:lineRule="auto"/>
        <w:jc w:val="both"/>
        <w:rPr>
          <w:rFonts w:ascii="Palatino Linotype" w:eastAsia="Palatino Linotype" w:hAnsi="Palatino Linotype" w:cs="Palatino Linotype"/>
          <w:color w:val="000000"/>
        </w:rPr>
      </w:pPr>
    </w:p>
    <w:p w14:paraId="5DF63C10" w14:textId="77777777" w:rsidR="00B2396D" w:rsidRPr="00173989" w:rsidRDefault="00925FE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b/>
          <w:color w:val="000000"/>
        </w:rPr>
        <w:t>De la solicitud de información, respuesta del Sujeto Obligado, inconformidad del particular, manifestaciones e Informe Justificado.</w:t>
      </w:r>
    </w:p>
    <w:p w14:paraId="4A6B0BA7" w14:textId="77777777" w:rsidR="00B2396D" w:rsidRPr="00173989" w:rsidRDefault="00B2396D">
      <w:pPr>
        <w:spacing w:line="360" w:lineRule="auto"/>
        <w:jc w:val="both"/>
        <w:rPr>
          <w:rFonts w:ascii="Palatino Linotype" w:eastAsia="Palatino Linotype" w:hAnsi="Palatino Linotype" w:cs="Palatino Linotype"/>
          <w:b/>
        </w:rPr>
      </w:pPr>
    </w:p>
    <w:p w14:paraId="07AAD758" w14:textId="77777777" w:rsidR="00B2396D" w:rsidRPr="00173989" w:rsidRDefault="00925FEF">
      <w:pPr>
        <w:tabs>
          <w:tab w:val="left" w:pos="2422"/>
        </w:tabs>
        <w:spacing w:line="360" w:lineRule="auto"/>
        <w:ind w:right="49"/>
        <w:jc w:val="both"/>
        <w:rPr>
          <w:rFonts w:ascii="Palatino Linotype" w:eastAsia="Palatino Linotype" w:hAnsi="Palatino Linotype" w:cs="Palatino Linotype"/>
          <w:b/>
          <w:sz w:val="26"/>
          <w:szCs w:val="26"/>
        </w:rPr>
      </w:pPr>
      <w:r w:rsidRPr="00173989">
        <w:rPr>
          <w:rFonts w:ascii="Palatino Linotype" w:eastAsia="Palatino Linotype" w:hAnsi="Palatino Linotype" w:cs="Palatino Linotype"/>
          <w:b/>
          <w:sz w:val="26"/>
          <w:szCs w:val="26"/>
        </w:rPr>
        <w:t xml:space="preserve">¿Qué solicitó </w:t>
      </w:r>
      <w:r w:rsidRPr="00173989">
        <w:rPr>
          <w:rFonts w:ascii="Palatino Linotype" w:eastAsia="Palatino Linotype" w:hAnsi="Palatino Linotype" w:cs="Palatino Linotype"/>
          <w:b/>
        </w:rPr>
        <w:t>LA RECURRENTE</w:t>
      </w:r>
      <w:r w:rsidRPr="00173989">
        <w:rPr>
          <w:rFonts w:ascii="Palatino Linotype" w:eastAsia="Palatino Linotype" w:hAnsi="Palatino Linotype" w:cs="Palatino Linotype"/>
          <w:b/>
          <w:sz w:val="26"/>
          <w:szCs w:val="26"/>
        </w:rPr>
        <w:t>?</w:t>
      </w:r>
    </w:p>
    <w:p w14:paraId="4013FDFF" w14:textId="77777777" w:rsidR="00B2396D" w:rsidRPr="00173989" w:rsidRDefault="00925FEF">
      <w:pPr>
        <w:numPr>
          <w:ilvl w:val="0"/>
          <w:numId w:val="3"/>
        </w:numPr>
        <w:pBdr>
          <w:top w:val="nil"/>
          <w:left w:val="nil"/>
          <w:bottom w:val="nil"/>
          <w:right w:val="nil"/>
          <w:between w:val="nil"/>
        </w:pBdr>
        <w:tabs>
          <w:tab w:val="left" w:pos="2422"/>
        </w:tabs>
        <w:spacing w:line="360" w:lineRule="auto"/>
        <w:ind w:right="49"/>
        <w:rPr>
          <w:rFonts w:ascii="Palatino Linotype" w:eastAsia="Palatino Linotype" w:hAnsi="Palatino Linotype" w:cs="Palatino Linotype"/>
          <w:b/>
          <w:color w:val="000000"/>
        </w:rPr>
      </w:pPr>
      <w:r w:rsidRPr="00173989">
        <w:rPr>
          <w:rFonts w:ascii="Palatino Linotype" w:eastAsia="Palatino Linotype" w:hAnsi="Palatino Linotype" w:cs="Palatino Linotype"/>
          <w:color w:val="000000"/>
          <w:sz w:val="23"/>
          <w:szCs w:val="23"/>
        </w:rPr>
        <w:t>Los nombres</w:t>
      </w:r>
    </w:p>
    <w:p w14:paraId="5A03EDDC" w14:textId="77777777" w:rsidR="00B2396D" w:rsidRPr="00173989" w:rsidRDefault="00925FEF">
      <w:pPr>
        <w:numPr>
          <w:ilvl w:val="0"/>
          <w:numId w:val="3"/>
        </w:numPr>
        <w:pBdr>
          <w:top w:val="nil"/>
          <w:left w:val="nil"/>
          <w:bottom w:val="nil"/>
          <w:right w:val="nil"/>
          <w:between w:val="nil"/>
        </w:pBdr>
        <w:tabs>
          <w:tab w:val="left" w:pos="2422"/>
        </w:tabs>
        <w:spacing w:line="360" w:lineRule="auto"/>
        <w:ind w:right="49"/>
        <w:rPr>
          <w:rFonts w:ascii="Palatino Linotype" w:eastAsia="Palatino Linotype" w:hAnsi="Palatino Linotype" w:cs="Palatino Linotype"/>
          <w:b/>
          <w:color w:val="000000"/>
        </w:rPr>
      </w:pPr>
      <w:r w:rsidRPr="00173989">
        <w:rPr>
          <w:rFonts w:ascii="Palatino Linotype" w:eastAsia="Palatino Linotype" w:hAnsi="Palatino Linotype" w:cs="Palatino Linotype"/>
          <w:color w:val="000000"/>
          <w:sz w:val="23"/>
          <w:szCs w:val="23"/>
        </w:rPr>
        <w:lastRenderedPageBreak/>
        <w:t>Salarios de los servidores públicos adscritos a las direcciones de recursos humanos y recursos materiales.</w:t>
      </w:r>
    </w:p>
    <w:p w14:paraId="63C90309" w14:textId="77777777" w:rsidR="00B2396D" w:rsidRPr="00173989" w:rsidRDefault="00B2396D">
      <w:pPr>
        <w:pBdr>
          <w:top w:val="nil"/>
          <w:left w:val="nil"/>
          <w:bottom w:val="nil"/>
          <w:right w:val="nil"/>
          <w:between w:val="nil"/>
        </w:pBdr>
        <w:tabs>
          <w:tab w:val="left" w:pos="2422"/>
        </w:tabs>
        <w:spacing w:line="360" w:lineRule="auto"/>
        <w:ind w:left="720" w:right="49"/>
        <w:rPr>
          <w:rFonts w:ascii="Palatino Linotype" w:eastAsia="Palatino Linotype" w:hAnsi="Palatino Linotype" w:cs="Palatino Linotype"/>
          <w:b/>
          <w:color w:val="000000"/>
          <w:sz w:val="26"/>
          <w:szCs w:val="26"/>
        </w:rPr>
      </w:pPr>
    </w:p>
    <w:p w14:paraId="3186629C" w14:textId="77777777" w:rsidR="00B2396D" w:rsidRPr="00173989" w:rsidRDefault="00925FEF">
      <w:pPr>
        <w:pBdr>
          <w:top w:val="nil"/>
          <w:left w:val="nil"/>
          <w:bottom w:val="nil"/>
          <w:right w:val="nil"/>
          <w:between w:val="nil"/>
        </w:pBdr>
        <w:tabs>
          <w:tab w:val="left" w:pos="2422"/>
        </w:tabs>
        <w:spacing w:line="360" w:lineRule="auto"/>
        <w:ind w:right="49"/>
        <w:rPr>
          <w:rFonts w:ascii="Palatino Linotype" w:eastAsia="Palatino Linotype" w:hAnsi="Palatino Linotype" w:cs="Palatino Linotype"/>
          <w:b/>
          <w:color w:val="000000"/>
        </w:rPr>
      </w:pPr>
      <w:r w:rsidRPr="00173989">
        <w:rPr>
          <w:rFonts w:ascii="Palatino Linotype" w:eastAsia="Palatino Linotype" w:hAnsi="Palatino Linotype" w:cs="Palatino Linotype"/>
          <w:b/>
          <w:color w:val="000000"/>
          <w:sz w:val="26"/>
          <w:szCs w:val="26"/>
        </w:rPr>
        <w:t>¿Qué le respondió EL SUJETO OBLIGADO?</w:t>
      </w:r>
    </w:p>
    <w:p w14:paraId="0B81DB8F" w14:textId="77777777" w:rsidR="007D107A" w:rsidRPr="00173989" w:rsidRDefault="007D107A" w:rsidP="007D107A">
      <w:pPr>
        <w:tabs>
          <w:tab w:val="left" w:pos="2422"/>
        </w:tabs>
        <w:spacing w:line="360" w:lineRule="auto"/>
        <w:ind w:left="851" w:right="49"/>
        <w:jc w:val="both"/>
        <w:rPr>
          <w:rFonts w:ascii="Palatino Linotype" w:eastAsia="Palatino Linotype" w:hAnsi="Palatino Linotype" w:cs="Palatino Linotype"/>
          <w:sz w:val="23"/>
          <w:szCs w:val="23"/>
        </w:rPr>
      </w:pPr>
      <w:r w:rsidRPr="00173989">
        <w:rPr>
          <w:rFonts w:ascii="Palatino Linotype" w:eastAsia="Palatino Linotype" w:hAnsi="Palatino Linotype" w:cs="Palatino Linotype"/>
          <w:sz w:val="23"/>
          <w:szCs w:val="23"/>
        </w:rPr>
        <w:t>La Titular de la Unidad de Trasparencia refirió que la Dirección de Administración entregó como respuesta los vínculos electrónicos siguientes:</w:t>
      </w:r>
    </w:p>
    <w:p w14:paraId="0FD0AB1C" w14:textId="77777777" w:rsidR="007D107A" w:rsidRPr="00173989" w:rsidRDefault="007D107A" w:rsidP="007D107A">
      <w:pPr>
        <w:spacing w:line="360" w:lineRule="auto"/>
        <w:ind w:left="851"/>
        <w:jc w:val="both"/>
      </w:pPr>
      <w:r w:rsidRPr="00173989">
        <w:t>Personal adscrito a la Dirección de Recursos Humanos.</w:t>
      </w:r>
    </w:p>
    <w:p w14:paraId="53410073" w14:textId="77777777" w:rsidR="007D107A" w:rsidRPr="00173989" w:rsidRDefault="003E3F13" w:rsidP="007D107A">
      <w:pPr>
        <w:spacing w:line="360" w:lineRule="auto"/>
        <w:ind w:left="851"/>
        <w:jc w:val="both"/>
      </w:pPr>
      <w:hyperlink r:id="rId8" w:history="1">
        <w:r w:rsidR="007D107A" w:rsidRPr="00173989">
          <w:rPr>
            <w:color w:val="0563C1" w:themeColor="hyperlink"/>
          </w:rPr>
          <w:t>https://ipomex.org.mx/ipo3/lgt/indice/TOLUCA/art_92_viii/5/0/77804.web</w:t>
        </w:r>
      </w:hyperlink>
      <w:r w:rsidR="007D107A" w:rsidRPr="00173989">
        <w:t xml:space="preserve">  </w:t>
      </w:r>
    </w:p>
    <w:p w14:paraId="7FBB2D37" w14:textId="77777777" w:rsidR="007D107A" w:rsidRPr="00173989" w:rsidRDefault="007D107A" w:rsidP="007D107A">
      <w:pPr>
        <w:spacing w:line="360" w:lineRule="auto"/>
        <w:ind w:left="851"/>
        <w:jc w:val="both"/>
      </w:pPr>
      <w:r w:rsidRPr="00173989">
        <w:t>Personal adscrito a la Dirección de Recursos Materiales.</w:t>
      </w:r>
    </w:p>
    <w:p w14:paraId="4AC29755" w14:textId="77777777" w:rsidR="007D107A" w:rsidRPr="00173989" w:rsidRDefault="003E3F13" w:rsidP="007D107A">
      <w:pPr>
        <w:spacing w:line="360" w:lineRule="auto"/>
        <w:ind w:left="851"/>
        <w:jc w:val="both"/>
        <w:rPr>
          <w:rFonts w:ascii="Palatino Linotype" w:eastAsia="Palatino Linotype" w:hAnsi="Palatino Linotype" w:cs="Palatino Linotype"/>
          <w:i/>
          <w:sz w:val="22"/>
          <w:szCs w:val="22"/>
        </w:rPr>
      </w:pPr>
      <w:hyperlink r:id="rId9" w:history="1">
        <w:r w:rsidR="007D107A" w:rsidRPr="00173989">
          <w:rPr>
            <w:color w:val="0563C1" w:themeColor="hyperlink"/>
          </w:rPr>
          <w:t>https://ipomex.org.mx/ipo3/lgt/indice/TOLUCA/art_92_viii/5/0/77800.web</w:t>
        </w:r>
      </w:hyperlink>
      <w:r w:rsidR="007D107A" w:rsidRPr="00173989">
        <w:t xml:space="preserve">  </w:t>
      </w:r>
    </w:p>
    <w:p w14:paraId="26347790" w14:textId="77777777" w:rsidR="007D107A" w:rsidRPr="00173989" w:rsidRDefault="007D107A" w:rsidP="007D107A">
      <w:pPr>
        <w:spacing w:line="360" w:lineRule="auto"/>
        <w:jc w:val="both"/>
        <w:rPr>
          <w:rFonts w:ascii="Palatino Linotype" w:eastAsia="Palatino Linotype" w:hAnsi="Palatino Linotype" w:cs="Palatino Linotype"/>
          <w:i/>
          <w:sz w:val="22"/>
          <w:szCs w:val="22"/>
        </w:rPr>
      </w:pPr>
    </w:p>
    <w:p w14:paraId="45DBA76E" w14:textId="14262513" w:rsidR="007D107A" w:rsidRPr="00173989" w:rsidRDefault="007D107A" w:rsidP="007D107A">
      <w:pPr>
        <w:tabs>
          <w:tab w:val="left" w:pos="2422"/>
        </w:tabs>
        <w:spacing w:line="360" w:lineRule="auto"/>
        <w:ind w:right="49"/>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Inconforme, </w:t>
      </w:r>
      <w:r w:rsidRPr="00173989">
        <w:rPr>
          <w:rFonts w:ascii="Palatino Linotype" w:eastAsia="Palatino Linotype" w:hAnsi="Palatino Linotype" w:cs="Palatino Linotype"/>
          <w:b/>
        </w:rPr>
        <w:t xml:space="preserve">LA RECURRENTE </w:t>
      </w:r>
      <w:r w:rsidRPr="00173989">
        <w:rPr>
          <w:rFonts w:ascii="Palatino Linotype" w:eastAsia="Palatino Linotype" w:hAnsi="Palatino Linotype" w:cs="Palatino Linotype"/>
        </w:rPr>
        <w:t>interpuso el presente recurso aduciendo “</w:t>
      </w:r>
      <w:r w:rsidRPr="00173989">
        <w:rPr>
          <w:rFonts w:ascii="Palatino Linotype" w:eastAsia="Palatino Linotype" w:hAnsi="Palatino Linotype" w:cs="Palatino Linotype"/>
          <w:i/>
        </w:rPr>
        <w:t xml:space="preserve">me entregan un documento que no </w:t>
      </w:r>
      <w:proofErr w:type="spellStart"/>
      <w:r w:rsidRPr="00173989">
        <w:rPr>
          <w:rFonts w:ascii="Palatino Linotype" w:eastAsia="Palatino Linotype" w:hAnsi="Palatino Linotype" w:cs="Palatino Linotype"/>
          <w:i/>
        </w:rPr>
        <w:t>esta</w:t>
      </w:r>
      <w:proofErr w:type="spellEnd"/>
      <w:r w:rsidRPr="00173989">
        <w:rPr>
          <w:rFonts w:ascii="Palatino Linotype" w:eastAsia="Palatino Linotype" w:hAnsi="Palatino Linotype" w:cs="Palatino Linotype"/>
          <w:i/>
        </w:rPr>
        <w:t xml:space="preserve"> firmado por la titular de transparencia, así como me mandan dos ligas sin orientarme a donde lo puedo encontrar, ni me adjuntan el </w:t>
      </w:r>
      <w:proofErr w:type="spellStart"/>
      <w:r w:rsidRPr="00173989">
        <w:rPr>
          <w:rFonts w:ascii="Palatino Linotype" w:eastAsia="Palatino Linotype" w:hAnsi="Palatino Linotype" w:cs="Palatino Linotype"/>
          <w:i/>
        </w:rPr>
        <w:t>hipervinculo</w:t>
      </w:r>
      <w:proofErr w:type="spellEnd"/>
      <w:r w:rsidRPr="00173989">
        <w:rPr>
          <w:rFonts w:ascii="Palatino Linotype" w:eastAsia="Palatino Linotype" w:hAnsi="Palatino Linotype" w:cs="Palatino Linotype"/>
          <w:i/>
        </w:rPr>
        <w:t xml:space="preserve">, así como se indica en el oficio, no </w:t>
      </w:r>
      <w:proofErr w:type="spellStart"/>
      <w:r w:rsidRPr="00173989">
        <w:rPr>
          <w:rFonts w:ascii="Palatino Linotype" w:eastAsia="Palatino Linotype" w:hAnsi="Palatino Linotype" w:cs="Palatino Linotype"/>
          <w:i/>
        </w:rPr>
        <w:t>esta</w:t>
      </w:r>
      <w:proofErr w:type="spellEnd"/>
      <w:r w:rsidRPr="00173989">
        <w:rPr>
          <w:rFonts w:ascii="Palatino Linotype" w:eastAsia="Palatino Linotype" w:hAnsi="Palatino Linotype" w:cs="Palatino Linotype"/>
          <w:i/>
        </w:rPr>
        <w:t xml:space="preserve"> completa la información debido a los registros que se visualizan.</w:t>
      </w:r>
      <w:r w:rsidRPr="00173989">
        <w:rPr>
          <w:rFonts w:ascii="Palatino Linotype" w:eastAsia="Palatino Linotype" w:hAnsi="Palatino Linotype" w:cs="Palatino Linotype"/>
        </w:rPr>
        <w:t>”</w:t>
      </w:r>
      <w:r w:rsidR="00332A65" w:rsidRPr="00173989">
        <w:rPr>
          <w:rFonts w:ascii="Palatino Linotype" w:eastAsia="Palatino Linotype" w:hAnsi="Palatino Linotype" w:cs="Palatino Linotype"/>
        </w:rPr>
        <w:t xml:space="preserve"> (Sic).</w:t>
      </w:r>
    </w:p>
    <w:p w14:paraId="16B2F1D1" w14:textId="77777777" w:rsidR="007D107A" w:rsidRPr="00173989" w:rsidRDefault="007D107A" w:rsidP="007D107A">
      <w:pPr>
        <w:tabs>
          <w:tab w:val="left" w:pos="2422"/>
        </w:tabs>
        <w:spacing w:line="360" w:lineRule="auto"/>
        <w:ind w:right="49"/>
        <w:jc w:val="both"/>
        <w:rPr>
          <w:rFonts w:ascii="Palatino Linotype" w:eastAsia="Palatino Linotype" w:hAnsi="Palatino Linotype" w:cs="Palatino Linotype"/>
        </w:rPr>
      </w:pPr>
    </w:p>
    <w:p w14:paraId="69F3A402" w14:textId="77777777" w:rsidR="007D107A" w:rsidRPr="00173989" w:rsidRDefault="007D107A" w:rsidP="007D107A">
      <w:pPr>
        <w:tabs>
          <w:tab w:val="left" w:pos="2422"/>
        </w:tabs>
        <w:spacing w:line="360" w:lineRule="auto"/>
        <w:ind w:right="49"/>
        <w:jc w:val="both"/>
        <w:rPr>
          <w:rFonts w:ascii="Palatino Linotype" w:eastAsia="Palatino Linotype" w:hAnsi="Palatino Linotype" w:cs="Palatino Linotype"/>
        </w:rPr>
      </w:pPr>
      <w:r w:rsidRPr="00173989">
        <w:rPr>
          <w:rFonts w:ascii="Palatino Linotype" w:eastAsia="Palatino Linotype" w:hAnsi="Palatino Linotype" w:cs="Palatino Linotype"/>
          <w:b/>
        </w:rPr>
        <w:t>LA RECURRENTE</w:t>
      </w:r>
      <w:r w:rsidRPr="00173989">
        <w:rPr>
          <w:rFonts w:ascii="Palatino Linotype" w:eastAsia="Palatino Linotype" w:hAnsi="Palatino Linotype" w:cs="Palatino Linotype"/>
        </w:rPr>
        <w:t xml:space="preserve"> fue omisa en presentar sus manifestaciones, por su parte, el </w:t>
      </w:r>
      <w:r w:rsidRPr="00173989">
        <w:rPr>
          <w:rFonts w:ascii="Palatino Linotype" w:eastAsia="Palatino Linotype" w:hAnsi="Palatino Linotype" w:cs="Palatino Linotype"/>
          <w:b/>
        </w:rPr>
        <w:t>SUJETO OBLIGADO</w:t>
      </w:r>
      <w:r w:rsidRPr="00173989">
        <w:rPr>
          <w:rFonts w:ascii="Palatino Linotype" w:eastAsia="Palatino Linotype" w:hAnsi="Palatino Linotype" w:cs="Palatino Linotype"/>
        </w:rPr>
        <w:t xml:space="preserve"> presentó su informe justificado ratificando su respuesta.</w:t>
      </w:r>
    </w:p>
    <w:p w14:paraId="42E7CCB3" w14:textId="77777777" w:rsidR="007D107A" w:rsidRPr="00173989" w:rsidRDefault="007D107A" w:rsidP="007D107A">
      <w:pPr>
        <w:tabs>
          <w:tab w:val="left" w:pos="2422"/>
        </w:tabs>
        <w:spacing w:line="360" w:lineRule="auto"/>
        <w:ind w:right="49"/>
        <w:jc w:val="both"/>
        <w:rPr>
          <w:rFonts w:ascii="Palatino Linotype" w:eastAsia="Palatino Linotype" w:hAnsi="Palatino Linotype" w:cs="Palatino Linotype"/>
        </w:rPr>
      </w:pPr>
    </w:p>
    <w:p w14:paraId="51A4BF0D" w14:textId="77777777" w:rsidR="007D107A" w:rsidRPr="00173989" w:rsidRDefault="007D107A" w:rsidP="007D107A">
      <w:pPr>
        <w:widowControl w:val="0"/>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Es importante mencionar que se obvia el estudio de la fuente obligacional que constriñe al </w:t>
      </w:r>
      <w:r w:rsidRPr="00173989">
        <w:rPr>
          <w:rFonts w:ascii="Palatino Linotype" w:eastAsia="Palatino Linotype" w:hAnsi="Palatino Linotype" w:cs="Palatino Linotype"/>
          <w:b/>
        </w:rPr>
        <w:t>SUJETO OBLIGADO</w:t>
      </w:r>
      <w:r w:rsidRPr="00173989">
        <w:rPr>
          <w:rFonts w:ascii="Palatino Linotype" w:eastAsia="Palatino Linotype" w:hAnsi="Palatino Linotype" w:cs="Palatino Linotype"/>
        </w:rPr>
        <w:t xml:space="preserve"> a pronunciarse y contar con lo solicitado por el particular, toda vez que asume contar con la información solicitada.</w:t>
      </w:r>
    </w:p>
    <w:p w14:paraId="38422F43" w14:textId="77777777" w:rsidR="007D107A" w:rsidRPr="00173989" w:rsidRDefault="007D107A" w:rsidP="007D107A">
      <w:pPr>
        <w:widowControl w:val="0"/>
        <w:spacing w:line="360" w:lineRule="auto"/>
        <w:jc w:val="both"/>
        <w:rPr>
          <w:rFonts w:ascii="Palatino Linotype" w:eastAsia="Palatino Linotype" w:hAnsi="Palatino Linotype" w:cs="Palatino Linotype"/>
        </w:rPr>
      </w:pPr>
    </w:p>
    <w:p w14:paraId="5E1BF980" w14:textId="77777777" w:rsidR="007D107A" w:rsidRPr="00173989" w:rsidRDefault="007D107A" w:rsidP="007D107A">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lastRenderedPageBreak/>
        <w:t xml:space="preserve">Aunado a ello, es importante señalar que, la información requerida se encuentra relacionada con las obligaciones comunes de transparencia que los Sujetos Obligados deben cumplir como mínimo, a fin de salvaguardar el Derecho de Acceso a la Información Pública; expresión que toma sustento legal del artículo 92 de la Ley de la materia aplicable en esta Entidad, en específico, conforme a lo estipulado en las fracciones: XI, XII, XXI, mismas que señalan lo siguiente: </w:t>
      </w:r>
    </w:p>
    <w:p w14:paraId="723F8D5F" w14:textId="77777777" w:rsidR="007D107A" w:rsidRPr="00173989" w:rsidRDefault="007D107A" w:rsidP="007D107A">
      <w:pPr>
        <w:spacing w:line="360" w:lineRule="auto"/>
        <w:jc w:val="both"/>
        <w:rPr>
          <w:rFonts w:ascii="Palatino Linotype" w:eastAsia="Palatino Linotype" w:hAnsi="Palatino Linotype" w:cs="Palatino Linotype"/>
        </w:rPr>
      </w:pPr>
    </w:p>
    <w:p w14:paraId="0B1F689B" w14:textId="77777777" w:rsidR="007D107A" w:rsidRPr="00173989" w:rsidRDefault="007D107A" w:rsidP="007D107A">
      <w:pPr>
        <w:ind w:left="851" w:right="899"/>
        <w:jc w:val="center"/>
        <w:rPr>
          <w:rFonts w:ascii="Palatino Linotype" w:eastAsia="Palatino Linotype" w:hAnsi="Palatino Linotype" w:cs="Palatino Linotype"/>
          <w:b/>
          <w:sz w:val="22"/>
          <w:szCs w:val="22"/>
        </w:rPr>
      </w:pPr>
      <w:r w:rsidRPr="00173989">
        <w:rPr>
          <w:rFonts w:ascii="Palatino Linotype" w:eastAsia="Palatino Linotype" w:hAnsi="Palatino Linotype" w:cs="Palatino Linotype"/>
          <w:b/>
          <w:sz w:val="22"/>
          <w:szCs w:val="22"/>
        </w:rPr>
        <w:t>Capítulo II</w:t>
      </w:r>
    </w:p>
    <w:p w14:paraId="4EFCB5C9" w14:textId="77777777" w:rsidR="007D107A" w:rsidRPr="00173989" w:rsidRDefault="007D107A" w:rsidP="007D107A">
      <w:pPr>
        <w:ind w:left="851" w:right="899"/>
        <w:jc w:val="center"/>
        <w:rPr>
          <w:rFonts w:ascii="Palatino Linotype" w:eastAsia="Palatino Linotype" w:hAnsi="Palatino Linotype" w:cs="Palatino Linotype"/>
          <w:b/>
          <w:sz w:val="22"/>
          <w:szCs w:val="22"/>
        </w:rPr>
      </w:pPr>
      <w:r w:rsidRPr="00173989">
        <w:rPr>
          <w:rFonts w:ascii="Palatino Linotype" w:eastAsia="Palatino Linotype" w:hAnsi="Palatino Linotype" w:cs="Palatino Linotype"/>
          <w:b/>
          <w:sz w:val="22"/>
          <w:szCs w:val="22"/>
        </w:rPr>
        <w:t>De las Obligaciones de Transparencia Comunes</w:t>
      </w:r>
    </w:p>
    <w:p w14:paraId="4FD6B1B1" w14:textId="77777777" w:rsidR="007D107A" w:rsidRPr="00173989" w:rsidRDefault="007D107A" w:rsidP="007D107A">
      <w:pPr>
        <w:ind w:left="851" w:right="899"/>
        <w:jc w:val="both"/>
        <w:rPr>
          <w:rFonts w:ascii="Palatino Linotype" w:eastAsia="Palatino Linotype" w:hAnsi="Palatino Linotype" w:cs="Palatino Linotype"/>
          <w:i/>
          <w:sz w:val="22"/>
          <w:szCs w:val="22"/>
        </w:rPr>
      </w:pPr>
    </w:p>
    <w:p w14:paraId="7A6BACB0" w14:textId="77777777" w:rsidR="007D107A" w:rsidRPr="00173989" w:rsidRDefault="007D107A" w:rsidP="007D107A">
      <w:pPr>
        <w:ind w:left="851" w:right="899"/>
        <w:jc w:val="both"/>
        <w:rPr>
          <w:rFonts w:ascii="Palatino Linotype" w:eastAsia="Palatino Linotype" w:hAnsi="Palatino Linotype" w:cs="Palatino Linotype"/>
          <w:i/>
          <w:sz w:val="22"/>
          <w:szCs w:val="22"/>
        </w:rPr>
      </w:pPr>
      <w:r w:rsidRPr="00173989">
        <w:rPr>
          <w:rFonts w:ascii="Palatino Linotype" w:eastAsia="Palatino Linotype" w:hAnsi="Palatino Linotype" w:cs="Palatino Linotype"/>
          <w:b/>
          <w:i/>
          <w:sz w:val="22"/>
          <w:szCs w:val="22"/>
        </w:rPr>
        <w:t>Artículo 92.</w:t>
      </w:r>
      <w:r w:rsidRPr="00173989">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FCCD087" w14:textId="77777777" w:rsidR="007D107A" w:rsidRPr="00173989" w:rsidRDefault="007D107A" w:rsidP="007D107A">
      <w:pPr>
        <w:ind w:left="851" w:right="899"/>
        <w:jc w:val="both"/>
        <w:rPr>
          <w:rFonts w:ascii="Palatino Linotype" w:eastAsia="Palatino Linotype" w:hAnsi="Palatino Linotype" w:cs="Palatino Linotype"/>
          <w:i/>
          <w:sz w:val="22"/>
          <w:szCs w:val="22"/>
        </w:rPr>
      </w:pPr>
    </w:p>
    <w:p w14:paraId="3F6896CC" w14:textId="77777777" w:rsidR="007D107A" w:rsidRPr="00173989" w:rsidRDefault="007D107A" w:rsidP="007D107A">
      <w:pPr>
        <w:ind w:left="851" w:right="899"/>
        <w:jc w:val="both"/>
        <w:rPr>
          <w:rFonts w:ascii="Palatino Linotype" w:eastAsia="Palatino Linotype" w:hAnsi="Palatino Linotype" w:cs="Palatino Linotype"/>
          <w:i/>
          <w:sz w:val="22"/>
          <w:szCs w:val="22"/>
        </w:rPr>
      </w:pPr>
      <w:r w:rsidRPr="00173989">
        <w:rPr>
          <w:rFonts w:ascii="Palatino Linotype" w:eastAsia="Palatino Linotype" w:hAnsi="Palatino Linotype" w:cs="Palatino Linotype"/>
          <w:i/>
          <w:sz w:val="22"/>
          <w:szCs w:val="22"/>
        </w:rPr>
        <w:t>I a VI …</w:t>
      </w:r>
    </w:p>
    <w:p w14:paraId="2A6DDC17" w14:textId="77777777" w:rsidR="007D107A" w:rsidRPr="00173989" w:rsidRDefault="007D107A" w:rsidP="007D107A">
      <w:pPr>
        <w:ind w:left="851" w:right="899"/>
        <w:jc w:val="both"/>
        <w:rPr>
          <w:rFonts w:ascii="Palatino Linotype" w:eastAsia="Palatino Linotype" w:hAnsi="Palatino Linotype" w:cs="Palatino Linotype"/>
          <w:i/>
          <w:sz w:val="22"/>
          <w:szCs w:val="22"/>
        </w:rPr>
      </w:pPr>
      <w:r w:rsidRPr="00173989">
        <w:rPr>
          <w:rFonts w:ascii="Palatino Linotype" w:eastAsia="Palatino Linotype" w:hAnsi="Palatino Linotype" w:cs="Palatino Linotype"/>
          <w:b/>
          <w:i/>
          <w:sz w:val="22"/>
          <w:szCs w:val="22"/>
        </w:rPr>
        <w:t xml:space="preserve">VII. El directorio de todos los servidores públicos, </w:t>
      </w:r>
      <w:r w:rsidRPr="00173989">
        <w:rPr>
          <w:rFonts w:ascii="Palatino Linotype" w:eastAsia="Palatino Linotype" w:hAnsi="Palatino Linotype" w:cs="Palatino Linotype"/>
          <w:i/>
          <w:sz w:val="22"/>
          <w:szCs w:val="22"/>
        </w:rPr>
        <w:t xml:space="preserve">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53A118E0" w14:textId="77777777" w:rsidR="007D107A" w:rsidRPr="00173989" w:rsidRDefault="007D107A" w:rsidP="007D107A">
      <w:pPr>
        <w:ind w:left="851" w:right="899"/>
        <w:jc w:val="both"/>
        <w:rPr>
          <w:rFonts w:ascii="Palatino Linotype" w:eastAsia="Palatino Linotype" w:hAnsi="Palatino Linotype" w:cs="Palatino Linotype"/>
          <w:i/>
          <w:sz w:val="22"/>
          <w:szCs w:val="22"/>
        </w:rPr>
      </w:pPr>
    </w:p>
    <w:p w14:paraId="66441DE4" w14:textId="77777777" w:rsidR="007D107A" w:rsidRPr="00173989" w:rsidRDefault="007D107A" w:rsidP="007D107A">
      <w:pPr>
        <w:ind w:left="851" w:right="899"/>
        <w:jc w:val="both"/>
        <w:rPr>
          <w:rFonts w:ascii="Palatino Linotype" w:eastAsia="Palatino Linotype" w:hAnsi="Palatino Linotype" w:cs="Palatino Linotype"/>
          <w:b/>
          <w:i/>
          <w:sz w:val="22"/>
          <w:szCs w:val="22"/>
        </w:rPr>
      </w:pPr>
      <w:r w:rsidRPr="00173989">
        <w:rPr>
          <w:rFonts w:ascii="Palatino Linotype" w:eastAsia="Palatino Linotype" w:hAnsi="Palatino Linotype" w:cs="Palatino Linotype"/>
          <w:i/>
          <w:sz w:val="22"/>
          <w:szCs w:val="22"/>
        </w:rPr>
        <w:t>El directorio deberá incluir, al menos</w:t>
      </w:r>
      <w:r w:rsidRPr="00173989">
        <w:rPr>
          <w:rFonts w:ascii="Palatino Linotype" w:eastAsia="Palatino Linotype" w:hAnsi="Palatino Linotype" w:cs="Palatino Linotype"/>
          <w:b/>
          <w:i/>
          <w:sz w:val="22"/>
          <w:szCs w:val="22"/>
        </w:rPr>
        <w:t xml:space="preserve"> el nombre, </w:t>
      </w:r>
      <w:r w:rsidRPr="00173989">
        <w:rPr>
          <w:rFonts w:ascii="Palatino Linotype" w:eastAsia="Palatino Linotype" w:hAnsi="Palatino Linotype" w:cs="Palatino Linotype"/>
          <w:i/>
          <w:sz w:val="22"/>
          <w:szCs w:val="22"/>
        </w:rPr>
        <w:t>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r w:rsidRPr="00173989">
        <w:rPr>
          <w:rFonts w:ascii="Palatino Linotype" w:eastAsia="Palatino Linotype" w:hAnsi="Palatino Linotype" w:cs="Palatino Linotype"/>
          <w:b/>
          <w:i/>
          <w:sz w:val="22"/>
          <w:szCs w:val="22"/>
        </w:rPr>
        <w:t xml:space="preserve"> </w:t>
      </w:r>
    </w:p>
    <w:p w14:paraId="5E3BAFD5" w14:textId="77777777" w:rsidR="007D107A" w:rsidRPr="00173989" w:rsidRDefault="007D107A" w:rsidP="007D107A">
      <w:pPr>
        <w:ind w:left="851" w:right="899"/>
        <w:jc w:val="both"/>
        <w:rPr>
          <w:rFonts w:ascii="Palatino Linotype" w:eastAsia="Palatino Linotype" w:hAnsi="Palatino Linotype" w:cs="Palatino Linotype"/>
          <w:b/>
          <w:i/>
          <w:sz w:val="22"/>
          <w:szCs w:val="22"/>
        </w:rPr>
      </w:pPr>
    </w:p>
    <w:p w14:paraId="32D56FD2" w14:textId="77777777" w:rsidR="007D107A" w:rsidRPr="00173989" w:rsidRDefault="007D107A" w:rsidP="007D107A">
      <w:pPr>
        <w:ind w:left="851" w:right="899"/>
        <w:jc w:val="both"/>
        <w:rPr>
          <w:rFonts w:ascii="Palatino Linotype" w:eastAsia="Palatino Linotype" w:hAnsi="Palatino Linotype" w:cs="Palatino Linotype"/>
          <w:b/>
          <w:i/>
          <w:sz w:val="22"/>
          <w:szCs w:val="22"/>
        </w:rPr>
      </w:pPr>
      <w:r w:rsidRPr="00173989">
        <w:rPr>
          <w:rFonts w:ascii="Palatino Linotype" w:eastAsia="Palatino Linotype" w:hAnsi="Palatino Linotype" w:cs="Palatino Linotype"/>
          <w:b/>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12FA547" w14:textId="77777777" w:rsidR="007D107A" w:rsidRPr="00173989" w:rsidRDefault="007D107A" w:rsidP="007D107A">
      <w:pPr>
        <w:ind w:left="851" w:right="899"/>
        <w:jc w:val="both"/>
        <w:rPr>
          <w:rFonts w:ascii="Palatino Linotype" w:eastAsia="Palatino Linotype" w:hAnsi="Palatino Linotype" w:cs="Palatino Linotype"/>
          <w:i/>
          <w:sz w:val="22"/>
          <w:szCs w:val="22"/>
        </w:rPr>
      </w:pPr>
      <w:r w:rsidRPr="00173989">
        <w:rPr>
          <w:rFonts w:ascii="Palatino Linotype" w:eastAsia="Palatino Linotype" w:hAnsi="Palatino Linotype" w:cs="Palatino Linotype"/>
          <w:i/>
          <w:sz w:val="22"/>
          <w:szCs w:val="22"/>
        </w:rPr>
        <w:t xml:space="preserve">IX a LII… </w:t>
      </w:r>
    </w:p>
    <w:p w14:paraId="5BE47466" w14:textId="77777777" w:rsidR="007D107A" w:rsidRPr="00173989" w:rsidRDefault="007D107A" w:rsidP="007D107A">
      <w:pPr>
        <w:widowControl w:val="0"/>
        <w:spacing w:line="360" w:lineRule="auto"/>
        <w:jc w:val="both"/>
        <w:rPr>
          <w:rFonts w:ascii="Palatino Linotype" w:eastAsia="Palatino Linotype" w:hAnsi="Palatino Linotype" w:cs="Palatino Linotype"/>
        </w:rPr>
      </w:pPr>
    </w:p>
    <w:p w14:paraId="66526490" w14:textId="77777777" w:rsidR="007D107A" w:rsidRPr="00173989" w:rsidRDefault="007D107A" w:rsidP="007D107A">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Ahora bien, en términos de lo dispuesto por el artículo 161 de la Ley de Transparencia local se advierte:</w:t>
      </w:r>
    </w:p>
    <w:p w14:paraId="01E8DDA8" w14:textId="77777777" w:rsidR="007D107A" w:rsidRPr="00173989" w:rsidRDefault="007D107A" w:rsidP="007D107A">
      <w:pPr>
        <w:ind w:left="851" w:right="850"/>
        <w:jc w:val="both"/>
        <w:rPr>
          <w:rFonts w:ascii="Palatino Linotype" w:eastAsia="Palatino Linotype" w:hAnsi="Palatino Linotype" w:cs="Palatino Linotype"/>
          <w:i/>
          <w:sz w:val="22"/>
          <w:szCs w:val="22"/>
        </w:rPr>
      </w:pPr>
      <w:r w:rsidRPr="00173989">
        <w:rPr>
          <w:rFonts w:ascii="Palatino Linotype" w:eastAsia="Palatino Linotype" w:hAnsi="Palatino Linotype" w:cs="Palatino Linotype"/>
          <w:b/>
          <w:i/>
          <w:sz w:val="22"/>
          <w:szCs w:val="22"/>
        </w:rPr>
        <w:t>Artículo 161.</w:t>
      </w:r>
      <w:r w:rsidRPr="00173989">
        <w:rPr>
          <w:rFonts w:ascii="Palatino Linotype" w:eastAsia="Palatino Linotype" w:hAnsi="Palatino Linotype" w:cs="Palatino Linotype"/>
          <w:i/>
          <w:sz w:val="22"/>
          <w:szCs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5D8C1460" w14:textId="77777777" w:rsidR="007D107A" w:rsidRPr="00173989" w:rsidRDefault="007D107A" w:rsidP="007D107A">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 </w:t>
      </w:r>
    </w:p>
    <w:p w14:paraId="61F6965E" w14:textId="77777777" w:rsidR="007D107A" w:rsidRPr="00173989" w:rsidRDefault="007D107A" w:rsidP="007D107A">
      <w:pPr>
        <w:widowControl w:val="0"/>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De la disposición normativa anterior se advierte que, si el </w:t>
      </w:r>
      <w:r w:rsidRPr="00173989">
        <w:rPr>
          <w:rFonts w:ascii="Palatino Linotype" w:eastAsia="Palatino Linotype" w:hAnsi="Palatino Linotype" w:cs="Palatino Linotype"/>
          <w:b/>
        </w:rPr>
        <w:t>SUJETO OBLIGADO</w:t>
      </w:r>
      <w:r w:rsidRPr="00173989">
        <w:rPr>
          <w:rFonts w:ascii="Palatino Linotype" w:eastAsia="Palatino Linotype" w:hAnsi="Palatino Linotype" w:cs="Palatino Linotype"/>
        </w:rPr>
        <w:t xml:space="preserve"> consideró que remitiendo los links colmaría el derecho de acceso a la información, debía cumplir con:</w:t>
      </w:r>
    </w:p>
    <w:p w14:paraId="4BF38FC8" w14:textId="77777777" w:rsidR="007D107A" w:rsidRPr="00173989" w:rsidRDefault="007D107A" w:rsidP="007D107A">
      <w:pPr>
        <w:widowControl w:val="0"/>
        <w:spacing w:line="360" w:lineRule="auto"/>
        <w:jc w:val="both"/>
        <w:rPr>
          <w:rFonts w:ascii="Palatino Linotype" w:eastAsia="Palatino Linotype" w:hAnsi="Palatino Linotype" w:cs="Palatino Linotype"/>
        </w:rPr>
      </w:pPr>
    </w:p>
    <w:p w14:paraId="59DFBA41" w14:textId="77777777" w:rsidR="007D107A" w:rsidRPr="00173989" w:rsidRDefault="007D107A" w:rsidP="007D107A">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Informar la fuente, el lugar y la forma en que puede consultar, reproducir o adquirir la información en un plazo no mayor a cinco días hábiles.</w:t>
      </w:r>
    </w:p>
    <w:p w14:paraId="76F93E34" w14:textId="77777777" w:rsidR="007D107A" w:rsidRPr="00173989" w:rsidRDefault="007D107A" w:rsidP="007D107A">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Proporcional una fuente precisa y concreta que no implique que el solicitante realice una búsqueda en toda la información que se encuentre disponible.</w:t>
      </w:r>
    </w:p>
    <w:p w14:paraId="52D454FD" w14:textId="77777777" w:rsidR="007D107A" w:rsidRPr="00173989" w:rsidRDefault="007D107A" w:rsidP="007D107A">
      <w:pPr>
        <w:widowControl w:val="0"/>
        <w:spacing w:line="360" w:lineRule="auto"/>
        <w:jc w:val="both"/>
        <w:rPr>
          <w:rFonts w:ascii="Palatino Linotype" w:eastAsia="Palatino Linotype" w:hAnsi="Palatino Linotype" w:cs="Palatino Linotype"/>
        </w:rPr>
      </w:pPr>
    </w:p>
    <w:p w14:paraId="36CD50BE" w14:textId="77777777" w:rsidR="007D107A" w:rsidRPr="00173989" w:rsidRDefault="007D107A" w:rsidP="007D107A">
      <w:pPr>
        <w:widowControl w:val="0"/>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 xml:space="preserve">En ese sentido si la solicitud se presentó el cinco de julio del dos mil veintitrés, el Plazo de cinco días transcurrió del seis al doce de julio de esa anualidad, por lo que, si en el </w:t>
      </w:r>
      <w:r w:rsidRPr="00173989">
        <w:rPr>
          <w:rFonts w:ascii="Palatino Linotype" w:eastAsia="Palatino Linotype" w:hAnsi="Palatino Linotype" w:cs="Palatino Linotype"/>
          <w:b/>
        </w:rPr>
        <w:t>SUJETO OBLIGADO</w:t>
      </w:r>
      <w:r w:rsidRPr="00173989">
        <w:rPr>
          <w:rFonts w:ascii="Palatino Linotype" w:eastAsia="Palatino Linotype" w:hAnsi="Palatino Linotype" w:cs="Palatino Linotype"/>
        </w:rPr>
        <w:t xml:space="preserve"> notificó su respuesta el nueve de agosto, es evidente que el plazo señalado fue excedido. </w:t>
      </w:r>
    </w:p>
    <w:p w14:paraId="7D9F52E6" w14:textId="77777777" w:rsidR="007D107A" w:rsidRPr="00173989" w:rsidRDefault="007D107A" w:rsidP="007D107A">
      <w:pPr>
        <w:widowControl w:val="0"/>
        <w:spacing w:line="360" w:lineRule="auto"/>
        <w:jc w:val="both"/>
        <w:rPr>
          <w:rFonts w:ascii="Palatino Linotype" w:eastAsia="Palatino Linotype" w:hAnsi="Palatino Linotype" w:cs="Palatino Linotype"/>
        </w:rPr>
      </w:pPr>
    </w:p>
    <w:p w14:paraId="643C4580"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lastRenderedPageBreak/>
        <w:t>Ahora bien, del análisis a los dos vínculos de IPOMEX para consultar la información, se advierte que de los vínculos acompañados si es posible advertir la información solicitada, pues al ingresar a los vínculos anunciados se observa lo siguiente:</w:t>
      </w:r>
    </w:p>
    <w:p w14:paraId="77433AC1"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https://ipomex.org.mx/ipo3/lgt/indice/TOLUCA/art_92_viii/5/0/77804.web  </w:t>
      </w:r>
    </w:p>
    <w:p w14:paraId="6931F699"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noProof/>
          <w:color w:val="000000"/>
        </w:rPr>
        <w:drawing>
          <wp:inline distT="0" distB="0" distL="0" distR="0" wp14:anchorId="6BEB574B" wp14:editId="3E80D454">
            <wp:extent cx="5506218" cy="54109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6218" cy="5410955"/>
                    </a:xfrm>
                    <a:prstGeom prst="rect">
                      <a:avLst/>
                    </a:prstGeom>
                  </pic:spPr>
                </pic:pic>
              </a:graphicData>
            </a:graphic>
          </wp:inline>
        </w:drawing>
      </w:r>
    </w:p>
    <w:p w14:paraId="3CCE286B"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lastRenderedPageBreak/>
        <w:t>De la imagen que antecede se advierte que el SUEJTO OBLIGADO a través del link proporcionado se encuentra remitiendo a una página de IPOMEX en donde se pueden advertir el nombre y salario del personal adscrito a la Dirección de Recursos Humanos.</w:t>
      </w:r>
    </w:p>
    <w:p w14:paraId="4BF16CBC"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p>
    <w:p w14:paraId="07E5364D"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https://ipomex.org.mx/ipo3/lgt/indice/TOLUCA/art_92_viii/5/0/77800.web</w:t>
      </w:r>
    </w:p>
    <w:p w14:paraId="7F60DED1"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noProof/>
          <w:color w:val="000000"/>
        </w:rPr>
        <w:drawing>
          <wp:inline distT="0" distB="0" distL="0" distR="0" wp14:anchorId="6F5E6C8F" wp14:editId="1477A62F">
            <wp:extent cx="5791835" cy="38912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3891280"/>
                    </a:xfrm>
                    <a:prstGeom prst="rect">
                      <a:avLst/>
                    </a:prstGeom>
                  </pic:spPr>
                </pic:pic>
              </a:graphicData>
            </a:graphic>
          </wp:inline>
        </w:drawing>
      </w:r>
    </w:p>
    <w:p w14:paraId="55DE6320" w14:textId="77777777" w:rsidR="00332A65" w:rsidRPr="00173989" w:rsidRDefault="00332A65" w:rsidP="007D107A">
      <w:pPr>
        <w:tabs>
          <w:tab w:val="left" w:pos="426"/>
          <w:tab w:val="left" w:pos="567"/>
        </w:tabs>
        <w:spacing w:line="360" w:lineRule="auto"/>
        <w:jc w:val="both"/>
        <w:rPr>
          <w:rFonts w:ascii="Palatino Linotype" w:eastAsia="Palatino Linotype" w:hAnsi="Palatino Linotype" w:cs="Palatino Linotype"/>
          <w:color w:val="000000"/>
        </w:rPr>
      </w:pPr>
    </w:p>
    <w:p w14:paraId="4250F6A1" w14:textId="16690480"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De la imagen que antecede se advierte que el SUEJTO OBLIGADO a través del link proporcionado se encuentra remitiendo a una página de IPOMEX en donde se pueden advertir el nombre y salario del personal adscrito a la Dirección de Recursos Materiales.</w:t>
      </w:r>
    </w:p>
    <w:p w14:paraId="37125E53"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p>
    <w:p w14:paraId="56B955D7"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p>
    <w:p w14:paraId="1F1F0215"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lastRenderedPageBreak/>
        <w:t xml:space="preserve"> </w:t>
      </w:r>
    </w:p>
    <w:p w14:paraId="039FA577"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De las imágenes anteriores, se puede advertir que contrario a lo manifestado por el </w:t>
      </w:r>
      <w:r w:rsidRPr="00173989">
        <w:rPr>
          <w:rFonts w:ascii="Palatino Linotype" w:eastAsia="Palatino Linotype" w:hAnsi="Palatino Linotype" w:cs="Palatino Linotype"/>
          <w:b/>
          <w:color w:val="000000"/>
        </w:rPr>
        <w:t>RECURRENTE,</w:t>
      </w:r>
      <w:r w:rsidRPr="00173989">
        <w:rPr>
          <w:rFonts w:ascii="Palatino Linotype" w:eastAsia="Palatino Linotype" w:hAnsi="Palatino Linotype" w:cs="Palatino Linotype"/>
          <w:color w:val="000000"/>
        </w:rPr>
        <w:t xml:space="preserve"> los links proporcionados si conducen a la información solicitada. </w:t>
      </w:r>
    </w:p>
    <w:p w14:paraId="1E9B84CC"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p>
    <w:p w14:paraId="4F425349"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Es importante señalar que por medio de un hipervínculo una persona puede saltar desde un lugar que se encuentre dentro del mismo documento, o bien para dirigirse a otro documento y también a determinados sitios Web. Un documento será interactivo si cuenta dentro de su estructura con hipervínculos</w:t>
      </w:r>
      <w:r w:rsidRPr="00173989">
        <w:rPr>
          <w:rFonts w:ascii="Palatino Linotype" w:eastAsia="Palatino Linotype" w:hAnsi="Palatino Linotype" w:cs="Palatino Linotype"/>
          <w:color w:val="000000"/>
          <w:vertAlign w:val="superscript"/>
        </w:rPr>
        <w:footnoteReference w:id="10"/>
      </w:r>
      <w:r w:rsidRPr="00173989">
        <w:rPr>
          <w:rFonts w:ascii="Palatino Linotype" w:eastAsia="Palatino Linotype" w:hAnsi="Palatino Linotype" w:cs="Palatino Linotype"/>
          <w:color w:val="000000"/>
        </w:rPr>
        <w:t xml:space="preserve">. En ese sentido, si la dirección electrónica no es interactiva, es decir, si al dar clic en ella no te lleva a la información referida podemos afirmar que no se trata de un hipervínculo, sino </w:t>
      </w:r>
      <w:r w:rsidRPr="00173989">
        <w:rPr>
          <w:rFonts w:ascii="Palatino Linotype" w:eastAsia="Palatino Linotype" w:hAnsi="Palatino Linotype" w:cs="Palatino Linotype"/>
        </w:rPr>
        <w:t>sólo</w:t>
      </w:r>
      <w:r w:rsidRPr="00173989">
        <w:rPr>
          <w:rFonts w:ascii="Palatino Linotype" w:eastAsia="Palatino Linotype" w:hAnsi="Palatino Linotype" w:cs="Palatino Linotype"/>
          <w:color w:val="000000"/>
        </w:rPr>
        <w:t xml:space="preserve"> de una dirección que se tendrá que transcribir en su ordenador.  </w:t>
      </w:r>
    </w:p>
    <w:p w14:paraId="3E81F4CE"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p>
    <w:p w14:paraId="1A996226" w14:textId="1DEA0478"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En </w:t>
      </w:r>
      <w:r w:rsidR="00332A65" w:rsidRPr="00173989">
        <w:rPr>
          <w:rFonts w:ascii="Palatino Linotype" w:eastAsia="Palatino Linotype" w:hAnsi="Palatino Linotype" w:cs="Palatino Linotype"/>
          <w:color w:val="000000"/>
        </w:rPr>
        <w:t>esa tesitura</w:t>
      </w:r>
      <w:r w:rsidRPr="00173989">
        <w:rPr>
          <w:rFonts w:ascii="Palatino Linotype" w:eastAsia="Palatino Linotype" w:hAnsi="Palatino Linotype" w:cs="Palatino Linotype"/>
          <w:color w:val="000000"/>
        </w:rPr>
        <w:t xml:space="preserve">, si bien el </w:t>
      </w:r>
      <w:r w:rsidRPr="00173989">
        <w:rPr>
          <w:rFonts w:ascii="Palatino Linotype" w:eastAsia="Palatino Linotype" w:hAnsi="Palatino Linotype" w:cs="Palatino Linotype"/>
          <w:b/>
          <w:color w:val="000000"/>
        </w:rPr>
        <w:t>SUJETO OBLIGADO</w:t>
      </w:r>
      <w:r w:rsidRPr="00173989">
        <w:rPr>
          <w:rFonts w:ascii="Palatino Linotype" w:eastAsia="Palatino Linotype" w:hAnsi="Palatino Linotype" w:cs="Palatino Linotype"/>
          <w:color w:val="000000"/>
        </w:rPr>
        <w:t xml:space="preserve"> no proporcionó en estricto </w:t>
      </w:r>
      <w:r w:rsidR="00332A65" w:rsidRPr="00173989">
        <w:rPr>
          <w:rFonts w:ascii="Palatino Linotype" w:eastAsia="Palatino Linotype" w:hAnsi="Palatino Linotype" w:cs="Palatino Linotype"/>
          <w:color w:val="000000"/>
        </w:rPr>
        <w:t>sentido hipervínculos</w:t>
      </w:r>
      <w:r w:rsidRPr="00173989">
        <w:rPr>
          <w:rFonts w:ascii="Palatino Linotype" w:eastAsia="Palatino Linotype" w:hAnsi="Palatino Linotype" w:cs="Palatino Linotype"/>
          <w:color w:val="000000"/>
        </w:rPr>
        <w:t xml:space="preserve">, lo cierto es que, el </w:t>
      </w:r>
      <w:r w:rsidRPr="00173989">
        <w:rPr>
          <w:rFonts w:ascii="Palatino Linotype" w:eastAsia="Palatino Linotype" w:hAnsi="Palatino Linotype" w:cs="Palatino Linotype"/>
          <w:b/>
          <w:color w:val="000000"/>
        </w:rPr>
        <w:t>RECURRENTE</w:t>
      </w:r>
      <w:r w:rsidRPr="00173989">
        <w:rPr>
          <w:rFonts w:ascii="Palatino Linotype" w:eastAsia="Palatino Linotype" w:hAnsi="Palatino Linotype" w:cs="Palatino Linotype"/>
          <w:color w:val="000000"/>
        </w:rPr>
        <w:t xml:space="preserve"> podía transcribir los links proporcionados y de esa forma ingresar a la información solicitada.</w:t>
      </w:r>
    </w:p>
    <w:p w14:paraId="09570115"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p>
    <w:p w14:paraId="69D13BB9"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Así, en el caso, como ya ha quedado evidenciado, al transcribir las direcciones proporcionadas por el </w:t>
      </w:r>
      <w:r w:rsidRPr="00173989">
        <w:rPr>
          <w:rFonts w:ascii="Palatino Linotype" w:eastAsia="Palatino Linotype" w:hAnsi="Palatino Linotype" w:cs="Palatino Linotype"/>
          <w:b/>
          <w:color w:val="000000"/>
        </w:rPr>
        <w:t>SUJETO OBLIGADO</w:t>
      </w:r>
      <w:r w:rsidRPr="00173989">
        <w:rPr>
          <w:rFonts w:ascii="Palatino Linotype" w:eastAsia="Palatino Linotype" w:hAnsi="Palatino Linotype" w:cs="Palatino Linotype"/>
          <w:color w:val="000000"/>
        </w:rPr>
        <w:t xml:space="preserve"> se obtienen los nombres y los salarios de cada uno de los servidores públicos adscritos a las Direcciones de Recursos Humanos y Recursos Materiales.</w:t>
      </w:r>
    </w:p>
    <w:p w14:paraId="1AED11C9"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p>
    <w:p w14:paraId="13CFFCE0"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lastRenderedPageBreak/>
        <w:t xml:space="preserve">Por tanto, si bien no se cumple en tiempo con lo establecido en el artículo 161 de la Ley de Transparencia local, pues la respuesta </w:t>
      </w:r>
      <w:r w:rsidRPr="00173989">
        <w:rPr>
          <w:rFonts w:ascii="Palatino Linotype" w:eastAsia="Palatino Linotype" w:hAnsi="Palatino Linotype" w:cs="Palatino Linotype"/>
        </w:rPr>
        <w:t>no</w:t>
      </w:r>
      <w:r w:rsidRPr="00173989">
        <w:rPr>
          <w:rFonts w:ascii="Palatino Linotype" w:eastAsia="Palatino Linotype" w:hAnsi="Palatino Linotype" w:cs="Palatino Linotype"/>
          <w:color w:val="000000"/>
        </w:rPr>
        <w:t xml:space="preserve"> fue entregada dentro del plazo previsto, lo cierto es que, los links proporcionados </w:t>
      </w:r>
      <w:r w:rsidRPr="00173989">
        <w:rPr>
          <w:rFonts w:ascii="Palatino Linotype" w:eastAsia="Palatino Linotype" w:hAnsi="Palatino Linotype" w:cs="Palatino Linotype"/>
          <w:b/>
          <w:color w:val="000000"/>
        </w:rPr>
        <w:t>sí conducen de forma precisa y concreta a la información solicitada</w:t>
      </w:r>
      <w:r w:rsidRPr="00173989">
        <w:rPr>
          <w:rFonts w:ascii="Palatino Linotype" w:eastAsia="Palatino Linotype" w:hAnsi="Palatino Linotype" w:cs="Palatino Linotype"/>
          <w:color w:val="000000"/>
        </w:rPr>
        <w:t>, toda vez que no implican que el solicitante realice una búsqueda en toda la información que se encuentre disponible para localizar su información.</w:t>
      </w:r>
    </w:p>
    <w:p w14:paraId="2D24E156" w14:textId="77777777" w:rsidR="007D107A" w:rsidRPr="00173989" w:rsidRDefault="007D107A" w:rsidP="007D107A">
      <w:pPr>
        <w:tabs>
          <w:tab w:val="left" w:pos="426"/>
          <w:tab w:val="left" w:pos="567"/>
        </w:tabs>
        <w:spacing w:line="360" w:lineRule="auto"/>
        <w:jc w:val="both"/>
        <w:rPr>
          <w:rFonts w:ascii="Palatino Linotype" w:eastAsia="Palatino Linotype" w:hAnsi="Palatino Linotype" w:cs="Palatino Linotype"/>
          <w:color w:val="000000"/>
        </w:rPr>
      </w:pPr>
    </w:p>
    <w:p w14:paraId="7AE5706A" w14:textId="77777777" w:rsidR="007D107A" w:rsidRPr="00173989" w:rsidRDefault="007D107A" w:rsidP="007D107A">
      <w:pPr>
        <w:spacing w:line="360" w:lineRule="auto"/>
        <w:jc w:val="both"/>
        <w:rPr>
          <w:rFonts w:ascii="Palatino Linotype" w:eastAsia="Palatino Linotype" w:hAnsi="Palatino Linotype" w:cs="Palatino Linotype"/>
          <w:color w:val="222222"/>
        </w:rPr>
      </w:pPr>
      <w:r w:rsidRPr="00173989">
        <w:rPr>
          <w:rFonts w:ascii="Palatino Linotype" w:eastAsia="Palatino Linotype" w:hAnsi="Palatino Linotype" w:cs="Palatino Linotype"/>
          <w:color w:val="222222"/>
        </w:rPr>
        <w:t>Ahora bien, a decir de la Unidad de Transparencia refiere que fue la Dirección General de Administración a través del Servidor Público Habilitado quien se pronunció al respecto de la información solicitada.</w:t>
      </w:r>
    </w:p>
    <w:p w14:paraId="4F1679FC"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p>
    <w:p w14:paraId="2C528C8B" w14:textId="77777777" w:rsidR="007D107A" w:rsidRPr="00173989" w:rsidRDefault="007D107A" w:rsidP="007D107A">
      <w:pPr>
        <w:spacing w:line="360" w:lineRule="auto"/>
        <w:ind w:right="49"/>
        <w:jc w:val="both"/>
        <w:rPr>
          <w:rFonts w:ascii="Palatino Linotype" w:eastAsia="Palatino Linotype" w:hAnsi="Palatino Linotype" w:cs="Palatino Linotype"/>
          <w:color w:val="222222"/>
        </w:rPr>
      </w:pPr>
      <w:r w:rsidRPr="00173989">
        <w:rPr>
          <w:rFonts w:ascii="Palatino Linotype" w:eastAsia="Palatino Linotype" w:hAnsi="Palatino Linotype" w:cs="Palatino Linotype"/>
          <w:color w:val="222222"/>
        </w:rPr>
        <w:t>Cabe señalar que de conformidad con el Código Reglamentario Municipal de Toluca 2023, la Dirección General de Administración cuenta con las siguientes atribuciones:</w:t>
      </w:r>
    </w:p>
    <w:p w14:paraId="75E67BB9" w14:textId="77777777" w:rsidR="007D107A" w:rsidRPr="00173989" w:rsidRDefault="007D107A" w:rsidP="007D107A">
      <w:pPr>
        <w:spacing w:line="360" w:lineRule="auto"/>
        <w:ind w:right="49"/>
        <w:jc w:val="both"/>
        <w:rPr>
          <w:rFonts w:ascii="Palatino Linotype" w:eastAsia="Palatino Linotype" w:hAnsi="Palatino Linotype" w:cs="Palatino Linotype"/>
          <w:color w:val="222222"/>
        </w:rPr>
      </w:pPr>
    </w:p>
    <w:p w14:paraId="26255022"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b/>
          <w:i/>
          <w:color w:val="222222"/>
          <w:sz w:val="22"/>
          <w:szCs w:val="22"/>
        </w:rPr>
        <w:t>Artículo 3.40.</w:t>
      </w:r>
      <w:r w:rsidRPr="00173989">
        <w:rPr>
          <w:rFonts w:ascii="Palatino Linotype" w:eastAsia="Palatino Linotype" w:hAnsi="Palatino Linotype" w:cs="Palatino Linotype"/>
          <w:i/>
          <w:color w:val="222222"/>
          <w:sz w:val="22"/>
          <w:szCs w:val="22"/>
        </w:rPr>
        <w:t xml:space="preserve"> La o el titular de la Dirección General de Administración, tiene las siguientes atribuciones: </w:t>
      </w:r>
    </w:p>
    <w:p w14:paraId="007FFFCC"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I. Coordinar y dirigir los sistemas de reclutamiento, selección, contratación e inducción y desarrollo de personal; </w:t>
      </w:r>
    </w:p>
    <w:p w14:paraId="4984E79C"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II. Verificar que se cumplan las disposiciones en materia de trabajo, seguridad e higiene laboral, así como las del Código Reglamentario, </w:t>
      </w:r>
      <w:r w:rsidRPr="00173989">
        <w:rPr>
          <w:rFonts w:ascii="Palatino Linotype" w:eastAsia="Palatino Linotype" w:hAnsi="Palatino Linotype" w:cs="Palatino Linotype"/>
          <w:b/>
          <w:i/>
          <w:color w:val="222222"/>
          <w:sz w:val="22"/>
          <w:szCs w:val="22"/>
        </w:rPr>
        <w:t xml:space="preserve">respecto de los derechos y obligaciones del personal; </w:t>
      </w:r>
    </w:p>
    <w:p w14:paraId="0AB635DA"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III. Autorizar las </w:t>
      </w:r>
      <w:r w:rsidRPr="00173989">
        <w:rPr>
          <w:rFonts w:ascii="Palatino Linotype" w:eastAsia="Palatino Linotype" w:hAnsi="Palatino Linotype" w:cs="Palatino Linotype"/>
          <w:b/>
          <w:i/>
          <w:color w:val="222222"/>
          <w:sz w:val="22"/>
          <w:szCs w:val="22"/>
        </w:rPr>
        <w:t>altas, bajas, cambios</w:t>
      </w:r>
      <w:r w:rsidRPr="00173989">
        <w:rPr>
          <w:rFonts w:ascii="Palatino Linotype" w:eastAsia="Palatino Linotype" w:hAnsi="Palatino Linotype" w:cs="Palatino Linotype"/>
          <w:i/>
          <w:color w:val="222222"/>
          <w:sz w:val="22"/>
          <w:szCs w:val="22"/>
        </w:rPr>
        <w:t xml:space="preserve">, permisos, licencias, comisiones del personal, entre otras, para su trámite y efectos; </w:t>
      </w:r>
    </w:p>
    <w:p w14:paraId="0B3C9389"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IV. Autorizar la elaboración y distribución oportuna de la nómina al personal que labora en el Ayuntamiento, apegándose a la normatividad en la materia y al presupuesto autorizado; </w:t>
      </w:r>
    </w:p>
    <w:p w14:paraId="2DF4B01C"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p>
    <w:p w14:paraId="1F14E4A3"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b/>
          <w:i/>
          <w:color w:val="222222"/>
          <w:sz w:val="22"/>
          <w:szCs w:val="22"/>
        </w:rPr>
        <w:t>Artículo 3.41.</w:t>
      </w:r>
      <w:r w:rsidRPr="00173989">
        <w:rPr>
          <w:rFonts w:ascii="Palatino Linotype" w:eastAsia="Palatino Linotype" w:hAnsi="Palatino Linotype" w:cs="Palatino Linotype"/>
          <w:i/>
          <w:color w:val="222222"/>
          <w:sz w:val="22"/>
          <w:szCs w:val="22"/>
        </w:rPr>
        <w:t xml:space="preserve"> La Dirección General de Administración, para el cumplimiento de sus atribuciones, se auxiliará de la </w:t>
      </w:r>
      <w:r w:rsidRPr="00173989">
        <w:rPr>
          <w:rFonts w:ascii="Palatino Linotype" w:eastAsia="Palatino Linotype" w:hAnsi="Palatino Linotype" w:cs="Palatino Linotype"/>
          <w:b/>
          <w:i/>
          <w:color w:val="222222"/>
          <w:sz w:val="22"/>
          <w:szCs w:val="22"/>
        </w:rPr>
        <w:t>Dirección de Recursos Human</w:t>
      </w:r>
      <w:r w:rsidRPr="00173989">
        <w:rPr>
          <w:rFonts w:ascii="Palatino Linotype" w:eastAsia="Palatino Linotype" w:hAnsi="Palatino Linotype" w:cs="Palatino Linotype"/>
          <w:i/>
          <w:color w:val="222222"/>
          <w:sz w:val="22"/>
          <w:szCs w:val="22"/>
        </w:rPr>
        <w:t xml:space="preserve">os, de la </w:t>
      </w:r>
      <w:r w:rsidRPr="00173989">
        <w:rPr>
          <w:rFonts w:ascii="Palatino Linotype" w:eastAsia="Palatino Linotype" w:hAnsi="Palatino Linotype" w:cs="Palatino Linotype"/>
          <w:i/>
          <w:color w:val="222222"/>
          <w:sz w:val="22"/>
          <w:szCs w:val="22"/>
        </w:rPr>
        <w:lastRenderedPageBreak/>
        <w:t xml:space="preserve">Dirección de Recursos Materiales, de la Dirección de Servicios Generales y de la Dirección de Tecnologías de la Información y Gobierno Digital. </w:t>
      </w:r>
    </w:p>
    <w:p w14:paraId="7F93F91C"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p>
    <w:p w14:paraId="6AC89457"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SUBSECCIÓN PRIMERA DE LA DIRECCIÓN DE RECURSOS HUMANOS </w:t>
      </w:r>
    </w:p>
    <w:p w14:paraId="2BEFC079" w14:textId="77777777" w:rsidR="007D107A" w:rsidRPr="00173989" w:rsidRDefault="007D107A" w:rsidP="007D107A">
      <w:pPr>
        <w:ind w:left="851" w:right="899"/>
        <w:jc w:val="both"/>
        <w:rPr>
          <w:rFonts w:ascii="Palatino Linotype" w:eastAsia="Palatino Linotype" w:hAnsi="Palatino Linotype" w:cs="Palatino Linotype"/>
          <w:b/>
          <w:i/>
          <w:color w:val="222222"/>
          <w:sz w:val="22"/>
          <w:szCs w:val="22"/>
        </w:rPr>
      </w:pPr>
      <w:r w:rsidRPr="00173989">
        <w:rPr>
          <w:rFonts w:ascii="Palatino Linotype" w:eastAsia="Palatino Linotype" w:hAnsi="Palatino Linotype" w:cs="Palatino Linotype"/>
          <w:b/>
          <w:i/>
          <w:color w:val="222222"/>
          <w:sz w:val="22"/>
          <w:szCs w:val="22"/>
        </w:rPr>
        <w:t xml:space="preserve">Artículo 3.42. La o el titular de la Dirección de Recursos Humanos cuenta con las siguientes atribuciones: </w:t>
      </w:r>
    </w:p>
    <w:p w14:paraId="27B7A6F8"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I. Elaborar, operar y mejorar los procedimientos administrativos de control para la selección, reclutamiento, contratación, escalafón, capacitación, retiro, sanción, comisión y desarrollo del personal al servicio del Municipio; </w:t>
      </w:r>
    </w:p>
    <w:p w14:paraId="4B8D36BC"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II. Vigilar que se cumplan las disposiciones en materia de trabajo, seguridad, higiene, así como las demás normas aplicables a la institución respecto de los derechos y obligaciones del personal;</w:t>
      </w:r>
    </w:p>
    <w:p w14:paraId="03799E72"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 III. Garantizar que no se soliciten pruebas de no gravidez o VIH como condicionantes para la contratación; </w:t>
      </w:r>
    </w:p>
    <w:p w14:paraId="6BC02E37"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IV. Aplicar las disposiciones legales laborales que rigen al personal del Ayuntamiento; </w:t>
      </w:r>
    </w:p>
    <w:p w14:paraId="46B9D3AA"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V. Registrar las altas, reingresos, bajas, cambios de categoría y adscripción, permisos y licencias por incapacidad, entre otras, del personal, y su correcta aplicación; </w:t>
      </w:r>
    </w:p>
    <w:p w14:paraId="61F9F8F2"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VI. Coadyuvar con la Tesorería en la elaboración y distribución oportuna de la nómina para el pago al personal que labora en el Ayuntamiento, apegándose al presupuesto autorizado y aplicar los descuentos procedentes; así como en lo relativo a las determinaciones de los impuestos y la emisión de los CFDI correspondientes una vez realizado el pago; </w:t>
      </w:r>
    </w:p>
    <w:p w14:paraId="4DD05419"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VII. Elaborar programas de capacitación, adiestramiento y desarrollo del personal con el objeto de profesionalizar a los servidores públicos conforme a las necesidades institucionales y a las del mismo personal; </w:t>
      </w:r>
    </w:p>
    <w:p w14:paraId="4C372A68"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 xml:space="preserve">VIII. Verificar el cumplimento de las cláusulas establecidas en los convenios sindicales suscritos con el gobierno municipal, así como de las condiciones generales de trabajo del personal sindicalizado; y </w:t>
      </w:r>
    </w:p>
    <w:p w14:paraId="7B62C420" w14:textId="77777777" w:rsidR="007D107A" w:rsidRPr="00173989" w:rsidRDefault="007D107A" w:rsidP="007D107A">
      <w:pPr>
        <w:ind w:left="851" w:right="899"/>
        <w:jc w:val="both"/>
        <w:rPr>
          <w:rFonts w:ascii="Palatino Linotype" w:eastAsia="Palatino Linotype" w:hAnsi="Palatino Linotype" w:cs="Palatino Linotype"/>
          <w:i/>
          <w:color w:val="222222"/>
          <w:sz w:val="22"/>
          <w:szCs w:val="22"/>
        </w:rPr>
      </w:pPr>
      <w:r w:rsidRPr="00173989">
        <w:rPr>
          <w:rFonts w:ascii="Palatino Linotype" w:eastAsia="Palatino Linotype" w:hAnsi="Palatino Linotype" w:cs="Palatino Linotype"/>
          <w:i/>
          <w:color w:val="222222"/>
          <w:sz w:val="22"/>
          <w:szCs w:val="22"/>
        </w:rPr>
        <w:t>IX. Las demás que le asignen otros ordenamientos, el presidente municipal y la o el Director General de Administración.</w:t>
      </w:r>
    </w:p>
    <w:p w14:paraId="170AF27E" w14:textId="77777777" w:rsidR="007D107A" w:rsidRPr="00173989" w:rsidRDefault="007D107A" w:rsidP="007D107A">
      <w:pPr>
        <w:spacing w:line="360" w:lineRule="auto"/>
        <w:jc w:val="both"/>
        <w:rPr>
          <w:rFonts w:ascii="Palatino Linotype" w:eastAsia="Palatino Linotype" w:hAnsi="Palatino Linotype" w:cs="Palatino Linotype"/>
          <w:color w:val="222222"/>
        </w:rPr>
      </w:pPr>
    </w:p>
    <w:p w14:paraId="1A0590C9" w14:textId="77777777" w:rsidR="007D107A" w:rsidRPr="00173989" w:rsidRDefault="007D107A" w:rsidP="007D107A">
      <w:pPr>
        <w:spacing w:line="360" w:lineRule="auto"/>
        <w:jc w:val="both"/>
        <w:rPr>
          <w:rFonts w:ascii="Palatino Linotype" w:eastAsia="Palatino Linotype" w:hAnsi="Palatino Linotype" w:cs="Palatino Linotype"/>
          <w:color w:val="222222"/>
        </w:rPr>
      </w:pPr>
      <w:r w:rsidRPr="00173989">
        <w:rPr>
          <w:rFonts w:ascii="Palatino Linotype" w:eastAsia="Palatino Linotype" w:hAnsi="Palatino Linotype" w:cs="Palatino Linotype"/>
          <w:color w:val="222222"/>
        </w:rPr>
        <w:t>Atendiendo a las atribuciones de la Dirección de Administración, se considera que la solicitud de información fue atendida por el área correspondiente.</w:t>
      </w:r>
    </w:p>
    <w:p w14:paraId="62902DA8" w14:textId="77777777" w:rsidR="007D107A" w:rsidRPr="00173989" w:rsidRDefault="007D107A" w:rsidP="007D107A">
      <w:pPr>
        <w:spacing w:line="360" w:lineRule="auto"/>
        <w:jc w:val="both"/>
        <w:rPr>
          <w:rFonts w:ascii="Palatino Linotype" w:eastAsia="Palatino Linotype" w:hAnsi="Palatino Linotype" w:cs="Palatino Linotype"/>
          <w:color w:val="222222"/>
        </w:rPr>
      </w:pPr>
    </w:p>
    <w:p w14:paraId="5034808A" w14:textId="77777777" w:rsidR="007D107A" w:rsidRPr="00173989" w:rsidRDefault="007D107A" w:rsidP="007D107A">
      <w:pPr>
        <w:spacing w:line="360" w:lineRule="auto"/>
        <w:jc w:val="both"/>
        <w:rPr>
          <w:rFonts w:ascii="Palatino Linotype" w:eastAsia="Calibri" w:hAnsi="Palatino Linotype" w:cs="Arial"/>
        </w:rPr>
      </w:pPr>
      <w:r w:rsidRPr="00173989">
        <w:rPr>
          <w:rFonts w:ascii="Palatino Linotype" w:eastAsia="Calibri" w:hAnsi="Palatino Linotype"/>
          <w:lang w:val="es-ES"/>
        </w:rPr>
        <w:lastRenderedPageBreak/>
        <w:t xml:space="preserve">Por otro lado, no se omite comentar que respecto las razones o motivos de inconformidad expresados por </w:t>
      </w:r>
      <w:r w:rsidRPr="00173989">
        <w:rPr>
          <w:rFonts w:ascii="Palatino Linotype" w:eastAsia="Calibri" w:hAnsi="Palatino Linotype"/>
          <w:b/>
          <w:lang w:val="es-ES"/>
        </w:rPr>
        <w:t xml:space="preserve">EL RECURRENTE </w:t>
      </w:r>
      <w:r w:rsidRPr="00173989">
        <w:rPr>
          <w:rFonts w:ascii="Palatino Linotype" w:eastAsia="Calibri" w:hAnsi="Palatino Linotype"/>
          <w:lang w:val="es-ES"/>
        </w:rPr>
        <w:t>consistentes en “</w:t>
      </w:r>
      <w:r w:rsidRPr="00173989">
        <w:rPr>
          <w:rFonts w:ascii="Palatino Linotype" w:eastAsia="Calibri" w:hAnsi="Palatino Linotype"/>
          <w:i/>
          <w:lang w:val="es-ES"/>
        </w:rPr>
        <w:t>…</w:t>
      </w:r>
      <w:r w:rsidRPr="00173989">
        <w:rPr>
          <w:rFonts w:ascii="Palatino Linotype" w:eastAsia="Palatino Linotype" w:hAnsi="Palatino Linotype" w:cs="Palatino Linotype"/>
          <w:i/>
          <w:color w:val="000000"/>
        </w:rPr>
        <w:t xml:space="preserve">me entregan un documento que no </w:t>
      </w:r>
      <w:proofErr w:type="spellStart"/>
      <w:r w:rsidRPr="00173989">
        <w:rPr>
          <w:rFonts w:ascii="Palatino Linotype" w:eastAsia="Palatino Linotype" w:hAnsi="Palatino Linotype" w:cs="Palatino Linotype"/>
          <w:i/>
          <w:color w:val="000000"/>
        </w:rPr>
        <w:t>esta</w:t>
      </w:r>
      <w:proofErr w:type="spellEnd"/>
      <w:r w:rsidRPr="00173989">
        <w:rPr>
          <w:rFonts w:ascii="Palatino Linotype" w:eastAsia="Palatino Linotype" w:hAnsi="Palatino Linotype" w:cs="Palatino Linotype"/>
          <w:i/>
          <w:color w:val="000000"/>
        </w:rPr>
        <w:t xml:space="preserve"> firmado por la titular de transparencia</w:t>
      </w:r>
      <w:r w:rsidRPr="00173989">
        <w:rPr>
          <w:rFonts w:ascii="Palatino Linotype" w:eastAsia="Calibri" w:hAnsi="Palatino Linotype"/>
          <w:i/>
          <w:lang w:val="es-ES"/>
        </w:rPr>
        <w:t xml:space="preserve">...” (sic); </w:t>
      </w:r>
      <w:r w:rsidRPr="00173989">
        <w:rPr>
          <w:rFonts w:ascii="Palatino Linotype" w:eastAsia="Calibri" w:hAnsi="Palatino Linotype"/>
          <w:lang w:val="es-ES"/>
        </w:rPr>
        <w:t xml:space="preserve">al respecto, </w:t>
      </w:r>
      <w:r w:rsidRPr="00173989">
        <w:rPr>
          <w:rFonts w:ascii="Palatino Linotype" w:hAnsi="Palatino Linotype" w:cs="Arial"/>
          <w:color w:val="000000" w:themeColor="text1"/>
        </w:rPr>
        <w:t xml:space="preserve">es necesario precisar que </w:t>
      </w:r>
      <w:r w:rsidRPr="00173989">
        <w:rPr>
          <w:rFonts w:ascii="Palatino Linotype" w:eastAsia="Calibri" w:hAnsi="Palatino Linotype" w:cs="Arial"/>
        </w:rPr>
        <w:t xml:space="preserve">las respuestas otorgadas mediante </w:t>
      </w:r>
      <w:r w:rsidRPr="00173989">
        <w:rPr>
          <w:rFonts w:ascii="Palatino Linotype" w:eastAsia="Arial Unicode MS" w:hAnsi="Palatino Linotype" w:cs="Arial"/>
          <w:b/>
        </w:rPr>
        <w:t>EL SAIMEX</w:t>
      </w:r>
      <w:r w:rsidRPr="00173989">
        <w:rPr>
          <w:rFonts w:ascii="Palatino Linotype" w:eastAsia="Calibri" w:hAnsi="Palatino Linotype" w:cs="Arial"/>
        </w:rPr>
        <w:t>, tienen plena validez sin necesidad de que contengan firma del Servidor Público que la emite o cualquier tipo de sello o membrete de la Dependencia, al ser dicha acción de respuesta un acto administrativo realizado por un Servidor Público en ejercicio de sus funciones de derecho público.</w:t>
      </w:r>
    </w:p>
    <w:p w14:paraId="0934074D" w14:textId="77777777" w:rsidR="007D107A" w:rsidRPr="00173989" w:rsidRDefault="007D107A" w:rsidP="007D107A">
      <w:pPr>
        <w:spacing w:line="360" w:lineRule="auto"/>
        <w:jc w:val="both"/>
        <w:rPr>
          <w:rFonts w:ascii="Palatino Linotype" w:eastAsia="Calibri" w:hAnsi="Palatino Linotype" w:cs="Arial"/>
        </w:rPr>
      </w:pPr>
    </w:p>
    <w:p w14:paraId="2C08CE4B" w14:textId="77777777" w:rsidR="007D107A" w:rsidRPr="00173989" w:rsidRDefault="007D107A" w:rsidP="007D107A">
      <w:pPr>
        <w:spacing w:line="360" w:lineRule="auto"/>
        <w:jc w:val="both"/>
        <w:rPr>
          <w:rFonts w:ascii="Palatino Linotype" w:eastAsia="Arial Unicode MS" w:hAnsi="Palatino Linotype" w:cs="Arial"/>
        </w:rPr>
      </w:pPr>
      <w:r w:rsidRPr="00173989">
        <w:rPr>
          <w:rFonts w:ascii="Palatino Linotype" w:hAnsi="Palatino Linotype" w:cs="Arial"/>
        </w:rPr>
        <w:t xml:space="preserve">Lo anterior encuentra sustento en el Criterio 7/09 del </w:t>
      </w:r>
      <w:r w:rsidRPr="00173989">
        <w:rPr>
          <w:rFonts w:ascii="Palatino Linotype" w:eastAsia="Arial Unicode MS" w:hAnsi="Palatino Linotype" w:cs="Arial"/>
        </w:rPr>
        <w:t xml:space="preserve">Pleno del </w:t>
      </w:r>
      <w:r w:rsidRPr="00173989">
        <w:rPr>
          <w:rFonts w:ascii="Palatino Linotype" w:eastAsia="Arial Unicode MS" w:hAnsi="Palatino Linotype" w:cs="Arial"/>
          <w:bCs/>
        </w:rPr>
        <w:t xml:space="preserve">Instituto Federal de Acceso a la Información y Protección de Datos, </w:t>
      </w:r>
      <w:r w:rsidRPr="00173989">
        <w:rPr>
          <w:rFonts w:ascii="Palatino Linotype" w:eastAsia="Arial Unicode MS" w:hAnsi="Palatino Linotype" w:cs="Arial"/>
        </w:rPr>
        <w:t>ahora Instituto Nacional de Transparencia, Acceso a la Información y Protección de Datos Personales, que literalmente establece:</w:t>
      </w:r>
    </w:p>
    <w:p w14:paraId="68DEEB5C" w14:textId="77777777" w:rsidR="007D107A" w:rsidRPr="00173989" w:rsidRDefault="007D107A" w:rsidP="007D107A">
      <w:pPr>
        <w:jc w:val="both"/>
        <w:rPr>
          <w:rFonts w:ascii="Palatino Linotype" w:eastAsia="Calibri" w:hAnsi="Palatino Linotype" w:cs="Arial"/>
        </w:rPr>
      </w:pPr>
    </w:p>
    <w:p w14:paraId="4AF819A3" w14:textId="77777777" w:rsidR="007D107A" w:rsidRPr="00173989" w:rsidRDefault="007D107A" w:rsidP="007D107A">
      <w:pPr>
        <w:ind w:left="851" w:right="900"/>
        <w:jc w:val="both"/>
        <w:rPr>
          <w:rFonts w:ascii="Palatino Linotype" w:eastAsia="Calibri" w:hAnsi="Palatino Linotype" w:cs="Arial"/>
          <w:b/>
          <w:i/>
          <w:sz w:val="22"/>
          <w:szCs w:val="22"/>
        </w:rPr>
      </w:pPr>
      <w:r w:rsidRPr="00173989">
        <w:rPr>
          <w:rFonts w:ascii="Palatino Linotype" w:hAnsi="Palatino Linotype"/>
          <w:b/>
          <w:i/>
          <w:sz w:val="22"/>
          <w:szCs w:val="22"/>
        </w:rPr>
        <w:t>“</w:t>
      </w:r>
      <w:r w:rsidRPr="00173989">
        <w:rPr>
          <w:rFonts w:ascii="Palatino Linotype" w:hAnsi="Palatino Linotype"/>
          <w:i/>
          <w:sz w:val="22"/>
          <w:szCs w:val="22"/>
        </w:rPr>
        <w:t xml:space="preserve">Los documentos sin firma o membrete emitidos y/o notificados por las Unidades de Enlace de las dependencias o entidades son válidos en el ámbito de la Ley Federal de Transparencia y Acceso a la Información Pública Gubernamental cuando se proporcionan a través del sistema </w:t>
      </w:r>
      <w:proofErr w:type="spellStart"/>
      <w:r w:rsidRPr="00173989">
        <w:rPr>
          <w:rFonts w:ascii="Palatino Linotype" w:hAnsi="Palatino Linotype"/>
          <w:i/>
          <w:sz w:val="22"/>
          <w:szCs w:val="22"/>
        </w:rPr>
        <w:t>Infomex</w:t>
      </w:r>
      <w:proofErr w:type="spellEnd"/>
      <w:r w:rsidRPr="00173989">
        <w:rPr>
          <w:rFonts w:ascii="Palatino Linotype" w:hAnsi="Palatino Linotype"/>
          <w:i/>
          <w:sz w:val="22"/>
          <w:szCs w:val="22"/>
        </w:rPr>
        <w:t xml:space="preserve">. La validez de las respuestas de las dependencias y entidades es intrínseca al uso del sistema </w:t>
      </w:r>
      <w:proofErr w:type="spellStart"/>
      <w:r w:rsidRPr="00173989">
        <w:rPr>
          <w:rFonts w:ascii="Palatino Linotype" w:hAnsi="Palatino Linotype"/>
          <w:i/>
          <w:sz w:val="22"/>
          <w:szCs w:val="22"/>
        </w:rPr>
        <w:t>Infomex</w:t>
      </w:r>
      <w:proofErr w:type="spellEnd"/>
      <w:r w:rsidRPr="00173989">
        <w:rPr>
          <w:rFonts w:ascii="Palatino Linotype" w:hAnsi="Palatino Linotype"/>
          <w:i/>
          <w:sz w:val="22"/>
          <w:szCs w:val="22"/>
        </w:rPr>
        <w:t xml:space="preserve">, ya que al presentar el particular su solicitud por este medio electrónico, acepta que se le hagan las notificaciones por el mismo sistema, lo que incluye la respuesta. Lo anterior, de conformidad con lo señalado en el artículo 68, antepenúltimo párrafo del Reglamento de la Ley Federal de Transparencia y Acceso a la Información Pública Gubernamental, el cual establece que cuando el particular presente su solicitud de información por medios electrónicos a través del sistema que establezca el Instituto, se entenderá que acepta que las notificaciones, incluyendo la respuesta, le sean efectuadas por dicho sistema. Asimismo, la Ley Federal de Transparencia y Acceso a la Información Pública Gubernamental y demás marco normativo aplicable no establece la obligación de que las dependencias y entidades, al dar respuesta a una solicitud de acceso, deban emitirlas en papel membretado o firmado por servidor </w:t>
      </w:r>
      <w:r w:rsidRPr="00173989">
        <w:rPr>
          <w:rFonts w:ascii="Palatino Linotype" w:hAnsi="Palatino Linotype"/>
          <w:i/>
          <w:sz w:val="22"/>
          <w:szCs w:val="22"/>
        </w:rPr>
        <w:lastRenderedPageBreak/>
        <w:t>público alguno, toda vez que dicha respuesta se entiende emitida y/o notificada por la Unidad de Enlace de la dependencia o entidad a la que el particular remitió su solicitud. Lo anterior, tiene fundamento en el artículo 41 de la Ley Federal de Transparencia y Acceso a la Información Pública Gubernamental.</w:t>
      </w:r>
      <w:r w:rsidRPr="00173989">
        <w:rPr>
          <w:rFonts w:ascii="Palatino Linotype" w:hAnsi="Palatino Linotype"/>
          <w:b/>
          <w:i/>
          <w:sz w:val="22"/>
          <w:szCs w:val="22"/>
        </w:rPr>
        <w:t>”</w:t>
      </w:r>
    </w:p>
    <w:p w14:paraId="2AFC6DAA" w14:textId="77777777" w:rsidR="007D107A" w:rsidRPr="00173989" w:rsidRDefault="007D107A" w:rsidP="007D107A">
      <w:pPr>
        <w:spacing w:line="360" w:lineRule="auto"/>
        <w:jc w:val="both"/>
        <w:rPr>
          <w:rFonts w:ascii="Palatino Linotype" w:eastAsia="Palatino Linotype" w:hAnsi="Palatino Linotype" w:cs="Palatino Linotype"/>
          <w:color w:val="222222"/>
        </w:rPr>
      </w:pPr>
    </w:p>
    <w:p w14:paraId="3107D85E" w14:textId="77777777" w:rsidR="007D107A" w:rsidRPr="00173989" w:rsidRDefault="007D107A" w:rsidP="007D107A">
      <w:pPr>
        <w:widowControl w:val="0"/>
        <w:tabs>
          <w:tab w:val="left" w:pos="1701"/>
          <w:tab w:val="left" w:pos="1843"/>
        </w:tabs>
        <w:spacing w:line="360" w:lineRule="auto"/>
        <w:jc w:val="both"/>
        <w:rPr>
          <w:rFonts w:ascii="Palatino Linotype" w:eastAsia="Palatino Linotype" w:hAnsi="Palatino Linotype" w:cs="Palatino Linotype"/>
          <w:color w:val="000000"/>
        </w:rPr>
      </w:pPr>
      <w:r w:rsidRPr="00173989">
        <w:rPr>
          <w:rFonts w:ascii="Palatino Linotype" w:eastAsia="Palatino Linotype" w:hAnsi="Palatino Linotype" w:cs="Palatino Linotype"/>
          <w:color w:val="000000"/>
        </w:rPr>
        <w:t xml:space="preserve">En razón de lo anteriormente expuesto, este Instituto estima que las razones o motivos de inconformidad hechos valer por </w:t>
      </w:r>
      <w:r w:rsidRPr="00173989">
        <w:rPr>
          <w:rFonts w:ascii="Palatino Linotype" w:eastAsia="Palatino Linotype" w:hAnsi="Palatino Linotype" w:cs="Palatino Linotype"/>
          <w:b/>
          <w:color w:val="000000"/>
        </w:rPr>
        <w:t>EL RECURRENTE</w:t>
      </w:r>
      <w:r w:rsidRPr="00173989">
        <w:rPr>
          <w:rFonts w:ascii="Palatino Linotype" w:eastAsia="Palatino Linotype" w:hAnsi="Palatino Linotype" w:cs="Palatino Linotype"/>
          <w:color w:val="000000"/>
        </w:rPr>
        <w:t xml:space="preserve"> devienen </w:t>
      </w:r>
      <w:r w:rsidRPr="00173989">
        <w:rPr>
          <w:rFonts w:ascii="Palatino Linotype" w:eastAsia="Palatino Linotype" w:hAnsi="Palatino Linotype" w:cs="Palatino Linotype"/>
          <w:b/>
          <w:color w:val="000000"/>
        </w:rPr>
        <w:t>infundadas</w:t>
      </w:r>
      <w:r w:rsidRPr="00173989">
        <w:rPr>
          <w:rFonts w:ascii="Palatino Linotype" w:eastAsia="Palatino Linotype" w:hAnsi="Palatino Linotype" w:cs="Palatino Linotype"/>
          <w:color w:val="000000"/>
        </w:rPr>
        <w:t xml:space="preserve"> y por tanto, se </w:t>
      </w:r>
      <w:r w:rsidRPr="00173989">
        <w:rPr>
          <w:rFonts w:ascii="Palatino Linotype" w:eastAsia="Palatino Linotype" w:hAnsi="Palatino Linotype" w:cs="Palatino Linotype"/>
          <w:b/>
          <w:color w:val="000000"/>
        </w:rPr>
        <w:t>CONFIRMA</w:t>
      </w:r>
      <w:r w:rsidRPr="00173989">
        <w:rPr>
          <w:rFonts w:ascii="Palatino Linotype" w:eastAsia="Palatino Linotype" w:hAnsi="Palatino Linotype" w:cs="Palatino Linotype"/>
          <w:color w:val="000000"/>
        </w:rPr>
        <w:t xml:space="preserve"> la respuesta del </w:t>
      </w:r>
      <w:r w:rsidRPr="00173989">
        <w:rPr>
          <w:rFonts w:ascii="Palatino Linotype" w:eastAsia="Palatino Linotype" w:hAnsi="Palatino Linotype" w:cs="Palatino Linotype"/>
          <w:b/>
          <w:color w:val="000000"/>
        </w:rPr>
        <w:t>SUJETO OBLIGADO</w:t>
      </w:r>
      <w:r w:rsidRPr="00173989">
        <w:rPr>
          <w:rFonts w:ascii="Palatino Linotype" w:eastAsia="Palatino Linotype" w:hAnsi="Palatino Linotype" w:cs="Palatino Linotype"/>
          <w:color w:val="000000"/>
        </w:rPr>
        <w:t xml:space="preserve"> en términos del presente Considerando.</w:t>
      </w:r>
    </w:p>
    <w:p w14:paraId="15045E2D" w14:textId="77777777" w:rsidR="00B2396D" w:rsidRPr="00173989" w:rsidRDefault="00B2396D">
      <w:pPr>
        <w:spacing w:line="360" w:lineRule="auto"/>
        <w:jc w:val="both"/>
        <w:rPr>
          <w:rFonts w:ascii="Palatino Linotype" w:eastAsia="Palatino Linotype" w:hAnsi="Palatino Linotype" w:cs="Palatino Linotype"/>
        </w:rPr>
      </w:pPr>
    </w:p>
    <w:p w14:paraId="639D9786" w14:textId="39C688F0" w:rsidR="00B2396D" w:rsidRPr="00173989" w:rsidRDefault="00925FEF">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Así, con fundamento en lo prescrito en los artículos 5, párrafo trigésimo segundo, trigésimo tercero y trigésimo cuarto, y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2FCACBD8" w14:textId="77777777" w:rsidR="00B2396D" w:rsidRPr="00173989" w:rsidRDefault="00B2396D">
      <w:pPr>
        <w:rPr>
          <w:rFonts w:ascii="Palatino Linotype" w:eastAsia="Palatino Linotype" w:hAnsi="Palatino Linotype" w:cs="Palatino Linotype"/>
          <w:b/>
          <w:sz w:val="26"/>
          <w:szCs w:val="26"/>
        </w:rPr>
      </w:pPr>
    </w:p>
    <w:p w14:paraId="11FAE0FB" w14:textId="77777777" w:rsidR="00B2396D" w:rsidRPr="00173989" w:rsidRDefault="00925FEF">
      <w:pPr>
        <w:spacing w:line="276" w:lineRule="auto"/>
        <w:jc w:val="center"/>
        <w:rPr>
          <w:rFonts w:ascii="Palatino Linotype" w:eastAsia="Palatino Linotype" w:hAnsi="Palatino Linotype" w:cs="Palatino Linotype"/>
          <w:b/>
          <w:color w:val="000000"/>
          <w:sz w:val="28"/>
          <w:szCs w:val="28"/>
        </w:rPr>
      </w:pPr>
      <w:r w:rsidRPr="00173989">
        <w:rPr>
          <w:rFonts w:ascii="Palatino Linotype" w:eastAsia="Palatino Linotype" w:hAnsi="Palatino Linotype" w:cs="Palatino Linotype"/>
          <w:b/>
          <w:color w:val="000000"/>
          <w:sz w:val="28"/>
          <w:szCs w:val="28"/>
        </w:rPr>
        <w:t>R E S U E L V E</w:t>
      </w:r>
    </w:p>
    <w:p w14:paraId="6095C9E9" w14:textId="77777777" w:rsidR="00B2396D" w:rsidRPr="00173989" w:rsidRDefault="00B2396D">
      <w:pPr>
        <w:ind w:right="49"/>
        <w:jc w:val="both"/>
        <w:rPr>
          <w:rFonts w:ascii="Palatino Linotype" w:eastAsia="Palatino Linotype" w:hAnsi="Palatino Linotype" w:cs="Palatino Linotype"/>
          <w:b/>
        </w:rPr>
      </w:pPr>
    </w:p>
    <w:p w14:paraId="6D6FC97B" w14:textId="77777777" w:rsidR="00B2396D" w:rsidRPr="00173989" w:rsidRDefault="00925FEF" w:rsidP="007D107A">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b/>
          <w:sz w:val="28"/>
          <w:szCs w:val="28"/>
        </w:rPr>
        <w:t>PRIMERO</w:t>
      </w:r>
      <w:r w:rsidRPr="00173989">
        <w:rPr>
          <w:rFonts w:ascii="Palatino Linotype" w:eastAsia="Palatino Linotype" w:hAnsi="Palatino Linotype" w:cs="Palatino Linotype"/>
          <w:b/>
        </w:rPr>
        <w:t xml:space="preserve">. </w:t>
      </w:r>
      <w:r w:rsidRPr="00173989">
        <w:rPr>
          <w:rFonts w:ascii="Palatino Linotype" w:eastAsia="Palatino Linotype" w:hAnsi="Palatino Linotype" w:cs="Palatino Linotype"/>
        </w:rPr>
        <w:t xml:space="preserve">Resultan </w:t>
      </w:r>
      <w:r w:rsidR="007D107A" w:rsidRPr="00173989">
        <w:rPr>
          <w:rFonts w:ascii="Palatino Linotype" w:eastAsia="Palatino Linotype" w:hAnsi="Palatino Linotype" w:cs="Palatino Linotype"/>
          <w:b/>
        </w:rPr>
        <w:t>in</w:t>
      </w:r>
      <w:r w:rsidRPr="00173989">
        <w:rPr>
          <w:rFonts w:ascii="Palatino Linotype" w:eastAsia="Palatino Linotype" w:hAnsi="Palatino Linotype" w:cs="Palatino Linotype"/>
          <w:b/>
        </w:rPr>
        <w:t>fundadas</w:t>
      </w:r>
      <w:r w:rsidRPr="00173989">
        <w:rPr>
          <w:rFonts w:ascii="Palatino Linotype" w:eastAsia="Palatino Linotype" w:hAnsi="Palatino Linotype" w:cs="Palatino Linotype"/>
        </w:rPr>
        <w:t xml:space="preserve"> las razones o motivos de inconformidad planteadas por </w:t>
      </w:r>
      <w:r w:rsidRPr="00173989">
        <w:rPr>
          <w:rFonts w:ascii="Palatino Linotype" w:eastAsia="Palatino Linotype" w:hAnsi="Palatino Linotype" w:cs="Palatino Linotype"/>
          <w:b/>
        </w:rPr>
        <w:t>LA RECURRENTE</w:t>
      </w:r>
      <w:r w:rsidRPr="00173989">
        <w:rPr>
          <w:rFonts w:ascii="Palatino Linotype" w:eastAsia="Palatino Linotype" w:hAnsi="Palatino Linotype" w:cs="Palatino Linotype"/>
        </w:rPr>
        <w:t xml:space="preserve">, en términos del Considerando </w:t>
      </w:r>
      <w:r w:rsidRPr="00173989">
        <w:rPr>
          <w:rFonts w:ascii="Palatino Linotype" w:eastAsia="Palatino Linotype" w:hAnsi="Palatino Linotype" w:cs="Palatino Linotype"/>
          <w:b/>
        </w:rPr>
        <w:t>CUARTO</w:t>
      </w:r>
      <w:r w:rsidRPr="00173989">
        <w:rPr>
          <w:rFonts w:ascii="Palatino Linotype" w:eastAsia="Palatino Linotype" w:hAnsi="Palatino Linotype" w:cs="Palatino Linotype"/>
        </w:rPr>
        <w:t xml:space="preserve"> de la presente resolución.</w:t>
      </w:r>
    </w:p>
    <w:p w14:paraId="74916BB7" w14:textId="77777777" w:rsidR="00B2396D" w:rsidRPr="00173989" w:rsidRDefault="00B2396D" w:rsidP="007D107A">
      <w:pPr>
        <w:spacing w:line="360" w:lineRule="auto"/>
        <w:jc w:val="both"/>
        <w:rPr>
          <w:rFonts w:ascii="Palatino Linotype" w:eastAsia="Palatino Linotype" w:hAnsi="Palatino Linotype" w:cs="Palatino Linotype"/>
        </w:rPr>
      </w:pPr>
    </w:p>
    <w:p w14:paraId="09DE4B63" w14:textId="77777777" w:rsidR="00B2396D" w:rsidRPr="00173989" w:rsidRDefault="00925FEF" w:rsidP="007D107A">
      <w:pPr>
        <w:spacing w:line="360" w:lineRule="auto"/>
        <w:jc w:val="both"/>
        <w:rPr>
          <w:rFonts w:ascii="Palatino Linotype" w:eastAsia="Palatino Linotype" w:hAnsi="Palatino Linotype" w:cs="Palatino Linotype"/>
          <w:b/>
          <w:color w:val="000000"/>
        </w:rPr>
      </w:pPr>
      <w:r w:rsidRPr="00173989">
        <w:rPr>
          <w:rFonts w:ascii="Palatino Linotype" w:eastAsia="Palatino Linotype" w:hAnsi="Palatino Linotype" w:cs="Palatino Linotype"/>
          <w:b/>
          <w:sz w:val="28"/>
          <w:szCs w:val="28"/>
        </w:rPr>
        <w:t>SEGUNDO</w:t>
      </w:r>
      <w:r w:rsidRPr="00173989">
        <w:rPr>
          <w:rFonts w:ascii="Palatino Linotype" w:eastAsia="Palatino Linotype" w:hAnsi="Palatino Linotype" w:cs="Palatino Linotype"/>
          <w:b/>
        </w:rPr>
        <w:t xml:space="preserve">. </w:t>
      </w:r>
      <w:r w:rsidR="007D107A" w:rsidRPr="00173989">
        <w:rPr>
          <w:rFonts w:ascii="Palatino Linotype" w:eastAsia="Palatino Linotype" w:hAnsi="Palatino Linotype" w:cs="Palatino Linotype"/>
        </w:rPr>
        <w:t xml:space="preserve">Se </w:t>
      </w:r>
      <w:r w:rsidR="007D107A" w:rsidRPr="00173989">
        <w:rPr>
          <w:rFonts w:ascii="Palatino Linotype" w:eastAsia="Palatino Linotype" w:hAnsi="Palatino Linotype" w:cs="Palatino Linotype"/>
          <w:b/>
        </w:rPr>
        <w:t xml:space="preserve">CONFIRMA </w:t>
      </w:r>
      <w:r w:rsidR="007D107A" w:rsidRPr="00173989">
        <w:rPr>
          <w:rFonts w:ascii="Palatino Linotype" w:eastAsia="Palatino Linotype" w:hAnsi="Palatino Linotype" w:cs="Palatino Linotype"/>
        </w:rPr>
        <w:t xml:space="preserve">la respuesta emitida por </w:t>
      </w:r>
      <w:r w:rsidR="007D107A" w:rsidRPr="00173989">
        <w:rPr>
          <w:rFonts w:ascii="Palatino Linotype" w:eastAsia="Palatino Linotype" w:hAnsi="Palatino Linotype" w:cs="Palatino Linotype"/>
          <w:b/>
        </w:rPr>
        <w:t>el</w:t>
      </w:r>
      <w:r w:rsidR="007D107A" w:rsidRPr="00173989">
        <w:rPr>
          <w:rFonts w:ascii="Palatino Linotype" w:eastAsia="Palatino Linotype" w:hAnsi="Palatino Linotype" w:cs="Palatino Linotype"/>
        </w:rPr>
        <w:t xml:space="preserve"> </w:t>
      </w:r>
      <w:r w:rsidR="007D107A" w:rsidRPr="00173989">
        <w:rPr>
          <w:rFonts w:ascii="Palatino Linotype" w:eastAsia="Palatino Linotype" w:hAnsi="Palatino Linotype" w:cs="Palatino Linotype"/>
          <w:b/>
        </w:rPr>
        <w:t xml:space="preserve">Sujeto Obligado, </w:t>
      </w:r>
      <w:r w:rsidR="007D107A" w:rsidRPr="00173989">
        <w:rPr>
          <w:rFonts w:ascii="Palatino Linotype" w:eastAsia="Palatino Linotype" w:hAnsi="Palatino Linotype" w:cs="Palatino Linotype"/>
        </w:rPr>
        <w:t>a la solicitud de acceso a la información pública que dio origen al Recurso de Revisión</w:t>
      </w:r>
      <w:r w:rsidRPr="00173989">
        <w:rPr>
          <w:rFonts w:ascii="Palatino Linotype" w:eastAsia="Palatino Linotype" w:hAnsi="Palatino Linotype" w:cs="Palatino Linotype"/>
          <w:color w:val="000000"/>
        </w:rPr>
        <w:t xml:space="preserve"> </w:t>
      </w:r>
      <w:r w:rsidRPr="00173989">
        <w:rPr>
          <w:rFonts w:ascii="Palatino Linotype" w:eastAsia="Palatino Linotype" w:hAnsi="Palatino Linotype" w:cs="Palatino Linotype"/>
          <w:b/>
          <w:color w:val="000000"/>
        </w:rPr>
        <w:t>04442/INFOEM/IP/RR/2023</w:t>
      </w:r>
      <w:r w:rsidR="007D107A" w:rsidRPr="00173989">
        <w:rPr>
          <w:rFonts w:ascii="Palatino Linotype" w:eastAsia="Palatino Linotype" w:hAnsi="Palatino Linotype" w:cs="Palatino Linotype"/>
          <w:color w:val="000000"/>
        </w:rPr>
        <w:t>, en términos del Considerando</w:t>
      </w:r>
      <w:r w:rsidR="007D107A" w:rsidRPr="00173989">
        <w:rPr>
          <w:rFonts w:ascii="Palatino Linotype" w:eastAsia="Palatino Linotype" w:hAnsi="Palatino Linotype" w:cs="Palatino Linotype"/>
          <w:b/>
          <w:color w:val="000000"/>
        </w:rPr>
        <w:t>.</w:t>
      </w:r>
    </w:p>
    <w:p w14:paraId="2FFECAD7" w14:textId="77777777" w:rsidR="00B2396D" w:rsidRPr="00173989" w:rsidRDefault="00B2396D" w:rsidP="007D107A">
      <w:pPr>
        <w:pBdr>
          <w:top w:val="nil"/>
          <w:left w:val="nil"/>
          <w:bottom w:val="nil"/>
          <w:right w:val="nil"/>
          <w:between w:val="nil"/>
        </w:pBdr>
        <w:spacing w:line="360" w:lineRule="auto"/>
        <w:ind w:left="1080" w:right="899"/>
        <w:jc w:val="both"/>
        <w:rPr>
          <w:rFonts w:ascii="Palatino Linotype" w:eastAsia="Palatino Linotype" w:hAnsi="Palatino Linotype" w:cs="Palatino Linotype"/>
          <w:i/>
          <w:color w:val="000000"/>
          <w:sz w:val="22"/>
          <w:szCs w:val="22"/>
        </w:rPr>
      </w:pPr>
    </w:p>
    <w:p w14:paraId="5CB86495" w14:textId="77777777" w:rsidR="007D107A" w:rsidRPr="00173989" w:rsidRDefault="007D107A" w:rsidP="007D107A">
      <w:pPr>
        <w:tabs>
          <w:tab w:val="left" w:pos="709"/>
        </w:tabs>
        <w:spacing w:line="360" w:lineRule="auto"/>
        <w:ind w:right="51"/>
        <w:jc w:val="both"/>
        <w:rPr>
          <w:rFonts w:ascii="Palatino Linotype" w:eastAsia="Calibri" w:hAnsi="Palatino Linotype"/>
          <w:kern w:val="2"/>
          <w:shd w:val="clear" w:color="auto" w:fill="FFFFFF"/>
          <w:lang w:eastAsia="en-US"/>
          <w14:ligatures w14:val="standardContextual"/>
        </w:rPr>
      </w:pPr>
      <w:bookmarkStart w:id="2" w:name="_heading=h.1fob9te" w:colFirst="0" w:colLast="0"/>
      <w:bookmarkEnd w:id="2"/>
      <w:r w:rsidRPr="00173989">
        <w:rPr>
          <w:rFonts w:ascii="Palatino Linotype" w:eastAsia="Calibri" w:hAnsi="Palatino Linotype"/>
          <w:b/>
          <w:kern w:val="2"/>
          <w:lang w:eastAsia="en-US"/>
          <w14:ligatures w14:val="standardContextual"/>
        </w:rPr>
        <w:lastRenderedPageBreak/>
        <w:t>TERCERO. </w:t>
      </w:r>
      <w:r w:rsidRPr="00173989">
        <w:rPr>
          <w:rFonts w:ascii="Palatino Linotype" w:eastAsia="Calibri" w:hAnsi="Palatino Linotype"/>
          <w:b/>
          <w:kern w:val="2"/>
          <w:lang w:eastAsia="es-ES_tradnl"/>
          <w14:ligatures w14:val="standardContextual"/>
        </w:rPr>
        <w:t xml:space="preserve">Notifíquese </w:t>
      </w:r>
      <w:r w:rsidRPr="00173989">
        <w:rPr>
          <w:rFonts w:ascii="Palatino Linotype" w:eastAsia="Calibri" w:hAnsi="Palatino Linotype"/>
          <w:kern w:val="2"/>
          <w:lang w:eastAsia="es-ES_tradnl"/>
          <w14:ligatures w14:val="standardContextual"/>
        </w:rPr>
        <w:t xml:space="preserve">la presente resolución mediante Sistema de Acceso a la Información Mexiquense al Titular de la Unidad de Transparencia del </w:t>
      </w:r>
      <w:r w:rsidRPr="00173989">
        <w:rPr>
          <w:rFonts w:ascii="Palatino Linotype" w:eastAsia="Calibri" w:hAnsi="Palatino Linotype"/>
          <w:b/>
          <w:kern w:val="2"/>
          <w:lang w:eastAsia="es-ES_tradnl"/>
          <w14:ligatures w14:val="standardContextual"/>
        </w:rPr>
        <w:t>Sujeto Obligado</w:t>
      </w:r>
      <w:r w:rsidRPr="00173989">
        <w:rPr>
          <w:rFonts w:ascii="Palatino Linotype" w:eastAsia="Calibri" w:hAnsi="Palatino Linotype"/>
          <w:kern w:val="2"/>
          <w:lang w:eastAsia="es-ES_tradnl"/>
          <w14:ligatures w14:val="standardContextual"/>
        </w:rPr>
        <w:t>, para su conocimiento.</w:t>
      </w:r>
    </w:p>
    <w:p w14:paraId="28F79719" w14:textId="77777777" w:rsidR="007D107A" w:rsidRPr="00173989" w:rsidRDefault="007D107A" w:rsidP="007D107A">
      <w:pPr>
        <w:tabs>
          <w:tab w:val="left" w:pos="709"/>
        </w:tabs>
        <w:spacing w:line="360" w:lineRule="auto"/>
        <w:ind w:right="51"/>
        <w:jc w:val="both"/>
        <w:rPr>
          <w:rFonts w:ascii="Palatino Linotype" w:eastAsia="Calibri" w:hAnsi="Palatino Linotype" w:cs="Arial"/>
          <w:b/>
          <w:bCs/>
          <w:kern w:val="2"/>
          <w:lang w:eastAsia="en-US"/>
          <w14:ligatures w14:val="standardContextual"/>
        </w:rPr>
      </w:pPr>
    </w:p>
    <w:p w14:paraId="3D6C744C" w14:textId="77777777" w:rsidR="007D107A" w:rsidRPr="00173989" w:rsidRDefault="007D107A" w:rsidP="007D107A">
      <w:pPr>
        <w:tabs>
          <w:tab w:val="left" w:pos="709"/>
        </w:tabs>
        <w:spacing w:line="360" w:lineRule="auto"/>
        <w:ind w:right="51"/>
        <w:jc w:val="both"/>
        <w:rPr>
          <w:rFonts w:ascii="Palatino Linotype" w:eastAsia="Palatino Linotype" w:hAnsi="Palatino Linotype" w:cs="Palatino Linotype"/>
          <w:b/>
          <w:kern w:val="2"/>
          <w:lang w:eastAsia="en-US"/>
          <w14:ligatures w14:val="standardContextual"/>
        </w:rPr>
      </w:pPr>
      <w:r w:rsidRPr="00173989">
        <w:rPr>
          <w:rFonts w:ascii="Palatino Linotype" w:eastAsia="Calibri" w:hAnsi="Palatino Linotype" w:cs="Arial"/>
          <w:b/>
          <w:bCs/>
          <w:kern w:val="2"/>
          <w:lang w:eastAsia="en-US"/>
          <w14:ligatures w14:val="standardContextual"/>
        </w:rPr>
        <w:t>CUARTO.</w:t>
      </w:r>
      <w:r w:rsidRPr="00173989">
        <w:rPr>
          <w:rFonts w:ascii="Palatino Linotype" w:eastAsia="Calibri" w:hAnsi="Palatino Linotype"/>
          <w:kern w:val="2"/>
          <w:lang w:eastAsia="es-ES_tradnl"/>
          <w14:ligatures w14:val="standardContextual"/>
        </w:rPr>
        <w:t xml:space="preserve"> </w:t>
      </w:r>
      <w:r w:rsidRPr="00173989">
        <w:rPr>
          <w:rFonts w:ascii="Palatino Linotype" w:eastAsia="Calibri" w:hAnsi="Palatino Linotype"/>
          <w:b/>
          <w:kern w:val="2"/>
          <w:lang w:eastAsia="es-ES_tradnl"/>
          <w14:ligatures w14:val="standardContextual"/>
        </w:rPr>
        <w:t>Notifíquese</w:t>
      </w:r>
      <w:r w:rsidRPr="00173989">
        <w:rPr>
          <w:rFonts w:ascii="Palatino Linotype" w:eastAsia="Calibri" w:hAnsi="Palatino Linotype"/>
          <w:kern w:val="2"/>
          <w:lang w:eastAsia="es-ES_tradnl"/>
          <w14:ligatures w14:val="standardContextual"/>
        </w:rPr>
        <w:t xml:space="preserve"> a </w:t>
      </w:r>
      <w:r w:rsidRPr="00173989">
        <w:rPr>
          <w:rFonts w:ascii="Palatino Linotype" w:eastAsia="Calibri" w:hAnsi="Palatino Linotype"/>
          <w:b/>
          <w:kern w:val="2"/>
          <w:lang w:eastAsia="es-ES_tradnl"/>
          <w14:ligatures w14:val="standardContextual"/>
        </w:rPr>
        <w:t>La</w:t>
      </w:r>
      <w:r w:rsidRPr="00173989">
        <w:rPr>
          <w:rFonts w:ascii="Palatino Linotype" w:eastAsia="Calibri" w:hAnsi="Palatino Linotype"/>
          <w:kern w:val="2"/>
          <w:lang w:eastAsia="es-ES_tradnl"/>
          <w14:ligatures w14:val="standardContextual"/>
        </w:rPr>
        <w:t xml:space="preserve"> </w:t>
      </w:r>
      <w:r w:rsidRPr="00173989">
        <w:rPr>
          <w:rFonts w:ascii="Palatino Linotype" w:eastAsia="Calibri" w:hAnsi="Palatino Linotype"/>
          <w:b/>
          <w:kern w:val="2"/>
          <w:lang w:eastAsia="es-ES_tradnl"/>
          <w14:ligatures w14:val="standardContextual"/>
        </w:rPr>
        <w:t>Recurrente</w:t>
      </w:r>
      <w:r w:rsidRPr="00173989">
        <w:rPr>
          <w:rFonts w:ascii="Palatino Linotype" w:eastAsia="Calibri" w:hAnsi="Palatino Linotype"/>
          <w:kern w:val="2"/>
          <w:lang w:eastAsia="es-ES_tradnl"/>
          <w14:ligatures w14:val="standardContextual"/>
        </w:rPr>
        <w:t xml:space="preserve"> la presente resolución vía </w:t>
      </w:r>
      <w:r w:rsidRPr="00173989">
        <w:rPr>
          <w:rFonts w:ascii="Palatino Linotype" w:eastAsia="Calibri" w:hAnsi="Palatino Linotype" w:cs="Arial"/>
          <w:kern w:val="2"/>
          <w:lang w:eastAsia="en-US"/>
          <w14:ligatures w14:val="standardContextual"/>
        </w:rPr>
        <w:t>Sistema de Acceso a la Información Mexiquense</w:t>
      </w:r>
      <w:r w:rsidRPr="00173989">
        <w:rPr>
          <w:rFonts w:ascii="Palatino Linotype" w:eastAsia="Calibri" w:hAnsi="Palatino Linotype"/>
          <w:kern w:val="2"/>
          <w:lang w:eastAsia="es-ES_tradnl"/>
          <w14:ligatures w14:val="standardContextual"/>
        </w:rPr>
        <w:t xml:space="preserve"> </w:t>
      </w:r>
      <w:r w:rsidRPr="00173989">
        <w:rPr>
          <w:rFonts w:ascii="Palatino Linotype" w:eastAsia="Calibri" w:hAnsi="Palatino Linotype"/>
          <w:b/>
          <w:kern w:val="2"/>
          <w:lang w:eastAsia="es-ES_tradnl"/>
          <w14:ligatures w14:val="standardContextual"/>
        </w:rPr>
        <w:t>(</w:t>
      </w:r>
      <w:r w:rsidRPr="00173989">
        <w:rPr>
          <w:rFonts w:ascii="Palatino Linotype" w:eastAsia="Calibri" w:hAnsi="Palatino Linotype"/>
          <w:b/>
          <w:bCs/>
          <w:kern w:val="2"/>
          <w:lang w:eastAsia="es-ES_tradnl"/>
          <w14:ligatures w14:val="standardContextual"/>
        </w:rPr>
        <w:t>SAIMEX)</w:t>
      </w:r>
      <w:r w:rsidRPr="00173989">
        <w:rPr>
          <w:rFonts w:ascii="Palatino Linotype" w:eastAsia="Palatino Linotype" w:hAnsi="Palatino Linotype" w:cs="Palatino Linotype"/>
          <w:b/>
          <w:kern w:val="2"/>
          <w:lang w:eastAsia="en-US"/>
          <w14:ligatures w14:val="standardContextual"/>
        </w:rPr>
        <w:t xml:space="preserve"> </w:t>
      </w:r>
      <w:r w:rsidRPr="00173989">
        <w:rPr>
          <w:rFonts w:ascii="Palatino Linotype" w:eastAsia="Palatino Linotype" w:hAnsi="Palatino Linotype" w:cs="Palatino Linotype"/>
          <w:kern w:val="2"/>
          <w:lang w:eastAsia="en-US"/>
          <w14:ligatures w14:val="standardContextual"/>
        </w:rPr>
        <w:t xml:space="preserve">y </w:t>
      </w:r>
      <w:r w:rsidRPr="00173989">
        <w:rPr>
          <w:rFonts w:ascii="Palatino Linotype" w:eastAsia="Calibri" w:hAnsi="Palatino Linotype"/>
          <w:color w:val="000000"/>
          <w:kern w:val="2"/>
          <w:lang w:eastAsia="es-ES_tradnl"/>
          <w14:ligatures w14:val="standardContextual"/>
        </w:rPr>
        <w:t xml:space="preserve">hágase de su conocimiento </w:t>
      </w:r>
      <w:r w:rsidRPr="00173989">
        <w:rPr>
          <w:rFonts w:ascii="Palatino Linotype" w:hAnsi="Palatino Linotype"/>
          <w:color w:val="222222"/>
          <w:kern w:val="2"/>
          <w:lang w:eastAsia="es-ES_tradnl"/>
          <w14:ligatures w14:val="standardContextual"/>
        </w:rPr>
        <w:t>que de conformidad con lo establecido en el artículo 196 de la Ley de Transparencia y Acceso a la Información Pública del Estado de México y Municipios, podrá impugnarla vía Juicio de Amparo en los términos de las leyes aplicables.</w:t>
      </w:r>
    </w:p>
    <w:p w14:paraId="04B655C3" w14:textId="77777777" w:rsidR="00B2396D" w:rsidRPr="00173989" w:rsidRDefault="00B2396D">
      <w:pPr>
        <w:widowControl w:val="0"/>
        <w:tabs>
          <w:tab w:val="left" w:pos="1701"/>
        </w:tabs>
        <w:spacing w:line="360" w:lineRule="auto"/>
        <w:ind w:right="49"/>
        <w:jc w:val="both"/>
        <w:rPr>
          <w:rFonts w:ascii="Palatino Linotype" w:eastAsia="Palatino Linotype" w:hAnsi="Palatino Linotype" w:cs="Palatino Linotype"/>
          <w:b/>
          <w:sz w:val="20"/>
          <w:szCs w:val="20"/>
        </w:rPr>
      </w:pPr>
    </w:p>
    <w:p w14:paraId="6204DE9F" w14:textId="77777777" w:rsidR="00B2396D" w:rsidRPr="00173989" w:rsidRDefault="00925FEF">
      <w:pPr>
        <w:spacing w:line="360" w:lineRule="auto"/>
        <w:jc w:val="both"/>
        <w:rPr>
          <w:rFonts w:ascii="Palatino Linotype" w:eastAsia="Palatino Linotype" w:hAnsi="Palatino Linotype" w:cs="Palatino Linotype"/>
        </w:rPr>
      </w:pPr>
      <w:r w:rsidRPr="0017398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6FDD7039" w14:textId="77777777" w:rsidR="00B2396D" w:rsidRPr="00173989" w:rsidRDefault="00925FEF">
      <w:pPr>
        <w:spacing w:line="360" w:lineRule="auto"/>
        <w:jc w:val="both"/>
        <w:rPr>
          <w:rFonts w:ascii="Palatino Linotype" w:eastAsia="Palatino Linotype" w:hAnsi="Palatino Linotype" w:cs="Palatino Linotype"/>
          <w:sz w:val="20"/>
          <w:szCs w:val="20"/>
        </w:rPr>
      </w:pPr>
      <w:r w:rsidRPr="00173989">
        <w:rPr>
          <w:rFonts w:ascii="Palatino Linotype" w:eastAsia="Palatino Linotype" w:hAnsi="Palatino Linotype" w:cs="Palatino Linotype"/>
          <w:sz w:val="20"/>
          <w:szCs w:val="20"/>
        </w:rPr>
        <w:t>SCMM/AGZ/DEMF/ESS</w:t>
      </w:r>
    </w:p>
    <w:p w14:paraId="1D271B38" w14:textId="77777777" w:rsidR="00B2396D" w:rsidRDefault="00925FEF">
      <w:pPr>
        <w:spacing w:after="160" w:line="259" w:lineRule="auto"/>
        <w:rPr>
          <w:rFonts w:ascii="Palatino Linotype" w:eastAsia="Palatino Linotype" w:hAnsi="Palatino Linotype" w:cs="Palatino Linotype"/>
          <w:sz w:val="20"/>
          <w:szCs w:val="20"/>
        </w:rPr>
      </w:pPr>
      <w:r>
        <w:br w:type="page"/>
      </w:r>
    </w:p>
    <w:p w14:paraId="004BE507" w14:textId="77777777" w:rsidR="00B2396D" w:rsidRDefault="00B2396D">
      <w:pPr>
        <w:spacing w:line="360" w:lineRule="auto"/>
        <w:jc w:val="both"/>
        <w:rPr>
          <w:rFonts w:ascii="Palatino Linotype" w:eastAsia="Palatino Linotype" w:hAnsi="Palatino Linotype" w:cs="Palatino Linotype"/>
          <w:sz w:val="20"/>
          <w:szCs w:val="20"/>
        </w:rPr>
      </w:pPr>
    </w:p>
    <w:p w14:paraId="7A9DDB10" w14:textId="77777777" w:rsidR="00B2396D" w:rsidRDefault="00B2396D">
      <w:pPr>
        <w:spacing w:line="360" w:lineRule="auto"/>
        <w:rPr>
          <w:rFonts w:ascii="Palatino Linotype" w:eastAsia="Palatino Linotype" w:hAnsi="Palatino Linotype" w:cs="Palatino Linotype"/>
        </w:rPr>
      </w:pPr>
    </w:p>
    <w:p w14:paraId="14E9E463" w14:textId="77777777" w:rsidR="00B2396D" w:rsidRDefault="00B2396D"/>
    <w:sectPr w:rsidR="00B2396D">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0D91A" w14:textId="77777777" w:rsidR="007E3FE6" w:rsidRDefault="007E3FE6">
      <w:r>
        <w:separator/>
      </w:r>
    </w:p>
  </w:endnote>
  <w:endnote w:type="continuationSeparator" w:id="0">
    <w:p w14:paraId="47F645E0" w14:textId="77777777" w:rsidR="007E3FE6" w:rsidRDefault="007E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2949" w14:textId="77777777" w:rsidR="00B2396D" w:rsidRDefault="00925F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E3F13">
      <w:rPr>
        <w:rFonts w:ascii="Palatino Linotype" w:eastAsia="Palatino Linotype" w:hAnsi="Palatino Linotype" w:cs="Palatino Linotype"/>
        <w:noProof/>
        <w:color w:val="000000"/>
        <w:sz w:val="22"/>
        <w:szCs w:val="22"/>
      </w:rPr>
      <w:t>28</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E3F13">
      <w:rPr>
        <w:rFonts w:ascii="Palatino Linotype" w:eastAsia="Palatino Linotype" w:hAnsi="Palatino Linotype" w:cs="Palatino Linotype"/>
        <w:noProof/>
        <w:color w:val="000000"/>
        <w:sz w:val="22"/>
        <w:szCs w:val="22"/>
      </w:rPr>
      <w:t>28</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DD33" w14:textId="77777777" w:rsidR="00B2396D" w:rsidRDefault="00925FE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E3F13">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E3F13">
      <w:rPr>
        <w:rFonts w:ascii="Palatino Linotype" w:eastAsia="Palatino Linotype" w:hAnsi="Palatino Linotype" w:cs="Palatino Linotype"/>
        <w:noProof/>
        <w:color w:val="000000"/>
        <w:sz w:val="22"/>
        <w:szCs w:val="22"/>
      </w:rPr>
      <w:t>28</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7B134" w14:textId="77777777" w:rsidR="007E3FE6" w:rsidRDefault="007E3FE6">
      <w:r>
        <w:separator/>
      </w:r>
    </w:p>
  </w:footnote>
  <w:footnote w:type="continuationSeparator" w:id="0">
    <w:p w14:paraId="5B69C3D8" w14:textId="77777777" w:rsidR="007E3FE6" w:rsidRDefault="007E3FE6">
      <w:r>
        <w:continuationSeparator/>
      </w:r>
    </w:p>
  </w:footnote>
  <w:footnote w:id="1">
    <w:p w14:paraId="3CEA6D56"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Es importante señalar que, todas las constancias que integran el expediente 04442/INFOEM/IP/RR/2023 que en esta resolución se resuelve obran en electrónico en el SAIMEX, incluyendo la solicitud en análisis —</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000000"/>
          <w:sz w:val="16"/>
          <w:szCs w:val="16"/>
        </w:rPr>
        <w:t xml:space="preserve"> 02448/TOLUCA/IP/2023—.</w:t>
      </w:r>
    </w:p>
  </w:footnote>
  <w:footnote w:id="2">
    <w:p w14:paraId="08715E54" w14:textId="77777777" w:rsidR="00B2396D" w:rsidRDefault="00925FEF">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En adelante, Ley de Transparencia local o Ley de la materia.</w:t>
      </w:r>
    </w:p>
  </w:footnote>
  <w:footnote w:id="3">
    <w:p w14:paraId="003C6714"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178.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84B2456"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5BDC850"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En el caso de que se interponga ante la Unidad de Transparencia, ésta deberá remitir el recurso de revisión al Instituto a más tardar al día siguiente de haberlo recibido.”</w:t>
      </w:r>
    </w:p>
  </w:footnote>
  <w:footnote w:id="4">
    <w:p w14:paraId="3CBAA1D2"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Sin contemplar en el cómputo los días sábados y domingos, considerados como días inhábiles, en términos del artículo 3, fracción X de la Ley de Transparencia local; y del Calendario Oficial en Materia de Transparencia, Acceso a la Información Pública y Protección de Datos Personales del Estado de México y Municipios de dos mil veintitrés.</w:t>
      </w:r>
    </w:p>
  </w:footnote>
  <w:footnote w:id="5">
    <w:p w14:paraId="5EDEB953" w14:textId="77777777" w:rsidR="00B2396D" w:rsidRDefault="00925FEF">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6°, Apartado A de la Constitución Política de los Estados Unidos Mexicanos.</w:t>
      </w:r>
    </w:p>
  </w:footnote>
  <w:footnote w:id="6">
    <w:p w14:paraId="21787C4C" w14:textId="77777777" w:rsidR="00B2396D" w:rsidRDefault="00925FEF">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5°Constitución Política del Estado Libre y Soberano de México. </w:t>
      </w:r>
    </w:p>
  </w:footnote>
  <w:footnote w:id="7">
    <w:p w14:paraId="26452C9A"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8">
    <w:p w14:paraId="46CCE43D"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 El derecho humano de acceso a la información pública es la prerrogativa de las personas para buscar, difundir, investigar, recabar, recibir y solicitar información pública, sin necesidad de acreditar personalidad ni interés jurídico.</w:t>
      </w:r>
    </w:p>
    <w:p w14:paraId="3D5CDF43"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EEDE4C8"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Los sujetos obligados deben poner en práctica, políticas y programas de acceso a la información que se apeguen a criterios de publicidad, veracidad, oportunidad, precisión y suficiencia en beneficio de los solicitantes.”</w:t>
      </w:r>
    </w:p>
  </w:footnote>
  <w:footnote w:id="9">
    <w:p w14:paraId="776EA585"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3. Para los efectos de la presente Ley se entenderá por:</w:t>
      </w:r>
    </w:p>
    <w:p w14:paraId="6AD0C97D" w14:textId="77777777" w:rsidR="00B2396D" w:rsidRDefault="00925FEF">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footnote>
  <w:footnote w:id="10">
    <w:p w14:paraId="66CEA915" w14:textId="77777777" w:rsidR="007D107A" w:rsidRDefault="007D107A" w:rsidP="007D107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Tomado de: </w:t>
      </w:r>
      <w:hyperlink r:id="rId1">
        <w:r>
          <w:rPr>
            <w:color w:val="0563C1"/>
            <w:sz w:val="20"/>
            <w:szCs w:val="20"/>
            <w:u w:val="single"/>
          </w:rPr>
          <w:t>https://www.solvetic.com/tutoriales/article/143-crear-hipervinculos-en-un-pdf-interactivo-url/</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BE7FE" w14:textId="77777777" w:rsidR="00B2396D" w:rsidRDefault="003E3F13">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1202F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6CC63" w14:textId="77777777" w:rsidR="00B2396D" w:rsidRDefault="00B2396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B2396D" w14:paraId="14D7D416" w14:textId="77777777">
      <w:tc>
        <w:tcPr>
          <w:tcW w:w="2977" w:type="dxa"/>
          <w:vMerge w:val="restart"/>
        </w:tcPr>
        <w:p w14:paraId="1BCBD0C0" w14:textId="77777777" w:rsidR="00B2396D" w:rsidRDefault="00925FE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6429FE8" wp14:editId="14FD36F0">
                <wp:extent cx="1692162" cy="852673"/>
                <wp:effectExtent l="0" t="0" r="0" b="0"/>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751426F8" w14:textId="77777777" w:rsidR="00B2396D" w:rsidRDefault="00925F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2127F467" w14:textId="77777777" w:rsidR="00B2396D" w:rsidRDefault="00925FE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04442/INFOEM/IP/RR/2023</w:t>
          </w:r>
        </w:p>
      </w:tc>
    </w:tr>
    <w:tr w:rsidR="00B2396D" w14:paraId="4B37E399" w14:textId="77777777">
      <w:tc>
        <w:tcPr>
          <w:tcW w:w="2977" w:type="dxa"/>
          <w:vMerge/>
        </w:tcPr>
        <w:p w14:paraId="36EFFA1A" w14:textId="77777777" w:rsidR="00B2396D" w:rsidRDefault="00B2396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F5A946F" w14:textId="77777777" w:rsidR="00B2396D" w:rsidRDefault="00925F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40FD29C3" w14:textId="77777777" w:rsidR="00B2396D" w:rsidRDefault="00925FE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B2396D" w14:paraId="3A0B0EDD" w14:textId="77777777">
      <w:trPr>
        <w:trHeight w:val="228"/>
      </w:trPr>
      <w:tc>
        <w:tcPr>
          <w:tcW w:w="2977" w:type="dxa"/>
          <w:vMerge/>
        </w:tcPr>
        <w:p w14:paraId="3A23428B" w14:textId="77777777" w:rsidR="00B2396D" w:rsidRDefault="00B2396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5BC9FCA" w14:textId="77777777" w:rsidR="00B2396D" w:rsidRDefault="00925F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604B0BA8" w14:textId="77777777" w:rsidR="00B2396D" w:rsidRDefault="00925FE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545FE2A" w14:textId="77777777" w:rsidR="00B2396D" w:rsidRDefault="00B2396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1854D" w14:textId="77777777" w:rsidR="00B2396D" w:rsidRDefault="003E3F13">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1315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84.1pt;margin-top:-139.8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B2396D" w14:paraId="357A4AFB" w14:textId="77777777">
      <w:tc>
        <w:tcPr>
          <w:tcW w:w="4110" w:type="dxa"/>
          <w:vMerge w:val="restart"/>
          <w:shd w:val="clear" w:color="auto" w:fill="auto"/>
        </w:tcPr>
        <w:p w14:paraId="3E43BD6E" w14:textId="77777777" w:rsidR="00B2396D" w:rsidRDefault="00925FEF">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6DBFD0C5" wp14:editId="72B8F70C">
                <wp:extent cx="1692162" cy="852673"/>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47C6F25D" w14:textId="77777777" w:rsidR="00B2396D" w:rsidRDefault="00925F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64CA59D" w14:textId="77777777" w:rsidR="00B2396D" w:rsidRDefault="00925FE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04442/INFOEM/IP/RR/2023</w:t>
          </w:r>
        </w:p>
      </w:tc>
    </w:tr>
    <w:tr w:rsidR="00B2396D" w14:paraId="4A54E0A0" w14:textId="77777777">
      <w:tc>
        <w:tcPr>
          <w:tcW w:w="4110" w:type="dxa"/>
          <w:vMerge/>
          <w:shd w:val="clear" w:color="auto" w:fill="auto"/>
        </w:tcPr>
        <w:p w14:paraId="2F9B5BF2" w14:textId="77777777" w:rsidR="00B2396D" w:rsidRDefault="00B2396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62327CE" w14:textId="77777777" w:rsidR="00B2396D" w:rsidRDefault="00925F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DBB0252" w14:textId="77777777" w:rsidR="00B2396D" w:rsidRDefault="00B2396D">
          <w:pPr>
            <w:jc w:val="both"/>
            <w:rPr>
              <w:rFonts w:ascii="Palatino Linotype" w:eastAsia="Palatino Linotype" w:hAnsi="Palatino Linotype" w:cs="Palatino Linotype"/>
              <w:b/>
              <w:sz w:val="20"/>
              <w:szCs w:val="20"/>
            </w:rPr>
          </w:pPr>
        </w:p>
      </w:tc>
    </w:tr>
    <w:tr w:rsidR="00B2396D" w14:paraId="1A8AACE7" w14:textId="77777777">
      <w:trPr>
        <w:trHeight w:val="228"/>
      </w:trPr>
      <w:tc>
        <w:tcPr>
          <w:tcW w:w="4110" w:type="dxa"/>
          <w:vMerge/>
          <w:shd w:val="clear" w:color="auto" w:fill="auto"/>
        </w:tcPr>
        <w:p w14:paraId="353A35FD" w14:textId="77777777" w:rsidR="00B2396D" w:rsidRDefault="00B2396D">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2552" w:type="dxa"/>
          <w:shd w:val="clear" w:color="auto" w:fill="auto"/>
        </w:tcPr>
        <w:p w14:paraId="1535F8EA" w14:textId="77777777" w:rsidR="00B2396D" w:rsidRDefault="00925F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529ADFDB" w14:textId="77777777" w:rsidR="00B2396D" w:rsidRDefault="00925FE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B2396D" w14:paraId="22E6E698" w14:textId="77777777">
      <w:tc>
        <w:tcPr>
          <w:tcW w:w="4110" w:type="dxa"/>
          <w:vMerge/>
          <w:shd w:val="clear" w:color="auto" w:fill="auto"/>
        </w:tcPr>
        <w:p w14:paraId="5517D350" w14:textId="77777777" w:rsidR="00B2396D" w:rsidRDefault="00B2396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E128326" w14:textId="77777777" w:rsidR="00B2396D" w:rsidRDefault="00925F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773E0F89" w14:textId="77777777" w:rsidR="00B2396D" w:rsidRDefault="00925FE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F291762" w14:textId="77777777" w:rsidR="00B2396D" w:rsidRDefault="00B2396D">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D10"/>
    <w:multiLevelType w:val="multilevel"/>
    <w:tmpl w:val="2632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7C3BC1"/>
    <w:multiLevelType w:val="multilevel"/>
    <w:tmpl w:val="4D1A4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8B5697"/>
    <w:multiLevelType w:val="multilevel"/>
    <w:tmpl w:val="4030E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D32117"/>
    <w:multiLevelType w:val="multilevel"/>
    <w:tmpl w:val="2B829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2F2F47"/>
    <w:multiLevelType w:val="multilevel"/>
    <w:tmpl w:val="C4604B3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60E720B"/>
    <w:multiLevelType w:val="multilevel"/>
    <w:tmpl w:val="BB92473C"/>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6D"/>
    <w:rsid w:val="00014F18"/>
    <w:rsid w:val="00173989"/>
    <w:rsid w:val="00332A65"/>
    <w:rsid w:val="003E3F13"/>
    <w:rsid w:val="007D107A"/>
    <w:rsid w:val="007E3FE6"/>
    <w:rsid w:val="008D3971"/>
    <w:rsid w:val="00925FEF"/>
    <w:rsid w:val="00B2396D"/>
    <w:rsid w:val="00B97489"/>
    <w:rsid w:val="00BF798B"/>
    <w:rsid w:val="00E57B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B0E3"/>
  <w15:docId w15:val="{35B769CF-77E8-4E25-87C9-CCD074B6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1C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1F61C4"/>
    <w:pPr>
      <w:tabs>
        <w:tab w:val="center" w:pos="4419"/>
        <w:tab w:val="right" w:pos="8838"/>
      </w:tabs>
    </w:pPr>
  </w:style>
  <w:style w:type="character" w:customStyle="1" w:styleId="PiedepginaCar">
    <w:name w:val="Pie de página Car"/>
    <w:basedOn w:val="Fuentedeprrafopredeter"/>
    <w:link w:val="Piedepgina"/>
    <w:uiPriority w:val="99"/>
    <w:rsid w:val="001F61C4"/>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40E9D"/>
    <w:pPr>
      <w:ind w:left="720"/>
      <w:contextualSpacing/>
    </w:pPr>
  </w:style>
  <w:style w:type="character" w:styleId="Hipervnculo">
    <w:name w:val="Hyperlink"/>
    <w:basedOn w:val="Fuentedeprrafopredeter"/>
    <w:uiPriority w:val="99"/>
    <w:unhideWhenUsed/>
    <w:rsid w:val="00CC5DCA"/>
    <w:rPr>
      <w:color w:val="0563C1" w:themeColor="hyperlink"/>
      <w:u w:val="single"/>
    </w:rPr>
  </w:style>
  <w:style w:type="paragraph" w:styleId="Textonotapie">
    <w:name w:val="footnote text"/>
    <w:basedOn w:val="Normal"/>
    <w:link w:val="TextonotapieCar"/>
    <w:uiPriority w:val="99"/>
    <w:semiHidden/>
    <w:unhideWhenUsed/>
    <w:rsid w:val="00A943FF"/>
    <w:rPr>
      <w:sz w:val="20"/>
      <w:szCs w:val="20"/>
    </w:rPr>
  </w:style>
  <w:style w:type="character" w:customStyle="1" w:styleId="TextonotapieCar">
    <w:name w:val="Texto nota pie Car"/>
    <w:basedOn w:val="Fuentedeprrafopredeter"/>
    <w:link w:val="Textonotapie"/>
    <w:uiPriority w:val="99"/>
    <w:semiHidden/>
    <w:rsid w:val="00A943FF"/>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A943FF"/>
    <w:rPr>
      <w:vertAlign w:val="superscript"/>
    </w:rPr>
  </w:style>
  <w:style w:type="character" w:styleId="Refdecomentario">
    <w:name w:val="annotation reference"/>
    <w:basedOn w:val="Fuentedeprrafopredeter"/>
    <w:uiPriority w:val="99"/>
    <w:semiHidden/>
    <w:unhideWhenUsed/>
    <w:rsid w:val="00DC15B3"/>
    <w:rPr>
      <w:sz w:val="16"/>
      <w:szCs w:val="16"/>
    </w:rPr>
  </w:style>
  <w:style w:type="paragraph" w:styleId="Textocomentario">
    <w:name w:val="annotation text"/>
    <w:basedOn w:val="Normal"/>
    <w:link w:val="TextocomentarioCar"/>
    <w:uiPriority w:val="99"/>
    <w:semiHidden/>
    <w:unhideWhenUsed/>
    <w:rsid w:val="00DC15B3"/>
    <w:rPr>
      <w:sz w:val="20"/>
      <w:szCs w:val="20"/>
    </w:rPr>
  </w:style>
  <w:style w:type="character" w:customStyle="1" w:styleId="TextocomentarioCar">
    <w:name w:val="Texto comentario Car"/>
    <w:basedOn w:val="Fuentedeprrafopredeter"/>
    <w:link w:val="Textocomentario"/>
    <w:uiPriority w:val="99"/>
    <w:semiHidden/>
    <w:rsid w:val="00DC15B3"/>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15B3"/>
    <w:rPr>
      <w:b/>
      <w:bCs/>
    </w:rPr>
  </w:style>
  <w:style w:type="character" w:customStyle="1" w:styleId="AsuntodelcomentarioCar">
    <w:name w:val="Asunto del comentario Car"/>
    <w:basedOn w:val="TextocomentarioCar"/>
    <w:link w:val="Asuntodelcomentario"/>
    <w:uiPriority w:val="99"/>
    <w:semiHidden/>
    <w:rsid w:val="00DC15B3"/>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DC15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15B3"/>
    <w:rPr>
      <w:rFonts w:ascii="Segoe UI" w:eastAsia="Times New Roman" w:hAnsi="Segoe UI" w:cs="Segoe UI"/>
      <w:sz w:val="18"/>
      <w:szCs w:val="18"/>
      <w:lang w:eastAsia="es-MX"/>
    </w:rPr>
  </w:style>
  <w:style w:type="paragraph" w:styleId="Revisin">
    <w:name w:val="Revision"/>
    <w:hidden/>
    <w:uiPriority w:val="99"/>
    <w:semiHidden/>
    <w:rsid w:val="00B157E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pomex.org.mx/ipo3/lgt/indice/TOLUCA/art_92_viii/5/0/77804.web"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pomex.org.mx/ipo3/lgt/indice/TOLUCA/art_92_viii/5/0/77800.web"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olvetic.com/tutoriales/article/143-crear-hipervinculos-en-un-pdf-interactivo-u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P60g9l/8kiE9k46t4qFvHSswA==">CgMxLjAyCGguZ2pkZ3hzMgloLjMwajB6bGwyCWguMWZvYjl0ZTIJaC4zem55c2g3OAByITFuT2lPYUU0YTZaRVJNRHd4elNCb0RIaHJMU3QyVG1lbA==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28</Pages>
  <Words>5686</Words>
  <Characters>31274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INFOEM382</dc:creator>
  <cp:lastModifiedBy>infoem607b</cp:lastModifiedBy>
  <cp:revision>7</cp:revision>
  <cp:lastPrinted>2024-03-04T19:45:00Z</cp:lastPrinted>
  <dcterms:created xsi:type="dcterms:W3CDTF">2024-02-26T22:37:00Z</dcterms:created>
  <dcterms:modified xsi:type="dcterms:W3CDTF">2024-03-04T19:45:00Z</dcterms:modified>
</cp:coreProperties>
</file>