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0C615631"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D74835">
        <w:t>cuatro de diciembre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9BADA48" w:rsidR="00A970D5" w:rsidRPr="0022406E" w:rsidRDefault="1B94458F" w:rsidP="1B94458F">
      <w:pPr>
        <w:pBdr>
          <w:top w:val="nil"/>
          <w:left w:val="nil"/>
          <w:bottom w:val="nil"/>
          <w:right w:val="nil"/>
          <w:between w:val="nil"/>
        </w:pBdr>
        <w:contextualSpacing/>
        <w:rPr>
          <w:rFonts w:eastAsia="Palatino Linotype" w:cs="Palatino Linotype"/>
          <w:b/>
          <w:bCs/>
          <w:color w:val="000000"/>
          <w:lang w:val="es-ES"/>
        </w:rPr>
      </w:pPr>
      <w:r w:rsidRPr="1B94458F">
        <w:rPr>
          <w:rFonts w:eastAsia="Palatino Linotype" w:cs="Palatino Linotype"/>
          <w:b/>
          <w:bCs/>
          <w:color w:val="000000" w:themeColor="text1"/>
          <w:lang w:val="es-ES"/>
        </w:rPr>
        <w:t>VISTO</w:t>
      </w:r>
      <w:r w:rsidRPr="1B94458F">
        <w:rPr>
          <w:rFonts w:eastAsia="Palatino Linotype" w:cs="Palatino Linotype"/>
          <w:color w:val="000000" w:themeColor="text1"/>
          <w:lang w:val="es-ES"/>
        </w:rPr>
        <w:t xml:space="preserve"> el expediente electrónico formado con motivo del recurso de revisión número </w:t>
      </w:r>
      <w:r w:rsidR="00DD719A">
        <w:rPr>
          <w:rFonts w:eastAsia="Palatino Linotype" w:cs="Palatino Linotype"/>
          <w:b/>
          <w:bCs/>
          <w:color w:val="000000" w:themeColor="text1"/>
          <w:lang w:val="es-ES"/>
        </w:rPr>
        <w:t>06675/</w:t>
      </w:r>
      <w:proofErr w:type="spellStart"/>
      <w:r w:rsidR="00DD719A">
        <w:rPr>
          <w:rFonts w:eastAsia="Palatino Linotype" w:cs="Palatino Linotype"/>
          <w:b/>
          <w:bCs/>
          <w:color w:val="000000" w:themeColor="text1"/>
          <w:lang w:val="es-ES"/>
        </w:rPr>
        <w:t>INFOEM</w:t>
      </w:r>
      <w:proofErr w:type="spellEnd"/>
      <w:r w:rsidR="00DD719A">
        <w:rPr>
          <w:rFonts w:eastAsia="Palatino Linotype" w:cs="Palatino Linotype"/>
          <w:b/>
          <w:bCs/>
          <w:color w:val="000000" w:themeColor="text1"/>
          <w:lang w:val="es-ES"/>
        </w:rPr>
        <w:t>/IP/</w:t>
      </w:r>
      <w:proofErr w:type="spellStart"/>
      <w:r w:rsidR="00DD719A">
        <w:rPr>
          <w:rFonts w:eastAsia="Palatino Linotype" w:cs="Palatino Linotype"/>
          <w:b/>
          <w:bCs/>
          <w:color w:val="000000" w:themeColor="text1"/>
          <w:lang w:val="es-ES"/>
        </w:rPr>
        <w:t>RR</w:t>
      </w:r>
      <w:proofErr w:type="spellEnd"/>
      <w:r w:rsidR="00DD719A">
        <w:rPr>
          <w:rFonts w:eastAsia="Palatino Linotype" w:cs="Palatino Linotype"/>
          <w:b/>
          <w:bCs/>
          <w:color w:val="000000" w:themeColor="text1"/>
          <w:lang w:val="es-ES"/>
        </w:rPr>
        <w:t>/2024</w:t>
      </w:r>
      <w:r w:rsidRPr="1B94458F">
        <w:rPr>
          <w:rFonts w:eastAsia="Palatino Linotype" w:cs="Palatino Linotype"/>
          <w:color w:val="000000" w:themeColor="text1"/>
          <w:lang w:val="es-ES"/>
        </w:rPr>
        <w:t xml:space="preserve">, interpuesto por </w:t>
      </w:r>
      <w:r w:rsidR="00296309">
        <w:rPr>
          <w:rFonts w:eastAsia="Palatino Linotype" w:cs="Palatino Linotype"/>
          <w:b/>
          <w:bCs/>
          <w:color w:val="000000" w:themeColor="text1"/>
          <w:lang w:val="es-ES"/>
        </w:rPr>
        <w:t>una persona de manera anónima</w:t>
      </w:r>
      <w:r w:rsidRPr="1B94458F">
        <w:rPr>
          <w:rFonts w:eastAsia="Palatino Linotype" w:cs="Palatino Linotype"/>
          <w:color w:val="000000" w:themeColor="text1"/>
          <w:lang w:val="es-ES"/>
        </w:rPr>
        <w:t xml:space="preserve">, en lo sucesivo el </w:t>
      </w:r>
      <w:r w:rsidRPr="1B94458F">
        <w:rPr>
          <w:rFonts w:eastAsia="Palatino Linotype" w:cs="Palatino Linotype"/>
          <w:b/>
          <w:bCs/>
          <w:color w:val="000000" w:themeColor="text1"/>
          <w:lang w:val="es-ES"/>
        </w:rPr>
        <w:t>Recurrente</w:t>
      </w:r>
      <w:r w:rsidRPr="1B94458F">
        <w:rPr>
          <w:rFonts w:eastAsia="Palatino Linotype" w:cs="Palatino Linotype"/>
          <w:color w:val="000000" w:themeColor="text1"/>
          <w:lang w:val="es-ES"/>
        </w:rPr>
        <w:t xml:space="preserve">, en contra de la respuesta del </w:t>
      </w:r>
      <w:r w:rsidRPr="1B94458F">
        <w:rPr>
          <w:rFonts w:eastAsia="Palatino Linotype" w:cs="Palatino Linotype"/>
          <w:b/>
          <w:bCs/>
          <w:color w:val="000000" w:themeColor="text1"/>
          <w:lang w:val="es-ES"/>
        </w:rPr>
        <w:t xml:space="preserve">Ayuntamiento </w:t>
      </w:r>
      <w:r w:rsidR="00296309" w:rsidRPr="00296309">
        <w:rPr>
          <w:rFonts w:eastAsia="Palatino Linotype" w:cs="Palatino Linotype"/>
          <w:b/>
          <w:bCs/>
          <w:color w:val="000000" w:themeColor="text1"/>
          <w:lang w:val="es-ES"/>
        </w:rPr>
        <w:t>de Temamatla</w:t>
      </w:r>
      <w:r w:rsidRPr="1B94458F">
        <w:rPr>
          <w:rFonts w:eastAsia="Palatino Linotype" w:cs="Palatino Linotype"/>
          <w:color w:val="000000" w:themeColor="text1"/>
          <w:lang w:val="es-ES"/>
        </w:rPr>
        <w:t>, en lo subsecuente</w:t>
      </w:r>
      <w:r w:rsidRPr="1B94458F">
        <w:rPr>
          <w:rFonts w:eastAsia="Palatino Linotype" w:cs="Palatino Linotype"/>
          <w:b/>
          <w:bCs/>
          <w:color w:val="000000" w:themeColor="text1"/>
          <w:lang w:val="es-ES"/>
        </w:rPr>
        <w:t xml:space="preserve"> </w:t>
      </w:r>
      <w:r w:rsidRPr="1B94458F">
        <w:rPr>
          <w:rFonts w:eastAsia="Palatino Linotype" w:cs="Palatino Linotype"/>
          <w:color w:val="000000" w:themeColor="text1"/>
          <w:lang w:val="es-ES"/>
        </w:rPr>
        <w:t>el</w:t>
      </w:r>
      <w:r w:rsidRPr="1B94458F">
        <w:rPr>
          <w:rFonts w:eastAsia="Palatino Linotype" w:cs="Palatino Linotype"/>
          <w:b/>
          <w:bCs/>
          <w:color w:val="000000" w:themeColor="text1"/>
          <w:lang w:val="es-ES"/>
        </w:rPr>
        <w:t xml:space="preserve"> Sujeto Obligado, </w:t>
      </w:r>
      <w:r w:rsidRPr="1B94458F">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6ED4827" w:rsidR="00A970D5" w:rsidRPr="006922F5" w:rsidRDefault="00AB57B1"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5ABC523A"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C163B7">
        <w:rPr>
          <w:rFonts w:eastAsia="Palatino Linotype" w:cs="Palatino Linotype"/>
          <w:color w:val="000000"/>
          <w:szCs w:val="24"/>
        </w:rPr>
        <w:t>dos de octubre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7A6F39">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w:t>
      </w:r>
      <w:proofErr w:type="spellStart"/>
      <w:r w:rsidR="00A970D5" w:rsidRPr="006922F5">
        <w:rPr>
          <w:rFonts w:eastAsia="Palatino Linotype" w:cs="Palatino Linotype"/>
          <w:color w:val="000000"/>
          <w:szCs w:val="24"/>
        </w:rPr>
        <w:t>SAIMEX</w:t>
      </w:r>
      <w:proofErr w:type="spellEnd"/>
      <w:r w:rsidR="00A970D5" w:rsidRPr="006922F5">
        <w:rPr>
          <w:rFonts w:eastAsia="Palatino Linotype" w:cs="Palatino Linotype"/>
          <w:color w:val="000000"/>
          <w:szCs w:val="24"/>
        </w:rPr>
        <w:t>) con el número de expediente</w:t>
      </w:r>
      <w:r w:rsidR="00642669">
        <w:rPr>
          <w:rFonts w:eastAsia="Palatino Linotype" w:cs="Palatino Linotype"/>
          <w:b/>
          <w:bCs/>
          <w:color w:val="000000"/>
          <w:szCs w:val="24"/>
        </w:rPr>
        <w:t xml:space="preserve"> </w:t>
      </w:r>
      <w:r w:rsidR="00C163B7">
        <w:rPr>
          <w:rFonts w:eastAsia="Palatino Linotype" w:cs="Palatino Linotype"/>
          <w:b/>
          <w:bCs/>
          <w:color w:val="000000"/>
          <w:szCs w:val="24"/>
        </w:rPr>
        <w:t>00460/</w:t>
      </w:r>
      <w:proofErr w:type="spellStart"/>
      <w:r w:rsidR="00C163B7">
        <w:rPr>
          <w:rFonts w:eastAsia="Palatino Linotype" w:cs="Palatino Linotype"/>
          <w:b/>
          <w:bCs/>
          <w:color w:val="000000"/>
          <w:szCs w:val="24"/>
        </w:rPr>
        <w:t>TEMAMATL</w:t>
      </w:r>
      <w:proofErr w:type="spellEnd"/>
      <w:r w:rsidR="00C163B7">
        <w:rPr>
          <w:rFonts w:eastAsia="Palatino Linotype" w:cs="Palatino Linotype"/>
          <w:b/>
          <w:bCs/>
          <w:color w:val="000000"/>
          <w:szCs w:val="24"/>
        </w:rPr>
        <w:t>/IP/2024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0204A2E" w:rsidR="00A970D5" w:rsidRPr="006922F5" w:rsidRDefault="70652167" w:rsidP="009950AD">
      <w:pPr>
        <w:pStyle w:val="Fundamentos"/>
      </w:pPr>
      <w:r w:rsidRPr="70652167">
        <w:rPr>
          <w:lang w:val="es-ES"/>
        </w:rPr>
        <w:t>«</w:t>
      </w:r>
      <w:proofErr w:type="spellStart"/>
      <w:r w:rsidR="00FA5A28" w:rsidRPr="00FA5A28">
        <w:rPr>
          <w:lang w:val="es-ES"/>
        </w:rPr>
        <w:t>Cuantos.apoyos</w:t>
      </w:r>
      <w:proofErr w:type="spellEnd"/>
      <w:r w:rsidR="00FA5A28" w:rsidRPr="00FA5A28">
        <w:rPr>
          <w:lang w:val="es-ES"/>
        </w:rPr>
        <w:t xml:space="preserve"> fueron entregados a la ciudadanía por parte del Presidente Municipal, de que apoyo se trató, si fue para cabecera o delegaciones y cuanto represento en gasto para el </w:t>
      </w:r>
      <w:proofErr w:type="gramStart"/>
      <w:r w:rsidR="00FA5A28" w:rsidRPr="00FA5A28">
        <w:rPr>
          <w:lang w:val="es-ES"/>
        </w:rPr>
        <w:t>municipio ,</w:t>
      </w:r>
      <w:proofErr w:type="gramEnd"/>
      <w:r w:rsidR="00FA5A28" w:rsidRPr="00FA5A28">
        <w:rPr>
          <w:lang w:val="es-ES"/>
        </w:rPr>
        <w:t xml:space="preserve"> desglosado por mes durante la administración 2022 2024</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 xml:space="preserve">A través del </w:t>
      </w:r>
      <w:proofErr w:type="spellStart"/>
      <w:r w:rsidR="004A6F01">
        <w:rPr>
          <w:rFonts w:eastAsia="Palatino Linotype" w:cs="Palatino Linotype"/>
          <w:b/>
          <w:color w:val="000000"/>
          <w:szCs w:val="24"/>
        </w:rPr>
        <w:t>SAIMEX</w:t>
      </w:r>
      <w:proofErr w:type="spellEnd"/>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693EF0C9" w:rsidR="00A970D5" w:rsidRPr="006922F5" w:rsidRDefault="008357DD"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1E66110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DF5DC1">
        <w:rPr>
          <w:rFonts w:eastAsia="Palatino Linotype" w:cs="Palatino Linotype"/>
          <w:color w:val="000000"/>
          <w:szCs w:val="24"/>
        </w:rPr>
        <w:t>veintidós</w:t>
      </w:r>
      <w:r w:rsidR="00BD2A1B">
        <w:rPr>
          <w:rFonts w:eastAsia="Palatino Linotype" w:cs="Palatino Linotype"/>
          <w:color w:val="000000"/>
          <w:szCs w:val="24"/>
        </w:rPr>
        <w:t xml:space="preserve"> de octubre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48F2757" w14:textId="77777777" w:rsidR="00332022" w:rsidRDefault="1B94458F" w:rsidP="00332022">
      <w:pPr>
        <w:pStyle w:val="Fundamentos"/>
        <w:rPr>
          <w:lang w:val="es-ES"/>
        </w:rPr>
      </w:pPr>
      <w:r w:rsidRPr="1B94458F">
        <w:rPr>
          <w:lang w:val="es-ES"/>
        </w:rPr>
        <w:t>«</w:t>
      </w:r>
      <w:r w:rsidR="00332022" w:rsidRPr="00332022">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40C419" w14:textId="77777777" w:rsidR="00332022" w:rsidRPr="00332022" w:rsidRDefault="00332022" w:rsidP="00332022">
      <w:pPr>
        <w:pStyle w:val="Fundamentos"/>
        <w:rPr>
          <w:lang w:val="es-ES"/>
        </w:rPr>
      </w:pPr>
    </w:p>
    <w:p w14:paraId="3FE4A9EF" w14:textId="3AB21CDB" w:rsidR="00A970D5" w:rsidRPr="00404754" w:rsidRDefault="00332022" w:rsidP="00332022">
      <w:pPr>
        <w:pStyle w:val="Fundamentos"/>
        <w:rPr>
          <w:lang w:val="es-MX"/>
        </w:rPr>
      </w:pPr>
      <w:r w:rsidRPr="00332022">
        <w:rPr>
          <w:lang w:val="es-ES"/>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w:t>
      </w:r>
      <w:proofErr w:type="spellStart"/>
      <w:r w:rsidRPr="00332022">
        <w:rPr>
          <w:lang w:val="es-ES"/>
        </w:rPr>
        <w:t>INFOEM</w:t>
      </w:r>
      <w:proofErr w:type="spellEnd"/>
      <w:r w:rsidRPr="00332022">
        <w:rPr>
          <w:lang w:val="es-ES"/>
        </w:rPr>
        <w:t xml:space="preserve"> Y LA PROTECCIÓN DE DATOS PERSONALES. ASÍ MISMO EN RELACIÓN AL NUMERAL 12. </w:t>
      </w:r>
      <w:proofErr w:type="spellStart"/>
      <w:r w:rsidRPr="00332022">
        <w:rPr>
          <w:lang w:val="es-ES"/>
        </w:rPr>
        <w:t>LTAIPEMYM</w:t>
      </w:r>
      <w:proofErr w:type="spellEnd"/>
      <w:r w:rsidRPr="00332022">
        <w:rPr>
          <w:lang w:val="es-ES"/>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w:t>
      </w:r>
      <w:r w:rsidRPr="00332022">
        <w:rPr>
          <w:lang w:val="es-ES"/>
        </w:rPr>
        <w:lastRenderedPageBreak/>
        <w:t xml:space="preserve">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w:t>
      </w:r>
      <w:proofErr w:type="spellStart"/>
      <w:r w:rsidRPr="00332022">
        <w:rPr>
          <w:lang w:val="es-ES"/>
        </w:rPr>
        <w:t>INFORMACION</w:t>
      </w:r>
      <w:proofErr w:type="spellEnd"/>
      <w:r w:rsidRPr="00332022">
        <w:rPr>
          <w:lang w:val="es-ES"/>
        </w:rPr>
        <w:t xml:space="preserve">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446C3C4"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1E71F9">
        <w:rPr>
          <w:rFonts w:eastAsia="Palatino Linotype" w:cs="Palatino Linotype"/>
          <w:color w:val="000000" w:themeColor="text1"/>
          <w:lang w:val="es-ES"/>
        </w:rPr>
        <w:t>los</w:t>
      </w:r>
      <w:r w:rsidRPr="70652167">
        <w:rPr>
          <w:rFonts w:eastAsia="Palatino Linotype" w:cs="Palatino Linotype"/>
          <w:color w:val="000000" w:themeColor="text1"/>
          <w:lang w:val="es-ES"/>
        </w:rPr>
        <w:t xml:space="preserve"> documento</w:t>
      </w:r>
      <w:r w:rsidR="001E71F9">
        <w:rPr>
          <w:rFonts w:eastAsia="Palatino Linotype" w:cs="Palatino Linotype"/>
          <w:color w:val="000000" w:themeColor="text1"/>
          <w:lang w:val="es-ES"/>
        </w:rPr>
        <w:t>s</w:t>
      </w:r>
      <w:r w:rsidRPr="70652167">
        <w:rPr>
          <w:rFonts w:eastAsia="Palatino Linotype" w:cs="Palatino Linotype"/>
          <w:color w:val="000000" w:themeColor="text1"/>
          <w:lang w:val="es-ES"/>
        </w:rPr>
        <w:t xml:space="preserve"> denominado</w:t>
      </w:r>
      <w:r w:rsidR="001E71F9">
        <w:rPr>
          <w:rFonts w:eastAsia="Palatino Linotype" w:cs="Palatino Linotype"/>
          <w:color w:val="000000" w:themeColor="text1"/>
          <w:lang w:val="es-ES"/>
        </w:rPr>
        <w:t xml:space="preserve">s </w:t>
      </w:r>
      <w:r w:rsidR="001E71F9" w:rsidRPr="70652167">
        <w:rPr>
          <w:rFonts w:eastAsia="Palatino Linotype" w:cs="Palatino Linotype"/>
          <w:b/>
          <w:bCs/>
          <w:color w:val="000000" w:themeColor="text1"/>
          <w:lang w:val="es-ES"/>
        </w:rPr>
        <w:t>«</w:t>
      </w:r>
      <w:r w:rsidR="001E71F9">
        <w:rPr>
          <w:rFonts w:eastAsia="Palatino Linotype" w:cs="Palatino Linotype"/>
          <w:b/>
          <w:bCs/>
          <w:color w:val="000000" w:themeColor="text1"/>
          <w:lang w:val="es-ES"/>
        </w:rPr>
        <w:t>SOL_</w:t>
      </w:r>
      <w:r w:rsidR="00D17E8F">
        <w:rPr>
          <w:rFonts w:eastAsia="Palatino Linotype" w:cs="Palatino Linotype"/>
          <w:b/>
          <w:bCs/>
          <w:color w:val="000000" w:themeColor="text1"/>
          <w:lang w:val="es-ES"/>
        </w:rPr>
        <w:t>00</w:t>
      </w:r>
      <w:r w:rsidR="00CE41B9">
        <w:rPr>
          <w:rFonts w:eastAsia="Palatino Linotype" w:cs="Palatino Linotype"/>
          <w:b/>
          <w:bCs/>
          <w:color w:val="000000" w:themeColor="text1"/>
          <w:lang w:val="es-ES"/>
        </w:rPr>
        <w:t>460</w:t>
      </w:r>
      <w:r w:rsidR="001E71F9" w:rsidRPr="70652167">
        <w:rPr>
          <w:rFonts w:eastAsia="Palatino Linotype" w:cs="Palatino Linotype"/>
          <w:b/>
          <w:bCs/>
          <w:color w:val="000000" w:themeColor="text1"/>
          <w:lang w:val="es-ES"/>
        </w:rPr>
        <w:t>.pdf»</w:t>
      </w:r>
      <w:r w:rsidR="001E71F9" w:rsidRPr="70652167">
        <w:rPr>
          <w:rFonts w:eastAsia="Palatino Linotype" w:cs="Palatino Linotype"/>
          <w:color w:val="000000" w:themeColor="text1"/>
          <w:lang w:val="es-ES"/>
        </w:rPr>
        <w:t xml:space="preserve"> </w:t>
      </w:r>
      <w:r w:rsidR="001E71F9">
        <w:rPr>
          <w:rFonts w:eastAsia="Palatino Linotype" w:cs="Palatino Linotype"/>
          <w:color w:val="000000" w:themeColor="text1"/>
          <w:lang w:val="es-ES"/>
        </w:rPr>
        <w:t>y</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D17E8F">
        <w:rPr>
          <w:rFonts w:eastAsia="Palatino Linotype" w:cs="Palatino Linotype"/>
          <w:b/>
          <w:bCs/>
          <w:color w:val="000000" w:themeColor="text1"/>
          <w:lang w:val="es-ES"/>
        </w:rPr>
        <w:t>ACTA</w:t>
      </w:r>
      <w:r w:rsidR="00CE41B9">
        <w:rPr>
          <w:rFonts w:eastAsia="Palatino Linotype" w:cs="Palatino Linotype"/>
          <w:b/>
          <w:bCs/>
          <w:color w:val="000000" w:themeColor="text1"/>
          <w:lang w:val="es-ES"/>
        </w:rPr>
        <w:t xml:space="preserve"> 84</w:t>
      </w:r>
      <w:r w:rsidR="00B90829" w:rsidRPr="70652167">
        <w:rPr>
          <w:rFonts w:eastAsia="Palatino Linotype" w:cs="Palatino Linotype"/>
          <w:b/>
          <w:bCs/>
          <w:color w:val="000000" w:themeColor="text1"/>
          <w:lang w:val="es-ES"/>
        </w:rPr>
        <w:t>.pdf»</w:t>
      </w:r>
      <w:r w:rsidR="00B90829"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1C0FF4B" w:rsidR="00A970D5" w:rsidRPr="006922F5" w:rsidRDefault="008357DD"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20D684F"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1E6B17">
        <w:rPr>
          <w:rFonts w:eastAsia="Palatino Linotype" w:cs="Palatino Linotype"/>
          <w:color w:val="000000"/>
          <w:szCs w:val="24"/>
        </w:rPr>
        <w:t xml:space="preserve"> por el Sujeto Obligado</w:t>
      </w:r>
      <w:r w:rsidR="00314835">
        <w:rPr>
          <w:rFonts w:eastAsia="Palatino Linotype" w:cs="Palatino Linotype"/>
          <w:color w:val="000000"/>
          <w:szCs w:val="24"/>
        </w:rPr>
        <w:t xml:space="preserve">, </w:t>
      </w:r>
      <w:r w:rsidR="00F05E0B">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0B378A">
        <w:rPr>
          <w:rFonts w:eastAsia="Palatino Linotype" w:cs="Palatino Linotype"/>
          <w:color w:val="000000"/>
          <w:szCs w:val="24"/>
        </w:rPr>
        <w:t>veinti</w:t>
      </w:r>
      <w:r w:rsidR="003D3B7A">
        <w:rPr>
          <w:rFonts w:eastAsia="Palatino Linotype" w:cs="Palatino Linotype"/>
          <w:color w:val="000000"/>
          <w:szCs w:val="24"/>
        </w:rPr>
        <w:t>cinco</w:t>
      </w:r>
      <w:r w:rsidR="00BD2A1B">
        <w:rPr>
          <w:rFonts w:eastAsia="Palatino Linotype" w:cs="Palatino Linotype"/>
          <w:color w:val="000000"/>
          <w:szCs w:val="24"/>
        </w:rPr>
        <w:t xml:space="preserve"> de octubre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xml:space="preserve">, el cual se registró en el </w:t>
      </w:r>
      <w:proofErr w:type="spellStart"/>
      <w:r w:rsidRPr="0090115A">
        <w:rPr>
          <w:rFonts w:eastAsia="Palatino Linotype" w:cs="Palatino Linotype"/>
          <w:color w:val="000000"/>
          <w:szCs w:val="24"/>
        </w:rPr>
        <w:t>SAIMEX</w:t>
      </w:r>
      <w:proofErr w:type="spellEnd"/>
      <w:r w:rsidRPr="0090115A">
        <w:rPr>
          <w:rFonts w:eastAsia="Palatino Linotype" w:cs="Palatino Linotype"/>
          <w:color w:val="000000"/>
          <w:szCs w:val="24"/>
        </w:rPr>
        <w:t xml:space="preserve"> con el expedient</w:t>
      </w:r>
      <w:r w:rsidRPr="00BD2A1B">
        <w:rPr>
          <w:rFonts w:eastAsia="Palatino Linotype" w:cs="Palatino Linotype"/>
          <w:color w:val="000000"/>
          <w:szCs w:val="24"/>
        </w:rPr>
        <w:t>e</w:t>
      </w:r>
      <w:r w:rsidR="00FB26D9" w:rsidRPr="00BD2A1B">
        <w:rPr>
          <w:rFonts w:eastAsia="Palatino Linotype" w:cs="Palatino Linotype"/>
          <w:color w:val="000000"/>
          <w:szCs w:val="24"/>
        </w:rPr>
        <w:t xml:space="preserve"> </w:t>
      </w:r>
      <w:r w:rsidR="00DD719A">
        <w:rPr>
          <w:rFonts w:eastAsia="Palatino Linotype" w:cs="Palatino Linotype"/>
          <w:b/>
          <w:color w:val="000000"/>
          <w:szCs w:val="24"/>
        </w:rPr>
        <w:t>06675/</w:t>
      </w:r>
      <w:proofErr w:type="spellStart"/>
      <w:r w:rsidR="00DD719A">
        <w:rPr>
          <w:rFonts w:eastAsia="Palatino Linotype" w:cs="Palatino Linotype"/>
          <w:b/>
          <w:color w:val="000000"/>
          <w:szCs w:val="24"/>
        </w:rPr>
        <w:t>INFOEM</w:t>
      </w:r>
      <w:proofErr w:type="spellEnd"/>
      <w:r w:rsidR="00DD719A">
        <w:rPr>
          <w:rFonts w:eastAsia="Palatino Linotype" w:cs="Palatino Linotype"/>
          <w:b/>
          <w:color w:val="000000"/>
          <w:szCs w:val="24"/>
        </w:rPr>
        <w:t>/IP/</w:t>
      </w:r>
      <w:proofErr w:type="spellStart"/>
      <w:r w:rsidR="00DD719A">
        <w:rPr>
          <w:rFonts w:eastAsia="Palatino Linotype" w:cs="Palatino Linotype"/>
          <w:b/>
          <w:color w:val="000000"/>
          <w:szCs w:val="24"/>
        </w:rPr>
        <w:t>RR</w:t>
      </w:r>
      <w:proofErr w:type="spellEnd"/>
      <w:r w:rsidR="00DD719A">
        <w:rPr>
          <w:rFonts w:eastAsia="Palatino Linotype" w:cs="Palatino Linotype"/>
          <w:b/>
          <w:color w:val="000000"/>
          <w:szCs w:val="24"/>
        </w:rPr>
        <w:t>/2024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0F0288D" w:rsidR="00A970D5" w:rsidRPr="006922F5" w:rsidRDefault="5C35490E" w:rsidP="5C35490E">
      <w:pPr>
        <w:pStyle w:val="Fundamentos"/>
        <w:rPr>
          <w:b/>
          <w:bCs/>
          <w:lang w:val="es-ES"/>
        </w:rPr>
      </w:pPr>
      <w:r w:rsidRPr="5C35490E">
        <w:rPr>
          <w:lang w:val="es-ES"/>
        </w:rPr>
        <w:t>«</w:t>
      </w:r>
      <w:r w:rsidR="004E4A28" w:rsidRPr="004E4A28">
        <w:rPr>
          <w:lang w:val="es-ES"/>
        </w:rPr>
        <w:t xml:space="preserve">RESPUESTA </w:t>
      </w:r>
      <w:r w:rsidR="00B210DF">
        <w:rPr>
          <w:lang w:val="es-ES"/>
        </w:rPr>
        <w:t>OTORGADA</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6A995A3" w:rsidR="00300EA0" w:rsidRPr="006922F5" w:rsidRDefault="1B94458F" w:rsidP="00300EA0">
      <w:pPr>
        <w:pStyle w:val="Fundamentos"/>
        <w:rPr>
          <w:b/>
          <w:bCs/>
          <w:lang w:val="es-ES"/>
        </w:rPr>
      </w:pPr>
      <w:r w:rsidRPr="1B94458F">
        <w:rPr>
          <w:lang w:val="es-ES"/>
        </w:rPr>
        <w:t>«</w:t>
      </w:r>
      <w:r w:rsidR="00532740">
        <w:rPr>
          <w:lang w:val="es-ES"/>
        </w:rPr>
        <w:t>E</w:t>
      </w:r>
      <w:r w:rsidR="006978BB" w:rsidRPr="006978BB">
        <w:rPr>
          <w:lang w:val="es-ES"/>
        </w:rPr>
        <w:t xml:space="preserve">L SUJETO OBLIGADO MANIFIESTA QUE LA ENTREGA DE </w:t>
      </w:r>
      <w:proofErr w:type="spellStart"/>
      <w:r w:rsidR="006978BB" w:rsidRPr="006978BB">
        <w:rPr>
          <w:lang w:val="es-ES"/>
        </w:rPr>
        <w:t>INFORMACION</w:t>
      </w:r>
      <w:proofErr w:type="spellEnd"/>
      <w:r w:rsidR="006978BB" w:rsidRPr="006978BB">
        <w:rPr>
          <w:lang w:val="es-ES"/>
        </w:rPr>
        <w:t xml:space="preserve"> SERA MEDIANTE CONSULTA DIRECTA EN UNA FECHA Y UN HORARIO IGUAL AL ESTABLECIDO EN LAS SOLICITUDES 438, 441, 442, 445, 446, 448, ,449, ,450, 451,452,454,455,456,458,459, 460,461,462,463,464,465,466,467,468,470, 471, 472, 473, 474,480, 481,482,483, 493, 498,499, 500, 560 PONIENDO A </w:t>
      </w:r>
      <w:proofErr w:type="spellStart"/>
      <w:r w:rsidR="006978BB" w:rsidRPr="006978BB">
        <w:rPr>
          <w:lang w:val="es-ES"/>
        </w:rPr>
        <w:t>DISPOCISION</w:t>
      </w:r>
      <w:proofErr w:type="spellEnd"/>
      <w:r w:rsidR="006978BB" w:rsidRPr="006978BB">
        <w:rPr>
          <w:lang w:val="es-ES"/>
        </w:rPr>
        <w:t xml:space="preserve"> LA </w:t>
      </w:r>
      <w:proofErr w:type="spellStart"/>
      <w:r w:rsidR="006978BB" w:rsidRPr="006978BB">
        <w:rPr>
          <w:lang w:val="es-ES"/>
        </w:rPr>
        <w:t>INFORMACION</w:t>
      </w:r>
      <w:proofErr w:type="spellEnd"/>
      <w:r w:rsidR="006978BB" w:rsidRPr="006978BB">
        <w:rPr>
          <w:lang w:val="es-ES"/>
        </w:rPr>
        <w:t xml:space="preserve"> EN LUGARES TOTALMENTE DISTINTOS ENTRE UNA SOLICITUD Y OTRA, HACIENDO ESTO HUMANAMENTE IMPOSIBLE DE SOLVENTAR, EN UN ACTO DE TOTAL OPACIDAD E IRREGULARIDAD, MENOSCABANDO LO ESTIPULADO EN LOS </w:t>
      </w:r>
      <w:proofErr w:type="spellStart"/>
      <w:r w:rsidR="006978BB" w:rsidRPr="006978BB">
        <w:rPr>
          <w:lang w:val="es-ES"/>
        </w:rPr>
        <w:t>ARTICULOS</w:t>
      </w:r>
      <w:proofErr w:type="spellEnd"/>
      <w:r w:rsidR="006978BB" w:rsidRPr="006978BB">
        <w:rPr>
          <w:lang w:val="es-ES"/>
        </w:rPr>
        <w:t xml:space="preserve"> 4, 7 Y 24 </w:t>
      </w:r>
      <w:proofErr w:type="spellStart"/>
      <w:r w:rsidR="006978BB" w:rsidRPr="006978BB">
        <w:rPr>
          <w:lang w:val="es-ES"/>
        </w:rPr>
        <w:t>FRACCION</w:t>
      </w:r>
      <w:proofErr w:type="spellEnd"/>
      <w:r w:rsidR="006978BB" w:rsidRPr="006978BB">
        <w:rPr>
          <w:lang w:val="es-ES"/>
        </w:rPr>
        <w:t xml:space="preserve"> XVII, XIX, XXII, XXIII DE LA LEY DE TRANSPARENCIA Y ACCESO A LA </w:t>
      </w:r>
      <w:proofErr w:type="spellStart"/>
      <w:r w:rsidR="006978BB" w:rsidRPr="006978BB">
        <w:rPr>
          <w:lang w:val="es-ES"/>
        </w:rPr>
        <w:t>INFORMACION</w:t>
      </w:r>
      <w:proofErr w:type="spellEnd"/>
      <w:r w:rsidR="006978BB" w:rsidRPr="006978BB">
        <w:rPr>
          <w:lang w:val="es-ES"/>
        </w:rPr>
        <w:t xml:space="preserve"> PUBLICA DEL ESTADO DE </w:t>
      </w:r>
      <w:proofErr w:type="spellStart"/>
      <w:r w:rsidR="006978BB" w:rsidRPr="006978BB">
        <w:rPr>
          <w:lang w:val="es-ES"/>
        </w:rPr>
        <w:t>MEXICO</w:t>
      </w:r>
      <w:proofErr w:type="spellEnd"/>
      <w:r w:rsidR="006978BB" w:rsidRPr="006978BB">
        <w:rPr>
          <w:lang w:val="es-ES"/>
        </w:rPr>
        <w:t xml:space="preserve">, DEMOSTRANDO DE MANERA RECURRENTE QUE EL SUJETO OBLIGADO </w:t>
      </w:r>
      <w:proofErr w:type="spellStart"/>
      <w:r w:rsidR="006978BB" w:rsidRPr="006978BB">
        <w:rPr>
          <w:lang w:val="es-ES"/>
        </w:rPr>
        <w:t>ENTORPESE</w:t>
      </w:r>
      <w:proofErr w:type="spellEnd"/>
      <w:r w:rsidR="006978BB" w:rsidRPr="006978BB">
        <w:rPr>
          <w:lang w:val="es-ES"/>
        </w:rPr>
        <w:t xml:space="preserve"> EL DERECHO AL ACCESO DE LA </w:t>
      </w:r>
      <w:proofErr w:type="spellStart"/>
      <w:r w:rsidR="006978BB" w:rsidRPr="006978BB">
        <w:rPr>
          <w:lang w:val="es-ES"/>
        </w:rPr>
        <w:t>INFORMACION</w:t>
      </w:r>
      <w:proofErr w:type="spellEnd"/>
      <w:r w:rsidR="006978BB" w:rsidRPr="006978BB">
        <w:rPr>
          <w:lang w:val="es-ES"/>
        </w:rPr>
        <w:t xml:space="preserve"> SOLICITADA, POR LO QUE SOLICITO QUE LA </w:t>
      </w:r>
      <w:proofErr w:type="spellStart"/>
      <w:r w:rsidR="006978BB" w:rsidRPr="006978BB">
        <w:rPr>
          <w:lang w:val="es-ES"/>
        </w:rPr>
        <w:t>INFORMACION</w:t>
      </w:r>
      <w:proofErr w:type="spellEnd"/>
      <w:r w:rsidR="006978BB" w:rsidRPr="006978BB">
        <w:rPr>
          <w:lang w:val="es-ES"/>
        </w:rPr>
        <w:t xml:space="preserve"> SEA ENTREGADA A </w:t>
      </w:r>
      <w:proofErr w:type="spellStart"/>
      <w:r w:rsidR="006978BB" w:rsidRPr="006978BB">
        <w:rPr>
          <w:lang w:val="es-ES"/>
        </w:rPr>
        <w:t>TRAVES</w:t>
      </w:r>
      <w:proofErr w:type="spellEnd"/>
      <w:r w:rsidR="006978BB" w:rsidRPr="006978BB">
        <w:rPr>
          <w:lang w:val="es-ES"/>
        </w:rPr>
        <w:t xml:space="preserve"> DE ESTA PLATAFORMA</w:t>
      </w:r>
      <w:r w:rsidRPr="1B94458F">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438C783" w:rsidR="00A970D5" w:rsidRPr="006922F5" w:rsidRDefault="008357DD" w:rsidP="006922F5">
      <w:pPr>
        <w:pStyle w:val="Ttulo2"/>
        <w:rPr>
          <w:rFonts w:eastAsia="Palatino Linotype"/>
        </w:rPr>
      </w:pPr>
      <w:r>
        <w:rPr>
          <w:rFonts w:eastAsia="Palatino Linotype"/>
        </w:rPr>
        <w:t>CUAR</w:t>
      </w:r>
      <w:r w:rsidR="00AB57B1">
        <w:rPr>
          <w:rFonts w:eastAsia="Palatino Linotype"/>
        </w:rPr>
        <w:t>T</w:t>
      </w:r>
      <w:r w:rsidR="002942EA">
        <w:rPr>
          <w:rFonts w:eastAsia="Palatino Linotype"/>
        </w:rPr>
        <w:t>O</w:t>
      </w:r>
      <w:r w:rsidR="00A970D5" w:rsidRPr="006922F5">
        <w:rPr>
          <w:rFonts w:eastAsia="Palatino Linotype"/>
        </w:rPr>
        <w:t>. Del turno y admisión del recurso de revisión.</w:t>
      </w:r>
    </w:p>
    <w:p w14:paraId="2459DEBA" w14:textId="1763C41E" w:rsidR="00A970D5" w:rsidRPr="006922F5" w:rsidRDefault="1B94458F" w:rsidP="1B94458F">
      <w:pPr>
        <w:pBdr>
          <w:top w:val="nil"/>
          <w:left w:val="nil"/>
          <w:bottom w:val="nil"/>
          <w:right w:val="nil"/>
          <w:between w:val="nil"/>
        </w:pBdr>
        <w:contextualSpacing/>
        <w:rPr>
          <w:rFonts w:eastAsia="Palatino Linotype" w:cs="Palatino Linotype"/>
          <w:color w:val="000000"/>
          <w:lang w:val="es-ES"/>
        </w:rPr>
      </w:pPr>
      <w:r w:rsidRPr="1B94458F">
        <w:rPr>
          <w:rFonts w:eastAsia="Palatino Linotype" w:cs="Palatino Linotype"/>
          <w:color w:val="000000" w:themeColor="text1"/>
          <w:lang w:val="es-ES"/>
        </w:rPr>
        <w:t xml:space="preserve">Medio de impugnación que le fue turnado al </w:t>
      </w:r>
      <w:r w:rsidRPr="1B94458F">
        <w:rPr>
          <w:rFonts w:eastAsia="Palatino Linotype" w:cs="Palatino Linotype"/>
          <w:b/>
          <w:bCs/>
          <w:color w:val="000000" w:themeColor="text1"/>
          <w:lang w:val="es-ES"/>
        </w:rPr>
        <w:t xml:space="preserve">Comisionado </w:t>
      </w:r>
      <w:proofErr w:type="gramStart"/>
      <w:r w:rsidRPr="1B94458F">
        <w:rPr>
          <w:rFonts w:eastAsia="Palatino Linotype" w:cs="Palatino Linotype"/>
          <w:b/>
          <w:bCs/>
          <w:color w:val="000000" w:themeColor="text1"/>
          <w:lang w:val="es-ES"/>
        </w:rPr>
        <w:t>Presidente</w:t>
      </w:r>
      <w:proofErr w:type="gramEnd"/>
      <w:r w:rsidRPr="1B94458F">
        <w:rPr>
          <w:rFonts w:eastAsia="Palatino Linotype" w:cs="Palatino Linotype"/>
          <w:b/>
          <w:bCs/>
          <w:color w:val="000000" w:themeColor="text1"/>
          <w:lang w:val="es-ES"/>
        </w:rPr>
        <w:t xml:space="preserve"> José Martínez Vilchis</w:t>
      </w:r>
      <w:r w:rsidRPr="1B94458F">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40031A">
        <w:rPr>
          <w:rFonts w:eastAsia="Palatino Linotype" w:cs="Palatino Linotype"/>
          <w:color w:val="000000" w:themeColor="text1"/>
          <w:lang w:val="es-ES"/>
        </w:rPr>
        <w:t>treinta</w:t>
      </w:r>
      <w:r w:rsidRPr="1B94458F">
        <w:rPr>
          <w:rFonts w:eastAsia="Palatino Linotype" w:cs="Palatino Linotype"/>
          <w:color w:val="000000" w:themeColor="text1"/>
          <w:lang w:val="es-ES"/>
        </w:rPr>
        <w:t xml:space="preserve"> de octubre de dos mil veinticuatro, </w:t>
      </w:r>
      <w:r w:rsidRPr="1B94458F">
        <w:rPr>
          <w:rFonts w:eastAsia="Palatino Linotype" w:cs="Palatino Linotype"/>
          <w:lang w:val="es-ES"/>
        </w:rPr>
        <w:t>otorgándose</w:t>
      </w:r>
      <w:r w:rsidRPr="1B94458F">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CB8A34D" w:rsidR="00A970D5" w:rsidRPr="006922F5" w:rsidRDefault="008357DD" w:rsidP="006922F5">
      <w:pPr>
        <w:pStyle w:val="Ttulo2"/>
        <w:rPr>
          <w:rFonts w:eastAsia="Palatino Linotype"/>
        </w:rPr>
      </w:pPr>
      <w:r>
        <w:rPr>
          <w:rFonts w:eastAsia="Palatino Linotype"/>
        </w:rPr>
        <w:t>QUIN</w:t>
      </w:r>
      <w:r w:rsidR="002942EA">
        <w:rPr>
          <w:rFonts w:eastAsia="Palatino Linotype"/>
        </w:rPr>
        <w:t>TO</w:t>
      </w:r>
      <w:r w:rsidR="00A970D5" w:rsidRPr="006922F5">
        <w:rPr>
          <w:rFonts w:eastAsia="Palatino Linotype"/>
        </w:rPr>
        <w:t>. De la etapa de instrucción.</w:t>
      </w:r>
    </w:p>
    <w:p w14:paraId="54278511" w14:textId="653C9FCC" w:rsidR="002942EA" w:rsidRPr="009D62BC" w:rsidRDefault="1B94458F" w:rsidP="1B94458F">
      <w:pPr>
        <w:pBdr>
          <w:top w:val="nil"/>
          <w:left w:val="nil"/>
          <w:bottom w:val="nil"/>
          <w:right w:val="nil"/>
          <w:between w:val="nil"/>
        </w:pBdr>
        <w:contextualSpacing/>
        <w:rPr>
          <w:rFonts w:eastAsia="Palatino Linotype" w:cs="Palatino Linotype"/>
          <w:color w:val="000000"/>
        </w:rPr>
      </w:pPr>
      <w:r w:rsidRPr="1B94458F">
        <w:rPr>
          <w:rFonts w:eastAsia="Palatino Linotype" w:cs="Palatino Linotype"/>
          <w:color w:val="000000" w:themeColor="text1"/>
        </w:rPr>
        <w:t>Una vez abierta la etapa de instrucción, se observa que el Sujeto Obligado omitió rendir el Informe Justificado. Por su parte, el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68CC673C" w:rsidR="00A970D5" w:rsidRPr="006922F5" w:rsidRDefault="009B56A2" w:rsidP="006922F5">
      <w:pPr>
        <w:pStyle w:val="Ttulo2"/>
        <w:rPr>
          <w:rFonts w:eastAsia="Palatino Linotype"/>
        </w:rPr>
      </w:pPr>
      <w:r>
        <w:rPr>
          <w:rFonts w:eastAsia="Palatino Linotype"/>
        </w:rPr>
        <w:t>S</w:t>
      </w:r>
      <w:r w:rsidR="008357DD">
        <w:rPr>
          <w:rFonts w:eastAsia="Palatino Linotype"/>
        </w:rPr>
        <w:t>EXT</w:t>
      </w:r>
      <w:r w:rsidR="00AB57B1">
        <w:rPr>
          <w:rFonts w:eastAsia="Palatino Linotype"/>
        </w:rPr>
        <w:t>O</w:t>
      </w:r>
      <w:r w:rsidR="00A970D5" w:rsidRPr="006922F5">
        <w:rPr>
          <w:rFonts w:eastAsia="Palatino Linotype"/>
        </w:rPr>
        <w:t>. Del cierre de instrucción.</w:t>
      </w:r>
    </w:p>
    <w:p w14:paraId="2456F4BD" w14:textId="2CE1D3C6"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40031A">
        <w:rPr>
          <w:rFonts w:eastAsia="Palatino Linotype" w:cs="Palatino Linotype"/>
          <w:color w:val="000000"/>
          <w:szCs w:val="24"/>
        </w:rPr>
        <w:t>doce</w:t>
      </w:r>
      <w:r w:rsidR="00BD2A1B">
        <w:rPr>
          <w:rFonts w:eastAsia="Palatino Linotype" w:cs="Palatino Linotype"/>
          <w:color w:val="000000"/>
          <w:szCs w:val="24"/>
        </w:rPr>
        <w:t xml:space="preserve"> de noviembre </w:t>
      </w:r>
      <w:r w:rsidR="000C2661">
        <w:rPr>
          <w:rFonts w:eastAsia="Palatino Linotype" w:cs="Palatino Linotype"/>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5CAA12CF" w14:textId="77777777" w:rsidR="00BD78C4" w:rsidRPr="007E5F2B" w:rsidRDefault="00BD78C4" w:rsidP="00BD78C4">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03A07794" w14:textId="77777777" w:rsidR="00BD78C4" w:rsidRPr="007E5F2B" w:rsidRDefault="00BD78C4" w:rsidP="00BD78C4">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E181D37" w14:textId="77777777" w:rsidR="00BD78C4" w:rsidRPr="007E5F2B" w:rsidRDefault="00BD78C4" w:rsidP="00BD78C4">
      <w:pPr>
        <w:contextualSpacing/>
        <w:rPr>
          <w:rFonts w:eastAsia="Palatino Linotype" w:cs="Palatino Linotype"/>
          <w:szCs w:val="24"/>
        </w:rPr>
      </w:pPr>
    </w:p>
    <w:p w14:paraId="3E25A684"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571E022" w14:textId="77777777" w:rsidR="00BD78C4" w:rsidRPr="007E5F2B" w:rsidRDefault="00BD78C4" w:rsidP="00BD78C4">
      <w:pPr>
        <w:spacing w:line="240" w:lineRule="auto"/>
        <w:ind w:left="567" w:right="567"/>
        <w:contextualSpacing/>
        <w:rPr>
          <w:rFonts w:eastAsia="Palatino Linotype" w:cs="Palatino Linotype"/>
          <w:i/>
          <w:sz w:val="22"/>
        </w:rPr>
      </w:pPr>
    </w:p>
    <w:p w14:paraId="3CB04B73"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524B3F1C"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BC10830"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2763EC4F"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3F6D687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634E82C9"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55FC5121"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4BC13F58"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4FA8036F" w14:textId="77777777" w:rsidR="00BD78C4" w:rsidRPr="007E5F2B" w:rsidRDefault="00BD78C4" w:rsidP="00BD78C4">
      <w:pPr>
        <w:spacing w:line="240" w:lineRule="auto"/>
        <w:ind w:left="567" w:right="567"/>
        <w:contextualSpacing/>
        <w:rPr>
          <w:rFonts w:eastAsia="Palatino Linotype" w:cs="Palatino Linotype"/>
          <w:i/>
          <w:sz w:val="22"/>
        </w:rPr>
      </w:pPr>
    </w:p>
    <w:p w14:paraId="7B98ABD0"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Adicionalmente, se podrán anexar las pruebas y demás elementos que considere procedentes someter a juicio del Instituto.</w:t>
      </w:r>
    </w:p>
    <w:p w14:paraId="2B043962" w14:textId="77777777" w:rsidR="00BD78C4" w:rsidRPr="007E5F2B" w:rsidRDefault="00BD78C4" w:rsidP="00BD78C4">
      <w:pPr>
        <w:spacing w:line="240" w:lineRule="auto"/>
        <w:ind w:left="567" w:right="567"/>
        <w:contextualSpacing/>
        <w:rPr>
          <w:rFonts w:eastAsia="Palatino Linotype" w:cs="Palatino Linotype"/>
          <w:i/>
          <w:sz w:val="22"/>
        </w:rPr>
      </w:pPr>
    </w:p>
    <w:p w14:paraId="5C1A30F4"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73D4DE00" w14:textId="77777777" w:rsidR="00BD78C4" w:rsidRPr="007E5F2B" w:rsidRDefault="00BD78C4" w:rsidP="00BD78C4">
      <w:pPr>
        <w:spacing w:line="240" w:lineRule="auto"/>
        <w:ind w:left="567" w:right="567"/>
        <w:contextualSpacing/>
        <w:rPr>
          <w:rFonts w:eastAsia="Palatino Linotype" w:cs="Palatino Linotype"/>
          <w:i/>
          <w:sz w:val="22"/>
        </w:rPr>
      </w:pPr>
    </w:p>
    <w:p w14:paraId="48558C47"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14F35763" w14:textId="77777777" w:rsidR="00BD78C4" w:rsidRPr="007E5F2B" w:rsidRDefault="00BD78C4" w:rsidP="00BD78C4">
      <w:pPr>
        <w:contextualSpacing/>
        <w:rPr>
          <w:rFonts w:eastAsia="Palatino Linotype" w:cs="Palatino Linotype"/>
          <w:b/>
          <w:i/>
          <w:szCs w:val="24"/>
        </w:rPr>
      </w:pPr>
    </w:p>
    <w:p w14:paraId="566C3167" w14:textId="77777777" w:rsidR="00BD78C4" w:rsidRPr="007E5F2B" w:rsidRDefault="00BD78C4" w:rsidP="00BD78C4">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Pr>
          <w:rFonts w:eastAsia="Palatino Linotype" w:cs="Palatino Linotype"/>
          <w:szCs w:val="24"/>
        </w:rPr>
        <w:t>no 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FB01E5A" w14:textId="77777777" w:rsidR="00BD78C4" w:rsidRPr="007E5F2B" w:rsidRDefault="00BD78C4" w:rsidP="00BD78C4">
      <w:pPr>
        <w:contextualSpacing/>
        <w:rPr>
          <w:rFonts w:eastAsia="Palatino Linotype" w:cs="Palatino Linotype"/>
          <w:szCs w:val="24"/>
        </w:rPr>
      </w:pPr>
    </w:p>
    <w:p w14:paraId="728925A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12776CE4" w14:textId="77777777" w:rsidR="00BD78C4" w:rsidRPr="007E5F2B" w:rsidRDefault="00BD78C4" w:rsidP="00BD78C4">
      <w:pPr>
        <w:spacing w:line="240" w:lineRule="auto"/>
        <w:ind w:left="567" w:right="567"/>
        <w:contextualSpacing/>
        <w:rPr>
          <w:rFonts w:eastAsia="Palatino Linotype" w:cs="Palatino Linotype"/>
          <w:i/>
          <w:sz w:val="22"/>
        </w:rPr>
      </w:pPr>
    </w:p>
    <w:p w14:paraId="0A9910D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2D28C44E" w14:textId="77777777" w:rsidR="00BD78C4" w:rsidRPr="007E5F2B" w:rsidRDefault="00BD78C4" w:rsidP="00BD78C4">
      <w:pPr>
        <w:contextualSpacing/>
        <w:rPr>
          <w:rFonts w:eastAsia="Palatino Linotype" w:cs="Palatino Linotype"/>
          <w:szCs w:val="24"/>
        </w:rPr>
      </w:pPr>
    </w:p>
    <w:p w14:paraId="0FFFABE5" w14:textId="77777777" w:rsidR="00BD78C4" w:rsidRPr="007E5F2B" w:rsidRDefault="00BD78C4" w:rsidP="00BD78C4">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E723593" w14:textId="77777777" w:rsidR="00BD78C4" w:rsidRPr="007E5F2B" w:rsidRDefault="00BD78C4" w:rsidP="00BD78C4">
      <w:pPr>
        <w:contextualSpacing/>
        <w:rPr>
          <w:rFonts w:eastAsia="Palatino Linotype" w:cs="Palatino Linotype"/>
          <w:szCs w:val="24"/>
        </w:rPr>
      </w:pPr>
    </w:p>
    <w:p w14:paraId="5E7E29E2" w14:textId="77777777" w:rsidR="00BD78C4" w:rsidRPr="007E5F2B" w:rsidRDefault="00BD78C4" w:rsidP="00BD78C4">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2919A901"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proofErr w:type="gramStart"/>
      <w:r w:rsidRPr="007E5F2B">
        <w:rPr>
          <w:rFonts w:eastAsia="Palatino Linotype" w:cs="Palatino Linotype"/>
          <w:i/>
          <w:iCs/>
          <w:sz w:val="22"/>
          <w:lang w:val="es-ES"/>
        </w:rPr>
        <w:t>°.-</w:t>
      </w:r>
      <w:proofErr w:type="gramEnd"/>
      <w:r w:rsidRPr="007E5F2B">
        <w:rPr>
          <w:rFonts w:eastAsia="Palatino Linotype" w:cs="Palatino Linotype"/>
          <w:i/>
          <w:iCs/>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007E5F2B">
        <w:rPr>
          <w:rFonts w:eastAsia="Palatino Linotype" w:cs="Palatino Linotype"/>
          <w:i/>
          <w:iCs/>
          <w:sz w:val="22"/>
          <w:lang w:val="es-ES"/>
        </w:rPr>
        <w:lastRenderedPageBreak/>
        <w:t>en los términos dispuestos por la ley. El derecho a la información será garantizado por el Estado.</w:t>
      </w:r>
    </w:p>
    <w:p w14:paraId="58756666"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AE64B7F"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5FEB04F3" w14:textId="77777777" w:rsidR="00BD78C4" w:rsidRPr="007E5F2B" w:rsidRDefault="00BD78C4" w:rsidP="00BD78C4">
      <w:pPr>
        <w:spacing w:line="240" w:lineRule="auto"/>
        <w:ind w:left="567" w:right="567"/>
        <w:contextualSpacing/>
        <w:rPr>
          <w:rFonts w:eastAsia="Palatino Linotype" w:cs="Palatino Linotype"/>
          <w:i/>
          <w:sz w:val="22"/>
        </w:rPr>
      </w:pPr>
    </w:p>
    <w:p w14:paraId="5629D8DC"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1E71500F"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7C1904A5"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66D42CCB"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74C75583" w14:textId="77777777" w:rsidR="00BD78C4" w:rsidRPr="007E5F2B" w:rsidRDefault="00BD78C4" w:rsidP="00BD78C4">
      <w:pPr>
        <w:spacing w:line="240" w:lineRule="auto"/>
        <w:ind w:left="567" w:right="567"/>
        <w:contextualSpacing/>
        <w:rPr>
          <w:rFonts w:eastAsia="Palatino Linotype" w:cs="Palatino Linotype"/>
          <w:i/>
          <w:sz w:val="22"/>
        </w:rPr>
      </w:pPr>
    </w:p>
    <w:p w14:paraId="1E2886C4" w14:textId="77777777" w:rsidR="00BD78C4" w:rsidRPr="007E5F2B" w:rsidRDefault="00BD78C4" w:rsidP="00BD78C4">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13C6D091"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D3C0977"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343FC51"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323359FC"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770FF8FA"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3ACF8642" w14:textId="77777777" w:rsidR="00BD78C4" w:rsidRPr="007E5F2B" w:rsidRDefault="00BD78C4" w:rsidP="00BD78C4">
      <w:pPr>
        <w:spacing w:line="240" w:lineRule="auto"/>
        <w:ind w:left="567" w:right="567"/>
        <w:contextualSpacing/>
        <w:rPr>
          <w:rFonts w:eastAsia="Palatino Linotype" w:cs="Palatino Linotype"/>
          <w:i/>
          <w:sz w:val="22"/>
        </w:rPr>
      </w:pPr>
    </w:p>
    <w:p w14:paraId="465E59FC"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CAEE161" w14:textId="77777777" w:rsidR="00BD78C4" w:rsidRPr="007E5F2B" w:rsidRDefault="00BD78C4" w:rsidP="00BD78C4">
      <w:pPr>
        <w:spacing w:line="240" w:lineRule="auto"/>
        <w:ind w:left="567" w:right="567"/>
        <w:contextualSpacing/>
        <w:rPr>
          <w:rFonts w:eastAsia="Palatino Linotype" w:cs="Palatino Linotype"/>
          <w:i/>
          <w:sz w:val="22"/>
        </w:rPr>
      </w:pPr>
    </w:p>
    <w:p w14:paraId="4C090EFE"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12910E6D"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61E33181"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3EF0DC2"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lastRenderedPageBreak/>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4EFBAE5"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BE1C0DA"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EB046FB"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B9FF894" w14:textId="77777777" w:rsidR="00BD78C4" w:rsidRPr="007E5F2B" w:rsidRDefault="00BD78C4" w:rsidP="00BD78C4">
      <w:pPr>
        <w:ind w:left="567" w:right="567"/>
        <w:contextualSpacing/>
        <w:rPr>
          <w:rFonts w:eastAsia="Palatino Linotype" w:cs="Palatino Linotype"/>
          <w:szCs w:val="24"/>
        </w:rPr>
      </w:pPr>
    </w:p>
    <w:p w14:paraId="53102719" w14:textId="77777777" w:rsidR="00BD78C4" w:rsidRPr="007E5F2B" w:rsidRDefault="00BD78C4" w:rsidP="00BD78C4">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2DB8C20D" w14:textId="77777777" w:rsidR="00BD78C4" w:rsidRPr="007E5F2B" w:rsidRDefault="00BD78C4" w:rsidP="00BD78C4">
      <w:pPr>
        <w:ind w:right="49"/>
        <w:contextualSpacing/>
        <w:rPr>
          <w:rFonts w:eastAsia="Palatino Linotype" w:cs="Palatino Linotype"/>
          <w:szCs w:val="24"/>
        </w:rPr>
      </w:pPr>
    </w:p>
    <w:p w14:paraId="23F929A4" w14:textId="77777777" w:rsidR="00BD78C4" w:rsidRPr="007E5F2B" w:rsidRDefault="00BD78C4" w:rsidP="00BD78C4">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w:t>
      </w:r>
      <w:proofErr w:type="spellStart"/>
      <w:r w:rsidRPr="007E5F2B">
        <w:rPr>
          <w:rFonts w:eastAsia="Palatino Linotype" w:cs="Palatino Linotype"/>
          <w:b/>
          <w:i/>
          <w:sz w:val="22"/>
        </w:rPr>
        <w:t>1o</w:t>
      </w:r>
      <w:proofErr w:type="spellEnd"/>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8BF45E8" w14:textId="77777777" w:rsidR="00BD78C4" w:rsidRPr="007E5F2B" w:rsidRDefault="00BD78C4" w:rsidP="00BD78C4">
      <w:pPr>
        <w:spacing w:line="240" w:lineRule="auto"/>
        <w:ind w:left="567" w:right="567"/>
        <w:contextualSpacing/>
        <w:rPr>
          <w:rFonts w:eastAsia="Palatino Linotype" w:cs="Palatino Linotype"/>
          <w:i/>
          <w:sz w:val="22"/>
        </w:rPr>
      </w:pPr>
    </w:p>
    <w:p w14:paraId="4CE99A24"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38CB2E25" w14:textId="77777777" w:rsidR="00BD78C4" w:rsidRPr="007E5F2B" w:rsidRDefault="00BD78C4" w:rsidP="00BD78C4">
      <w:pPr>
        <w:spacing w:line="240" w:lineRule="auto"/>
        <w:ind w:left="567" w:right="567"/>
        <w:contextualSpacing/>
        <w:rPr>
          <w:rFonts w:eastAsia="Palatino Linotype" w:cs="Palatino Linotype"/>
          <w:i/>
          <w:sz w:val="22"/>
        </w:rPr>
      </w:pPr>
    </w:p>
    <w:p w14:paraId="65B61DD3" w14:textId="77777777" w:rsidR="00BD78C4" w:rsidRPr="007E5F2B" w:rsidRDefault="00BD78C4" w:rsidP="00BD78C4">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6A3266F" w14:textId="77777777" w:rsidR="00BD78C4" w:rsidRPr="007E5F2B" w:rsidRDefault="00BD78C4" w:rsidP="00BD78C4"/>
    <w:p w14:paraId="0C0630B1" w14:textId="77777777" w:rsidR="00BD78C4" w:rsidRPr="007E5F2B" w:rsidRDefault="00BD78C4" w:rsidP="00BD78C4">
      <w:pPr>
        <w:rPr>
          <w:rFonts w:eastAsia="Palatino Linotype" w:cs="Palatino Linotype"/>
          <w:szCs w:val="24"/>
        </w:rPr>
      </w:pPr>
      <w:r w:rsidRPr="007E5F2B">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7E5F2B">
        <w:rPr>
          <w:rFonts w:eastAsia="Palatino Linotype" w:cs="Palatino Linotype"/>
          <w:szCs w:val="24"/>
        </w:rPr>
        <w:lastRenderedPageBreak/>
        <w:t>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486AAE6" w14:textId="77777777" w:rsidR="00BD78C4" w:rsidRPr="007E5F2B" w:rsidRDefault="00BD78C4" w:rsidP="00BD78C4">
      <w:pPr>
        <w:rPr>
          <w:rFonts w:eastAsia="Palatino Linotype" w:cs="Palatino Linotype"/>
          <w:szCs w:val="24"/>
        </w:rPr>
      </w:pPr>
    </w:p>
    <w:p w14:paraId="1D572707" w14:textId="77777777" w:rsidR="00BD78C4" w:rsidRPr="007E5F2B" w:rsidRDefault="00BD78C4" w:rsidP="00BD78C4">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7B17D743" w14:textId="77777777" w:rsidR="00BD78C4" w:rsidRDefault="00BD78C4" w:rsidP="006922F5"/>
    <w:p w14:paraId="7E828C31" w14:textId="7A28343F" w:rsidR="00454915" w:rsidRPr="006922F5" w:rsidRDefault="008357DD"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24A7231F" w:rsidR="00454915" w:rsidRPr="006922F5" w:rsidRDefault="008357DD" w:rsidP="00454915">
      <w:pPr>
        <w:pStyle w:val="Ttulo2"/>
        <w:rPr>
          <w:rFonts w:eastAsia="Palatino Linotype"/>
        </w:rPr>
      </w:pPr>
      <w:r>
        <w:rPr>
          <w:rFonts w:eastAsia="Palatino Linotype"/>
        </w:rPr>
        <w:lastRenderedPageBreak/>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216E59E" w14:textId="64443A13" w:rsidR="00814760" w:rsidRDefault="004A3367" w:rsidP="006B372E">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745087">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w:t>
      </w:r>
      <w:r w:rsidR="00673D6E">
        <w:rPr>
          <w:rFonts w:eastAsiaTheme="minorHAnsi" w:cstheme="minorBidi"/>
          <w:szCs w:val="24"/>
          <w:lang w:eastAsia="en-US"/>
        </w:rPr>
        <w:t>proporcionara lo siguiente</w:t>
      </w:r>
      <w:r w:rsidR="00FB1C30">
        <w:rPr>
          <w:rFonts w:eastAsiaTheme="minorHAnsi" w:cstheme="minorBidi"/>
          <w:szCs w:val="24"/>
          <w:lang w:eastAsia="en-US"/>
        </w:rPr>
        <w:t xml:space="preserve">, correspondiente al periodo del primero de enero de dos mil veintidós al </w:t>
      </w:r>
      <w:r w:rsidR="00DF1CBA">
        <w:rPr>
          <w:rFonts w:eastAsiaTheme="minorHAnsi" w:cstheme="minorBidi"/>
          <w:szCs w:val="24"/>
          <w:lang w:eastAsia="en-US"/>
        </w:rPr>
        <w:t>dos de octubre</w:t>
      </w:r>
      <w:r w:rsidR="00FB1C30">
        <w:rPr>
          <w:rFonts w:eastAsiaTheme="minorHAnsi" w:cstheme="minorBidi"/>
          <w:szCs w:val="24"/>
          <w:lang w:eastAsia="en-US"/>
        </w:rPr>
        <w:t xml:space="preserve"> de dos mil veinticuatro</w:t>
      </w:r>
      <w:r w:rsidR="003141DF">
        <w:rPr>
          <w:rFonts w:eastAsiaTheme="minorHAnsi" w:cstheme="minorBidi"/>
          <w:szCs w:val="24"/>
          <w:lang w:eastAsia="en-US"/>
        </w:rPr>
        <w:t xml:space="preserve">, desglosada </w:t>
      </w:r>
      <w:r w:rsidR="001C4D99">
        <w:rPr>
          <w:rFonts w:eastAsiaTheme="minorHAnsi" w:cstheme="minorBidi"/>
          <w:szCs w:val="24"/>
          <w:lang w:eastAsia="en-US"/>
        </w:rPr>
        <w:t>mensualmente</w:t>
      </w:r>
      <w:r w:rsidR="006B372E">
        <w:rPr>
          <w:rFonts w:eastAsiaTheme="minorHAnsi" w:cstheme="minorBidi"/>
          <w:szCs w:val="24"/>
          <w:lang w:eastAsia="en-US"/>
        </w:rPr>
        <w:t>:</w:t>
      </w:r>
    </w:p>
    <w:p w14:paraId="4DFEB5CC" w14:textId="77777777" w:rsidR="00B32F64" w:rsidRDefault="00B32F64" w:rsidP="006B372E">
      <w:pPr>
        <w:rPr>
          <w:rFonts w:eastAsiaTheme="minorHAnsi" w:cstheme="minorBidi"/>
          <w:szCs w:val="24"/>
          <w:lang w:eastAsia="en-US"/>
        </w:rPr>
      </w:pPr>
    </w:p>
    <w:p w14:paraId="50493EB1" w14:textId="2F476779" w:rsidR="003141DF" w:rsidRDefault="00E43AEA" w:rsidP="00AC5151">
      <w:pPr>
        <w:pStyle w:val="Prrafodelista"/>
        <w:numPr>
          <w:ilvl w:val="0"/>
          <w:numId w:val="48"/>
        </w:numPr>
        <w:rPr>
          <w:rFonts w:eastAsiaTheme="minorHAnsi" w:cstheme="minorBidi"/>
          <w:lang w:eastAsia="en-US"/>
        </w:rPr>
      </w:pPr>
      <w:r>
        <w:rPr>
          <w:rFonts w:eastAsiaTheme="minorHAnsi" w:cstheme="minorBidi"/>
          <w:lang w:eastAsia="en-US"/>
        </w:rPr>
        <w:t xml:space="preserve">Número de apoyos entregados por el </w:t>
      </w:r>
      <w:proofErr w:type="gramStart"/>
      <w:r>
        <w:rPr>
          <w:rFonts w:eastAsiaTheme="minorHAnsi" w:cstheme="minorBidi"/>
          <w:lang w:eastAsia="en-US"/>
        </w:rPr>
        <w:t>Presidente</w:t>
      </w:r>
      <w:proofErr w:type="gramEnd"/>
      <w:r>
        <w:rPr>
          <w:rFonts w:eastAsiaTheme="minorHAnsi" w:cstheme="minorBidi"/>
          <w:lang w:eastAsia="en-US"/>
        </w:rPr>
        <w:t xml:space="preserve"> Municipal</w:t>
      </w:r>
      <w:r w:rsidR="003141DF" w:rsidRPr="001C4D99">
        <w:rPr>
          <w:rFonts w:eastAsiaTheme="minorHAnsi" w:cstheme="minorBidi"/>
          <w:lang w:eastAsia="en-US"/>
        </w:rPr>
        <w:t>.</w:t>
      </w:r>
    </w:p>
    <w:p w14:paraId="71D044C9" w14:textId="41D8A8A3" w:rsidR="007B46F4" w:rsidRPr="003C3940" w:rsidRDefault="00862D68" w:rsidP="00AC5151">
      <w:pPr>
        <w:pStyle w:val="Prrafodelista"/>
        <w:numPr>
          <w:ilvl w:val="0"/>
          <w:numId w:val="48"/>
        </w:numPr>
        <w:rPr>
          <w:rFonts w:eastAsiaTheme="minorHAnsi" w:cstheme="minorBidi"/>
          <w:lang w:eastAsia="en-US"/>
        </w:rPr>
      </w:pPr>
      <w:r>
        <w:rPr>
          <w:rFonts w:eastAsiaTheme="minorHAnsi" w:cstheme="minorBidi"/>
          <w:lang w:eastAsia="en-US"/>
        </w:rPr>
        <w:t>El tipo de apoyo que se entregó</w:t>
      </w:r>
      <w:r w:rsidR="00E42CF9">
        <w:rPr>
          <w:rFonts w:eastAsiaTheme="minorHAnsi" w:cstheme="minorBidi"/>
          <w:lang w:eastAsia="en-US"/>
        </w:rPr>
        <w:t xml:space="preserve"> y si se destinó a </w:t>
      </w:r>
      <w:r w:rsidR="004F33B9">
        <w:rPr>
          <w:rFonts w:eastAsiaTheme="minorHAnsi" w:cstheme="minorBidi"/>
          <w:lang w:eastAsia="en-US"/>
        </w:rPr>
        <w:t>cabecera o delegaciones.</w:t>
      </w:r>
    </w:p>
    <w:p w14:paraId="68BEB6D2" w14:textId="4E9E7BB0" w:rsidR="001C4D99" w:rsidRPr="001C4D99" w:rsidRDefault="00862D68" w:rsidP="00AC5151">
      <w:pPr>
        <w:pStyle w:val="Prrafodelista"/>
        <w:numPr>
          <w:ilvl w:val="0"/>
          <w:numId w:val="48"/>
        </w:numPr>
        <w:rPr>
          <w:rFonts w:eastAsiaTheme="minorHAnsi" w:cstheme="minorBidi"/>
          <w:lang w:eastAsia="en-US"/>
        </w:rPr>
      </w:pPr>
      <w:r>
        <w:rPr>
          <w:rFonts w:eastAsiaTheme="minorHAnsi" w:cstheme="minorBidi"/>
          <w:lang w:eastAsia="en-US"/>
        </w:rPr>
        <w:t xml:space="preserve">Monto </w:t>
      </w:r>
      <w:r w:rsidR="00FA186D">
        <w:rPr>
          <w:rFonts w:eastAsiaTheme="minorHAnsi" w:cstheme="minorBidi"/>
          <w:lang w:eastAsia="en-US"/>
        </w:rPr>
        <w:t xml:space="preserve">del gasto </w:t>
      </w:r>
      <w:r w:rsidR="00F739F1">
        <w:rPr>
          <w:rFonts w:eastAsiaTheme="minorHAnsi" w:cstheme="minorBidi"/>
          <w:lang w:eastAsia="en-US"/>
        </w:rPr>
        <w:t>generado por la entrega de dichos apoyos.</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494F2E41" w14:textId="2AC8C991"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795D6C">
        <w:rPr>
          <w:rFonts w:eastAsia="Palatino Linotype" w:cs="Palatino Linotype"/>
          <w:color w:val="000000"/>
          <w:szCs w:val="24"/>
        </w:rPr>
        <w:t xml:space="preserve"> </w:t>
      </w:r>
      <w:r w:rsidR="00E25725">
        <w:rPr>
          <w:rFonts w:eastAsia="Palatino Linotype" w:cs="Palatino Linotype"/>
          <w:color w:val="000000"/>
          <w:szCs w:val="24"/>
        </w:rPr>
        <w:t>l</w:t>
      </w:r>
      <w:r w:rsidR="00795D6C">
        <w:rPr>
          <w:rFonts w:eastAsia="Palatino Linotype" w:cs="Palatino Linotype"/>
          <w:color w:val="000000"/>
          <w:szCs w:val="24"/>
        </w:rPr>
        <w:t>os</w:t>
      </w:r>
      <w:r w:rsidR="001F2F39">
        <w:rPr>
          <w:rFonts w:eastAsia="Palatino Linotype" w:cs="Palatino Linotype"/>
          <w:color w:val="000000"/>
          <w:szCs w:val="24"/>
        </w:rPr>
        <w:t xml:space="preserve"> siguiente</w:t>
      </w:r>
      <w:r w:rsidR="00795D6C">
        <w:rPr>
          <w:rFonts w:eastAsia="Palatino Linotype" w:cs="Palatino Linotype"/>
          <w:color w:val="000000"/>
          <w:szCs w:val="24"/>
        </w:rPr>
        <w:t>s</w:t>
      </w:r>
      <w:r w:rsidR="001F2F39">
        <w:rPr>
          <w:rFonts w:eastAsia="Palatino Linotype" w:cs="Palatino Linotype"/>
          <w:color w:val="000000"/>
          <w:szCs w:val="24"/>
        </w:rPr>
        <w:t xml:space="preserve"> documento</w:t>
      </w:r>
      <w:r w:rsidR="00795D6C">
        <w:rPr>
          <w:rFonts w:eastAsia="Palatino Linotype" w:cs="Palatino Linotype"/>
          <w:color w:val="000000"/>
          <w:szCs w:val="24"/>
        </w:rPr>
        <w:t>s</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61D7C787" w14:textId="38DB7357" w:rsidR="00E25725" w:rsidRDefault="00795D6C" w:rsidP="00AC5151">
      <w:pPr>
        <w:pStyle w:val="Prrafodelista"/>
        <w:numPr>
          <w:ilvl w:val="0"/>
          <w:numId w:val="27"/>
        </w:numPr>
        <w:rPr>
          <w:rFonts w:eastAsia="Palatino Linotype" w:cs="Palatino Linotype"/>
          <w:color w:val="000000" w:themeColor="text1"/>
        </w:rPr>
      </w:pPr>
      <w:r w:rsidRPr="00795D6C">
        <w:rPr>
          <w:rFonts w:eastAsia="Palatino Linotype" w:cs="Palatino Linotype"/>
          <w:b/>
          <w:bCs/>
          <w:color w:val="000000" w:themeColor="text1"/>
        </w:rPr>
        <w:t>SOL_00</w:t>
      </w:r>
      <w:r w:rsidR="004412AD">
        <w:rPr>
          <w:rFonts w:eastAsia="Palatino Linotype" w:cs="Palatino Linotype"/>
          <w:b/>
          <w:bCs/>
          <w:color w:val="000000" w:themeColor="text1"/>
        </w:rPr>
        <w:t>460</w:t>
      </w:r>
      <w:r w:rsidRPr="00795D6C">
        <w:rPr>
          <w:rFonts w:eastAsia="Palatino Linotype" w:cs="Palatino Linotype"/>
          <w:b/>
          <w:bCs/>
          <w:color w:val="000000" w:themeColor="text1"/>
        </w:rPr>
        <w:t>.pdf</w:t>
      </w:r>
      <w:r w:rsidR="00D86103">
        <w:rPr>
          <w:rFonts w:eastAsia="Palatino Linotype" w:cs="Palatino Linotype"/>
          <w:bCs/>
          <w:color w:val="000000"/>
          <w:lang w:val="es-ES_tradnl"/>
        </w:rPr>
        <w:t>.</w:t>
      </w:r>
      <w:r w:rsidR="00BE4ADD">
        <w:rPr>
          <w:rFonts w:eastAsia="Palatino Linotype" w:cs="Palatino Linotype"/>
          <w:bCs/>
          <w:color w:val="000000"/>
          <w:lang w:val="es-ES_tradnl"/>
        </w:rPr>
        <w:t xml:space="preserve"> </w:t>
      </w:r>
      <w:r w:rsidR="00814760">
        <w:rPr>
          <w:rFonts w:eastAsia="Palatino Linotype" w:cs="Palatino Linotype"/>
          <w:bCs/>
          <w:color w:val="000000"/>
          <w:lang w:val="es-ES_tradnl"/>
        </w:rPr>
        <w:t>Oficio número</w:t>
      </w:r>
      <w:r w:rsidR="004322A0">
        <w:rPr>
          <w:rFonts w:eastAsia="Palatino Linotype" w:cs="Palatino Linotype"/>
          <w:color w:val="000000" w:themeColor="text1"/>
        </w:rPr>
        <w:t xml:space="preserve"> MT/</w:t>
      </w:r>
      <w:proofErr w:type="spellStart"/>
      <w:r w:rsidR="004322A0">
        <w:rPr>
          <w:rFonts w:eastAsia="Palatino Linotype" w:cs="Palatino Linotype"/>
          <w:color w:val="000000" w:themeColor="text1"/>
        </w:rPr>
        <w:t>TESORERIAMPAL</w:t>
      </w:r>
      <w:proofErr w:type="spellEnd"/>
      <w:r w:rsidR="004322A0">
        <w:rPr>
          <w:rFonts w:eastAsia="Palatino Linotype" w:cs="Palatino Linotype"/>
          <w:color w:val="000000" w:themeColor="text1"/>
        </w:rPr>
        <w:t>/</w:t>
      </w:r>
      <w:proofErr w:type="spellStart"/>
      <w:r w:rsidR="004322A0">
        <w:rPr>
          <w:rFonts w:eastAsia="Palatino Linotype" w:cs="Palatino Linotype"/>
          <w:color w:val="000000" w:themeColor="text1"/>
        </w:rPr>
        <w:t>OI</w:t>
      </w:r>
      <w:proofErr w:type="spellEnd"/>
      <w:r w:rsidR="004322A0">
        <w:rPr>
          <w:rFonts w:eastAsia="Palatino Linotype" w:cs="Palatino Linotype"/>
          <w:color w:val="000000" w:themeColor="text1"/>
        </w:rPr>
        <w:t>/4</w:t>
      </w:r>
      <w:r w:rsidR="00006EC4">
        <w:rPr>
          <w:rFonts w:eastAsia="Palatino Linotype" w:cs="Palatino Linotype"/>
          <w:color w:val="000000" w:themeColor="text1"/>
        </w:rPr>
        <w:t>41</w:t>
      </w:r>
      <w:r w:rsidR="004322A0">
        <w:rPr>
          <w:rFonts w:eastAsia="Palatino Linotype" w:cs="Palatino Linotype"/>
          <w:color w:val="000000" w:themeColor="text1"/>
        </w:rPr>
        <w:t>/2024</w:t>
      </w:r>
      <w:r w:rsidR="00B41A83">
        <w:rPr>
          <w:rFonts w:eastAsia="Palatino Linotype" w:cs="Palatino Linotype"/>
          <w:color w:val="000000" w:themeColor="text1"/>
        </w:rPr>
        <w:t xml:space="preserve"> suscrito por la Tesorera Municipal, mediante el cual se </w:t>
      </w:r>
      <w:r w:rsidR="00BB7208">
        <w:rPr>
          <w:rFonts w:eastAsia="Palatino Linotype" w:cs="Palatino Linotype"/>
          <w:color w:val="000000" w:themeColor="text1"/>
        </w:rPr>
        <w:t xml:space="preserve">informó que se propuso </w:t>
      </w:r>
      <w:r w:rsidR="0091706E">
        <w:rPr>
          <w:rFonts w:eastAsia="Palatino Linotype" w:cs="Palatino Linotype"/>
          <w:color w:val="000000" w:themeColor="text1"/>
        </w:rPr>
        <w:t xml:space="preserve">el cambio de modalidad para la entrega de información </w:t>
      </w:r>
      <w:r w:rsidR="00F671A4">
        <w:rPr>
          <w:rFonts w:eastAsia="Palatino Linotype" w:cs="Palatino Linotype"/>
          <w:color w:val="000000" w:themeColor="text1"/>
        </w:rPr>
        <w:t xml:space="preserve">al Comité de Transparencia derivado </w:t>
      </w:r>
      <w:r w:rsidR="00F671A4">
        <w:rPr>
          <w:rFonts w:eastAsia="Palatino Linotype" w:cs="Palatino Linotype"/>
          <w:color w:val="000000" w:themeColor="text1"/>
        </w:rPr>
        <w:lastRenderedPageBreak/>
        <w:t>de la cantidad, volumen y los recursos materiales y humanos de esa dependencia son limitados</w:t>
      </w:r>
      <w:r w:rsidR="005E1768">
        <w:rPr>
          <w:rFonts w:eastAsia="Palatino Linotype" w:cs="Palatino Linotype"/>
          <w:color w:val="000000" w:themeColor="text1"/>
        </w:rPr>
        <w:t>, así como por el cambio de administración, la entrega recepción y mesas de transición.</w:t>
      </w:r>
    </w:p>
    <w:p w14:paraId="5EDF263C" w14:textId="713DA076" w:rsidR="00795D6C" w:rsidRDefault="00795D6C" w:rsidP="00AC5151">
      <w:pPr>
        <w:pStyle w:val="Prrafodelista"/>
        <w:numPr>
          <w:ilvl w:val="0"/>
          <w:numId w:val="27"/>
        </w:numPr>
        <w:rPr>
          <w:rFonts w:eastAsia="Palatino Linotype" w:cs="Palatino Linotype"/>
          <w:color w:val="000000" w:themeColor="text1"/>
        </w:rPr>
      </w:pPr>
      <w:r>
        <w:rPr>
          <w:rFonts w:eastAsia="Palatino Linotype" w:cs="Palatino Linotype"/>
          <w:b/>
          <w:bCs/>
          <w:color w:val="000000" w:themeColor="text1"/>
        </w:rPr>
        <w:t>ACTA</w:t>
      </w:r>
      <w:r w:rsidR="004412AD">
        <w:rPr>
          <w:rFonts w:eastAsia="Palatino Linotype" w:cs="Palatino Linotype"/>
          <w:b/>
          <w:bCs/>
          <w:color w:val="000000" w:themeColor="text1"/>
        </w:rPr>
        <w:t xml:space="preserve"> 84</w:t>
      </w:r>
      <w:r w:rsidRPr="70652167">
        <w:rPr>
          <w:rFonts w:eastAsia="Palatino Linotype" w:cs="Palatino Linotype"/>
          <w:b/>
          <w:bCs/>
          <w:color w:val="000000" w:themeColor="text1"/>
        </w:rPr>
        <w:t>.pdf</w:t>
      </w:r>
      <w:r>
        <w:rPr>
          <w:rFonts w:eastAsia="Palatino Linotype" w:cs="Palatino Linotype"/>
          <w:color w:val="000000" w:themeColor="text1"/>
        </w:rPr>
        <w:t xml:space="preserve">. </w:t>
      </w:r>
      <w:r w:rsidR="00502812">
        <w:rPr>
          <w:rFonts w:eastAsia="Palatino Linotype" w:cs="Palatino Linotype"/>
          <w:color w:val="000000" w:themeColor="text1"/>
        </w:rPr>
        <w:t xml:space="preserve">Acta de la Octogésima </w:t>
      </w:r>
      <w:r w:rsidR="004412AD">
        <w:rPr>
          <w:rFonts w:eastAsia="Palatino Linotype" w:cs="Palatino Linotype"/>
          <w:color w:val="000000" w:themeColor="text1"/>
        </w:rPr>
        <w:t>Cuarta</w:t>
      </w:r>
      <w:r w:rsidR="00502812">
        <w:rPr>
          <w:rFonts w:eastAsia="Palatino Linotype" w:cs="Palatino Linotype"/>
          <w:color w:val="000000" w:themeColor="text1"/>
        </w:rPr>
        <w:t xml:space="preserve"> Sesión Ordinaria del Comité de Transparencia en la que</w:t>
      </w:r>
      <w:r w:rsidR="00533902">
        <w:rPr>
          <w:rFonts w:eastAsia="Palatino Linotype" w:cs="Palatino Linotype"/>
          <w:color w:val="000000" w:themeColor="text1"/>
        </w:rPr>
        <w:t xml:space="preserve"> se </w:t>
      </w:r>
      <w:r w:rsidR="00D35A8D">
        <w:rPr>
          <w:rFonts w:eastAsia="Palatino Linotype" w:cs="Palatino Linotype"/>
          <w:color w:val="000000" w:themeColor="text1"/>
        </w:rPr>
        <w:t>aprobó el cambio de modalidad de entrega de las respuestas a diversas solicitudes</w:t>
      </w:r>
      <w:r w:rsidR="00533902">
        <w:rPr>
          <w:rFonts w:eastAsia="Palatino Linotype" w:cs="Palatino Linotype"/>
          <w:color w:val="000000" w:themeColor="text1"/>
        </w:rPr>
        <w:t>, entre ellas la que es materia</w:t>
      </w:r>
      <w:r w:rsidR="00596817">
        <w:rPr>
          <w:rFonts w:eastAsia="Palatino Linotype" w:cs="Palatino Linotype"/>
          <w:color w:val="000000" w:themeColor="text1"/>
        </w:rPr>
        <w:t xml:space="preserve"> del presente recurso de revisión, para su consulta directa </w:t>
      </w:r>
      <w:r w:rsidR="00423A07">
        <w:rPr>
          <w:rFonts w:eastAsia="Palatino Linotype" w:cs="Palatino Linotype"/>
          <w:color w:val="000000" w:themeColor="text1"/>
        </w:rPr>
        <w:t>como se observa a continuación:</w:t>
      </w:r>
    </w:p>
    <w:p w14:paraId="0302EE96" w14:textId="213199B6" w:rsidR="00423A07" w:rsidRPr="004E2DF5" w:rsidRDefault="00F169FA" w:rsidP="00423A07">
      <w:pPr>
        <w:pStyle w:val="Prrafodelista"/>
        <w:rPr>
          <w:rFonts w:eastAsia="Palatino Linotype" w:cs="Palatino Linotype"/>
          <w:color w:val="000000" w:themeColor="text1"/>
        </w:rPr>
      </w:pPr>
      <w:r>
        <w:rPr>
          <w:rFonts w:eastAsia="Palatino Linotype" w:cs="Palatino Linotype"/>
          <w:noProof/>
          <w:color w:val="000000" w:themeColor="text1"/>
          <w:lang w:val="es-MX" w:eastAsia="es-MX"/>
        </w:rPr>
        <w:drawing>
          <wp:inline distT="0" distB="0" distL="0" distR="0" wp14:anchorId="06E2A094" wp14:editId="45F0C3AB">
            <wp:extent cx="5474826" cy="886133"/>
            <wp:effectExtent l="0" t="0" r="0" b="3175"/>
            <wp:docPr id="1435941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4145" name="Imagen 143594145"/>
                    <pic:cNvPicPr/>
                  </pic:nvPicPr>
                  <pic:blipFill>
                    <a:blip r:embed="rId8">
                      <a:extLst>
                        <a:ext uri="{28A0092B-C50C-407E-A947-70E740481C1C}">
                          <a14:useLocalDpi xmlns:a14="http://schemas.microsoft.com/office/drawing/2010/main" val="0"/>
                        </a:ext>
                      </a:extLst>
                    </a:blip>
                    <a:stretch>
                      <a:fillRect/>
                    </a:stretch>
                  </pic:blipFill>
                  <pic:spPr>
                    <a:xfrm>
                      <a:off x="0" y="0"/>
                      <a:ext cx="5521946" cy="893760"/>
                    </a:xfrm>
                    <a:prstGeom prst="rect">
                      <a:avLst/>
                    </a:prstGeom>
                  </pic:spPr>
                </pic:pic>
              </a:graphicData>
            </a:graphic>
          </wp:inline>
        </w:drawing>
      </w:r>
    </w:p>
    <w:p w14:paraId="13F85530" w14:textId="77777777" w:rsidR="004E2DF5" w:rsidRPr="004E2DF5" w:rsidRDefault="004E2DF5" w:rsidP="004E2DF5">
      <w:pPr>
        <w:rPr>
          <w:rFonts w:eastAsia="Palatino Linotype" w:cs="Palatino Linotype"/>
          <w:color w:val="000000" w:themeColor="text1"/>
        </w:rPr>
      </w:pPr>
    </w:p>
    <w:p w14:paraId="6128DFF4" w14:textId="631E92A2"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 xml:space="preserve">itida por el Sujeto Obligado, </w:t>
      </w:r>
      <w:r w:rsidR="00C143EE">
        <w:rPr>
          <w:rFonts w:eastAsia="Palatino Linotype" w:cs="Palatino Linotype"/>
          <w:color w:val="000000" w:themeColor="text1"/>
          <w:lang w:val="es-ES"/>
        </w:rPr>
        <w:t>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4E32F9">
        <w:rPr>
          <w:rFonts w:eastAsia="Palatino Linotype" w:cs="Palatino Linotype"/>
          <w:color w:val="000000" w:themeColor="text1"/>
          <w:lang w:val="es-ES"/>
        </w:rPr>
        <w:t xml:space="preserve">la respuesta </w:t>
      </w:r>
      <w:r w:rsidR="00654081">
        <w:rPr>
          <w:rFonts w:eastAsia="Palatino Linotype" w:cs="Palatino Linotype"/>
          <w:color w:val="000000" w:themeColor="text1"/>
          <w:lang w:val="es-ES"/>
        </w:rPr>
        <w:t>proporcionada</w:t>
      </w:r>
      <w:r w:rsidR="004E32F9">
        <w:rPr>
          <w:rFonts w:eastAsia="Palatino Linotype" w:cs="Palatino Linotype"/>
          <w:color w:val="000000" w:themeColor="text1"/>
          <w:lang w:val="es-ES"/>
        </w:rPr>
        <w:t xml:space="preserve"> y </w:t>
      </w:r>
      <w:r w:rsidR="00B57FD2">
        <w:rPr>
          <w:rFonts w:eastAsia="Palatino Linotype" w:cs="Palatino Linotype"/>
          <w:color w:val="000000" w:themeColor="text1"/>
          <w:lang w:val="es-ES"/>
        </w:rPr>
        <w:t>dando</w:t>
      </w:r>
      <w:r w:rsidR="0049738F">
        <w:rPr>
          <w:rFonts w:eastAsia="Palatino Linotype" w:cs="Palatino Linotype"/>
          <w:color w:val="000000" w:themeColor="text1"/>
          <w:lang w:val="es-ES"/>
        </w:rPr>
        <w:t xml:space="preserve"> </w:t>
      </w:r>
      <w:r w:rsidR="005740E5">
        <w:rPr>
          <w:rFonts w:eastAsia="Palatino Linotype" w:cs="Palatino Linotype"/>
          <w:color w:val="000000" w:themeColor="text1"/>
          <w:lang w:val="es-ES"/>
        </w:rPr>
        <w:t xml:space="preserve">como razones o motivos de inconformidad que </w:t>
      </w:r>
      <w:r w:rsidR="00445FBB">
        <w:rPr>
          <w:rFonts w:eastAsia="Palatino Linotype" w:cs="Palatino Linotype"/>
          <w:color w:val="000000" w:themeColor="text1"/>
          <w:lang w:val="es-ES"/>
        </w:rPr>
        <w:t xml:space="preserve">el Sujeto Obligado </w:t>
      </w:r>
      <w:r w:rsidR="003E3481">
        <w:rPr>
          <w:rFonts w:eastAsia="Palatino Linotype" w:cs="Palatino Linotype"/>
          <w:color w:val="000000" w:themeColor="text1"/>
          <w:lang w:val="es-ES"/>
        </w:rPr>
        <w:t>puso a disposición mediante consulta directa la información requerida en diversas solicitudes</w:t>
      </w:r>
      <w:r w:rsidR="00DB1F18">
        <w:rPr>
          <w:rFonts w:eastAsia="Palatino Linotype" w:cs="Palatino Linotype"/>
          <w:color w:val="000000" w:themeColor="text1"/>
          <w:lang w:val="es-ES"/>
        </w:rPr>
        <w:t xml:space="preserve"> en lugares disti</w:t>
      </w:r>
      <w:r w:rsidR="00B10A7B">
        <w:rPr>
          <w:rFonts w:eastAsia="Palatino Linotype" w:cs="Palatino Linotype"/>
          <w:color w:val="000000" w:themeColor="text1"/>
          <w:lang w:val="es-ES"/>
        </w:rPr>
        <w:t>ntos, por lo que su consulta es imposible.</w:t>
      </w:r>
    </w:p>
    <w:p w14:paraId="4A6500B8" w14:textId="77777777" w:rsidR="008F50E6" w:rsidRDefault="008F50E6" w:rsidP="00A04222"/>
    <w:p w14:paraId="3A2C1098" w14:textId="77E902D1" w:rsidR="00A830A7" w:rsidRDefault="00A830A7" w:rsidP="00A830A7">
      <w:r w:rsidRPr="00E41C8A">
        <w:t xml:space="preserve">Se debe resaltar que ninguna de las partes realizó manifestaciones durante la etapa de instrucción en el presente procedimiento. En consecuencia, es necesario precisar que, toda vez que el Sujeto Obligado fue omiso de enviar el Informe Justificado ante este </w:t>
      </w:r>
      <w:r>
        <w:t>Instituto</w:t>
      </w:r>
      <w:r w:rsidRPr="00E41C8A">
        <w:t xml:space="preserve"> para manifestar lo que a derecho le asistiera y conviniera en el término de los siete días hábiles otorgados, dejó de justificar las razones o motivos que lo llevaron a </w:t>
      </w:r>
      <w:r w:rsidRPr="00E41C8A">
        <w:lastRenderedPageBreak/>
        <w:t>emitir la respuesta que ahora se impugna; no obstante, la falta de informe justificado no es óbice para que este Órgano Garante conozca y resuelva el recurso de revisión.</w:t>
      </w:r>
    </w:p>
    <w:p w14:paraId="4449BF6E" w14:textId="77777777" w:rsidR="00FD314B" w:rsidRPr="00FB09A6" w:rsidRDefault="00FD314B"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 xml:space="preserve">Artículo </w:t>
      </w:r>
      <w:proofErr w:type="spellStart"/>
      <w:r w:rsidRPr="4DC97FF5">
        <w:rPr>
          <w:b/>
          <w:bCs/>
          <w:lang w:val="es-ES"/>
        </w:rPr>
        <w:t>6o</w:t>
      </w:r>
      <w:proofErr w:type="spellEnd"/>
      <w:r w:rsidRPr="4DC97FF5">
        <w:rPr>
          <w:b/>
          <w:bCs/>
          <w:lang w:val="es-ES"/>
        </w:rPr>
        <w:t>.</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w:t>
      </w:r>
      <w:r w:rsidRPr="006922F5">
        <w:lastRenderedPageBreak/>
        <w:t xml:space="preserve">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382FF057" w14:textId="77777777" w:rsidR="00B57FD2" w:rsidRPr="00012AFA" w:rsidRDefault="00B57FD2" w:rsidP="00B57FD2">
      <w:pPr>
        <w:pBdr>
          <w:top w:val="nil"/>
          <w:left w:val="nil"/>
          <w:bottom w:val="nil"/>
          <w:right w:val="nil"/>
          <w:between w:val="nil"/>
        </w:pBdr>
        <w:contextualSpacing/>
        <w:rPr>
          <w:szCs w:val="24"/>
        </w:rPr>
      </w:pPr>
      <w:r>
        <w:rPr>
          <w:rFonts w:eastAsia="Palatino Linotype" w:cs="Palatino Linotype"/>
          <w:color w:val="000000"/>
          <w:szCs w:val="24"/>
        </w:rPr>
        <w:t xml:space="preserve">En ese sentido, también </w:t>
      </w:r>
      <w:r w:rsidRPr="00012AFA">
        <w:rPr>
          <w:bCs/>
          <w:szCs w:val="24"/>
        </w:rPr>
        <w:t xml:space="preserve">es importante señalar que </w:t>
      </w:r>
      <w:r w:rsidRPr="00012AFA">
        <w:rPr>
          <w:szCs w:val="24"/>
        </w:rPr>
        <w:t>el artículo 4, párrafo segundo, de la Ley de Transparencia y Acceso a la Información Pública del Estado de México y Municipios, dispone:</w:t>
      </w:r>
    </w:p>
    <w:p w14:paraId="22241E29" w14:textId="77777777" w:rsidR="00B57FD2" w:rsidRPr="00012AFA" w:rsidRDefault="00B57FD2" w:rsidP="00B57FD2">
      <w:pPr>
        <w:pBdr>
          <w:top w:val="nil"/>
          <w:left w:val="nil"/>
          <w:bottom w:val="nil"/>
          <w:right w:val="nil"/>
          <w:between w:val="nil"/>
        </w:pBdr>
        <w:contextualSpacing/>
        <w:rPr>
          <w:szCs w:val="24"/>
        </w:rPr>
      </w:pPr>
    </w:p>
    <w:p w14:paraId="5EA5DB97" w14:textId="2BF42533"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b/>
          <w:i/>
          <w:sz w:val="22"/>
        </w:rPr>
        <w:t xml:space="preserve">Artículo 4. </w:t>
      </w:r>
      <w:r>
        <w:rPr>
          <w:i/>
          <w:sz w:val="22"/>
        </w:rPr>
        <w:t>[…]</w:t>
      </w:r>
    </w:p>
    <w:p w14:paraId="1BE621C0"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 xml:space="preserve"> </w:t>
      </w:r>
    </w:p>
    <w:p w14:paraId="66A979D2"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w:t>
      </w:r>
      <w:r w:rsidRPr="00012AFA">
        <w:rPr>
          <w:i/>
          <w:sz w:val="22"/>
        </w:rPr>
        <w:lastRenderedPageBreak/>
        <w:t xml:space="preserve">Estado mexicano sea parte, en la Ley General, la presente Ley y demás disposiciones de la materia, privilegiando el principio de máxima publicidad de la información. </w:t>
      </w:r>
    </w:p>
    <w:p w14:paraId="0EB35A8A"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p>
    <w:p w14:paraId="11A50D2B"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Solo podrá ser clasificada excepcionalmente como reservada temporalmente por razones de interés público, en los términos de las causas legítimas y estrictamente necesarias previstas por esta Ley.</w:t>
      </w:r>
    </w:p>
    <w:p w14:paraId="03F6E478" w14:textId="77777777" w:rsidR="00B57FD2" w:rsidRPr="00012AFA" w:rsidRDefault="00B57FD2" w:rsidP="00B57FD2">
      <w:pPr>
        <w:pBdr>
          <w:top w:val="nil"/>
          <w:left w:val="nil"/>
          <w:bottom w:val="nil"/>
          <w:right w:val="nil"/>
          <w:between w:val="nil"/>
        </w:pBdr>
        <w:contextualSpacing/>
        <w:rPr>
          <w:szCs w:val="24"/>
        </w:rPr>
      </w:pPr>
    </w:p>
    <w:p w14:paraId="7979CB22" w14:textId="77777777" w:rsidR="00B57FD2" w:rsidRPr="00012AFA" w:rsidRDefault="00B57FD2" w:rsidP="00B57FD2">
      <w:pPr>
        <w:rPr>
          <w:rFonts w:cs="Arial"/>
          <w:i/>
        </w:rPr>
      </w:pPr>
      <w:r w:rsidRPr="00012AFA">
        <w:rPr>
          <w:rFonts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072C9C4" w14:textId="77777777" w:rsidR="00B57FD2" w:rsidRPr="00012AFA" w:rsidRDefault="00B57FD2" w:rsidP="00B57FD2">
      <w:pPr>
        <w:rPr>
          <w:rFonts w:cs="Arial"/>
          <w:iCs/>
        </w:rPr>
      </w:pPr>
    </w:p>
    <w:p w14:paraId="5EB34C21" w14:textId="77777777" w:rsidR="00B57FD2" w:rsidRPr="00012AFA" w:rsidRDefault="00B57FD2" w:rsidP="00B57FD2">
      <w:pPr>
        <w:rPr>
          <w:rFonts w:cs="Arial"/>
          <w:szCs w:val="24"/>
        </w:rPr>
      </w:pPr>
      <w:r w:rsidRPr="00012AFA">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F7C655B" w14:textId="77777777" w:rsidR="00B57FD2" w:rsidRPr="00012AFA" w:rsidRDefault="00B57FD2" w:rsidP="00B57FD2">
      <w:pPr>
        <w:spacing w:line="259" w:lineRule="auto"/>
        <w:ind w:right="567"/>
        <w:rPr>
          <w:rFonts w:cs="Arial"/>
          <w:szCs w:val="24"/>
        </w:rPr>
      </w:pPr>
    </w:p>
    <w:p w14:paraId="024925F6"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t>Artículo 12.</w:t>
      </w:r>
      <w:r w:rsidRPr="00012AFA">
        <w:rPr>
          <w:rFonts w:cs="Arial"/>
          <w:i/>
          <w:color w:val="000000"/>
          <w:sz w:val="22"/>
        </w:rPr>
        <w:t xml:space="preserve"> Quienes generen, recopilen, administren, manejen, procesen, archiven o conserven información pública serán responsables de la misma en los términos de las disposiciones jurídicas aplicables.</w:t>
      </w:r>
    </w:p>
    <w:p w14:paraId="4B41EFEF" w14:textId="77777777" w:rsidR="00B57FD2" w:rsidRPr="00012AFA" w:rsidRDefault="00B57FD2" w:rsidP="00B57FD2">
      <w:pPr>
        <w:spacing w:line="240" w:lineRule="auto"/>
        <w:ind w:left="567" w:right="567"/>
        <w:rPr>
          <w:rFonts w:cs="Arial"/>
          <w:i/>
          <w:sz w:val="22"/>
        </w:rPr>
      </w:pPr>
    </w:p>
    <w:p w14:paraId="3B9E8C0D" w14:textId="77777777" w:rsidR="00B57FD2" w:rsidRPr="00012AFA" w:rsidRDefault="00B57FD2" w:rsidP="00B57FD2">
      <w:pPr>
        <w:spacing w:line="240" w:lineRule="auto"/>
        <w:ind w:left="567" w:right="567"/>
        <w:rPr>
          <w:rFonts w:cs="Arial"/>
          <w:i/>
          <w:sz w:val="22"/>
        </w:rPr>
      </w:pPr>
      <w:r w:rsidRPr="00012AFA">
        <w:rPr>
          <w:rFonts w:cs="Arial"/>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C6FB29A" w14:textId="77777777" w:rsidR="00B57FD2" w:rsidRPr="00012AFA" w:rsidRDefault="00B57FD2" w:rsidP="00B57FD2">
      <w:pPr>
        <w:rPr>
          <w:rFonts w:cs="Arial"/>
          <w:color w:val="000000"/>
        </w:rPr>
      </w:pPr>
    </w:p>
    <w:p w14:paraId="74239CA7" w14:textId="77777777" w:rsidR="00B57FD2" w:rsidRPr="00012AFA" w:rsidRDefault="00B57FD2" w:rsidP="00B57FD2">
      <w:pPr>
        <w:rPr>
          <w:rFonts w:cs="Arial"/>
          <w:color w:val="000000"/>
        </w:rPr>
      </w:pPr>
      <w:r w:rsidRPr="00012AFA">
        <w:rPr>
          <w:rFonts w:cs="Arial"/>
          <w:color w:val="000000"/>
        </w:rPr>
        <w:t xml:space="preserve">En síntesis, el derecho de acceso a la información pública se satisface en aquellos casos en que se entregue el soporte documental en que conste la información pública, toda vez </w:t>
      </w:r>
      <w:r w:rsidRPr="00012AFA">
        <w:rPr>
          <w:rFonts w:cs="Arial"/>
          <w:color w:val="000000"/>
        </w:rPr>
        <w:lastRenderedPageBreak/>
        <w:t>que, los Sujetos Obligados</w:t>
      </w:r>
      <w:r w:rsidRPr="00012AFA">
        <w:rPr>
          <w:rFonts w:cs="Arial"/>
          <w:b/>
          <w:color w:val="000000"/>
        </w:rPr>
        <w:t xml:space="preserve"> </w:t>
      </w:r>
      <w:r w:rsidRPr="00012AFA">
        <w:rPr>
          <w:rFonts w:cs="Arial"/>
          <w:color w:val="000000"/>
        </w:rPr>
        <w:t xml:space="preserve">no tienen el deber de generar, poseer o administrar la información pública con el grado de detalle solicitado; esto es, que no tienen el deber de generar un documento </w:t>
      </w:r>
      <w:r w:rsidRPr="00012AFA">
        <w:rPr>
          <w:rFonts w:cs="Arial"/>
          <w:i/>
          <w:color w:val="000000"/>
        </w:rPr>
        <w:t>ad hoc</w:t>
      </w:r>
      <w:r w:rsidRPr="00012AFA">
        <w:rPr>
          <w:rFonts w:cs="Arial"/>
          <w:color w:val="000000"/>
        </w:rPr>
        <w:t>, para satisfacer el derecho de acceso a la información pública.</w:t>
      </w:r>
    </w:p>
    <w:p w14:paraId="153DA34A" w14:textId="77777777" w:rsidR="00B57FD2" w:rsidRPr="00012AFA" w:rsidRDefault="00B57FD2" w:rsidP="00B57FD2">
      <w:pPr>
        <w:rPr>
          <w:rFonts w:cs="Arial"/>
          <w:color w:val="000000"/>
        </w:rPr>
      </w:pPr>
    </w:p>
    <w:p w14:paraId="78AE01A8" w14:textId="77777777" w:rsidR="00B57FD2" w:rsidRPr="00012AFA" w:rsidRDefault="00B57FD2" w:rsidP="00B57FD2">
      <w:pPr>
        <w:rPr>
          <w:b/>
          <w:bCs/>
          <w:color w:val="000000"/>
        </w:rPr>
      </w:pPr>
      <w:r w:rsidRPr="00012AFA">
        <w:rPr>
          <w:rFonts w:cs="Arial"/>
          <w:color w:val="000000"/>
        </w:rPr>
        <w:t xml:space="preserve">Como apoyo a lo anterior, es aplicable el Criterio 03-17, emitido por </w:t>
      </w:r>
      <w:r w:rsidRPr="00012AFA">
        <w:rPr>
          <w:rFonts w:eastAsia="Arial Unicode MS" w:cs="Arial"/>
          <w:color w:val="000000"/>
        </w:rPr>
        <w:t>el Instituto Nacional de Transparencia, Acceso a la Información y Protección de Datos Personales,</w:t>
      </w:r>
      <w:r w:rsidRPr="00012AFA">
        <w:rPr>
          <w:bCs/>
          <w:color w:val="000000"/>
        </w:rPr>
        <w:t xml:space="preserve"> que dice:</w:t>
      </w:r>
      <w:r w:rsidRPr="00012AFA">
        <w:rPr>
          <w:b/>
          <w:bCs/>
          <w:color w:val="000000"/>
        </w:rPr>
        <w:t xml:space="preserve"> </w:t>
      </w:r>
    </w:p>
    <w:p w14:paraId="46827794" w14:textId="77777777" w:rsidR="00B57FD2" w:rsidRPr="00012AFA" w:rsidRDefault="00B57FD2" w:rsidP="00B57FD2">
      <w:pPr>
        <w:jc w:val="left"/>
        <w:rPr>
          <w:rFonts w:eastAsia="Times New Roman" w:cs="Times New Roman"/>
          <w:szCs w:val="24"/>
          <w:lang w:eastAsia="es-ES"/>
        </w:rPr>
      </w:pPr>
    </w:p>
    <w:p w14:paraId="163231D3" w14:textId="77777777" w:rsidR="00B57FD2" w:rsidRPr="00012AFA" w:rsidRDefault="00B57FD2" w:rsidP="00B57FD2">
      <w:pPr>
        <w:spacing w:line="259" w:lineRule="auto"/>
        <w:ind w:left="851" w:right="850"/>
        <w:rPr>
          <w:rFonts w:cs="Arial"/>
          <w:color w:val="000000"/>
          <w:sz w:val="2"/>
        </w:rPr>
      </w:pPr>
    </w:p>
    <w:p w14:paraId="1EAE22F4"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t>No existe obligación de elaborar documentos ad hoc para atender las solicitudes de acceso a la información.</w:t>
      </w:r>
      <w:r w:rsidRPr="00012AFA">
        <w:rPr>
          <w:rFonts w:cs="Arial"/>
          <w:i/>
          <w:color w:val="000000"/>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7FA011" w14:textId="77777777" w:rsidR="00B57FD2" w:rsidRPr="00012AFA" w:rsidRDefault="00B57FD2" w:rsidP="00B57FD2">
      <w:pPr>
        <w:spacing w:line="240" w:lineRule="auto"/>
        <w:ind w:left="567" w:right="567"/>
        <w:rPr>
          <w:rFonts w:cs="Arial"/>
          <w:i/>
          <w:color w:val="000000"/>
          <w:sz w:val="2"/>
        </w:rPr>
      </w:pPr>
    </w:p>
    <w:p w14:paraId="502C7335" w14:textId="77777777" w:rsidR="00B57FD2" w:rsidRPr="00012AFA" w:rsidRDefault="00B57FD2" w:rsidP="00B57FD2">
      <w:pPr>
        <w:rPr>
          <w:rFonts w:cs="Arial"/>
          <w:color w:val="000000" w:themeColor="text1"/>
        </w:rPr>
      </w:pPr>
    </w:p>
    <w:p w14:paraId="544C9996" w14:textId="77777777" w:rsidR="00B57FD2" w:rsidRPr="00012AFA" w:rsidRDefault="00B57FD2" w:rsidP="00B57FD2">
      <w:pPr>
        <w:rPr>
          <w:rFonts w:cs="Arial"/>
          <w:color w:val="000000" w:themeColor="text1"/>
        </w:rPr>
      </w:pPr>
      <w:r w:rsidRPr="00012AFA">
        <w:rPr>
          <w:rFonts w:cs="Arial"/>
          <w:color w:val="000000" w:themeColor="text1"/>
        </w:rPr>
        <w:t xml:space="preserve">Asimismo, el artículo 24, de la Ley de la materia, dispone que los Sujetos Obligados sólo proporcionarán la información pública que </w:t>
      </w:r>
      <w:r w:rsidRPr="00012AFA">
        <w:rPr>
          <w:rFonts w:cs="Arial"/>
        </w:rPr>
        <w:t>generen</w:t>
      </w:r>
      <w:r w:rsidRPr="00012AFA">
        <w:rPr>
          <w:rFonts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ACE776" w14:textId="77777777" w:rsidR="00B57FD2" w:rsidRPr="00012AFA" w:rsidRDefault="00B57FD2" w:rsidP="00B57FD2">
      <w:pPr>
        <w:rPr>
          <w:rFonts w:cs="Arial"/>
          <w:color w:val="000000" w:themeColor="text1"/>
        </w:rPr>
      </w:pPr>
    </w:p>
    <w:p w14:paraId="193856C9" w14:textId="77777777" w:rsidR="00B57FD2" w:rsidRPr="00012AFA" w:rsidRDefault="00B57FD2" w:rsidP="00B57FD2">
      <w:pPr>
        <w:rPr>
          <w:rFonts w:cs="Arial"/>
          <w:color w:val="000000" w:themeColor="text1"/>
        </w:rPr>
      </w:pPr>
      <w:r w:rsidRPr="00012AFA">
        <w:rPr>
          <w:rFonts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012AFA">
        <w:rPr>
          <w:rFonts w:cs="Arial"/>
        </w:rPr>
        <w:t xml:space="preserve">expedientes, reportes, estudios, actas, resoluciones, oficios, </w:t>
      </w:r>
      <w:r w:rsidRPr="00012AFA">
        <w:rPr>
          <w:rFonts w:cs="Arial"/>
        </w:rPr>
        <w:lastRenderedPageBreak/>
        <w:t>correspondencia, acuerdos, directivas, directrices, circulares, contratos, convenios, instructivos, notas, memorandos, estadísticas o bien, cualquier otro registro que documente el ejercicio de las facultades, funciones y competencias de los Sujetos Obligados</w:t>
      </w:r>
      <w:r w:rsidRPr="00012AFA">
        <w:rPr>
          <w:rFonts w:cs="Arial"/>
          <w:color w:val="000000" w:themeColor="text1"/>
        </w:rPr>
        <w:t xml:space="preserve">; los que, </w:t>
      </w:r>
      <w:r w:rsidRPr="00012AFA">
        <w:rPr>
          <w:rFonts w:cs="Arial"/>
        </w:rPr>
        <w:t>podrán estar en cualquier medio, sea escrito, impreso, sonoro, visual, electrónico, informático u holográfico</w:t>
      </w:r>
      <w:r w:rsidRPr="00012AFA">
        <w:rPr>
          <w:rFonts w:cs="Arial"/>
          <w:color w:val="000000" w:themeColor="text1"/>
        </w:rPr>
        <w:t xml:space="preserve">, de conformidad con el artículo 3, fracción XI, de la Ley de la materia, el cual dispone lo siguiente: </w:t>
      </w:r>
    </w:p>
    <w:p w14:paraId="21662A59" w14:textId="77777777" w:rsidR="00B57FD2" w:rsidRPr="00012AFA" w:rsidRDefault="00B57FD2" w:rsidP="00B57FD2">
      <w:pPr>
        <w:pBdr>
          <w:top w:val="nil"/>
          <w:left w:val="nil"/>
          <w:bottom w:val="nil"/>
          <w:right w:val="nil"/>
          <w:between w:val="nil"/>
        </w:pBdr>
        <w:contextualSpacing/>
        <w:rPr>
          <w:szCs w:val="24"/>
        </w:rPr>
      </w:pPr>
    </w:p>
    <w:p w14:paraId="5506C34B" w14:textId="77777777" w:rsidR="00724FCA" w:rsidRPr="00012AFA" w:rsidRDefault="00724FCA" w:rsidP="00724FCA">
      <w:pPr>
        <w:pStyle w:val="Fundamentos"/>
      </w:pPr>
      <w:r w:rsidRPr="00012AFA">
        <w:rPr>
          <w:b/>
        </w:rPr>
        <w:t xml:space="preserve">Artículo 3. </w:t>
      </w:r>
      <w:r w:rsidRPr="00012AFA">
        <w:t>Para los efectos de la presente Ley se entenderá por:</w:t>
      </w:r>
    </w:p>
    <w:p w14:paraId="7F7EFC8B" w14:textId="320AB501" w:rsidR="00724FCA" w:rsidRPr="00012AFA" w:rsidRDefault="00724FCA" w:rsidP="00724FCA">
      <w:pPr>
        <w:pStyle w:val="Fundamentos"/>
      </w:pPr>
      <w:r>
        <w:t>[…]</w:t>
      </w:r>
    </w:p>
    <w:p w14:paraId="45AB662B" w14:textId="77777777" w:rsidR="00724FCA" w:rsidRPr="00012AFA" w:rsidRDefault="00724FCA" w:rsidP="00724FCA">
      <w:pPr>
        <w:pStyle w:val="Fundamentos"/>
      </w:pPr>
      <w:r w:rsidRPr="00012AFA">
        <w:rPr>
          <w:b/>
        </w:rPr>
        <w:t>XI. Documento:</w:t>
      </w:r>
      <w:r w:rsidRPr="00012AFA">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12AFA">
        <w:rPr>
          <w:b/>
          <w:u w:val="single"/>
        </w:rPr>
        <w:t>Los documentos podrán estar en cualquier medio, sea escrito, impreso, sonoro, visual, electrónico, informático u holográfico</w:t>
      </w:r>
      <w:r w:rsidRPr="00012AFA">
        <w:t>;</w:t>
      </w:r>
    </w:p>
    <w:p w14:paraId="5B7B5B42" w14:textId="1D065663" w:rsidR="00724FCA" w:rsidRPr="00012AFA" w:rsidRDefault="00724FCA" w:rsidP="00724FCA">
      <w:pPr>
        <w:pStyle w:val="Fundamentos"/>
      </w:pPr>
      <w:r>
        <w:t>[…]</w:t>
      </w:r>
    </w:p>
    <w:p w14:paraId="3FD132BF" w14:textId="77777777" w:rsidR="00B57FD2" w:rsidRDefault="00B57FD2" w:rsidP="006100FC"/>
    <w:p w14:paraId="2ACB7BF7" w14:textId="77777777" w:rsidR="00724FCA" w:rsidRPr="00012AFA" w:rsidRDefault="00724FCA" w:rsidP="00724FCA">
      <w:pPr>
        <w:autoSpaceDE w:val="0"/>
        <w:autoSpaceDN w:val="0"/>
        <w:adjustRightInd w:val="0"/>
        <w:rPr>
          <w:rFonts w:cs="Arial"/>
          <w:szCs w:val="24"/>
        </w:rPr>
      </w:pPr>
      <w:r w:rsidRPr="00012AFA">
        <w:rPr>
          <w:rFonts w:cs="Arial"/>
          <w:szCs w:val="24"/>
        </w:rPr>
        <w:t xml:space="preserve">Siendo aplicable el Criterio </w:t>
      </w:r>
      <w:r w:rsidRPr="00012AFA">
        <w:rPr>
          <w:rFonts w:cs="Arial"/>
          <w:bCs/>
          <w:szCs w:val="24"/>
        </w:rPr>
        <w:t xml:space="preserve">de interpretación en el orden administrativo número 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12AFA">
        <w:rPr>
          <w:rFonts w:cs="Arial"/>
          <w:szCs w:val="24"/>
        </w:rPr>
        <w:t>cuyo rubro y texto dispone:</w:t>
      </w:r>
    </w:p>
    <w:p w14:paraId="5B5F830D" w14:textId="77777777" w:rsidR="00724FCA" w:rsidRPr="00012AFA" w:rsidRDefault="00724FCA" w:rsidP="00724FCA">
      <w:pPr>
        <w:jc w:val="left"/>
        <w:rPr>
          <w:rFonts w:eastAsia="Times New Roman" w:cs="Times New Roman"/>
          <w:szCs w:val="24"/>
          <w:lang w:eastAsia="es-ES"/>
        </w:rPr>
      </w:pPr>
    </w:p>
    <w:p w14:paraId="7A337F22" w14:textId="77777777" w:rsidR="00724FCA" w:rsidRPr="00012AFA" w:rsidRDefault="00724FCA" w:rsidP="00724FCA">
      <w:pPr>
        <w:spacing w:line="259" w:lineRule="auto"/>
        <w:ind w:left="567" w:right="567"/>
        <w:rPr>
          <w:rFonts w:cs="Arial"/>
          <w:sz w:val="2"/>
        </w:rPr>
      </w:pPr>
    </w:p>
    <w:p w14:paraId="24A12D65" w14:textId="77777777" w:rsidR="00724FCA" w:rsidRPr="00012AFA" w:rsidRDefault="00724FCA" w:rsidP="00724FCA">
      <w:pPr>
        <w:spacing w:line="240" w:lineRule="auto"/>
        <w:ind w:left="567" w:right="567"/>
        <w:rPr>
          <w:rFonts w:cs="Arial"/>
          <w:i/>
          <w:sz w:val="22"/>
        </w:rPr>
      </w:pPr>
      <w:r w:rsidRPr="00012AFA">
        <w:rPr>
          <w:rFonts w:cs="Arial"/>
          <w:b/>
          <w:i/>
          <w:sz w:val="22"/>
        </w:rPr>
        <w:t xml:space="preserve">INFORMACIÓN PÚBLICA, CONCEPTO DE, EN MATERIA DE TRANSPARENCIA. INTERPRETACIÓN SISTEMÁTICA DE LOS ARTÍCULOS 2°, FRACCIÓN </w:t>
      </w:r>
      <w:r w:rsidRPr="00012AFA">
        <w:rPr>
          <w:rFonts w:cs="Arial"/>
          <w:b/>
          <w:bCs/>
          <w:i/>
          <w:sz w:val="22"/>
        </w:rPr>
        <w:t xml:space="preserve">V, XV, Y XVI, </w:t>
      </w:r>
      <w:r w:rsidRPr="00012AFA">
        <w:rPr>
          <w:rFonts w:cs="Arial"/>
          <w:b/>
          <w:i/>
          <w:sz w:val="22"/>
        </w:rPr>
        <w:t>3°, 4°, 11 Y 41.</w:t>
      </w:r>
      <w:r w:rsidRPr="00012AFA">
        <w:rPr>
          <w:rFonts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w:t>
      </w:r>
      <w:r w:rsidRPr="00012AFA">
        <w:rPr>
          <w:rFonts w:cs="Arial"/>
          <w:i/>
          <w:sz w:val="22"/>
        </w:rPr>
        <w:lastRenderedPageBreak/>
        <w:t>o en posesión de los órganos u organismos públicos, en virtud del ejercicio de sus funciones de derecho público, sin importar su fuente, soporte o fecha de elaboración.</w:t>
      </w:r>
    </w:p>
    <w:p w14:paraId="565740D9" w14:textId="77777777" w:rsidR="00724FCA" w:rsidRPr="00012AFA" w:rsidRDefault="00724FCA" w:rsidP="00724FCA">
      <w:pPr>
        <w:spacing w:line="240" w:lineRule="auto"/>
        <w:ind w:left="567" w:right="567"/>
        <w:rPr>
          <w:rFonts w:cs="Arial"/>
          <w:i/>
          <w:sz w:val="22"/>
        </w:rPr>
      </w:pPr>
      <w:r w:rsidRPr="00012AFA">
        <w:rPr>
          <w:rFonts w:cs="Arial"/>
          <w:i/>
          <w:sz w:val="22"/>
        </w:rPr>
        <w:t xml:space="preserve">En </w:t>
      </w:r>
      <w:proofErr w:type="gramStart"/>
      <w:r w:rsidRPr="00012AFA">
        <w:rPr>
          <w:rFonts w:cs="Arial"/>
          <w:i/>
          <w:sz w:val="22"/>
        </w:rPr>
        <w:t>consecuencia</w:t>
      </w:r>
      <w:proofErr w:type="gramEnd"/>
      <w:r w:rsidRPr="00012AFA">
        <w:rPr>
          <w:rFonts w:cs="Arial"/>
          <w:i/>
          <w:sz w:val="22"/>
        </w:rPr>
        <w:t xml:space="preserve"> el acceso a la información se refiere a que se cumplan cualquiera de los siguientes tres supuestos:</w:t>
      </w:r>
    </w:p>
    <w:p w14:paraId="6C5FB7C5" w14:textId="77777777" w:rsidR="00724FCA" w:rsidRPr="00012AFA" w:rsidRDefault="00724FCA" w:rsidP="00724FCA">
      <w:pPr>
        <w:spacing w:line="240" w:lineRule="auto"/>
        <w:ind w:left="567" w:right="567"/>
        <w:rPr>
          <w:rFonts w:cs="Arial"/>
          <w:b/>
          <w:i/>
          <w:sz w:val="22"/>
        </w:rPr>
      </w:pPr>
    </w:p>
    <w:p w14:paraId="2F19F2D5" w14:textId="77777777" w:rsidR="00724FCA" w:rsidRPr="00012AFA" w:rsidRDefault="00724FCA" w:rsidP="00724FCA">
      <w:pPr>
        <w:spacing w:line="240" w:lineRule="auto"/>
        <w:ind w:left="567" w:right="567"/>
        <w:rPr>
          <w:rFonts w:cs="Arial"/>
          <w:b/>
          <w:i/>
          <w:sz w:val="22"/>
        </w:rPr>
      </w:pPr>
      <w:r w:rsidRPr="00012AFA">
        <w:rPr>
          <w:rFonts w:cs="Arial"/>
          <w:b/>
          <w:i/>
          <w:sz w:val="22"/>
        </w:rPr>
        <w:t xml:space="preserve">1) </w:t>
      </w:r>
      <w:r w:rsidRPr="00012AFA">
        <w:rPr>
          <w:rFonts w:cs="Arial"/>
          <w:b/>
          <w:i/>
          <w:sz w:val="22"/>
          <w:u w:val="single"/>
        </w:rPr>
        <w:t xml:space="preserve">Que se trate de información registrada en cualquier soporte documental, </w:t>
      </w:r>
      <w:proofErr w:type="gramStart"/>
      <w:r w:rsidRPr="00012AFA">
        <w:rPr>
          <w:rFonts w:cs="Arial"/>
          <w:b/>
          <w:i/>
          <w:sz w:val="22"/>
          <w:u w:val="single"/>
        </w:rPr>
        <w:t>que</w:t>
      </w:r>
      <w:proofErr w:type="gramEnd"/>
      <w:r w:rsidRPr="00012AFA">
        <w:rPr>
          <w:rFonts w:cs="Arial"/>
          <w:b/>
          <w:i/>
          <w:sz w:val="22"/>
          <w:u w:val="single"/>
        </w:rPr>
        <w:t xml:space="preserve"> en ejercicio de las atribuciones conferidas, sea generada por los Sujetos Obligados;</w:t>
      </w:r>
    </w:p>
    <w:p w14:paraId="1185AF5F" w14:textId="77777777" w:rsidR="00724FCA" w:rsidRPr="00012AFA" w:rsidRDefault="00724FCA" w:rsidP="00724FCA">
      <w:pPr>
        <w:spacing w:line="240" w:lineRule="auto"/>
        <w:ind w:left="567" w:right="567"/>
        <w:rPr>
          <w:rFonts w:cs="Arial"/>
          <w:i/>
          <w:sz w:val="22"/>
        </w:rPr>
      </w:pPr>
      <w:r w:rsidRPr="00012AFA">
        <w:rPr>
          <w:rFonts w:cs="Arial"/>
          <w:i/>
          <w:sz w:val="22"/>
        </w:rPr>
        <w:t xml:space="preserve">2) Que se trate de información registrada en cualquier soporte documental, </w:t>
      </w:r>
      <w:proofErr w:type="gramStart"/>
      <w:r w:rsidRPr="00012AFA">
        <w:rPr>
          <w:rFonts w:cs="Arial"/>
          <w:i/>
          <w:sz w:val="22"/>
        </w:rPr>
        <w:t>que</w:t>
      </w:r>
      <w:proofErr w:type="gramEnd"/>
      <w:r w:rsidRPr="00012AFA">
        <w:rPr>
          <w:rFonts w:cs="Arial"/>
          <w:i/>
          <w:sz w:val="22"/>
        </w:rPr>
        <w:t xml:space="preserve"> en ejercicio de las atribuciones conferidas, sea administrada por los Sujetos Obligados, y</w:t>
      </w:r>
    </w:p>
    <w:p w14:paraId="50A588C2" w14:textId="77777777" w:rsidR="00724FCA" w:rsidRPr="00012AFA" w:rsidRDefault="00724FCA" w:rsidP="00724FCA">
      <w:pPr>
        <w:spacing w:line="240" w:lineRule="auto"/>
        <w:ind w:left="567" w:right="567"/>
        <w:rPr>
          <w:rFonts w:cs="Arial"/>
          <w:i/>
          <w:sz w:val="18"/>
        </w:rPr>
      </w:pPr>
      <w:r w:rsidRPr="00012AFA">
        <w:rPr>
          <w:rFonts w:cs="Arial"/>
          <w:i/>
          <w:sz w:val="22"/>
        </w:rPr>
        <w:t xml:space="preserve">3) Que se trate de información registrada en cualquier soporte documental, </w:t>
      </w:r>
      <w:proofErr w:type="gramStart"/>
      <w:r w:rsidRPr="00012AFA">
        <w:rPr>
          <w:rFonts w:cs="Arial"/>
          <w:i/>
          <w:sz w:val="22"/>
        </w:rPr>
        <w:t>que</w:t>
      </w:r>
      <w:proofErr w:type="gramEnd"/>
      <w:r w:rsidRPr="00012AFA">
        <w:rPr>
          <w:rFonts w:cs="Arial"/>
          <w:i/>
          <w:sz w:val="22"/>
        </w:rPr>
        <w:t xml:space="preserve"> en ejercicio de las atribuciones conferidas, se encuentre en posesión de los Sujetos Obligados.</w:t>
      </w:r>
    </w:p>
    <w:p w14:paraId="797C4B9F" w14:textId="77777777" w:rsidR="00724FCA" w:rsidRDefault="00724FCA" w:rsidP="00724FCA">
      <w:pPr>
        <w:pBdr>
          <w:top w:val="nil"/>
          <w:left w:val="nil"/>
          <w:bottom w:val="nil"/>
          <w:right w:val="nil"/>
          <w:between w:val="nil"/>
        </w:pBdr>
        <w:contextualSpacing/>
        <w:rPr>
          <w:rFonts w:eastAsia="Palatino Linotype" w:cs="Palatino Linotype"/>
          <w:color w:val="000000"/>
          <w:szCs w:val="24"/>
        </w:rPr>
      </w:pPr>
    </w:p>
    <w:p w14:paraId="306E081A" w14:textId="373A3F12" w:rsidR="00724FCA" w:rsidRDefault="00724FCA" w:rsidP="00724FCA">
      <w:pPr>
        <w:pBdr>
          <w:top w:val="nil"/>
          <w:left w:val="nil"/>
          <w:bottom w:val="nil"/>
          <w:right w:val="nil"/>
          <w:between w:val="nil"/>
        </w:pBdr>
        <w:contextualSpacing/>
        <w:rPr>
          <w:rFonts w:eastAsia="Palatino Linotype" w:cs="Palatino Linotype"/>
          <w:color w:val="000000"/>
          <w:szCs w:val="24"/>
        </w:rPr>
      </w:pPr>
      <w:r w:rsidRPr="00502DAB">
        <w:rPr>
          <w:rFonts w:eastAsia="Palatino Linotype" w:cs="Palatino Linotype"/>
          <w:color w:val="000000"/>
          <w:szCs w:val="24"/>
          <w:lang w:val="es-ES"/>
        </w:rPr>
        <w:t xml:space="preserve">En segundo término, tomando en cuenta la respuesta proporcionada por parte del Sujeto Obligado, </w:t>
      </w:r>
      <w:r w:rsidRPr="00502DAB">
        <w:rPr>
          <w:rFonts w:eastAsia="Palatino Linotype" w:cs="Palatino Linotype"/>
          <w:color w:val="000000"/>
          <w:szCs w:val="24"/>
        </w:rPr>
        <w:t xml:space="preserve">toda vez que el Sujeto Obligado en su respuesta manifestó que la información solicitada puede </w:t>
      </w:r>
      <w:r>
        <w:rPr>
          <w:rFonts w:eastAsia="Palatino Linotype" w:cs="Palatino Linotype"/>
          <w:color w:val="000000"/>
          <w:szCs w:val="24"/>
        </w:rPr>
        <w:t>ser consultada</w:t>
      </w:r>
      <w:r w:rsidR="00B10A7B">
        <w:rPr>
          <w:rFonts w:eastAsia="Palatino Linotype" w:cs="Palatino Linotype"/>
          <w:color w:val="000000"/>
          <w:szCs w:val="24"/>
        </w:rPr>
        <w:t xml:space="preserve"> </w:t>
      </w:r>
      <w:r>
        <w:rPr>
          <w:rFonts w:eastAsia="Palatino Linotype" w:cs="Palatino Linotype"/>
          <w:color w:val="000000"/>
          <w:szCs w:val="24"/>
        </w:rPr>
        <w:t xml:space="preserve">en sus instalaciones, </w:t>
      </w:r>
      <w:r w:rsidRPr="00502DAB">
        <w:rPr>
          <w:rFonts w:eastAsia="Palatino Linotype" w:cs="Palatino Linotype"/>
          <w:b/>
          <w:color w:val="000000"/>
          <w:szCs w:val="24"/>
        </w:rPr>
        <w:t>se deduce que existe una aceptación por parte del Sujeto Obligado que genera, administra o posee dicha información, derivada del ejercicio de sus funciones de derecho público</w:t>
      </w:r>
      <w:r w:rsidRPr="00502DAB">
        <w:rPr>
          <w:rFonts w:eastAsia="Palatino Linotype" w:cs="Palatino Linotype"/>
          <w:color w:val="000000"/>
          <w:szCs w:val="24"/>
        </w:rPr>
        <w:t>.</w:t>
      </w:r>
    </w:p>
    <w:p w14:paraId="299B38FD" w14:textId="77777777" w:rsidR="004B2269" w:rsidRDefault="004B2269" w:rsidP="00724FCA">
      <w:pPr>
        <w:pBdr>
          <w:top w:val="nil"/>
          <w:left w:val="nil"/>
          <w:bottom w:val="nil"/>
          <w:right w:val="nil"/>
          <w:between w:val="nil"/>
        </w:pBdr>
        <w:contextualSpacing/>
        <w:rPr>
          <w:rFonts w:eastAsia="Palatino Linotype" w:cs="Palatino Linotype"/>
          <w:color w:val="000000"/>
          <w:szCs w:val="24"/>
        </w:rPr>
      </w:pPr>
    </w:p>
    <w:p w14:paraId="0DA54AEE" w14:textId="3DFE39FD" w:rsidR="00724FCA" w:rsidRDefault="0016692B" w:rsidP="00724FCA">
      <w:r>
        <w:t xml:space="preserve">Ahora bien, </w:t>
      </w:r>
      <w:r w:rsidR="006671AE">
        <w:t xml:space="preserve">debido a que también se hizo referencia a que la información estaba puesta a disposición del Recurrente en las instalaciones de la Tesorería Municipal, se </w:t>
      </w:r>
      <w:r w:rsidR="00724FCA" w:rsidRPr="00191E53">
        <w:t xml:space="preserve">estima conveniente </w:t>
      </w:r>
      <w:r w:rsidR="00230B47">
        <w:t>delimitar</w:t>
      </w:r>
      <w:r w:rsidR="00724FCA" w:rsidRPr="00191E53">
        <w:t xml:space="preserve"> el estudio de la presente resolución al cambio en la modalidad a consulta directa, propuesto por el Sujeto Obligado, pues son estos actos los que, a consideración del Recurrente, le causan agravio a su derecho de acceso a la información.</w:t>
      </w:r>
    </w:p>
    <w:p w14:paraId="193839F2" w14:textId="77777777" w:rsidR="00724FCA" w:rsidRDefault="00724FCA" w:rsidP="00724FCA"/>
    <w:p w14:paraId="1D13B635" w14:textId="5BAE2E92" w:rsidR="00724FCA" w:rsidRDefault="00724FCA" w:rsidP="00724FCA">
      <w:r w:rsidRPr="00992A0D">
        <w:t>As</w:t>
      </w:r>
      <w:r w:rsidR="00230B47">
        <w:t>í</w:t>
      </w:r>
      <w:r w:rsidRPr="00992A0D">
        <w:t xml:space="preserve">, es de destacar que la información fue requerida a través del </w:t>
      </w:r>
      <w:proofErr w:type="spellStart"/>
      <w:r w:rsidRPr="00992A0D">
        <w:t>SAIMEX</w:t>
      </w:r>
      <w:proofErr w:type="spellEnd"/>
      <w:r w:rsidRPr="00992A0D">
        <w:t xml:space="preserve">; sin embargo, mediante respuesta a la solicitud de información, el Sujeto Obligado </w:t>
      </w:r>
      <w:r>
        <w:t xml:space="preserve">de manera unilateral realizó un cambio en la modalidad de entrega y puso </w:t>
      </w:r>
      <w:r w:rsidRPr="00992A0D">
        <w:t>a disposición de</w:t>
      </w:r>
      <w:r w:rsidR="00230B47">
        <w:t>l</w:t>
      </w:r>
      <w:r w:rsidRPr="00992A0D">
        <w:t xml:space="preserve"> Recurrente la información</w:t>
      </w:r>
      <w:r>
        <w:t xml:space="preserve"> mediante consulta directa en las instalaciones de la Tesorería Municipal, sin </w:t>
      </w:r>
      <w:r>
        <w:lastRenderedPageBreak/>
        <w:t xml:space="preserve">que se motivara o fundara dicho cambio en la modalidad de entrega, pues únicamente se adujo que </w:t>
      </w:r>
      <w:r w:rsidR="003C7B00">
        <w:t>dicho cambio deriva de la carga de trabajo de las áreas, la falta de capacidad técnica, humana, material y por las más de mil ciento sesenta y cuatro solicitudes</w:t>
      </w:r>
      <w:r w:rsidR="00331040">
        <w:t xml:space="preserve"> que se plantearon a las distintas áreas de la administración pública municipal.</w:t>
      </w:r>
    </w:p>
    <w:p w14:paraId="5DA9C197" w14:textId="77777777" w:rsidR="00724FCA" w:rsidRDefault="00724FCA" w:rsidP="00724FCA"/>
    <w:p w14:paraId="18201703" w14:textId="026C2412" w:rsidR="00724FCA" w:rsidRDefault="00724FCA" w:rsidP="00724FCA">
      <w:pPr>
        <w:contextualSpacing/>
        <w:rPr>
          <w:rFonts w:eastAsia="Palatino Linotype" w:cs="Palatino Linotype"/>
          <w:szCs w:val="24"/>
        </w:rPr>
      </w:pPr>
      <w:r>
        <w:rPr>
          <w:rFonts w:eastAsia="Palatino Linotype" w:cs="Palatino Linotype"/>
          <w:szCs w:val="24"/>
        </w:rPr>
        <w:t xml:space="preserve">Al respecto, el día </w:t>
      </w:r>
      <w:r w:rsidR="00577DF3">
        <w:rPr>
          <w:rFonts w:eastAsia="Palatino Linotype" w:cs="Palatino Linotype"/>
          <w:szCs w:val="24"/>
        </w:rPr>
        <w:t>trece</w:t>
      </w:r>
      <w:r>
        <w:rPr>
          <w:rFonts w:eastAsia="Palatino Linotype" w:cs="Palatino Linotype"/>
          <w:szCs w:val="24"/>
        </w:rPr>
        <w:t xml:space="preserve"> de noviembre de dos mil veinticuatro se remitió un correo al Sujeto Obligado con la finalidad de que, para acreditar la necesidad del cambio de modalidad, manifestara </w:t>
      </w:r>
      <w:r w:rsidRPr="00571CA3">
        <w:rPr>
          <w:rFonts w:eastAsia="Palatino Linotype" w:cs="Palatino Linotype"/>
          <w:szCs w:val="24"/>
        </w:rPr>
        <w:t>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w:t>
      </w:r>
      <w:r>
        <w:rPr>
          <w:rFonts w:eastAsia="Palatino Linotype" w:cs="Palatino Linotype"/>
          <w:szCs w:val="24"/>
        </w:rPr>
        <w:t xml:space="preserve">asan las capacidades del </w:t>
      </w:r>
      <w:proofErr w:type="spellStart"/>
      <w:r>
        <w:rPr>
          <w:rFonts w:eastAsia="Palatino Linotype" w:cs="Palatino Linotype"/>
          <w:szCs w:val="24"/>
        </w:rPr>
        <w:t>SAIMEX</w:t>
      </w:r>
      <w:proofErr w:type="spellEnd"/>
      <w:r>
        <w:rPr>
          <w:rFonts w:eastAsia="Palatino Linotype" w:cs="Palatino Linotype"/>
          <w:szCs w:val="24"/>
        </w:rPr>
        <w:t>. Empero, el Sujeto Obligado no dio contestación al mencionado correo electrónico.</w:t>
      </w:r>
    </w:p>
    <w:p w14:paraId="5474990B" w14:textId="77777777" w:rsidR="00724FCA" w:rsidRDefault="00724FCA" w:rsidP="00724FCA"/>
    <w:p w14:paraId="5E6D7DD5" w14:textId="222EC17B" w:rsidR="00B47E9A" w:rsidRDefault="00B47E9A" w:rsidP="00B47E9A">
      <w:r>
        <w:t>Por lo anterior</w:t>
      </w:r>
      <w:r w:rsidRPr="00992A0D">
        <w:t>, se solicitó mediante correo electrónico oficial a la Dirección General de Informática de este Instituto, el informe respecto a si existió reporte de incidencias realizado por el S</w:t>
      </w:r>
      <w:r>
        <w:t xml:space="preserve">ujeto Obligado en el presente </w:t>
      </w:r>
      <w:r w:rsidRPr="00A64201">
        <w:t xml:space="preserve">recurso de revisión, por lo que mediante correo electrónico de fecha </w:t>
      </w:r>
      <w:r>
        <w:t>veinte de noviembre</w:t>
      </w:r>
      <w:r w:rsidRPr="00A64201">
        <w:t xml:space="preserve"> de dos mil veinticuatro, la Dirección General de Informática de este Instituto de Transparencia, Acceso a la Información</w:t>
      </w:r>
      <w:r w:rsidRPr="00992A0D">
        <w:t xml:space="preserve"> Pública y Protección de Datos Personales del Estado de México y Municipios, notificó a esta Ponencia que no se tiene reporte de llamada alguna, ni tampoco se tiene registro de incidencia por parte del Sujeto Obligado </w:t>
      </w:r>
      <w:r>
        <w:t>al respecto.</w:t>
      </w:r>
    </w:p>
    <w:p w14:paraId="7E1584EB" w14:textId="77777777" w:rsidR="00B57FD2" w:rsidRDefault="00B57FD2" w:rsidP="006100FC"/>
    <w:p w14:paraId="3EA89497" w14:textId="77777777" w:rsidR="004F7B93" w:rsidRPr="00992A0D" w:rsidRDefault="004F7B93" w:rsidP="004F7B93">
      <w:r w:rsidRPr="00992A0D">
        <w:lastRenderedPageBreak/>
        <w:t xml:space="preserve">Asimismo informó que en relación al peso máximo de archivos que soporta el </w:t>
      </w:r>
      <w:proofErr w:type="spellStart"/>
      <w:r w:rsidRPr="00992A0D">
        <w:t>SAIMEX</w:t>
      </w:r>
      <w:proofErr w:type="spellEnd"/>
      <w:r w:rsidRPr="00992A0D">
        <w:t xml:space="preserve"> para adjuntar como respuesta a las solicitudes de información, se puedan adjuntar archivos con un peso aproximado de hasta 500 Mb o un equivalente de hasta 8,000 hojas, garantizando que el ciudadano no tenga problemas en la descarga de la información usando conexiones a internet convencionales bajo parámetros de escaneo en resolución máxima de </w:t>
      </w:r>
      <w:proofErr w:type="spellStart"/>
      <w:r w:rsidRPr="00992A0D">
        <w:t>150Dpi's</w:t>
      </w:r>
      <w:proofErr w:type="spellEnd"/>
      <w:r w:rsidRPr="00992A0D">
        <w:t xml:space="preserve">, escala de grises y formato </w:t>
      </w:r>
      <w:r>
        <w:t>«</w:t>
      </w:r>
      <w:r w:rsidRPr="00992A0D">
        <w:t>PDF</w:t>
      </w:r>
      <w:r>
        <w:t>»</w:t>
      </w:r>
      <w:r w:rsidRPr="00992A0D">
        <w:t xml:space="preserve"> extraído directamente del escáner.</w:t>
      </w:r>
    </w:p>
    <w:p w14:paraId="64592957" w14:textId="77777777" w:rsidR="004F7B93" w:rsidRDefault="004F7B93" w:rsidP="004F7B93">
      <w:pPr>
        <w:contextualSpacing/>
        <w:rPr>
          <w:rFonts w:eastAsia="Palatino Linotype" w:cs="Palatino Linotype"/>
          <w:szCs w:val="24"/>
        </w:rPr>
      </w:pPr>
    </w:p>
    <w:p w14:paraId="4B93C932" w14:textId="77777777" w:rsidR="004F7B93" w:rsidRDefault="004F7B93" w:rsidP="004F7B93">
      <w:r w:rsidRPr="00992A0D">
        <w:t xml:space="preserve">Por lo anterior, es de concluirse en este punto, que el Sujeto Obligado no acredita la necesidad del cambio de modalidad de la entrega de información, en consecuencia, es dable ordenar la entrega de la información en la vía peticionada, es decir a través del </w:t>
      </w:r>
      <w:proofErr w:type="spellStart"/>
      <w:r w:rsidRPr="00992A0D">
        <w:t>SAIMEX</w:t>
      </w:r>
      <w:proofErr w:type="spellEnd"/>
      <w:r w:rsidRPr="00992A0D">
        <w:t>, al no tenerse por cumplidos los requisitos de procedencia.</w:t>
      </w:r>
    </w:p>
    <w:p w14:paraId="2AE98177" w14:textId="77777777" w:rsidR="004157F1" w:rsidRDefault="004157F1" w:rsidP="004F7B93"/>
    <w:p w14:paraId="1C16A59A" w14:textId="2FEEE842" w:rsidR="004157F1" w:rsidRPr="004157F1" w:rsidRDefault="004157F1" w:rsidP="004157F1">
      <w:pPr>
        <w:rPr>
          <w:lang w:val="es-MX"/>
        </w:rPr>
      </w:pPr>
      <w:r w:rsidRPr="004157F1">
        <w:rPr>
          <w:lang w:val="es-MX"/>
        </w:rPr>
        <w:t xml:space="preserve">En ese tenor, </w:t>
      </w:r>
      <w:r>
        <w:rPr>
          <w:lang w:val="es-MX"/>
        </w:rPr>
        <w:t xml:space="preserve">se debe resaltar que </w:t>
      </w:r>
      <w:r w:rsidRPr="004157F1">
        <w:rPr>
          <w:lang w:val="es-MX"/>
        </w:rPr>
        <w:t>las tesorerías municipales tienen atribuciones para generar la información relativa a las erogaciones de los ayuntamientos, como está establecido en los artículos 93 y 95 fracción XXII de la Ley Orgánica Municipal del Estado de México, como se observa a continuación:</w:t>
      </w:r>
    </w:p>
    <w:p w14:paraId="2BDBD0ED" w14:textId="56B97416" w:rsidR="004157F1" w:rsidRPr="004157F1" w:rsidRDefault="004157F1" w:rsidP="004157F1">
      <w:pPr>
        <w:pStyle w:val="NormalINFOEM"/>
        <w:rPr>
          <w:lang w:val="es-MX"/>
        </w:rPr>
      </w:pPr>
    </w:p>
    <w:p w14:paraId="2AEACE9E" w14:textId="43C5545D" w:rsidR="004157F1" w:rsidRPr="004157F1" w:rsidRDefault="004157F1" w:rsidP="004157F1">
      <w:pPr>
        <w:pStyle w:val="Fundamentos"/>
      </w:pPr>
      <w:r w:rsidRPr="004157F1">
        <w:rPr>
          <w:b/>
          <w:bCs/>
        </w:rPr>
        <w:t>Artículo 93.-</w:t>
      </w:r>
      <w:r>
        <w:t xml:space="preserve"> </w:t>
      </w:r>
      <w:r w:rsidRPr="004157F1">
        <w:t>La tesorería municipal es</w:t>
      </w:r>
      <w:r>
        <w:t xml:space="preserve"> </w:t>
      </w:r>
      <w:r w:rsidRPr="004157F1">
        <w:t>el órgano encargado de la recaudación de los ingresos municipales y</w:t>
      </w:r>
      <w:r>
        <w:t xml:space="preserve"> </w:t>
      </w:r>
      <w:r w:rsidRPr="004157F1">
        <w:t>responsable de realizar las erogaciones que haga el ayuntamiento.</w:t>
      </w:r>
    </w:p>
    <w:p w14:paraId="0D0557EC" w14:textId="117CE81E" w:rsidR="004157F1" w:rsidRPr="004157F1" w:rsidRDefault="004157F1" w:rsidP="004157F1">
      <w:pPr>
        <w:pStyle w:val="Fundamentos"/>
      </w:pPr>
    </w:p>
    <w:p w14:paraId="210AA804" w14:textId="0146BAE7" w:rsidR="004157F1" w:rsidRPr="004157F1" w:rsidRDefault="004157F1" w:rsidP="004157F1">
      <w:pPr>
        <w:pStyle w:val="Fundamentos"/>
      </w:pPr>
      <w:r w:rsidRPr="004157F1">
        <w:rPr>
          <w:b/>
          <w:bCs/>
        </w:rPr>
        <w:t>Artículo 95.-</w:t>
      </w:r>
      <w:r>
        <w:t xml:space="preserve"> </w:t>
      </w:r>
      <w:r w:rsidRPr="004157F1">
        <w:t>Son atribuciones del tesorero municipal:</w:t>
      </w:r>
    </w:p>
    <w:p w14:paraId="30DC6C88" w14:textId="53CC5A6B" w:rsidR="004157F1" w:rsidRPr="004157F1" w:rsidRDefault="004157F1" w:rsidP="004157F1">
      <w:pPr>
        <w:pStyle w:val="Fundamentos"/>
      </w:pPr>
      <w:r>
        <w:t>[…]</w:t>
      </w:r>
    </w:p>
    <w:p w14:paraId="133C7766" w14:textId="7DA33090" w:rsidR="004157F1" w:rsidRPr="004157F1" w:rsidRDefault="004157F1" w:rsidP="004157F1">
      <w:pPr>
        <w:pStyle w:val="Fundamentos"/>
      </w:pPr>
      <w:r w:rsidRPr="004157F1">
        <w:t>XXII.</w:t>
      </w:r>
      <w:r>
        <w:t xml:space="preserve"> </w:t>
      </w:r>
      <w:r w:rsidRPr="004157F1">
        <w:t>Las que les señalen las demás disposiciones legales y el ayuntamiento.</w:t>
      </w:r>
    </w:p>
    <w:p w14:paraId="54640702" w14:textId="77777777" w:rsidR="004157F1" w:rsidRDefault="004157F1" w:rsidP="004157F1">
      <w:pPr>
        <w:pStyle w:val="NormalINFOEM"/>
        <w:rPr>
          <w:lang w:val="es-MX"/>
        </w:rPr>
      </w:pPr>
    </w:p>
    <w:p w14:paraId="2FA503C1" w14:textId="41D8887D" w:rsidR="00AC2417" w:rsidRDefault="00AC2417" w:rsidP="004157F1">
      <w:pPr>
        <w:pStyle w:val="NormalINFOEM"/>
        <w:rPr>
          <w:lang w:val="es-MX"/>
        </w:rPr>
      </w:pPr>
      <w:r>
        <w:rPr>
          <w:lang w:val="es-MX"/>
        </w:rPr>
        <w:t xml:space="preserve">En ese mismo sentido, se tiene que la </w:t>
      </w:r>
      <w:r w:rsidR="007677D3">
        <w:rPr>
          <w:lang w:val="es-MX"/>
        </w:rPr>
        <w:t xml:space="preserve">publicación de la </w:t>
      </w:r>
      <w:r>
        <w:rPr>
          <w:lang w:val="es-MX"/>
        </w:rPr>
        <w:t>información relativa a l</w:t>
      </w:r>
      <w:r w:rsidR="001A1264">
        <w:rPr>
          <w:lang w:val="es-MX"/>
        </w:rPr>
        <w:t xml:space="preserve">os </w:t>
      </w:r>
      <w:r w:rsidR="00342347">
        <w:rPr>
          <w:lang w:val="es-MX"/>
        </w:rPr>
        <w:t xml:space="preserve">apoyos proporcionados </w:t>
      </w:r>
      <w:r>
        <w:rPr>
          <w:lang w:val="es-MX"/>
        </w:rPr>
        <w:t xml:space="preserve">se considera como una </w:t>
      </w:r>
      <w:r w:rsidR="00446D2E">
        <w:rPr>
          <w:lang w:val="es-MX"/>
        </w:rPr>
        <w:t xml:space="preserve">de las obligaciones de transparencia comunes, </w:t>
      </w:r>
      <w:r w:rsidR="00446D2E">
        <w:rPr>
          <w:lang w:val="es-MX"/>
        </w:rPr>
        <w:lastRenderedPageBreak/>
        <w:t xml:space="preserve">como lo establece el artículo 92 fracción </w:t>
      </w:r>
      <w:r w:rsidR="00EE6AD8">
        <w:rPr>
          <w:lang w:val="es-MX"/>
        </w:rPr>
        <w:t>XIV</w:t>
      </w:r>
      <w:r w:rsidR="00FE0B31">
        <w:rPr>
          <w:lang w:val="es-MX"/>
        </w:rPr>
        <w:t xml:space="preserve"> de la Ley de Transparencia estatal, que a la letra dispone lo siguiente:</w:t>
      </w:r>
    </w:p>
    <w:p w14:paraId="2E589747" w14:textId="77777777" w:rsidR="00FE0B31" w:rsidRDefault="00FE0B31" w:rsidP="004157F1">
      <w:pPr>
        <w:pStyle w:val="NormalINFOEM"/>
        <w:rPr>
          <w:lang w:val="es-MX"/>
        </w:rPr>
      </w:pPr>
    </w:p>
    <w:p w14:paraId="259F70D9" w14:textId="77777777" w:rsidR="00F821C1" w:rsidRPr="00F821C1" w:rsidRDefault="00F821C1" w:rsidP="009E1CAE">
      <w:pPr>
        <w:pStyle w:val="Fundamentos"/>
        <w:rPr>
          <w:lang w:val="es-MX"/>
        </w:rPr>
      </w:pPr>
      <w:r w:rsidRPr="00F821C1">
        <w:rPr>
          <w:b/>
          <w:lang w:val="es-MX"/>
        </w:rPr>
        <w:t xml:space="preserve">Artículo 92. </w:t>
      </w:r>
      <w:r w:rsidRPr="00F821C1">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C016A52" w14:textId="24005319" w:rsidR="00FE0B31" w:rsidRDefault="00F821C1" w:rsidP="009E1CAE">
      <w:pPr>
        <w:pStyle w:val="Fundamentos"/>
        <w:rPr>
          <w:lang w:val="es-MX"/>
        </w:rPr>
      </w:pPr>
      <w:r>
        <w:rPr>
          <w:lang w:val="es-MX"/>
        </w:rPr>
        <w:t>[…]</w:t>
      </w:r>
    </w:p>
    <w:p w14:paraId="0152CE01" w14:textId="4C9CB9B4" w:rsidR="00E7375C" w:rsidRPr="00E7375C" w:rsidRDefault="00EE6AD8" w:rsidP="00E7375C">
      <w:pPr>
        <w:pStyle w:val="Fundamentos"/>
        <w:rPr>
          <w:lang w:val="es-MX"/>
        </w:rPr>
      </w:pPr>
      <w:r>
        <w:rPr>
          <w:b/>
          <w:bCs/>
          <w:lang w:val="es-MX"/>
        </w:rPr>
        <w:t>XIV</w:t>
      </w:r>
      <w:r w:rsidR="00D21CEF" w:rsidRPr="00F821C1">
        <w:rPr>
          <w:b/>
          <w:bCs/>
          <w:lang w:val="es-MX"/>
        </w:rPr>
        <w:t>.</w:t>
      </w:r>
      <w:r w:rsidR="00D21CEF" w:rsidRPr="00D21CEF">
        <w:rPr>
          <w:lang w:val="es-MX"/>
        </w:rPr>
        <w:tab/>
      </w:r>
      <w:r w:rsidR="00785DD4" w:rsidRPr="00E7375C">
        <w:rPr>
          <w:b/>
          <w:bCs/>
          <w:u w:val="single"/>
          <w:lang w:val="es-MX"/>
        </w:rPr>
        <w:t>L</w:t>
      </w:r>
      <w:r w:rsidR="00E7375C" w:rsidRPr="00E7375C">
        <w:rPr>
          <w:b/>
          <w:bCs/>
          <w:u w:val="single"/>
          <w:lang w:val="es-MX"/>
        </w:rPr>
        <w:t>a</w:t>
      </w:r>
      <w:r w:rsidR="00D21CEF" w:rsidRPr="00E7375C">
        <w:rPr>
          <w:b/>
          <w:bCs/>
          <w:u w:val="single"/>
          <w:lang w:val="es-MX"/>
        </w:rPr>
        <w:t xml:space="preserve"> </w:t>
      </w:r>
      <w:r w:rsidR="00E7375C" w:rsidRPr="00E7375C">
        <w:rPr>
          <w:b/>
          <w:bCs/>
          <w:u w:val="single"/>
          <w:lang w:val="es-MX"/>
        </w:rPr>
        <w:t>información de los programas de subsidios, estímulos y apoyos</w:t>
      </w:r>
      <w:r w:rsidR="00E7375C" w:rsidRPr="00E7375C">
        <w:rPr>
          <w:lang w:val="es-MX"/>
        </w:rPr>
        <w:t>, en el que se deberá informar respecto de los programas de transferencia, de servicios, de infraestructura social y de subsidio, en los que se deberá contener lo siguiente:</w:t>
      </w:r>
    </w:p>
    <w:p w14:paraId="60B5BDD9" w14:textId="77777777" w:rsidR="00E7375C" w:rsidRPr="00E7375C" w:rsidRDefault="00E7375C" w:rsidP="00E7375C">
      <w:pPr>
        <w:pStyle w:val="Fundamentos"/>
        <w:rPr>
          <w:lang w:val="es-MX"/>
        </w:rPr>
      </w:pPr>
    </w:p>
    <w:p w14:paraId="37412498" w14:textId="77777777" w:rsidR="00E7375C" w:rsidRPr="00E7375C" w:rsidRDefault="00E7375C" w:rsidP="00E7375C">
      <w:pPr>
        <w:pStyle w:val="Fundamentos"/>
        <w:ind w:left="993"/>
        <w:rPr>
          <w:lang w:val="es-MX"/>
        </w:rPr>
      </w:pPr>
      <w:r w:rsidRPr="00A502E3">
        <w:rPr>
          <w:b/>
          <w:bCs/>
          <w:lang w:val="es-MX"/>
        </w:rPr>
        <w:t>a)</w:t>
      </w:r>
      <w:r w:rsidRPr="00E7375C">
        <w:rPr>
          <w:lang w:val="es-MX"/>
        </w:rPr>
        <w:tab/>
        <w:t>Área;</w:t>
      </w:r>
    </w:p>
    <w:p w14:paraId="17C504EF" w14:textId="77777777" w:rsidR="00E7375C" w:rsidRPr="00E7375C" w:rsidRDefault="00E7375C" w:rsidP="00E7375C">
      <w:pPr>
        <w:pStyle w:val="Fundamentos"/>
        <w:ind w:left="993"/>
        <w:rPr>
          <w:lang w:val="es-MX"/>
        </w:rPr>
      </w:pPr>
      <w:r w:rsidRPr="00A502E3">
        <w:rPr>
          <w:b/>
          <w:bCs/>
          <w:lang w:val="es-MX"/>
        </w:rPr>
        <w:t>b)</w:t>
      </w:r>
      <w:r w:rsidRPr="00E7375C">
        <w:rPr>
          <w:lang w:val="es-MX"/>
        </w:rPr>
        <w:tab/>
      </w:r>
      <w:r w:rsidRPr="00A502E3">
        <w:rPr>
          <w:b/>
          <w:bCs/>
          <w:u w:val="single"/>
          <w:lang w:val="es-MX"/>
        </w:rPr>
        <w:t>Denominación del programa</w:t>
      </w:r>
      <w:r w:rsidRPr="00E7375C">
        <w:rPr>
          <w:lang w:val="es-MX"/>
        </w:rPr>
        <w:t>;</w:t>
      </w:r>
    </w:p>
    <w:p w14:paraId="49227193" w14:textId="77777777" w:rsidR="00E7375C" w:rsidRPr="00E7375C" w:rsidRDefault="00E7375C" w:rsidP="00E7375C">
      <w:pPr>
        <w:pStyle w:val="Fundamentos"/>
        <w:ind w:left="993"/>
        <w:rPr>
          <w:lang w:val="es-MX"/>
        </w:rPr>
      </w:pPr>
      <w:r w:rsidRPr="00A502E3">
        <w:rPr>
          <w:b/>
          <w:bCs/>
          <w:lang w:val="es-MX"/>
        </w:rPr>
        <w:t>c)</w:t>
      </w:r>
      <w:r w:rsidRPr="00E7375C">
        <w:rPr>
          <w:lang w:val="es-MX"/>
        </w:rPr>
        <w:tab/>
        <w:t>Periodo de vigencia;</w:t>
      </w:r>
    </w:p>
    <w:p w14:paraId="4E2C4059" w14:textId="77777777" w:rsidR="00E7375C" w:rsidRPr="00E7375C" w:rsidRDefault="00E7375C" w:rsidP="00E7375C">
      <w:pPr>
        <w:pStyle w:val="Fundamentos"/>
        <w:ind w:left="993"/>
        <w:rPr>
          <w:lang w:val="es-MX"/>
        </w:rPr>
      </w:pPr>
      <w:r w:rsidRPr="00A502E3">
        <w:rPr>
          <w:b/>
          <w:bCs/>
          <w:lang w:val="es-MX"/>
        </w:rPr>
        <w:t>d)</w:t>
      </w:r>
      <w:r w:rsidRPr="00E7375C">
        <w:rPr>
          <w:lang w:val="es-MX"/>
        </w:rPr>
        <w:tab/>
        <w:t>Diseño, objetivos y alcances;</w:t>
      </w:r>
    </w:p>
    <w:p w14:paraId="23A68ECB" w14:textId="77777777" w:rsidR="00E7375C" w:rsidRPr="00E7375C" w:rsidRDefault="00E7375C" w:rsidP="00E7375C">
      <w:pPr>
        <w:pStyle w:val="Fundamentos"/>
        <w:ind w:left="993"/>
        <w:rPr>
          <w:lang w:val="es-MX"/>
        </w:rPr>
      </w:pPr>
      <w:r w:rsidRPr="00A502E3">
        <w:rPr>
          <w:b/>
          <w:bCs/>
          <w:lang w:val="es-MX"/>
        </w:rPr>
        <w:t>e)</w:t>
      </w:r>
      <w:r w:rsidRPr="00E7375C">
        <w:rPr>
          <w:lang w:val="es-MX"/>
        </w:rPr>
        <w:tab/>
        <w:t>Metas físicas;</w:t>
      </w:r>
    </w:p>
    <w:p w14:paraId="4C811D7E" w14:textId="77777777" w:rsidR="00E7375C" w:rsidRPr="00E7375C" w:rsidRDefault="00E7375C" w:rsidP="00E7375C">
      <w:pPr>
        <w:pStyle w:val="Fundamentos"/>
        <w:ind w:left="993"/>
        <w:rPr>
          <w:lang w:val="es-MX"/>
        </w:rPr>
      </w:pPr>
      <w:r w:rsidRPr="00A502E3">
        <w:rPr>
          <w:b/>
          <w:bCs/>
          <w:lang w:val="es-MX"/>
        </w:rPr>
        <w:t>f)</w:t>
      </w:r>
      <w:r w:rsidRPr="00E7375C">
        <w:rPr>
          <w:lang w:val="es-MX"/>
        </w:rPr>
        <w:tab/>
      </w:r>
      <w:r w:rsidRPr="00A502E3">
        <w:rPr>
          <w:b/>
          <w:bCs/>
          <w:u w:val="single"/>
          <w:lang w:val="es-MX"/>
        </w:rPr>
        <w:t>Población beneficiada estimada</w:t>
      </w:r>
      <w:r w:rsidRPr="00E7375C">
        <w:rPr>
          <w:lang w:val="es-MX"/>
        </w:rPr>
        <w:t>;</w:t>
      </w:r>
    </w:p>
    <w:p w14:paraId="31C311E2" w14:textId="77777777" w:rsidR="00E7375C" w:rsidRPr="00E7375C" w:rsidRDefault="00E7375C" w:rsidP="00A502E3">
      <w:pPr>
        <w:pStyle w:val="Fundamentos"/>
        <w:ind w:left="1413" w:hanging="420"/>
        <w:rPr>
          <w:lang w:val="es-MX"/>
        </w:rPr>
      </w:pPr>
      <w:r w:rsidRPr="00A502E3">
        <w:rPr>
          <w:b/>
          <w:bCs/>
          <w:lang w:val="es-MX"/>
        </w:rPr>
        <w:t>g)</w:t>
      </w:r>
      <w:r w:rsidRPr="00E7375C">
        <w:rPr>
          <w:lang w:val="es-MX"/>
        </w:rPr>
        <w:tab/>
      </w:r>
      <w:r w:rsidRPr="00A502E3">
        <w:rPr>
          <w:b/>
          <w:bCs/>
          <w:u w:val="single"/>
          <w:lang w:val="es-MX"/>
        </w:rPr>
        <w:t>Monto aprobado, modificado y ejercido, así como los calendarios de su programación presupuestal</w:t>
      </w:r>
      <w:r w:rsidRPr="00E7375C">
        <w:rPr>
          <w:lang w:val="es-MX"/>
        </w:rPr>
        <w:t>;</w:t>
      </w:r>
    </w:p>
    <w:p w14:paraId="2AECB28F" w14:textId="77777777" w:rsidR="00E7375C" w:rsidRPr="00E7375C" w:rsidRDefault="00E7375C" w:rsidP="00E7375C">
      <w:pPr>
        <w:pStyle w:val="Fundamentos"/>
        <w:ind w:left="993"/>
        <w:rPr>
          <w:lang w:val="es-MX"/>
        </w:rPr>
      </w:pPr>
      <w:r w:rsidRPr="00A502E3">
        <w:rPr>
          <w:b/>
          <w:bCs/>
          <w:lang w:val="es-MX"/>
        </w:rPr>
        <w:t>h)</w:t>
      </w:r>
      <w:r w:rsidRPr="00E7375C">
        <w:rPr>
          <w:lang w:val="es-MX"/>
        </w:rPr>
        <w:tab/>
        <w:t>Requisitos y procedimientos de acceso;</w:t>
      </w:r>
    </w:p>
    <w:p w14:paraId="4A6B5218" w14:textId="77777777" w:rsidR="00E7375C" w:rsidRPr="00E7375C" w:rsidRDefault="00E7375C" w:rsidP="00E7375C">
      <w:pPr>
        <w:pStyle w:val="Fundamentos"/>
        <w:ind w:left="993"/>
        <w:rPr>
          <w:lang w:val="es-MX"/>
        </w:rPr>
      </w:pPr>
      <w:r w:rsidRPr="00A502E3">
        <w:rPr>
          <w:b/>
          <w:bCs/>
          <w:lang w:val="es-MX"/>
        </w:rPr>
        <w:t>i)</w:t>
      </w:r>
      <w:r w:rsidRPr="00E7375C">
        <w:rPr>
          <w:lang w:val="es-MX"/>
        </w:rPr>
        <w:tab/>
        <w:t>Procedimiento de queja o inconformidad ciudadana;</w:t>
      </w:r>
    </w:p>
    <w:p w14:paraId="3A283C5C" w14:textId="77777777" w:rsidR="00E7375C" w:rsidRPr="00E7375C" w:rsidRDefault="00E7375C" w:rsidP="00E7375C">
      <w:pPr>
        <w:pStyle w:val="Fundamentos"/>
        <w:ind w:left="993"/>
        <w:rPr>
          <w:lang w:val="es-MX"/>
        </w:rPr>
      </w:pPr>
      <w:r w:rsidRPr="00A502E3">
        <w:rPr>
          <w:b/>
          <w:bCs/>
          <w:lang w:val="es-MX"/>
        </w:rPr>
        <w:t>j)</w:t>
      </w:r>
      <w:r w:rsidRPr="00E7375C">
        <w:rPr>
          <w:lang w:val="es-MX"/>
        </w:rPr>
        <w:tab/>
        <w:t>Mecanismos de exigibilidad;</w:t>
      </w:r>
    </w:p>
    <w:p w14:paraId="0BA51A53" w14:textId="77777777" w:rsidR="00E7375C" w:rsidRPr="00E7375C" w:rsidRDefault="00E7375C" w:rsidP="00E7375C">
      <w:pPr>
        <w:pStyle w:val="Fundamentos"/>
        <w:ind w:left="993"/>
        <w:rPr>
          <w:lang w:val="es-MX"/>
        </w:rPr>
      </w:pPr>
      <w:r w:rsidRPr="00A502E3">
        <w:rPr>
          <w:b/>
          <w:bCs/>
          <w:lang w:val="es-MX"/>
        </w:rPr>
        <w:t>k)</w:t>
      </w:r>
      <w:r w:rsidRPr="00E7375C">
        <w:rPr>
          <w:lang w:val="es-MX"/>
        </w:rPr>
        <w:tab/>
        <w:t>Mecanismos e informes de evaluación y seguimiento de recomendaciones;</w:t>
      </w:r>
    </w:p>
    <w:p w14:paraId="1C26E05B" w14:textId="77777777" w:rsidR="00E7375C" w:rsidRPr="00E7375C" w:rsidRDefault="00E7375C" w:rsidP="00A502E3">
      <w:pPr>
        <w:pStyle w:val="Fundamentos"/>
        <w:ind w:left="1413" w:hanging="420"/>
        <w:rPr>
          <w:lang w:val="es-MX"/>
        </w:rPr>
      </w:pPr>
      <w:r w:rsidRPr="00A502E3">
        <w:rPr>
          <w:b/>
          <w:bCs/>
          <w:lang w:val="es-MX"/>
        </w:rPr>
        <w:t>l)</w:t>
      </w:r>
      <w:r w:rsidRPr="00E7375C">
        <w:rPr>
          <w:lang w:val="es-MX"/>
        </w:rPr>
        <w:tab/>
        <w:t>Indicadores con nombre, definición, método de cálculo, unidad de medida; dimensión, frecuencia de medición, nombre de las bases de datos utilizadas para su cálculo;</w:t>
      </w:r>
    </w:p>
    <w:p w14:paraId="4A0BFB10" w14:textId="77777777" w:rsidR="00E7375C" w:rsidRPr="00E7375C" w:rsidRDefault="00E7375C" w:rsidP="00E7375C">
      <w:pPr>
        <w:pStyle w:val="Fundamentos"/>
        <w:ind w:left="993"/>
        <w:rPr>
          <w:lang w:val="es-MX"/>
        </w:rPr>
      </w:pPr>
      <w:r w:rsidRPr="00A502E3">
        <w:rPr>
          <w:b/>
          <w:bCs/>
          <w:lang w:val="es-MX"/>
        </w:rPr>
        <w:t>m)</w:t>
      </w:r>
      <w:r w:rsidRPr="00E7375C">
        <w:rPr>
          <w:lang w:val="es-MX"/>
        </w:rPr>
        <w:tab/>
        <w:t>Formas de participación social;</w:t>
      </w:r>
    </w:p>
    <w:p w14:paraId="73BB0E98" w14:textId="77777777" w:rsidR="00E7375C" w:rsidRPr="00E7375C" w:rsidRDefault="00E7375C" w:rsidP="00E7375C">
      <w:pPr>
        <w:pStyle w:val="Fundamentos"/>
        <w:ind w:left="993"/>
        <w:rPr>
          <w:lang w:val="es-MX"/>
        </w:rPr>
      </w:pPr>
      <w:r w:rsidRPr="00A502E3">
        <w:rPr>
          <w:b/>
          <w:bCs/>
          <w:lang w:val="es-MX"/>
        </w:rPr>
        <w:t>n)</w:t>
      </w:r>
      <w:r w:rsidRPr="00E7375C">
        <w:rPr>
          <w:lang w:val="es-MX"/>
        </w:rPr>
        <w:tab/>
        <w:t>Articulación con otros programas sociales;</w:t>
      </w:r>
    </w:p>
    <w:p w14:paraId="31053C88" w14:textId="7C900EF0" w:rsidR="00E7375C" w:rsidRPr="00E7375C" w:rsidRDefault="00E7375C" w:rsidP="00E7375C">
      <w:pPr>
        <w:pStyle w:val="Fundamentos"/>
        <w:ind w:left="993"/>
        <w:rPr>
          <w:lang w:val="es-MX"/>
        </w:rPr>
      </w:pPr>
      <w:r w:rsidRPr="00A502E3">
        <w:rPr>
          <w:b/>
          <w:bCs/>
          <w:lang w:val="es-MX"/>
        </w:rPr>
        <w:t>ñ)</w:t>
      </w:r>
      <w:r w:rsidRPr="00E7375C">
        <w:rPr>
          <w:lang w:val="es-MX"/>
        </w:rPr>
        <w:t xml:space="preserve"> </w:t>
      </w:r>
      <w:r w:rsidR="00A502E3">
        <w:rPr>
          <w:lang w:val="es-MX"/>
        </w:rPr>
        <w:tab/>
      </w:r>
      <w:r w:rsidRPr="00E7375C">
        <w:rPr>
          <w:lang w:val="es-MX"/>
        </w:rPr>
        <w:t>Vínculo a las reglas de operación o documento equivalente;</w:t>
      </w:r>
    </w:p>
    <w:p w14:paraId="034FEDB1" w14:textId="77777777" w:rsidR="00E7375C" w:rsidRPr="00E7375C" w:rsidRDefault="00E7375C" w:rsidP="00A502E3">
      <w:pPr>
        <w:pStyle w:val="Fundamentos"/>
        <w:ind w:left="1413" w:hanging="420"/>
        <w:rPr>
          <w:lang w:val="es-MX"/>
        </w:rPr>
      </w:pPr>
      <w:r w:rsidRPr="00A502E3">
        <w:rPr>
          <w:b/>
          <w:bCs/>
          <w:lang w:val="es-MX"/>
        </w:rPr>
        <w:t>o)</w:t>
      </w:r>
      <w:r w:rsidRPr="00E7375C">
        <w:rPr>
          <w:lang w:val="es-MX"/>
        </w:rPr>
        <w:tab/>
        <w:t>Informes periódicos sobre la ejecución y los resultados de las evaluaciones realizadas; y</w:t>
      </w:r>
    </w:p>
    <w:p w14:paraId="0E387342" w14:textId="3A2747A2" w:rsidR="00FE0B31" w:rsidRDefault="00E7375C" w:rsidP="00A502E3">
      <w:pPr>
        <w:pStyle w:val="Fundamentos"/>
        <w:ind w:left="1413" w:hanging="420"/>
        <w:rPr>
          <w:lang w:val="es-MX"/>
        </w:rPr>
      </w:pPr>
      <w:r w:rsidRPr="00A502E3">
        <w:rPr>
          <w:b/>
          <w:bCs/>
          <w:lang w:val="es-MX"/>
        </w:rPr>
        <w:t>p)</w:t>
      </w:r>
      <w:r w:rsidRPr="00E7375C">
        <w:rPr>
          <w:lang w:val="es-MX"/>
        </w:rPr>
        <w:tab/>
        <w:t>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r w:rsidR="00D21CEF" w:rsidRPr="00D21CEF">
        <w:rPr>
          <w:lang w:val="es-MX"/>
        </w:rPr>
        <w:t>;</w:t>
      </w:r>
    </w:p>
    <w:p w14:paraId="6FABC8AF" w14:textId="3E085303" w:rsidR="00FE0B31" w:rsidRDefault="00F821C1" w:rsidP="009E1CAE">
      <w:pPr>
        <w:pStyle w:val="Fundamentos"/>
        <w:rPr>
          <w:lang w:val="es-MX"/>
        </w:rPr>
      </w:pPr>
      <w:r>
        <w:rPr>
          <w:lang w:val="es-MX"/>
        </w:rPr>
        <w:t>[…]</w:t>
      </w:r>
    </w:p>
    <w:p w14:paraId="7F9FAC8B" w14:textId="77777777" w:rsidR="00FE0B31" w:rsidRDefault="00FE0B31" w:rsidP="004157F1">
      <w:pPr>
        <w:pStyle w:val="NormalINFOEM"/>
        <w:rPr>
          <w:lang w:val="es-MX"/>
        </w:rPr>
      </w:pPr>
    </w:p>
    <w:p w14:paraId="6AD059B4" w14:textId="333BD99F" w:rsidR="004F7B93" w:rsidRPr="00992A0D" w:rsidRDefault="004F7B93" w:rsidP="004F7B93">
      <w:pPr>
        <w:rPr>
          <w:rFonts w:cs="Arial"/>
          <w:szCs w:val="24"/>
        </w:rPr>
      </w:pPr>
      <w:r>
        <w:rPr>
          <w:szCs w:val="24"/>
        </w:rPr>
        <w:t>Consecuentemente</w:t>
      </w:r>
      <w:r w:rsidRPr="00992A0D">
        <w:rPr>
          <w:szCs w:val="24"/>
        </w:rPr>
        <w:t xml:space="preserve">, la actuación del Sujeto Obligado </w:t>
      </w:r>
      <w:r w:rsidRPr="00992A0D">
        <w:rPr>
          <w:rFonts w:eastAsia="MS Mincho" w:cs="Arial"/>
          <w:szCs w:val="24"/>
        </w:rPr>
        <w:t xml:space="preserve">constituye una afectación al derecho humano de acceso a la información pública del particular, toda vez que pretendió cambiar la modalidad de entrega de la información; </w:t>
      </w:r>
      <w:r w:rsidRPr="00992A0D">
        <w:rPr>
          <w:rFonts w:cs="Arial"/>
          <w:szCs w:val="24"/>
        </w:rPr>
        <w:t xml:space="preserve">de esta forma, solamente intenta realizar el cambio de modalidad ya que como se ha dicho, el particular mencionó que la manera de entrega de la información sería a través del </w:t>
      </w:r>
      <w:proofErr w:type="spellStart"/>
      <w:r w:rsidRPr="00992A0D">
        <w:rPr>
          <w:rFonts w:cs="Arial"/>
          <w:szCs w:val="24"/>
        </w:rPr>
        <w:t>SAIMEX</w:t>
      </w:r>
      <w:proofErr w:type="spellEnd"/>
      <w:r w:rsidRPr="00992A0D">
        <w:rPr>
          <w:rFonts w:cs="Arial"/>
          <w:szCs w:val="24"/>
        </w:rPr>
        <w:t xml:space="preserve">, adicionalmente, en la actualidad existen medios electrónicos que facilita la entrega de información, que a decir de </w:t>
      </w:r>
      <w:r w:rsidR="004F0839">
        <w:rPr>
          <w:rFonts w:cs="Arial"/>
          <w:szCs w:val="24"/>
        </w:rPr>
        <w:t>e</w:t>
      </w:r>
      <w:r w:rsidRPr="00992A0D">
        <w:rPr>
          <w:rFonts w:cs="Arial"/>
          <w:szCs w:val="24"/>
        </w:rPr>
        <w:t>ste Órgano Garante, el cambio de modalidad no es procedente, en virtud de lo establecido por el artículo 164, de la Ley de Transparencia y Acceso a la Información Pública del Estado de México y Municipios que contempla los siguiente:</w:t>
      </w:r>
    </w:p>
    <w:p w14:paraId="560E4C7E" w14:textId="77777777" w:rsidR="004F7B93" w:rsidRPr="00992A0D" w:rsidRDefault="004F7B93" w:rsidP="004F7B93">
      <w:pPr>
        <w:jc w:val="left"/>
        <w:rPr>
          <w:szCs w:val="24"/>
        </w:rPr>
      </w:pPr>
    </w:p>
    <w:p w14:paraId="7D997295" w14:textId="77777777" w:rsidR="004F7B93" w:rsidRPr="00992A0D" w:rsidRDefault="004F7B93" w:rsidP="004F7B93">
      <w:pPr>
        <w:tabs>
          <w:tab w:val="left" w:pos="709"/>
        </w:tabs>
        <w:spacing w:line="240" w:lineRule="auto"/>
        <w:ind w:left="567" w:right="567"/>
        <w:rPr>
          <w:rFonts w:cs="Arial"/>
          <w:i/>
          <w:sz w:val="22"/>
        </w:rPr>
      </w:pPr>
      <w:r w:rsidRPr="00992A0D">
        <w:rPr>
          <w:rFonts w:cs="Arial"/>
          <w:b/>
          <w:i/>
          <w:sz w:val="22"/>
        </w:rPr>
        <w:t>Artículo 164.</w:t>
      </w:r>
      <w:r w:rsidRPr="00992A0D">
        <w:rPr>
          <w:rFonts w:cs="Arial"/>
          <w:i/>
          <w:sz w:val="22"/>
        </w:rPr>
        <w:t xml:space="preserve"> </w:t>
      </w:r>
      <w:r w:rsidRPr="00992A0D">
        <w:rPr>
          <w:rFonts w:cs="Arial"/>
          <w:b/>
          <w:i/>
          <w:sz w:val="22"/>
          <w:u w:val="single"/>
        </w:rPr>
        <w:t>El acceso se dará en la modalidad de entrega y, en su caso, de envío elegidos por el solicitante.</w:t>
      </w:r>
      <w:r w:rsidRPr="00992A0D">
        <w:rPr>
          <w:rFonts w:cs="Arial"/>
          <w:i/>
          <w:sz w:val="22"/>
        </w:rPr>
        <w:t xml:space="preserve"> Cuando la información no pueda entregarse o enviarse en la modalidad solicitada, el sujeto obligado deberá ofrecer otra u otras modalidades de entrega. </w:t>
      </w:r>
    </w:p>
    <w:p w14:paraId="02CDC527" w14:textId="77777777" w:rsidR="004F7B93" w:rsidRPr="00992A0D" w:rsidRDefault="004F7B93" w:rsidP="004F7B93">
      <w:pPr>
        <w:tabs>
          <w:tab w:val="left" w:pos="709"/>
        </w:tabs>
        <w:spacing w:line="240" w:lineRule="auto"/>
        <w:ind w:left="567" w:right="567"/>
        <w:rPr>
          <w:rFonts w:cs="Arial"/>
          <w:b/>
          <w:i/>
          <w:sz w:val="22"/>
          <w:u w:val="single"/>
        </w:rPr>
      </w:pPr>
    </w:p>
    <w:p w14:paraId="2B1128EF" w14:textId="77777777" w:rsidR="004F7B93" w:rsidRPr="00992A0D" w:rsidRDefault="004F7B93" w:rsidP="004F7B93">
      <w:pPr>
        <w:tabs>
          <w:tab w:val="left" w:pos="709"/>
        </w:tabs>
        <w:spacing w:line="240" w:lineRule="auto"/>
        <w:ind w:left="567" w:right="567"/>
        <w:rPr>
          <w:rFonts w:cs="Arial"/>
          <w:i/>
          <w:sz w:val="22"/>
        </w:rPr>
      </w:pPr>
      <w:r w:rsidRPr="00992A0D">
        <w:rPr>
          <w:rFonts w:cs="Arial"/>
          <w:b/>
          <w:i/>
          <w:sz w:val="22"/>
          <w:u w:val="single"/>
        </w:rPr>
        <w:t>En cualquier caso, se deberá fundar y motivar la necesidad de ofrecer otras modalidades.</w:t>
      </w:r>
    </w:p>
    <w:p w14:paraId="4C5C2268" w14:textId="77777777" w:rsidR="004F7B93" w:rsidRPr="00992A0D" w:rsidRDefault="004F7B93" w:rsidP="004F7B93">
      <w:pPr>
        <w:contextualSpacing/>
        <w:rPr>
          <w:szCs w:val="24"/>
        </w:rPr>
      </w:pPr>
    </w:p>
    <w:p w14:paraId="3E7705F6" w14:textId="77777777" w:rsidR="004F7B93" w:rsidRDefault="004F7B93" w:rsidP="004F7B93">
      <w:pPr>
        <w:pStyle w:val="NormalINFOEM"/>
      </w:pPr>
      <w:r w:rsidRPr="004F7B93">
        <w:t xml:space="preserve">Asimismo, se dejó de observar lo dispuesto </w:t>
      </w:r>
      <w:r>
        <w:t xml:space="preserve">en </w:t>
      </w:r>
      <w:r w:rsidRPr="004F7B93">
        <w:t>los numerales Vigésimo Cuarto, Vigésimo Quinto y Vigésimo Sexto de los Lineamientos para la operación del Sistema de Acceso a la Información Mexiquense (</w:t>
      </w:r>
      <w:proofErr w:type="spellStart"/>
      <w:r w:rsidRPr="004F7B93">
        <w:t>SAIMEX</w:t>
      </w:r>
      <w:proofErr w:type="spellEnd"/>
      <w:r w:rsidRPr="004F7B93">
        <w:t>) y del Sistema de Acceso, Rectificación, Cancelación y Oposición de Datos Personales del Estado de México (</w:t>
      </w:r>
      <w:proofErr w:type="spellStart"/>
      <w:r w:rsidRPr="004F7B93">
        <w:t>SARCOEM</w:t>
      </w:r>
      <w:proofErr w:type="spellEnd"/>
      <w:r w:rsidRPr="004F7B93">
        <w:t>).</w:t>
      </w:r>
    </w:p>
    <w:p w14:paraId="772C8FFF" w14:textId="77777777" w:rsidR="004F7B93" w:rsidRPr="004F7B93" w:rsidRDefault="004F7B93" w:rsidP="004F7B93">
      <w:pPr>
        <w:pStyle w:val="NormalINFOEM"/>
      </w:pPr>
    </w:p>
    <w:p w14:paraId="05A0C880" w14:textId="55AAE1BE" w:rsidR="004F7B93" w:rsidRPr="00992A0D" w:rsidRDefault="004F7B93" w:rsidP="004F7B93">
      <w:pPr>
        <w:contextualSpacing/>
        <w:rPr>
          <w:b/>
          <w:szCs w:val="24"/>
        </w:rPr>
      </w:pPr>
      <w:r>
        <w:rPr>
          <w:szCs w:val="24"/>
        </w:rPr>
        <w:t>Así, se tiene que la Ley de Transparencia local</w:t>
      </w:r>
      <w:r w:rsidRPr="00992A0D">
        <w:rPr>
          <w:szCs w:val="24"/>
        </w:rPr>
        <w:t xml:space="preserve"> busca privilegiar la entrega de la información solicitada en la modalidad </w:t>
      </w:r>
      <w:r>
        <w:rPr>
          <w:szCs w:val="24"/>
        </w:rPr>
        <w:t>requerida por el particular; en ese sentido,</w:t>
      </w:r>
      <w:r w:rsidRPr="00992A0D">
        <w:rPr>
          <w:szCs w:val="24"/>
        </w:rPr>
        <w:t xml:space="preserve"> el artículo establece que tanto la modalidad de entrega como la forma de envío de la </w:t>
      </w:r>
      <w:r w:rsidRPr="00992A0D">
        <w:rPr>
          <w:szCs w:val="24"/>
        </w:rPr>
        <w:lastRenderedPageBreak/>
        <w:t xml:space="preserve">información se hará preferentemente como lo haya señalado el requirente. En los casos en que esto no sea posible, el Sujeto Obligado podrá garantizar la entrega a través de cualquier otro medio, siempre y cuando funde y motive la razón para hacerlo. </w:t>
      </w:r>
    </w:p>
    <w:p w14:paraId="7F662C86" w14:textId="77777777" w:rsidR="00B57FD2" w:rsidRPr="004F7B93" w:rsidRDefault="00B57FD2" w:rsidP="004F7B93">
      <w:pPr>
        <w:pStyle w:val="NormalINFOEM"/>
      </w:pPr>
    </w:p>
    <w:p w14:paraId="69C67C48" w14:textId="77777777" w:rsidR="006009DE" w:rsidRPr="00992A0D" w:rsidRDefault="006009DE" w:rsidP="006009DE">
      <w:pPr>
        <w:contextualSpacing/>
        <w:rPr>
          <w:szCs w:val="24"/>
        </w:rPr>
      </w:pPr>
      <w:r w:rsidRPr="00992A0D">
        <w:rPr>
          <w:szCs w:val="24"/>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7E9AC905" w14:textId="77777777" w:rsidR="006009DE" w:rsidRPr="00992A0D" w:rsidRDefault="006009DE" w:rsidP="006009DE">
      <w:pPr>
        <w:contextualSpacing/>
        <w:rPr>
          <w:szCs w:val="24"/>
        </w:rPr>
      </w:pPr>
    </w:p>
    <w:p w14:paraId="131EB01E" w14:textId="77777777" w:rsidR="006009DE" w:rsidRPr="00992A0D" w:rsidRDefault="006009DE" w:rsidP="006009DE">
      <w:pPr>
        <w:contextualSpacing/>
        <w:rPr>
          <w:rFonts w:cs="Arial"/>
          <w:color w:val="222222"/>
          <w:szCs w:val="24"/>
        </w:rPr>
      </w:pPr>
      <w:r w:rsidRPr="00992A0D">
        <w:rPr>
          <w:rFonts w:cs="Arial"/>
          <w:color w:val="222222"/>
          <w:szCs w:val="24"/>
        </w:rPr>
        <w:t xml:space="preserve">Han sido vastos los estudios doctrinarios relativos a estos derechos fundamentales y al principio de legalidad en ellos contenidos; como ejemplo, el procesalista José Ovalle Fabela, en su obra </w:t>
      </w:r>
      <w:r>
        <w:rPr>
          <w:rFonts w:cs="Arial"/>
          <w:color w:val="222222"/>
          <w:szCs w:val="24"/>
        </w:rPr>
        <w:t>«</w:t>
      </w:r>
      <w:r w:rsidRPr="00992A0D">
        <w:rPr>
          <w:rFonts w:cs="Arial"/>
          <w:color w:val="222222"/>
          <w:szCs w:val="24"/>
        </w:rPr>
        <w:t>Garantías Constitucionales del Proceso</w:t>
      </w:r>
      <w:r>
        <w:rPr>
          <w:rFonts w:cs="Arial"/>
          <w:color w:val="222222"/>
          <w:szCs w:val="24"/>
        </w:rPr>
        <w:t>»</w:t>
      </w:r>
      <w:r w:rsidRPr="00992A0D">
        <w:rPr>
          <w:rFonts w:cs="Arial"/>
          <w:color w:val="222222"/>
          <w:szCs w:val="24"/>
        </w:rPr>
        <w:t xml:space="preserve">, refiere que </w:t>
      </w:r>
      <w:r>
        <w:rPr>
          <w:rFonts w:cs="Arial"/>
          <w:i/>
          <w:color w:val="222222"/>
          <w:szCs w:val="24"/>
        </w:rPr>
        <w:t>«</w:t>
      </w:r>
      <w:r w:rsidRPr="00992A0D">
        <w:rPr>
          <w:rFonts w:cs="Arial"/>
          <w:i/>
          <w:color w:val="222222"/>
          <w:szCs w:val="24"/>
        </w:rPr>
        <w:t>...</w:t>
      </w:r>
      <w:r>
        <w:rPr>
          <w:rFonts w:cs="Arial"/>
          <w:i/>
          <w:color w:val="222222"/>
          <w:szCs w:val="24"/>
        </w:rPr>
        <w:t xml:space="preserve"> </w:t>
      </w:r>
      <w:r w:rsidRPr="00992A0D">
        <w:rPr>
          <w:rFonts w:cs="Arial"/>
          <w:i/>
          <w:color w:val="222222"/>
          <w:szCs w:val="24"/>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Pr>
          <w:rFonts w:cs="Arial"/>
          <w:i/>
          <w:color w:val="222222"/>
          <w:szCs w:val="24"/>
        </w:rPr>
        <w:t>»</w:t>
      </w:r>
      <w:r w:rsidRPr="00992A0D">
        <w:rPr>
          <w:rFonts w:ascii="Calibri" w:hAnsi="Calibri"/>
          <w:szCs w:val="24"/>
          <w:vertAlign w:val="superscript"/>
        </w:rPr>
        <w:footnoteReference w:id="3"/>
      </w:r>
    </w:p>
    <w:p w14:paraId="1B572693" w14:textId="77777777" w:rsidR="006009DE" w:rsidRPr="00992A0D" w:rsidRDefault="006009DE" w:rsidP="006009DE">
      <w:pPr>
        <w:contextualSpacing/>
        <w:rPr>
          <w:rFonts w:cs="Arial"/>
          <w:color w:val="222222"/>
          <w:szCs w:val="24"/>
        </w:rPr>
      </w:pPr>
    </w:p>
    <w:p w14:paraId="796F874D" w14:textId="77777777" w:rsidR="006009DE" w:rsidRPr="00992A0D" w:rsidRDefault="006009DE" w:rsidP="006009DE">
      <w:pPr>
        <w:contextualSpacing/>
        <w:rPr>
          <w:rFonts w:cs="Arial"/>
          <w:color w:val="222222"/>
          <w:szCs w:val="24"/>
        </w:rPr>
      </w:pPr>
      <w:r w:rsidRPr="00992A0D">
        <w:rPr>
          <w:rFonts w:cs="Arial"/>
          <w:color w:val="222222"/>
          <w:szCs w:val="24"/>
        </w:rPr>
        <w:t>Por su parte, el intérprete judicial del país ha establecido una jurisprudencia respecto a qué debe entenderse por fundamentación y motivación, en los siguientes términos:</w:t>
      </w:r>
    </w:p>
    <w:p w14:paraId="46A69420" w14:textId="77777777" w:rsidR="006009DE" w:rsidRPr="00992A0D" w:rsidRDefault="006009DE" w:rsidP="006009DE">
      <w:pPr>
        <w:jc w:val="left"/>
        <w:rPr>
          <w:szCs w:val="24"/>
        </w:rPr>
      </w:pPr>
    </w:p>
    <w:p w14:paraId="7F8D72E7" w14:textId="77777777" w:rsidR="006009DE" w:rsidRPr="00992A0D" w:rsidRDefault="006009DE" w:rsidP="006009DE">
      <w:pPr>
        <w:spacing w:line="240" w:lineRule="auto"/>
        <w:ind w:left="851" w:right="618"/>
        <w:contextualSpacing/>
        <w:rPr>
          <w:rFonts w:cs="Arial"/>
          <w:i/>
          <w:color w:val="000000"/>
          <w:sz w:val="22"/>
        </w:rPr>
      </w:pPr>
      <w:r w:rsidRPr="00992A0D">
        <w:rPr>
          <w:rFonts w:cs="Arial"/>
          <w:b/>
          <w:i/>
          <w:color w:val="000000"/>
          <w:sz w:val="22"/>
        </w:rPr>
        <w:t>FUNDAMENTACIÓN Y MOTIVACIÓN.</w:t>
      </w:r>
      <w:r w:rsidRPr="00992A0D">
        <w:rPr>
          <w:rFonts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07DFB9B" w14:textId="77777777" w:rsidR="006009DE" w:rsidRPr="00992A0D" w:rsidRDefault="006009DE" w:rsidP="006009DE">
      <w:pPr>
        <w:ind w:right="618"/>
        <w:contextualSpacing/>
        <w:rPr>
          <w:rFonts w:cs="Arial"/>
          <w:color w:val="000000"/>
          <w:szCs w:val="24"/>
        </w:rPr>
      </w:pPr>
    </w:p>
    <w:p w14:paraId="2C2A5488" w14:textId="77777777" w:rsidR="006009DE" w:rsidRPr="00992A0D" w:rsidRDefault="006009DE" w:rsidP="006009DE">
      <w:pPr>
        <w:contextualSpacing/>
        <w:rPr>
          <w:rFonts w:cs="Arial"/>
          <w:color w:val="222222"/>
          <w:szCs w:val="24"/>
        </w:rPr>
      </w:pPr>
      <w:r w:rsidRPr="00992A0D">
        <w:rPr>
          <w:rFonts w:cs="Arial"/>
          <w:color w:val="222222"/>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EF9BC8C" w14:textId="77777777" w:rsidR="006009DE" w:rsidRPr="00992A0D" w:rsidRDefault="006009DE" w:rsidP="006009DE">
      <w:pPr>
        <w:contextualSpacing/>
        <w:rPr>
          <w:rFonts w:cs="Arial"/>
          <w:color w:val="222222"/>
          <w:szCs w:val="24"/>
        </w:rPr>
      </w:pPr>
    </w:p>
    <w:p w14:paraId="7DC32A36" w14:textId="77777777" w:rsidR="006009DE" w:rsidRPr="00992A0D" w:rsidRDefault="006009DE" w:rsidP="006009DE">
      <w:pPr>
        <w:contextualSpacing/>
        <w:rPr>
          <w:rFonts w:cs="Arial"/>
          <w:color w:val="222222"/>
          <w:szCs w:val="24"/>
        </w:rPr>
      </w:pPr>
      <w:r w:rsidRPr="00992A0D">
        <w:rPr>
          <w:rFonts w:cs="Arial"/>
          <w:color w:val="222222"/>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337546D" w14:textId="77777777" w:rsidR="006009DE" w:rsidRPr="00992A0D" w:rsidRDefault="006009DE" w:rsidP="006009DE">
      <w:pPr>
        <w:contextualSpacing/>
        <w:rPr>
          <w:rFonts w:cs="Arial"/>
          <w:color w:val="222222"/>
          <w:szCs w:val="24"/>
        </w:rPr>
      </w:pPr>
    </w:p>
    <w:p w14:paraId="3CAEA859" w14:textId="77777777" w:rsidR="006009DE" w:rsidRPr="00992A0D" w:rsidRDefault="006009DE" w:rsidP="006009DE">
      <w:pPr>
        <w:rPr>
          <w:i/>
          <w:szCs w:val="24"/>
        </w:rPr>
      </w:pPr>
      <w:r w:rsidRPr="00992A0D">
        <w:rPr>
          <w:szCs w:val="24"/>
        </w:rPr>
        <w:t>En vista de las consideraciones señaladas, se advierte que el Sujeto Obligado, no justifica en ningún momento de forma fundada y motiva su cambio de modalidad</w:t>
      </w:r>
      <w:r>
        <w:rPr>
          <w:szCs w:val="24"/>
        </w:rPr>
        <w:t xml:space="preserve"> de entrega de la información.</w:t>
      </w:r>
      <w:r w:rsidRPr="00992A0D">
        <w:rPr>
          <w:szCs w:val="24"/>
        </w:rPr>
        <w:t xml:space="preserve"> </w:t>
      </w:r>
    </w:p>
    <w:p w14:paraId="137D3481" w14:textId="77777777" w:rsidR="006009DE" w:rsidRDefault="006009DE" w:rsidP="006009DE"/>
    <w:p w14:paraId="4553E7FE" w14:textId="77777777" w:rsidR="006009DE" w:rsidRPr="00992A0D" w:rsidRDefault="006009DE" w:rsidP="006009DE">
      <w:r>
        <w:t>No se omite resaltar que l</w:t>
      </w:r>
      <w:r w:rsidRPr="00992A0D">
        <w:t xml:space="preserve">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3EF7DEC7" w14:textId="77777777" w:rsidR="006009DE" w:rsidRPr="00992A0D" w:rsidRDefault="006009DE" w:rsidP="006009DE"/>
    <w:p w14:paraId="462A5A86" w14:textId="77777777" w:rsidR="006009DE" w:rsidRPr="00992A0D" w:rsidRDefault="006009DE" w:rsidP="006009DE">
      <w:r w:rsidRPr="00992A0D">
        <w:t xml:space="preserve">Ahora bien, la ley de la materia señala en su artículo 158, los casos en que de manera excepcional se puede proceder al cambio de modalidad: </w:t>
      </w:r>
    </w:p>
    <w:p w14:paraId="61DFA58A" w14:textId="77777777" w:rsidR="006009DE" w:rsidRPr="00992A0D" w:rsidRDefault="006009DE" w:rsidP="006009DE"/>
    <w:p w14:paraId="5BDE7752" w14:textId="77777777" w:rsidR="006009DE" w:rsidRPr="00992A0D" w:rsidRDefault="006009DE" w:rsidP="006009DE">
      <w:pPr>
        <w:pStyle w:val="Fundamentos"/>
      </w:pPr>
      <w:r w:rsidRPr="00775C90">
        <w:rPr>
          <w:b/>
        </w:rPr>
        <w:t>Artículo 158.</w:t>
      </w:r>
      <w:r w:rsidRPr="00992A0D">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00947CFA" w14:textId="77777777" w:rsidR="006009DE" w:rsidRPr="00992A0D" w:rsidRDefault="006009DE" w:rsidP="006009DE"/>
    <w:p w14:paraId="5B8B43C8" w14:textId="77777777" w:rsidR="006009DE" w:rsidRPr="00992A0D" w:rsidRDefault="006009DE" w:rsidP="006009DE">
      <w:r w:rsidRPr="00992A0D">
        <w:t>En todo caso, se facilitará su copia simple o certificada, así como su reproducción por cualquier medio disponible en las instalaciones del sujeto obligado o que, en su caso, aporte el solicitante.</w:t>
      </w:r>
      <w:r>
        <w:t xml:space="preserve"> </w:t>
      </w:r>
      <w:r w:rsidRPr="00992A0D">
        <w:t>Sobre lo anterior,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w:t>
      </w:r>
    </w:p>
    <w:p w14:paraId="08B43C02" w14:textId="77777777" w:rsidR="006009DE" w:rsidRPr="00992A0D" w:rsidRDefault="006009DE" w:rsidP="006009DE"/>
    <w:p w14:paraId="056ECA55" w14:textId="77777777" w:rsidR="006009DE" w:rsidRPr="00992A0D" w:rsidRDefault="006009DE" w:rsidP="006009DE">
      <w:r w:rsidRPr="00992A0D">
        <w:lastRenderedPageBreak/>
        <w:t xml:space="preserve">De lo anterior, se desprende que, el Sujeto Obligado no procedió al cambio de modalidad de manera fundada y motivada, y además que el cambio de vía </w:t>
      </w:r>
      <w:r>
        <w:t xml:space="preserve">propuesto por la autoridad </w:t>
      </w:r>
      <w:r w:rsidRPr="00992A0D">
        <w:t>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Recurrente</w:t>
      </w:r>
    </w:p>
    <w:p w14:paraId="0654DBCD" w14:textId="77777777" w:rsidR="006009DE" w:rsidRDefault="006009DE" w:rsidP="006009DE">
      <w:pPr>
        <w:pBdr>
          <w:top w:val="nil"/>
          <w:left w:val="nil"/>
          <w:bottom w:val="nil"/>
          <w:right w:val="nil"/>
          <w:between w:val="nil"/>
        </w:pBdr>
        <w:contextualSpacing/>
        <w:rPr>
          <w:rFonts w:eastAsia="Palatino Linotype" w:cs="Palatino Linotype"/>
          <w:color w:val="000000"/>
          <w:szCs w:val="24"/>
        </w:rPr>
      </w:pPr>
    </w:p>
    <w:p w14:paraId="0080EE71" w14:textId="77777777" w:rsidR="006009DE" w:rsidRPr="00992A0D" w:rsidRDefault="006009DE" w:rsidP="006009DE">
      <w:r w:rsidRPr="00992A0D">
        <w:t xml:space="preserve">Por tal razón, este Órgano Garante en uso de las facultades que la propia legislación le otorga deberá ordenar la entrega de la información solicitada, dada la aceptación del Sujeto Obligado de generar, poseer o administrarla, es decir, de tener conocimiento de lo requerido. </w:t>
      </w:r>
    </w:p>
    <w:p w14:paraId="0DC71934" w14:textId="77777777" w:rsidR="00B57FD2" w:rsidRPr="004F7B93" w:rsidRDefault="00B57FD2" w:rsidP="004F7B93">
      <w:pPr>
        <w:pStyle w:val="NormalINFOEM"/>
      </w:pPr>
    </w:p>
    <w:p w14:paraId="52DC29C1" w14:textId="22FAA286" w:rsidR="00DC053B" w:rsidRDefault="00DC053B" w:rsidP="00DC053B">
      <w:pPr>
        <w:pBdr>
          <w:top w:val="nil"/>
          <w:left w:val="nil"/>
          <w:bottom w:val="nil"/>
          <w:right w:val="nil"/>
          <w:between w:val="nil"/>
        </w:pBdr>
        <w:contextualSpacing/>
      </w:pPr>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revocar la respuesta</w:t>
      </w:r>
      <w:r w:rsidRPr="00FC0957">
        <w:rPr>
          <w:rFonts w:eastAsia="Palatino Linotype" w:cs="Palatino Linotype"/>
          <w:color w:val="000000"/>
          <w:szCs w:val="24"/>
        </w:rPr>
        <w:t xml:space="preserve"> proporcionad</w:t>
      </w:r>
      <w:r>
        <w:rPr>
          <w:rFonts w:eastAsia="Palatino Linotype" w:cs="Palatino Linotype"/>
          <w:color w:val="000000"/>
          <w:szCs w:val="24"/>
        </w:rPr>
        <w:t>a a la solicitud de información que es</w:t>
      </w:r>
      <w:r w:rsidRPr="00FC0957">
        <w:rPr>
          <w:rFonts w:eastAsia="Palatino Linotype" w:cs="Palatino Linotype"/>
          <w:color w:val="000000"/>
          <w:szCs w:val="24"/>
        </w:rPr>
        <w:t xml:space="preserve"> materia de esta resolución y ordenar la entrega de </w:t>
      </w:r>
      <w:r w:rsidRPr="002F1C3D">
        <w:t>l</w:t>
      </w:r>
      <w:r>
        <w:t xml:space="preserve">os documentos </w:t>
      </w:r>
      <w:r w:rsidR="009B413B">
        <w:t xml:space="preserve">generados durante el periodo comprendido del </w:t>
      </w:r>
      <w:r w:rsidR="009B413B" w:rsidRPr="009B413B">
        <w:t xml:space="preserve">primero de enero de dos mil veintidós al </w:t>
      </w:r>
      <w:r w:rsidR="00842397">
        <w:t xml:space="preserve">dos de octubre </w:t>
      </w:r>
      <w:r w:rsidR="009B413B" w:rsidRPr="009B413B">
        <w:t>de dos mil veinticuatro</w:t>
      </w:r>
      <w:r w:rsidR="0046444E">
        <w:t xml:space="preserve">, en donde conste lo siguiente, </w:t>
      </w:r>
      <w:r w:rsidR="009B413B">
        <w:t xml:space="preserve"> </w:t>
      </w:r>
      <w:r>
        <w:t>en versión pública</w:t>
      </w:r>
      <w:r w:rsidR="00640353">
        <w:t xml:space="preserve"> de ser procedente</w:t>
      </w:r>
      <w:r w:rsidR="0046444E">
        <w:t>:</w:t>
      </w:r>
    </w:p>
    <w:p w14:paraId="0611FD50" w14:textId="77777777" w:rsidR="0046444E" w:rsidRDefault="0046444E" w:rsidP="00DC053B">
      <w:pPr>
        <w:pBdr>
          <w:top w:val="nil"/>
          <w:left w:val="nil"/>
          <w:bottom w:val="nil"/>
          <w:right w:val="nil"/>
          <w:between w:val="nil"/>
        </w:pBdr>
        <w:contextualSpacing/>
      </w:pPr>
    </w:p>
    <w:p w14:paraId="078CEC7B" w14:textId="77777777" w:rsidR="0004304A" w:rsidRDefault="0004304A" w:rsidP="00AC5151">
      <w:pPr>
        <w:pStyle w:val="Prrafodelista"/>
        <w:numPr>
          <w:ilvl w:val="0"/>
          <w:numId w:val="50"/>
        </w:numPr>
        <w:rPr>
          <w:rFonts w:eastAsiaTheme="minorHAnsi" w:cstheme="minorBidi"/>
          <w:lang w:eastAsia="en-US"/>
        </w:rPr>
      </w:pPr>
      <w:r>
        <w:rPr>
          <w:rFonts w:eastAsiaTheme="minorHAnsi" w:cstheme="minorBidi"/>
          <w:lang w:eastAsia="en-US"/>
        </w:rPr>
        <w:t xml:space="preserve">Número de apoyos entregados por el </w:t>
      </w:r>
      <w:proofErr w:type="gramStart"/>
      <w:r>
        <w:rPr>
          <w:rFonts w:eastAsiaTheme="minorHAnsi" w:cstheme="minorBidi"/>
          <w:lang w:eastAsia="en-US"/>
        </w:rPr>
        <w:t>Presidente</w:t>
      </w:r>
      <w:proofErr w:type="gramEnd"/>
      <w:r>
        <w:rPr>
          <w:rFonts w:eastAsiaTheme="minorHAnsi" w:cstheme="minorBidi"/>
          <w:lang w:eastAsia="en-US"/>
        </w:rPr>
        <w:t xml:space="preserve"> Municipal</w:t>
      </w:r>
      <w:r w:rsidRPr="001C4D99">
        <w:rPr>
          <w:rFonts w:eastAsiaTheme="minorHAnsi" w:cstheme="minorBidi"/>
          <w:lang w:eastAsia="en-US"/>
        </w:rPr>
        <w:t>.</w:t>
      </w:r>
    </w:p>
    <w:p w14:paraId="4458E893" w14:textId="77777777" w:rsidR="0004304A" w:rsidRPr="003C3940" w:rsidRDefault="0004304A" w:rsidP="00AC5151">
      <w:pPr>
        <w:pStyle w:val="Prrafodelista"/>
        <w:numPr>
          <w:ilvl w:val="0"/>
          <w:numId w:val="50"/>
        </w:numPr>
        <w:rPr>
          <w:rFonts w:eastAsiaTheme="minorHAnsi" w:cstheme="minorBidi"/>
          <w:lang w:eastAsia="en-US"/>
        </w:rPr>
      </w:pPr>
      <w:r>
        <w:rPr>
          <w:rFonts w:eastAsiaTheme="minorHAnsi" w:cstheme="minorBidi"/>
          <w:lang w:eastAsia="en-US"/>
        </w:rPr>
        <w:t>El tipo de apoyo que se entregó y si se destinó a cabecera o delegaciones.</w:t>
      </w:r>
    </w:p>
    <w:p w14:paraId="21DF2A98" w14:textId="77777777" w:rsidR="0004304A" w:rsidRPr="001C4D99" w:rsidRDefault="0004304A" w:rsidP="00AC5151">
      <w:pPr>
        <w:pStyle w:val="Prrafodelista"/>
        <w:numPr>
          <w:ilvl w:val="0"/>
          <w:numId w:val="50"/>
        </w:numPr>
        <w:rPr>
          <w:rFonts w:eastAsiaTheme="minorHAnsi" w:cstheme="minorBidi"/>
          <w:lang w:eastAsia="en-US"/>
        </w:rPr>
      </w:pPr>
      <w:r>
        <w:rPr>
          <w:rFonts w:eastAsiaTheme="minorHAnsi" w:cstheme="minorBidi"/>
          <w:lang w:eastAsia="en-US"/>
        </w:rPr>
        <w:t>Monto del gasto generado por la entrega de dichos apoyos.</w:t>
      </w:r>
    </w:p>
    <w:p w14:paraId="633ABE35" w14:textId="77777777" w:rsidR="00DC053B" w:rsidRPr="0004304A" w:rsidRDefault="00DC053B" w:rsidP="00DC053B">
      <w:pPr>
        <w:pBdr>
          <w:top w:val="nil"/>
          <w:left w:val="nil"/>
          <w:bottom w:val="nil"/>
          <w:right w:val="nil"/>
          <w:between w:val="nil"/>
        </w:pBdr>
        <w:contextualSpacing/>
        <w:rPr>
          <w:lang w:val="es-ES"/>
        </w:rPr>
      </w:pPr>
    </w:p>
    <w:p w14:paraId="5F9FE313" w14:textId="77777777" w:rsidR="00DC053B" w:rsidRDefault="00DC053B" w:rsidP="00DC053B">
      <w:pPr>
        <w:pStyle w:val="Ttulo3"/>
        <w:rPr>
          <w:rFonts w:eastAsia="Palatino Linotype"/>
        </w:rPr>
      </w:pPr>
      <w:r>
        <w:rPr>
          <w:rFonts w:eastAsia="Palatino Linotype"/>
        </w:rPr>
        <w:lastRenderedPageBreak/>
        <w:t>DE LA VERSIÓN PÚBLICA</w:t>
      </w:r>
    </w:p>
    <w:p w14:paraId="53293ED6" w14:textId="77777777" w:rsidR="007C047A" w:rsidRPr="00F42CE0" w:rsidRDefault="007C047A" w:rsidP="007C047A">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w:t>
      </w:r>
      <w:r>
        <w:rPr>
          <w:rFonts w:eastAsia="Palatino Linotype" w:cs="Palatino Linotype"/>
          <w:szCs w:val="24"/>
        </w:rPr>
        <w:t>acciones IX, XX, XXI y XLV, 91,</w:t>
      </w:r>
      <w:r w:rsidRPr="00F42CE0">
        <w:rPr>
          <w:rFonts w:eastAsia="Palatino Linotype" w:cs="Palatino Linotype"/>
          <w:szCs w:val="24"/>
        </w:rPr>
        <w:t xml:space="preserve"> 132 fracciones II y III </w:t>
      </w:r>
      <w:r>
        <w:rPr>
          <w:rFonts w:eastAsia="Palatino Linotype" w:cs="Palatino Linotype"/>
          <w:szCs w:val="24"/>
        </w:rPr>
        <w:t xml:space="preserve">y 143 </w:t>
      </w:r>
      <w:r w:rsidRPr="00F42CE0">
        <w:rPr>
          <w:rFonts w:eastAsia="Palatino Linotype" w:cs="Palatino Linotype"/>
          <w:szCs w:val="24"/>
        </w:rPr>
        <w:t>de la Ley de Transparencia y Acceso a la Información Pública del Estado de México y Municipios que establecen lo siguiente:</w:t>
      </w:r>
    </w:p>
    <w:p w14:paraId="705C7B9E" w14:textId="77777777" w:rsidR="007C047A" w:rsidRPr="00F42CE0" w:rsidRDefault="007C047A" w:rsidP="007C047A">
      <w:pPr>
        <w:rPr>
          <w:rFonts w:eastAsia="Palatino Linotype" w:cs="Palatino Linotype"/>
          <w:szCs w:val="24"/>
        </w:rPr>
      </w:pPr>
    </w:p>
    <w:p w14:paraId="26FF617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2E4B2936"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1478D6AF"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7AD0B7C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34278D6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C68C47E"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i/>
          <w:color w:val="000000"/>
          <w:sz w:val="22"/>
          <w:szCs w:val="24"/>
        </w:rPr>
        <w:t>[</w:t>
      </w:r>
      <w:r w:rsidRPr="00F42CE0">
        <w:rPr>
          <w:rFonts w:eastAsia="Palatino Linotype" w:cs="Palatino Linotype"/>
          <w:b/>
          <w:i/>
          <w:color w:val="000000"/>
          <w:sz w:val="22"/>
          <w:szCs w:val="24"/>
        </w:rPr>
        <w:t>…</w:t>
      </w:r>
      <w:r>
        <w:rPr>
          <w:rFonts w:eastAsia="Palatino Linotype" w:cs="Palatino Linotype"/>
          <w:b/>
          <w:i/>
          <w:color w:val="000000"/>
          <w:sz w:val="22"/>
          <w:szCs w:val="24"/>
        </w:rPr>
        <w:t>]</w:t>
      </w:r>
    </w:p>
    <w:p w14:paraId="0A46FD54"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6071340A"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71E64A22"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AB6E6C6"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45C00D7A"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3D1C91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521CC4B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34B4357E"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0074EA69"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20516423" w14:textId="77777777" w:rsidR="007C047A"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6D7B49B6" w14:textId="77777777" w:rsidR="007C047A"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DC7BCE6"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Artículo 143.</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754B8E">
        <w:rPr>
          <w:rFonts w:eastAsia="Palatino Linotype" w:cs="Palatino Linotype"/>
          <w:i/>
          <w:color w:val="000000"/>
          <w:sz w:val="22"/>
          <w:szCs w:val="24"/>
        </w:rPr>
        <w:t>:</w:t>
      </w:r>
    </w:p>
    <w:p w14:paraId="62A68351"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lastRenderedPageBreak/>
        <w:t>I.</w:t>
      </w:r>
      <w:r w:rsidRPr="00754B8E">
        <w:rPr>
          <w:rFonts w:eastAsia="Palatino Linotype" w:cs="Palatino Linotype"/>
          <w:i/>
          <w:color w:val="000000"/>
          <w:sz w:val="22"/>
          <w:szCs w:val="24"/>
        </w:rPr>
        <w:t xml:space="preserve"> </w:t>
      </w:r>
      <w:r w:rsidRPr="00754B8E">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754B8E">
        <w:rPr>
          <w:rFonts w:eastAsia="Palatino Linotype" w:cs="Palatino Linotype"/>
          <w:i/>
          <w:color w:val="000000"/>
          <w:sz w:val="22"/>
          <w:szCs w:val="24"/>
        </w:rPr>
        <w:t>;</w:t>
      </w:r>
    </w:p>
    <w:p w14:paraId="2908AA5F"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w:t>
      </w:r>
      <w:r w:rsidRPr="00754B8E">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754B8E">
        <w:rPr>
          <w:rFonts w:eastAsia="Palatino Linotype" w:cs="Palatino Linotype"/>
          <w:i/>
          <w:color w:val="000000"/>
          <w:sz w:val="22"/>
          <w:szCs w:val="24"/>
        </w:rPr>
        <w:t>; y</w:t>
      </w:r>
    </w:p>
    <w:p w14:paraId="4C7CC039"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754B8E">
        <w:rPr>
          <w:rFonts w:eastAsia="Palatino Linotype" w:cs="Palatino Linotype"/>
          <w:b/>
          <w:i/>
          <w:color w:val="000000"/>
          <w:sz w:val="22"/>
          <w:szCs w:val="24"/>
        </w:rPr>
        <w:t>III.</w:t>
      </w:r>
      <w:r w:rsidRPr="00754B8E">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68E73002" w14:textId="77777777" w:rsidR="007C047A" w:rsidRPr="00754B8E" w:rsidRDefault="007C047A" w:rsidP="007C047A">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0829ACC0"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47BF072">
        <w:rPr>
          <w:rFonts w:eastAsia="Palatino Linotype" w:cs="Palatino Linotype"/>
          <w:i/>
          <w:iCs/>
          <w:color w:val="000000" w:themeColor="text1"/>
          <w:sz w:val="22"/>
          <w:lang w:val="es-ES"/>
        </w:rPr>
        <w:t>No se considerará confidencial la información que se encuentre en los registros públicos o en fuentes de acceso público, ni tampoco la que sea considerada por la presente ley como información pública.</w:t>
      </w:r>
    </w:p>
    <w:p w14:paraId="41D4E411" w14:textId="77777777" w:rsidR="007C047A" w:rsidRPr="00F42CE0" w:rsidRDefault="007C047A" w:rsidP="007C047A">
      <w:pPr>
        <w:rPr>
          <w:rFonts w:eastAsia="Palatino Linotype" w:cs="Palatino Linotype"/>
          <w:i/>
          <w:szCs w:val="24"/>
        </w:rPr>
      </w:pPr>
    </w:p>
    <w:p w14:paraId="1F3E415C" w14:textId="77777777" w:rsidR="007C047A" w:rsidRPr="00F42CE0" w:rsidRDefault="007C047A" w:rsidP="007C047A">
      <w:pPr>
        <w:rPr>
          <w:rFonts w:eastAsia="Palatino Linotype" w:cs="Palatino Linotype"/>
          <w:lang w:val="es-ES"/>
        </w:rPr>
      </w:pPr>
      <w:r w:rsidRPr="347BF072">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25E3074" w14:textId="77777777" w:rsidR="007C047A" w:rsidRPr="00F42CE0" w:rsidRDefault="007C047A" w:rsidP="007C047A">
      <w:pPr>
        <w:rPr>
          <w:rFonts w:eastAsia="Palatino Linotype" w:cs="Palatino Linotype"/>
          <w:szCs w:val="24"/>
        </w:rPr>
      </w:pPr>
    </w:p>
    <w:p w14:paraId="6275974C" w14:textId="77777777" w:rsidR="007C047A" w:rsidRPr="00F42CE0" w:rsidRDefault="007C047A" w:rsidP="007C047A">
      <w:pPr>
        <w:rPr>
          <w:rFonts w:eastAsia="Palatino Linotype" w:cs="Palatino Linotype"/>
          <w:szCs w:val="24"/>
        </w:rPr>
      </w:pPr>
      <w:r w:rsidRPr="00F42CE0">
        <w:rPr>
          <w:rFonts w:eastAsia="Palatino Linotype" w:cs="Palatino Linotype"/>
          <w:szCs w:val="24"/>
        </w:rPr>
        <w:t xml:space="preserve">Por otro </w:t>
      </w:r>
      <w:r w:rsidRPr="00381BAB">
        <w:rPr>
          <w:rFonts w:eastAsia="Palatino Linotype" w:cs="Palatino Linotype"/>
          <w:szCs w:val="24"/>
        </w:rPr>
        <w:t>lado, los Lineamientos Generales en Materia de Clasificación y Desclasificación de la Información, así como para la elaboración de Versiones Públicas, emitidos por el Consejo</w:t>
      </w:r>
      <w:r w:rsidRPr="00F42CE0">
        <w:rPr>
          <w:rFonts w:eastAsia="Palatino Linotype" w:cs="Palatino Linotype"/>
          <w:szCs w:val="24"/>
        </w:rPr>
        <w:t xml:space="preserve">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43A318C" w14:textId="77777777" w:rsidR="007C047A" w:rsidRPr="00F42CE0" w:rsidRDefault="007C047A" w:rsidP="007C047A">
      <w:pPr>
        <w:rPr>
          <w:rFonts w:eastAsia="Palatino Linotype" w:cs="Palatino Linotype"/>
          <w:szCs w:val="24"/>
        </w:rPr>
      </w:pPr>
    </w:p>
    <w:p w14:paraId="578BBA20" w14:textId="77777777" w:rsidR="007C047A" w:rsidRPr="00F42CE0" w:rsidRDefault="007C047A" w:rsidP="007C047A">
      <w:pPr>
        <w:rPr>
          <w:rFonts w:eastAsia="Palatino Linotype" w:cs="Palatino Linotype"/>
          <w:szCs w:val="24"/>
        </w:rPr>
      </w:pPr>
      <w:r>
        <w:rPr>
          <w:rFonts w:eastAsia="Palatino Linotype" w:cs="Palatino Linotype"/>
          <w:szCs w:val="24"/>
        </w:rPr>
        <w:lastRenderedPageBreak/>
        <w:t>Asimismo</w:t>
      </w:r>
      <w:r w:rsidRPr="00F42CE0">
        <w:rPr>
          <w:rFonts w:eastAsia="Palatino Linotype" w:cs="Palatino Linotype"/>
          <w:szCs w:val="24"/>
        </w:rPr>
        <w:t>, los Lineamientos Quincuagésimo sexto, Quincuagésimo séptimo y Quincuagésimo octavo, establecen lo siguiente:</w:t>
      </w:r>
    </w:p>
    <w:p w14:paraId="2670378A" w14:textId="77777777" w:rsidR="007C047A" w:rsidRPr="00F42CE0" w:rsidRDefault="007C047A" w:rsidP="007C047A">
      <w:pPr>
        <w:rPr>
          <w:rFonts w:eastAsia="Palatino Linotype" w:cs="Palatino Linotype"/>
        </w:rPr>
      </w:pPr>
    </w:p>
    <w:p w14:paraId="3A0F81C6" w14:textId="77777777" w:rsidR="007C047A"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7FF25E32"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0149921"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01434F4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E45D4F4"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28074CEA"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3B1E7BC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72A4F5BC">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B800795"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AF9F6C"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01839FDF"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198D2E1" w14:textId="77777777" w:rsidR="007C047A" w:rsidRPr="00F42CE0" w:rsidRDefault="007C047A" w:rsidP="007C047A">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4EDEC34D" w14:textId="77777777" w:rsidR="007C047A" w:rsidRPr="00F42CE0" w:rsidRDefault="007C047A" w:rsidP="007C047A">
      <w:pPr>
        <w:rPr>
          <w:rFonts w:eastAsia="Palatino Linotype" w:cs="Palatino Linotype"/>
          <w:i/>
          <w:szCs w:val="24"/>
        </w:rPr>
      </w:pPr>
    </w:p>
    <w:p w14:paraId="52F743D7" w14:textId="77777777" w:rsidR="007C047A" w:rsidRPr="00F42CE0" w:rsidRDefault="007C047A" w:rsidP="007C047A">
      <w:pPr>
        <w:rPr>
          <w:rFonts w:eastAsia="Palatino Linotype" w:cs="Palatino Linotype"/>
          <w:szCs w:val="24"/>
        </w:rPr>
      </w:pPr>
      <w:r w:rsidRPr="00F42CE0">
        <w:rPr>
          <w:rFonts w:eastAsia="Palatino Linotype" w:cs="Palatino Linotype"/>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w:t>
      </w:r>
      <w:r w:rsidRPr="00F42CE0">
        <w:rPr>
          <w:rFonts w:eastAsia="Palatino Linotype" w:cs="Palatino Linotype"/>
          <w:szCs w:val="24"/>
        </w:rPr>
        <w:lastRenderedPageBreak/>
        <w:t>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2F26FAF" w14:textId="77777777" w:rsidR="007C047A" w:rsidRDefault="007C047A" w:rsidP="007C047A">
      <w:pPr>
        <w:rPr>
          <w:rFonts w:eastAsia="Palatino Linotype" w:cs="Palatino Linotype"/>
          <w:szCs w:val="24"/>
        </w:rPr>
      </w:pPr>
    </w:p>
    <w:p w14:paraId="79D5CB99" w14:textId="77777777" w:rsidR="007C047A" w:rsidRPr="00F42CE0" w:rsidRDefault="007C047A" w:rsidP="007C047A">
      <w:pPr>
        <w:rPr>
          <w:rFonts w:eastAsia="Palatino Linotype" w:cs="Palatino Linotype"/>
          <w:szCs w:val="24"/>
        </w:rPr>
      </w:pPr>
      <w:r w:rsidRPr="00F42CE0">
        <w:rPr>
          <w:rFonts w:eastAsia="Palatino Linotype" w:cs="Palatino Linotype"/>
          <w:szCs w:val="24"/>
        </w:rPr>
        <w:t xml:space="preserve">Por lo que respecta al Acuerdo del Comité de Transparencia que sustente la versión pública de la documentación a entregar, deberá ser notificado mediante el </w:t>
      </w:r>
      <w:proofErr w:type="spellStart"/>
      <w:r w:rsidRPr="00F42CE0">
        <w:rPr>
          <w:rFonts w:eastAsia="Palatino Linotype" w:cs="Palatino Linotype"/>
          <w:szCs w:val="24"/>
        </w:rPr>
        <w:t>SAIMEX</w:t>
      </w:r>
      <w:proofErr w:type="spellEnd"/>
      <w:r w:rsidRPr="00F42CE0">
        <w:rPr>
          <w:rFonts w:eastAsia="Palatino Linotype" w:cs="Palatino Linotype"/>
          <w:szCs w:val="24"/>
        </w:rPr>
        <w:t>.</w:t>
      </w:r>
    </w:p>
    <w:p w14:paraId="19F09D6D" w14:textId="77777777" w:rsidR="007C047A" w:rsidRPr="00F42CE0" w:rsidRDefault="007C047A" w:rsidP="007C047A">
      <w:pPr>
        <w:rPr>
          <w:rFonts w:eastAsia="Palatino Linotype" w:cs="Palatino Linotype"/>
          <w:szCs w:val="24"/>
        </w:rPr>
      </w:pPr>
    </w:p>
    <w:p w14:paraId="3ED42734" w14:textId="77777777" w:rsidR="007C047A" w:rsidRDefault="007C047A" w:rsidP="007C047A">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Pr>
          <w:rFonts w:eastAsia="Palatino Linotype" w:cs="Palatino Linotype"/>
          <w:color w:val="000000"/>
          <w:szCs w:val="24"/>
        </w:rPr>
        <w:t xml:space="preserve"> </w:t>
      </w:r>
      <w:r w:rsidRPr="00F42CE0">
        <w:rPr>
          <w:rFonts w:eastAsia="Palatino Linotype" w:cs="Palatino Linotype"/>
          <w:color w:val="000000"/>
          <w:szCs w:val="24"/>
        </w:rPr>
        <w:t>l</w:t>
      </w:r>
      <w:r>
        <w:rPr>
          <w:rFonts w:eastAsia="Palatino Linotype" w:cs="Palatino Linotype"/>
          <w:color w:val="000000"/>
          <w:szCs w:val="24"/>
        </w:rPr>
        <w:t>a</w:t>
      </w:r>
      <w:r w:rsidRPr="00F42CE0">
        <w:rPr>
          <w:rFonts w:eastAsia="Palatino Linotype" w:cs="Palatino Linotype"/>
          <w:color w:val="000000"/>
          <w:szCs w:val="24"/>
        </w:rPr>
        <w:t xml:space="preserve"> Recurrente.</w:t>
      </w:r>
    </w:p>
    <w:p w14:paraId="6D2ABA4D" w14:textId="77777777" w:rsidR="00B57FD2" w:rsidRPr="004F7B93" w:rsidRDefault="00B57FD2" w:rsidP="004F7B93">
      <w:pPr>
        <w:pStyle w:val="NormalINFOEM"/>
      </w:pPr>
    </w:p>
    <w:p w14:paraId="07B920B4" w14:textId="3E53B526"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B645E">
        <w:rPr>
          <w:rFonts w:eastAsia="Palatino Linotype" w:cs="Palatino Linotype"/>
          <w:color w:val="000000" w:themeColor="text1"/>
        </w:rPr>
        <w:t>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C163B7">
        <w:rPr>
          <w:rFonts w:eastAsia="Palatino Linotype" w:cs="Palatino Linotype"/>
          <w:b/>
          <w:bCs/>
          <w:color w:val="000000"/>
          <w:szCs w:val="24"/>
        </w:rPr>
        <w:t>00460/</w:t>
      </w:r>
      <w:proofErr w:type="spellStart"/>
      <w:r w:rsidR="00C163B7">
        <w:rPr>
          <w:rFonts w:eastAsia="Palatino Linotype" w:cs="Palatino Linotype"/>
          <w:b/>
          <w:bCs/>
          <w:color w:val="000000"/>
          <w:szCs w:val="24"/>
        </w:rPr>
        <w:t>TEMAMATL</w:t>
      </w:r>
      <w:proofErr w:type="spellEnd"/>
      <w:r w:rsidR="00C163B7">
        <w:rPr>
          <w:rFonts w:eastAsia="Palatino Linotype" w:cs="Palatino Linotype"/>
          <w:b/>
          <w:bCs/>
          <w:color w:val="000000"/>
          <w:szCs w:val="24"/>
        </w:rPr>
        <w:t>/IP/2024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lastRenderedPageBreak/>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76F57D98"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C163B7">
        <w:rPr>
          <w:rFonts w:eastAsia="Palatino Linotype" w:cs="Palatino Linotype"/>
          <w:b/>
          <w:bCs/>
          <w:color w:val="000000" w:themeColor="text1"/>
        </w:rPr>
        <w:t>00460/</w:t>
      </w:r>
      <w:proofErr w:type="spellStart"/>
      <w:r w:rsidR="00C163B7">
        <w:rPr>
          <w:rFonts w:eastAsia="Palatino Linotype" w:cs="Palatino Linotype"/>
          <w:b/>
          <w:bCs/>
          <w:color w:val="000000" w:themeColor="text1"/>
        </w:rPr>
        <w:t>TEMAMATL</w:t>
      </w:r>
      <w:proofErr w:type="spellEnd"/>
      <w:r w:rsidR="00C163B7">
        <w:rPr>
          <w:rFonts w:eastAsia="Palatino Linotype" w:cs="Palatino Linotype"/>
          <w:b/>
          <w:bCs/>
          <w:color w:val="000000" w:themeColor="text1"/>
        </w:rPr>
        <w:t>/IP/2024</w:t>
      </w:r>
      <w:r w:rsidRPr="7A2C2CA2">
        <w:rPr>
          <w:rFonts w:eastAsia="Palatino Linotype" w:cs="Palatino Linotype"/>
          <w:color w:val="000000" w:themeColor="text1"/>
        </w:rPr>
        <w:t>, por resultar fundados los motivos de inconformidad argüidos por la Recurrente, en términos del</w:t>
      </w:r>
      <w:r w:rsidR="00C4710B">
        <w:rPr>
          <w:rFonts w:eastAsia="Palatino Linotype" w:cs="Palatino Linotype"/>
          <w:b/>
          <w:bCs/>
          <w:color w:val="000000" w:themeColor="text1"/>
        </w:rPr>
        <w:t xml:space="preserve"> Considerando </w:t>
      </w:r>
      <w:r w:rsidR="00D07FCE">
        <w:rPr>
          <w:rFonts w:eastAsia="Palatino Linotype" w:cs="Palatino Linotype"/>
          <w:b/>
          <w:bCs/>
          <w:color w:val="000000" w:themeColor="text1"/>
        </w:rPr>
        <w:t>QUIN</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56FC23CB"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 haga entrega a</w:t>
      </w:r>
      <w:r w:rsidR="00CF4E0C">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w:t>
      </w:r>
      <w:proofErr w:type="spellStart"/>
      <w:r w:rsidR="007501B9" w:rsidRPr="003F3F63">
        <w:rPr>
          <w:rFonts w:eastAsia="Palatino Linotype" w:cs="Palatino Linotype"/>
          <w:color w:val="000000"/>
          <w:szCs w:val="24"/>
        </w:rPr>
        <w:t>SAIMEX</w:t>
      </w:r>
      <w:proofErr w:type="spellEnd"/>
      <w:r w:rsidR="007501B9" w:rsidRPr="003F3F63">
        <w:rPr>
          <w:rFonts w:eastAsia="Palatino Linotype" w:cs="Palatino Linotype"/>
          <w:color w:val="000000"/>
          <w:szCs w:val="24"/>
        </w:rPr>
        <w:t>)</w:t>
      </w:r>
      <w:r w:rsidR="004B645E">
        <w:rPr>
          <w:rFonts w:eastAsia="Palatino Linotype" w:cs="Palatino Linotype"/>
          <w:color w:val="000000"/>
          <w:szCs w:val="24"/>
        </w:rPr>
        <w:t>, en versión pública</w:t>
      </w:r>
      <w:r w:rsidR="006451AD">
        <w:rPr>
          <w:rFonts w:eastAsia="Palatino Linotype" w:cs="Palatino Linotype"/>
          <w:color w:val="000000"/>
          <w:szCs w:val="24"/>
        </w:rPr>
        <w:t xml:space="preserve"> </w:t>
      </w:r>
      <w:r w:rsidR="0034683A">
        <w:rPr>
          <w:rFonts w:eastAsia="Palatino Linotype" w:cs="Palatino Linotype"/>
          <w:color w:val="000000"/>
          <w:szCs w:val="24"/>
        </w:rPr>
        <w:t xml:space="preserve">de ser procedente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8F3C6D">
        <w:rPr>
          <w:rFonts w:eastAsia="Palatino Linotype" w:cs="Palatino Linotype"/>
          <w:b/>
          <w:color w:val="000000"/>
          <w:szCs w:val="24"/>
        </w:rPr>
        <w:t>QUIN</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C4710B">
        <w:rPr>
          <w:rFonts w:eastAsia="Palatino Linotype" w:cs="Palatino Linotype"/>
          <w:color w:val="000000"/>
          <w:szCs w:val="24"/>
        </w:rPr>
        <w:t xml:space="preserve">s documentos </w:t>
      </w:r>
      <w:r w:rsidR="00492C42">
        <w:t xml:space="preserve">generados durante el periodo comprendido del </w:t>
      </w:r>
      <w:r w:rsidR="00492C42" w:rsidRPr="009B413B">
        <w:t xml:space="preserve">primero de enero de dos mil veintidós al </w:t>
      </w:r>
      <w:r w:rsidR="00B301B4" w:rsidRPr="00B301B4">
        <w:rPr>
          <w:highlight w:val="yellow"/>
        </w:rPr>
        <w:t>dos de octubre</w:t>
      </w:r>
      <w:r w:rsidR="00492C42" w:rsidRPr="009B413B">
        <w:t xml:space="preserve"> de dos mil veinticuatro</w:t>
      </w:r>
      <w:r w:rsidR="00492C42">
        <w:rPr>
          <w:rFonts w:eastAsia="Palatino Linotype" w:cs="Palatino Linotype"/>
          <w:color w:val="000000"/>
          <w:szCs w:val="24"/>
        </w:rPr>
        <w:t xml:space="preserve"> </w:t>
      </w:r>
      <w:r w:rsidR="00C4710B">
        <w:rPr>
          <w:rFonts w:eastAsia="Palatino Linotype" w:cs="Palatino Linotype"/>
          <w:color w:val="000000"/>
          <w:szCs w:val="24"/>
        </w:rPr>
        <w:t>en donde conste 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5B3392C2" w14:textId="77777777" w:rsidR="00792432" w:rsidRPr="00792432" w:rsidRDefault="00792432" w:rsidP="00AC5151">
      <w:pPr>
        <w:pStyle w:val="Prrafodelista"/>
        <w:numPr>
          <w:ilvl w:val="0"/>
          <w:numId w:val="51"/>
        </w:numPr>
        <w:spacing w:line="240" w:lineRule="auto"/>
        <w:rPr>
          <w:rFonts w:eastAsiaTheme="minorHAnsi" w:cstheme="minorBidi"/>
          <w:i/>
          <w:iCs/>
          <w:lang w:eastAsia="en-US"/>
        </w:rPr>
      </w:pPr>
      <w:r w:rsidRPr="00792432">
        <w:rPr>
          <w:rFonts w:eastAsiaTheme="minorHAnsi" w:cstheme="minorBidi"/>
          <w:i/>
          <w:iCs/>
          <w:lang w:eastAsia="en-US"/>
        </w:rPr>
        <w:t xml:space="preserve">Número de apoyos entregados por el </w:t>
      </w:r>
      <w:proofErr w:type="gramStart"/>
      <w:r w:rsidRPr="00792432">
        <w:rPr>
          <w:rFonts w:eastAsiaTheme="minorHAnsi" w:cstheme="minorBidi"/>
          <w:i/>
          <w:iCs/>
          <w:lang w:eastAsia="en-US"/>
        </w:rPr>
        <w:t>Presidente</w:t>
      </w:r>
      <w:proofErr w:type="gramEnd"/>
      <w:r w:rsidRPr="00792432">
        <w:rPr>
          <w:rFonts w:eastAsiaTheme="minorHAnsi" w:cstheme="minorBidi"/>
          <w:i/>
          <w:iCs/>
          <w:lang w:eastAsia="en-US"/>
        </w:rPr>
        <w:t xml:space="preserve"> Municipal.</w:t>
      </w:r>
    </w:p>
    <w:p w14:paraId="64920287" w14:textId="367A460F" w:rsidR="00792432" w:rsidRPr="00792432" w:rsidRDefault="00792432" w:rsidP="00AC5151">
      <w:pPr>
        <w:pStyle w:val="Prrafodelista"/>
        <w:numPr>
          <w:ilvl w:val="0"/>
          <w:numId w:val="51"/>
        </w:numPr>
        <w:spacing w:line="240" w:lineRule="auto"/>
        <w:rPr>
          <w:rFonts w:eastAsiaTheme="minorHAnsi" w:cstheme="minorBidi"/>
          <w:i/>
          <w:iCs/>
          <w:lang w:eastAsia="en-US"/>
        </w:rPr>
      </w:pPr>
      <w:r w:rsidRPr="00792432">
        <w:rPr>
          <w:rFonts w:eastAsiaTheme="minorHAnsi" w:cstheme="minorBidi"/>
          <w:i/>
          <w:iCs/>
          <w:lang w:eastAsia="en-US"/>
        </w:rPr>
        <w:t xml:space="preserve">El tipo de apoyo que se entregó y </w:t>
      </w:r>
      <w:r w:rsidR="00DB61FD">
        <w:rPr>
          <w:rFonts w:eastAsiaTheme="minorHAnsi" w:cstheme="minorBidi"/>
          <w:i/>
          <w:iCs/>
          <w:lang w:eastAsia="en-US"/>
        </w:rPr>
        <w:t>la cabecera o delegación a la que se destinó.</w:t>
      </w:r>
    </w:p>
    <w:p w14:paraId="5077DE04" w14:textId="77777777" w:rsidR="00792432" w:rsidRPr="00792432" w:rsidRDefault="00792432" w:rsidP="00AC5151">
      <w:pPr>
        <w:pStyle w:val="Prrafodelista"/>
        <w:numPr>
          <w:ilvl w:val="0"/>
          <w:numId w:val="51"/>
        </w:numPr>
        <w:spacing w:line="240" w:lineRule="auto"/>
        <w:rPr>
          <w:rFonts w:eastAsiaTheme="minorHAnsi" w:cstheme="minorBidi"/>
          <w:i/>
          <w:iCs/>
          <w:lang w:eastAsia="en-US"/>
        </w:rPr>
      </w:pPr>
      <w:r w:rsidRPr="00792432">
        <w:rPr>
          <w:rFonts w:eastAsiaTheme="minorHAnsi" w:cstheme="minorBidi"/>
          <w:i/>
          <w:iCs/>
          <w:lang w:eastAsia="en-US"/>
        </w:rPr>
        <w:t>Monto del gasto generado por la entrega de dichos apoyos.</w:t>
      </w:r>
    </w:p>
    <w:p w14:paraId="4B3083CF" w14:textId="77777777" w:rsidR="00581587" w:rsidRPr="00D87C87" w:rsidRDefault="00581587" w:rsidP="00581587">
      <w:pPr>
        <w:pBdr>
          <w:top w:val="nil"/>
          <w:left w:val="nil"/>
          <w:bottom w:val="nil"/>
          <w:right w:val="nil"/>
          <w:between w:val="nil"/>
        </w:pBdr>
        <w:rPr>
          <w:rFonts w:eastAsia="Palatino Linotype" w:cs="Palatino Linotype"/>
          <w:color w:val="000000"/>
          <w:szCs w:val="24"/>
          <w:lang w:val="es-ES"/>
        </w:rPr>
      </w:pPr>
    </w:p>
    <w:p w14:paraId="62472026" w14:textId="35B369C1" w:rsidR="004161DA" w:rsidRPr="006A7396" w:rsidRDefault="008F3C6D"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004161DA"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 xml:space="preserve">mediante el Sistema de Acceso a la Información Mexiquense </w:t>
      </w:r>
      <w:r w:rsidR="0032659A" w:rsidRPr="00325BCB">
        <w:rPr>
          <w:rFonts w:eastAsia="Palatino Linotype" w:cs="Palatino Linotype"/>
          <w:color w:val="000000"/>
          <w:szCs w:val="24"/>
        </w:rPr>
        <w:lastRenderedPageBreak/>
        <w:t>(</w:t>
      </w:r>
      <w:proofErr w:type="spellStart"/>
      <w:r w:rsidR="0032659A" w:rsidRPr="00325BCB">
        <w:rPr>
          <w:rFonts w:eastAsia="Palatino Linotype" w:cs="Palatino Linotype"/>
          <w:color w:val="000000"/>
          <w:szCs w:val="24"/>
        </w:rPr>
        <w:t>SAIMEX</w:t>
      </w:r>
      <w:proofErr w:type="spellEnd"/>
      <w:r w:rsidR="0032659A" w:rsidRPr="00325BCB">
        <w:rPr>
          <w:rFonts w:eastAsia="Palatino Linotype" w:cs="Palatino Linotype"/>
          <w:color w:val="000000"/>
          <w:szCs w:val="24"/>
        </w:rPr>
        <w:t>)</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26E88051"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CF4E0C">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w:t>
      </w:r>
      <w:proofErr w:type="spellStart"/>
      <w:r w:rsidRPr="00325BCB">
        <w:rPr>
          <w:rFonts w:eastAsia="Palatino Linotype" w:cs="Palatino Linotype"/>
          <w:color w:val="000000"/>
          <w:szCs w:val="24"/>
        </w:rPr>
        <w:t>SAIMEX</w:t>
      </w:r>
      <w:proofErr w:type="spellEnd"/>
      <w:r w:rsidRPr="00325BCB">
        <w:rPr>
          <w:rFonts w:eastAsia="Palatino Linotype" w:cs="Palatino Linotype"/>
          <w:color w:val="000000"/>
          <w:szCs w:val="24"/>
        </w:rPr>
        <w:t>)</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20573BFF" w14:textId="40E4578E"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w:t>
      </w:r>
      <w:r w:rsidR="006922F5">
        <w:rPr>
          <w:rFonts w:eastAsia="Palatino Linotype" w:cs="Palatino Linotype"/>
          <w:color w:val="000000"/>
          <w:szCs w:val="24"/>
        </w:rPr>
        <w:lastRenderedPageBreak/>
        <w:t>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D74835">
        <w:rPr>
          <w:rFonts w:eastAsia="Palatino Linotype" w:cs="Palatino Linotype"/>
          <w:color w:val="000000"/>
          <w:szCs w:val="24"/>
        </w:rPr>
        <w:t xml:space="preserve">CUADRAGÉSIMA </w:t>
      </w:r>
      <w:r w:rsidR="001362D9">
        <w:rPr>
          <w:rFonts w:eastAsia="Palatino Linotype" w:cs="Palatino Linotype"/>
          <w:color w:val="000000"/>
          <w:szCs w:val="24"/>
        </w:rPr>
        <w:t>SEGUNDA</w:t>
      </w:r>
      <w:r w:rsidR="00A6680C">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AC5151">
        <w:rPr>
          <w:rFonts w:eastAsia="Palatino Linotype" w:cs="Palatino Linotype"/>
          <w:color w:val="000000"/>
          <w:szCs w:val="24"/>
        </w:rPr>
        <w:t xml:space="preserve">CUATRO DE DICIEMBRE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C4710B">
        <w:rPr>
          <w:rFonts w:eastAsia="Palatino Linotype" w:cs="Palatino Linotype"/>
          <w:color w:val="000000"/>
          <w:szCs w:val="24"/>
        </w:rPr>
        <w:t>---------------------------------------------------------------------------------------------------------------------------------------------------------------------------------------------------------------------------------------------------------------------------------------------------------------------------------------------------------------</w:t>
      </w:r>
      <w:r w:rsidR="000C0BFE">
        <w:rPr>
          <w:rFonts w:eastAsia="Palatino Linotype" w:cs="Palatino Linotype"/>
          <w:color w:val="000000"/>
          <w:szCs w:val="24"/>
        </w:rPr>
        <w:t>-------------------------------------------------------------------------------------------------------------------------------------------------------------------------------------------------------------------------------------------------------------------------------------------------------------------------------------------------------------------------------------------------------------------------------------------------------------------------------------------------------------------------------------------------------------------------------------------------------------------------------------------------------------------------------------------------------------------------------------------------------------------------------------------------------------------------------------------------</w:t>
      </w:r>
      <w:r w:rsidR="001F1F70">
        <w:rPr>
          <w:rFonts w:eastAsia="Palatino Linotype" w:cs="Palatino Linotype"/>
          <w:color w:val="000000"/>
          <w:szCs w:val="24"/>
        </w:rPr>
        <w:t>--------------------------------------------------------------------------------------------------------------------------------------------------------------------------------------------------------------------------------------------------------------------------------------------------------------------------------------------------------------------------------------------------------------------------------------------------------------------------------------------------------------------------------------------------------------------------------------------------------------------------------------------------------------------------------------------------------------------------------</w:t>
      </w:r>
      <w:r w:rsidR="00337FA1">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proofErr w:type="spellStart"/>
      <w:r w:rsidRPr="44E9108F">
        <w:rPr>
          <w:rFonts w:eastAsia="Palatino Linotype" w:cs="Palatino Linotype"/>
          <w:color w:val="000000" w:themeColor="text1"/>
          <w:sz w:val="20"/>
          <w:szCs w:val="20"/>
          <w:lang w:val="es-ES"/>
        </w:rPr>
        <w:t>JMV</w:t>
      </w:r>
      <w:proofErr w:type="spellEnd"/>
      <w:r w:rsidRPr="44E9108F">
        <w:rPr>
          <w:rFonts w:eastAsia="Palatino Linotype" w:cs="Palatino Linotype"/>
          <w:color w:val="000000" w:themeColor="text1"/>
          <w:sz w:val="20"/>
          <w:szCs w:val="20"/>
          <w:lang w:val="es-ES"/>
        </w:rPr>
        <w:t>/</w:t>
      </w:r>
      <w:proofErr w:type="spellStart"/>
      <w:r w:rsidRPr="44E9108F">
        <w:rPr>
          <w:rFonts w:eastAsia="Palatino Linotype" w:cs="Palatino Linotype"/>
          <w:color w:val="000000" w:themeColor="text1"/>
          <w:sz w:val="20"/>
          <w:szCs w:val="20"/>
          <w:lang w:val="es-ES"/>
        </w:rPr>
        <w:t>CCR</w:t>
      </w:r>
      <w:proofErr w:type="spellEnd"/>
      <w:r w:rsidRPr="44E9108F">
        <w:rPr>
          <w:rFonts w:eastAsia="Palatino Linotype" w:cs="Palatino Linotype"/>
          <w:color w:val="000000" w:themeColor="text1"/>
          <w:sz w:val="20"/>
          <w:szCs w:val="20"/>
          <w:lang w:val="es-ES"/>
        </w:rPr>
        <w:t>/</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403D" w14:textId="77777777" w:rsidR="00EF569A" w:rsidRDefault="00EF569A" w:rsidP="00F2498E">
      <w:pPr>
        <w:spacing w:line="240" w:lineRule="auto"/>
      </w:pPr>
      <w:r>
        <w:separator/>
      </w:r>
    </w:p>
  </w:endnote>
  <w:endnote w:type="continuationSeparator" w:id="0">
    <w:p w14:paraId="54DD2B20" w14:textId="77777777" w:rsidR="00EF569A" w:rsidRDefault="00EF569A" w:rsidP="00F2498E">
      <w:pPr>
        <w:spacing w:line="240" w:lineRule="auto"/>
      </w:pPr>
      <w:r>
        <w:continuationSeparator/>
      </w:r>
    </w:p>
  </w:endnote>
  <w:endnote w:type="continuationNotice" w:id="1">
    <w:p w14:paraId="11AFD546" w14:textId="77777777" w:rsidR="00EF569A" w:rsidRDefault="00EF56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C4E6" w14:textId="0E505436" w:rsidR="00DC053B" w:rsidRPr="00871A91" w:rsidRDefault="00DC05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362D9">
      <w:rPr>
        <w:rFonts w:ascii="Palatino Linotype" w:hAnsi="Palatino Linotype"/>
        <w:b/>
        <w:bCs/>
        <w:noProof/>
        <w:sz w:val="20"/>
      </w:rPr>
      <w:t>35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362D9">
      <w:rPr>
        <w:rFonts w:ascii="Palatino Linotype" w:hAnsi="Palatino Linotype"/>
        <w:b/>
        <w:bCs/>
        <w:noProof/>
        <w:sz w:val="20"/>
      </w:rPr>
      <w:t>37</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2FE6" w14:textId="78E8995C" w:rsidR="00DC053B" w:rsidRPr="00871A91" w:rsidRDefault="00DC05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362D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362D9">
      <w:rPr>
        <w:rFonts w:ascii="Palatino Linotype" w:hAnsi="Palatino Linotype"/>
        <w:b/>
        <w:bCs/>
        <w:noProof/>
        <w:sz w:val="20"/>
      </w:rPr>
      <w:t>37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CC4DB" w14:textId="77777777" w:rsidR="00EF569A" w:rsidRDefault="00EF569A" w:rsidP="00F2498E">
      <w:pPr>
        <w:spacing w:line="240" w:lineRule="auto"/>
      </w:pPr>
      <w:r>
        <w:separator/>
      </w:r>
    </w:p>
  </w:footnote>
  <w:footnote w:type="continuationSeparator" w:id="0">
    <w:p w14:paraId="765EC832" w14:textId="77777777" w:rsidR="00EF569A" w:rsidRDefault="00EF569A" w:rsidP="00F2498E">
      <w:pPr>
        <w:spacing w:line="240" w:lineRule="auto"/>
      </w:pPr>
      <w:r>
        <w:continuationSeparator/>
      </w:r>
    </w:p>
  </w:footnote>
  <w:footnote w:type="continuationNotice" w:id="1">
    <w:p w14:paraId="1D28C359" w14:textId="77777777" w:rsidR="00EF569A" w:rsidRDefault="00EF569A">
      <w:pPr>
        <w:spacing w:line="240" w:lineRule="auto"/>
      </w:pPr>
    </w:p>
  </w:footnote>
  <w:footnote w:id="2">
    <w:p w14:paraId="2BCE50A0" w14:textId="77777777" w:rsidR="00DC053B" w:rsidRPr="0031280C" w:rsidRDefault="00DC053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DC053B" w:rsidRPr="0031280C" w:rsidRDefault="00DC053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DC053B" w:rsidRPr="0031280C" w:rsidRDefault="00DC053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DC053B" w:rsidRPr="0031280C" w:rsidRDefault="00DC053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D48038B" w14:textId="77777777" w:rsidR="00DC053B" w:rsidRPr="007C3435" w:rsidRDefault="00DC053B" w:rsidP="006009DE">
      <w:pPr>
        <w:pStyle w:val="Textonotapie"/>
        <w:rPr>
          <w:i/>
          <w:sz w:val="18"/>
        </w:rPr>
      </w:pPr>
      <w:r w:rsidRPr="00034B44">
        <w:rPr>
          <w:rStyle w:val="Refdenotaalpie"/>
          <w:sz w:val="18"/>
        </w:rPr>
        <w:footnoteRef/>
      </w:r>
      <w:r w:rsidRPr="00034B44">
        <w:rPr>
          <w:sz w:val="18"/>
        </w:rPr>
        <w:t xml:space="preserve"> </w:t>
      </w:r>
      <w:r w:rsidRPr="007C3435">
        <w:rPr>
          <w:i/>
          <w:sz w:val="18"/>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7F37" w14:textId="093ED20F" w:rsidR="00DC053B" w:rsidRDefault="00437AF1">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053B" w:rsidRPr="00B17577" w14:paraId="37B9EBDE" w14:textId="77777777" w:rsidTr="003938ED">
      <w:trPr>
        <w:trHeight w:val="227"/>
      </w:trPr>
      <w:tc>
        <w:tcPr>
          <w:tcW w:w="5103" w:type="dxa"/>
          <w:hideMark/>
        </w:tcPr>
        <w:p w14:paraId="4964FBC5" w14:textId="54CDA645" w:rsidR="00DC053B" w:rsidRPr="00096248" w:rsidRDefault="00DC053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ACE4AA2" w:rsidR="00DC053B" w:rsidRPr="00096248" w:rsidRDefault="00DD719A" w:rsidP="00011C4D">
          <w:pPr>
            <w:spacing w:after="120" w:line="240" w:lineRule="auto"/>
            <w:ind w:right="71"/>
            <w:jc w:val="right"/>
            <w:rPr>
              <w:rFonts w:cs="Arial"/>
              <w:b/>
              <w:szCs w:val="24"/>
            </w:rPr>
          </w:pPr>
          <w:r>
            <w:rPr>
              <w:rFonts w:cs="Arial"/>
              <w:b/>
              <w:bCs/>
              <w:szCs w:val="24"/>
            </w:rPr>
            <w:t>06675/</w:t>
          </w:r>
          <w:proofErr w:type="spellStart"/>
          <w:r>
            <w:rPr>
              <w:rFonts w:cs="Arial"/>
              <w:b/>
              <w:bCs/>
              <w:szCs w:val="24"/>
            </w:rPr>
            <w:t>INFOEM</w:t>
          </w:r>
          <w:proofErr w:type="spellEnd"/>
          <w:r>
            <w:rPr>
              <w:rFonts w:cs="Arial"/>
              <w:b/>
              <w:bCs/>
              <w:szCs w:val="24"/>
            </w:rPr>
            <w:t>/IP/</w:t>
          </w:r>
          <w:proofErr w:type="spellStart"/>
          <w:r>
            <w:rPr>
              <w:rFonts w:cs="Arial"/>
              <w:b/>
              <w:bCs/>
              <w:szCs w:val="24"/>
            </w:rPr>
            <w:t>RR</w:t>
          </w:r>
          <w:proofErr w:type="spellEnd"/>
          <w:r>
            <w:rPr>
              <w:rFonts w:cs="Arial"/>
              <w:b/>
              <w:bCs/>
              <w:szCs w:val="24"/>
            </w:rPr>
            <w:t>/2024</w:t>
          </w:r>
        </w:p>
      </w:tc>
    </w:tr>
    <w:tr w:rsidR="00DC053B" w14:paraId="7591D3C9" w14:textId="77777777" w:rsidTr="003938ED">
      <w:trPr>
        <w:trHeight w:val="242"/>
      </w:trPr>
      <w:tc>
        <w:tcPr>
          <w:tcW w:w="5103" w:type="dxa"/>
          <w:hideMark/>
        </w:tcPr>
        <w:p w14:paraId="729A65A8" w14:textId="77777777" w:rsidR="00DC053B" w:rsidRPr="00096248" w:rsidRDefault="00DC053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DB4DF27" w:rsidR="00DC053B" w:rsidRPr="00096248" w:rsidRDefault="00DC053B" w:rsidP="00011C4D">
          <w:pPr>
            <w:spacing w:after="120" w:line="240" w:lineRule="auto"/>
            <w:ind w:left="-81" w:right="71"/>
            <w:jc w:val="right"/>
            <w:rPr>
              <w:rFonts w:cs="Arial"/>
              <w:szCs w:val="24"/>
            </w:rPr>
          </w:pPr>
          <w:r w:rsidRPr="00FB26D9">
            <w:rPr>
              <w:rFonts w:cs="Arial"/>
              <w:szCs w:val="24"/>
            </w:rPr>
            <w:t xml:space="preserve">Ayuntamiento </w:t>
          </w:r>
          <w:r w:rsidR="00296309" w:rsidRPr="00FB26D9">
            <w:rPr>
              <w:rFonts w:cs="Arial"/>
              <w:szCs w:val="24"/>
            </w:rPr>
            <w:t xml:space="preserve">de </w:t>
          </w:r>
          <w:r w:rsidR="00296309">
            <w:rPr>
              <w:rFonts w:cs="Arial"/>
              <w:szCs w:val="24"/>
            </w:rPr>
            <w:t>Temamatla</w:t>
          </w:r>
        </w:p>
      </w:tc>
    </w:tr>
    <w:tr w:rsidR="00DC053B" w:rsidRPr="00F63239" w14:paraId="037E914D" w14:textId="77777777" w:rsidTr="003938ED">
      <w:trPr>
        <w:trHeight w:val="342"/>
      </w:trPr>
      <w:tc>
        <w:tcPr>
          <w:tcW w:w="5103" w:type="dxa"/>
          <w:hideMark/>
        </w:tcPr>
        <w:p w14:paraId="7676B68F" w14:textId="64D69EAF" w:rsidR="00DC053B" w:rsidRPr="00096248" w:rsidRDefault="00DC053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DC053B" w:rsidRDefault="00DC053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DC053B" w:rsidRPr="00711916" w:rsidRDefault="00DC053B" w:rsidP="00011C4D">
          <w:pPr>
            <w:spacing w:after="120" w:line="240" w:lineRule="auto"/>
            <w:ind w:left="-486" w:right="71" w:firstLine="567"/>
            <w:jc w:val="right"/>
            <w:rPr>
              <w:rFonts w:cs="Arial"/>
              <w:sz w:val="2"/>
              <w:szCs w:val="2"/>
            </w:rPr>
          </w:pPr>
        </w:p>
      </w:tc>
    </w:tr>
  </w:tbl>
  <w:p w14:paraId="2998DBFD" w14:textId="25A9F426" w:rsidR="00DC053B" w:rsidRPr="00871A91" w:rsidRDefault="00437AF1">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DC053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053B" w14:paraId="0F9FE9B6" w14:textId="77777777" w:rsidTr="70652167">
      <w:trPr>
        <w:trHeight w:val="227"/>
      </w:trPr>
      <w:tc>
        <w:tcPr>
          <w:tcW w:w="5103" w:type="dxa"/>
          <w:hideMark/>
        </w:tcPr>
        <w:p w14:paraId="6D1D9D71" w14:textId="4D6D7B43" w:rsidR="00DC053B" w:rsidRPr="00663A37" w:rsidRDefault="00DC053B"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71E0792" w:rsidR="00DC053B" w:rsidRPr="00C81ECD" w:rsidRDefault="00DD719A" w:rsidP="00313752">
          <w:pPr>
            <w:spacing w:after="120" w:line="240" w:lineRule="auto"/>
            <w:ind w:left="-486" w:firstLine="558"/>
            <w:jc w:val="right"/>
            <w:rPr>
              <w:rFonts w:cs="Arial"/>
              <w:b/>
              <w:szCs w:val="24"/>
            </w:rPr>
          </w:pPr>
          <w:r>
            <w:rPr>
              <w:rFonts w:cs="Arial"/>
              <w:b/>
              <w:bCs/>
              <w:szCs w:val="24"/>
            </w:rPr>
            <w:t>06675/</w:t>
          </w:r>
          <w:proofErr w:type="spellStart"/>
          <w:r>
            <w:rPr>
              <w:rFonts w:cs="Arial"/>
              <w:b/>
              <w:bCs/>
              <w:szCs w:val="24"/>
            </w:rPr>
            <w:t>INFOEM</w:t>
          </w:r>
          <w:proofErr w:type="spellEnd"/>
          <w:r>
            <w:rPr>
              <w:rFonts w:cs="Arial"/>
              <w:b/>
              <w:bCs/>
              <w:szCs w:val="24"/>
            </w:rPr>
            <w:t>/IP/</w:t>
          </w:r>
          <w:proofErr w:type="spellStart"/>
          <w:r>
            <w:rPr>
              <w:rFonts w:cs="Arial"/>
              <w:b/>
              <w:bCs/>
              <w:szCs w:val="24"/>
            </w:rPr>
            <w:t>RR</w:t>
          </w:r>
          <w:proofErr w:type="spellEnd"/>
          <w:r>
            <w:rPr>
              <w:rFonts w:cs="Arial"/>
              <w:b/>
              <w:bCs/>
              <w:szCs w:val="24"/>
            </w:rPr>
            <w:t>/2024</w:t>
          </w:r>
        </w:p>
      </w:tc>
    </w:tr>
    <w:tr w:rsidR="00DC053B" w:rsidRPr="001F57CD" w14:paraId="1377D264" w14:textId="77777777" w:rsidTr="70652167">
      <w:trPr>
        <w:trHeight w:val="196"/>
      </w:trPr>
      <w:tc>
        <w:tcPr>
          <w:tcW w:w="5103" w:type="dxa"/>
          <w:hideMark/>
        </w:tcPr>
        <w:p w14:paraId="04D597A1" w14:textId="77777777" w:rsidR="00DC053B" w:rsidRPr="00663A37" w:rsidRDefault="00DC053B"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2B467395" w:rsidR="00DC053B" w:rsidRPr="00663A37" w:rsidRDefault="00437AF1" w:rsidP="00313752">
          <w:pPr>
            <w:spacing w:after="120" w:line="240" w:lineRule="auto"/>
            <w:jc w:val="right"/>
            <w:rPr>
              <w:rFonts w:cs="Arial"/>
              <w:lang w:val="es-ES"/>
            </w:rPr>
          </w:pPr>
          <w:proofErr w:type="spellStart"/>
          <w:r>
            <w:rPr>
              <w:rFonts w:cs="Arial"/>
              <w:lang w:val="es-ES"/>
            </w:rPr>
            <w:t>XXXX</w:t>
          </w:r>
          <w:proofErr w:type="spellEnd"/>
        </w:p>
      </w:tc>
    </w:tr>
    <w:tr w:rsidR="00DC053B" w14:paraId="4DC11993" w14:textId="77777777" w:rsidTr="70652167">
      <w:trPr>
        <w:trHeight w:val="242"/>
      </w:trPr>
      <w:tc>
        <w:tcPr>
          <w:tcW w:w="5103" w:type="dxa"/>
          <w:hideMark/>
        </w:tcPr>
        <w:p w14:paraId="76CEF1B5" w14:textId="77777777" w:rsidR="00DC053B" w:rsidRPr="00663A37" w:rsidRDefault="00DC053B"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0F308ECA" w:rsidR="00DC053B" w:rsidRPr="00663A37" w:rsidRDefault="00DC053B" w:rsidP="00313752">
          <w:pPr>
            <w:spacing w:after="120" w:line="240" w:lineRule="auto"/>
            <w:ind w:left="-70"/>
            <w:jc w:val="right"/>
            <w:rPr>
              <w:rFonts w:cs="Arial"/>
              <w:szCs w:val="24"/>
            </w:rPr>
          </w:pPr>
          <w:r w:rsidRPr="00FB26D9">
            <w:rPr>
              <w:rFonts w:cs="Arial"/>
              <w:szCs w:val="24"/>
            </w:rPr>
            <w:t xml:space="preserve">Ayuntamiento de </w:t>
          </w:r>
          <w:r w:rsidR="00834E67">
            <w:rPr>
              <w:rFonts w:cs="Arial"/>
              <w:szCs w:val="24"/>
            </w:rPr>
            <w:t>Temamatla</w:t>
          </w:r>
        </w:p>
      </w:tc>
    </w:tr>
    <w:tr w:rsidR="00DC053B" w14:paraId="5C2B511D" w14:textId="77777777" w:rsidTr="70652167">
      <w:trPr>
        <w:trHeight w:val="342"/>
      </w:trPr>
      <w:tc>
        <w:tcPr>
          <w:tcW w:w="5103" w:type="dxa"/>
          <w:hideMark/>
        </w:tcPr>
        <w:p w14:paraId="03FEF68C" w14:textId="45E91CF4" w:rsidR="00DC053B" w:rsidRPr="00663A37" w:rsidRDefault="00DC053B"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DC053B" w:rsidRPr="00663A37" w:rsidRDefault="00DC053B"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DC053B" w:rsidRPr="00871A91" w:rsidRDefault="00437AF1">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DC053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8C5AFB6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0" w15:restartNumberingAfterBreak="0">
    <w:nsid w:val="28E504F7"/>
    <w:multiLevelType w:val="hybridMultilevel"/>
    <w:tmpl w:val="63BCA49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271FEC"/>
    <w:multiLevelType w:val="hybridMultilevel"/>
    <w:tmpl w:val="63BCA490"/>
    <w:lvl w:ilvl="0" w:tplc="75FA8E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6AA6044"/>
    <w:multiLevelType w:val="hybridMultilevel"/>
    <w:tmpl w:val="63BCA49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A2963D3"/>
    <w:multiLevelType w:val="multilevel"/>
    <w:tmpl w:val="D5F84CD2"/>
    <w:styleLink w:val="Listaactual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0"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2023817">
    <w:abstractNumId w:val="29"/>
  </w:num>
  <w:num w:numId="2" w16cid:durableId="888540308">
    <w:abstractNumId w:val="33"/>
  </w:num>
  <w:num w:numId="3" w16cid:durableId="191772733">
    <w:abstractNumId w:val="12"/>
  </w:num>
  <w:num w:numId="4" w16cid:durableId="2006863019">
    <w:abstractNumId w:val="45"/>
  </w:num>
  <w:num w:numId="5" w16cid:durableId="1516771296">
    <w:abstractNumId w:val="4"/>
  </w:num>
  <w:num w:numId="6" w16cid:durableId="1684165736">
    <w:abstractNumId w:val="36"/>
  </w:num>
  <w:num w:numId="7" w16cid:durableId="1001856094">
    <w:abstractNumId w:val="11"/>
  </w:num>
  <w:num w:numId="8" w16cid:durableId="906460044">
    <w:abstractNumId w:val="3"/>
  </w:num>
  <w:num w:numId="9" w16cid:durableId="216866906">
    <w:abstractNumId w:val="19"/>
  </w:num>
  <w:num w:numId="10" w16cid:durableId="1545017898">
    <w:abstractNumId w:val="21"/>
  </w:num>
  <w:num w:numId="11" w16cid:durableId="8993016">
    <w:abstractNumId w:val="48"/>
  </w:num>
  <w:num w:numId="12" w16cid:durableId="1658610900">
    <w:abstractNumId w:val="43"/>
  </w:num>
  <w:num w:numId="13" w16cid:durableId="70275977">
    <w:abstractNumId w:val="28"/>
  </w:num>
  <w:num w:numId="14" w16cid:durableId="835804342">
    <w:abstractNumId w:val="32"/>
  </w:num>
  <w:num w:numId="15" w16cid:durableId="308286787">
    <w:abstractNumId w:val="16"/>
  </w:num>
  <w:num w:numId="16" w16cid:durableId="284777920">
    <w:abstractNumId w:val="27"/>
  </w:num>
  <w:num w:numId="17" w16cid:durableId="864755066">
    <w:abstractNumId w:val="14"/>
  </w:num>
  <w:num w:numId="18" w16cid:durableId="182062031">
    <w:abstractNumId w:val="6"/>
  </w:num>
  <w:num w:numId="19" w16cid:durableId="590163187">
    <w:abstractNumId w:val="7"/>
  </w:num>
  <w:num w:numId="20" w16cid:durableId="917179864">
    <w:abstractNumId w:val="13"/>
  </w:num>
  <w:num w:numId="21" w16cid:durableId="160047642">
    <w:abstractNumId w:val="23"/>
  </w:num>
  <w:num w:numId="22" w16cid:durableId="921766213">
    <w:abstractNumId w:val="2"/>
  </w:num>
  <w:num w:numId="23" w16cid:durableId="599797511">
    <w:abstractNumId w:val="30"/>
  </w:num>
  <w:num w:numId="24" w16cid:durableId="683941876">
    <w:abstractNumId w:val="35"/>
  </w:num>
  <w:num w:numId="25" w16cid:durableId="81144989">
    <w:abstractNumId w:val="44"/>
  </w:num>
  <w:num w:numId="26" w16cid:durableId="1739665138">
    <w:abstractNumId w:val="18"/>
  </w:num>
  <w:num w:numId="27" w16cid:durableId="154147320">
    <w:abstractNumId w:val="8"/>
  </w:num>
  <w:num w:numId="28" w16cid:durableId="1694960107">
    <w:abstractNumId w:val="38"/>
  </w:num>
  <w:num w:numId="29" w16cid:durableId="2045670191">
    <w:abstractNumId w:val="24"/>
  </w:num>
  <w:num w:numId="30" w16cid:durableId="1641112064">
    <w:abstractNumId w:val="22"/>
  </w:num>
  <w:num w:numId="31" w16cid:durableId="1420980864">
    <w:abstractNumId w:val="15"/>
  </w:num>
  <w:num w:numId="32" w16cid:durableId="1513031640">
    <w:abstractNumId w:val="31"/>
  </w:num>
  <w:num w:numId="33" w16cid:durableId="2146460449">
    <w:abstractNumId w:val="34"/>
  </w:num>
  <w:num w:numId="34" w16cid:durableId="245771088">
    <w:abstractNumId w:val="5"/>
  </w:num>
  <w:num w:numId="35" w16cid:durableId="1827937608">
    <w:abstractNumId w:val="47"/>
  </w:num>
  <w:num w:numId="36" w16cid:durableId="1380083951">
    <w:abstractNumId w:val="50"/>
  </w:num>
  <w:num w:numId="37" w16cid:durableId="1189441613">
    <w:abstractNumId w:val="41"/>
  </w:num>
  <w:num w:numId="38" w16cid:durableId="667830933">
    <w:abstractNumId w:val="9"/>
  </w:num>
  <w:num w:numId="39" w16cid:durableId="1312439382">
    <w:abstractNumId w:val="39"/>
  </w:num>
  <w:num w:numId="40" w16cid:durableId="525487279">
    <w:abstractNumId w:val="10"/>
  </w:num>
  <w:num w:numId="41" w16cid:durableId="2114587566">
    <w:abstractNumId w:val="37"/>
  </w:num>
  <w:num w:numId="42" w16cid:durableId="1443264097">
    <w:abstractNumId w:val="46"/>
  </w:num>
  <w:num w:numId="43" w16cid:durableId="556088237">
    <w:abstractNumId w:val="0"/>
  </w:num>
  <w:num w:numId="44" w16cid:durableId="694115403">
    <w:abstractNumId w:val="1"/>
  </w:num>
  <w:num w:numId="45" w16cid:durableId="665935144">
    <w:abstractNumId w:val="25"/>
  </w:num>
  <w:num w:numId="46" w16cid:durableId="960916678">
    <w:abstractNumId w:val="17"/>
  </w:num>
  <w:num w:numId="47" w16cid:durableId="293952177">
    <w:abstractNumId w:val="49"/>
  </w:num>
  <w:num w:numId="48" w16cid:durableId="2094738092">
    <w:abstractNumId w:val="26"/>
  </w:num>
  <w:num w:numId="49" w16cid:durableId="517626028">
    <w:abstractNumId w:val="42"/>
  </w:num>
  <w:num w:numId="50" w16cid:durableId="140116676">
    <w:abstractNumId w:val="20"/>
  </w:num>
  <w:num w:numId="51" w16cid:durableId="3380017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02F3"/>
    <w:rsid w:val="00002C6A"/>
    <w:rsid w:val="00003412"/>
    <w:rsid w:val="000034AA"/>
    <w:rsid w:val="000037B8"/>
    <w:rsid w:val="00003E1E"/>
    <w:rsid w:val="00003F45"/>
    <w:rsid w:val="00004014"/>
    <w:rsid w:val="00004479"/>
    <w:rsid w:val="00004B62"/>
    <w:rsid w:val="00005965"/>
    <w:rsid w:val="0000665B"/>
    <w:rsid w:val="00006EC4"/>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17CED"/>
    <w:rsid w:val="00020325"/>
    <w:rsid w:val="00021122"/>
    <w:rsid w:val="00021165"/>
    <w:rsid w:val="00021A08"/>
    <w:rsid w:val="000221D0"/>
    <w:rsid w:val="0002287F"/>
    <w:rsid w:val="0002356F"/>
    <w:rsid w:val="00023B63"/>
    <w:rsid w:val="00024A6D"/>
    <w:rsid w:val="00025560"/>
    <w:rsid w:val="00025773"/>
    <w:rsid w:val="00026582"/>
    <w:rsid w:val="00027DA8"/>
    <w:rsid w:val="00030AB0"/>
    <w:rsid w:val="00031BA3"/>
    <w:rsid w:val="00031E66"/>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304A"/>
    <w:rsid w:val="000452AA"/>
    <w:rsid w:val="00045F86"/>
    <w:rsid w:val="00046717"/>
    <w:rsid w:val="00046A15"/>
    <w:rsid w:val="00047890"/>
    <w:rsid w:val="00050D85"/>
    <w:rsid w:val="00050FF1"/>
    <w:rsid w:val="00051732"/>
    <w:rsid w:val="00051F5E"/>
    <w:rsid w:val="0005219F"/>
    <w:rsid w:val="00052303"/>
    <w:rsid w:val="0005241C"/>
    <w:rsid w:val="00052A8E"/>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E15"/>
    <w:rsid w:val="00065463"/>
    <w:rsid w:val="000658E9"/>
    <w:rsid w:val="000666B3"/>
    <w:rsid w:val="000672FA"/>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378A"/>
    <w:rsid w:val="000B4159"/>
    <w:rsid w:val="000B491D"/>
    <w:rsid w:val="000B503C"/>
    <w:rsid w:val="000B51CE"/>
    <w:rsid w:val="000B5296"/>
    <w:rsid w:val="000B5608"/>
    <w:rsid w:val="000B5690"/>
    <w:rsid w:val="000B65C3"/>
    <w:rsid w:val="000C0203"/>
    <w:rsid w:val="000C066A"/>
    <w:rsid w:val="000C0BFE"/>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D7808"/>
    <w:rsid w:val="000E06A3"/>
    <w:rsid w:val="000E0D32"/>
    <w:rsid w:val="000E195F"/>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0DE1"/>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714"/>
    <w:rsid w:val="00124B26"/>
    <w:rsid w:val="0012508E"/>
    <w:rsid w:val="00126C2D"/>
    <w:rsid w:val="00130C18"/>
    <w:rsid w:val="00131C40"/>
    <w:rsid w:val="00131C6C"/>
    <w:rsid w:val="00131F2D"/>
    <w:rsid w:val="001321ED"/>
    <w:rsid w:val="00133F26"/>
    <w:rsid w:val="0013462D"/>
    <w:rsid w:val="001360B8"/>
    <w:rsid w:val="001362D9"/>
    <w:rsid w:val="0013657B"/>
    <w:rsid w:val="00136A94"/>
    <w:rsid w:val="00140181"/>
    <w:rsid w:val="0014092A"/>
    <w:rsid w:val="00140A63"/>
    <w:rsid w:val="00142266"/>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92B"/>
    <w:rsid w:val="00166D47"/>
    <w:rsid w:val="00167291"/>
    <w:rsid w:val="00167DF0"/>
    <w:rsid w:val="00170498"/>
    <w:rsid w:val="00170C32"/>
    <w:rsid w:val="00171192"/>
    <w:rsid w:val="0017187C"/>
    <w:rsid w:val="00171AAD"/>
    <w:rsid w:val="00171BBC"/>
    <w:rsid w:val="00171CF4"/>
    <w:rsid w:val="00171F77"/>
    <w:rsid w:val="0017292D"/>
    <w:rsid w:val="00172A87"/>
    <w:rsid w:val="001748CB"/>
    <w:rsid w:val="0017523B"/>
    <w:rsid w:val="00175B42"/>
    <w:rsid w:val="0017606D"/>
    <w:rsid w:val="0017633C"/>
    <w:rsid w:val="00176522"/>
    <w:rsid w:val="00176C80"/>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560"/>
    <w:rsid w:val="001957CF"/>
    <w:rsid w:val="001957E6"/>
    <w:rsid w:val="00195845"/>
    <w:rsid w:val="0019584A"/>
    <w:rsid w:val="001960AD"/>
    <w:rsid w:val="0019662A"/>
    <w:rsid w:val="00196873"/>
    <w:rsid w:val="00196AF7"/>
    <w:rsid w:val="00196FB3"/>
    <w:rsid w:val="001A057E"/>
    <w:rsid w:val="001A0AFD"/>
    <w:rsid w:val="001A0E96"/>
    <w:rsid w:val="001A1264"/>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C2D"/>
    <w:rsid w:val="001B7147"/>
    <w:rsid w:val="001B7214"/>
    <w:rsid w:val="001B76A1"/>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4D99"/>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6B17"/>
    <w:rsid w:val="001E71F9"/>
    <w:rsid w:val="001E7C62"/>
    <w:rsid w:val="001F0525"/>
    <w:rsid w:val="001F1F70"/>
    <w:rsid w:val="001F2B26"/>
    <w:rsid w:val="001F2BC9"/>
    <w:rsid w:val="001F2C8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7028"/>
    <w:rsid w:val="0020721F"/>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B47"/>
    <w:rsid w:val="00230E13"/>
    <w:rsid w:val="0023118D"/>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38"/>
    <w:rsid w:val="00267A7B"/>
    <w:rsid w:val="002704DF"/>
    <w:rsid w:val="00270A17"/>
    <w:rsid w:val="00270C64"/>
    <w:rsid w:val="00270D26"/>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AD5"/>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309"/>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912"/>
    <w:rsid w:val="002B0EA1"/>
    <w:rsid w:val="002B1DAC"/>
    <w:rsid w:val="002B317E"/>
    <w:rsid w:val="002B3983"/>
    <w:rsid w:val="002B3CE2"/>
    <w:rsid w:val="002B3EA9"/>
    <w:rsid w:val="002B40FF"/>
    <w:rsid w:val="002B44C4"/>
    <w:rsid w:val="002B5CB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4C06"/>
    <w:rsid w:val="002F5101"/>
    <w:rsid w:val="002F5C83"/>
    <w:rsid w:val="002F713F"/>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1DF"/>
    <w:rsid w:val="00314324"/>
    <w:rsid w:val="0031447F"/>
    <w:rsid w:val="00314835"/>
    <w:rsid w:val="00315AE3"/>
    <w:rsid w:val="00315BEB"/>
    <w:rsid w:val="00315CA2"/>
    <w:rsid w:val="0031667E"/>
    <w:rsid w:val="00316A7B"/>
    <w:rsid w:val="003176D1"/>
    <w:rsid w:val="003176F5"/>
    <w:rsid w:val="003207ED"/>
    <w:rsid w:val="00320BC2"/>
    <w:rsid w:val="00320E35"/>
    <w:rsid w:val="0032116B"/>
    <w:rsid w:val="00321923"/>
    <w:rsid w:val="00321B9A"/>
    <w:rsid w:val="0032250C"/>
    <w:rsid w:val="0032390D"/>
    <w:rsid w:val="00324709"/>
    <w:rsid w:val="00324F09"/>
    <w:rsid w:val="00324FF9"/>
    <w:rsid w:val="00325487"/>
    <w:rsid w:val="0032597C"/>
    <w:rsid w:val="00325BCB"/>
    <w:rsid w:val="00325C6E"/>
    <w:rsid w:val="0032659A"/>
    <w:rsid w:val="003265D6"/>
    <w:rsid w:val="003275F8"/>
    <w:rsid w:val="0033070B"/>
    <w:rsid w:val="00330733"/>
    <w:rsid w:val="00330C73"/>
    <w:rsid w:val="00331040"/>
    <w:rsid w:val="00331513"/>
    <w:rsid w:val="00331ECA"/>
    <w:rsid w:val="00332022"/>
    <w:rsid w:val="0033204C"/>
    <w:rsid w:val="003331ED"/>
    <w:rsid w:val="0033491A"/>
    <w:rsid w:val="00334F21"/>
    <w:rsid w:val="00335A61"/>
    <w:rsid w:val="0033687B"/>
    <w:rsid w:val="00337088"/>
    <w:rsid w:val="00337638"/>
    <w:rsid w:val="00337FA1"/>
    <w:rsid w:val="00340ADD"/>
    <w:rsid w:val="00341178"/>
    <w:rsid w:val="00341B42"/>
    <w:rsid w:val="00341DB4"/>
    <w:rsid w:val="003420E1"/>
    <w:rsid w:val="00342221"/>
    <w:rsid w:val="00342347"/>
    <w:rsid w:val="003423FC"/>
    <w:rsid w:val="0034444F"/>
    <w:rsid w:val="00344766"/>
    <w:rsid w:val="00344A50"/>
    <w:rsid w:val="00344AD3"/>
    <w:rsid w:val="00345089"/>
    <w:rsid w:val="00345427"/>
    <w:rsid w:val="00345687"/>
    <w:rsid w:val="00345708"/>
    <w:rsid w:val="00346373"/>
    <w:rsid w:val="0034646D"/>
    <w:rsid w:val="003467CD"/>
    <w:rsid w:val="0034683A"/>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2DF"/>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3940"/>
    <w:rsid w:val="003C4A15"/>
    <w:rsid w:val="003C4FF5"/>
    <w:rsid w:val="003C57BF"/>
    <w:rsid w:val="003C6226"/>
    <w:rsid w:val="003C66C3"/>
    <w:rsid w:val="003C744C"/>
    <w:rsid w:val="003C7B00"/>
    <w:rsid w:val="003C7E71"/>
    <w:rsid w:val="003D0AE2"/>
    <w:rsid w:val="003D17AF"/>
    <w:rsid w:val="003D2681"/>
    <w:rsid w:val="003D2F8A"/>
    <w:rsid w:val="003D3477"/>
    <w:rsid w:val="003D372B"/>
    <w:rsid w:val="003D3B7A"/>
    <w:rsid w:val="003D5450"/>
    <w:rsid w:val="003D58CE"/>
    <w:rsid w:val="003D70D0"/>
    <w:rsid w:val="003D7707"/>
    <w:rsid w:val="003D7760"/>
    <w:rsid w:val="003E0B2A"/>
    <w:rsid w:val="003E0F89"/>
    <w:rsid w:val="003E13A1"/>
    <w:rsid w:val="003E24F3"/>
    <w:rsid w:val="003E2955"/>
    <w:rsid w:val="003E3481"/>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31A"/>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7F1"/>
    <w:rsid w:val="00415CF1"/>
    <w:rsid w:val="00415ED8"/>
    <w:rsid w:val="004161DA"/>
    <w:rsid w:val="00417379"/>
    <w:rsid w:val="004176BF"/>
    <w:rsid w:val="00417D6D"/>
    <w:rsid w:val="004202AF"/>
    <w:rsid w:val="004204D0"/>
    <w:rsid w:val="00420AC4"/>
    <w:rsid w:val="00421DD1"/>
    <w:rsid w:val="004232C6"/>
    <w:rsid w:val="00423696"/>
    <w:rsid w:val="004236B2"/>
    <w:rsid w:val="00423A07"/>
    <w:rsid w:val="00426124"/>
    <w:rsid w:val="00426222"/>
    <w:rsid w:val="00426F24"/>
    <w:rsid w:val="004300F9"/>
    <w:rsid w:val="00430C63"/>
    <w:rsid w:val="004310BB"/>
    <w:rsid w:val="004322A0"/>
    <w:rsid w:val="004325EA"/>
    <w:rsid w:val="004338C7"/>
    <w:rsid w:val="00433E65"/>
    <w:rsid w:val="00434C3F"/>
    <w:rsid w:val="00434EAD"/>
    <w:rsid w:val="0043556C"/>
    <w:rsid w:val="00435C5D"/>
    <w:rsid w:val="00436725"/>
    <w:rsid w:val="00437085"/>
    <w:rsid w:val="00437AF1"/>
    <w:rsid w:val="004406B5"/>
    <w:rsid w:val="004412AD"/>
    <w:rsid w:val="00441804"/>
    <w:rsid w:val="00441DAF"/>
    <w:rsid w:val="00442E5E"/>
    <w:rsid w:val="004431D5"/>
    <w:rsid w:val="004434CE"/>
    <w:rsid w:val="004436C5"/>
    <w:rsid w:val="00444DD3"/>
    <w:rsid w:val="00444E7F"/>
    <w:rsid w:val="00445514"/>
    <w:rsid w:val="00445853"/>
    <w:rsid w:val="00445FBB"/>
    <w:rsid w:val="00446CC4"/>
    <w:rsid w:val="00446D2E"/>
    <w:rsid w:val="00447748"/>
    <w:rsid w:val="00447A90"/>
    <w:rsid w:val="00450D3E"/>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44E"/>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ABA"/>
    <w:rsid w:val="00474C35"/>
    <w:rsid w:val="004750A1"/>
    <w:rsid w:val="00475320"/>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2C42"/>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269"/>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5BDA"/>
    <w:rsid w:val="004D6095"/>
    <w:rsid w:val="004D64C0"/>
    <w:rsid w:val="004D66AD"/>
    <w:rsid w:val="004D6995"/>
    <w:rsid w:val="004D69DF"/>
    <w:rsid w:val="004E07A1"/>
    <w:rsid w:val="004E1729"/>
    <w:rsid w:val="004E1B3C"/>
    <w:rsid w:val="004E1CA8"/>
    <w:rsid w:val="004E2DF5"/>
    <w:rsid w:val="004E32F9"/>
    <w:rsid w:val="004E34A8"/>
    <w:rsid w:val="004E3959"/>
    <w:rsid w:val="004E3F86"/>
    <w:rsid w:val="004E4252"/>
    <w:rsid w:val="004E4A28"/>
    <w:rsid w:val="004E4AD1"/>
    <w:rsid w:val="004E5659"/>
    <w:rsid w:val="004E655C"/>
    <w:rsid w:val="004E6A11"/>
    <w:rsid w:val="004E6E5F"/>
    <w:rsid w:val="004E77E1"/>
    <w:rsid w:val="004E7898"/>
    <w:rsid w:val="004E7C8B"/>
    <w:rsid w:val="004F0839"/>
    <w:rsid w:val="004F0AB7"/>
    <w:rsid w:val="004F15D9"/>
    <w:rsid w:val="004F1B07"/>
    <w:rsid w:val="004F23DB"/>
    <w:rsid w:val="004F271C"/>
    <w:rsid w:val="004F3291"/>
    <w:rsid w:val="004F32D0"/>
    <w:rsid w:val="004F33B9"/>
    <w:rsid w:val="004F342E"/>
    <w:rsid w:val="004F483D"/>
    <w:rsid w:val="004F4929"/>
    <w:rsid w:val="004F5285"/>
    <w:rsid w:val="004F60C9"/>
    <w:rsid w:val="004F662C"/>
    <w:rsid w:val="004F6671"/>
    <w:rsid w:val="004F78C4"/>
    <w:rsid w:val="004F7B79"/>
    <w:rsid w:val="004F7B93"/>
    <w:rsid w:val="00500E29"/>
    <w:rsid w:val="00501E92"/>
    <w:rsid w:val="005025C7"/>
    <w:rsid w:val="00502812"/>
    <w:rsid w:val="005039C0"/>
    <w:rsid w:val="00504B42"/>
    <w:rsid w:val="00506436"/>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2740"/>
    <w:rsid w:val="00533849"/>
    <w:rsid w:val="00533902"/>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3CFD"/>
    <w:rsid w:val="0056402C"/>
    <w:rsid w:val="0056405F"/>
    <w:rsid w:val="005641C9"/>
    <w:rsid w:val="00564672"/>
    <w:rsid w:val="0056494C"/>
    <w:rsid w:val="00564DDB"/>
    <w:rsid w:val="00565338"/>
    <w:rsid w:val="00565921"/>
    <w:rsid w:val="00565C1E"/>
    <w:rsid w:val="005660D0"/>
    <w:rsid w:val="00566380"/>
    <w:rsid w:val="0056658C"/>
    <w:rsid w:val="00567C1C"/>
    <w:rsid w:val="00567C36"/>
    <w:rsid w:val="00567D41"/>
    <w:rsid w:val="005701EF"/>
    <w:rsid w:val="00570551"/>
    <w:rsid w:val="005705C6"/>
    <w:rsid w:val="0057113B"/>
    <w:rsid w:val="00571527"/>
    <w:rsid w:val="00571CCC"/>
    <w:rsid w:val="005724D3"/>
    <w:rsid w:val="005727FC"/>
    <w:rsid w:val="00572C2A"/>
    <w:rsid w:val="00572F6A"/>
    <w:rsid w:val="005737B6"/>
    <w:rsid w:val="00573B2C"/>
    <w:rsid w:val="00573B96"/>
    <w:rsid w:val="005740E5"/>
    <w:rsid w:val="005742BF"/>
    <w:rsid w:val="00574D31"/>
    <w:rsid w:val="00576366"/>
    <w:rsid w:val="0057697F"/>
    <w:rsid w:val="00577DF3"/>
    <w:rsid w:val="005807A8"/>
    <w:rsid w:val="00580D15"/>
    <w:rsid w:val="00581587"/>
    <w:rsid w:val="00581A2E"/>
    <w:rsid w:val="00582613"/>
    <w:rsid w:val="0058344E"/>
    <w:rsid w:val="00584C51"/>
    <w:rsid w:val="00585165"/>
    <w:rsid w:val="005856B3"/>
    <w:rsid w:val="00585AA7"/>
    <w:rsid w:val="00587662"/>
    <w:rsid w:val="00587B1E"/>
    <w:rsid w:val="00587E84"/>
    <w:rsid w:val="00587FBA"/>
    <w:rsid w:val="005913E6"/>
    <w:rsid w:val="005944ED"/>
    <w:rsid w:val="00594CB4"/>
    <w:rsid w:val="0059574D"/>
    <w:rsid w:val="005964D7"/>
    <w:rsid w:val="0059681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643F"/>
    <w:rsid w:val="005B6FFD"/>
    <w:rsid w:val="005B72D5"/>
    <w:rsid w:val="005C0894"/>
    <w:rsid w:val="005C16A8"/>
    <w:rsid w:val="005C16D1"/>
    <w:rsid w:val="005C196C"/>
    <w:rsid w:val="005C32BE"/>
    <w:rsid w:val="005C3DF3"/>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768"/>
    <w:rsid w:val="005E1AEC"/>
    <w:rsid w:val="005E21DE"/>
    <w:rsid w:val="005E24C2"/>
    <w:rsid w:val="005E34E9"/>
    <w:rsid w:val="005E35AB"/>
    <w:rsid w:val="005E3E29"/>
    <w:rsid w:val="005E40B7"/>
    <w:rsid w:val="005E5A8E"/>
    <w:rsid w:val="005E625F"/>
    <w:rsid w:val="005E68C5"/>
    <w:rsid w:val="005E7E9F"/>
    <w:rsid w:val="005F06CD"/>
    <w:rsid w:val="005F1439"/>
    <w:rsid w:val="005F1AB4"/>
    <w:rsid w:val="005F21B0"/>
    <w:rsid w:val="005F30F1"/>
    <w:rsid w:val="005F3103"/>
    <w:rsid w:val="005F3144"/>
    <w:rsid w:val="005F33B2"/>
    <w:rsid w:val="005F4D3D"/>
    <w:rsid w:val="005F514E"/>
    <w:rsid w:val="005F5B10"/>
    <w:rsid w:val="005F6CAB"/>
    <w:rsid w:val="005F760D"/>
    <w:rsid w:val="0060049C"/>
    <w:rsid w:val="006009DE"/>
    <w:rsid w:val="0060129A"/>
    <w:rsid w:val="0060244C"/>
    <w:rsid w:val="00602C19"/>
    <w:rsid w:val="00603988"/>
    <w:rsid w:val="0060429C"/>
    <w:rsid w:val="006055AB"/>
    <w:rsid w:val="0060623B"/>
    <w:rsid w:val="00606D46"/>
    <w:rsid w:val="006100FC"/>
    <w:rsid w:val="00610274"/>
    <w:rsid w:val="00610A95"/>
    <w:rsid w:val="006115F0"/>
    <w:rsid w:val="00611CEF"/>
    <w:rsid w:val="006124C2"/>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26C1B"/>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353"/>
    <w:rsid w:val="00640E61"/>
    <w:rsid w:val="0064180A"/>
    <w:rsid w:val="006424D3"/>
    <w:rsid w:val="0064260D"/>
    <w:rsid w:val="00642669"/>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4081"/>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1AE"/>
    <w:rsid w:val="00667860"/>
    <w:rsid w:val="00670A8F"/>
    <w:rsid w:val="0067157E"/>
    <w:rsid w:val="00672247"/>
    <w:rsid w:val="006723F9"/>
    <w:rsid w:val="006728CE"/>
    <w:rsid w:val="00672989"/>
    <w:rsid w:val="00673D6E"/>
    <w:rsid w:val="00673EAA"/>
    <w:rsid w:val="0067405E"/>
    <w:rsid w:val="006748F5"/>
    <w:rsid w:val="00674ABA"/>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14A"/>
    <w:rsid w:val="00693C6F"/>
    <w:rsid w:val="0069448A"/>
    <w:rsid w:val="00694BAB"/>
    <w:rsid w:val="006950D6"/>
    <w:rsid w:val="00696A11"/>
    <w:rsid w:val="00696FD6"/>
    <w:rsid w:val="006978BB"/>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72E"/>
    <w:rsid w:val="006B3A5C"/>
    <w:rsid w:val="006B4CA4"/>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1EE"/>
    <w:rsid w:val="006C52D3"/>
    <w:rsid w:val="006C55C2"/>
    <w:rsid w:val="006C55D7"/>
    <w:rsid w:val="006C6C41"/>
    <w:rsid w:val="006C746A"/>
    <w:rsid w:val="006C7E69"/>
    <w:rsid w:val="006D0A02"/>
    <w:rsid w:val="006D1335"/>
    <w:rsid w:val="006D1470"/>
    <w:rsid w:val="006D1BA8"/>
    <w:rsid w:val="006D1EC8"/>
    <w:rsid w:val="006D2466"/>
    <w:rsid w:val="006D2D2B"/>
    <w:rsid w:val="006D33D6"/>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FF"/>
    <w:rsid w:val="006E2C7A"/>
    <w:rsid w:val="006E3088"/>
    <w:rsid w:val="006E3497"/>
    <w:rsid w:val="006E3F38"/>
    <w:rsid w:val="006E412C"/>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5600"/>
    <w:rsid w:val="006F676C"/>
    <w:rsid w:val="006F6AB6"/>
    <w:rsid w:val="00700BAA"/>
    <w:rsid w:val="00700C90"/>
    <w:rsid w:val="00701F34"/>
    <w:rsid w:val="007031A2"/>
    <w:rsid w:val="00703D4D"/>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4FCA"/>
    <w:rsid w:val="0072514D"/>
    <w:rsid w:val="00725C5A"/>
    <w:rsid w:val="00725CE9"/>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8B0"/>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3BB6"/>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7D3"/>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5DD4"/>
    <w:rsid w:val="00786897"/>
    <w:rsid w:val="00786CFF"/>
    <w:rsid w:val="007874B4"/>
    <w:rsid w:val="0078754B"/>
    <w:rsid w:val="0078755D"/>
    <w:rsid w:val="00787C97"/>
    <w:rsid w:val="00787E62"/>
    <w:rsid w:val="007906EE"/>
    <w:rsid w:val="00791490"/>
    <w:rsid w:val="00791C7A"/>
    <w:rsid w:val="00791D59"/>
    <w:rsid w:val="00792432"/>
    <w:rsid w:val="00792808"/>
    <w:rsid w:val="00792D4C"/>
    <w:rsid w:val="007938AE"/>
    <w:rsid w:val="007939F7"/>
    <w:rsid w:val="00793B7C"/>
    <w:rsid w:val="00794312"/>
    <w:rsid w:val="0079583E"/>
    <w:rsid w:val="0079595C"/>
    <w:rsid w:val="00795D6C"/>
    <w:rsid w:val="00796092"/>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46F4"/>
    <w:rsid w:val="007B5C04"/>
    <w:rsid w:val="007B6263"/>
    <w:rsid w:val="007B6DD8"/>
    <w:rsid w:val="007C009D"/>
    <w:rsid w:val="007C047A"/>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22C5"/>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4E1E"/>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463"/>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60"/>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4E67"/>
    <w:rsid w:val="008357DD"/>
    <w:rsid w:val="008362CE"/>
    <w:rsid w:val="00837584"/>
    <w:rsid w:val="0083796C"/>
    <w:rsid w:val="00837E77"/>
    <w:rsid w:val="00841673"/>
    <w:rsid w:val="0084172B"/>
    <w:rsid w:val="00841963"/>
    <w:rsid w:val="00841C0F"/>
    <w:rsid w:val="00841F3F"/>
    <w:rsid w:val="00842397"/>
    <w:rsid w:val="00842EC4"/>
    <w:rsid w:val="00843BC7"/>
    <w:rsid w:val="008455EF"/>
    <w:rsid w:val="008456E4"/>
    <w:rsid w:val="00845B52"/>
    <w:rsid w:val="00846D3E"/>
    <w:rsid w:val="00846DE7"/>
    <w:rsid w:val="008477B9"/>
    <w:rsid w:val="0084786A"/>
    <w:rsid w:val="008478B0"/>
    <w:rsid w:val="00847C27"/>
    <w:rsid w:val="008505FB"/>
    <w:rsid w:val="00851748"/>
    <w:rsid w:val="00852339"/>
    <w:rsid w:val="008523FA"/>
    <w:rsid w:val="008525F9"/>
    <w:rsid w:val="008526E3"/>
    <w:rsid w:val="008529E6"/>
    <w:rsid w:val="00852CDD"/>
    <w:rsid w:val="00853B3E"/>
    <w:rsid w:val="008542A4"/>
    <w:rsid w:val="008543D6"/>
    <w:rsid w:val="0085493E"/>
    <w:rsid w:val="00855DCD"/>
    <w:rsid w:val="00855E11"/>
    <w:rsid w:val="008562D6"/>
    <w:rsid w:val="0085719C"/>
    <w:rsid w:val="008575E1"/>
    <w:rsid w:val="0085760A"/>
    <w:rsid w:val="008576D9"/>
    <w:rsid w:val="00857F5B"/>
    <w:rsid w:val="0086045A"/>
    <w:rsid w:val="00860476"/>
    <w:rsid w:val="00860CE1"/>
    <w:rsid w:val="0086170A"/>
    <w:rsid w:val="00861D35"/>
    <w:rsid w:val="008623CC"/>
    <w:rsid w:val="00862D68"/>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16E"/>
    <w:rsid w:val="008B24D5"/>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19F2"/>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C6D"/>
    <w:rsid w:val="008F47DC"/>
    <w:rsid w:val="008F50E6"/>
    <w:rsid w:val="008F52B5"/>
    <w:rsid w:val="008F635E"/>
    <w:rsid w:val="008F69A1"/>
    <w:rsid w:val="008F738E"/>
    <w:rsid w:val="008F73F9"/>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29DF"/>
    <w:rsid w:val="009138B0"/>
    <w:rsid w:val="00913E51"/>
    <w:rsid w:val="00914511"/>
    <w:rsid w:val="00914986"/>
    <w:rsid w:val="00914DFE"/>
    <w:rsid w:val="009150A8"/>
    <w:rsid w:val="0091549C"/>
    <w:rsid w:val="00915E31"/>
    <w:rsid w:val="0091614B"/>
    <w:rsid w:val="00916340"/>
    <w:rsid w:val="00916A28"/>
    <w:rsid w:val="00916CEC"/>
    <w:rsid w:val="0091706E"/>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4A7A"/>
    <w:rsid w:val="00975014"/>
    <w:rsid w:val="009752FA"/>
    <w:rsid w:val="009754C3"/>
    <w:rsid w:val="009755CD"/>
    <w:rsid w:val="009758B1"/>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D00"/>
    <w:rsid w:val="009B139E"/>
    <w:rsid w:val="009B1548"/>
    <w:rsid w:val="009B321A"/>
    <w:rsid w:val="009B3A1D"/>
    <w:rsid w:val="009B413B"/>
    <w:rsid w:val="009B41F0"/>
    <w:rsid w:val="009B44F0"/>
    <w:rsid w:val="009B4620"/>
    <w:rsid w:val="009B55BC"/>
    <w:rsid w:val="009B56A2"/>
    <w:rsid w:val="009B58D1"/>
    <w:rsid w:val="009B59F0"/>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1F"/>
    <w:rsid w:val="009C7BDB"/>
    <w:rsid w:val="009D05D6"/>
    <w:rsid w:val="009D0BC2"/>
    <w:rsid w:val="009D0CC2"/>
    <w:rsid w:val="009D0D5C"/>
    <w:rsid w:val="009D1368"/>
    <w:rsid w:val="009D1A7A"/>
    <w:rsid w:val="009D2CC8"/>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CAE"/>
    <w:rsid w:val="009E1D3C"/>
    <w:rsid w:val="009E2429"/>
    <w:rsid w:val="009E3DAE"/>
    <w:rsid w:val="009E426E"/>
    <w:rsid w:val="009E4339"/>
    <w:rsid w:val="009E439C"/>
    <w:rsid w:val="009E46F2"/>
    <w:rsid w:val="009E620D"/>
    <w:rsid w:val="009E7192"/>
    <w:rsid w:val="009E7E28"/>
    <w:rsid w:val="009E7F49"/>
    <w:rsid w:val="009F0B98"/>
    <w:rsid w:val="009F1641"/>
    <w:rsid w:val="009F1C46"/>
    <w:rsid w:val="009F1E25"/>
    <w:rsid w:val="009F2079"/>
    <w:rsid w:val="009F2592"/>
    <w:rsid w:val="009F2AB7"/>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4222"/>
    <w:rsid w:val="00A046BB"/>
    <w:rsid w:val="00A04C7E"/>
    <w:rsid w:val="00A0616C"/>
    <w:rsid w:val="00A06896"/>
    <w:rsid w:val="00A07CA6"/>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2E3"/>
    <w:rsid w:val="00A50D2F"/>
    <w:rsid w:val="00A50D4D"/>
    <w:rsid w:val="00A50EE4"/>
    <w:rsid w:val="00A51BC0"/>
    <w:rsid w:val="00A51D25"/>
    <w:rsid w:val="00A521D4"/>
    <w:rsid w:val="00A53511"/>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067"/>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A6C"/>
    <w:rsid w:val="00A96DBD"/>
    <w:rsid w:val="00A970D5"/>
    <w:rsid w:val="00A97638"/>
    <w:rsid w:val="00A978AF"/>
    <w:rsid w:val="00AA0B4E"/>
    <w:rsid w:val="00AA1BBB"/>
    <w:rsid w:val="00AA1E74"/>
    <w:rsid w:val="00AA216B"/>
    <w:rsid w:val="00AA24D2"/>
    <w:rsid w:val="00AA3388"/>
    <w:rsid w:val="00AA423E"/>
    <w:rsid w:val="00AA66F5"/>
    <w:rsid w:val="00AA6C98"/>
    <w:rsid w:val="00AA7316"/>
    <w:rsid w:val="00AA78CE"/>
    <w:rsid w:val="00AA7F42"/>
    <w:rsid w:val="00AB0C12"/>
    <w:rsid w:val="00AB0FA7"/>
    <w:rsid w:val="00AB2605"/>
    <w:rsid w:val="00AB26D5"/>
    <w:rsid w:val="00AB2FF9"/>
    <w:rsid w:val="00AB3885"/>
    <w:rsid w:val="00AB39A6"/>
    <w:rsid w:val="00AB45DB"/>
    <w:rsid w:val="00AB49EA"/>
    <w:rsid w:val="00AB4F00"/>
    <w:rsid w:val="00AB57B1"/>
    <w:rsid w:val="00AB5C26"/>
    <w:rsid w:val="00AB5F3B"/>
    <w:rsid w:val="00AC004D"/>
    <w:rsid w:val="00AC09F1"/>
    <w:rsid w:val="00AC2417"/>
    <w:rsid w:val="00AC265B"/>
    <w:rsid w:val="00AC2BD0"/>
    <w:rsid w:val="00AC2E4E"/>
    <w:rsid w:val="00AC2F14"/>
    <w:rsid w:val="00AC38A9"/>
    <w:rsid w:val="00AC4681"/>
    <w:rsid w:val="00AC4BF6"/>
    <w:rsid w:val="00AC5151"/>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1D83"/>
    <w:rsid w:val="00AF434D"/>
    <w:rsid w:val="00AF4EE4"/>
    <w:rsid w:val="00AF5B98"/>
    <w:rsid w:val="00AF6B94"/>
    <w:rsid w:val="00B0026B"/>
    <w:rsid w:val="00B0036F"/>
    <w:rsid w:val="00B00A28"/>
    <w:rsid w:val="00B00BE5"/>
    <w:rsid w:val="00B00C8E"/>
    <w:rsid w:val="00B02674"/>
    <w:rsid w:val="00B02AA5"/>
    <w:rsid w:val="00B045EC"/>
    <w:rsid w:val="00B04A54"/>
    <w:rsid w:val="00B04F50"/>
    <w:rsid w:val="00B04FED"/>
    <w:rsid w:val="00B05AE4"/>
    <w:rsid w:val="00B05CA6"/>
    <w:rsid w:val="00B07742"/>
    <w:rsid w:val="00B10224"/>
    <w:rsid w:val="00B1073D"/>
    <w:rsid w:val="00B10A7B"/>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0DF"/>
    <w:rsid w:val="00B21CD1"/>
    <w:rsid w:val="00B23256"/>
    <w:rsid w:val="00B244AA"/>
    <w:rsid w:val="00B24CF5"/>
    <w:rsid w:val="00B25441"/>
    <w:rsid w:val="00B26507"/>
    <w:rsid w:val="00B269CE"/>
    <w:rsid w:val="00B301B4"/>
    <w:rsid w:val="00B3055A"/>
    <w:rsid w:val="00B31920"/>
    <w:rsid w:val="00B31CD8"/>
    <w:rsid w:val="00B32535"/>
    <w:rsid w:val="00B3277B"/>
    <w:rsid w:val="00B32A9E"/>
    <w:rsid w:val="00B32B21"/>
    <w:rsid w:val="00B32F64"/>
    <w:rsid w:val="00B367AA"/>
    <w:rsid w:val="00B36B86"/>
    <w:rsid w:val="00B37176"/>
    <w:rsid w:val="00B373AA"/>
    <w:rsid w:val="00B37787"/>
    <w:rsid w:val="00B401F0"/>
    <w:rsid w:val="00B40823"/>
    <w:rsid w:val="00B40DF9"/>
    <w:rsid w:val="00B41A83"/>
    <w:rsid w:val="00B42083"/>
    <w:rsid w:val="00B42270"/>
    <w:rsid w:val="00B427A9"/>
    <w:rsid w:val="00B42A26"/>
    <w:rsid w:val="00B433A2"/>
    <w:rsid w:val="00B43455"/>
    <w:rsid w:val="00B435F8"/>
    <w:rsid w:val="00B4373C"/>
    <w:rsid w:val="00B4620E"/>
    <w:rsid w:val="00B46CB0"/>
    <w:rsid w:val="00B4725D"/>
    <w:rsid w:val="00B47408"/>
    <w:rsid w:val="00B47E9A"/>
    <w:rsid w:val="00B511BC"/>
    <w:rsid w:val="00B52A3F"/>
    <w:rsid w:val="00B539AD"/>
    <w:rsid w:val="00B53BEF"/>
    <w:rsid w:val="00B5462A"/>
    <w:rsid w:val="00B54BC7"/>
    <w:rsid w:val="00B54E24"/>
    <w:rsid w:val="00B565AE"/>
    <w:rsid w:val="00B568C7"/>
    <w:rsid w:val="00B56C15"/>
    <w:rsid w:val="00B57348"/>
    <w:rsid w:val="00B576BF"/>
    <w:rsid w:val="00B57FD2"/>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969AD"/>
    <w:rsid w:val="00BA088E"/>
    <w:rsid w:val="00BA0A2D"/>
    <w:rsid w:val="00BA152C"/>
    <w:rsid w:val="00BA21B2"/>
    <w:rsid w:val="00BA2861"/>
    <w:rsid w:val="00BA3873"/>
    <w:rsid w:val="00BA43D5"/>
    <w:rsid w:val="00BA636A"/>
    <w:rsid w:val="00BA6707"/>
    <w:rsid w:val="00BA7193"/>
    <w:rsid w:val="00BA7C0B"/>
    <w:rsid w:val="00BA7C85"/>
    <w:rsid w:val="00BB0F85"/>
    <w:rsid w:val="00BB1497"/>
    <w:rsid w:val="00BB16D5"/>
    <w:rsid w:val="00BB1940"/>
    <w:rsid w:val="00BB2A3A"/>
    <w:rsid w:val="00BB2E4D"/>
    <w:rsid w:val="00BB3445"/>
    <w:rsid w:val="00BB36D5"/>
    <w:rsid w:val="00BB404F"/>
    <w:rsid w:val="00BB5301"/>
    <w:rsid w:val="00BB540D"/>
    <w:rsid w:val="00BB57E8"/>
    <w:rsid w:val="00BB58C8"/>
    <w:rsid w:val="00BB63AD"/>
    <w:rsid w:val="00BB720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2A1B"/>
    <w:rsid w:val="00BD3209"/>
    <w:rsid w:val="00BD323A"/>
    <w:rsid w:val="00BD3692"/>
    <w:rsid w:val="00BD3E45"/>
    <w:rsid w:val="00BD3ECE"/>
    <w:rsid w:val="00BD4316"/>
    <w:rsid w:val="00BD5782"/>
    <w:rsid w:val="00BD578A"/>
    <w:rsid w:val="00BD5EFA"/>
    <w:rsid w:val="00BD6C6F"/>
    <w:rsid w:val="00BD6DCD"/>
    <w:rsid w:val="00BD780A"/>
    <w:rsid w:val="00BD78C4"/>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A12"/>
    <w:rsid w:val="00BE7ADF"/>
    <w:rsid w:val="00BE7CAE"/>
    <w:rsid w:val="00BE7D4F"/>
    <w:rsid w:val="00BF086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07FB1"/>
    <w:rsid w:val="00C10243"/>
    <w:rsid w:val="00C10601"/>
    <w:rsid w:val="00C11E89"/>
    <w:rsid w:val="00C134F6"/>
    <w:rsid w:val="00C138AA"/>
    <w:rsid w:val="00C13C38"/>
    <w:rsid w:val="00C1424F"/>
    <w:rsid w:val="00C143EE"/>
    <w:rsid w:val="00C14933"/>
    <w:rsid w:val="00C14D71"/>
    <w:rsid w:val="00C14E0B"/>
    <w:rsid w:val="00C157FC"/>
    <w:rsid w:val="00C15F54"/>
    <w:rsid w:val="00C163B7"/>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4710B"/>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BCF"/>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1B9"/>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009"/>
    <w:rsid w:val="00D04514"/>
    <w:rsid w:val="00D05D6D"/>
    <w:rsid w:val="00D062B1"/>
    <w:rsid w:val="00D06465"/>
    <w:rsid w:val="00D067C4"/>
    <w:rsid w:val="00D076D9"/>
    <w:rsid w:val="00D07FCE"/>
    <w:rsid w:val="00D10489"/>
    <w:rsid w:val="00D11A35"/>
    <w:rsid w:val="00D11E06"/>
    <w:rsid w:val="00D1224D"/>
    <w:rsid w:val="00D1259C"/>
    <w:rsid w:val="00D13710"/>
    <w:rsid w:val="00D13846"/>
    <w:rsid w:val="00D146EB"/>
    <w:rsid w:val="00D15656"/>
    <w:rsid w:val="00D1622E"/>
    <w:rsid w:val="00D16456"/>
    <w:rsid w:val="00D17E8F"/>
    <w:rsid w:val="00D20835"/>
    <w:rsid w:val="00D20D52"/>
    <w:rsid w:val="00D20EF6"/>
    <w:rsid w:val="00D219AA"/>
    <w:rsid w:val="00D21CEF"/>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2986"/>
    <w:rsid w:val="00D334AD"/>
    <w:rsid w:val="00D338DB"/>
    <w:rsid w:val="00D3511F"/>
    <w:rsid w:val="00D35511"/>
    <w:rsid w:val="00D35A8D"/>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BE1"/>
    <w:rsid w:val="00D50F44"/>
    <w:rsid w:val="00D52933"/>
    <w:rsid w:val="00D52C36"/>
    <w:rsid w:val="00D52FF0"/>
    <w:rsid w:val="00D53395"/>
    <w:rsid w:val="00D537E5"/>
    <w:rsid w:val="00D538C9"/>
    <w:rsid w:val="00D54121"/>
    <w:rsid w:val="00D549DF"/>
    <w:rsid w:val="00D55721"/>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765"/>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835"/>
    <w:rsid w:val="00D7495B"/>
    <w:rsid w:val="00D74E94"/>
    <w:rsid w:val="00D75395"/>
    <w:rsid w:val="00D76565"/>
    <w:rsid w:val="00D766B4"/>
    <w:rsid w:val="00D77242"/>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C87"/>
    <w:rsid w:val="00D87FC0"/>
    <w:rsid w:val="00D90B1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18"/>
    <w:rsid w:val="00DB1F84"/>
    <w:rsid w:val="00DB2112"/>
    <w:rsid w:val="00DB2950"/>
    <w:rsid w:val="00DB2F12"/>
    <w:rsid w:val="00DB447B"/>
    <w:rsid w:val="00DB44A1"/>
    <w:rsid w:val="00DB5CD7"/>
    <w:rsid w:val="00DB61FD"/>
    <w:rsid w:val="00DB6647"/>
    <w:rsid w:val="00DC053B"/>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19A"/>
    <w:rsid w:val="00DD7FD2"/>
    <w:rsid w:val="00DE0E0F"/>
    <w:rsid w:val="00DE0F3E"/>
    <w:rsid w:val="00DE1DEE"/>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1CBA"/>
    <w:rsid w:val="00DF2CB0"/>
    <w:rsid w:val="00DF33A6"/>
    <w:rsid w:val="00DF383C"/>
    <w:rsid w:val="00DF4465"/>
    <w:rsid w:val="00DF451B"/>
    <w:rsid w:val="00DF451C"/>
    <w:rsid w:val="00DF4F09"/>
    <w:rsid w:val="00DF5B04"/>
    <w:rsid w:val="00DF5D03"/>
    <w:rsid w:val="00DF5DC1"/>
    <w:rsid w:val="00DF6006"/>
    <w:rsid w:val="00DF6955"/>
    <w:rsid w:val="00DF6AE6"/>
    <w:rsid w:val="00DF6D4C"/>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2CF9"/>
    <w:rsid w:val="00E43A79"/>
    <w:rsid w:val="00E43AEA"/>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375C"/>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14"/>
    <w:rsid w:val="00E818B2"/>
    <w:rsid w:val="00E81DE3"/>
    <w:rsid w:val="00E8267D"/>
    <w:rsid w:val="00E82B57"/>
    <w:rsid w:val="00E82FDB"/>
    <w:rsid w:val="00E83572"/>
    <w:rsid w:val="00E83C17"/>
    <w:rsid w:val="00E84410"/>
    <w:rsid w:val="00E844ED"/>
    <w:rsid w:val="00E84AB8"/>
    <w:rsid w:val="00E854A9"/>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490A"/>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A58"/>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AD8"/>
    <w:rsid w:val="00EE6B6F"/>
    <w:rsid w:val="00EE76B1"/>
    <w:rsid w:val="00EE7818"/>
    <w:rsid w:val="00EF0B59"/>
    <w:rsid w:val="00EF0F59"/>
    <w:rsid w:val="00EF1196"/>
    <w:rsid w:val="00EF1A5A"/>
    <w:rsid w:val="00EF2B23"/>
    <w:rsid w:val="00EF3A01"/>
    <w:rsid w:val="00EF4D0F"/>
    <w:rsid w:val="00EF52F1"/>
    <w:rsid w:val="00EF569A"/>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A10"/>
    <w:rsid w:val="00F16039"/>
    <w:rsid w:val="00F1603A"/>
    <w:rsid w:val="00F169F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37B"/>
    <w:rsid w:val="00F638E7"/>
    <w:rsid w:val="00F63C65"/>
    <w:rsid w:val="00F6499A"/>
    <w:rsid w:val="00F64F0D"/>
    <w:rsid w:val="00F6554B"/>
    <w:rsid w:val="00F656E5"/>
    <w:rsid w:val="00F66279"/>
    <w:rsid w:val="00F671A4"/>
    <w:rsid w:val="00F67500"/>
    <w:rsid w:val="00F70652"/>
    <w:rsid w:val="00F70B12"/>
    <w:rsid w:val="00F70F10"/>
    <w:rsid w:val="00F716BE"/>
    <w:rsid w:val="00F71849"/>
    <w:rsid w:val="00F724AB"/>
    <w:rsid w:val="00F72E1A"/>
    <w:rsid w:val="00F73053"/>
    <w:rsid w:val="00F739F1"/>
    <w:rsid w:val="00F73B22"/>
    <w:rsid w:val="00F7474D"/>
    <w:rsid w:val="00F74A3D"/>
    <w:rsid w:val="00F74A8F"/>
    <w:rsid w:val="00F74FB9"/>
    <w:rsid w:val="00F764E0"/>
    <w:rsid w:val="00F775A3"/>
    <w:rsid w:val="00F77D38"/>
    <w:rsid w:val="00F77F4D"/>
    <w:rsid w:val="00F809C6"/>
    <w:rsid w:val="00F80C31"/>
    <w:rsid w:val="00F81408"/>
    <w:rsid w:val="00F815F4"/>
    <w:rsid w:val="00F81B42"/>
    <w:rsid w:val="00F8209A"/>
    <w:rsid w:val="00F821C1"/>
    <w:rsid w:val="00F832E4"/>
    <w:rsid w:val="00F836B4"/>
    <w:rsid w:val="00F86C5F"/>
    <w:rsid w:val="00F86D62"/>
    <w:rsid w:val="00F874BB"/>
    <w:rsid w:val="00F90DA5"/>
    <w:rsid w:val="00F9118F"/>
    <w:rsid w:val="00F914C6"/>
    <w:rsid w:val="00F92B59"/>
    <w:rsid w:val="00F931A2"/>
    <w:rsid w:val="00F93236"/>
    <w:rsid w:val="00F95F2A"/>
    <w:rsid w:val="00F96F86"/>
    <w:rsid w:val="00F97115"/>
    <w:rsid w:val="00F97229"/>
    <w:rsid w:val="00F97289"/>
    <w:rsid w:val="00F97B3C"/>
    <w:rsid w:val="00F97DE7"/>
    <w:rsid w:val="00FA00A8"/>
    <w:rsid w:val="00FA016F"/>
    <w:rsid w:val="00FA186D"/>
    <w:rsid w:val="00FA1CA1"/>
    <w:rsid w:val="00FA1F4B"/>
    <w:rsid w:val="00FA3644"/>
    <w:rsid w:val="00FA4168"/>
    <w:rsid w:val="00FA4571"/>
    <w:rsid w:val="00FA4A6C"/>
    <w:rsid w:val="00FA4CAD"/>
    <w:rsid w:val="00FA4CFE"/>
    <w:rsid w:val="00FA4DC7"/>
    <w:rsid w:val="00FA4FF3"/>
    <w:rsid w:val="00FA5A28"/>
    <w:rsid w:val="00FA5D15"/>
    <w:rsid w:val="00FA5E5F"/>
    <w:rsid w:val="00FA7A6F"/>
    <w:rsid w:val="00FB09A6"/>
    <w:rsid w:val="00FB1C30"/>
    <w:rsid w:val="00FB1DEB"/>
    <w:rsid w:val="00FB26D9"/>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14B"/>
    <w:rsid w:val="00FD3825"/>
    <w:rsid w:val="00FD39C9"/>
    <w:rsid w:val="00FD3CDC"/>
    <w:rsid w:val="00FD3E5D"/>
    <w:rsid w:val="00FD4378"/>
    <w:rsid w:val="00FD4B51"/>
    <w:rsid w:val="00FD508D"/>
    <w:rsid w:val="00FD57A1"/>
    <w:rsid w:val="00FD5C86"/>
    <w:rsid w:val="00FD72C2"/>
    <w:rsid w:val="00FD7D51"/>
    <w:rsid w:val="00FE0B3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09A"/>
    <w:rsid w:val="00FF6225"/>
    <w:rsid w:val="00FF67D7"/>
    <w:rsid w:val="1B94458F"/>
    <w:rsid w:val="23740614"/>
    <w:rsid w:val="44E9108F"/>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8"/>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9"/>
      </w:numPr>
    </w:pPr>
  </w:style>
  <w:style w:type="numbering" w:customStyle="1" w:styleId="Listaactual91">
    <w:name w:val="Lista actual91"/>
    <w:uiPriority w:val="99"/>
    <w:rsid w:val="00F37E44"/>
    <w:pPr>
      <w:numPr>
        <w:numId w:val="30"/>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1"/>
      </w:numPr>
    </w:pPr>
  </w:style>
  <w:style w:type="numbering" w:customStyle="1" w:styleId="Listaactual211">
    <w:name w:val="Lista actual211"/>
    <w:uiPriority w:val="99"/>
    <w:rsid w:val="00F37E44"/>
    <w:pPr>
      <w:numPr>
        <w:numId w:val="32"/>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3"/>
      </w:numPr>
    </w:pPr>
  </w:style>
  <w:style w:type="numbering" w:customStyle="1" w:styleId="Listaactual121">
    <w:name w:val="Lista actual121"/>
    <w:uiPriority w:val="99"/>
    <w:rsid w:val="00F37E44"/>
    <w:pPr>
      <w:numPr>
        <w:numId w:val="34"/>
      </w:numPr>
    </w:pPr>
  </w:style>
  <w:style w:type="numbering" w:customStyle="1" w:styleId="Listaactual131">
    <w:name w:val="Lista actual131"/>
    <w:uiPriority w:val="99"/>
    <w:rsid w:val="00F37E44"/>
    <w:pPr>
      <w:numPr>
        <w:numId w:val="35"/>
      </w:numPr>
    </w:pPr>
  </w:style>
  <w:style w:type="numbering" w:customStyle="1" w:styleId="Listaactual221">
    <w:name w:val="Lista actual221"/>
    <w:uiPriority w:val="99"/>
    <w:rsid w:val="00F37E44"/>
    <w:pPr>
      <w:numPr>
        <w:numId w:val="36"/>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7"/>
      </w:numPr>
    </w:pPr>
  </w:style>
  <w:style w:type="numbering" w:customStyle="1" w:styleId="Listaactual51">
    <w:name w:val="Lista actual51"/>
    <w:uiPriority w:val="99"/>
    <w:rsid w:val="00F37E44"/>
    <w:pPr>
      <w:numPr>
        <w:numId w:val="38"/>
      </w:numPr>
    </w:pPr>
  </w:style>
  <w:style w:type="numbering" w:customStyle="1" w:styleId="Listaactual61">
    <w:name w:val="Lista actual61"/>
    <w:uiPriority w:val="99"/>
    <w:rsid w:val="00F37E44"/>
    <w:pPr>
      <w:numPr>
        <w:numId w:val="39"/>
      </w:numPr>
    </w:pPr>
  </w:style>
  <w:style w:type="numbering" w:customStyle="1" w:styleId="Listaactual71">
    <w:name w:val="Lista actual71"/>
    <w:uiPriority w:val="99"/>
    <w:rsid w:val="00F37E44"/>
    <w:pPr>
      <w:numPr>
        <w:numId w:val="40"/>
      </w:numPr>
    </w:pPr>
  </w:style>
  <w:style w:type="numbering" w:customStyle="1" w:styleId="Listaactual811">
    <w:name w:val="Lista actual811"/>
    <w:uiPriority w:val="99"/>
    <w:rsid w:val="00F37E44"/>
    <w:pPr>
      <w:numPr>
        <w:numId w:val="41"/>
      </w:numPr>
    </w:pPr>
  </w:style>
  <w:style w:type="numbering" w:customStyle="1" w:styleId="Listaactual911">
    <w:name w:val="Lista actual911"/>
    <w:uiPriority w:val="99"/>
    <w:rsid w:val="00F37E44"/>
    <w:pPr>
      <w:numPr>
        <w:numId w:val="42"/>
      </w:numPr>
    </w:pPr>
  </w:style>
  <w:style w:type="numbering" w:customStyle="1" w:styleId="Listaactual1011">
    <w:name w:val="Lista actual1011"/>
    <w:uiPriority w:val="99"/>
    <w:rsid w:val="00F37E44"/>
    <w:pPr>
      <w:numPr>
        <w:numId w:val="43"/>
      </w:numPr>
    </w:pPr>
  </w:style>
  <w:style w:type="numbering" w:customStyle="1" w:styleId="Listaactual1111">
    <w:name w:val="Lista actual1111"/>
    <w:uiPriority w:val="99"/>
    <w:rsid w:val="00F37E44"/>
    <w:pPr>
      <w:numPr>
        <w:numId w:val="44"/>
      </w:numPr>
    </w:pPr>
  </w:style>
  <w:style w:type="numbering" w:customStyle="1" w:styleId="Listaactual1211">
    <w:name w:val="Lista actual1211"/>
    <w:uiPriority w:val="99"/>
    <w:rsid w:val="00F37E44"/>
    <w:pPr>
      <w:numPr>
        <w:numId w:val="45"/>
      </w:numPr>
    </w:pPr>
  </w:style>
  <w:style w:type="numbering" w:customStyle="1" w:styleId="Listaactual1311">
    <w:name w:val="Lista actual1311"/>
    <w:uiPriority w:val="99"/>
    <w:rsid w:val="00F37E44"/>
    <w:pPr>
      <w:numPr>
        <w:numId w:val="46"/>
      </w:numPr>
    </w:pPr>
  </w:style>
  <w:style w:type="numbering" w:customStyle="1" w:styleId="Listaactual28">
    <w:name w:val="Lista actual28"/>
    <w:uiPriority w:val="99"/>
    <w:rsid w:val="00C07FB1"/>
    <w:pPr>
      <w:numPr>
        <w:numId w:val="47"/>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 w:type="numbering" w:customStyle="1" w:styleId="Listaactual29">
    <w:name w:val="Lista actual29"/>
    <w:uiPriority w:val="99"/>
    <w:rsid w:val="001C4D99"/>
    <w:pPr>
      <w:numPr>
        <w:numId w:val="49"/>
      </w:numPr>
    </w:pPr>
  </w:style>
  <w:style w:type="character" w:customStyle="1" w:styleId="Mencinsinresolver6">
    <w:name w:val="Mención sin resolver6"/>
    <w:basedOn w:val="Fuentedeprrafopredeter"/>
    <w:uiPriority w:val="99"/>
    <w:semiHidden/>
    <w:unhideWhenUsed/>
    <w:rsid w:val="00B41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50977369">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48759527">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27741100">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2068F-3C2D-49E0-B6B7-8C2AAC57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37</Pages>
  <Words>9757</Words>
  <Characters>53664</Characters>
  <Application>Microsoft Office Word</Application>
  <DocSecurity>0</DocSecurity>
  <Lines>447</Lines>
  <Paragraphs>126</Paragraphs>
  <ScaleCrop>false</ScaleCrop>
  <Company/>
  <LinksUpToDate>false</LinksUpToDate>
  <CharactersWithSpaces>63295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363</cp:revision>
  <cp:lastPrinted>2024-09-12T23:03:00Z</cp:lastPrinted>
  <dcterms:created xsi:type="dcterms:W3CDTF">2024-08-12T18:21:00Z</dcterms:created>
  <dcterms:modified xsi:type="dcterms:W3CDTF">2024-12-12T19:50:00Z</dcterms:modified>
</cp:coreProperties>
</file>