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DB" w:rsidRDefault="002457DB" w:rsidP="002457DB">
      <w:pPr>
        <w:widowControl w:val="0"/>
        <w:pBdr>
          <w:top w:val="nil"/>
          <w:left w:val="nil"/>
          <w:bottom w:val="nil"/>
          <w:right w:val="nil"/>
          <w:between w:val="nil"/>
        </w:pBdr>
        <w:spacing w:line="276" w:lineRule="auto"/>
      </w:pPr>
    </w:p>
    <w:p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CC58E4">
        <w:rPr>
          <w:rFonts w:ascii="Palatino Linotype" w:eastAsia="Palatino Linotype" w:hAnsi="Palatino Linotype" w:cs="Palatino Linotype"/>
        </w:rPr>
        <w:t>n Metepec, Estado de México; de</w:t>
      </w:r>
      <w:r w:rsidRPr="003E671B">
        <w:rPr>
          <w:rFonts w:ascii="Palatino Linotype" w:eastAsia="Palatino Linotype" w:hAnsi="Palatino Linotype" w:cs="Palatino Linotype"/>
        </w:rPr>
        <w:t xml:space="preserve"> </w:t>
      </w:r>
      <w:r w:rsidR="00CC3159">
        <w:rPr>
          <w:rFonts w:ascii="Palatino Linotype" w:eastAsia="Palatino Linotype" w:hAnsi="Palatino Linotype" w:cs="Palatino Linotype"/>
        </w:rPr>
        <w:t>veinticinco (25) de septiembre</w:t>
      </w:r>
      <w:r w:rsidRPr="003E671B">
        <w:rPr>
          <w:rFonts w:ascii="Palatino Linotype" w:eastAsia="Palatino Linotype" w:hAnsi="Palatino Linotype" w:cs="Palatino Linotype"/>
        </w:rPr>
        <w:t xml:space="preserve"> de dos mil veinticuatro. </w:t>
      </w:r>
    </w:p>
    <w:p w:rsidR="002457DB" w:rsidRPr="003E671B" w:rsidRDefault="002457DB" w:rsidP="002457DB">
      <w:pPr>
        <w:spacing w:line="360" w:lineRule="auto"/>
        <w:jc w:val="both"/>
        <w:rPr>
          <w:rFonts w:ascii="Palatino Linotype" w:eastAsia="Palatino Linotype" w:hAnsi="Palatino Linotype" w:cs="Palatino Linotype"/>
        </w:rPr>
      </w:pPr>
    </w:p>
    <w:p w:rsidR="002457DB" w:rsidRPr="003E671B" w:rsidRDefault="002457DB" w:rsidP="002457DB">
      <w:pPr>
        <w:spacing w:line="360" w:lineRule="auto"/>
        <w:jc w:val="both"/>
        <w:rPr>
          <w:rFonts w:ascii="Palatino Linotype" w:eastAsia="Palatino Linotype" w:hAnsi="Palatino Linotype" w:cs="Palatino Linotype"/>
        </w:rPr>
      </w:pPr>
      <w:r w:rsidRPr="003E671B">
        <w:rPr>
          <w:rFonts w:ascii="Palatino Linotype" w:eastAsia="Palatino Linotype" w:hAnsi="Palatino Linotype" w:cs="Palatino Linotype"/>
          <w:b/>
        </w:rPr>
        <w:t>VISTO</w:t>
      </w:r>
      <w:r w:rsidRPr="003E671B">
        <w:rPr>
          <w:rFonts w:ascii="Palatino Linotype" w:eastAsia="Palatino Linotype" w:hAnsi="Palatino Linotype" w:cs="Palatino Linotype"/>
        </w:rPr>
        <w:t xml:space="preserve"> el expediente electrónico formado con motivo del recurso de revisión </w:t>
      </w:r>
      <w:r w:rsidR="00CC3159">
        <w:rPr>
          <w:rFonts w:ascii="Palatino Linotype" w:eastAsia="Palatino Linotype" w:hAnsi="Palatino Linotype" w:cs="Palatino Linotype"/>
          <w:b/>
        </w:rPr>
        <w:t>01608/INFOEM/IP/RR/2024</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promovido por</w:t>
      </w:r>
      <w:r w:rsidRPr="003E671B">
        <w:rPr>
          <w:rFonts w:ascii="Palatino Linotype" w:eastAsia="Palatino Linotype" w:hAnsi="Palatino Linotype" w:cs="Palatino Linotype"/>
          <w:b/>
        </w:rPr>
        <w:t xml:space="preserve"> </w:t>
      </w:r>
      <w:r w:rsidR="00CC3159">
        <w:rPr>
          <w:rFonts w:ascii="Palatino Linotype" w:eastAsia="Palatino Linotype" w:hAnsi="Palatino Linotype" w:cs="Palatino Linotype"/>
          <w:b/>
          <w:bCs/>
        </w:rPr>
        <w:t>una persona que no dio información</w:t>
      </w:r>
      <w:r w:rsidRPr="003E671B">
        <w:rPr>
          <w:rFonts w:ascii="Palatino Linotype" w:eastAsia="Palatino Linotype" w:hAnsi="Palatino Linotype" w:cs="Palatino Linotype"/>
          <w:b/>
        </w:rPr>
        <w:t>,</w:t>
      </w:r>
      <w:r w:rsidRPr="003E671B">
        <w:rPr>
          <w:rFonts w:ascii="Palatino Linotype" w:eastAsia="Palatino Linotype" w:hAnsi="Palatino Linotype" w:cs="Palatino Linotype"/>
        </w:rPr>
        <w:t xml:space="preserve"> a quien en lo sucesivo se identificará como </w:t>
      </w:r>
      <w:r w:rsidRPr="003E671B">
        <w:rPr>
          <w:rFonts w:ascii="Palatino Linotype" w:eastAsia="Palatino Linotype" w:hAnsi="Palatino Linotype" w:cs="Palatino Linotype"/>
          <w:b/>
        </w:rPr>
        <w:t>EL RECURRENTE</w:t>
      </w:r>
      <w:r w:rsidRPr="003E671B">
        <w:rPr>
          <w:rFonts w:ascii="Palatino Linotype" w:eastAsia="Palatino Linotype" w:hAnsi="Palatino Linotype" w:cs="Palatino Linotype"/>
        </w:rPr>
        <w:t xml:space="preserve">, en contra de la respuesta del </w:t>
      </w:r>
      <w:r w:rsidR="00CC3159" w:rsidRPr="00CC58E4">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r w:rsidRPr="003E671B">
        <w:rPr>
          <w:rFonts w:ascii="Palatino Linotype" w:eastAsia="Palatino Linotype" w:hAnsi="Palatino Linotype" w:cs="Palatino Linotype"/>
          <w:b/>
        </w:rPr>
        <w:t xml:space="preserve">, </w:t>
      </w:r>
      <w:r w:rsidRPr="003E671B">
        <w:rPr>
          <w:rFonts w:ascii="Palatino Linotype" w:eastAsia="Palatino Linotype" w:hAnsi="Palatino Linotype" w:cs="Palatino Linotype"/>
        </w:rPr>
        <w:t>en adelante el</w:t>
      </w:r>
      <w:r w:rsidRPr="003E671B">
        <w:rPr>
          <w:rFonts w:ascii="Palatino Linotype" w:eastAsia="Palatino Linotype" w:hAnsi="Palatino Linotype" w:cs="Palatino Linotype"/>
          <w:b/>
        </w:rPr>
        <w:t xml:space="preserve"> SUJETO OBLIGADO</w:t>
      </w:r>
      <w:r w:rsidRPr="003E671B">
        <w:rPr>
          <w:rFonts w:ascii="Palatino Linotype" w:eastAsia="Palatino Linotype" w:hAnsi="Palatino Linotype" w:cs="Palatino Linotype"/>
        </w:rPr>
        <w:t>, por lo que se procede a dictar la presente resolución, con base en los siguientes:</w:t>
      </w:r>
    </w:p>
    <w:p w:rsidR="002457DB" w:rsidRPr="003E671B" w:rsidRDefault="002457DB" w:rsidP="002457DB">
      <w:pPr>
        <w:spacing w:line="360" w:lineRule="auto"/>
        <w:jc w:val="both"/>
        <w:rPr>
          <w:rFonts w:ascii="Palatino Linotype" w:eastAsia="Palatino Linotype" w:hAnsi="Palatino Linotype" w:cs="Palatino Linotype"/>
          <w:b/>
        </w:rPr>
      </w:pPr>
    </w:p>
    <w:p w:rsidR="002457DB" w:rsidRPr="003E671B" w:rsidRDefault="002457DB" w:rsidP="002457DB">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3E671B">
        <w:rPr>
          <w:rFonts w:ascii="Palatino Linotype" w:eastAsia="Palatino Linotype" w:hAnsi="Palatino Linotype" w:cs="Palatino Linotype"/>
          <w:b/>
        </w:rPr>
        <w:t>A N T E C E D E N T E S</w:t>
      </w:r>
    </w:p>
    <w:p w:rsidR="002457DB" w:rsidRPr="003E671B" w:rsidRDefault="002457DB" w:rsidP="002457DB">
      <w:pPr>
        <w:spacing w:line="360" w:lineRule="auto"/>
        <w:rPr>
          <w:rFonts w:ascii="Palatino Linotype" w:eastAsia="Palatino Linotype" w:hAnsi="Palatino Linotype" w:cs="Palatino Linotype"/>
        </w:rPr>
      </w:pPr>
    </w:p>
    <w:p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w:t>
      </w:r>
      <w:r w:rsidR="00CC3159">
        <w:rPr>
          <w:rFonts w:ascii="Palatino Linotype" w:eastAsia="Palatino Linotype" w:hAnsi="Palatino Linotype" w:cs="Palatino Linotype"/>
          <w:color w:val="000000"/>
        </w:rPr>
        <w:t>diecinueve (19) de febrero de dos mil veinticuatro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b/>
          <w:color w:val="000000"/>
        </w:rPr>
        <w:t>EL RECURRENTE,</w:t>
      </w:r>
      <w:r w:rsidRPr="003E671B">
        <w:rPr>
          <w:rFonts w:ascii="Palatino Linotype" w:eastAsia="Palatino Linotype" w:hAnsi="Palatino Linotype" w:cs="Palatino Linotype"/>
          <w:color w:val="000000"/>
        </w:rPr>
        <w:t xml:space="preserve"> ante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00CC3159">
        <w:rPr>
          <w:rFonts w:ascii="Palatino Linotype" w:eastAsia="Palatino Linotype" w:hAnsi="Palatino Linotype" w:cs="Palatino Linotype"/>
          <w:b/>
          <w:bCs/>
          <w:color w:val="000000"/>
        </w:rPr>
        <w:t>00117/OASATIZARA/IP/2024</w:t>
      </w:r>
      <w:r w:rsidRPr="003E671B">
        <w:rPr>
          <w:rFonts w:ascii="Palatino Linotype" w:eastAsia="Palatino Linotype" w:hAnsi="Palatino Linotype" w:cs="Palatino Linotype"/>
          <w:b/>
          <w:color w:val="000000"/>
        </w:rPr>
        <w:t xml:space="preserve">, </w:t>
      </w:r>
      <w:r w:rsidRPr="003E671B">
        <w:rPr>
          <w:rFonts w:ascii="Palatino Linotype" w:eastAsia="Palatino Linotype" w:hAnsi="Palatino Linotype" w:cs="Palatino Linotype"/>
        </w:rPr>
        <w:t>en la que</w:t>
      </w:r>
      <w:r w:rsidRPr="003E671B">
        <w:rPr>
          <w:rFonts w:ascii="Palatino Linotype" w:eastAsia="Palatino Linotype" w:hAnsi="Palatino Linotype" w:cs="Palatino Linotype"/>
          <w:color w:val="000000"/>
        </w:rPr>
        <w:t xml:space="preserve"> solicitó lo siguiente:</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pBdr>
          <w:top w:val="nil"/>
          <w:left w:val="nil"/>
          <w:bottom w:val="nil"/>
          <w:right w:val="nil"/>
          <w:between w:val="nil"/>
        </w:pBdr>
        <w:spacing w:line="360" w:lineRule="auto"/>
        <w:ind w:left="720" w:right="567"/>
        <w:jc w:val="both"/>
        <w:rPr>
          <w:rFonts w:ascii="Palatino Linotype" w:eastAsia="Palatino Linotype" w:hAnsi="Palatino Linotype" w:cs="Palatino Linotype"/>
          <w:i/>
          <w:color w:val="000000"/>
        </w:rPr>
      </w:pPr>
      <w:r w:rsidRPr="003E671B">
        <w:rPr>
          <w:rFonts w:ascii="Palatino Linotype" w:eastAsia="Palatino Linotype" w:hAnsi="Palatino Linotype" w:cs="Palatino Linotype"/>
          <w:i/>
          <w:color w:val="000000"/>
        </w:rPr>
        <w:t>“</w:t>
      </w:r>
      <w:r w:rsidR="00CC3159" w:rsidRPr="00CC3159">
        <w:rPr>
          <w:rFonts w:ascii="Palatino Linotype" w:eastAsia="Palatino Linotype" w:hAnsi="Palatino Linotype" w:cs="Palatino Linotype"/>
          <w:i/>
          <w:color w:val="000000"/>
        </w:rPr>
        <w:t>JUICIOS DE PROVEEDORES ENERO 2023 A SAPASA</w:t>
      </w:r>
      <w:r w:rsidRPr="003E671B">
        <w:rPr>
          <w:rFonts w:ascii="Palatino Linotype" w:eastAsia="Palatino Linotype" w:hAnsi="Palatino Linotype" w:cs="Palatino Linotype"/>
          <w:i/>
          <w:color w:val="000000"/>
        </w:rPr>
        <w:t xml:space="preserve">” (Sic) </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Se señaló como modalid</w:t>
      </w:r>
      <w:r w:rsidR="00901FDF">
        <w:rPr>
          <w:rFonts w:ascii="Palatino Linotype" w:eastAsia="Palatino Linotype" w:hAnsi="Palatino Linotype" w:cs="Palatino Linotype"/>
          <w:color w:val="000000"/>
        </w:rPr>
        <w:t xml:space="preserve">ad de entrega a través de </w:t>
      </w:r>
      <w:r w:rsidR="001B5C93">
        <w:rPr>
          <w:rFonts w:ascii="Palatino Linotype" w:eastAsia="Palatino Linotype" w:hAnsi="Palatino Linotype" w:cs="Palatino Linotype"/>
          <w:color w:val="000000"/>
        </w:rPr>
        <w:t>SAIMEX</w:t>
      </w:r>
      <w:r w:rsidRPr="003E671B">
        <w:rPr>
          <w:rFonts w:ascii="Palatino Linotype" w:eastAsia="Palatino Linotype" w:hAnsi="Palatino Linotype" w:cs="Palatino Linotype"/>
          <w:color w:val="000000"/>
        </w:rPr>
        <w:t>.</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CC3159"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diecinueve (19) de febrero de dos mil veinticuatro</w:t>
      </w:r>
      <w:r w:rsidR="002457DB" w:rsidRPr="003E671B">
        <w:rPr>
          <w:rFonts w:ascii="Palatino Linotype" w:eastAsia="Palatino Linotype" w:hAnsi="Palatino Linotype" w:cs="Palatino Linotype"/>
          <w:color w:val="000000"/>
        </w:rPr>
        <w:t xml:space="preserve">, se realizó un requerimiento al servidor público habilitado. </w:t>
      </w:r>
    </w:p>
    <w:p w:rsidR="002457DB" w:rsidRPr="003E671B" w:rsidRDefault="002457DB" w:rsidP="00A559E8">
      <w:pPr>
        <w:pBdr>
          <w:top w:val="nil"/>
          <w:left w:val="nil"/>
          <w:bottom w:val="nil"/>
          <w:right w:val="nil"/>
          <w:between w:val="nil"/>
        </w:pBdr>
        <w:rPr>
          <w:rFonts w:ascii="Palatino Linotype" w:eastAsia="Palatino Linotype" w:hAnsi="Palatino Linotype" w:cs="Palatino Linotype"/>
          <w:color w:val="000000"/>
        </w:rPr>
      </w:pPr>
    </w:p>
    <w:p w:rsidR="002457DB" w:rsidRPr="003E671B" w:rsidRDefault="00CC3159"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doce (12</w:t>
      </w:r>
      <w:r w:rsidR="00A559E8">
        <w:rPr>
          <w:rFonts w:ascii="Palatino Linotype" w:eastAsia="Palatino Linotype" w:hAnsi="Palatino Linotype" w:cs="Palatino Linotype"/>
          <w:color w:val="000000"/>
        </w:rPr>
        <w:t xml:space="preserve">) de </w:t>
      </w:r>
      <w:r>
        <w:rPr>
          <w:rFonts w:ascii="Palatino Linotype" w:eastAsia="Palatino Linotype" w:hAnsi="Palatino Linotype" w:cs="Palatino Linotype"/>
          <w:color w:val="000000"/>
        </w:rPr>
        <w:t>marzo de dos mil veinticuatro</w:t>
      </w:r>
      <w:r w:rsidR="002457DB" w:rsidRPr="003E671B">
        <w:rPr>
          <w:rFonts w:ascii="Palatino Linotype" w:eastAsia="Palatino Linotype" w:hAnsi="Palatino Linotype" w:cs="Palatino Linotype"/>
          <w:color w:val="000000"/>
        </w:rPr>
        <w:t>, el Sujeto Obligado dio respuesta a la solicitud de información en los siguientes términos:</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C3159" w:rsidRPr="00CC3159" w:rsidRDefault="00CC3159" w:rsidP="00CC3159">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CC3159">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CC3159" w:rsidRPr="00CC3159" w:rsidRDefault="00CC3159" w:rsidP="00CC3159">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CC3159">
        <w:rPr>
          <w:rFonts w:ascii="Palatino Linotype" w:eastAsia="Palatino Linotype" w:hAnsi="Palatino Linotype" w:cs="Palatino Linotype"/>
          <w:i/>
          <w:color w:val="000000"/>
          <w:sz w:val="22"/>
          <w:szCs w:val="22"/>
        </w:rPr>
        <w:t>Se anexa Oficio de Signos SAPASA/CJ/MTLA/0160/2024, en donde solicitan la Reserva Total del Expediente 1210/2022,correspondiente a enero 2023, por lo anterior se anexa el acta de la Sesión Extraordinaria en donde se aprueba la Reserva Total del Expediente antes referido.</w:t>
      </w:r>
    </w:p>
    <w:p w:rsidR="00CC3159" w:rsidRPr="00CC3159" w:rsidRDefault="00CC3159" w:rsidP="00CC3159">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CC3159">
        <w:rPr>
          <w:rFonts w:ascii="Palatino Linotype" w:eastAsia="Palatino Linotype" w:hAnsi="Palatino Linotype" w:cs="Palatino Linotype"/>
          <w:i/>
          <w:color w:val="000000"/>
          <w:sz w:val="22"/>
          <w:szCs w:val="22"/>
        </w:rPr>
        <w:t>ATENTAMENTE</w:t>
      </w:r>
    </w:p>
    <w:p w:rsidR="002457DB" w:rsidRPr="00CC3159" w:rsidRDefault="00CC3159" w:rsidP="00CC3159">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CC3159">
        <w:rPr>
          <w:rFonts w:ascii="Palatino Linotype" w:eastAsia="Palatino Linotype" w:hAnsi="Palatino Linotype" w:cs="Palatino Linotype"/>
          <w:i/>
          <w:color w:val="000000"/>
          <w:sz w:val="22"/>
          <w:szCs w:val="22"/>
        </w:rPr>
        <w:t>C. EVA MARÍA JIMÉNEZ GARCÍA</w:t>
      </w:r>
    </w:p>
    <w:p w:rsidR="002457DB" w:rsidRPr="003E671B" w:rsidRDefault="002457DB" w:rsidP="002457DB">
      <w:pPr>
        <w:spacing w:line="360" w:lineRule="auto"/>
        <w:jc w:val="both"/>
        <w:rPr>
          <w:rFonts w:ascii="Palatino Linotype" w:eastAsia="Palatino Linotype" w:hAnsi="Palatino Linotype" w:cs="Palatino Linotype"/>
          <w:sz w:val="22"/>
          <w:szCs w:val="22"/>
        </w:rPr>
      </w:pPr>
    </w:p>
    <w:p w:rsidR="002457DB" w:rsidRPr="003E671B" w:rsidRDefault="002457DB" w:rsidP="002457DB">
      <w:pPr>
        <w:spacing w:line="360" w:lineRule="auto"/>
        <w:jc w:val="both"/>
        <w:rPr>
          <w:rFonts w:ascii="Palatino Linotype" w:eastAsia="Palatino Linotype" w:hAnsi="Palatino Linotype" w:cs="Palatino Linotype"/>
          <w:b/>
          <w:sz w:val="22"/>
          <w:szCs w:val="22"/>
        </w:rPr>
      </w:pPr>
      <w:r w:rsidRPr="003E671B">
        <w:rPr>
          <w:rFonts w:ascii="Palatino Linotype" w:eastAsia="Palatino Linotype" w:hAnsi="Palatino Linotype" w:cs="Palatino Linotype"/>
          <w:sz w:val="22"/>
          <w:szCs w:val="22"/>
        </w:rPr>
        <w:t>A la respuesta se adjuntan los archivos que se describen enseguida:</w:t>
      </w:r>
    </w:p>
    <w:p w:rsidR="002457DB" w:rsidRPr="003E671B" w:rsidRDefault="002457DB" w:rsidP="002457DB">
      <w:pPr>
        <w:spacing w:line="360" w:lineRule="auto"/>
        <w:rPr>
          <w:rFonts w:ascii="Palatino Linotype" w:eastAsia="Palatino Linotype" w:hAnsi="Palatino Linotype" w:cs="Palatino Linotype"/>
          <w:sz w:val="22"/>
          <w:szCs w:val="22"/>
        </w:rPr>
      </w:pPr>
    </w:p>
    <w:p w:rsidR="00CC3159" w:rsidRPr="00341DCC" w:rsidRDefault="00CC3159" w:rsidP="00C41E9B">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CC3159">
        <w:rPr>
          <w:rFonts w:ascii="Palatino Linotype" w:eastAsia="Palatino Linotype" w:hAnsi="Palatino Linotype" w:cs="Palatino Linotype"/>
          <w:b/>
          <w:color w:val="000000"/>
        </w:rPr>
        <w:t>117.pdf</w:t>
      </w:r>
      <w:r>
        <w:rPr>
          <w:rFonts w:ascii="Palatino Linotype" w:eastAsia="Palatino Linotype" w:hAnsi="Palatino Linotype" w:cs="Palatino Linotype"/>
          <w:b/>
          <w:color w:val="000000"/>
        </w:rPr>
        <w:t xml:space="preserve">: </w:t>
      </w:r>
      <w:r w:rsidRPr="00CC3159">
        <w:rPr>
          <w:rFonts w:ascii="Palatino Linotype" w:eastAsia="Palatino Linotype" w:hAnsi="Palatino Linotype" w:cs="Palatino Linotype"/>
          <w:color w:val="000000"/>
        </w:rPr>
        <w:t xml:space="preserve">Contiene oficio suscrito por el Coordinador Jurídico del </w:t>
      </w:r>
      <w:r w:rsidRPr="00CC3159">
        <w:rPr>
          <w:rFonts w:ascii="Palatino Linotype" w:eastAsia="Palatino Linotype" w:hAnsi="Palatino Linotype" w:cs="Palatino Linotype"/>
        </w:rPr>
        <w:t xml:space="preserve">Organismo Público Descentralizado para la Prestación de Los Servicios de Agua Potable </w:t>
      </w:r>
      <w:r w:rsidRPr="00CC3159">
        <w:rPr>
          <w:rFonts w:ascii="Palatino Linotype" w:eastAsia="Palatino Linotype" w:hAnsi="Palatino Linotype" w:cs="Palatino Linotype"/>
        </w:rPr>
        <w:lastRenderedPageBreak/>
        <w:t>Alcantarillado y Saneamiento de</w:t>
      </w:r>
      <w:r>
        <w:rPr>
          <w:rFonts w:ascii="Palatino Linotype" w:eastAsia="Palatino Linotype" w:hAnsi="Palatino Linotype" w:cs="Palatino Linotype"/>
        </w:rPr>
        <w:t>l Municipio de</w:t>
      </w:r>
      <w:r w:rsidRPr="00CC3159">
        <w:rPr>
          <w:rFonts w:ascii="Palatino Linotype" w:eastAsia="Palatino Linotype" w:hAnsi="Palatino Linotype" w:cs="Palatino Linotype"/>
        </w:rPr>
        <w:t xml:space="preserve"> Atizapán de Zaragoza</w:t>
      </w:r>
      <w:r>
        <w:rPr>
          <w:rFonts w:ascii="Palatino Linotype" w:eastAsia="Palatino Linotype" w:hAnsi="Palatino Linotype" w:cs="Palatino Linotype"/>
        </w:rPr>
        <w:t xml:space="preserve">. Dirigido a la Titular de la Unidad de Transparencia y Acceso a la </w:t>
      </w:r>
      <w:r w:rsidR="00341DCC">
        <w:rPr>
          <w:rFonts w:ascii="Palatino Linotype" w:eastAsia="Palatino Linotype" w:hAnsi="Palatino Linotype" w:cs="Palatino Linotype"/>
        </w:rPr>
        <w:t>Información</w:t>
      </w:r>
      <w:r>
        <w:rPr>
          <w:rFonts w:ascii="Palatino Linotype" w:eastAsia="Palatino Linotype" w:hAnsi="Palatino Linotype" w:cs="Palatino Linotype"/>
        </w:rPr>
        <w:t xml:space="preserve"> Pública del Organismo de S.A.P.A.S.A., mediante el cual le informa “… se realizó una búsqueda exhaustiva en los archivos de esta Coordinación y existe un juicio asociado con un proveedor que demandó al </w:t>
      </w:r>
      <w:r w:rsidR="00341DCC">
        <w:rPr>
          <w:rFonts w:ascii="Palatino Linotype" w:eastAsia="Palatino Linotype" w:hAnsi="Palatino Linotype" w:cs="Palatino Linotype"/>
        </w:rPr>
        <w:t>Organismo</w:t>
      </w:r>
      <w:r>
        <w:rPr>
          <w:rFonts w:ascii="Palatino Linotype" w:eastAsia="Palatino Linotype" w:hAnsi="Palatino Linotype" w:cs="Palatino Linotype"/>
        </w:rPr>
        <w:t xml:space="preserve"> durante el mes</w:t>
      </w:r>
      <w:r w:rsidR="00341DCC">
        <w:rPr>
          <w:rFonts w:ascii="Palatino Linotype" w:eastAsia="Palatino Linotype" w:hAnsi="Palatino Linotype" w:cs="Palatino Linotype"/>
        </w:rPr>
        <w:t xml:space="preserve"> en mención; encontrándose el número de expediente 1210/2022.”</w:t>
      </w:r>
    </w:p>
    <w:p w:rsidR="00341DCC" w:rsidRPr="00341DCC" w:rsidRDefault="00341DCC" w:rsidP="00C41E9B">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41DCC">
        <w:rPr>
          <w:rFonts w:ascii="Palatino Linotype" w:eastAsia="Palatino Linotype" w:hAnsi="Palatino Linotype" w:cs="Palatino Linotype"/>
          <w:color w:val="000000"/>
        </w:rPr>
        <w:t xml:space="preserve">En el mismo realiza la Prueba de daño y refiere que </w:t>
      </w:r>
      <w:r>
        <w:rPr>
          <w:rFonts w:ascii="Palatino Linotype" w:eastAsia="Palatino Linotype" w:hAnsi="Palatino Linotype" w:cs="Palatino Linotype"/>
          <w:color w:val="000000"/>
        </w:rPr>
        <w:t>“…</w:t>
      </w:r>
      <w:r w:rsidRPr="00341DCC">
        <w:rPr>
          <w:rFonts w:ascii="Palatino Linotype" w:eastAsia="Palatino Linotype" w:hAnsi="Palatino Linotype" w:cs="Palatino Linotype"/>
          <w:color w:val="000000"/>
        </w:rPr>
        <w:t>es necesaria la reserva total de la información de referencia, por cinco (5) años, sin perjuicio de que, previo al vencimiento de dicho plazo, pueda llevarse a cabo su desclasificación, en caso de que dejen de subsistir las causas que dieron origen a la clasificación</w:t>
      </w:r>
      <w:r>
        <w:rPr>
          <w:rFonts w:ascii="Palatino Linotype" w:eastAsia="Palatino Linotype" w:hAnsi="Palatino Linotype" w:cs="Palatino Linotype"/>
          <w:color w:val="000000"/>
        </w:rPr>
        <w:t>…”</w:t>
      </w:r>
    </w:p>
    <w:p w:rsidR="00CC3159" w:rsidRPr="00CC3159" w:rsidRDefault="00CC3159" w:rsidP="00CC3159">
      <w:pPr>
        <w:pBdr>
          <w:top w:val="nil"/>
          <w:left w:val="nil"/>
          <w:bottom w:val="nil"/>
          <w:right w:val="nil"/>
          <w:between w:val="nil"/>
        </w:pBdr>
        <w:spacing w:line="360" w:lineRule="auto"/>
        <w:rPr>
          <w:rFonts w:ascii="Palatino Linotype" w:eastAsia="Palatino Linotype" w:hAnsi="Palatino Linotype" w:cs="Palatino Linotype"/>
          <w:b/>
          <w:color w:val="000000"/>
        </w:rPr>
      </w:pPr>
    </w:p>
    <w:p w:rsidR="00A559E8" w:rsidRDefault="00CC3159" w:rsidP="008B3273">
      <w:pPr>
        <w:pStyle w:val="Prrafodelista"/>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C3159">
        <w:rPr>
          <w:rFonts w:ascii="Palatino Linotype" w:eastAsia="Palatino Linotype" w:hAnsi="Palatino Linotype" w:cs="Palatino Linotype"/>
          <w:b/>
          <w:color w:val="000000"/>
        </w:rPr>
        <w:t>39 ext.pdf</w:t>
      </w:r>
      <w:r>
        <w:rPr>
          <w:rFonts w:ascii="Palatino Linotype" w:eastAsia="Palatino Linotype" w:hAnsi="Palatino Linotype" w:cs="Palatino Linotype"/>
          <w:b/>
          <w:color w:val="000000"/>
        </w:rPr>
        <w:t xml:space="preserve">: </w:t>
      </w:r>
      <w:r w:rsidR="00341DCC">
        <w:rPr>
          <w:rFonts w:ascii="Palatino Linotype" w:eastAsia="Palatino Linotype" w:hAnsi="Palatino Linotype" w:cs="Palatino Linotype"/>
          <w:b/>
          <w:color w:val="000000"/>
        </w:rPr>
        <w:t>Contiene Acta de la Trigésima Novena Sesión Extraordinaria del Comité de Transparencia del Organismo de Atizapán de Zaragoza SAPASA.</w:t>
      </w:r>
      <w:r w:rsidR="008B3273">
        <w:rPr>
          <w:rFonts w:ascii="Palatino Linotype" w:eastAsia="Palatino Linotype" w:hAnsi="Palatino Linotype" w:cs="Palatino Linotype"/>
          <w:b/>
          <w:color w:val="000000"/>
        </w:rPr>
        <w:t xml:space="preserve">, </w:t>
      </w:r>
      <w:r w:rsidR="008B3273" w:rsidRPr="008B3273">
        <w:rPr>
          <w:rFonts w:ascii="Palatino Linotype" w:eastAsia="Palatino Linotype" w:hAnsi="Palatino Linotype" w:cs="Palatino Linotype"/>
          <w:color w:val="000000"/>
        </w:rPr>
        <w:t>en la cual en el OCTAVO PUNTO a través del Acuerdo Número SAPASA CT-EXT-0130-2024, se Aprueba la Clasificación de Información con carácter de Reserva Total del Expediente 1210/2022 solicitado por la Coordinación Jurídica, en virtud de dar atención a la solicitud de información número 00117/OASATIZARA/IP/2024</w:t>
      </w:r>
      <w:r w:rsidR="003C0EB4">
        <w:rPr>
          <w:rFonts w:ascii="Palatino Linotype" w:eastAsia="Palatino Linotype" w:hAnsi="Palatino Linotype" w:cs="Palatino Linotype"/>
          <w:color w:val="000000"/>
        </w:rPr>
        <w:t>.</w:t>
      </w:r>
    </w:p>
    <w:p w:rsidR="003C0EB4" w:rsidRPr="008B3273" w:rsidRDefault="003C0EB4" w:rsidP="003C0EB4">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3C0EB4"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veinticuatro (24) de marzo de dos mil veinticuatro</w:t>
      </w:r>
      <w:r w:rsidR="002457DB" w:rsidRPr="003E671B">
        <w:rPr>
          <w:rFonts w:ascii="Palatino Linotype" w:eastAsia="Palatino Linotype" w:hAnsi="Palatino Linotype" w:cs="Palatino Linotype"/>
          <w:color w:val="000000"/>
        </w:rPr>
        <w:t xml:space="preserve">, </w:t>
      </w:r>
      <w:r w:rsidR="002457DB" w:rsidRPr="003E671B">
        <w:rPr>
          <w:rFonts w:ascii="Palatino Linotype" w:eastAsia="Palatino Linotype" w:hAnsi="Palatino Linotype" w:cs="Palatino Linotype"/>
          <w:b/>
          <w:color w:val="000000"/>
        </w:rPr>
        <w:t>EL RECURRENTE</w:t>
      </w:r>
      <w:r w:rsidR="002457DB" w:rsidRPr="003E671B">
        <w:rPr>
          <w:rFonts w:ascii="Palatino Linotype" w:eastAsia="Palatino Linotype" w:hAnsi="Palatino Linotype" w:cs="Palatino Linotype"/>
          <w:color w:val="000000"/>
        </w:rPr>
        <w:t xml:space="preserve"> interpuso el recurso de revisión, en contra de la respuesta, señalando como:</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pStyle w:val="Prrafodelista"/>
        <w:spacing w:line="360" w:lineRule="auto"/>
        <w:ind w:right="567"/>
        <w:jc w:val="both"/>
        <w:rPr>
          <w:rFonts w:ascii="Palatino Linotype" w:eastAsia="Palatino Linotype" w:hAnsi="Palatino Linotype" w:cs="Palatino Linotype"/>
          <w:i/>
          <w:color w:val="000000"/>
          <w:sz w:val="22"/>
          <w:szCs w:val="22"/>
        </w:rPr>
      </w:pPr>
      <w:r w:rsidRPr="003E671B">
        <w:rPr>
          <w:rFonts w:ascii="Palatino Linotype" w:eastAsia="Palatino Linotype" w:hAnsi="Palatino Linotype" w:cs="Palatino Linotype"/>
          <w:b/>
          <w:sz w:val="22"/>
          <w:szCs w:val="22"/>
        </w:rPr>
        <w:t>Acto impugnado</w:t>
      </w:r>
      <w:r w:rsidRPr="003E671B">
        <w:rPr>
          <w:rFonts w:ascii="Palatino Linotype" w:eastAsia="Palatino Linotype" w:hAnsi="Palatino Linotype" w:cs="Palatino Linotype"/>
          <w:b/>
          <w:i/>
          <w:sz w:val="22"/>
          <w:szCs w:val="22"/>
        </w:rPr>
        <w:t>:</w:t>
      </w:r>
      <w:r w:rsidRPr="003E671B">
        <w:rPr>
          <w:rFonts w:ascii="Palatino Linotype" w:eastAsia="Palatino Linotype" w:hAnsi="Palatino Linotype" w:cs="Palatino Linotype"/>
          <w:i/>
          <w:color w:val="000000"/>
          <w:sz w:val="22"/>
          <w:szCs w:val="22"/>
        </w:rPr>
        <w:t xml:space="preserve"> "</w:t>
      </w:r>
      <w:r w:rsidR="003C0EB4">
        <w:rPr>
          <w:rFonts w:ascii="Palatino Linotype" w:eastAsia="Palatino Linotype" w:hAnsi="Palatino Linotype" w:cs="Palatino Linotype"/>
          <w:i/>
          <w:color w:val="000000"/>
          <w:sz w:val="22"/>
          <w:szCs w:val="22"/>
        </w:rPr>
        <w:t>LA RESPUESTA</w:t>
      </w:r>
      <w:r w:rsidRPr="003E671B">
        <w:rPr>
          <w:rFonts w:ascii="Palatino Linotype" w:eastAsia="Palatino Linotype" w:hAnsi="Palatino Linotype" w:cs="Palatino Linotype"/>
          <w:i/>
          <w:color w:val="000000"/>
          <w:sz w:val="22"/>
          <w:szCs w:val="22"/>
        </w:rPr>
        <w:t>" (Sic)</w:t>
      </w:r>
    </w:p>
    <w:p w:rsidR="002457DB" w:rsidRPr="003E671B" w:rsidRDefault="002457DB" w:rsidP="002457DB">
      <w:pPr>
        <w:pStyle w:val="Prrafodelista"/>
        <w:spacing w:line="360" w:lineRule="auto"/>
        <w:ind w:right="567"/>
        <w:jc w:val="both"/>
        <w:rPr>
          <w:sz w:val="22"/>
          <w:szCs w:val="22"/>
        </w:rPr>
      </w:pPr>
    </w:p>
    <w:p w:rsidR="002457DB" w:rsidRPr="003E671B" w:rsidRDefault="002457DB" w:rsidP="002457DB">
      <w:pPr>
        <w:pStyle w:val="Prrafodelista"/>
        <w:spacing w:line="360" w:lineRule="auto"/>
        <w:ind w:right="567"/>
        <w:jc w:val="both"/>
        <w:rPr>
          <w:sz w:val="22"/>
          <w:szCs w:val="22"/>
        </w:rPr>
      </w:pPr>
      <w:r w:rsidRPr="003E671B">
        <w:rPr>
          <w:rFonts w:ascii="Palatino Linotype" w:eastAsia="Palatino Linotype" w:hAnsi="Palatino Linotype" w:cs="Palatino Linotype"/>
          <w:b/>
          <w:sz w:val="22"/>
          <w:szCs w:val="22"/>
        </w:rPr>
        <w:t xml:space="preserve">Razones o Motivos de inconformidad: </w:t>
      </w:r>
      <w:r w:rsidRPr="003E671B">
        <w:rPr>
          <w:rFonts w:ascii="Palatino Linotype" w:eastAsia="Palatino Linotype" w:hAnsi="Palatino Linotype" w:cs="Palatino Linotype"/>
          <w:i/>
          <w:sz w:val="22"/>
          <w:szCs w:val="22"/>
        </w:rPr>
        <w:t>"</w:t>
      </w:r>
      <w:r w:rsidR="00430A05" w:rsidRPr="00430A05">
        <w:rPr>
          <w:rFonts w:ascii="Verdana" w:hAnsi="Verdana"/>
          <w:color w:val="000000"/>
          <w:sz w:val="14"/>
          <w:szCs w:val="14"/>
        </w:rPr>
        <w:t xml:space="preserve"> </w:t>
      </w:r>
      <w:r w:rsidR="003C0EB4">
        <w:rPr>
          <w:rFonts w:ascii="Palatino Linotype" w:eastAsia="Palatino Linotype" w:hAnsi="Palatino Linotype" w:cs="Palatino Linotype"/>
          <w:i/>
          <w:sz w:val="22"/>
          <w:szCs w:val="22"/>
        </w:rPr>
        <w:t>LA RESPUESTA</w:t>
      </w:r>
      <w:r w:rsidRPr="003E671B">
        <w:rPr>
          <w:rFonts w:ascii="Palatino Linotype" w:eastAsia="Palatino Linotype" w:hAnsi="Palatino Linotype" w:cs="Palatino Linotype"/>
          <w:i/>
          <w:sz w:val="22"/>
          <w:szCs w:val="22"/>
        </w:rPr>
        <w:t xml:space="preserve"> (Sic)</w:t>
      </w:r>
    </w:p>
    <w:p w:rsidR="002457DB" w:rsidRPr="003E671B" w:rsidRDefault="002457DB" w:rsidP="002457DB">
      <w:pPr>
        <w:spacing w:line="360" w:lineRule="auto"/>
        <w:ind w:right="567"/>
        <w:jc w:val="both"/>
        <w:rPr>
          <w:rFonts w:ascii="Palatino Linotype" w:eastAsia="Palatino Linotype" w:hAnsi="Palatino Linotype" w:cs="Palatino Linotype"/>
          <w:i/>
          <w:sz w:val="22"/>
          <w:szCs w:val="22"/>
        </w:rPr>
      </w:pPr>
    </w:p>
    <w:p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 xml:space="preserve">se </w:t>
      </w:r>
      <w:r w:rsidRPr="003E671B">
        <w:rPr>
          <w:rFonts w:ascii="Palatino Linotype" w:eastAsia="Palatino Linotype" w:hAnsi="Palatino Linotype" w:cs="Palatino Linotype"/>
        </w:rPr>
        <w:t>turna</w:t>
      </w:r>
      <w:r w:rsidRPr="003E671B">
        <w:rPr>
          <w:rFonts w:ascii="Palatino Linotype" w:eastAsia="Palatino Linotype" w:hAnsi="Palatino Linotype" w:cs="Palatino Linotype"/>
          <w:color w:val="000000"/>
        </w:rPr>
        <w:t xml:space="preserve"> a la </w:t>
      </w:r>
      <w:r w:rsidRPr="003E671B">
        <w:rPr>
          <w:rFonts w:ascii="Palatino Linotype" w:eastAsia="Palatino Linotype" w:hAnsi="Palatino Linotype" w:cs="Palatino Linotype"/>
          <w:b/>
          <w:color w:val="000000"/>
        </w:rPr>
        <w:t xml:space="preserve">Comisionada María del Rosario Mejía Ayala, </w:t>
      </w:r>
      <w:r w:rsidRPr="003E671B">
        <w:rPr>
          <w:rFonts w:ascii="Palatino Linotype" w:eastAsia="Palatino Linotype" w:hAnsi="Palatino Linotype" w:cs="Palatino Linotype"/>
        </w:rPr>
        <w:t xml:space="preserve">para </w:t>
      </w:r>
      <w:r w:rsidRPr="003E671B">
        <w:rPr>
          <w:rFonts w:ascii="Palatino Linotype" w:eastAsia="Palatino Linotype" w:hAnsi="Palatino Linotype" w:cs="Palatino Linotype"/>
          <w:color w:val="000000"/>
        </w:rPr>
        <w:t xml:space="preserve">su análisis. </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rPr>
        <w:t>La</w:t>
      </w:r>
      <w:r w:rsidRPr="003E671B">
        <w:rPr>
          <w:rFonts w:ascii="Palatino Linotype" w:eastAsia="Palatino Linotype" w:hAnsi="Palatino Linotype" w:cs="Palatino Linotype"/>
          <w:color w:val="000000"/>
        </w:rPr>
        <w:t xml:space="preserve"> Comisionad</w:t>
      </w:r>
      <w:r w:rsidRPr="003E671B">
        <w:rPr>
          <w:rFonts w:ascii="Palatino Linotype" w:eastAsia="Palatino Linotype" w:hAnsi="Palatino Linotype" w:cs="Palatino Linotype"/>
        </w:rPr>
        <w:t>a</w:t>
      </w:r>
      <w:r w:rsidRPr="003E671B">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003C0EB4">
        <w:rPr>
          <w:rFonts w:ascii="Palatino Linotype" w:eastAsia="Palatino Linotype" w:hAnsi="Palatino Linotype" w:cs="Palatino Linotype"/>
          <w:color w:val="000000"/>
        </w:rPr>
        <w:t>diez (10) de abril de dos mil veinticuatro</w:t>
      </w:r>
      <w:r w:rsidRPr="003E671B">
        <w:rPr>
          <w:rFonts w:ascii="Palatino Linotype" w:eastAsia="Palatino Linotype" w:hAnsi="Palatino Linotype" w:cs="Palatino Linotype"/>
          <w:color w:val="000000"/>
        </w:rPr>
        <w:t xml:space="preserve">, puso a disposición de las partes el expediente electrónico vía </w:t>
      </w:r>
      <w:r w:rsidRPr="003E671B">
        <w:rPr>
          <w:rFonts w:ascii="Palatino Linotype" w:eastAsia="Palatino Linotype" w:hAnsi="Palatino Linotype" w:cs="Palatino Linotype"/>
          <w:b/>
          <w:color w:val="000000"/>
        </w:rPr>
        <w:t xml:space="preserve">SAIMEX </w:t>
      </w:r>
      <w:r w:rsidRPr="003E671B">
        <w:rPr>
          <w:rFonts w:ascii="Palatino Linotype" w:eastAsia="Palatino Linotype" w:hAnsi="Palatino Linotype" w:cs="Palatino Linotype"/>
          <w:color w:val="000000"/>
        </w:rPr>
        <w:t xml:space="preserve">a efecto de que en un plazo máximo de siete días </w:t>
      </w:r>
      <w:r w:rsidRPr="003E671B">
        <w:rPr>
          <w:rFonts w:ascii="Palatino Linotype" w:eastAsia="Palatino Linotype" w:hAnsi="Palatino Linotype" w:cs="Palatino Linotype"/>
        </w:rPr>
        <w:t>manifestara</w:t>
      </w:r>
      <w:r w:rsidRPr="003E671B">
        <w:rPr>
          <w:rFonts w:ascii="Palatino Linotype" w:eastAsia="Palatino Linotype" w:hAnsi="Palatino Linotype" w:cs="Palatino Linotype"/>
          <w:color w:val="000000"/>
        </w:rPr>
        <w:t xml:space="preserve"> lo que a derecho </w:t>
      </w:r>
      <w:r w:rsidRPr="003E671B">
        <w:rPr>
          <w:rFonts w:ascii="Palatino Linotype" w:eastAsia="Palatino Linotype" w:hAnsi="Palatino Linotype" w:cs="Palatino Linotype"/>
        </w:rPr>
        <w:t>conviniera</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ofreciera</w:t>
      </w:r>
      <w:r w:rsidRPr="003E671B">
        <w:rPr>
          <w:rFonts w:ascii="Palatino Linotype" w:eastAsia="Palatino Linotype" w:hAnsi="Palatino Linotype" w:cs="Palatino Linotype"/>
          <w:color w:val="000000"/>
        </w:rPr>
        <w:t xml:space="preserve"> pruebas y alegatos según corresponda al caso concreto, de esta forma para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rPr>
        <w:t>presentará</w:t>
      </w:r>
      <w:r w:rsidRPr="003E671B">
        <w:rPr>
          <w:rFonts w:ascii="Palatino Linotype" w:eastAsia="Palatino Linotype" w:hAnsi="Palatino Linotype" w:cs="Palatino Linotype"/>
          <w:color w:val="000000"/>
        </w:rPr>
        <w:t xml:space="preserve"> el informe justificado procedente. </w:t>
      </w:r>
    </w:p>
    <w:p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rsidR="003C0EB4" w:rsidRPr="003C0EB4" w:rsidRDefault="002457DB" w:rsidP="001B5C93">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3E671B">
        <w:rPr>
          <w:rFonts w:ascii="Palatino Linotype" w:eastAsia="Palatino Linotype" w:hAnsi="Palatino Linotype" w:cs="Palatino Linotype"/>
          <w:color w:val="000000"/>
        </w:rPr>
        <w:t>De las constancias del expediente electrónico SAIMEX</w:t>
      </w:r>
      <w:r w:rsidR="00430A05">
        <w:rPr>
          <w:rFonts w:ascii="Palatino Linotype" w:eastAsia="Palatino Linotype" w:hAnsi="Palatino Linotype" w:cs="Palatino Linotype"/>
          <w:color w:val="000000"/>
        </w:rPr>
        <w:t>,</w:t>
      </w:r>
      <w:r w:rsidRPr="003E671B">
        <w:rPr>
          <w:rFonts w:ascii="Palatino Linotype" w:eastAsia="Palatino Linotype" w:hAnsi="Palatino Linotype" w:cs="Palatino Linotype"/>
          <w:color w:val="000000"/>
        </w:rPr>
        <w:t xml:space="preserve"> se advierte que el </w:t>
      </w:r>
      <w:r w:rsidR="00430A05">
        <w:rPr>
          <w:rFonts w:ascii="Palatino Linotype" w:eastAsia="Palatino Linotype" w:hAnsi="Palatino Linotype" w:cs="Palatino Linotype"/>
          <w:color w:val="000000"/>
        </w:rPr>
        <w:t xml:space="preserve">Recurrente </w:t>
      </w:r>
      <w:r w:rsidR="003C0EB4">
        <w:rPr>
          <w:rFonts w:ascii="Palatino Linotype" w:eastAsia="Palatino Linotype" w:hAnsi="Palatino Linotype" w:cs="Palatino Linotype"/>
          <w:color w:val="000000"/>
        </w:rPr>
        <w:t xml:space="preserve">y el Sujeto </w:t>
      </w:r>
      <w:r w:rsidR="00C41E9B">
        <w:rPr>
          <w:rFonts w:ascii="Palatino Linotype" w:eastAsia="Palatino Linotype" w:hAnsi="Palatino Linotype" w:cs="Palatino Linotype"/>
          <w:color w:val="000000"/>
        </w:rPr>
        <w:t xml:space="preserve">Obligado </w:t>
      </w:r>
      <w:r w:rsidR="00C41E9B" w:rsidRPr="0001253B">
        <w:rPr>
          <w:rFonts w:ascii="Palatino Linotype" w:hAnsi="Palatino Linotype"/>
          <w:b/>
          <w:color w:val="000000"/>
        </w:rPr>
        <w:t>dejaron</w:t>
      </w:r>
      <w:r w:rsidR="00C41E9B">
        <w:rPr>
          <w:rFonts w:ascii="Palatino Linotype" w:hAnsi="Palatino Linotype"/>
          <w:color w:val="000000"/>
        </w:rPr>
        <w:t xml:space="preserve"> </w:t>
      </w:r>
      <w:r w:rsidR="00C41E9B" w:rsidRPr="0001253B">
        <w:rPr>
          <w:rFonts w:ascii="Palatino Linotype" w:hAnsi="Palatino Linotype"/>
          <w:color w:val="000000"/>
        </w:rPr>
        <w:t>de</w:t>
      </w:r>
      <w:r w:rsidR="003C0EB4" w:rsidRPr="0001253B">
        <w:rPr>
          <w:rFonts w:ascii="Palatino Linotype" w:hAnsi="Palatino Linotype"/>
          <w:color w:val="000000"/>
        </w:rPr>
        <w:t xml:space="preserve"> realizar manifestaciones que a su derecho conviniera y asistiera.</w:t>
      </w:r>
    </w:p>
    <w:p w:rsidR="002457DB" w:rsidRPr="003E671B" w:rsidRDefault="00D52CC0"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w:t>
      </w:r>
      <w:r w:rsidR="003C0EB4">
        <w:rPr>
          <w:rFonts w:ascii="Palatino Linotype" w:eastAsia="Palatino Linotype" w:hAnsi="Palatino Linotype" w:cs="Palatino Linotype"/>
          <w:color w:val="000000"/>
        </w:rPr>
        <w:t>l dieciocho (18) de septiembre de dos mil veinticuatro,</w:t>
      </w:r>
      <w:r w:rsidR="002457DB" w:rsidRPr="003E671B">
        <w:rPr>
          <w:rFonts w:ascii="Palatino Linotype" w:eastAsia="Palatino Linotype" w:hAnsi="Palatino Linotype" w:cs="Palatino Linotype"/>
          <w:color w:val="000000"/>
        </w:rPr>
        <w:t xml:space="preserve"> se notificó el acuerdo por el cual se aprobó la ampliación de plazo para emitir resolución.</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2457DB" w:rsidRPr="003E671B" w:rsidRDefault="002457DB" w:rsidP="002457DB">
      <w:pPr>
        <w:spacing w:line="360" w:lineRule="auto"/>
        <w:rPr>
          <w:rFonts w:ascii="Palatino Linotype" w:eastAsia="Palatino Linotype" w:hAnsi="Palatino Linotype" w:cs="Palatino Linotype"/>
        </w:rPr>
      </w:pPr>
    </w:p>
    <w:p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457DB" w:rsidRPr="003E671B" w:rsidRDefault="002457DB" w:rsidP="002457DB">
      <w:pPr>
        <w:spacing w:line="360" w:lineRule="auto"/>
        <w:rPr>
          <w:rFonts w:ascii="Palatino Linotype" w:eastAsia="Palatino Linotype" w:hAnsi="Palatino Linotype" w:cs="Palatino Linotype"/>
        </w:rPr>
      </w:pPr>
    </w:p>
    <w:p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457DB" w:rsidRPr="003E671B" w:rsidRDefault="002457DB" w:rsidP="002457DB">
      <w:pPr>
        <w:spacing w:line="360" w:lineRule="auto"/>
        <w:rPr>
          <w:rFonts w:ascii="Palatino Linotype" w:eastAsia="Palatino Linotype" w:hAnsi="Palatino Linotype" w:cs="Palatino Linotype"/>
        </w:rPr>
      </w:pPr>
    </w:p>
    <w:p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457DB" w:rsidRPr="003E671B" w:rsidRDefault="002457DB" w:rsidP="002457DB">
      <w:pPr>
        <w:spacing w:line="360" w:lineRule="auto"/>
        <w:jc w:val="both"/>
        <w:rPr>
          <w:rFonts w:ascii="Palatino Linotype" w:eastAsia="Palatino Linotype" w:hAnsi="Palatino Linotype" w:cs="Palatino Linotype"/>
          <w:b/>
        </w:rPr>
      </w:pPr>
    </w:p>
    <w:p w:rsidR="002457DB" w:rsidRPr="00D52CC0"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D52CC0" w:rsidRPr="003E671B" w:rsidRDefault="00D52CC0" w:rsidP="00D52CC0">
      <w:pPr>
        <w:spacing w:line="360" w:lineRule="auto"/>
        <w:jc w:val="both"/>
        <w:rPr>
          <w:rFonts w:ascii="Palatino Linotype" w:eastAsia="Palatino Linotype" w:hAnsi="Palatino Linotype" w:cs="Palatino Linotype"/>
          <w:b/>
        </w:rPr>
      </w:pPr>
    </w:p>
    <w:p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 xml:space="preserve">Complejidad del </w:t>
      </w:r>
      <w:r w:rsidRPr="00D52CC0">
        <w:rPr>
          <w:rFonts w:ascii="Palatino Linotype" w:eastAsia="Palatino Linotype" w:hAnsi="Palatino Linotype" w:cs="Palatino Linotype"/>
          <w:szCs w:val="22"/>
        </w:rPr>
        <w:t>asunto</w:t>
      </w:r>
      <w:r w:rsidRPr="00D52CC0">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Actividad Procesal del interesado. Acciones u omisiones del interesado.</w:t>
      </w:r>
    </w:p>
    <w:p w:rsidR="002457DB" w:rsidRPr="00D52CC0" w:rsidRDefault="002457DB" w:rsidP="00D52CC0">
      <w:pPr>
        <w:numPr>
          <w:ilvl w:val="0"/>
          <w:numId w:val="2"/>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D52CC0">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rsidR="002457DB" w:rsidRPr="00D52CC0" w:rsidRDefault="002457DB" w:rsidP="00D52CC0">
      <w:pPr>
        <w:spacing w:line="360" w:lineRule="auto"/>
        <w:ind w:left="851" w:right="822"/>
        <w:jc w:val="both"/>
        <w:rPr>
          <w:rFonts w:ascii="Palatino Linotype" w:eastAsia="Palatino Linotype" w:hAnsi="Palatino Linotype" w:cs="Palatino Linotype"/>
          <w:szCs w:val="22"/>
        </w:rPr>
      </w:pPr>
      <w:r w:rsidRPr="00D52CC0">
        <w:rPr>
          <w:rFonts w:ascii="Palatino Linotype" w:eastAsia="Palatino Linotype" w:hAnsi="Palatino Linotype" w:cs="Palatino Linotype"/>
          <w:szCs w:val="22"/>
        </w:rPr>
        <w:t>d) La afectación generada en la situación jurídica de la persona involucrada en el proceso: Violación a sus derechos humanos.</w:t>
      </w:r>
    </w:p>
    <w:p w:rsidR="002457DB" w:rsidRPr="003E671B" w:rsidRDefault="002457DB" w:rsidP="002457DB">
      <w:pPr>
        <w:spacing w:line="360" w:lineRule="auto"/>
        <w:rPr>
          <w:rFonts w:ascii="Palatino Linotype" w:eastAsia="Palatino Linotype" w:hAnsi="Palatino Linotype" w:cs="Palatino Linotype"/>
        </w:rPr>
      </w:pPr>
    </w:p>
    <w:p w:rsidR="002457DB" w:rsidRPr="001B5C93"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3E671B">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rsidR="001B5C93" w:rsidRPr="00D52CC0" w:rsidRDefault="001B5C93" w:rsidP="001B5C93">
      <w:pPr>
        <w:spacing w:line="360" w:lineRule="auto"/>
        <w:jc w:val="both"/>
        <w:rPr>
          <w:rFonts w:ascii="Palatino Linotype" w:eastAsia="Palatino Linotype" w:hAnsi="Palatino Linotype" w:cs="Palatino Linotype"/>
          <w:b/>
        </w:rPr>
      </w:pPr>
    </w:p>
    <w:p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Argumento que encuentra sustento en la jurisprudencia P</w:t>
      </w:r>
      <w:proofErr w:type="gramStart"/>
      <w:r w:rsidRPr="003E671B">
        <w:rPr>
          <w:rFonts w:ascii="Palatino Linotype" w:eastAsia="Palatino Linotype" w:hAnsi="Palatino Linotype" w:cs="Palatino Linotype"/>
        </w:rPr>
        <w:t>./</w:t>
      </w:r>
      <w:proofErr w:type="gramEnd"/>
      <w:r w:rsidRPr="003E671B">
        <w:rPr>
          <w:rFonts w:ascii="Palatino Linotype" w:eastAsia="Palatino Linotype" w:hAnsi="Palatino Linotype" w:cs="Palatino Linotype"/>
        </w:rPr>
        <w:t xml:space="preserve">J. 32/92 emitida por el Pleno de la Suprema Corte de Justicia de la Nación de rubro </w:t>
      </w:r>
      <w:r w:rsidRPr="003E671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E671B">
        <w:rPr>
          <w:rFonts w:ascii="Palatino Linotype" w:eastAsia="Palatino Linotype" w:hAnsi="Palatino Linotype" w:cs="Palatino Linotype"/>
        </w:rPr>
        <w:t>, visible en la Gaceta del Seminario Judicial de la Federación con el registro digital 205635.</w:t>
      </w:r>
    </w:p>
    <w:p w:rsidR="002457DB" w:rsidRPr="003E671B" w:rsidRDefault="002457DB" w:rsidP="002457DB">
      <w:pPr>
        <w:spacing w:line="360" w:lineRule="auto"/>
        <w:rPr>
          <w:rFonts w:ascii="Palatino Linotype" w:eastAsia="Palatino Linotype" w:hAnsi="Palatino Linotype" w:cs="Palatino Linotype"/>
        </w:rPr>
      </w:pPr>
    </w:p>
    <w:p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457DB" w:rsidRPr="003E671B" w:rsidRDefault="002457DB" w:rsidP="002457DB">
      <w:pPr>
        <w:spacing w:line="360" w:lineRule="auto"/>
        <w:rPr>
          <w:rFonts w:ascii="Palatino Linotype" w:eastAsia="Palatino Linotype" w:hAnsi="Palatino Linotype" w:cs="Palatino Linotype"/>
        </w:rPr>
      </w:pPr>
    </w:p>
    <w:p w:rsidR="002457DB" w:rsidRPr="003E671B" w:rsidRDefault="002457DB" w:rsidP="002457DB">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2457DB" w:rsidRPr="003E671B" w:rsidRDefault="002457DB" w:rsidP="002457DB">
      <w:pPr>
        <w:spacing w:line="360" w:lineRule="auto"/>
        <w:rPr>
          <w:rFonts w:ascii="Palatino Linotype" w:eastAsia="Palatino Linotype" w:hAnsi="Palatino Linotype" w:cs="Palatino Linotype"/>
        </w:rPr>
      </w:pPr>
    </w:p>
    <w:p w:rsidR="002457DB" w:rsidRPr="00D52CC0" w:rsidRDefault="002457DB" w:rsidP="00D52CC0">
      <w:pPr>
        <w:numPr>
          <w:ilvl w:val="0"/>
          <w:numId w:val="1"/>
        </w:numPr>
        <w:spacing w:line="360" w:lineRule="auto"/>
        <w:ind w:left="0" w:firstLine="0"/>
        <w:jc w:val="both"/>
        <w:rPr>
          <w:rFonts w:ascii="Palatino Linotype" w:eastAsia="Palatino Linotype" w:hAnsi="Palatino Linotype" w:cs="Palatino Linotype"/>
          <w:b/>
        </w:rPr>
      </w:pPr>
      <w:r w:rsidRPr="003E671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2457DB" w:rsidRPr="003E671B" w:rsidRDefault="002457DB" w:rsidP="002457DB">
      <w:pPr>
        <w:spacing w:line="360" w:lineRule="auto"/>
        <w:jc w:val="both"/>
        <w:rPr>
          <w:rFonts w:ascii="Palatino Linotype" w:eastAsia="Palatino Linotype" w:hAnsi="Palatino Linotype" w:cs="Palatino Linotype"/>
          <w:b/>
        </w:rPr>
      </w:pPr>
    </w:p>
    <w:p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sz w:val="22"/>
          <w:szCs w:val="22"/>
        </w:rPr>
        <w:t xml:space="preserve"> </w:t>
      </w:r>
      <w:r w:rsidRPr="003E671B">
        <w:rPr>
          <w:rFonts w:ascii="Palatino Linotype" w:eastAsia="Palatino Linotype" w:hAnsi="Palatino Linotype" w:cs="Palatino Linotype"/>
          <w:i/>
          <w:sz w:val="22"/>
          <w:szCs w:val="22"/>
        </w:rPr>
        <w:t>“PLAZO RAZONABLE PARA RESOLVER. DIMENSIÓN Y EFECTOS DE ESTE CONCEPTO CUANDO SE ADUCE EXCESIVA CARGA DE TRABAJO.”</w:t>
      </w:r>
      <w:r w:rsidRPr="003E671B">
        <w:rPr>
          <w:rFonts w:ascii="Palatino Linotype" w:eastAsia="Palatino Linotype" w:hAnsi="Palatino Linotype" w:cs="Palatino Linotype"/>
          <w:sz w:val="22"/>
          <w:szCs w:val="22"/>
        </w:rPr>
        <w:t xml:space="preserve"> consultable en el Seminario Judicial de la Federación y su gaceta, con el registro digital 2002351.</w:t>
      </w:r>
    </w:p>
    <w:p w:rsidR="002457DB" w:rsidRPr="003E671B" w:rsidRDefault="002457DB" w:rsidP="002457DB">
      <w:pPr>
        <w:spacing w:line="360" w:lineRule="auto"/>
        <w:ind w:left="851" w:right="822"/>
        <w:jc w:val="both"/>
        <w:rPr>
          <w:rFonts w:ascii="Palatino Linotype" w:eastAsia="Palatino Linotype" w:hAnsi="Palatino Linotype" w:cs="Palatino Linotype"/>
          <w:b/>
          <w:sz w:val="22"/>
          <w:szCs w:val="22"/>
        </w:rPr>
      </w:pPr>
    </w:p>
    <w:p w:rsidR="002457DB" w:rsidRPr="003E671B" w:rsidRDefault="002457DB" w:rsidP="002457DB">
      <w:pPr>
        <w:spacing w:line="360" w:lineRule="auto"/>
        <w:ind w:left="851" w:right="822"/>
        <w:jc w:val="both"/>
        <w:rPr>
          <w:rFonts w:ascii="Palatino Linotype" w:eastAsia="Palatino Linotype" w:hAnsi="Palatino Linotype" w:cs="Palatino Linotype"/>
          <w:sz w:val="22"/>
          <w:szCs w:val="22"/>
        </w:rPr>
      </w:pPr>
      <w:r w:rsidRPr="003E671B">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3E671B">
        <w:rPr>
          <w:rFonts w:ascii="Palatino Linotype" w:eastAsia="Palatino Linotype" w:hAnsi="Palatino Linotype" w:cs="Palatino Linotype"/>
          <w:sz w:val="22"/>
          <w:szCs w:val="22"/>
        </w:rPr>
        <w:t>, visible en el Seminario Judicial de la Federación y su gaceta, con el registro digital 2002350.</w:t>
      </w:r>
    </w:p>
    <w:p w:rsidR="002457DB" w:rsidRPr="003E671B" w:rsidRDefault="002457DB" w:rsidP="002457DB">
      <w:pPr>
        <w:spacing w:line="360" w:lineRule="auto"/>
        <w:ind w:right="822"/>
        <w:jc w:val="both"/>
        <w:rPr>
          <w:rFonts w:ascii="Palatino Linotype" w:eastAsia="Palatino Linotype" w:hAnsi="Palatino Linotype" w:cs="Palatino Linotype"/>
          <w:i/>
        </w:rPr>
      </w:pPr>
    </w:p>
    <w:p w:rsidR="002457DB" w:rsidRPr="003E671B" w:rsidRDefault="002457DB" w:rsidP="002457DB">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La Comisionada Ponente decretó el cierre de instrucción mediante el acuerdo del </w:t>
      </w:r>
      <w:r w:rsidR="003C0EB4">
        <w:rPr>
          <w:rFonts w:ascii="Palatino Linotype" w:eastAsia="Palatino Linotype" w:hAnsi="Palatino Linotype" w:cs="Palatino Linotype"/>
          <w:color w:val="000000"/>
        </w:rPr>
        <w:t>dieciocho (18) de septiembre</w:t>
      </w:r>
      <w:r w:rsidRPr="003E671B">
        <w:rPr>
          <w:rFonts w:ascii="Palatino Linotype" w:eastAsia="Palatino Linotype" w:hAnsi="Palatino Linotype" w:cs="Palatino Linotype"/>
          <w:color w:val="000000"/>
        </w:rPr>
        <w:t xml:space="preserve"> de dos mil veinticuatro.</w:t>
      </w:r>
    </w:p>
    <w:p w:rsidR="002457DB" w:rsidRPr="003E671B" w:rsidRDefault="002457DB" w:rsidP="002457DB">
      <w:pPr>
        <w:spacing w:line="360" w:lineRule="auto"/>
        <w:rPr>
          <w:rFonts w:ascii="Palatino Linotype" w:eastAsia="Palatino Linotype" w:hAnsi="Palatino Linotype" w:cs="Palatino Linotype"/>
        </w:rPr>
      </w:pPr>
    </w:p>
    <w:p w:rsidR="002457DB" w:rsidRPr="003E671B" w:rsidRDefault="002457DB" w:rsidP="002457DB">
      <w:pPr>
        <w:spacing w:line="360" w:lineRule="auto"/>
        <w:jc w:val="center"/>
        <w:rPr>
          <w:rFonts w:ascii="Palatino Linotype" w:eastAsia="Palatino Linotype" w:hAnsi="Palatino Linotype" w:cs="Palatino Linotype"/>
        </w:rPr>
      </w:pPr>
      <w:bookmarkStart w:id="1" w:name="_heading=h.30j0zll" w:colFirst="0" w:colLast="0"/>
      <w:bookmarkEnd w:id="1"/>
      <w:r w:rsidRPr="003E671B">
        <w:rPr>
          <w:rFonts w:ascii="Palatino Linotype" w:eastAsia="Palatino Linotype" w:hAnsi="Palatino Linotype" w:cs="Palatino Linotype"/>
          <w:b/>
        </w:rPr>
        <w:t>C O N S I D E R A N D O</w:t>
      </w:r>
    </w:p>
    <w:p w:rsidR="002457DB" w:rsidRPr="003E671B" w:rsidRDefault="002457DB" w:rsidP="002457DB">
      <w:pPr>
        <w:spacing w:line="360" w:lineRule="auto"/>
        <w:jc w:val="center"/>
        <w:rPr>
          <w:rFonts w:ascii="Palatino Linotype" w:eastAsia="Palatino Linotype" w:hAnsi="Palatino Linotype" w:cs="Palatino Linotype"/>
        </w:rPr>
      </w:pPr>
    </w:p>
    <w:p w:rsidR="002457DB" w:rsidRPr="003E671B" w:rsidRDefault="002457DB" w:rsidP="002457DB">
      <w:pPr>
        <w:spacing w:line="360" w:lineRule="auto"/>
        <w:jc w:val="both"/>
        <w:rPr>
          <w:rFonts w:ascii="Palatino Linotype" w:eastAsia="Palatino Linotype" w:hAnsi="Palatino Linotype" w:cs="Palatino Linotype"/>
          <w:b/>
        </w:rPr>
      </w:pPr>
      <w:bookmarkStart w:id="2" w:name="_heading=h.1fob9te" w:colFirst="0" w:colLast="0"/>
      <w:bookmarkEnd w:id="2"/>
      <w:r w:rsidRPr="003E671B">
        <w:rPr>
          <w:rFonts w:ascii="Palatino Linotype" w:eastAsia="Palatino Linotype" w:hAnsi="Palatino Linotype" w:cs="Palatino Linotype"/>
          <w:b/>
        </w:rPr>
        <w:t>PRIMERO. De la competencia</w:t>
      </w:r>
    </w:p>
    <w:p w:rsidR="002457DB" w:rsidRPr="003E671B" w:rsidRDefault="002457DB" w:rsidP="002457DB">
      <w:pPr>
        <w:numPr>
          <w:ilvl w:val="0"/>
          <w:numId w:val="1"/>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D52CC0">
        <w:rPr>
          <w:rFonts w:ascii="Palatino Linotype" w:eastAsia="Palatino Linotype" w:hAnsi="Palatino Linotype" w:cs="Palatino Linotype"/>
          <w:color w:val="000000"/>
        </w:rPr>
        <w:t>pios; y 7, 9 fracciones I y XXIII</w:t>
      </w:r>
      <w:r w:rsidRPr="003E671B">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rsidR="002457DB" w:rsidRPr="003E671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keepNext/>
        <w:keepLines/>
        <w:spacing w:line="360" w:lineRule="auto"/>
        <w:rPr>
          <w:rFonts w:ascii="Palatino Linotype" w:eastAsia="Palatino Linotype" w:hAnsi="Palatino Linotype" w:cs="Palatino Linotype"/>
          <w:b/>
        </w:rPr>
      </w:pPr>
      <w:bookmarkStart w:id="3" w:name="_heading=h.3znysh7" w:colFirst="0" w:colLast="0"/>
      <w:bookmarkEnd w:id="3"/>
      <w:r w:rsidRPr="003E671B">
        <w:rPr>
          <w:rFonts w:ascii="Palatino Linotype" w:eastAsia="Palatino Linotype" w:hAnsi="Palatino Linotype" w:cs="Palatino Linotype"/>
          <w:b/>
        </w:rPr>
        <w:lastRenderedPageBreak/>
        <w:t>SEGUNDO. De la oportunidad y procedencia.</w:t>
      </w:r>
    </w:p>
    <w:p w:rsidR="002457DB" w:rsidRPr="003E671B" w:rsidRDefault="002457DB" w:rsidP="002457DB">
      <w:pPr>
        <w:keepNext/>
        <w:keepLines/>
        <w:spacing w:line="360" w:lineRule="auto"/>
        <w:rPr>
          <w:rFonts w:ascii="Palatino Linotype" w:eastAsia="Palatino Linotype" w:hAnsi="Palatino Linotype" w:cs="Palatino Linotype"/>
          <w:b/>
        </w:rPr>
      </w:pPr>
    </w:p>
    <w:p w:rsidR="002457D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 xml:space="preserve">El medio de impugnación fue presentado a través del </w:t>
      </w:r>
      <w:r w:rsidRPr="003E671B">
        <w:rPr>
          <w:rFonts w:ascii="Palatino Linotype" w:eastAsia="Palatino Linotype" w:hAnsi="Palatino Linotype" w:cs="Palatino Linotype"/>
          <w:b/>
          <w:color w:val="000000"/>
        </w:rPr>
        <w:t>SAIMEX,</w:t>
      </w:r>
      <w:r w:rsidRPr="003E671B">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3E671B">
        <w:rPr>
          <w:rFonts w:ascii="Palatino Linotype" w:eastAsia="Palatino Linotype" w:hAnsi="Palatino Linotype" w:cs="Palatino Linotype"/>
          <w:b/>
          <w:color w:val="000000"/>
        </w:rPr>
        <w:t>SUJETO OBLIGADO</w:t>
      </w:r>
      <w:r w:rsidRPr="003E671B">
        <w:rPr>
          <w:rFonts w:ascii="Palatino Linotype" w:eastAsia="Palatino Linotype" w:hAnsi="Palatino Linotype" w:cs="Palatino Linotype"/>
          <w:color w:val="000000"/>
        </w:rPr>
        <w:t xml:space="preserve"> entregó respuesta</w:t>
      </w:r>
      <w:r w:rsidR="003C0EB4">
        <w:rPr>
          <w:rFonts w:ascii="Palatino Linotype" w:eastAsia="Palatino Linotype" w:hAnsi="Palatino Linotype" w:cs="Palatino Linotype"/>
          <w:color w:val="000000"/>
        </w:rPr>
        <w:t xml:space="preserve"> a la solicitud el día doce (12) de marzo de dos mil veinticuatro</w:t>
      </w:r>
      <w:r w:rsidRPr="003E671B">
        <w:rPr>
          <w:rFonts w:ascii="Palatino Linotype" w:eastAsia="Palatino Linotype" w:hAnsi="Palatino Linotype" w:cs="Palatino Linotype"/>
          <w:color w:val="000000"/>
        </w:rPr>
        <w:t>, de tal forma que el plazo para interponer el recurso de re</w:t>
      </w:r>
      <w:r w:rsidR="003C0EB4">
        <w:rPr>
          <w:rFonts w:ascii="Palatino Linotype" w:eastAsia="Palatino Linotype" w:hAnsi="Palatino Linotype" w:cs="Palatino Linotype"/>
          <w:color w:val="000000"/>
        </w:rPr>
        <w:t>visión transcurrió del trece (13) de marzo al diez  (10) de abril de dos mil veinticuatro</w:t>
      </w:r>
      <w:r w:rsidRPr="003E671B">
        <w:rPr>
          <w:rFonts w:ascii="Palatino Linotype" w:eastAsia="Palatino Linotype" w:hAnsi="Palatino Linotype" w:cs="Palatino Linotype"/>
          <w:color w:val="000000"/>
        </w:rPr>
        <w:t>; en consecuencia, prese</w:t>
      </w:r>
      <w:r w:rsidR="003C0EB4">
        <w:rPr>
          <w:rFonts w:ascii="Palatino Linotype" w:eastAsia="Palatino Linotype" w:hAnsi="Palatino Linotype" w:cs="Palatino Linotype"/>
          <w:color w:val="000000"/>
        </w:rPr>
        <w:t>ntó su inconformidad el día veinticuatro (24) de marzo de dos mil veinticuatro</w:t>
      </w:r>
      <w:r w:rsidRPr="003E671B">
        <w:rPr>
          <w:rFonts w:ascii="Palatino Linotype" w:eastAsia="Palatino Linotype" w:hAnsi="Palatino Linotype" w:cs="Palatino Linotype"/>
          <w:color w:val="000000"/>
        </w:rPr>
        <w:t xml:space="preserve">, por lo que se encuentra dentro de los márgenes temporales previstos en el artículo 178 de la </w:t>
      </w:r>
      <w:r w:rsidRPr="003E671B">
        <w:rPr>
          <w:rFonts w:ascii="Palatino Linotype" w:eastAsia="Palatino Linotype" w:hAnsi="Palatino Linotype" w:cs="Palatino Linotype"/>
          <w:b/>
          <w:color w:val="000000"/>
        </w:rPr>
        <w:t xml:space="preserve">Ley de Transparencia y Acceso a la Información Pública del Estado de México y Municipios </w:t>
      </w:r>
      <w:r w:rsidRPr="003E671B">
        <w:rPr>
          <w:rFonts w:ascii="Palatino Linotype" w:eastAsia="Palatino Linotype" w:hAnsi="Palatino Linotype" w:cs="Palatino Linotype"/>
          <w:color w:val="000000"/>
        </w:rPr>
        <w:t>vigente.</w:t>
      </w:r>
    </w:p>
    <w:p w:rsidR="001B5C93" w:rsidRDefault="001B5C93" w:rsidP="001B5C9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C0EB4" w:rsidRDefault="003C0EB4" w:rsidP="007C164D">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3C0EB4" w:rsidRDefault="003C0EB4" w:rsidP="003C0EB4">
      <w:pPr>
        <w:spacing w:line="360" w:lineRule="auto"/>
        <w:jc w:val="both"/>
        <w:rPr>
          <w:rFonts w:ascii="Palatino Linotype" w:eastAsia="Palatino Linotype" w:hAnsi="Palatino Linotype" w:cs="Palatino Linotype"/>
        </w:rPr>
      </w:pP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 xml:space="preserve">serán procedentes para su trámite por parte del sujeto obligado ante quien se </w:t>
      </w:r>
      <w:r>
        <w:rPr>
          <w:rFonts w:ascii="Palatino Linotype" w:eastAsia="Palatino Linotype" w:hAnsi="Palatino Linotype" w:cs="Palatino Linotype"/>
          <w:b/>
          <w:i/>
          <w:sz w:val="22"/>
          <w:szCs w:val="22"/>
        </w:rPr>
        <w:lastRenderedPageBreak/>
        <w:t>presente</w:t>
      </w:r>
      <w:r>
        <w:rPr>
          <w:rFonts w:ascii="Palatino Linotype" w:eastAsia="Palatino Linotype" w:hAnsi="Palatino Linotype" w:cs="Palatino Linotype"/>
          <w:i/>
          <w:sz w:val="22"/>
          <w:szCs w:val="22"/>
        </w:rPr>
        <w:t>. No podrá requerirse información adicional con motivo del nombre proporcionado por el solicitante."</w:t>
      </w:r>
    </w:p>
    <w:p w:rsidR="003C0EB4" w:rsidRDefault="003C0EB4" w:rsidP="003C0EB4">
      <w:pPr>
        <w:spacing w:line="360" w:lineRule="auto"/>
        <w:jc w:val="both"/>
        <w:rPr>
          <w:rFonts w:ascii="Palatino Linotype" w:eastAsia="Palatino Linotype" w:hAnsi="Palatino Linotype" w:cs="Palatino Linotype"/>
        </w:rPr>
      </w:pPr>
    </w:p>
    <w:p w:rsidR="003C0EB4" w:rsidRDefault="003C0EB4" w:rsidP="007C164D">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3C0EB4" w:rsidRDefault="003C0EB4" w:rsidP="003C0EB4">
      <w:pPr>
        <w:ind w:left="1134" w:right="900"/>
        <w:jc w:val="both"/>
        <w:rPr>
          <w:rFonts w:ascii="Palatino Linotype" w:eastAsia="Palatino Linotype" w:hAnsi="Palatino Linotype" w:cs="Palatino Linotype"/>
          <w:i/>
          <w:sz w:val="22"/>
          <w:szCs w:val="22"/>
        </w:rPr>
      </w:pP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3C0EB4" w:rsidRDefault="003C0EB4" w:rsidP="003C0EB4">
      <w:pPr>
        <w:ind w:left="1134" w:right="900"/>
        <w:jc w:val="both"/>
        <w:rPr>
          <w:rFonts w:ascii="Palatino Linotype" w:eastAsia="Palatino Linotype" w:hAnsi="Palatino Linotype" w:cs="Palatino Linotype"/>
          <w:i/>
          <w:sz w:val="22"/>
          <w:szCs w:val="22"/>
        </w:rPr>
      </w:pP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rsidR="003C0EB4" w:rsidRDefault="003C0EB4" w:rsidP="003C0EB4">
      <w:pPr>
        <w:spacing w:line="360" w:lineRule="auto"/>
        <w:ind w:left="567" w:right="474"/>
        <w:jc w:val="both"/>
        <w:rPr>
          <w:rFonts w:ascii="Palatino Linotype" w:eastAsia="Palatino Linotype" w:hAnsi="Palatino Linotype" w:cs="Palatino Linotype"/>
          <w:i/>
        </w:rPr>
      </w:pPr>
    </w:p>
    <w:p w:rsidR="003C0EB4" w:rsidRDefault="003C0EB4" w:rsidP="007C164D">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w:t>
      </w:r>
      <w:r>
        <w:rPr>
          <w:rFonts w:ascii="Palatino Linotype" w:eastAsia="Palatino Linotype" w:hAnsi="Palatino Linotype" w:cs="Palatino Linotype"/>
          <w:i/>
          <w:sz w:val="22"/>
          <w:szCs w:val="22"/>
        </w:rPr>
        <w:lastRenderedPageBreak/>
        <w:t>suspenderse salvo en los casos y bajo las condiciones que la Constitución Política de los Estados Unidos Mexicanos establece”.(Sic)</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rsidR="003C0EB4" w:rsidRDefault="003C0EB4" w:rsidP="003C0EB4">
      <w:pPr>
        <w:ind w:left="1134" w:right="900"/>
        <w:jc w:val="both"/>
        <w:rPr>
          <w:rFonts w:ascii="Palatino Linotype" w:eastAsia="Palatino Linotype" w:hAnsi="Palatino Linotype" w:cs="Palatino Linotype"/>
          <w:i/>
          <w:sz w:val="22"/>
          <w:szCs w:val="22"/>
        </w:rPr>
      </w:pPr>
    </w:p>
    <w:p w:rsidR="003C0EB4" w:rsidRDefault="003C0EB4" w:rsidP="007C164D">
      <w:pPr>
        <w:numPr>
          <w:ilvl w:val="0"/>
          <w:numId w:val="1"/>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rsidR="003C0EB4" w:rsidRDefault="003C0EB4" w:rsidP="003C0EB4">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3C0EB4" w:rsidRDefault="003C0EB4" w:rsidP="003C0EB4">
      <w:pPr>
        <w:spacing w:line="360" w:lineRule="auto"/>
        <w:ind w:left="426" w:right="474"/>
        <w:jc w:val="both"/>
        <w:rPr>
          <w:rFonts w:ascii="Palatino Linotype" w:eastAsia="Palatino Linotype" w:hAnsi="Palatino Linotype" w:cs="Palatino Linotype"/>
          <w:i/>
        </w:rPr>
      </w:pPr>
    </w:p>
    <w:p w:rsidR="003C0EB4" w:rsidRDefault="003C0EB4" w:rsidP="007C164D">
      <w:pPr>
        <w:numPr>
          <w:ilvl w:val="0"/>
          <w:numId w:val="1"/>
        </w:numPr>
        <w:pBdr>
          <w:top w:val="nil"/>
          <w:left w:val="nil"/>
          <w:bottom w:val="nil"/>
          <w:right w:val="nil"/>
          <w:between w:val="nil"/>
        </w:pBdr>
        <w:spacing w:line="360" w:lineRule="auto"/>
        <w:ind w:left="0"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3C0EB4" w:rsidRDefault="003C0EB4" w:rsidP="003C0EB4">
      <w:pPr>
        <w:spacing w:line="360" w:lineRule="auto"/>
        <w:jc w:val="both"/>
        <w:rPr>
          <w:rFonts w:ascii="Palatino Linotype" w:eastAsia="Palatino Linotype" w:hAnsi="Palatino Linotype" w:cs="Palatino Linotype"/>
        </w:rPr>
      </w:pPr>
    </w:p>
    <w:p w:rsidR="003C0EB4" w:rsidRDefault="003C0EB4" w:rsidP="007C164D">
      <w:pPr>
        <w:numPr>
          <w:ilvl w:val="0"/>
          <w:numId w:val="1"/>
        </w:numPr>
        <w:pBdr>
          <w:top w:val="nil"/>
          <w:left w:val="nil"/>
          <w:bottom w:val="nil"/>
          <w:right w:val="nil"/>
          <w:between w:val="nil"/>
        </w:pBdr>
        <w:spacing w:line="360" w:lineRule="auto"/>
        <w:ind w:left="0"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w:t>
      </w:r>
      <w:r>
        <w:rPr>
          <w:rFonts w:ascii="Palatino Linotype" w:eastAsia="Palatino Linotype" w:hAnsi="Palatino Linotype" w:cs="Palatino Linotype"/>
        </w:rPr>
        <w:lastRenderedPageBreak/>
        <w:t xml:space="preserve">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w:t>
      </w:r>
      <w:r w:rsidRPr="007C164D">
        <w:rPr>
          <w:rFonts w:ascii="Palatino Linotype" w:eastAsia="Palatino Linotype" w:hAnsi="Palatino Linotype" w:cs="Palatino Linotype"/>
          <w:color w:val="000000"/>
        </w:rPr>
        <w:t>pública</w:t>
      </w:r>
      <w:r>
        <w:rPr>
          <w:rFonts w:ascii="Palatino Linotype" w:eastAsia="Palatino Linotype" w:hAnsi="Palatino Linotype" w:cs="Palatino Linotype"/>
        </w:rPr>
        <w:t xml:space="preserve"> que ahora se impugna.</w:t>
      </w:r>
    </w:p>
    <w:p w:rsidR="002457DB" w:rsidRPr="003C0EB4" w:rsidRDefault="002457DB" w:rsidP="003C0EB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Pr="003E671B" w:rsidRDefault="002457DB" w:rsidP="002457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E671B">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457DB" w:rsidRPr="003E671B" w:rsidRDefault="002457DB" w:rsidP="002457DB">
      <w:pPr>
        <w:pBdr>
          <w:top w:val="nil"/>
          <w:left w:val="nil"/>
          <w:bottom w:val="nil"/>
          <w:right w:val="nil"/>
          <w:between w:val="nil"/>
        </w:pBdr>
        <w:ind w:left="720"/>
        <w:rPr>
          <w:rFonts w:ascii="Palatino Linotype" w:eastAsia="Palatino Linotype" w:hAnsi="Palatino Linotype" w:cs="Palatino Linotype"/>
          <w:color w:val="000000"/>
        </w:rPr>
      </w:pPr>
    </w:p>
    <w:p w:rsidR="002457DB" w:rsidRPr="003E671B" w:rsidRDefault="002457DB" w:rsidP="002457DB">
      <w:pPr>
        <w:spacing w:line="360" w:lineRule="auto"/>
        <w:ind w:right="49"/>
        <w:jc w:val="both"/>
        <w:rPr>
          <w:rFonts w:ascii="Palatino Linotype" w:eastAsia="Palatino Linotype" w:hAnsi="Palatino Linotype" w:cs="Palatino Linotype"/>
          <w:b/>
        </w:rPr>
      </w:pPr>
      <w:bookmarkStart w:id="4" w:name="_heading=h.2et92p0" w:colFirst="0" w:colLast="0"/>
      <w:bookmarkEnd w:id="4"/>
      <w:r w:rsidRPr="003E671B">
        <w:rPr>
          <w:rFonts w:ascii="Palatino Linotype" w:eastAsia="Palatino Linotype" w:hAnsi="Palatino Linotype" w:cs="Palatino Linotype"/>
          <w:b/>
        </w:rPr>
        <w:t>TERCERO. Planteamiento de la Litis.</w:t>
      </w:r>
    </w:p>
    <w:p w:rsidR="002457DB" w:rsidRPr="003E671B" w:rsidRDefault="002457DB" w:rsidP="002457DB">
      <w:pPr>
        <w:spacing w:line="360" w:lineRule="auto"/>
        <w:ind w:right="49"/>
        <w:jc w:val="both"/>
        <w:rPr>
          <w:rFonts w:ascii="Palatino Linotype" w:eastAsia="Palatino Linotype" w:hAnsi="Palatino Linotype" w:cs="Palatino Linotype"/>
          <w:b/>
        </w:rPr>
      </w:pPr>
    </w:p>
    <w:p w:rsidR="002457DB" w:rsidRPr="00050D63" w:rsidRDefault="002457DB" w:rsidP="00050D63">
      <w:pPr>
        <w:numPr>
          <w:ilvl w:val="0"/>
          <w:numId w:val="1"/>
        </w:numPr>
        <w:spacing w:line="360" w:lineRule="auto"/>
        <w:ind w:left="0" w:right="49" w:firstLine="0"/>
        <w:jc w:val="both"/>
        <w:rPr>
          <w:rFonts w:ascii="Palatino Linotype" w:eastAsia="Palatino Linotype" w:hAnsi="Palatino Linotype" w:cs="Palatino Linotype"/>
          <w:i/>
        </w:rPr>
      </w:pPr>
      <w:r w:rsidRPr="003E671B">
        <w:rPr>
          <w:rFonts w:ascii="Palatino Linotype" w:eastAsia="Palatino Linotype" w:hAnsi="Palatino Linotype" w:cs="Palatino Linotype"/>
        </w:rPr>
        <w:t xml:space="preserve">El particular solicitó </w:t>
      </w:r>
      <w:r w:rsidR="00D054E0">
        <w:rPr>
          <w:rFonts w:ascii="Palatino Linotype" w:eastAsia="Palatino Linotype" w:hAnsi="Palatino Linotype" w:cs="Palatino Linotype"/>
        </w:rPr>
        <w:t>Juicios de Proveedores de enero de 2023 a SAPASA</w:t>
      </w:r>
      <w:r w:rsidR="00050D63">
        <w:rPr>
          <w:rFonts w:ascii="Palatino Linotype" w:eastAsia="Palatino Linotype" w:hAnsi="Palatino Linotype" w:cs="Palatino Linotype"/>
        </w:rPr>
        <w:t xml:space="preserve">. </w:t>
      </w:r>
    </w:p>
    <w:p w:rsidR="00050D63" w:rsidRPr="003E671B" w:rsidRDefault="00050D63" w:rsidP="00050D63">
      <w:pPr>
        <w:spacing w:line="360" w:lineRule="auto"/>
        <w:ind w:right="49"/>
        <w:jc w:val="both"/>
        <w:rPr>
          <w:rFonts w:ascii="Palatino Linotype" w:eastAsia="Palatino Linotype" w:hAnsi="Palatino Linotype" w:cs="Palatino Linotype"/>
          <w:i/>
        </w:rPr>
      </w:pPr>
    </w:p>
    <w:p w:rsidR="00D054E0" w:rsidRPr="00D054E0" w:rsidRDefault="002457DB" w:rsidP="00D054E0">
      <w:pPr>
        <w:pStyle w:val="Prrafodelista"/>
        <w:numPr>
          <w:ilvl w:val="0"/>
          <w:numId w:val="11"/>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3E671B">
        <w:rPr>
          <w:rFonts w:ascii="Palatino Linotype" w:eastAsia="Palatino Linotype" w:hAnsi="Palatino Linotype" w:cs="Palatino Linotype"/>
        </w:rPr>
        <w:t xml:space="preserve">En respuesta, el </w:t>
      </w:r>
      <w:r w:rsidR="00050D63">
        <w:rPr>
          <w:rFonts w:ascii="Palatino Linotype" w:eastAsia="Palatino Linotype" w:hAnsi="Palatino Linotype" w:cs="Palatino Linotype"/>
        </w:rPr>
        <w:t>Sujeto Obligado</w:t>
      </w:r>
      <w:r w:rsidR="00D054E0">
        <w:rPr>
          <w:rFonts w:ascii="Palatino Linotype" w:eastAsia="Palatino Linotype" w:hAnsi="Palatino Linotype" w:cs="Palatino Linotype"/>
        </w:rPr>
        <w:t xml:space="preserve"> informó </w:t>
      </w:r>
      <w:r w:rsidR="00C41E9B">
        <w:rPr>
          <w:rFonts w:ascii="Palatino Linotype" w:eastAsia="Palatino Linotype" w:hAnsi="Palatino Linotype" w:cs="Palatino Linotype"/>
        </w:rPr>
        <w:t>que existe</w:t>
      </w:r>
      <w:r w:rsidR="00D054E0">
        <w:rPr>
          <w:rFonts w:ascii="Palatino Linotype" w:eastAsia="Palatino Linotype" w:hAnsi="Palatino Linotype" w:cs="Palatino Linotype"/>
        </w:rPr>
        <w:t xml:space="preserve"> un juicio asociado con un proveedor que demandó al Organismo durante el mes en mención; encontrándose el número de expediente 1210/2022. R</w:t>
      </w:r>
      <w:r w:rsidR="00C43205" w:rsidRPr="00D054E0">
        <w:rPr>
          <w:rFonts w:ascii="Palatino Linotype" w:eastAsia="Palatino Linotype" w:hAnsi="Palatino Linotype" w:cs="Palatino Linotype"/>
        </w:rPr>
        <w:t xml:space="preserve">eservó la información solicitada a través del acuerdo emitido por el Comité de Transparencia. </w:t>
      </w:r>
    </w:p>
    <w:p w:rsidR="00D054E0" w:rsidRDefault="00D054E0" w:rsidP="00D054E0">
      <w:pPr>
        <w:pStyle w:val="Prrafodelista"/>
        <w:rPr>
          <w:rFonts w:ascii="Palatino Linotype" w:eastAsia="Palatino Linotype" w:hAnsi="Palatino Linotype" w:cs="Palatino Linotype"/>
        </w:rPr>
      </w:pPr>
    </w:p>
    <w:p w:rsidR="002457DB" w:rsidRPr="003E671B" w:rsidRDefault="00C43205" w:rsidP="002457DB">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Posteriormente, el Recurrente interpuso recurso de revisión en el qu</w:t>
      </w:r>
      <w:r w:rsidR="00D054E0">
        <w:rPr>
          <w:rFonts w:ascii="Palatino Linotype" w:eastAsia="Palatino Linotype" w:hAnsi="Palatino Linotype" w:cs="Palatino Linotype"/>
        </w:rPr>
        <w:t>e señaló su inconformidad la respuesta</w:t>
      </w:r>
      <w:r>
        <w:rPr>
          <w:rFonts w:ascii="Palatino Linotype" w:eastAsia="Palatino Linotype" w:hAnsi="Palatino Linotype" w:cs="Palatino Linotype"/>
        </w:rPr>
        <w:t xml:space="preserve">.  </w:t>
      </w:r>
    </w:p>
    <w:p w:rsidR="002457DB" w:rsidRPr="003E671B" w:rsidRDefault="002457DB" w:rsidP="002457DB">
      <w:pPr>
        <w:spacing w:line="360" w:lineRule="auto"/>
        <w:ind w:right="49"/>
        <w:jc w:val="both"/>
        <w:rPr>
          <w:rFonts w:ascii="Palatino Linotype" w:eastAsia="Palatino Linotype" w:hAnsi="Palatino Linotype" w:cs="Palatino Linotype"/>
        </w:rPr>
      </w:pPr>
    </w:p>
    <w:p w:rsidR="002457DB" w:rsidRPr="003E671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En consecuencia, la Litis a resolver en este recurso, se circunscribe a determinar si la respuesta colma con lo solicitado o si se actualiza la causal de procedencia prevista en el artículo 179, fracción I </w:t>
      </w:r>
      <w:r w:rsidR="00C43205">
        <w:rPr>
          <w:rFonts w:ascii="Palatino Linotype" w:eastAsia="Palatino Linotype" w:hAnsi="Palatino Linotype" w:cs="Palatino Linotype"/>
        </w:rPr>
        <w:t xml:space="preserve"> </w:t>
      </w:r>
      <w:r w:rsidRPr="003E671B">
        <w:rPr>
          <w:rFonts w:ascii="Palatino Linotype" w:eastAsia="Palatino Linotype" w:hAnsi="Palatino Linotype" w:cs="Palatino Linotype"/>
        </w:rPr>
        <w:t>de la Ley de Transparencia y Acceso a la Información Pública del Estado de México y Municipi</w:t>
      </w:r>
      <w:r w:rsidR="00D054E0">
        <w:rPr>
          <w:rFonts w:ascii="Palatino Linotype" w:eastAsia="Palatino Linotype" w:hAnsi="Palatino Linotype" w:cs="Palatino Linotype"/>
        </w:rPr>
        <w:t>os; que establece la negativa a la información solicitada</w:t>
      </w:r>
      <w:r w:rsidR="00C43205">
        <w:rPr>
          <w:rFonts w:ascii="Palatino Linotype" w:eastAsia="Palatino Linotype" w:hAnsi="Palatino Linotype" w:cs="Palatino Linotype"/>
        </w:rPr>
        <w:t xml:space="preserve">. </w:t>
      </w:r>
      <w:r w:rsidRPr="003E671B">
        <w:rPr>
          <w:rFonts w:ascii="Palatino Linotype" w:eastAsia="Palatino Linotype" w:hAnsi="Palatino Linotype" w:cs="Palatino Linotype"/>
        </w:rPr>
        <w:t xml:space="preserve"> </w:t>
      </w:r>
    </w:p>
    <w:p w:rsidR="002457DB" w:rsidRPr="003E671B" w:rsidRDefault="002457DB" w:rsidP="002457DB">
      <w:pPr>
        <w:spacing w:line="360" w:lineRule="auto"/>
        <w:ind w:right="49"/>
        <w:jc w:val="both"/>
        <w:rPr>
          <w:rFonts w:ascii="Palatino Linotype" w:eastAsia="Palatino Linotype" w:hAnsi="Palatino Linotype" w:cs="Palatino Linotype"/>
        </w:rPr>
      </w:pPr>
    </w:p>
    <w:p w:rsidR="002457DB" w:rsidRPr="003E671B" w:rsidRDefault="002457DB" w:rsidP="002457DB">
      <w:pPr>
        <w:keepNext/>
        <w:keepLines/>
        <w:spacing w:line="360" w:lineRule="auto"/>
        <w:ind w:right="48"/>
        <w:rPr>
          <w:rFonts w:ascii="Palatino Linotype" w:eastAsia="Palatino Linotype" w:hAnsi="Palatino Linotype" w:cs="Palatino Linotype"/>
          <w:b/>
        </w:rPr>
      </w:pPr>
      <w:bookmarkStart w:id="5" w:name="_heading=h.tyjcwt" w:colFirst="0" w:colLast="0"/>
      <w:bookmarkEnd w:id="5"/>
      <w:r w:rsidRPr="003E671B">
        <w:rPr>
          <w:rFonts w:ascii="Palatino Linotype" w:eastAsia="Palatino Linotype" w:hAnsi="Palatino Linotype" w:cs="Palatino Linotype"/>
          <w:b/>
        </w:rPr>
        <w:t>CUARTO. Del estudio y resolución del recurso de revisión.</w:t>
      </w:r>
    </w:p>
    <w:p w:rsidR="002457DB" w:rsidRPr="003E671B" w:rsidRDefault="002457DB" w:rsidP="002457DB">
      <w:pPr>
        <w:keepNext/>
        <w:keepLines/>
        <w:spacing w:line="360" w:lineRule="auto"/>
        <w:ind w:right="48"/>
        <w:rPr>
          <w:rFonts w:ascii="Palatino Linotype" w:eastAsia="Palatino Linotype" w:hAnsi="Palatino Linotype" w:cs="Palatino Linotype"/>
          <w:b/>
        </w:rPr>
      </w:pPr>
    </w:p>
    <w:p w:rsidR="002457DB" w:rsidRPr="003E671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2457DB" w:rsidRPr="003E671B" w:rsidRDefault="002457DB" w:rsidP="002457DB">
      <w:pPr>
        <w:spacing w:line="360" w:lineRule="auto"/>
        <w:ind w:right="49"/>
        <w:jc w:val="both"/>
        <w:rPr>
          <w:rFonts w:ascii="Palatino Linotype" w:eastAsia="Palatino Linotype" w:hAnsi="Palatino Linotype" w:cs="Palatino Linotype"/>
        </w:rPr>
      </w:pPr>
    </w:p>
    <w:p w:rsidR="002457DB" w:rsidRPr="00535DAC" w:rsidRDefault="002457DB" w:rsidP="00535DAC">
      <w:pPr>
        <w:numPr>
          <w:ilvl w:val="0"/>
          <w:numId w:val="1"/>
        </w:numPr>
        <w:spacing w:line="360" w:lineRule="auto"/>
        <w:ind w:left="0" w:right="49" w:firstLine="0"/>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Ahora bien, </w:t>
      </w:r>
      <w:r w:rsidR="00535DAC">
        <w:rPr>
          <w:rFonts w:ascii="Palatino Linotype" w:eastAsia="Palatino Linotype" w:hAnsi="Palatino Linotype" w:cs="Palatino Linotype"/>
        </w:rPr>
        <w:t xml:space="preserve">en el presente caso, el Recurrente solicitó </w:t>
      </w:r>
      <w:r w:rsidR="00D054E0">
        <w:rPr>
          <w:rFonts w:ascii="Palatino Linotype" w:eastAsia="Palatino Linotype" w:hAnsi="Palatino Linotype" w:cs="Palatino Linotype"/>
        </w:rPr>
        <w:t>Juicios de Proveedores de enero de 2023 a SAPASA</w:t>
      </w:r>
      <w:r w:rsidR="00535DAC" w:rsidRPr="00535DAC">
        <w:rPr>
          <w:rFonts w:ascii="Palatino Linotype" w:eastAsia="Palatino Linotype" w:hAnsi="Palatino Linotype" w:cs="Palatino Linotype"/>
        </w:rPr>
        <w:t>. En respuesta, el Sujeto Obligado reservó la información a través del acuerdo emitido por el Comité de Transparencia. Posteriormente, el Recurrente interpuso recurso de revisión en el que señaló su inconformidad por la</w:t>
      </w:r>
      <w:r w:rsidR="00D054E0">
        <w:rPr>
          <w:rFonts w:ascii="Palatino Linotype" w:eastAsia="Palatino Linotype" w:hAnsi="Palatino Linotype" w:cs="Palatino Linotype"/>
        </w:rPr>
        <w:t xml:space="preserve"> respuesta</w:t>
      </w:r>
      <w:r w:rsidR="00535DAC" w:rsidRPr="00535DAC">
        <w:rPr>
          <w:rFonts w:ascii="Palatino Linotype" w:eastAsia="Palatino Linotype" w:hAnsi="Palatino Linotype" w:cs="Palatino Linotype"/>
        </w:rPr>
        <w:t xml:space="preserve">.  </w:t>
      </w:r>
    </w:p>
    <w:p w:rsidR="002457DB" w:rsidRPr="003E671B" w:rsidRDefault="002457DB" w:rsidP="002457DB">
      <w:p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rPr>
      </w:pPr>
    </w:p>
    <w:p w:rsidR="00712D4C" w:rsidRDefault="00712D4C" w:rsidP="00712D4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12D4C">
        <w:rPr>
          <w:rFonts w:ascii="Palatino Linotype" w:eastAsia="MS Mincho" w:hAnsi="Palatino Linotype"/>
        </w:rPr>
        <w:lastRenderedPageBreak/>
        <w:t xml:space="preserve">Debemos mencionar que el acceso a la información es un derecho humano constitucional y convencionalmente reconocido y para tal efecto </w:t>
      </w:r>
      <w:r w:rsidRPr="00712D4C">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712D4C">
        <w:rPr>
          <w:rFonts w:ascii="Palatino Linotype" w:eastAsia="Calibri" w:hAnsi="Palatino Linotype"/>
          <w:i/>
          <w:lang w:val="es-ES"/>
        </w:rPr>
        <w:t xml:space="preserve">en el ámbito de sus atribuciones, de promover, respetar, proteger y </w:t>
      </w:r>
      <w:r w:rsidRPr="00712D4C">
        <w:rPr>
          <w:rFonts w:ascii="Palatino Linotype" w:eastAsia="Calibri" w:hAnsi="Palatino Linotype"/>
          <w:b/>
          <w:i/>
          <w:lang w:val="es-ES"/>
        </w:rPr>
        <w:t>garantizar</w:t>
      </w:r>
      <w:r w:rsidRPr="00712D4C">
        <w:rPr>
          <w:rFonts w:ascii="Palatino Linotype" w:eastAsia="Calibri" w:hAnsi="Palatino Linotype"/>
          <w:i/>
          <w:lang w:val="es-ES"/>
        </w:rPr>
        <w:t xml:space="preserve"> los derechos humanos. </w:t>
      </w:r>
      <w:r w:rsidRPr="00712D4C">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712D4C">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DB5E71">
        <w:rPr>
          <w:rStyle w:val="Refdenotaalpie"/>
          <w:i/>
        </w:rPr>
        <w:footnoteReference w:id="1"/>
      </w:r>
      <w:r w:rsidRPr="00712D4C">
        <w:rPr>
          <w:rFonts w:ascii="Palatino Linotype" w:hAnsi="Palatino Linotype"/>
          <w:i/>
        </w:rPr>
        <w:t xml:space="preserve">, </w:t>
      </w:r>
      <w:r w:rsidRPr="00712D4C">
        <w:rPr>
          <w:rFonts w:ascii="Palatino Linotype" w:hAnsi="Palatino Linotype"/>
        </w:rPr>
        <w:t>asimismo establece</w:t>
      </w:r>
      <w:r w:rsidRPr="00712D4C">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712D4C" w:rsidRDefault="00712D4C" w:rsidP="00712D4C">
      <w:pPr>
        <w:pStyle w:val="Prrafodelista"/>
        <w:rPr>
          <w:rFonts w:ascii="Palatino Linotype" w:hAnsi="Palatino Linotype"/>
        </w:rPr>
      </w:pPr>
    </w:p>
    <w:p w:rsidR="00712D4C" w:rsidRDefault="00712D4C" w:rsidP="00712D4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12D4C">
        <w:rPr>
          <w:rFonts w:ascii="Palatino Linotype" w:hAnsi="Palatino Linotype"/>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w:t>
      </w:r>
      <w:r w:rsidRPr="00712D4C">
        <w:rPr>
          <w:rFonts w:ascii="Palatino Linotype" w:hAnsi="Palatino Linotype"/>
        </w:rPr>
        <w:lastRenderedPageBreak/>
        <w:t>localizar de manera rápida los documentos que se soliciten o bien, simplemente para el desarrollo de sus facultades, competencias y atribuciones que a diario desempeñan.</w:t>
      </w:r>
    </w:p>
    <w:p w:rsidR="00712D4C" w:rsidRDefault="00712D4C" w:rsidP="00712D4C">
      <w:pPr>
        <w:pStyle w:val="Prrafodelista"/>
        <w:rPr>
          <w:rFonts w:ascii="Palatino Linotype" w:hAnsi="Palatino Linotype"/>
        </w:rPr>
      </w:pPr>
    </w:p>
    <w:p w:rsidR="00712D4C" w:rsidRDefault="00712D4C" w:rsidP="00712D4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12D4C">
        <w:rPr>
          <w:rFonts w:ascii="Palatino Linotype" w:hAnsi="Palatino Linotype"/>
        </w:rPr>
        <w:t xml:space="preserve">Es así que, su obligación es </w:t>
      </w:r>
      <w:r w:rsidRPr="00712D4C">
        <w:rPr>
          <w:rFonts w:ascii="Palatino Linotype" w:hAnsi="Palatino Linotype"/>
          <w:i/>
        </w:rPr>
        <w:t>realizar, con efectividad, los trámites internos necesarios para la atención de las solicitudes de información</w:t>
      </w:r>
      <w:r w:rsidRPr="00DB5E71">
        <w:rPr>
          <w:rStyle w:val="Refdenotaalpie"/>
        </w:rPr>
        <w:footnoteReference w:id="2"/>
      </w:r>
      <w:r w:rsidRPr="00712D4C">
        <w:rPr>
          <w:rFonts w:ascii="Palatino Linotype" w:hAnsi="Palatino Linotype"/>
        </w:rPr>
        <w:t>, es decir, deben otorgar respuestas concisas, contundentes y sobre todo que den la certeza de los actos que realizan.</w:t>
      </w:r>
    </w:p>
    <w:p w:rsidR="00712D4C" w:rsidRDefault="00712D4C" w:rsidP="00712D4C">
      <w:pPr>
        <w:pStyle w:val="Prrafodelista"/>
        <w:rPr>
          <w:rFonts w:ascii="Palatino Linotype" w:eastAsia="Palatino Linotype" w:hAnsi="Palatino Linotype" w:cs="Palatino Linotype"/>
        </w:rPr>
      </w:pPr>
    </w:p>
    <w:p w:rsidR="00712D4C" w:rsidRPr="00712D4C" w:rsidRDefault="00712D4C" w:rsidP="00712D4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712D4C">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712D4C">
        <w:rPr>
          <w:rFonts w:ascii="Palatino Linotype" w:eastAsia="Arial Unicode MS" w:hAnsi="Palatino Linotype" w:cs="Arial"/>
          <w:lang w:eastAsia="en-US"/>
        </w:rPr>
        <w:t>de la Ley de Transparencia y Acceso a la Información del Estado de México y Municipios, que a la letra estipulan lo siguiente:</w:t>
      </w:r>
    </w:p>
    <w:p w:rsidR="00712D4C" w:rsidRPr="00DB5E71" w:rsidRDefault="00712D4C" w:rsidP="00712D4C">
      <w:pPr>
        <w:spacing w:line="360" w:lineRule="auto"/>
        <w:jc w:val="both"/>
        <w:rPr>
          <w:rFonts w:ascii="Palatino Linotype" w:eastAsia="Arial Unicode MS" w:hAnsi="Palatino Linotype" w:cs="Arial"/>
          <w:lang w:eastAsia="en-US"/>
        </w:rPr>
      </w:pP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i/>
          <w:iCs/>
          <w:sz w:val="22"/>
        </w:rPr>
        <w:t xml:space="preserve">Artículo 50. </w:t>
      </w:r>
      <w:r w:rsidRPr="00712D4C">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rsidR="00712D4C" w:rsidRPr="00712D4C" w:rsidRDefault="00712D4C" w:rsidP="00712D4C">
      <w:pPr>
        <w:ind w:left="851" w:right="822"/>
        <w:jc w:val="both"/>
        <w:rPr>
          <w:rFonts w:ascii="Palatino Linotype" w:eastAsia="Palatino Linotype" w:hAnsi="Palatino Linotype" w:cs="Palatino Linotype"/>
          <w:i/>
          <w:iCs/>
          <w:sz w:val="22"/>
        </w:rPr>
      </w:pP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i/>
          <w:iCs/>
          <w:sz w:val="22"/>
        </w:rPr>
        <w:t xml:space="preserve">Artículo 53. </w:t>
      </w:r>
      <w:r w:rsidRPr="00712D4C">
        <w:rPr>
          <w:rFonts w:ascii="Palatino Linotype" w:eastAsia="Palatino Linotype" w:hAnsi="Palatino Linotype" w:cs="Palatino Linotype"/>
          <w:i/>
          <w:iCs/>
          <w:sz w:val="22"/>
        </w:rPr>
        <w:t>Las Unidades de Transparencia tendrán las siguientes funciones:</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i/>
          <w:iCs/>
          <w:sz w:val="22"/>
        </w:rPr>
        <w:t>(…)</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bCs/>
          <w:i/>
          <w:iCs/>
          <w:sz w:val="22"/>
        </w:rPr>
        <w:t>II.</w:t>
      </w:r>
      <w:r w:rsidRPr="00712D4C">
        <w:rPr>
          <w:rFonts w:ascii="Palatino Linotype" w:eastAsia="Palatino Linotype" w:hAnsi="Palatino Linotype" w:cs="Palatino Linotype"/>
          <w:i/>
          <w:iCs/>
          <w:sz w:val="22"/>
        </w:rPr>
        <w:t xml:space="preserve"> Recibir, tramitar y dar respuesta a las solicitudes de acceso a la información;</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i/>
          <w:iCs/>
          <w:sz w:val="22"/>
        </w:rPr>
        <w:t>(…)</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bCs/>
          <w:i/>
          <w:iCs/>
          <w:sz w:val="22"/>
        </w:rPr>
        <w:t>IV.</w:t>
      </w:r>
      <w:r w:rsidRPr="00712D4C">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bCs/>
          <w:i/>
          <w:iCs/>
          <w:sz w:val="22"/>
        </w:rPr>
        <w:t>V.</w:t>
      </w:r>
      <w:r w:rsidRPr="00712D4C">
        <w:rPr>
          <w:rFonts w:ascii="Palatino Linotype" w:eastAsia="Palatino Linotype" w:hAnsi="Palatino Linotype" w:cs="Palatino Linotype"/>
          <w:i/>
          <w:iCs/>
          <w:sz w:val="22"/>
        </w:rPr>
        <w:t xml:space="preserve"> Entregar, en su caso, a los particulares la información solicitada;</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i/>
          <w:iCs/>
          <w:sz w:val="22"/>
        </w:rPr>
        <w:t>(…)</w:t>
      </w:r>
    </w:p>
    <w:p w:rsidR="00712D4C" w:rsidRPr="00712D4C" w:rsidRDefault="00712D4C" w:rsidP="00712D4C">
      <w:pPr>
        <w:ind w:left="851" w:right="822"/>
        <w:jc w:val="both"/>
        <w:rPr>
          <w:rFonts w:ascii="Palatino Linotype" w:eastAsia="Palatino Linotype" w:hAnsi="Palatino Linotype" w:cs="Palatino Linotype"/>
          <w:i/>
          <w:iCs/>
          <w:sz w:val="22"/>
        </w:rPr>
      </w:pP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i/>
          <w:iCs/>
          <w:sz w:val="22"/>
        </w:rPr>
        <w:t xml:space="preserve">Artículo 58. </w:t>
      </w:r>
      <w:r w:rsidRPr="00712D4C">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rsidR="00712D4C" w:rsidRPr="00712D4C" w:rsidRDefault="00712D4C" w:rsidP="00712D4C">
      <w:pPr>
        <w:ind w:left="851" w:right="822"/>
        <w:jc w:val="both"/>
        <w:rPr>
          <w:rFonts w:ascii="Palatino Linotype" w:eastAsia="Palatino Linotype" w:hAnsi="Palatino Linotype" w:cs="Palatino Linotype"/>
          <w:i/>
          <w:iCs/>
          <w:sz w:val="22"/>
        </w:rPr>
      </w:pP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i/>
          <w:iCs/>
          <w:sz w:val="22"/>
        </w:rPr>
        <w:lastRenderedPageBreak/>
        <w:t xml:space="preserve">Artículo 59. </w:t>
      </w:r>
      <w:r w:rsidRPr="00712D4C">
        <w:rPr>
          <w:rFonts w:ascii="Palatino Linotype" w:eastAsia="Palatino Linotype" w:hAnsi="Palatino Linotype" w:cs="Palatino Linotype"/>
          <w:i/>
          <w:iCs/>
          <w:sz w:val="22"/>
        </w:rPr>
        <w:t>Los servidores públicos habilitados tendrán las funciones siguientes:</w:t>
      </w:r>
    </w:p>
    <w:p w:rsidR="00712D4C" w:rsidRPr="00712D4C" w:rsidRDefault="00712D4C" w:rsidP="00712D4C">
      <w:pPr>
        <w:ind w:left="851" w:right="822"/>
        <w:jc w:val="both"/>
        <w:rPr>
          <w:rFonts w:ascii="Palatino Linotype" w:eastAsia="Palatino Linotype" w:hAnsi="Palatino Linotype" w:cs="Palatino Linotype"/>
          <w:i/>
          <w:iCs/>
          <w:sz w:val="22"/>
        </w:rPr>
      </w:pP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bCs/>
          <w:i/>
          <w:iCs/>
          <w:sz w:val="22"/>
        </w:rPr>
        <w:t>I.</w:t>
      </w:r>
      <w:r w:rsidRPr="00712D4C">
        <w:rPr>
          <w:rFonts w:ascii="Palatino Linotype" w:eastAsia="Palatino Linotype" w:hAnsi="Palatino Linotype" w:cs="Palatino Linotype"/>
          <w:i/>
          <w:iCs/>
          <w:sz w:val="22"/>
        </w:rPr>
        <w:t xml:space="preserve"> Localizar la información que le solicite la Unidad de Transparencia;</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b/>
          <w:bCs/>
          <w:i/>
          <w:iCs/>
          <w:sz w:val="22"/>
        </w:rPr>
        <w:t>II.</w:t>
      </w:r>
      <w:r w:rsidRPr="00712D4C">
        <w:rPr>
          <w:rFonts w:ascii="Palatino Linotype" w:eastAsia="Palatino Linotype" w:hAnsi="Palatino Linotype" w:cs="Palatino Linotype"/>
          <w:i/>
          <w:iCs/>
          <w:sz w:val="22"/>
        </w:rPr>
        <w:t xml:space="preserve"> Proporcionar la información que obre en los archivos y que le sea solicitada por la Unidad de Transparencia;</w:t>
      </w:r>
    </w:p>
    <w:p w:rsidR="00712D4C" w:rsidRPr="00712D4C" w:rsidRDefault="00712D4C" w:rsidP="00712D4C">
      <w:pPr>
        <w:ind w:left="851" w:right="822"/>
        <w:jc w:val="both"/>
        <w:rPr>
          <w:rFonts w:ascii="Palatino Linotype" w:eastAsia="Palatino Linotype" w:hAnsi="Palatino Linotype" w:cs="Palatino Linotype"/>
          <w:i/>
          <w:iCs/>
          <w:sz w:val="22"/>
        </w:rPr>
      </w:pPr>
      <w:r w:rsidRPr="00712D4C">
        <w:rPr>
          <w:rFonts w:ascii="Palatino Linotype" w:eastAsia="Palatino Linotype" w:hAnsi="Palatino Linotype" w:cs="Palatino Linotype"/>
          <w:i/>
          <w:iCs/>
          <w:sz w:val="22"/>
        </w:rPr>
        <w:t>(...)</w:t>
      </w:r>
    </w:p>
    <w:p w:rsidR="00712D4C" w:rsidRPr="00712D4C" w:rsidRDefault="00712D4C" w:rsidP="00712D4C">
      <w:pPr>
        <w:ind w:left="851" w:right="822"/>
        <w:jc w:val="both"/>
        <w:rPr>
          <w:rFonts w:ascii="Palatino Linotype" w:eastAsia="Palatino Linotype" w:hAnsi="Palatino Linotype" w:cs="Palatino Linotype"/>
          <w:i/>
          <w:iCs/>
          <w:sz w:val="22"/>
        </w:rPr>
      </w:pPr>
    </w:p>
    <w:p w:rsidR="00712D4C" w:rsidRPr="00DB5E71" w:rsidRDefault="00712D4C" w:rsidP="00712D4C">
      <w:pPr>
        <w:ind w:left="851" w:right="822"/>
        <w:jc w:val="both"/>
        <w:rPr>
          <w:rFonts w:ascii="Palatino Linotype" w:eastAsia="Palatino Linotype" w:hAnsi="Palatino Linotype" w:cs="Palatino Linotype"/>
          <w:i/>
          <w:iCs/>
        </w:rPr>
      </w:pPr>
      <w:r w:rsidRPr="00712D4C">
        <w:rPr>
          <w:rFonts w:ascii="Palatino Linotype" w:eastAsia="Palatino Linotype" w:hAnsi="Palatino Linotype" w:cs="Palatino Linotype"/>
          <w:b/>
          <w:i/>
          <w:iCs/>
          <w:sz w:val="22"/>
        </w:rPr>
        <w:t xml:space="preserve">Artículo 162. </w:t>
      </w:r>
      <w:r w:rsidRPr="00712D4C">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712D4C" w:rsidRPr="00DB5E71" w:rsidRDefault="00712D4C" w:rsidP="00712D4C">
      <w:pPr>
        <w:spacing w:line="360" w:lineRule="auto"/>
        <w:jc w:val="both"/>
        <w:rPr>
          <w:rFonts w:ascii="Palatino Linotype" w:eastAsia="Palatino Linotype" w:hAnsi="Palatino Linotype" w:cs="Palatino Linotype"/>
        </w:rPr>
      </w:pPr>
    </w:p>
    <w:p w:rsidR="00712D4C" w:rsidRPr="00DB5E71" w:rsidRDefault="00712D4C" w:rsidP="00712D4C">
      <w:pPr>
        <w:pStyle w:val="Prrafodelista"/>
        <w:numPr>
          <w:ilvl w:val="0"/>
          <w:numId w:val="1"/>
        </w:numPr>
        <w:spacing w:line="360" w:lineRule="auto"/>
        <w:ind w:left="0" w:firstLine="0"/>
        <w:jc w:val="both"/>
        <w:rPr>
          <w:rFonts w:ascii="Palatino Linotype" w:eastAsia="Arial Unicode MS" w:hAnsi="Palatino Linotype" w:cs="Arial"/>
          <w:lang w:eastAsia="en-US"/>
        </w:rPr>
      </w:pPr>
      <w:r w:rsidRPr="00DB5E71">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DB5E71">
        <w:rPr>
          <w:rFonts w:ascii="Palatino Linotype" w:eastAsia="Arial Unicode MS" w:hAnsi="Palatino Linotype" w:cs="Arial"/>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Pr>
          <w:rFonts w:ascii="Palatino Linotype" w:eastAsia="Arial Unicode MS" w:hAnsi="Palatino Linotype" w:cs="Arial"/>
          <w:lang w:eastAsia="en-US"/>
        </w:rPr>
        <w:t>s</w:t>
      </w:r>
      <w:r w:rsidRPr="00DB5E71">
        <w:rPr>
          <w:rFonts w:ascii="Palatino Linotype" w:eastAsia="Arial Unicode MS" w:hAnsi="Palatino Linotype" w:cs="Arial"/>
          <w:lang w:eastAsia="en-US"/>
        </w:rPr>
        <w:t xml:space="preserve"> Unidades de Transparencia turnar a todas las áreas que se consideren competentes para que realicen una búsqueda exhaustiva y razonable de la información solicitada a fin de que ésta sea entregada a los solicitantes.</w:t>
      </w:r>
    </w:p>
    <w:p w:rsidR="00712D4C" w:rsidRPr="00DB5E71" w:rsidRDefault="00712D4C" w:rsidP="00712D4C">
      <w:pPr>
        <w:pStyle w:val="Prrafodelista"/>
        <w:spacing w:line="360" w:lineRule="auto"/>
        <w:ind w:left="0"/>
        <w:jc w:val="both"/>
        <w:rPr>
          <w:rFonts w:ascii="Palatino Linotype" w:eastAsia="Arial Unicode MS" w:hAnsi="Palatino Linotype" w:cs="Arial"/>
          <w:lang w:eastAsia="en-US"/>
        </w:rPr>
      </w:pPr>
    </w:p>
    <w:p w:rsidR="00712D4C" w:rsidRPr="00DB5E71" w:rsidRDefault="00712D4C" w:rsidP="00712D4C">
      <w:pPr>
        <w:pStyle w:val="Prrafodelista"/>
        <w:numPr>
          <w:ilvl w:val="0"/>
          <w:numId w:val="1"/>
        </w:numPr>
        <w:spacing w:line="360" w:lineRule="auto"/>
        <w:ind w:left="0" w:firstLine="0"/>
        <w:jc w:val="both"/>
        <w:rPr>
          <w:rFonts w:ascii="Palatino Linotype" w:eastAsia="Arial Unicode MS" w:hAnsi="Palatino Linotype" w:cs="Arial"/>
          <w:lang w:eastAsia="en-US"/>
        </w:rPr>
      </w:pPr>
      <w:r w:rsidRPr="00DB5E71">
        <w:rPr>
          <w:rFonts w:ascii="Palatino Linotype" w:eastAsia="Arial Unicode MS" w:hAnsi="Palatino Linotype" w:cs="Arial"/>
          <w:lang w:eastAsia="en-US"/>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712D4C" w:rsidRPr="00DB5E71" w:rsidRDefault="00712D4C" w:rsidP="00712D4C">
      <w:pPr>
        <w:pStyle w:val="Prrafodelista"/>
        <w:ind w:left="0"/>
        <w:rPr>
          <w:rFonts w:ascii="Palatino Linotype" w:eastAsia="Arial Unicode MS" w:hAnsi="Palatino Linotype" w:cs="Arial"/>
          <w:lang w:eastAsia="en-US"/>
        </w:rPr>
      </w:pPr>
    </w:p>
    <w:p w:rsidR="009A5177" w:rsidRPr="009A5177" w:rsidRDefault="00712D4C" w:rsidP="009A5177">
      <w:pPr>
        <w:pStyle w:val="Prrafodelista"/>
        <w:numPr>
          <w:ilvl w:val="0"/>
          <w:numId w:val="1"/>
        </w:numPr>
        <w:spacing w:line="360" w:lineRule="auto"/>
        <w:ind w:left="0" w:firstLine="0"/>
        <w:jc w:val="both"/>
        <w:rPr>
          <w:rFonts w:ascii="Palatino Linotype" w:hAnsi="Palatino Linotype"/>
          <w:b/>
          <w:bCs/>
          <w:i/>
          <w:iCs/>
          <w:sz w:val="20"/>
          <w:szCs w:val="22"/>
        </w:rPr>
      </w:pPr>
      <w:r w:rsidRPr="00DB5E71">
        <w:rPr>
          <w:rFonts w:ascii="Palatino Linotype" w:eastAsia="Arial Unicode MS" w:hAnsi="Palatino Linotype" w:cs="Arial"/>
          <w:lang w:eastAsia="en-US"/>
        </w:rPr>
        <w:t xml:space="preserve">En el caso que se resuelve, </w:t>
      </w:r>
      <w:r w:rsidR="00416001">
        <w:rPr>
          <w:rFonts w:ascii="Palatino Linotype" w:eastAsia="Arial Unicode MS" w:hAnsi="Palatino Linotype" w:cs="Arial"/>
          <w:lang w:eastAsia="en-US"/>
        </w:rPr>
        <w:t>la respuesta fue emitida por el servidor público habili</w:t>
      </w:r>
      <w:r w:rsidR="00D054E0">
        <w:rPr>
          <w:rFonts w:ascii="Palatino Linotype" w:eastAsia="Arial Unicode MS" w:hAnsi="Palatino Linotype" w:cs="Arial"/>
          <w:lang w:eastAsia="en-US"/>
        </w:rPr>
        <w:t xml:space="preserve">tado de la </w:t>
      </w:r>
      <w:r w:rsidR="00E20562">
        <w:rPr>
          <w:rFonts w:ascii="Palatino Linotype" w:eastAsia="Arial Unicode MS" w:hAnsi="Palatino Linotype" w:cs="Arial"/>
          <w:lang w:eastAsia="en-US"/>
        </w:rPr>
        <w:t>Coordinación</w:t>
      </w:r>
      <w:r w:rsidR="00D054E0">
        <w:rPr>
          <w:rFonts w:ascii="Palatino Linotype" w:eastAsia="Arial Unicode MS" w:hAnsi="Palatino Linotype" w:cs="Arial"/>
          <w:lang w:eastAsia="en-US"/>
        </w:rPr>
        <w:t xml:space="preserve"> Jurídica del Organismo </w:t>
      </w:r>
      <w:r w:rsidR="00E20562">
        <w:rPr>
          <w:rFonts w:ascii="Palatino Linotype" w:eastAsia="Arial Unicode MS" w:hAnsi="Palatino Linotype" w:cs="Arial"/>
          <w:lang w:eastAsia="en-US"/>
        </w:rPr>
        <w:t>Público</w:t>
      </w:r>
      <w:r w:rsidR="00D054E0">
        <w:rPr>
          <w:rFonts w:ascii="Palatino Linotype" w:eastAsia="Arial Unicode MS" w:hAnsi="Palatino Linotype" w:cs="Arial"/>
          <w:lang w:eastAsia="en-US"/>
        </w:rPr>
        <w:t xml:space="preserve"> Descentralizado para la Prestación de Servicios de Agua Potable y Alcantarillado y Saneamiento del Municipio de </w:t>
      </w:r>
      <w:r w:rsidR="00E20562">
        <w:rPr>
          <w:rFonts w:ascii="Palatino Linotype" w:eastAsia="Arial Unicode MS" w:hAnsi="Palatino Linotype" w:cs="Arial"/>
          <w:lang w:eastAsia="en-US"/>
        </w:rPr>
        <w:t>Atizapán</w:t>
      </w:r>
      <w:r w:rsidR="00D054E0">
        <w:rPr>
          <w:rFonts w:ascii="Palatino Linotype" w:eastAsia="Arial Unicode MS" w:hAnsi="Palatino Linotype" w:cs="Arial"/>
          <w:lang w:eastAsia="en-US"/>
        </w:rPr>
        <w:t xml:space="preserve"> de Zaragoza </w:t>
      </w:r>
      <w:r w:rsidR="00416001">
        <w:rPr>
          <w:rFonts w:ascii="Palatino Linotype" w:eastAsia="Arial Unicode MS" w:hAnsi="Palatino Linotype" w:cs="Arial"/>
          <w:lang w:eastAsia="en-US"/>
        </w:rPr>
        <w:t xml:space="preserve">, quien de acuerdo al </w:t>
      </w:r>
      <w:r w:rsidR="009A5177" w:rsidRPr="009A5177">
        <w:rPr>
          <w:rFonts w:ascii="Palatino Linotype" w:eastAsia="Arial Unicode MS" w:hAnsi="Palatino Linotype" w:cs="Arial"/>
          <w:lang w:eastAsia="en-US"/>
        </w:rPr>
        <w:t>Reglamento Orgánico Interno del Organismo Público Descentralizado para la Prestación de Servicios de Agua Potable y Alcantarillado y Saneamiento del Municipio de Atizapán de Zaragoza</w:t>
      </w:r>
    </w:p>
    <w:p w:rsidR="009A5177" w:rsidRPr="009A5177" w:rsidRDefault="009A5177" w:rsidP="009A5177">
      <w:pPr>
        <w:pStyle w:val="Prrafodelista"/>
        <w:rPr>
          <w:rFonts w:ascii="Palatino Linotype" w:hAnsi="Palatino Linotype"/>
          <w:b/>
          <w:bCs/>
          <w:i/>
          <w:iCs/>
          <w:sz w:val="20"/>
          <w:szCs w:val="22"/>
        </w:rPr>
      </w:pPr>
    </w:p>
    <w:p w:rsidR="009A5177" w:rsidRPr="002F54A0" w:rsidRDefault="009A5177" w:rsidP="002F54A0">
      <w:pPr>
        <w:spacing w:line="360" w:lineRule="auto"/>
        <w:ind w:left="567" w:right="539"/>
        <w:jc w:val="both"/>
        <w:rPr>
          <w:rFonts w:ascii="Palatino Linotype" w:hAnsi="Palatino Linotype"/>
          <w:b/>
          <w:bCs/>
          <w:i/>
          <w:iCs/>
          <w:sz w:val="22"/>
          <w:szCs w:val="22"/>
        </w:rPr>
      </w:pPr>
      <w:r w:rsidRPr="002F54A0">
        <w:rPr>
          <w:rFonts w:ascii="Palatino Linotype" w:hAnsi="Palatino Linotype"/>
          <w:i/>
          <w:sz w:val="22"/>
          <w:szCs w:val="22"/>
        </w:rPr>
        <w:t>Artículo 56.- La Coordinación Jurídica del Organismo, estará a cargo de un Coordinador a quien se le denominará “Coordinador Jurídico”, quien responderá del desempeño de sus funciones directamente ante el Director General, y contará con las atribuciones siguientes:</w:t>
      </w:r>
    </w:p>
    <w:p w:rsidR="009A5177" w:rsidRPr="002F54A0" w:rsidRDefault="009A5177" w:rsidP="002F54A0">
      <w:pPr>
        <w:pStyle w:val="Prrafodelista"/>
        <w:ind w:left="567" w:right="539"/>
        <w:jc w:val="both"/>
        <w:rPr>
          <w:rFonts w:ascii="Palatino Linotype" w:eastAsia="Arial Unicode MS" w:hAnsi="Palatino Linotype" w:cs="Arial"/>
          <w:i/>
          <w:sz w:val="22"/>
          <w:szCs w:val="22"/>
          <w:lang w:eastAsia="en-US"/>
        </w:rPr>
      </w:pPr>
    </w:p>
    <w:p w:rsidR="002F54A0" w:rsidRPr="002F54A0" w:rsidRDefault="002F54A0" w:rsidP="002F54A0">
      <w:pPr>
        <w:pStyle w:val="Prrafodelista"/>
        <w:ind w:left="567" w:right="539"/>
        <w:jc w:val="both"/>
        <w:rPr>
          <w:rFonts w:ascii="Palatino Linotype" w:eastAsia="Arial Unicode MS" w:hAnsi="Palatino Linotype" w:cs="Arial"/>
          <w:i/>
          <w:sz w:val="22"/>
          <w:szCs w:val="22"/>
          <w:lang w:eastAsia="en-US"/>
        </w:rPr>
      </w:pPr>
      <w:r w:rsidRPr="002F54A0">
        <w:rPr>
          <w:rFonts w:ascii="Palatino Linotype" w:eastAsia="Arial Unicode MS" w:hAnsi="Palatino Linotype" w:cs="Arial"/>
          <w:i/>
          <w:sz w:val="22"/>
          <w:szCs w:val="22"/>
          <w:lang w:eastAsia="en-US"/>
        </w:rPr>
        <w:t>…</w:t>
      </w:r>
    </w:p>
    <w:p w:rsidR="009A5177" w:rsidRPr="002F54A0" w:rsidRDefault="009A5177" w:rsidP="002F54A0">
      <w:pPr>
        <w:pStyle w:val="Prrafodelista"/>
        <w:ind w:left="567" w:right="539"/>
        <w:jc w:val="both"/>
        <w:rPr>
          <w:rFonts w:ascii="Palatino Linotype" w:hAnsi="Palatino Linotype"/>
          <w:i/>
          <w:sz w:val="22"/>
          <w:szCs w:val="22"/>
        </w:rPr>
      </w:pPr>
      <w:r w:rsidRPr="002F54A0">
        <w:rPr>
          <w:rFonts w:ascii="Palatino Linotype" w:hAnsi="Palatino Linotype"/>
          <w:i/>
          <w:sz w:val="22"/>
          <w:szCs w:val="22"/>
        </w:rPr>
        <w:t>IV. Representar al Organismo ante, personas físicas o jurídico colectivas y ante toda clase de autoridades de cualquier fuero, Judiciales, Civiles, Penales, Administrativos o del Trabajo, ante las instancias de Conciliación y Arbitraje del orden Federal, Estatal o Local, en toda la extensión de la República Mexicana, en juicio o fuera de él;</w:t>
      </w:r>
    </w:p>
    <w:p w:rsidR="002F54A0" w:rsidRPr="002F54A0" w:rsidRDefault="002F54A0" w:rsidP="002F54A0">
      <w:pPr>
        <w:pStyle w:val="Prrafodelista"/>
        <w:ind w:left="567" w:right="539"/>
        <w:jc w:val="both"/>
        <w:rPr>
          <w:rFonts w:ascii="Palatino Linotype" w:hAnsi="Palatino Linotype"/>
          <w:i/>
          <w:sz w:val="22"/>
          <w:szCs w:val="22"/>
        </w:rPr>
      </w:pPr>
    </w:p>
    <w:p w:rsidR="002F54A0" w:rsidRPr="002F54A0" w:rsidRDefault="002F54A0" w:rsidP="002F54A0">
      <w:pPr>
        <w:pStyle w:val="Prrafodelista"/>
        <w:ind w:left="567" w:right="539"/>
        <w:jc w:val="both"/>
        <w:rPr>
          <w:rFonts w:ascii="Palatino Linotype" w:hAnsi="Palatino Linotype"/>
          <w:i/>
          <w:sz w:val="22"/>
          <w:szCs w:val="22"/>
        </w:rPr>
      </w:pPr>
      <w:r w:rsidRPr="002F54A0">
        <w:rPr>
          <w:rFonts w:ascii="Palatino Linotype" w:hAnsi="Palatino Linotype"/>
          <w:i/>
          <w:sz w:val="22"/>
          <w:szCs w:val="22"/>
        </w:rPr>
        <w:t>…</w:t>
      </w:r>
    </w:p>
    <w:p w:rsidR="002F54A0" w:rsidRPr="002F54A0" w:rsidRDefault="002F54A0" w:rsidP="002F54A0">
      <w:pPr>
        <w:pStyle w:val="Prrafodelista"/>
        <w:ind w:left="567" w:right="539"/>
        <w:jc w:val="both"/>
        <w:rPr>
          <w:rFonts w:ascii="Palatino Linotype" w:hAnsi="Palatino Linotype"/>
          <w:i/>
          <w:sz w:val="22"/>
          <w:szCs w:val="22"/>
        </w:rPr>
      </w:pPr>
    </w:p>
    <w:p w:rsidR="002F54A0" w:rsidRPr="002F54A0" w:rsidRDefault="002F54A0" w:rsidP="002F54A0">
      <w:pPr>
        <w:pStyle w:val="Prrafodelista"/>
        <w:ind w:left="567" w:right="539"/>
        <w:jc w:val="both"/>
        <w:rPr>
          <w:rFonts w:ascii="Palatino Linotype" w:hAnsi="Palatino Linotype"/>
          <w:i/>
          <w:sz w:val="22"/>
          <w:szCs w:val="22"/>
        </w:rPr>
      </w:pPr>
      <w:r w:rsidRPr="002F54A0">
        <w:rPr>
          <w:rFonts w:ascii="Palatino Linotype" w:hAnsi="Palatino Linotype"/>
          <w:i/>
          <w:sz w:val="22"/>
          <w:szCs w:val="22"/>
        </w:rPr>
        <w:t xml:space="preserve">X. Informar al Director General en tiempo y forma el seguimiento de las actuaciones, inherentes a juicios y demandas en contra del Organismo, así como aquellos que por su </w:t>
      </w:r>
      <w:r w:rsidRPr="002F54A0">
        <w:rPr>
          <w:rFonts w:ascii="Palatino Linotype" w:hAnsi="Palatino Linotype"/>
          <w:i/>
          <w:sz w:val="22"/>
          <w:szCs w:val="22"/>
        </w:rPr>
        <w:lastRenderedPageBreak/>
        <w:t>naturaleza tenga la obligación de atender, adecuada y oportunamente, para salvaguardar los intereses del Organismo;</w:t>
      </w:r>
    </w:p>
    <w:p w:rsidR="002F54A0" w:rsidRPr="002F54A0" w:rsidRDefault="002F54A0" w:rsidP="002F54A0">
      <w:pPr>
        <w:pStyle w:val="Prrafodelista"/>
        <w:ind w:left="567" w:right="539"/>
        <w:jc w:val="both"/>
        <w:rPr>
          <w:rFonts w:ascii="Palatino Linotype" w:hAnsi="Palatino Linotype"/>
          <w:i/>
          <w:sz w:val="22"/>
          <w:szCs w:val="22"/>
        </w:rPr>
      </w:pPr>
    </w:p>
    <w:p w:rsidR="002F54A0" w:rsidRPr="002F54A0" w:rsidRDefault="002F54A0" w:rsidP="002F54A0">
      <w:pPr>
        <w:pStyle w:val="Prrafodelista"/>
        <w:ind w:left="567" w:right="539"/>
        <w:jc w:val="both"/>
        <w:rPr>
          <w:rFonts w:ascii="Palatino Linotype" w:hAnsi="Palatino Linotype"/>
          <w:i/>
          <w:sz w:val="22"/>
          <w:szCs w:val="22"/>
        </w:rPr>
      </w:pPr>
      <w:r w:rsidRPr="002F54A0">
        <w:rPr>
          <w:rFonts w:ascii="Palatino Linotype" w:hAnsi="Palatino Linotype"/>
          <w:i/>
          <w:sz w:val="22"/>
          <w:szCs w:val="22"/>
        </w:rPr>
        <w:t>…</w:t>
      </w:r>
    </w:p>
    <w:p w:rsidR="002F54A0" w:rsidRPr="002F54A0" w:rsidRDefault="002F54A0" w:rsidP="002F54A0">
      <w:pPr>
        <w:pStyle w:val="Prrafodelista"/>
        <w:ind w:left="567" w:right="539"/>
        <w:jc w:val="both"/>
        <w:rPr>
          <w:rFonts w:ascii="Palatino Linotype" w:hAnsi="Palatino Linotype"/>
          <w:i/>
          <w:sz w:val="22"/>
          <w:szCs w:val="22"/>
        </w:rPr>
      </w:pPr>
    </w:p>
    <w:p w:rsidR="002F54A0" w:rsidRPr="002F54A0" w:rsidRDefault="002F54A0" w:rsidP="002F54A0">
      <w:pPr>
        <w:pStyle w:val="Prrafodelista"/>
        <w:ind w:left="567" w:right="539"/>
        <w:jc w:val="both"/>
        <w:rPr>
          <w:rFonts w:ascii="Palatino Linotype" w:eastAsia="Arial Unicode MS" w:hAnsi="Palatino Linotype" w:cs="Arial"/>
          <w:i/>
          <w:sz w:val="22"/>
          <w:szCs w:val="22"/>
          <w:lang w:eastAsia="en-US"/>
        </w:rPr>
      </w:pPr>
      <w:r w:rsidRPr="002F54A0">
        <w:rPr>
          <w:rFonts w:ascii="Palatino Linotype" w:hAnsi="Palatino Linotype"/>
          <w:i/>
          <w:sz w:val="22"/>
          <w:szCs w:val="22"/>
        </w:rPr>
        <w:t>XXII. Dar contestación a las peticiones que dirijan los particulares a la Dirección General de S.A.P.A.S.A., y que le sean turnadas para tal efecto; y</w:t>
      </w:r>
    </w:p>
    <w:p w:rsidR="00416001" w:rsidRPr="00416001" w:rsidRDefault="00416001" w:rsidP="002F54A0">
      <w:pPr>
        <w:pStyle w:val="Prrafodelista"/>
        <w:spacing w:line="360" w:lineRule="auto"/>
        <w:ind w:left="0"/>
        <w:jc w:val="both"/>
        <w:rPr>
          <w:rFonts w:ascii="Palatino Linotype" w:hAnsi="Palatino Linotype"/>
          <w:b/>
          <w:bCs/>
          <w:i/>
          <w:iCs/>
          <w:sz w:val="20"/>
          <w:szCs w:val="22"/>
        </w:rPr>
      </w:pPr>
    </w:p>
    <w:p w:rsidR="00DF6688" w:rsidRPr="00DF6688" w:rsidRDefault="00957FF4" w:rsidP="00DF668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57FF4">
        <w:rPr>
          <w:rFonts w:ascii="Palatino Linotype" w:eastAsia="Palatino Linotype" w:hAnsi="Palatino Linotype" w:cs="Palatino Linotype"/>
          <w:color w:val="000000"/>
        </w:rPr>
        <w:t xml:space="preserve">En ese sentido, se advierte que la respuesta fue emitida por el servidor público habilitado con facultades para generar, poseer o administrar la información solicitada. </w:t>
      </w:r>
      <w:r w:rsidR="00DF6688">
        <w:rPr>
          <w:rFonts w:ascii="Palatino Linotype" w:eastAsia="Palatino Linotype" w:hAnsi="Palatino Linotype" w:cs="Palatino Linotype"/>
          <w:color w:val="000000"/>
        </w:rPr>
        <w:t>Por otro lado</w:t>
      </w:r>
      <w:r w:rsidR="00DF6688" w:rsidRPr="00DF6688">
        <w:rPr>
          <w:rFonts w:ascii="Palatino Linotype" w:eastAsia="Palatino Linotype" w:hAnsi="Palatino Linotype" w:cs="Palatino Linotype"/>
        </w:rPr>
        <w:t>, se debe resaltar que con las manifestaciones hechas valer por el servidor público habilitado competente,  se advierte que este no niega contar con la información peticionada, sino por el contrario, asume que la tiene de manera explícita, tan es así que restringió el derecho de acceso a la información solicitando la clasificación de la misma como re</w:t>
      </w:r>
      <w:r w:rsidR="002F54A0">
        <w:rPr>
          <w:rFonts w:ascii="Palatino Linotype" w:eastAsia="Palatino Linotype" w:hAnsi="Palatino Linotype" w:cs="Palatino Linotype"/>
        </w:rPr>
        <w:t>servada, por un término de cinco</w:t>
      </w:r>
      <w:r w:rsidR="00DF6688" w:rsidRPr="00DF6688">
        <w:rPr>
          <w:rFonts w:ascii="Palatino Linotype" w:eastAsia="Palatino Linotype" w:hAnsi="Palatino Linotype" w:cs="Palatino Linotype"/>
        </w:rPr>
        <w:t xml:space="preserve"> años, </w:t>
      </w:r>
      <w:r w:rsidR="00DF6688">
        <w:rPr>
          <w:rFonts w:ascii="Palatino Linotype" w:eastAsia="Palatino Linotype" w:hAnsi="Palatino Linotype" w:cs="Palatino Linotype"/>
          <w:color w:val="000000"/>
        </w:rPr>
        <w:t xml:space="preserve">por lo que, </w:t>
      </w:r>
      <w:r w:rsidR="00DF6688" w:rsidRPr="00DF6688">
        <w:rPr>
          <w:rFonts w:ascii="Palatino Linotype" w:eastAsia="Palatino Linotype" w:hAnsi="Palatino Linotype" w:cs="Palatino Linotype"/>
        </w:rPr>
        <w:t xml:space="preserve"> efecto de robustecer lo anterior, sirve de sustento el criterio orientador con clave de control SO/029/2010, emitido por el Instituto Nacional de Transparencia, Acceso a la Información y Protección de Datos Personales, INAI</w:t>
      </w:r>
      <w:r w:rsidR="00DF6688" w:rsidRPr="00DF6688">
        <w:rPr>
          <w:rFonts w:ascii="Palatino Linotype" w:eastAsia="Palatino Linotype" w:hAnsi="Palatino Linotype" w:cs="Palatino Linotype"/>
          <w:b/>
        </w:rPr>
        <w:t xml:space="preserve">, </w:t>
      </w:r>
      <w:r w:rsidR="00DF6688" w:rsidRPr="00DF6688">
        <w:rPr>
          <w:rFonts w:ascii="Palatino Linotype" w:eastAsia="Palatino Linotype" w:hAnsi="Palatino Linotype" w:cs="Palatino Linotype"/>
        </w:rPr>
        <w:t xml:space="preserve">el cual refiere lo siguiente: </w:t>
      </w:r>
    </w:p>
    <w:p w:rsidR="00DF6688" w:rsidRPr="00DF6688" w:rsidRDefault="00DF6688" w:rsidP="00DF6688">
      <w:pPr>
        <w:pStyle w:val="Prrafodelista"/>
        <w:spacing w:before="67" w:line="360" w:lineRule="auto"/>
        <w:ind w:right="900"/>
        <w:jc w:val="both"/>
        <w:rPr>
          <w:rFonts w:ascii="Palatino Linotype" w:eastAsia="Palatino Linotype" w:hAnsi="Palatino Linotype" w:cs="Palatino Linotype"/>
          <w:i/>
          <w:sz w:val="22"/>
          <w:szCs w:val="22"/>
        </w:rPr>
      </w:pPr>
      <w:r w:rsidRPr="00DF6688">
        <w:rPr>
          <w:rFonts w:ascii="Palatino Linotype" w:eastAsia="Palatino Linotype" w:hAnsi="Palatino Linotype" w:cs="Palatino Linotype"/>
          <w:b/>
          <w:i/>
          <w:sz w:val="22"/>
          <w:szCs w:val="22"/>
        </w:rPr>
        <w:t xml:space="preserve">“La clasificación y la inexistencia de información son conceptos que no pueden coexistir. </w:t>
      </w:r>
      <w:r w:rsidRPr="00DF6688">
        <w:rPr>
          <w:rFonts w:ascii="Palatino Linotype" w:eastAsia="Palatino Linotype" w:hAnsi="Palatino Linotype" w:cs="Palatino Linotype"/>
          <w:i/>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w:t>
      </w:r>
      <w:r w:rsidRPr="00DF6688">
        <w:rPr>
          <w:rFonts w:ascii="Palatino Linotype" w:eastAsia="Palatino Linotype" w:hAnsi="Palatino Linotype" w:cs="Palatino Linotype"/>
          <w:i/>
          <w:sz w:val="22"/>
          <w:szCs w:val="22"/>
        </w:rPr>
        <w:lastRenderedPageBreak/>
        <w:t xml:space="preserve">los  artículos  13  y  14  de  la  Ley  Federal  de Transparencia y Acceso a la Información Pública Gubernamental, para el caso de la información reservada, y 18 del mismo ordenamiento, para el caso de la información confidencial. Por lo anterior, </w:t>
      </w:r>
      <w:r w:rsidRPr="00DF6688">
        <w:rPr>
          <w:rFonts w:ascii="Palatino Linotype" w:eastAsia="Palatino Linotype" w:hAnsi="Palatino Linotype" w:cs="Palatino Linotype"/>
          <w:b/>
          <w:i/>
          <w:sz w:val="22"/>
          <w:szCs w:val="22"/>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sidRPr="00DF6688">
        <w:rPr>
          <w:rFonts w:ascii="Palatino Linotype" w:eastAsia="Palatino Linotype" w:hAnsi="Palatino Linotype" w:cs="Palatino Linotype"/>
          <w:i/>
          <w:sz w:val="22"/>
          <w:szCs w:val="22"/>
        </w:rPr>
        <w:t>.”</w:t>
      </w:r>
    </w:p>
    <w:p w:rsidR="00712D4C" w:rsidRPr="00712D4C" w:rsidRDefault="00712D4C" w:rsidP="00DF668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DF6688" w:rsidRPr="00EC7728" w:rsidRDefault="00DF6688" w:rsidP="008B613A">
      <w:pPr>
        <w:numPr>
          <w:ilvl w:val="0"/>
          <w:numId w:val="1"/>
        </w:numPr>
        <w:spacing w:line="360" w:lineRule="auto"/>
        <w:ind w:left="0" w:right="49" w:firstLine="0"/>
        <w:contextualSpacing/>
        <w:jc w:val="both"/>
        <w:rPr>
          <w:rFonts w:ascii="Palatino Linotype" w:eastAsiaTheme="minorEastAsia" w:hAnsi="Palatino Linotype"/>
          <w:lang w:val="es-ES_tradnl"/>
        </w:rPr>
      </w:pPr>
      <w:r>
        <w:rPr>
          <w:rFonts w:ascii="Palatino Linotype" w:eastAsia="MS Gothic" w:hAnsi="Palatino Linotype"/>
          <w:szCs w:val="26"/>
        </w:rPr>
        <w:t xml:space="preserve">Ahora bien, en razón de la clasificación de la información por parte del Sujeto Obligado, es importante señalar que </w:t>
      </w:r>
      <w:r w:rsidRPr="000377C8">
        <w:rPr>
          <w:rFonts w:ascii="Palatino Linotype" w:eastAsia="MS Gothic" w:hAnsi="Palatino Linotype"/>
          <w:szCs w:val="26"/>
        </w:rPr>
        <w:t xml:space="preserve">a </w:t>
      </w:r>
      <w:r>
        <w:rPr>
          <w:rFonts w:ascii="Palatino Linotype" w:eastAsia="MS Gothic" w:hAnsi="Palatino Linotype"/>
          <w:szCs w:val="26"/>
        </w:rPr>
        <w:t xml:space="preserve">la </w:t>
      </w:r>
      <w:r w:rsidRPr="000377C8">
        <w:rPr>
          <w:rFonts w:ascii="Palatino Linotype" w:eastAsia="MS Gothic" w:hAnsi="Palatino Linotype"/>
          <w:szCs w:val="26"/>
        </w:rPr>
        <w:t>clasificación total o parc</w:t>
      </w:r>
      <w:r>
        <w:rPr>
          <w:rFonts w:ascii="Palatino Linotype" w:eastAsia="MS Gothic" w:hAnsi="Palatino Linotype"/>
          <w:szCs w:val="26"/>
        </w:rPr>
        <w:t>ial de la información requerida</w:t>
      </w:r>
      <w:r w:rsidRPr="000377C8">
        <w:rPr>
          <w:rFonts w:ascii="Palatino Linotype" w:eastAsia="MS Gothic" w:hAnsi="Palatino Linotype"/>
          <w:szCs w:val="26"/>
        </w:rPr>
        <w:t xml:space="preserve"> mediante solicitud de acceso a la información pública, constituye una restricción al derecho humano de acceso a la información. Como reiteradamente han dicho, diversos órganos jurisdiccionales, ningún derecho es absoluto</w:t>
      </w:r>
      <w:r w:rsidRPr="000377C8">
        <w:rPr>
          <w:rFonts w:ascii="Palatino Linotype" w:eastAsia="MS Gothic" w:hAnsi="Palatino Linotype"/>
          <w:szCs w:val="26"/>
          <w:vertAlign w:val="superscript"/>
        </w:rPr>
        <w:footnoteReference w:id="3"/>
      </w:r>
      <w:r w:rsidRPr="000377C8">
        <w:rPr>
          <w:rFonts w:ascii="Palatino Linotype" w:eastAsia="MS Gothic" w:hAnsi="Palatino Linotype"/>
          <w:szCs w:val="26"/>
        </w:rPr>
        <w:t xml:space="preserve"> aunque </w:t>
      </w:r>
      <w:r w:rsidRPr="000377C8">
        <w:rPr>
          <w:rFonts w:ascii="Palatino Linotype" w:eastAsia="MS Gothic" w:hAnsi="Palatino Linotype"/>
          <w:szCs w:val="26"/>
        </w:rPr>
        <w:lastRenderedPageBreak/>
        <w:t>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w:t>
      </w:r>
      <w:r w:rsidRPr="000377C8">
        <w:rPr>
          <w:rFonts w:ascii="Palatino Linotype" w:eastAsia="MS Gothic" w:hAnsi="Palatino Linotype"/>
          <w:szCs w:val="26"/>
          <w:vertAlign w:val="superscript"/>
        </w:rPr>
        <w:footnoteReference w:id="4"/>
      </w:r>
      <w:r w:rsidRPr="000377C8">
        <w:rPr>
          <w:rFonts w:ascii="Palatino Linotype" w:eastAsia="MS Gothic" w:hAnsi="Palatino Linotype"/>
          <w:szCs w:val="26"/>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rsidR="00DF6688" w:rsidRPr="000377C8" w:rsidRDefault="00DF6688" w:rsidP="008B613A">
      <w:pPr>
        <w:spacing w:line="360" w:lineRule="auto"/>
        <w:ind w:right="49"/>
        <w:contextualSpacing/>
        <w:jc w:val="both"/>
        <w:rPr>
          <w:rFonts w:ascii="Palatino Linotype" w:eastAsiaTheme="minorEastAsia" w:hAnsi="Palatino Linotype"/>
          <w:lang w:val="es-ES_tradnl"/>
        </w:rPr>
      </w:pPr>
    </w:p>
    <w:p w:rsidR="00DF6688" w:rsidRPr="00E27E41" w:rsidRDefault="00DF6688" w:rsidP="008B613A">
      <w:pPr>
        <w:numPr>
          <w:ilvl w:val="0"/>
          <w:numId w:val="1"/>
        </w:numPr>
        <w:spacing w:line="360" w:lineRule="auto"/>
        <w:ind w:left="0" w:right="49" w:firstLine="0"/>
        <w:contextualSpacing/>
        <w:jc w:val="both"/>
        <w:rPr>
          <w:rFonts w:ascii="Palatino Linotype" w:hAnsi="Palatino Linotype" w:cs="Arial"/>
          <w:color w:val="000000"/>
        </w:rPr>
      </w:pPr>
      <w:r>
        <w:rPr>
          <w:rFonts w:ascii="Palatino Linotype" w:hAnsi="Palatino Linotype" w:cs="Arial"/>
          <w:color w:val="000000"/>
        </w:rPr>
        <w:t>En este caso</w:t>
      </w:r>
      <w:r w:rsidRPr="00E27E41">
        <w:rPr>
          <w:rFonts w:ascii="Palatino Linotype" w:hAnsi="Palatino Linotype" w:cs="Arial"/>
          <w:color w:val="000000"/>
        </w:rPr>
        <w:t xml:space="preserve">, es importante señalar </w:t>
      </w:r>
      <w:r>
        <w:rPr>
          <w:rFonts w:ascii="Palatino Linotype" w:hAnsi="Palatino Linotype" w:cs="Arial"/>
          <w:color w:val="000000"/>
        </w:rPr>
        <w:t xml:space="preserve">que </w:t>
      </w:r>
      <w:r w:rsidRPr="00E27E41">
        <w:rPr>
          <w:rFonts w:ascii="Palatino Linotype" w:hAnsi="Palatino Linotype" w:cs="Arial"/>
          <w:color w:val="000000"/>
        </w:rPr>
        <w:t xml:space="preserve">para la clasificación de la información se debe atender a cierta formalidades establecidas en la Ley, por lo que le </w:t>
      </w:r>
      <w:r w:rsidRPr="00E27E41">
        <w:rPr>
          <w:rFonts w:ascii="Palatino Linotype" w:eastAsia="MS Gothic" w:hAnsi="Palatino Linotype"/>
          <w:b/>
          <w:szCs w:val="26"/>
        </w:rPr>
        <w:t>SUJETO OBLIGADO</w:t>
      </w:r>
      <w:r w:rsidRPr="00E27E41">
        <w:rPr>
          <w:rFonts w:ascii="Palatino Linotype" w:eastAsia="MS Gothic" w:hAnsi="Palatino Linotype"/>
          <w:szCs w:val="26"/>
        </w:rPr>
        <w:t xml:space="preserve"> debe identificar claramente el tipo de información y hacer un juicio de subsunción o encaje</w:t>
      </w:r>
      <w:r w:rsidRPr="00E27E41">
        <w:rPr>
          <w:rFonts w:ascii="Palatino Linotype" w:eastAsia="MS Gothic" w:hAnsi="Palatino Linotype"/>
          <w:szCs w:val="26"/>
          <w:vertAlign w:val="superscript"/>
        </w:rPr>
        <w:footnoteReference w:id="5"/>
      </w:r>
      <w:r w:rsidRPr="00E27E41">
        <w:rPr>
          <w:rFonts w:ascii="Palatino Linotype" w:eastAsia="MS Gothic" w:hAnsi="Palatino Linotype"/>
          <w:szCs w:val="26"/>
        </w:rPr>
        <w:t xml:space="preserve"> para acreditar que el supuesto de hecho corresponde </w:t>
      </w:r>
      <w:r w:rsidRPr="00E27E41">
        <w:rPr>
          <w:rFonts w:ascii="Palatino Linotype" w:eastAsia="MS Gothic" w:hAnsi="Palatino Linotype"/>
          <w:szCs w:val="26"/>
        </w:rPr>
        <w:lastRenderedPageBreak/>
        <w:t>estrictamente con la hipótesis jurídica. Esto también lo debe de realizar el servidor público habilitado y el titular del área que administra la información.</w:t>
      </w:r>
    </w:p>
    <w:p w:rsidR="00DF6688" w:rsidRPr="00E27E41" w:rsidRDefault="00DF6688" w:rsidP="008B613A">
      <w:pPr>
        <w:pStyle w:val="Prrafodelista"/>
        <w:spacing w:line="360" w:lineRule="auto"/>
        <w:ind w:left="0"/>
        <w:rPr>
          <w:rFonts w:ascii="Palatino Linotype" w:eastAsia="MS Gothic" w:hAnsi="Palatino Linotype"/>
          <w:szCs w:val="26"/>
        </w:rPr>
      </w:pPr>
    </w:p>
    <w:p w:rsidR="00DF6688" w:rsidRPr="00E27E41" w:rsidRDefault="00DF6688" w:rsidP="008B613A">
      <w:pPr>
        <w:numPr>
          <w:ilvl w:val="0"/>
          <w:numId w:val="1"/>
        </w:numPr>
        <w:spacing w:line="360" w:lineRule="auto"/>
        <w:ind w:left="0" w:right="49" w:firstLine="0"/>
        <w:contextualSpacing/>
        <w:jc w:val="both"/>
        <w:rPr>
          <w:rFonts w:ascii="Palatino Linotype" w:hAnsi="Palatino Linotype" w:cs="Arial"/>
          <w:color w:val="000000"/>
        </w:rPr>
      </w:pPr>
      <w:r w:rsidRPr="00E27E41">
        <w:rPr>
          <w:rFonts w:ascii="Palatino Linotype" w:eastAsia="MS Gothic" w:hAnsi="Palatino Linotype"/>
          <w:szCs w:val="26"/>
        </w:rPr>
        <w:t>Al respecto, los Lineamientos Generales en Materia de Clasificación y Desclasificación de la Información, así Como para la Elaboración de Versiones Públicas, por cuanto hace a la clasificación de la información, señalan lo siguiente:</w:t>
      </w:r>
    </w:p>
    <w:p w:rsidR="00DF6688" w:rsidRPr="00E27E41" w:rsidRDefault="00DF6688" w:rsidP="00DF6688">
      <w:pPr>
        <w:pStyle w:val="Prrafodelista"/>
        <w:tabs>
          <w:tab w:val="left" w:pos="142"/>
          <w:tab w:val="left" w:pos="284"/>
          <w:tab w:val="left" w:pos="426"/>
        </w:tabs>
        <w:spacing w:line="360" w:lineRule="auto"/>
        <w:ind w:left="0"/>
        <w:jc w:val="both"/>
        <w:rPr>
          <w:rFonts w:ascii="Palatino Linotype" w:hAnsi="Palatino Linotype" w:cs="Arial"/>
        </w:rPr>
      </w:pPr>
    </w:p>
    <w:p w:rsidR="00DF6688" w:rsidRPr="008B613A" w:rsidRDefault="00DF6688" w:rsidP="008B613A">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w:t>
      </w:r>
      <w:r w:rsidRPr="00E27E41">
        <w:rPr>
          <w:rFonts w:ascii="Palatino Linotype" w:hAnsi="Palatino Linotype" w:cs="Arial"/>
          <w:b/>
          <w:i/>
        </w:rPr>
        <w:t>Quincuagésimo.</w:t>
      </w:r>
      <w:r w:rsidRPr="00E27E41">
        <w:rPr>
          <w:rFonts w:ascii="Palatino Linotype" w:hAnsi="Palatino Linotype" w:cs="Arial"/>
          <w:i/>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b/>
          <w:i/>
        </w:rPr>
        <w:t>Quincuagésimo primero.</w:t>
      </w:r>
      <w:r w:rsidRPr="00E27E41">
        <w:rPr>
          <w:rFonts w:ascii="Palatino Linotype" w:hAnsi="Palatino Linotype" w:cs="Arial"/>
          <w:i/>
        </w:rPr>
        <w:t xml:space="preserve"> La leyenda en los documentos clasificados indicará:</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I. La fecha de sesión del Comité de Transparencia en donde se confirmó la clasificación, en su caso;</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II. El nombre del área;</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lastRenderedPageBreak/>
        <w:t>III. La palabra reservado o confidencial;</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IV. Las partes o secciones reservadas o confidenciales, en su caso;</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V. El fundamento legal;</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VI. El periodo de reserva, y</w:t>
      </w:r>
    </w:p>
    <w:p w:rsidR="00DF6688" w:rsidRPr="00E27E41" w:rsidRDefault="00DF6688" w:rsidP="00DF6688">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VII. La rúbrica del titular del área.</w:t>
      </w:r>
    </w:p>
    <w:p w:rsidR="00DF6688" w:rsidRPr="00E27E41" w:rsidRDefault="00DF6688" w:rsidP="00DF6688">
      <w:pPr>
        <w:tabs>
          <w:tab w:val="left" w:pos="142"/>
          <w:tab w:val="left" w:pos="284"/>
          <w:tab w:val="left" w:pos="426"/>
        </w:tabs>
        <w:spacing w:line="360" w:lineRule="auto"/>
        <w:ind w:right="567"/>
        <w:jc w:val="both"/>
        <w:rPr>
          <w:rFonts w:ascii="Palatino Linotype" w:hAnsi="Palatino Linotype" w:cs="Arial"/>
          <w:i/>
        </w:rPr>
      </w:pPr>
    </w:p>
    <w:p w:rsidR="00DF6688" w:rsidRPr="00E27E41"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rPr>
        <w:t>Una vez hecho lo anterior, se remite la información al Titular de la Unidad de Transparencia, con el acuerdo de clasificación correspondiente, para que sea sometido al conocimiento del Comité de Transparencia.</w:t>
      </w:r>
    </w:p>
    <w:p w:rsidR="00DF6688" w:rsidRPr="00E27E41" w:rsidRDefault="00DF6688" w:rsidP="00DF6688">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E27E41" w:rsidRDefault="00DF6688" w:rsidP="00DF6688">
      <w:pPr>
        <w:pStyle w:val="Prrafodelista"/>
        <w:tabs>
          <w:tab w:val="left" w:pos="142"/>
          <w:tab w:val="left" w:pos="284"/>
          <w:tab w:val="left" w:pos="426"/>
        </w:tabs>
        <w:spacing w:line="360" w:lineRule="auto"/>
        <w:ind w:left="0"/>
        <w:jc w:val="both"/>
        <w:outlineLvl w:val="2"/>
        <w:rPr>
          <w:rFonts w:ascii="Palatino Linotype" w:hAnsi="Palatino Linotype" w:cs="Arial"/>
          <w:b/>
        </w:rPr>
      </w:pPr>
      <w:bookmarkStart w:id="6" w:name="_Toc51863317"/>
      <w:bookmarkStart w:id="7" w:name="_Toc52444651"/>
      <w:bookmarkStart w:id="8" w:name="_Toc57154370"/>
      <w:bookmarkStart w:id="9" w:name="_Toc65170176"/>
      <w:r w:rsidRPr="00E27E41">
        <w:rPr>
          <w:rFonts w:ascii="Palatino Linotype" w:hAnsi="Palatino Linotype" w:cs="Arial"/>
          <w:b/>
        </w:rPr>
        <w:t>La intervención del Comité de Transparencia.</w:t>
      </w:r>
      <w:bookmarkEnd w:id="6"/>
      <w:bookmarkEnd w:id="7"/>
      <w:bookmarkEnd w:id="8"/>
      <w:bookmarkEnd w:id="9"/>
    </w:p>
    <w:p w:rsidR="00DF6688" w:rsidRPr="00E27E41" w:rsidRDefault="00DF6688" w:rsidP="008B613A">
      <w:pPr>
        <w:pStyle w:val="Prrafodelista"/>
        <w:numPr>
          <w:ilvl w:val="0"/>
          <w:numId w:val="11"/>
        </w:numPr>
        <w:tabs>
          <w:tab w:val="left" w:pos="142"/>
          <w:tab w:val="left" w:pos="284"/>
          <w:tab w:val="left" w:pos="426"/>
        </w:tabs>
        <w:spacing w:line="360" w:lineRule="auto"/>
        <w:jc w:val="both"/>
        <w:rPr>
          <w:rFonts w:ascii="Palatino Linotype" w:hAnsi="Palatino Linotype" w:cs="Arial"/>
          <w:b/>
        </w:rPr>
      </w:pPr>
      <w:r w:rsidRPr="00E27E41">
        <w:rPr>
          <w:rFonts w:ascii="Palatino Linotype" w:hAnsi="Palatino Linotype" w:cs="Arial"/>
          <w:b/>
        </w:rPr>
        <w:t>Formalidades para emitir el Acuerdo de Clasificación.</w:t>
      </w:r>
    </w:p>
    <w:p w:rsidR="00DF6688" w:rsidRPr="00E27E41" w:rsidRDefault="00DF6688" w:rsidP="00DF6688">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E27E41"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rPr>
        <w:t>El Comité de Transparencia, según lo dispuesto en los artículos 128 y 103 de la Ley Estatal y de la Ley General, respectivamente, y la fracción III del numeral Segundo de los Lineamientos generales en materia de clasificación y desclasificación de la información, así</w:t>
      </w:r>
      <w:r w:rsidRPr="00E27E41">
        <w:rPr>
          <w:rFonts w:ascii="Palatino Linotype" w:eastAsia="MS Gothic" w:hAnsi="Palatino Linotype"/>
          <w:szCs w:val="26"/>
        </w:rPr>
        <w:t xml:space="preserve"> como para la elaboración de versiones públicas, en adelante los Lineamientos Generales, cuenta con las facultades para </w:t>
      </w:r>
      <w:r w:rsidRPr="00E27E41">
        <w:rPr>
          <w:rFonts w:ascii="Palatino Linotype" w:eastAsia="MS Gothic" w:hAnsi="Palatino Linotype"/>
          <w:b/>
          <w:szCs w:val="26"/>
          <w:u w:val="single"/>
        </w:rPr>
        <w:t>confirmar, modificar o revocar</w:t>
      </w:r>
      <w:r w:rsidRPr="00E27E41">
        <w:rPr>
          <w:rFonts w:ascii="Palatino Linotype" w:eastAsia="MS Gothic" w:hAnsi="Palatino Linotype"/>
          <w:szCs w:val="26"/>
        </w:rPr>
        <w:t xml:space="preserve"> la clasificación de la información que ha hecho el titular del área que administra la información. Por lo tanto, el Comité </w:t>
      </w:r>
      <w:r w:rsidRPr="00E27E41">
        <w:rPr>
          <w:rFonts w:ascii="Palatino Linotype" w:eastAsia="MS Gothic" w:hAnsi="Palatino Linotype"/>
          <w:b/>
          <w:szCs w:val="26"/>
          <w:u w:val="single"/>
        </w:rPr>
        <w:t>no aprueba</w:t>
      </w:r>
      <w:r w:rsidRPr="00E27E41">
        <w:rPr>
          <w:rFonts w:ascii="Palatino Linotype" w:eastAsia="MS Gothic" w:hAnsi="Palatino Linotype"/>
          <w:szCs w:val="26"/>
        </w:rPr>
        <w:t xml:space="preserve"> la clasificación, sino que revisa lo que ha hecho el titular del área y confirma, modifica o revoca la decisión a través de un acuerdo.</w:t>
      </w:r>
    </w:p>
    <w:p w:rsidR="00DF6688" w:rsidRPr="00E27E41" w:rsidRDefault="00DF6688" w:rsidP="008B613A">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E27E41"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szCs w:val="26"/>
        </w:rPr>
        <w:t xml:space="preserve">Evidentemente, esta decisión implica una restricción a un derecho humano, por lo tanto, puede generar un agravio al particular y, en consecuencia, es necesario que </w:t>
      </w:r>
      <w:r w:rsidRPr="00E27E41">
        <w:rPr>
          <w:rFonts w:ascii="Palatino Linotype" w:eastAsia="MS Gothic" w:hAnsi="Palatino Linotype"/>
          <w:b/>
          <w:szCs w:val="26"/>
          <w:u w:val="single"/>
        </w:rPr>
        <w:t>el acto reúna con los requisitos elementales</w:t>
      </w:r>
      <w:r w:rsidRPr="00E27E41">
        <w:rPr>
          <w:rFonts w:ascii="Palatino Linotype" w:eastAsia="MS Gothic" w:hAnsi="Palatino Linotype"/>
          <w:szCs w:val="26"/>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DF6688" w:rsidRPr="00E27E41" w:rsidRDefault="00DF6688" w:rsidP="008B613A">
      <w:pPr>
        <w:pStyle w:val="Prrafodelista"/>
        <w:spacing w:line="360" w:lineRule="auto"/>
        <w:ind w:left="0"/>
        <w:rPr>
          <w:rFonts w:ascii="Palatino Linotype" w:eastAsia="MS Gothic" w:hAnsi="Palatino Linotype"/>
          <w:szCs w:val="26"/>
        </w:rPr>
      </w:pPr>
    </w:p>
    <w:p w:rsidR="00DF6688" w:rsidRPr="008B613A" w:rsidRDefault="00DF6688" w:rsidP="00DF6688">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szCs w:val="26"/>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8B613A" w:rsidRPr="008B613A" w:rsidRDefault="008B613A" w:rsidP="008B613A">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E27E41" w:rsidRDefault="00DF6688" w:rsidP="008B613A">
      <w:pPr>
        <w:pStyle w:val="Prrafodelista"/>
        <w:numPr>
          <w:ilvl w:val="0"/>
          <w:numId w:val="11"/>
        </w:numPr>
        <w:tabs>
          <w:tab w:val="left" w:pos="142"/>
          <w:tab w:val="left" w:pos="284"/>
          <w:tab w:val="left" w:pos="426"/>
        </w:tabs>
        <w:spacing w:line="360" w:lineRule="auto"/>
        <w:jc w:val="both"/>
        <w:rPr>
          <w:rFonts w:ascii="Palatino Linotype" w:hAnsi="Palatino Linotype" w:cs="Arial"/>
          <w:b/>
        </w:rPr>
      </w:pPr>
      <w:r w:rsidRPr="00E27E41">
        <w:rPr>
          <w:rFonts w:ascii="Palatino Linotype" w:hAnsi="Palatino Linotype" w:cs="Arial"/>
          <w:b/>
        </w:rPr>
        <w:lastRenderedPageBreak/>
        <w:t>Requisitos de fondo del Acuerdo de Clasificación.</w:t>
      </w:r>
    </w:p>
    <w:p w:rsidR="00DF6688" w:rsidRPr="00E27E41" w:rsidRDefault="00DF6688" w:rsidP="00DF6688">
      <w:pPr>
        <w:pStyle w:val="Prrafodelista"/>
        <w:spacing w:line="360" w:lineRule="auto"/>
        <w:ind w:left="0"/>
        <w:rPr>
          <w:rFonts w:ascii="Palatino Linotype" w:eastAsia="MS Gothic" w:hAnsi="Palatino Linotype"/>
          <w:szCs w:val="26"/>
        </w:rPr>
      </w:pPr>
    </w:p>
    <w:p w:rsidR="00DF6688" w:rsidRPr="00E27E41"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szCs w:val="26"/>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DF6688" w:rsidRPr="00E27E41" w:rsidRDefault="00DF6688" w:rsidP="008B613A">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8B613A"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szCs w:val="26"/>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F6688" w:rsidRPr="00E27E41" w:rsidRDefault="00DF6688" w:rsidP="008B613A">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E27E41"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hAnsi="Palatino Linotype" w:cs="Arial"/>
        </w:rPr>
        <w:t>Por su parte, el intérprete judicial del país ha establecido una jurisprudencia respecto a qué debe entenderse por fundamentación y motivación, en los siguientes términos:</w:t>
      </w:r>
    </w:p>
    <w:p w:rsidR="00DF6688" w:rsidRPr="00E27E41" w:rsidRDefault="00DF6688" w:rsidP="00DF6688">
      <w:pPr>
        <w:pStyle w:val="Prrafodelista"/>
        <w:spacing w:line="360" w:lineRule="auto"/>
        <w:rPr>
          <w:rFonts w:ascii="Palatino Linotype" w:eastAsia="MS Gothic" w:hAnsi="Palatino Linotype"/>
        </w:rPr>
      </w:pPr>
    </w:p>
    <w:p w:rsidR="00DF6688" w:rsidRPr="00E27E41" w:rsidRDefault="00DF6688" w:rsidP="00DF6688">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b/>
          <w:i/>
          <w:color w:val="000000"/>
          <w:sz w:val="22"/>
        </w:rPr>
        <w:t>FUNDAMENTACIÓN Y MOTIVACIÓN.</w:t>
      </w:r>
      <w:r w:rsidRPr="00E27E41">
        <w:rPr>
          <w:rFonts w:ascii="Palatino Linotype" w:hAnsi="Palatino Linotype" w:cs="Arial"/>
          <w:i/>
          <w:color w:val="000000"/>
          <w:sz w:val="22"/>
        </w:rPr>
        <w:t xml:space="preserve"> “La </w:t>
      </w:r>
      <w:r w:rsidRPr="00E27E41">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E27E41">
        <w:rPr>
          <w:rFonts w:ascii="Palatino Linotype" w:hAnsi="Palatino Linotype" w:cs="Arial"/>
          <w:i/>
          <w:color w:val="000000"/>
          <w:sz w:val="22"/>
        </w:rPr>
        <w:t>.”</w:t>
      </w:r>
    </w:p>
    <w:p w:rsidR="00DF6688" w:rsidRPr="00E27E41" w:rsidRDefault="00DF6688" w:rsidP="00DF6688">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SEGUNDO TRIBUNAL COLEGIADO DEL SEXTO CIRCUITO.</w:t>
      </w:r>
    </w:p>
    <w:p w:rsidR="00DF6688" w:rsidRPr="00E27E41" w:rsidRDefault="00DF6688" w:rsidP="00DF6688">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Amparo directo 194/88. Bufete Industrial Construcciones, S.A. de C.V. 28 de junio de 1988. Unanimidad de votos. Ponente: Gustavo Calvillo Rangel. Secretario: Jorge Alberto González Álvarez.</w:t>
      </w:r>
    </w:p>
    <w:p w:rsidR="00DF6688" w:rsidRPr="00E27E41" w:rsidRDefault="00DF6688" w:rsidP="00DF6688">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Revisión fiscal 103/88. Instituto Mexicano del Seguro Social. 18 de octubre de 1988. Unanimidad de votos. Ponente: Arnoldo Nájera Virgen. Secretario: Alejandro </w:t>
      </w:r>
      <w:proofErr w:type="spellStart"/>
      <w:r w:rsidRPr="00E27E41">
        <w:rPr>
          <w:rFonts w:ascii="Palatino Linotype" w:hAnsi="Palatino Linotype" w:cs="Arial"/>
          <w:i/>
          <w:color w:val="000000"/>
          <w:sz w:val="22"/>
        </w:rPr>
        <w:t>Esponda</w:t>
      </w:r>
      <w:proofErr w:type="spellEnd"/>
      <w:r w:rsidRPr="00E27E41">
        <w:rPr>
          <w:rFonts w:ascii="Palatino Linotype" w:hAnsi="Palatino Linotype" w:cs="Arial"/>
          <w:i/>
          <w:color w:val="000000"/>
          <w:sz w:val="22"/>
        </w:rPr>
        <w:t xml:space="preserve"> Rincón.</w:t>
      </w:r>
    </w:p>
    <w:p w:rsidR="00DF6688" w:rsidRPr="00E27E41" w:rsidRDefault="00DF6688" w:rsidP="00DF6688">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Amparo en revisión 333/88. </w:t>
      </w:r>
      <w:proofErr w:type="spellStart"/>
      <w:r w:rsidRPr="00E27E41">
        <w:rPr>
          <w:rFonts w:ascii="Palatino Linotype" w:hAnsi="Palatino Linotype" w:cs="Arial"/>
          <w:i/>
          <w:color w:val="000000"/>
          <w:sz w:val="22"/>
        </w:rPr>
        <w:t>Adilia</w:t>
      </w:r>
      <w:proofErr w:type="spellEnd"/>
      <w:r w:rsidRPr="00E27E41">
        <w:rPr>
          <w:rFonts w:ascii="Palatino Linotype" w:hAnsi="Palatino Linotype" w:cs="Arial"/>
          <w:i/>
          <w:color w:val="000000"/>
          <w:sz w:val="22"/>
        </w:rPr>
        <w:t xml:space="preserve"> Romero. 26 de octubre de 1988. Unanimidad de votos. Ponente: Arnoldo Nájera Virgen. Secretario: Enrique Crispín Campos Ramírez.</w:t>
      </w:r>
    </w:p>
    <w:p w:rsidR="00DF6688" w:rsidRPr="00E27E41" w:rsidRDefault="00DF6688" w:rsidP="00DF6688">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Amparo en revisión 597/95. Emilio Maurer Bretón. 15 de noviembre de 1995. Unanimidad de votos. Ponente: Clementina Ramírez Moguel </w:t>
      </w:r>
      <w:proofErr w:type="spellStart"/>
      <w:r w:rsidRPr="00E27E41">
        <w:rPr>
          <w:rFonts w:ascii="Palatino Linotype" w:hAnsi="Palatino Linotype" w:cs="Arial"/>
          <w:i/>
          <w:color w:val="000000"/>
          <w:sz w:val="22"/>
        </w:rPr>
        <w:t>Goyzueta</w:t>
      </w:r>
      <w:proofErr w:type="spellEnd"/>
      <w:r w:rsidRPr="00E27E41">
        <w:rPr>
          <w:rFonts w:ascii="Palatino Linotype" w:hAnsi="Palatino Linotype" w:cs="Arial"/>
          <w:i/>
          <w:color w:val="000000"/>
          <w:sz w:val="22"/>
        </w:rPr>
        <w:t>. Secretario: Gonzalo Carrera Molina.</w:t>
      </w:r>
    </w:p>
    <w:p w:rsidR="00DF6688" w:rsidRPr="00E27E41" w:rsidRDefault="00DF6688" w:rsidP="00DF6688">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Amparo directo 7/96. Pedro Vicente López Miro. 21 de febrero de 1996. Unanimidad de votos. Ponente: María Eugenia Estela Martínez Cardiel. Secretario: Enrique </w:t>
      </w:r>
      <w:proofErr w:type="spellStart"/>
      <w:r w:rsidRPr="00E27E41">
        <w:rPr>
          <w:rFonts w:ascii="Palatino Linotype" w:hAnsi="Palatino Linotype" w:cs="Arial"/>
          <w:i/>
          <w:color w:val="000000"/>
          <w:sz w:val="22"/>
        </w:rPr>
        <w:t>Baigts</w:t>
      </w:r>
      <w:proofErr w:type="spellEnd"/>
      <w:r w:rsidRPr="00E27E41">
        <w:rPr>
          <w:rFonts w:ascii="Palatino Linotype" w:hAnsi="Palatino Linotype" w:cs="Arial"/>
          <w:i/>
          <w:color w:val="000000"/>
          <w:sz w:val="22"/>
        </w:rPr>
        <w:t xml:space="preserve"> Muñoz.</w:t>
      </w:r>
    </w:p>
    <w:p w:rsidR="00DF6688" w:rsidRPr="00E27E41" w:rsidRDefault="00DF6688" w:rsidP="00DF6688">
      <w:pPr>
        <w:pStyle w:val="Prrafodelista"/>
        <w:spacing w:line="360" w:lineRule="auto"/>
        <w:rPr>
          <w:rFonts w:ascii="Palatino Linotype" w:eastAsia="MS Gothic" w:hAnsi="Palatino Linotype"/>
        </w:rPr>
      </w:pPr>
    </w:p>
    <w:p w:rsidR="00DF6688" w:rsidRPr="00E27E41"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DF6688" w:rsidRPr="00E27E41" w:rsidRDefault="00DF6688" w:rsidP="008B613A">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2F54A0"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2F54A0" w:rsidRPr="008B613A" w:rsidRDefault="002F54A0" w:rsidP="002F54A0">
      <w:pPr>
        <w:pStyle w:val="Prrafodelista"/>
        <w:tabs>
          <w:tab w:val="left" w:pos="0"/>
        </w:tabs>
        <w:spacing w:line="360" w:lineRule="auto"/>
        <w:ind w:left="0" w:right="49"/>
        <w:jc w:val="both"/>
        <w:rPr>
          <w:rFonts w:ascii="Palatino Linotype" w:hAnsi="Palatino Linotype" w:cs="Arial"/>
          <w:color w:val="000000" w:themeColor="text1"/>
          <w:lang w:val="es-US"/>
        </w:rPr>
      </w:pPr>
    </w:p>
    <w:p w:rsidR="00DF6688" w:rsidRPr="00E27E41" w:rsidRDefault="00DF6688" w:rsidP="008B613A">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lang w:val="es-US"/>
        </w:rPr>
      </w:pPr>
      <w:r w:rsidRPr="00E27E41">
        <w:rPr>
          <w:rFonts w:ascii="Palatino Linotype" w:eastAsia="MS Gothic" w:hAnsi="Palatino Linotype"/>
        </w:rPr>
        <w:t>En ese mismo sentido, el numeral trigésimo tercero fracción V de los Lineamientos Generales, precisa que para motivar la clasificación se deben acreditar las circunstancias de tiempo, modo y lugar.</w:t>
      </w:r>
    </w:p>
    <w:p w:rsidR="00712D4C" w:rsidRPr="00712D4C" w:rsidRDefault="00712D4C" w:rsidP="008B613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8B613A" w:rsidRPr="009073ED" w:rsidRDefault="008B613A" w:rsidP="008B613A">
      <w:pPr>
        <w:pStyle w:val="Ttulo3"/>
        <w:numPr>
          <w:ilvl w:val="0"/>
          <w:numId w:val="11"/>
        </w:numPr>
        <w:rPr>
          <w:rFonts w:ascii="Palatino Linotype" w:hAnsi="Palatino Linotype"/>
          <w:b/>
          <w:bCs/>
          <w:color w:val="auto"/>
        </w:rPr>
      </w:pPr>
      <w:r w:rsidRPr="009073ED">
        <w:rPr>
          <w:rFonts w:ascii="Palatino Linotype" w:hAnsi="Palatino Linotype"/>
          <w:b/>
          <w:bCs/>
          <w:color w:val="auto"/>
        </w:rPr>
        <w:t xml:space="preserve">Condiciones especiales de la clasificación de la información como reservada </w:t>
      </w:r>
    </w:p>
    <w:p w:rsidR="008B613A" w:rsidRPr="009073ED" w:rsidRDefault="008B613A" w:rsidP="008B613A">
      <w:pPr>
        <w:spacing w:line="360" w:lineRule="auto"/>
        <w:contextualSpacing/>
        <w:jc w:val="both"/>
        <w:rPr>
          <w:rFonts w:ascii="Palatino Linotype" w:hAnsi="Palatino Linotype" w:cs="Arial"/>
          <w:b/>
          <w:color w:val="000000" w:themeColor="text1"/>
        </w:rPr>
      </w:pPr>
    </w:p>
    <w:p w:rsidR="008B613A" w:rsidRPr="008B613A" w:rsidRDefault="008B613A" w:rsidP="008B613A">
      <w:pPr>
        <w:pStyle w:val="Prrafodelista"/>
        <w:numPr>
          <w:ilvl w:val="0"/>
          <w:numId w:val="15"/>
        </w:numPr>
        <w:ind w:left="851" w:firstLine="0"/>
        <w:rPr>
          <w:rFonts w:ascii="Palatino Linotype" w:eastAsiaTheme="majorEastAsia" w:hAnsi="Palatino Linotype" w:cstheme="majorBidi"/>
          <w:b/>
          <w:color w:val="000000" w:themeColor="text1"/>
        </w:rPr>
      </w:pPr>
      <w:r w:rsidRPr="008B613A">
        <w:rPr>
          <w:rFonts w:ascii="Palatino Linotype" w:eastAsiaTheme="majorEastAsia" w:hAnsi="Palatino Linotype" w:cstheme="majorBidi"/>
          <w:b/>
          <w:color w:val="000000" w:themeColor="text1"/>
        </w:rPr>
        <w:t>La fundamentación específica.</w:t>
      </w:r>
    </w:p>
    <w:p w:rsidR="008B613A" w:rsidRPr="009073ED" w:rsidRDefault="008B613A" w:rsidP="008B613A">
      <w:pPr>
        <w:rPr>
          <w:rFonts w:ascii="Palatino Linotype" w:eastAsiaTheme="majorEastAsia" w:hAnsi="Palatino Linotype" w:cstheme="majorBidi"/>
          <w:b/>
          <w:color w:val="000000" w:themeColor="text1"/>
        </w:rPr>
      </w:pPr>
    </w:p>
    <w:p w:rsidR="008B613A" w:rsidRPr="009073ED" w:rsidRDefault="008B613A" w:rsidP="008B613A">
      <w:pPr>
        <w:numPr>
          <w:ilvl w:val="0"/>
          <w:numId w:val="1"/>
        </w:numPr>
        <w:spacing w:after="160" w:line="360" w:lineRule="auto"/>
        <w:ind w:left="0" w:firstLine="0"/>
        <w:contextualSpacing/>
        <w:jc w:val="both"/>
        <w:rPr>
          <w:rFonts w:ascii="Palatino Linotype" w:hAnsi="Palatino Linotype" w:cs="Arial"/>
          <w:color w:val="000000" w:themeColor="text1"/>
        </w:rPr>
      </w:pPr>
      <w:r w:rsidRPr="009073ED">
        <w:rPr>
          <w:rFonts w:ascii="Palatino Linotype" w:hAnsi="Palatino Linotype" w:cs="Arial"/>
          <w:color w:val="000000" w:themeColor="text1"/>
        </w:rPr>
        <w:t xml:space="preserve">Los artículos 128 segundo párrafo y 103 segundo párrafo de las leyes estatal y general, respectivamente, señalan que, en el caso de la información reservada, se debe de señalar las razones, motivos o circunstancias especiales que llevan a concluir que </w:t>
      </w:r>
      <w:r w:rsidRPr="009073ED">
        <w:rPr>
          <w:rFonts w:ascii="Palatino Linotype" w:hAnsi="Palatino Linotype" w:cs="Arial"/>
          <w:color w:val="000000" w:themeColor="text1"/>
        </w:rPr>
        <w:lastRenderedPageBreak/>
        <w:t>el caso fáctico se corresponde con la norma. Por esta razón, la motivación del acto, el 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w:t>
      </w:r>
    </w:p>
    <w:p w:rsidR="008B613A" w:rsidRPr="009073ED" w:rsidRDefault="008B613A" w:rsidP="008B613A">
      <w:pPr>
        <w:spacing w:line="360" w:lineRule="auto"/>
        <w:contextualSpacing/>
        <w:jc w:val="both"/>
        <w:rPr>
          <w:rFonts w:ascii="Palatino Linotype" w:hAnsi="Palatino Linotype" w:cs="Arial"/>
          <w:b/>
          <w:color w:val="000000" w:themeColor="text1"/>
        </w:rPr>
      </w:pPr>
    </w:p>
    <w:p w:rsidR="008B613A" w:rsidRPr="008B613A" w:rsidRDefault="008B613A" w:rsidP="008B613A">
      <w:pPr>
        <w:pStyle w:val="Prrafodelista"/>
        <w:numPr>
          <w:ilvl w:val="0"/>
          <w:numId w:val="15"/>
        </w:numPr>
        <w:ind w:left="851" w:hanging="11"/>
        <w:rPr>
          <w:rFonts w:ascii="Palatino Linotype" w:eastAsiaTheme="majorEastAsia" w:hAnsi="Palatino Linotype" w:cstheme="majorBidi"/>
          <w:b/>
          <w:color w:val="000000" w:themeColor="text1"/>
        </w:rPr>
      </w:pPr>
      <w:r w:rsidRPr="008B613A">
        <w:rPr>
          <w:rFonts w:ascii="Palatino Linotype" w:eastAsiaTheme="majorEastAsia" w:hAnsi="Palatino Linotype" w:cstheme="majorBidi"/>
          <w:b/>
          <w:color w:val="000000" w:themeColor="text1"/>
        </w:rPr>
        <w:t>La prueba de daño.</w:t>
      </w:r>
    </w:p>
    <w:p w:rsidR="008B613A" w:rsidRPr="009073ED" w:rsidRDefault="008B613A" w:rsidP="008B613A">
      <w:pPr>
        <w:spacing w:line="360" w:lineRule="auto"/>
        <w:contextualSpacing/>
        <w:jc w:val="both"/>
        <w:rPr>
          <w:rFonts w:ascii="Palatino Linotype" w:hAnsi="Palatino Linotype"/>
          <w:color w:val="000000" w:themeColor="text1"/>
        </w:rPr>
      </w:pPr>
    </w:p>
    <w:p w:rsidR="008B613A" w:rsidRPr="009073ED" w:rsidRDefault="008B613A" w:rsidP="008B613A">
      <w:pPr>
        <w:numPr>
          <w:ilvl w:val="0"/>
          <w:numId w:val="1"/>
        </w:numPr>
        <w:spacing w:after="160" w:line="360" w:lineRule="auto"/>
        <w:ind w:left="0" w:firstLine="0"/>
        <w:contextualSpacing/>
        <w:jc w:val="both"/>
        <w:rPr>
          <w:rFonts w:ascii="Palatino Linotype" w:hAnsi="Palatino Linotype"/>
          <w:color w:val="000000" w:themeColor="text1"/>
        </w:rPr>
      </w:pPr>
      <w:r w:rsidRPr="009073ED">
        <w:rPr>
          <w:rFonts w:ascii="Palatino Linotype" w:hAnsi="Palatino Linotype"/>
          <w:color w:val="000000" w:themeColor="text1"/>
        </w:rPr>
        <w:t>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rsidR="008B613A" w:rsidRPr="009073ED" w:rsidRDefault="008B613A" w:rsidP="008B613A">
      <w:pPr>
        <w:spacing w:line="360" w:lineRule="auto"/>
        <w:contextualSpacing/>
        <w:jc w:val="both"/>
        <w:rPr>
          <w:rFonts w:ascii="Palatino Linotype" w:hAnsi="Palatino Linotype"/>
          <w:color w:val="000000" w:themeColor="text1"/>
        </w:rPr>
      </w:pPr>
    </w:p>
    <w:p w:rsidR="008B613A" w:rsidRPr="009073ED" w:rsidRDefault="008B613A" w:rsidP="008B613A">
      <w:pPr>
        <w:numPr>
          <w:ilvl w:val="0"/>
          <w:numId w:val="1"/>
        </w:numPr>
        <w:spacing w:after="160" w:line="360" w:lineRule="auto"/>
        <w:ind w:left="0" w:firstLine="0"/>
        <w:contextualSpacing/>
        <w:jc w:val="both"/>
        <w:rPr>
          <w:rFonts w:ascii="Palatino Linotype" w:hAnsi="Palatino Linotype"/>
          <w:color w:val="000000" w:themeColor="text1"/>
        </w:rPr>
      </w:pPr>
      <w:r w:rsidRPr="009073ED">
        <w:rPr>
          <w:rFonts w:ascii="Palatino Linotype" w:hAnsi="Palatino Linotype"/>
          <w:color w:val="000000" w:themeColor="text1"/>
        </w:rPr>
        <w:t>Para aplicar la prueba de daño, se deberán de precisar las razones objetivas por las que la apertura genera una afectación, acreditando que:</w:t>
      </w:r>
    </w:p>
    <w:p w:rsidR="008B613A" w:rsidRPr="009073ED" w:rsidRDefault="008B613A" w:rsidP="008B613A">
      <w:pPr>
        <w:spacing w:line="360" w:lineRule="auto"/>
        <w:contextualSpacing/>
        <w:jc w:val="both"/>
        <w:rPr>
          <w:rFonts w:ascii="Palatino Linotype" w:hAnsi="Palatino Linotype"/>
          <w:color w:val="000000" w:themeColor="text1"/>
        </w:rPr>
      </w:pPr>
    </w:p>
    <w:p w:rsidR="008B613A" w:rsidRPr="008B613A" w:rsidRDefault="008B613A" w:rsidP="008B613A">
      <w:pPr>
        <w:widowControl w:val="0"/>
        <w:tabs>
          <w:tab w:val="left" w:pos="8222"/>
        </w:tabs>
        <w:autoSpaceDE w:val="0"/>
        <w:autoSpaceDN w:val="0"/>
        <w:adjustRightInd w:val="0"/>
        <w:spacing w:after="240" w:line="360" w:lineRule="auto"/>
        <w:ind w:left="851" w:right="822"/>
        <w:jc w:val="both"/>
        <w:rPr>
          <w:rFonts w:ascii="Palatino Linotype" w:hAnsi="Palatino Linotype" w:cs="Times"/>
          <w:i/>
          <w:color w:val="000000" w:themeColor="text1"/>
          <w:sz w:val="22"/>
        </w:rPr>
      </w:pPr>
      <w:r w:rsidRPr="008B613A">
        <w:rPr>
          <w:rFonts w:ascii="Palatino Linotype" w:hAnsi="Palatino Linotype" w:cs="Bookman Old Style"/>
          <w:bCs/>
          <w:i/>
          <w:color w:val="000000" w:themeColor="text1"/>
          <w:sz w:val="22"/>
        </w:rPr>
        <w:lastRenderedPageBreak/>
        <w:t xml:space="preserve">I. </w:t>
      </w:r>
      <w:r w:rsidRPr="008B613A">
        <w:rPr>
          <w:rFonts w:ascii="Palatino Linotype" w:hAnsi="Palatino Linotype" w:cs="Bookman Old Style"/>
          <w:i/>
          <w:color w:val="000000" w:themeColor="text1"/>
          <w:sz w:val="22"/>
        </w:rPr>
        <w:t xml:space="preserve">La divulgación de la información representa un riesgo real, demostrable e identificable del perjuicio significativo al interés público o a la seguridad pública; </w:t>
      </w:r>
    </w:p>
    <w:p w:rsidR="008B613A" w:rsidRPr="008B613A" w:rsidRDefault="008B613A" w:rsidP="008B613A">
      <w:pPr>
        <w:widowControl w:val="0"/>
        <w:tabs>
          <w:tab w:val="left" w:pos="8222"/>
        </w:tabs>
        <w:autoSpaceDE w:val="0"/>
        <w:autoSpaceDN w:val="0"/>
        <w:adjustRightInd w:val="0"/>
        <w:spacing w:after="240" w:line="360" w:lineRule="auto"/>
        <w:ind w:left="851" w:right="822"/>
        <w:jc w:val="both"/>
        <w:rPr>
          <w:rFonts w:ascii="Palatino Linotype" w:hAnsi="Palatino Linotype" w:cs="Times"/>
          <w:i/>
          <w:color w:val="000000" w:themeColor="text1"/>
          <w:sz w:val="22"/>
        </w:rPr>
      </w:pPr>
      <w:r w:rsidRPr="008B613A">
        <w:rPr>
          <w:rFonts w:ascii="Palatino Linotype" w:hAnsi="Palatino Linotype" w:cs="Bookman Old Style"/>
          <w:bCs/>
          <w:i/>
          <w:color w:val="000000" w:themeColor="text1"/>
          <w:sz w:val="22"/>
        </w:rPr>
        <w:t xml:space="preserve">II. </w:t>
      </w:r>
      <w:r w:rsidRPr="008B613A">
        <w:rPr>
          <w:rFonts w:ascii="Palatino Linotype" w:hAnsi="Palatino Linotype" w:cs="Bookman Old Style"/>
          <w:i/>
          <w:color w:val="000000" w:themeColor="text1"/>
          <w:sz w:val="22"/>
        </w:rPr>
        <w:t xml:space="preserve">El riesgo de perjuicio que supondría la divulgación supera el interés público general de que se difunda; y </w:t>
      </w:r>
    </w:p>
    <w:p w:rsidR="008B613A" w:rsidRPr="008B613A" w:rsidRDefault="008B613A" w:rsidP="008B613A">
      <w:pPr>
        <w:widowControl w:val="0"/>
        <w:tabs>
          <w:tab w:val="left" w:pos="8222"/>
        </w:tabs>
        <w:autoSpaceDE w:val="0"/>
        <w:autoSpaceDN w:val="0"/>
        <w:adjustRightInd w:val="0"/>
        <w:spacing w:after="240" w:line="360" w:lineRule="auto"/>
        <w:ind w:left="851" w:right="822"/>
        <w:jc w:val="both"/>
        <w:rPr>
          <w:rFonts w:ascii="Palatino Linotype" w:hAnsi="Palatino Linotype" w:cs="Times"/>
          <w:i/>
          <w:color w:val="000000" w:themeColor="text1"/>
          <w:sz w:val="22"/>
        </w:rPr>
      </w:pPr>
      <w:r w:rsidRPr="008B613A">
        <w:rPr>
          <w:rFonts w:ascii="Palatino Linotype" w:hAnsi="Palatino Linotype" w:cs="Bookman Old Style"/>
          <w:bCs/>
          <w:i/>
          <w:color w:val="000000" w:themeColor="text1"/>
          <w:sz w:val="22"/>
        </w:rPr>
        <w:t xml:space="preserve">III. </w:t>
      </w:r>
      <w:r w:rsidRPr="008B613A">
        <w:rPr>
          <w:rFonts w:ascii="Palatino Linotype" w:hAnsi="Palatino Linotype" w:cs="Bookman Old Style"/>
          <w:i/>
          <w:color w:val="000000" w:themeColor="text1"/>
          <w:sz w:val="22"/>
        </w:rPr>
        <w:t xml:space="preserve">La limitación se adecua al principio de proporcionalidad y representa el medio menos restrictivo disponible para evitar el perjuicio. </w:t>
      </w:r>
    </w:p>
    <w:p w:rsidR="007A3802" w:rsidRPr="00077FA9" w:rsidRDefault="008B613A" w:rsidP="007A3802">
      <w:pPr>
        <w:numPr>
          <w:ilvl w:val="0"/>
          <w:numId w:val="1"/>
        </w:numPr>
        <w:shd w:val="clear" w:color="auto" w:fill="FFFFFF"/>
        <w:spacing w:before="240" w:after="160" w:afterAutospacing="1" w:line="360" w:lineRule="auto"/>
        <w:ind w:left="0" w:firstLine="0"/>
        <w:contextualSpacing/>
        <w:jc w:val="both"/>
        <w:textAlignment w:val="baseline"/>
        <w:rPr>
          <w:rFonts w:ascii="Palatino Linotype" w:hAnsi="Palatino Linotype" w:cs="Arial"/>
          <w:color w:val="000000" w:themeColor="text1"/>
        </w:rPr>
      </w:pPr>
      <w:r w:rsidRPr="00077FA9">
        <w:rPr>
          <w:rFonts w:ascii="Palatino Linotype" w:hAnsi="Palatino Linotype"/>
          <w:color w:val="000000" w:themeColor="text1"/>
        </w:rPr>
        <w:t>Los elementos que brevemente se han señalado son todos los que deben de integrar el proceso de clasificación total o parcial de la información para, especialmente, responder a las solicitudes. La falta de cualquiera de ellos puede provocar que el acto que limita o restringe el acceso a la información sea considerada infundado y se proceda a ordenar la desclasificación de la información por el incumplimiento de las formalidades, es decir, por vicios de legalid</w:t>
      </w:r>
      <w:r w:rsidR="00E041DC" w:rsidRPr="00077FA9">
        <w:rPr>
          <w:rFonts w:ascii="Palatino Linotype" w:hAnsi="Palatino Linotype"/>
          <w:color w:val="000000" w:themeColor="text1"/>
        </w:rPr>
        <w:t xml:space="preserve">ad o a la reposición del acto. </w:t>
      </w:r>
    </w:p>
    <w:p w:rsidR="007A3802" w:rsidRPr="00E041DC" w:rsidRDefault="007A3802" w:rsidP="007A3802">
      <w:pPr>
        <w:shd w:val="clear" w:color="auto" w:fill="FFFFFF"/>
        <w:spacing w:before="240" w:after="160" w:afterAutospacing="1" w:line="360" w:lineRule="auto"/>
        <w:contextualSpacing/>
        <w:jc w:val="both"/>
        <w:textAlignment w:val="baseline"/>
        <w:rPr>
          <w:rFonts w:ascii="Palatino Linotype" w:hAnsi="Palatino Linotype" w:cs="Arial"/>
        </w:rPr>
      </w:pPr>
    </w:p>
    <w:p w:rsidR="007A3802" w:rsidRPr="007A3802" w:rsidRDefault="007A3802" w:rsidP="007A3802">
      <w:pPr>
        <w:numPr>
          <w:ilvl w:val="0"/>
          <w:numId w:val="1"/>
        </w:numPr>
        <w:shd w:val="clear" w:color="auto" w:fill="FFFFFF"/>
        <w:spacing w:before="240" w:after="160" w:afterAutospacing="1" w:line="360" w:lineRule="auto"/>
        <w:ind w:left="0" w:firstLine="0"/>
        <w:contextualSpacing/>
        <w:jc w:val="both"/>
        <w:textAlignment w:val="baseline"/>
        <w:rPr>
          <w:rFonts w:ascii="Palatino Linotype" w:hAnsi="Palatino Linotype" w:cs="Arial"/>
          <w:color w:val="000000" w:themeColor="text1"/>
        </w:rPr>
      </w:pPr>
      <w:r w:rsidRPr="007A3802">
        <w:rPr>
          <w:rFonts w:ascii="Palatino Linotype" w:eastAsia="Palatino Linotype" w:hAnsi="Palatino Linotype" w:cs="Palatino Linotype"/>
        </w:rPr>
        <w:t xml:space="preserve">Ahora bien, resulta necesario, analizar dicho Acuerdo de Reserva de la información antes referido, entregado por el </w:t>
      </w:r>
      <w:r w:rsidRPr="007A3802">
        <w:rPr>
          <w:rFonts w:ascii="Palatino Linotype" w:eastAsia="Palatino Linotype" w:hAnsi="Palatino Linotype" w:cs="Palatino Linotype"/>
          <w:b/>
        </w:rPr>
        <w:t>SUJETO OBLIGADO</w:t>
      </w:r>
      <w:r w:rsidRPr="007A3802">
        <w:rPr>
          <w:rFonts w:ascii="Palatino Linotype" w:eastAsia="Palatino Linotype" w:hAnsi="Palatino Linotype" w:cs="Palatino Linotype"/>
        </w:rPr>
        <w:t>, en su respuesta, a fin de establecer si el Comité de Transparencia cumplió o no cabalmente con las formalidades exigidas por con el artículo 113 de la Ley General de Transparencia y Acceso a la Información Pública, numeral trigésimo fracción I de los Lineamientos Generales en Materia de Clasificación y Desclasificación de la Información, así como para la Elaboración de Versiones Públicas, así como los artículos 91, 128, 129</w:t>
      </w:r>
      <w:r w:rsidR="00914BE1" w:rsidRPr="00D60D66">
        <w:rPr>
          <w:rFonts w:ascii="Palatino Linotype" w:eastAsia="Palatino Linotype" w:hAnsi="Palatino Linotype" w:cs="Palatino Linotype"/>
        </w:rPr>
        <w:t xml:space="preserve">, 140, </w:t>
      </w:r>
      <w:r w:rsidR="00914BE1" w:rsidRPr="00D60D66">
        <w:rPr>
          <w:rFonts w:ascii="Palatino Linotype" w:eastAsia="Palatino Linotype" w:hAnsi="Palatino Linotype" w:cs="Palatino Linotype"/>
        </w:rPr>
        <w:lastRenderedPageBreak/>
        <w:t>fracción  VI,</w:t>
      </w:r>
      <w:r w:rsidRPr="00D60D66">
        <w:rPr>
          <w:rFonts w:ascii="Palatino Linotype" w:eastAsia="Palatino Linotype" w:hAnsi="Palatino Linotype" w:cs="Palatino Linotype"/>
        </w:rPr>
        <w:t xml:space="preserve"> VIII</w:t>
      </w:r>
      <w:r w:rsidR="00914BE1" w:rsidRPr="00D60D66">
        <w:rPr>
          <w:rFonts w:ascii="Palatino Linotype" w:eastAsia="Palatino Linotype" w:hAnsi="Palatino Linotype" w:cs="Palatino Linotype"/>
        </w:rPr>
        <w:t xml:space="preserve"> Y X</w:t>
      </w:r>
      <w:r w:rsidRPr="00D60D66">
        <w:rPr>
          <w:rFonts w:ascii="Palatino Linotype" w:eastAsia="Palatino Linotype" w:hAnsi="Palatino Linotype" w:cs="Palatino Linotype"/>
        </w:rPr>
        <w:t xml:space="preserve"> de la ley local,</w:t>
      </w:r>
      <w:r w:rsidRPr="007A3802">
        <w:rPr>
          <w:rFonts w:ascii="Palatino Linotype" w:eastAsia="Palatino Linotype" w:hAnsi="Palatino Linotype" w:cs="Palatino Linotype"/>
        </w:rPr>
        <w:t xml:space="preserve">  y 141, de la Ley de Transparencia y Acceso a la Información Pública del Estado de México y Municipios, relacionadas con las fracciones X y XI de la Ley General y Numerales Vigésimo Noveno y Trigésimo de los lineamientos: </w:t>
      </w:r>
    </w:p>
    <w:p w:rsidR="007A3802" w:rsidRPr="007A3802" w:rsidRDefault="007A3802" w:rsidP="007A3802">
      <w:pPr>
        <w:shd w:val="clear" w:color="auto" w:fill="FFFFFF"/>
        <w:spacing w:before="240" w:after="160" w:afterAutospacing="1" w:line="360" w:lineRule="auto"/>
        <w:contextualSpacing/>
        <w:jc w:val="both"/>
        <w:textAlignment w:val="baseline"/>
        <w:rPr>
          <w:rFonts w:ascii="Palatino Linotype" w:hAnsi="Palatino Linotype" w:cs="Arial"/>
          <w:color w:val="000000" w:themeColor="text1"/>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812"/>
        <w:gridCol w:w="1178"/>
      </w:tblGrid>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shd w:val="clear" w:color="auto" w:fill="7B7B7B"/>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Elementos del acuerdo de clasificación</w:t>
            </w:r>
          </w:p>
        </w:tc>
        <w:tc>
          <w:tcPr>
            <w:tcW w:w="5812" w:type="dxa"/>
            <w:tcBorders>
              <w:top w:val="single" w:sz="4" w:space="0" w:color="000000"/>
              <w:left w:val="single" w:sz="4" w:space="0" w:color="000000"/>
              <w:bottom w:val="single" w:sz="4" w:space="0" w:color="000000"/>
              <w:right w:val="single" w:sz="4" w:space="0" w:color="000000"/>
            </w:tcBorders>
            <w:shd w:val="clear" w:color="auto" w:fill="7B7B7B"/>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Contenido</w:t>
            </w:r>
          </w:p>
        </w:tc>
        <w:tc>
          <w:tcPr>
            <w:tcW w:w="1178" w:type="dxa"/>
            <w:tcBorders>
              <w:top w:val="single" w:sz="4" w:space="0" w:color="000000"/>
              <w:left w:val="single" w:sz="4" w:space="0" w:color="000000"/>
              <w:bottom w:val="single" w:sz="4" w:space="0" w:color="000000"/>
              <w:right w:val="single" w:sz="4" w:space="0" w:color="000000"/>
            </w:tcBorders>
            <w:shd w:val="clear" w:color="auto" w:fill="7B7B7B"/>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Cumple</w:t>
            </w: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sz w:val="16"/>
                <w:szCs w:val="16"/>
              </w:rPr>
            </w:pPr>
            <w:r w:rsidRPr="007A3802">
              <w:rPr>
                <w:rFonts w:ascii="Palatino Linotype" w:eastAsia="Palatino Linotype" w:hAnsi="Palatino Linotype" w:cs="Palatino Linotype"/>
                <w:b/>
                <w:sz w:val="16"/>
                <w:szCs w:val="16"/>
              </w:rPr>
              <w:t>Número de folio de la solicitud</w:t>
            </w:r>
          </w:p>
        </w:tc>
        <w:tc>
          <w:tcPr>
            <w:tcW w:w="5812"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rPr>
                <w:sz w:val="16"/>
                <w:szCs w:val="16"/>
              </w:rPr>
            </w:pPr>
            <w:r w:rsidRPr="007A3802">
              <w:rPr>
                <w:sz w:val="16"/>
                <w:szCs w:val="16"/>
              </w:rPr>
              <w:t xml:space="preserve"> </w:t>
            </w:r>
            <w:r w:rsidR="00E041DC" w:rsidRPr="00E041DC">
              <w:rPr>
                <w:noProof/>
                <w:sz w:val="16"/>
                <w:szCs w:val="16"/>
              </w:rPr>
              <w:drawing>
                <wp:inline distT="0" distB="0" distL="0" distR="0" wp14:anchorId="6C44B744" wp14:editId="27760657">
                  <wp:extent cx="3283585"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83585" cy="438150"/>
                          </a:xfrm>
                          <a:prstGeom prst="rect">
                            <a:avLst/>
                          </a:prstGeom>
                        </pic:spPr>
                      </pic:pic>
                    </a:graphicData>
                  </a:graphic>
                </wp:inline>
              </w:drawing>
            </w:r>
          </w:p>
        </w:tc>
        <w:tc>
          <w:tcPr>
            <w:tcW w:w="117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Sí</w:t>
            </w: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sz w:val="16"/>
                <w:szCs w:val="16"/>
              </w:rPr>
            </w:pPr>
            <w:r w:rsidRPr="007A3802">
              <w:rPr>
                <w:rFonts w:ascii="Palatino Linotype" w:eastAsia="Palatino Linotype" w:hAnsi="Palatino Linotype" w:cs="Palatino Linotype"/>
                <w:b/>
                <w:sz w:val="16"/>
                <w:szCs w:val="16"/>
              </w:rPr>
              <w:t>Referencia de la información solicitada</w:t>
            </w:r>
          </w:p>
        </w:tc>
        <w:tc>
          <w:tcPr>
            <w:tcW w:w="5812" w:type="dxa"/>
            <w:tcBorders>
              <w:top w:val="single" w:sz="4" w:space="0" w:color="000000"/>
              <w:left w:val="single" w:sz="4" w:space="0" w:color="000000"/>
              <w:bottom w:val="single" w:sz="4" w:space="0" w:color="000000"/>
              <w:right w:val="single" w:sz="4" w:space="0" w:color="000000"/>
            </w:tcBorders>
          </w:tcPr>
          <w:p w:rsidR="007A3802" w:rsidRPr="007A3802" w:rsidRDefault="00E041DC" w:rsidP="00F27AC9">
            <w:pPr>
              <w:spacing w:before="100" w:after="200" w:line="276" w:lineRule="auto"/>
              <w:jc w:val="center"/>
              <w:rPr>
                <w:sz w:val="16"/>
                <w:szCs w:val="16"/>
              </w:rPr>
            </w:pPr>
            <w:r w:rsidRPr="00E041DC">
              <w:rPr>
                <w:noProof/>
                <w:sz w:val="16"/>
                <w:szCs w:val="16"/>
              </w:rPr>
              <w:drawing>
                <wp:inline distT="0" distB="0" distL="0" distR="0" wp14:anchorId="638A9430" wp14:editId="4CD18CA2">
                  <wp:extent cx="3283585"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3585" cy="654050"/>
                          </a:xfrm>
                          <a:prstGeom prst="rect">
                            <a:avLst/>
                          </a:prstGeom>
                        </pic:spPr>
                      </pic:pic>
                    </a:graphicData>
                  </a:graphic>
                </wp:inline>
              </w:drawing>
            </w:r>
            <w:r w:rsidR="007A3802" w:rsidRPr="007A3802">
              <w:rPr>
                <w:sz w:val="16"/>
                <w:szCs w:val="16"/>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sz w:val="16"/>
                <w:szCs w:val="16"/>
              </w:rPr>
            </w:pPr>
            <w:r w:rsidRPr="007A3802">
              <w:rPr>
                <w:rFonts w:ascii="Palatino Linotype" w:eastAsia="Palatino Linotype" w:hAnsi="Palatino Linotype" w:cs="Palatino Linotype"/>
                <w:b/>
                <w:sz w:val="16"/>
                <w:szCs w:val="16"/>
              </w:rPr>
              <w:t>Sí</w:t>
            </w: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sz w:val="16"/>
                <w:szCs w:val="16"/>
              </w:rPr>
            </w:pPr>
            <w:r w:rsidRPr="007A3802">
              <w:rPr>
                <w:rFonts w:ascii="Palatino Linotype" w:eastAsia="Palatino Linotype" w:hAnsi="Palatino Linotype" w:cs="Palatino Linotype"/>
                <w:b/>
                <w:sz w:val="16"/>
                <w:szCs w:val="16"/>
              </w:rPr>
              <w:t>Causal aplicable del artículo 113 de la Ley General, vinculándola con el Lineamiento específico del presente ordenamiento y, cuando corresponda, el supuesto normativo que expresamente le otorga el carácter de información reservada</w:t>
            </w:r>
          </w:p>
        </w:tc>
        <w:tc>
          <w:tcPr>
            <w:tcW w:w="5812"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rPr>
                <w:sz w:val="16"/>
                <w:szCs w:val="16"/>
              </w:rPr>
            </w:pPr>
            <w:r w:rsidRPr="007A3802">
              <w:rPr>
                <w:sz w:val="16"/>
                <w:szCs w:val="16"/>
              </w:rPr>
              <w:t xml:space="preserve"> </w:t>
            </w:r>
          </w:p>
          <w:p w:rsidR="007A3802" w:rsidRPr="007A3802" w:rsidRDefault="00A116FF" w:rsidP="00F27AC9">
            <w:pPr>
              <w:spacing w:before="100" w:after="200" w:line="276" w:lineRule="auto"/>
              <w:rPr>
                <w:sz w:val="16"/>
                <w:szCs w:val="16"/>
              </w:rPr>
            </w:pPr>
            <w:r w:rsidRPr="00A116FF">
              <w:rPr>
                <w:noProof/>
                <w:sz w:val="16"/>
                <w:szCs w:val="16"/>
              </w:rPr>
              <w:drawing>
                <wp:inline distT="0" distB="0" distL="0" distR="0" wp14:anchorId="65DF03E2" wp14:editId="732C0560">
                  <wp:extent cx="3283585" cy="12280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3585" cy="1228090"/>
                          </a:xfrm>
                          <a:prstGeom prst="rect">
                            <a:avLst/>
                          </a:prstGeom>
                        </pic:spPr>
                      </pic:pic>
                    </a:graphicData>
                  </a:graphic>
                </wp:inline>
              </w:drawing>
            </w:r>
          </w:p>
        </w:tc>
        <w:tc>
          <w:tcPr>
            <w:tcW w:w="1178" w:type="dxa"/>
            <w:tcBorders>
              <w:top w:val="single" w:sz="4" w:space="0" w:color="000000"/>
              <w:left w:val="single" w:sz="4" w:space="0" w:color="000000"/>
              <w:bottom w:val="single" w:sz="4" w:space="0" w:color="000000"/>
              <w:right w:val="single" w:sz="4" w:space="0" w:color="000000"/>
            </w:tcBorders>
          </w:tcPr>
          <w:p w:rsidR="007A3802" w:rsidRPr="007A3802" w:rsidRDefault="007C164D" w:rsidP="00F27AC9">
            <w:pPr>
              <w:spacing w:before="100" w:after="200" w:line="276" w:lineRule="auto"/>
              <w:jc w:val="center"/>
              <w:rPr>
                <w:rFonts w:ascii="Palatino Linotype" w:eastAsia="Palatino Linotype" w:hAnsi="Palatino Linotype" w:cs="Palatino Linotype"/>
                <w:b/>
                <w:sz w:val="16"/>
                <w:szCs w:val="16"/>
              </w:rPr>
            </w:pPr>
            <w:r w:rsidRPr="000751DE">
              <w:rPr>
                <w:rFonts w:ascii="Palatino Linotype" w:eastAsia="Palatino Linotype" w:hAnsi="Palatino Linotype" w:cs="Palatino Linotype"/>
                <w:b/>
                <w:sz w:val="16"/>
                <w:szCs w:val="16"/>
              </w:rPr>
              <w:t>No</w:t>
            </w:r>
          </w:p>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p>
        </w:tc>
      </w:tr>
      <w:tr w:rsidR="006F2208" w:rsidRPr="007A3802" w:rsidTr="004C5756">
        <w:tc>
          <w:tcPr>
            <w:tcW w:w="1838" w:type="dxa"/>
            <w:tcBorders>
              <w:top w:val="single" w:sz="4" w:space="0" w:color="000000"/>
              <w:left w:val="single" w:sz="4" w:space="0" w:color="000000"/>
              <w:bottom w:val="single" w:sz="4" w:space="0" w:color="000000"/>
              <w:right w:val="single" w:sz="4" w:space="0" w:color="000000"/>
            </w:tcBorders>
          </w:tcPr>
          <w:p w:rsidR="006F2208" w:rsidRPr="007A3802" w:rsidRDefault="006F2208" w:rsidP="00F27AC9">
            <w:pPr>
              <w:spacing w:before="100" w:after="200" w:line="276" w:lineRule="auto"/>
              <w:jc w:val="center"/>
              <w:rPr>
                <w:rFonts w:ascii="Palatino Linotype" w:eastAsia="Palatino Linotype" w:hAnsi="Palatino Linotype" w:cs="Palatino Linotype"/>
                <w:b/>
                <w:sz w:val="16"/>
                <w:szCs w:val="16"/>
              </w:rPr>
            </w:pPr>
          </w:p>
        </w:tc>
        <w:tc>
          <w:tcPr>
            <w:tcW w:w="5812" w:type="dxa"/>
            <w:tcBorders>
              <w:top w:val="single" w:sz="4" w:space="0" w:color="000000"/>
              <w:left w:val="single" w:sz="4" w:space="0" w:color="000000"/>
              <w:bottom w:val="single" w:sz="4" w:space="0" w:color="000000"/>
              <w:right w:val="single" w:sz="4" w:space="0" w:color="000000"/>
            </w:tcBorders>
          </w:tcPr>
          <w:p w:rsidR="006F2208" w:rsidRPr="007A3802" w:rsidRDefault="006F2208" w:rsidP="00F27AC9">
            <w:pPr>
              <w:spacing w:before="100" w:after="200" w:line="276" w:lineRule="auto"/>
              <w:rPr>
                <w:sz w:val="16"/>
                <w:szCs w:val="16"/>
              </w:rPr>
            </w:pPr>
          </w:p>
        </w:tc>
        <w:tc>
          <w:tcPr>
            <w:tcW w:w="1178" w:type="dxa"/>
            <w:tcBorders>
              <w:top w:val="single" w:sz="4" w:space="0" w:color="000000"/>
              <w:left w:val="single" w:sz="4" w:space="0" w:color="000000"/>
              <w:bottom w:val="single" w:sz="4" w:space="0" w:color="000000"/>
              <w:right w:val="single" w:sz="4" w:space="0" w:color="000000"/>
            </w:tcBorders>
          </w:tcPr>
          <w:p w:rsidR="006F2208" w:rsidRDefault="006F2208" w:rsidP="00F27AC9">
            <w:pPr>
              <w:spacing w:before="100" w:after="200" w:line="276" w:lineRule="auto"/>
              <w:jc w:val="center"/>
              <w:rPr>
                <w:rFonts w:ascii="Palatino Linotype" w:eastAsia="Palatino Linotype" w:hAnsi="Palatino Linotype" w:cs="Palatino Linotype"/>
                <w:b/>
                <w:sz w:val="16"/>
                <w:szCs w:val="16"/>
              </w:rPr>
            </w:pP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sz w:val="16"/>
                <w:szCs w:val="16"/>
              </w:rPr>
            </w:pPr>
            <w:r w:rsidRPr="007A3802">
              <w:rPr>
                <w:rFonts w:ascii="Palatino Linotype" w:eastAsia="Palatino Linotype" w:hAnsi="Palatino Linotype" w:cs="Palatino Linotype"/>
                <w:b/>
                <w:sz w:val="16"/>
                <w:szCs w:val="16"/>
              </w:rPr>
              <w:lastRenderedPageBreak/>
              <w:t>Fundamento y Motivación Legal</w:t>
            </w:r>
          </w:p>
        </w:tc>
        <w:tc>
          <w:tcPr>
            <w:tcW w:w="5812" w:type="dxa"/>
            <w:tcBorders>
              <w:top w:val="single" w:sz="4" w:space="0" w:color="000000"/>
              <w:left w:val="single" w:sz="4" w:space="0" w:color="000000"/>
              <w:bottom w:val="single" w:sz="4" w:space="0" w:color="000000"/>
              <w:right w:val="single" w:sz="4" w:space="0" w:color="000000"/>
            </w:tcBorders>
          </w:tcPr>
          <w:p w:rsidR="004C5756" w:rsidRDefault="00A116FF" w:rsidP="00F27AC9">
            <w:pPr>
              <w:spacing w:before="100" w:after="200" w:line="276" w:lineRule="auto"/>
              <w:rPr>
                <w:sz w:val="16"/>
                <w:szCs w:val="16"/>
              </w:rPr>
            </w:pPr>
            <w:r w:rsidRPr="00A116FF">
              <w:rPr>
                <w:noProof/>
                <w:sz w:val="16"/>
                <w:szCs w:val="16"/>
              </w:rPr>
              <w:drawing>
                <wp:inline distT="0" distB="0" distL="0" distR="0" wp14:anchorId="479546AF" wp14:editId="3924841C">
                  <wp:extent cx="3283585" cy="760095"/>
                  <wp:effectExtent l="0" t="0" r="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3585" cy="760095"/>
                          </a:xfrm>
                          <a:prstGeom prst="rect">
                            <a:avLst/>
                          </a:prstGeom>
                        </pic:spPr>
                      </pic:pic>
                    </a:graphicData>
                  </a:graphic>
                </wp:inline>
              </w:drawing>
            </w:r>
          </w:p>
          <w:p w:rsidR="00AB7825" w:rsidRDefault="004C5756" w:rsidP="00F27AC9">
            <w:pPr>
              <w:spacing w:before="100" w:after="200" w:line="276" w:lineRule="auto"/>
              <w:rPr>
                <w:sz w:val="16"/>
                <w:szCs w:val="16"/>
              </w:rPr>
            </w:pPr>
            <w:r w:rsidRPr="004C5756">
              <w:rPr>
                <w:noProof/>
                <w:sz w:val="16"/>
                <w:szCs w:val="16"/>
              </w:rPr>
              <w:drawing>
                <wp:inline distT="0" distB="0" distL="0" distR="0" wp14:anchorId="2AAD96F5" wp14:editId="5EC28E3E">
                  <wp:extent cx="3283585" cy="345059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3585" cy="3450590"/>
                          </a:xfrm>
                          <a:prstGeom prst="rect">
                            <a:avLst/>
                          </a:prstGeom>
                        </pic:spPr>
                      </pic:pic>
                    </a:graphicData>
                  </a:graphic>
                </wp:inline>
              </w:drawing>
            </w:r>
          </w:p>
          <w:p w:rsidR="004C5756" w:rsidRPr="007A3802" w:rsidRDefault="004C5756" w:rsidP="00F27AC9">
            <w:pPr>
              <w:spacing w:before="100" w:after="200" w:line="276" w:lineRule="auto"/>
              <w:rPr>
                <w:sz w:val="16"/>
                <w:szCs w:val="16"/>
              </w:rPr>
            </w:pPr>
            <w:r w:rsidRPr="004C5756">
              <w:rPr>
                <w:noProof/>
                <w:sz w:val="16"/>
                <w:szCs w:val="16"/>
              </w:rPr>
              <w:lastRenderedPageBreak/>
              <w:drawing>
                <wp:inline distT="0" distB="0" distL="0" distR="0" wp14:anchorId="76E267E0" wp14:editId="09D46E71">
                  <wp:extent cx="3553460" cy="2551430"/>
                  <wp:effectExtent l="0" t="0" r="889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3460" cy="2551430"/>
                          </a:xfrm>
                          <a:prstGeom prst="rect">
                            <a:avLst/>
                          </a:prstGeom>
                        </pic:spPr>
                      </pic:pic>
                    </a:graphicData>
                  </a:graphic>
                </wp:inline>
              </w:drawing>
            </w:r>
          </w:p>
        </w:tc>
        <w:tc>
          <w:tcPr>
            <w:tcW w:w="1178" w:type="dxa"/>
            <w:tcBorders>
              <w:top w:val="single" w:sz="4" w:space="0" w:color="000000"/>
              <w:left w:val="single" w:sz="4" w:space="0" w:color="000000"/>
              <w:bottom w:val="single" w:sz="4" w:space="0" w:color="000000"/>
              <w:right w:val="single" w:sz="4" w:space="0" w:color="000000"/>
            </w:tcBorders>
          </w:tcPr>
          <w:p w:rsidR="007A3802" w:rsidRPr="007A3802" w:rsidRDefault="004C5756" w:rsidP="00F27AC9">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lastRenderedPageBreak/>
              <w:t>Si</w:t>
            </w:r>
          </w:p>
          <w:p w:rsidR="007A3802" w:rsidRPr="007A3802" w:rsidRDefault="007A3802" w:rsidP="00F27AC9">
            <w:pPr>
              <w:spacing w:before="100" w:after="200"/>
              <w:jc w:val="both"/>
              <w:rPr>
                <w:rFonts w:ascii="Palatino Linotype" w:eastAsia="Palatino Linotype" w:hAnsi="Palatino Linotype" w:cs="Palatino Linotype"/>
                <w:sz w:val="16"/>
                <w:szCs w:val="16"/>
              </w:rPr>
            </w:pP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lastRenderedPageBreak/>
              <w:t>Conexión entre los fundamentos y motivos que dieron origen a la Reserva de la información</w:t>
            </w:r>
          </w:p>
        </w:tc>
        <w:tc>
          <w:tcPr>
            <w:tcW w:w="5812" w:type="dxa"/>
            <w:tcBorders>
              <w:top w:val="single" w:sz="4" w:space="0" w:color="000000"/>
              <w:left w:val="single" w:sz="4" w:space="0" w:color="000000"/>
              <w:bottom w:val="single" w:sz="4" w:space="0" w:color="000000"/>
              <w:right w:val="single" w:sz="4" w:space="0" w:color="000000"/>
            </w:tcBorders>
          </w:tcPr>
          <w:p w:rsidR="007A3802" w:rsidRDefault="004C5756" w:rsidP="00F27AC9">
            <w:pPr>
              <w:spacing w:before="100" w:after="200" w:line="276" w:lineRule="auto"/>
              <w:rPr>
                <w:sz w:val="16"/>
                <w:szCs w:val="16"/>
              </w:rPr>
            </w:pPr>
            <w:r w:rsidRPr="004C5756">
              <w:rPr>
                <w:noProof/>
                <w:sz w:val="16"/>
                <w:szCs w:val="16"/>
              </w:rPr>
              <w:drawing>
                <wp:inline distT="0" distB="0" distL="0" distR="0" wp14:anchorId="79860513" wp14:editId="70490CC5">
                  <wp:extent cx="3390900" cy="829945"/>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90900" cy="829945"/>
                          </a:xfrm>
                          <a:prstGeom prst="rect">
                            <a:avLst/>
                          </a:prstGeom>
                        </pic:spPr>
                      </pic:pic>
                    </a:graphicData>
                  </a:graphic>
                </wp:inline>
              </w:drawing>
            </w:r>
          </w:p>
          <w:p w:rsidR="004C5756" w:rsidRPr="007A3802" w:rsidRDefault="004C5756" w:rsidP="00F27AC9">
            <w:pPr>
              <w:spacing w:before="100" w:after="200" w:line="276" w:lineRule="auto"/>
              <w:rPr>
                <w:sz w:val="16"/>
                <w:szCs w:val="16"/>
              </w:rPr>
            </w:pPr>
            <w:r w:rsidRPr="004C5756">
              <w:rPr>
                <w:noProof/>
                <w:sz w:val="16"/>
                <w:szCs w:val="16"/>
              </w:rPr>
              <w:drawing>
                <wp:inline distT="0" distB="0" distL="0" distR="0" wp14:anchorId="5F576801" wp14:editId="45C2FE2F">
                  <wp:extent cx="3553460" cy="1794510"/>
                  <wp:effectExtent l="0" t="0" r="889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53460" cy="1794510"/>
                          </a:xfrm>
                          <a:prstGeom prst="rect">
                            <a:avLst/>
                          </a:prstGeom>
                        </pic:spPr>
                      </pic:pic>
                    </a:graphicData>
                  </a:graphic>
                </wp:inline>
              </w:drawing>
            </w:r>
          </w:p>
        </w:tc>
        <w:tc>
          <w:tcPr>
            <w:tcW w:w="1178" w:type="dxa"/>
            <w:tcBorders>
              <w:top w:val="single" w:sz="4" w:space="0" w:color="000000"/>
              <w:left w:val="single" w:sz="4" w:space="0" w:color="000000"/>
              <w:bottom w:val="single" w:sz="4" w:space="0" w:color="000000"/>
              <w:right w:val="single" w:sz="4" w:space="0" w:color="000000"/>
            </w:tcBorders>
          </w:tcPr>
          <w:p w:rsidR="007A3802" w:rsidRPr="007A3802" w:rsidRDefault="004C5756" w:rsidP="004C5756">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Si</w:t>
            </w:r>
          </w:p>
        </w:tc>
      </w:tr>
      <w:tr w:rsidR="007A3802" w:rsidRPr="007A3802" w:rsidTr="00F27AC9">
        <w:tc>
          <w:tcPr>
            <w:tcW w:w="8828" w:type="dxa"/>
            <w:gridSpan w:val="3"/>
            <w:tcBorders>
              <w:top w:val="single" w:sz="4" w:space="0" w:color="000000"/>
              <w:left w:val="single" w:sz="4" w:space="0" w:color="000000"/>
              <w:bottom w:val="single" w:sz="4" w:space="0" w:color="000000"/>
              <w:right w:val="single" w:sz="4" w:space="0" w:color="000000"/>
            </w:tcBorders>
            <w:shd w:val="clear" w:color="auto" w:fill="7B7B7B"/>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Elementos de la prueba de daño</w:t>
            </w: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after="120" w:line="25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lastRenderedPageBreak/>
              <w:t>Riesgo Real, Demostrable e Identificable</w:t>
            </w:r>
          </w:p>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(Modo, Tiempo y Lugar)</w:t>
            </w:r>
          </w:p>
        </w:tc>
        <w:tc>
          <w:tcPr>
            <w:tcW w:w="5812" w:type="dxa"/>
            <w:tcBorders>
              <w:top w:val="single" w:sz="4" w:space="0" w:color="000000"/>
              <w:left w:val="single" w:sz="4" w:space="0" w:color="000000"/>
              <w:bottom w:val="single" w:sz="4" w:space="0" w:color="000000"/>
              <w:right w:val="single" w:sz="4" w:space="0" w:color="000000"/>
            </w:tcBorders>
          </w:tcPr>
          <w:p w:rsidR="007A3802" w:rsidRPr="007A3802" w:rsidRDefault="004C5756" w:rsidP="00F27AC9">
            <w:pPr>
              <w:spacing w:before="100" w:after="200" w:line="276" w:lineRule="auto"/>
              <w:rPr>
                <w:rFonts w:ascii="Palatino Linotype" w:eastAsia="Palatino Linotype" w:hAnsi="Palatino Linotype" w:cs="Palatino Linotype"/>
                <w:b/>
                <w:sz w:val="16"/>
                <w:szCs w:val="16"/>
              </w:rPr>
            </w:pPr>
            <w:r w:rsidRPr="004C5756">
              <w:rPr>
                <w:rFonts w:ascii="Palatino Linotype" w:eastAsia="Palatino Linotype" w:hAnsi="Palatino Linotype" w:cs="Palatino Linotype"/>
                <w:b/>
                <w:noProof/>
                <w:sz w:val="16"/>
                <w:szCs w:val="16"/>
              </w:rPr>
              <w:drawing>
                <wp:inline distT="0" distB="0" distL="0" distR="0" wp14:anchorId="3AC81B58" wp14:editId="18392C54">
                  <wp:extent cx="3553460" cy="2976880"/>
                  <wp:effectExtent l="0" t="0" r="889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53460" cy="2976880"/>
                          </a:xfrm>
                          <a:prstGeom prst="rect">
                            <a:avLst/>
                          </a:prstGeom>
                        </pic:spPr>
                      </pic:pic>
                    </a:graphicData>
                  </a:graphic>
                </wp:inline>
              </w:drawing>
            </w:r>
          </w:p>
        </w:tc>
        <w:tc>
          <w:tcPr>
            <w:tcW w:w="1178" w:type="dxa"/>
            <w:tcBorders>
              <w:top w:val="single" w:sz="4" w:space="0" w:color="000000"/>
              <w:left w:val="single" w:sz="4" w:space="0" w:color="000000"/>
              <w:bottom w:val="single" w:sz="4" w:space="0" w:color="000000"/>
              <w:right w:val="single" w:sz="4" w:space="0" w:color="000000"/>
            </w:tcBorders>
          </w:tcPr>
          <w:p w:rsidR="007A3802" w:rsidRPr="004C5756" w:rsidRDefault="004C5756" w:rsidP="004C5756">
            <w:pPr>
              <w:spacing w:before="100" w:after="200" w:line="276" w:lineRule="auto"/>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Si</w:t>
            </w: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Temporalidad de la Reserva de la información</w:t>
            </w:r>
          </w:p>
        </w:tc>
        <w:tc>
          <w:tcPr>
            <w:tcW w:w="5812" w:type="dxa"/>
            <w:tcBorders>
              <w:top w:val="single" w:sz="4" w:space="0" w:color="000000"/>
              <w:left w:val="single" w:sz="4" w:space="0" w:color="000000"/>
              <w:bottom w:val="single" w:sz="4" w:space="0" w:color="000000"/>
              <w:right w:val="single" w:sz="4" w:space="0" w:color="000000"/>
            </w:tcBorders>
          </w:tcPr>
          <w:p w:rsidR="007A3802" w:rsidRPr="007A3802" w:rsidRDefault="004C5756" w:rsidP="00F27AC9">
            <w:pPr>
              <w:spacing w:before="100" w:after="200" w:line="276" w:lineRule="auto"/>
              <w:rPr>
                <w:rFonts w:ascii="Palatino Linotype" w:eastAsia="Palatino Linotype" w:hAnsi="Palatino Linotype" w:cs="Palatino Linotype"/>
                <w:b/>
                <w:sz w:val="16"/>
                <w:szCs w:val="16"/>
              </w:rPr>
            </w:pPr>
            <w:r w:rsidRPr="004C5756">
              <w:rPr>
                <w:rFonts w:ascii="Palatino Linotype" w:eastAsia="Palatino Linotype" w:hAnsi="Palatino Linotype" w:cs="Palatino Linotype"/>
                <w:b/>
                <w:noProof/>
                <w:sz w:val="16"/>
                <w:szCs w:val="16"/>
              </w:rPr>
              <w:drawing>
                <wp:inline distT="0" distB="0" distL="0" distR="0" wp14:anchorId="03E694EC" wp14:editId="3E5B20F0">
                  <wp:extent cx="3553460" cy="481330"/>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53460" cy="481330"/>
                          </a:xfrm>
                          <a:prstGeom prst="rect">
                            <a:avLst/>
                          </a:prstGeom>
                        </pic:spPr>
                      </pic:pic>
                    </a:graphicData>
                  </a:graphic>
                </wp:inline>
              </w:drawing>
            </w:r>
          </w:p>
        </w:tc>
        <w:tc>
          <w:tcPr>
            <w:tcW w:w="117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 xml:space="preserve">Sí </w:t>
            </w:r>
          </w:p>
        </w:tc>
      </w:tr>
      <w:tr w:rsidR="007A3802" w:rsidRPr="007A3802" w:rsidTr="004C5756">
        <w:tc>
          <w:tcPr>
            <w:tcW w:w="183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lastRenderedPageBreak/>
              <w:t>Autoridades competentes.</w:t>
            </w:r>
          </w:p>
        </w:tc>
        <w:tc>
          <w:tcPr>
            <w:tcW w:w="5812" w:type="dxa"/>
            <w:tcBorders>
              <w:top w:val="single" w:sz="4" w:space="0" w:color="000000"/>
              <w:left w:val="single" w:sz="4" w:space="0" w:color="000000"/>
              <w:bottom w:val="single" w:sz="4" w:space="0" w:color="000000"/>
              <w:right w:val="single" w:sz="4" w:space="0" w:color="000000"/>
            </w:tcBorders>
          </w:tcPr>
          <w:p w:rsidR="007A3802" w:rsidRDefault="004C5756" w:rsidP="00F27AC9">
            <w:pPr>
              <w:spacing w:before="100" w:after="200" w:line="276" w:lineRule="auto"/>
              <w:rPr>
                <w:sz w:val="16"/>
                <w:szCs w:val="16"/>
              </w:rPr>
            </w:pPr>
            <w:r w:rsidRPr="004C5756">
              <w:rPr>
                <w:noProof/>
                <w:sz w:val="16"/>
                <w:szCs w:val="16"/>
              </w:rPr>
              <w:drawing>
                <wp:inline distT="0" distB="0" distL="0" distR="0" wp14:anchorId="6428B4D4" wp14:editId="7294AFAA">
                  <wp:extent cx="3553460" cy="3632835"/>
                  <wp:effectExtent l="0" t="0" r="889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3460" cy="3632835"/>
                          </a:xfrm>
                          <a:prstGeom prst="rect">
                            <a:avLst/>
                          </a:prstGeom>
                        </pic:spPr>
                      </pic:pic>
                    </a:graphicData>
                  </a:graphic>
                </wp:inline>
              </w:drawing>
            </w:r>
          </w:p>
          <w:p w:rsidR="00AB7825" w:rsidRPr="007A3802" w:rsidRDefault="00AB7825" w:rsidP="00F27AC9">
            <w:pPr>
              <w:spacing w:before="100" w:after="200" w:line="276" w:lineRule="auto"/>
              <w:rPr>
                <w:sz w:val="16"/>
                <w:szCs w:val="16"/>
              </w:rPr>
            </w:pPr>
          </w:p>
        </w:tc>
        <w:tc>
          <w:tcPr>
            <w:tcW w:w="1178" w:type="dxa"/>
            <w:tcBorders>
              <w:top w:val="single" w:sz="4" w:space="0" w:color="000000"/>
              <w:left w:val="single" w:sz="4" w:space="0" w:color="000000"/>
              <w:bottom w:val="single" w:sz="4" w:space="0" w:color="000000"/>
              <w:right w:val="single" w:sz="4" w:space="0" w:color="000000"/>
            </w:tcBorders>
          </w:tcPr>
          <w:p w:rsidR="007A3802" w:rsidRPr="007A3802" w:rsidRDefault="007A3802" w:rsidP="00F27AC9">
            <w:pPr>
              <w:spacing w:before="100" w:after="200" w:line="276" w:lineRule="auto"/>
              <w:jc w:val="center"/>
              <w:rPr>
                <w:rFonts w:ascii="Palatino Linotype" w:eastAsia="Palatino Linotype" w:hAnsi="Palatino Linotype" w:cs="Palatino Linotype"/>
                <w:b/>
                <w:sz w:val="16"/>
                <w:szCs w:val="16"/>
              </w:rPr>
            </w:pPr>
            <w:r w:rsidRPr="007A3802">
              <w:rPr>
                <w:rFonts w:ascii="Palatino Linotype" w:eastAsia="Palatino Linotype" w:hAnsi="Palatino Linotype" w:cs="Palatino Linotype"/>
                <w:b/>
                <w:sz w:val="16"/>
                <w:szCs w:val="16"/>
              </w:rPr>
              <w:t>Sí</w:t>
            </w:r>
          </w:p>
        </w:tc>
      </w:tr>
    </w:tbl>
    <w:p w:rsidR="00712D4C" w:rsidRDefault="00712D4C" w:rsidP="00AB7825">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401FE4" w:rsidRPr="000751DE" w:rsidRDefault="00401FE4" w:rsidP="00401FE4">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b/>
          <w:color w:val="000000"/>
        </w:rPr>
      </w:pPr>
      <w:r w:rsidRPr="000751DE">
        <w:rPr>
          <w:rFonts w:ascii="Palatino Linotype" w:eastAsia="Palatino Linotype" w:hAnsi="Palatino Linotype" w:cs="Palatino Linotype"/>
          <w:color w:val="000000"/>
        </w:rPr>
        <w:t>Como se observó en páginas previas, el SUJETO OBLIGADO, realizó la prueba de daño y preciso las r</w:t>
      </w:r>
      <w:r w:rsidR="00D60D66" w:rsidRPr="000751DE">
        <w:rPr>
          <w:rFonts w:ascii="Palatino Linotype" w:eastAsia="Palatino Linotype" w:hAnsi="Palatino Linotype" w:cs="Palatino Linotype"/>
          <w:color w:val="000000"/>
        </w:rPr>
        <w:t>azones por las cuales la apertura</w:t>
      </w:r>
      <w:r w:rsidRPr="000751DE">
        <w:rPr>
          <w:rFonts w:ascii="Palatino Linotype" w:eastAsia="Palatino Linotype" w:hAnsi="Palatino Linotype" w:cs="Palatino Linotype"/>
          <w:color w:val="000000"/>
        </w:rPr>
        <w:t xml:space="preserve"> de la información generaría</w:t>
      </w:r>
      <w:r w:rsidR="00D60D66" w:rsidRPr="000751DE">
        <w:rPr>
          <w:rFonts w:ascii="Palatino Linotype" w:eastAsia="Palatino Linotype" w:hAnsi="Palatino Linotype" w:cs="Palatino Linotype"/>
          <w:color w:val="000000"/>
        </w:rPr>
        <w:t xml:space="preserve"> una afectación</w:t>
      </w:r>
      <w:r w:rsidRPr="000751DE">
        <w:rPr>
          <w:rFonts w:ascii="Palatino Linotype" w:eastAsia="Palatino Linotype" w:hAnsi="Palatino Linotype" w:cs="Palatino Linotype"/>
          <w:color w:val="000000"/>
        </w:rPr>
        <w:t xml:space="preserve">, sin embargo, no </w:t>
      </w:r>
      <w:r w:rsidR="00E24FE7" w:rsidRPr="000751DE">
        <w:rPr>
          <w:rFonts w:ascii="Palatino Linotype" w:eastAsia="Palatino Linotype" w:hAnsi="Palatino Linotype" w:cs="Palatino Linotype"/>
          <w:color w:val="000000"/>
        </w:rPr>
        <w:t>está</w:t>
      </w:r>
      <w:r w:rsidRPr="000751DE">
        <w:rPr>
          <w:rFonts w:ascii="Palatino Linotype" w:eastAsia="Palatino Linotype" w:hAnsi="Palatino Linotype" w:cs="Palatino Linotype"/>
          <w:color w:val="000000"/>
        </w:rPr>
        <w:t xml:space="preserve"> debidamente fundado y motivado aplicable al caso en concreto, </w:t>
      </w:r>
      <w:r w:rsidR="00E24FE7" w:rsidRPr="000751DE">
        <w:rPr>
          <w:rFonts w:ascii="Palatino Linotype" w:eastAsia="Palatino Linotype" w:hAnsi="Palatino Linotype" w:cs="Palatino Linotype"/>
          <w:color w:val="000000"/>
        </w:rPr>
        <w:t>ya que d</w:t>
      </w:r>
      <w:r w:rsidRPr="000751DE">
        <w:rPr>
          <w:rFonts w:ascii="Palatino Linotype" w:eastAsia="Palatino Linotype" w:hAnsi="Palatino Linotype" w:cs="Palatino Linotype"/>
          <w:color w:val="000000"/>
        </w:rPr>
        <w:t>el análisis del acuerdo de reserva, se advierte que el sujeto obligado no funda y motiva adecuadamente la clasificación de la información como reservada, toda vez que invoca</w:t>
      </w:r>
      <w:r w:rsidR="00E24FE7" w:rsidRPr="000751DE">
        <w:rPr>
          <w:rFonts w:ascii="Palatino Linotype" w:eastAsia="Palatino Linotype" w:hAnsi="Palatino Linotype" w:cs="Palatino Linotype"/>
          <w:color w:val="000000"/>
        </w:rPr>
        <w:t xml:space="preserve"> como causales de reserva,  las fracciones VI, VII y X, señaladas en el artículo 140, de la Ley de transparencia del Estado, sin embargo al no </w:t>
      </w:r>
      <w:r w:rsidR="00E24FE7" w:rsidRPr="000751DE">
        <w:rPr>
          <w:rFonts w:ascii="Palatino Linotype" w:eastAsia="Palatino Linotype" w:hAnsi="Palatino Linotype" w:cs="Palatino Linotype"/>
          <w:color w:val="000000"/>
        </w:rPr>
        <w:lastRenderedPageBreak/>
        <w:t xml:space="preserve">referir de forma precisa, por </w:t>
      </w:r>
      <w:r w:rsidR="00914BE1" w:rsidRPr="000751DE">
        <w:rPr>
          <w:rFonts w:ascii="Palatino Linotype" w:eastAsia="Palatino Linotype" w:hAnsi="Palatino Linotype" w:cs="Palatino Linotype"/>
          <w:color w:val="000000"/>
        </w:rPr>
        <w:t>cuál</w:t>
      </w:r>
      <w:r w:rsidR="00E24FE7" w:rsidRPr="000751DE">
        <w:rPr>
          <w:rFonts w:ascii="Palatino Linotype" w:eastAsia="Palatino Linotype" w:hAnsi="Palatino Linotype" w:cs="Palatino Linotype"/>
          <w:color w:val="000000"/>
        </w:rPr>
        <w:t xml:space="preserve"> de las causales reserva la información, el mismo tuvo que realizar tres pruebas de daño por cada una de las c</w:t>
      </w:r>
      <w:r w:rsidR="00914BE1" w:rsidRPr="000751DE">
        <w:rPr>
          <w:rFonts w:ascii="Palatino Linotype" w:eastAsia="Palatino Linotype" w:hAnsi="Palatino Linotype" w:cs="Palatino Linotype"/>
          <w:color w:val="000000"/>
        </w:rPr>
        <w:t>a</w:t>
      </w:r>
      <w:r w:rsidR="00E24FE7" w:rsidRPr="000751DE">
        <w:rPr>
          <w:rFonts w:ascii="Palatino Linotype" w:eastAsia="Palatino Linotype" w:hAnsi="Palatino Linotype" w:cs="Palatino Linotype"/>
          <w:color w:val="000000"/>
        </w:rPr>
        <w:t>usal</w:t>
      </w:r>
      <w:r w:rsidR="00914BE1" w:rsidRPr="000751DE">
        <w:rPr>
          <w:rFonts w:ascii="Palatino Linotype" w:eastAsia="Palatino Linotype" w:hAnsi="Palatino Linotype" w:cs="Palatino Linotype"/>
          <w:color w:val="000000"/>
        </w:rPr>
        <w:t>e</w:t>
      </w:r>
      <w:r w:rsidR="00E24FE7" w:rsidRPr="000751DE">
        <w:rPr>
          <w:rFonts w:ascii="Palatino Linotype" w:eastAsia="Palatino Linotype" w:hAnsi="Palatino Linotype" w:cs="Palatino Linotype"/>
          <w:color w:val="000000"/>
        </w:rPr>
        <w:t>s invocadas</w:t>
      </w:r>
      <w:r w:rsidR="00FF73B7" w:rsidRPr="000751DE">
        <w:rPr>
          <w:rFonts w:ascii="Palatino Linotype" w:eastAsia="Palatino Linotype" w:hAnsi="Palatino Linotype" w:cs="Palatino Linotype"/>
          <w:color w:val="000000"/>
        </w:rPr>
        <w:t xml:space="preserve"> y no solo debe de transcribir artículos</w:t>
      </w:r>
      <w:r w:rsidR="00914BE1" w:rsidRPr="000751DE">
        <w:rPr>
          <w:rFonts w:ascii="Palatino Linotype" w:eastAsia="Palatino Linotype" w:hAnsi="Palatino Linotype" w:cs="Palatino Linotype"/>
          <w:color w:val="000000"/>
        </w:rPr>
        <w:t xml:space="preserve">. </w:t>
      </w:r>
    </w:p>
    <w:p w:rsidR="006E60B6" w:rsidRPr="000751DE" w:rsidRDefault="006E60B6" w:rsidP="006E60B6">
      <w:pPr>
        <w:shd w:val="clear" w:color="auto" w:fill="FFFFFF"/>
        <w:spacing w:before="240" w:after="160" w:afterAutospacing="1" w:line="360" w:lineRule="auto"/>
        <w:contextualSpacing/>
        <w:jc w:val="both"/>
        <w:textAlignment w:val="baseline"/>
        <w:rPr>
          <w:rFonts w:ascii="Palatino Linotype" w:eastAsia="Palatino Linotype" w:hAnsi="Palatino Linotype" w:cs="Palatino Linotype"/>
          <w:b/>
          <w:color w:val="000000"/>
        </w:rPr>
      </w:pPr>
    </w:p>
    <w:p w:rsidR="00914BE1" w:rsidRPr="000751DE" w:rsidRDefault="00914BE1" w:rsidP="00401FE4">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color w:val="000000"/>
        </w:rPr>
      </w:pPr>
      <w:r w:rsidRPr="000751DE">
        <w:rPr>
          <w:rFonts w:ascii="Palatino Linotype" w:eastAsia="Palatino Linotype" w:hAnsi="Palatino Linotype" w:cs="Palatino Linotype"/>
          <w:color w:val="000000"/>
        </w:rPr>
        <w:t xml:space="preserve">Ahora bien la fracción que el Sujeto Obligado tuvo que </w:t>
      </w:r>
      <w:r w:rsidR="00EE0A06" w:rsidRPr="000751DE">
        <w:rPr>
          <w:rFonts w:ascii="Palatino Linotype" w:eastAsia="Palatino Linotype" w:hAnsi="Palatino Linotype" w:cs="Palatino Linotype"/>
          <w:color w:val="000000"/>
        </w:rPr>
        <w:t>considerar</w:t>
      </w:r>
      <w:r w:rsidRPr="000751DE">
        <w:rPr>
          <w:rFonts w:ascii="Palatino Linotype" w:eastAsia="Palatino Linotype" w:hAnsi="Palatino Linotype" w:cs="Palatino Linotype"/>
          <w:color w:val="000000"/>
        </w:rPr>
        <w:t xml:space="preserve"> </w:t>
      </w:r>
      <w:r w:rsidR="00EE0A06" w:rsidRPr="000751DE">
        <w:rPr>
          <w:rFonts w:ascii="Palatino Linotype" w:eastAsia="Palatino Linotype" w:hAnsi="Palatino Linotype" w:cs="Palatino Linotype"/>
          <w:color w:val="000000"/>
        </w:rPr>
        <w:t xml:space="preserve">aplicable </w:t>
      </w:r>
      <w:r w:rsidRPr="000751DE">
        <w:rPr>
          <w:rFonts w:ascii="Palatino Linotype" w:eastAsia="Palatino Linotype" w:hAnsi="Palatino Linotype" w:cs="Palatino Linotype"/>
          <w:color w:val="000000"/>
        </w:rPr>
        <w:t xml:space="preserve"> </w:t>
      </w:r>
      <w:r w:rsidR="00FF73B7" w:rsidRPr="000751DE">
        <w:rPr>
          <w:rFonts w:ascii="Palatino Linotype" w:eastAsia="Palatino Linotype" w:hAnsi="Palatino Linotype" w:cs="Palatino Linotype"/>
          <w:color w:val="000000"/>
        </w:rPr>
        <w:t xml:space="preserve">al caso en concreto, </w:t>
      </w:r>
      <w:r w:rsidRPr="000751DE">
        <w:rPr>
          <w:rFonts w:ascii="Palatino Linotype" w:eastAsia="Palatino Linotype" w:hAnsi="Palatino Linotype" w:cs="Palatino Linotype"/>
          <w:color w:val="000000"/>
        </w:rPr>
        <w:t>es la fracción VIII del Artículo 140 de la Ley de Transparencia y Acceso a la Información Pública del Estado de México y Municipios, la cual señala lo siguiente.</w:t>
      </w:r>
    </w:p>
    <w:p w:rsidR="00914BE1" w:rsidRPr="000751DE" w:rsidRDefault="00914BE1" w:rsidP="00914BE1">
      <w:pPr>
        <w:shd w:val="clear" w:color="auto" w:fill="FFFFFF"/>
        <w:spacing w:before="240" w:after="160" w:afterAutospacing="1" w:line="360" w:lineRule="auto"/>
        <w:contextualSpacing/>
        <w:jc w:val="both"/>
        <w:textAlignment w:val="baseline"/>
        <w:rPr>
          <w:rFonts w:ascii="Palatino Linotype" w:eastAsia="Palatino Linotype" w:hAnsi="Palatino Linotype" w:cs="Palatino Linotype"/>
          <w:b/>
          <w:color w:val="000000"/>
        </w:rPr>
      </w:pPr>
    </w:p>
    <w:p w:rsidR="00401FE4" w:rsidRPr="000751DE" w:rsidRDefault="00914BE1" w:rsidP="00914BE1">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i/>
          <w:color w:val="000000"/>
        </w:rPr>
      </w:pPr>
      <w:r w:rsidRPr="000751DE">
        <w:rPr>
          <w:rFonts w:ascii="Palatino Linotype" w:eastAsia="Palatino Linotype" w:hAnsi="Palatino Linotype" w:cs="Palatino Linotype"/>
          <w:i/>
          <w:color w:val="000000"/>
        </w:rPr>
        <w:t>Artículo 140. El acceso a la información pública será restringido excepcionalmente, cuando por razones de interés público, ésta sea clasificada como reservada, conforme a los criterios siguientes:</w:t>
      </w:r>
    </w:p>
    <w:p w:rsidR="00D60D66" w:rsidRPr="000751DE" w:rsidRDefault="00D60D66" w:rsidP="00914BE1">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i/>
          <w:color w:val="000000"/>
        </w:rPr>
      </w:pPr>
    </w:p>
    <w:p w:rsidR="00D60D66" w:rsidRPr="000751DE" w:rsidRDefault="00D60D66" w:rsidP="00914BE1">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i/>
          <w:color w:val="000000"/>
        </w:rPr>
      </w:pPr>
      <w:r w:rsidRPr="000751DE">
        <w:rPr>
          <w:rFonts w:ascii="Palatino Linotype" w:eastAsia="Palatino Linotype" w:hAnsi="Palatino Linotype" w:cs="Palatino Linotype"/>
          <w:i/>
          <w:color w:val="000000"/>
        </w:rPr>
        <w:t>…</w:t>
      </w:r>
    </w:p>
    <w:p w:rsidR="00D60D66" w:rsidRPr="000751DE" w:rsidRDefault="00D60D66" w:rsidP="00D60D66">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i/>
          <w:color w:val="000000"/>
        </w:rPr>
      </w:pPr>
      <w:r w:rsidRPr="000751DE">
        <w:rPr>
          <w:rFonts w:ascii="Palatino Linotype" w:eastAsia="Palatino Linotype" w:hAnsi="Palatino Linotype" w:cs="Palatino Linotype"/>
          <w:i/>
          <w:color w:val="000000"/>
        </w:rPr>
        <w:t>VIII. Vulnere la conducción de los expedientes judiciales o de los procedimientos administrativos seguidos en forma de juicio, en tanto no hayan quedado firmes;</w:t>
      </w:r>
      <w:r w:rsidRPr="000751DE">
        <w:rPr>
          <w:rFonts w:ascii="Palatino Linotype" w:eastAsia="Palatino Linotype" w:hAnsi="Palatino Linotype" w:cs="Palatino Linotype"/>
          <w:i/>
          <w:color w:val="000000"/>
        </w:rPr>
        <w:cr/>
        <w:t>…</w:t>
      </w:r>
    </w:p>
    <w:p w:rsidR="00D60D66" w:rsidRPr="000751DE" w:rsidRDefault="00D60D66" w:rsidP="00D60D66">
      <w:pPr>
        <w:shd w:val="clear" w:color="auto" w:fill="FFFFFF"/>
        <w:spacing w:before="240" w:after="160" w:afterAutospacing="1" w:line="360" w:lineRule="auto"/>
        <w:ind w:right="539"/>
        <w:contextualSpacing/>
        <w:jc w:val="both"/>
        <w:textAlignment w:val="baseline"/>
        <w:rPr>
          <w:rFonts w:ascii="Palatino Linotype" w:eastAsia="Palatino Linotype" w:hAnsi="Palatino Linotype" w:cs="Palatino Linotype"/>
          <w:i/>
          <w:color w:val="000000"/>
        </w:rPr>
      </w:pPr>
    </w:p>
    <w:p w:rsidR="00401FE4" w:rsidRPr="000751DE" w:rsidRDefault="00D60D66" w:rsidP="00D60D66">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color w:val="000000"/>
        </w:rPr>
      </w:pPr>
      <w:r w:rsidRPr="000751DE">
        <w:rPr>
          <w:rFonts w:ascii="Palatino Linotype" w:eastAsia="Palatino Linotype" w:hAnsi="Palatino Linotype" w:cs="Palatino Linotype"/>
          <w:color w:val="000000"/>
        </w:rPr>
        <w:t xml:space="preserve">Expuesto lo anterior, y conforme a la reserva de la información contenida en el </w:t>
      </w:r>
    </w:p>
    <w:p w:rsidR="00401FE4" w:rsidRPr="000751DE" w:rsidRDefault="00D60D66" w:rsidP="00401FE4">
      <w:pPr>
        <w:shd w:val="clear" w:color="auto" w:fill="FFFFFF"/>
        <w:spacing w:before="240" w:after="160" w:afterAutospacing="1" w:line="360" w:lineRule="auto"/>
        <w:contextualSpacing/>
        <w:jc w:val="both"/>
        <w:textAlignment w:val="baseline"/>
        <w:rPr>
          <w:rFonts w:ascii="Palatino Linotype" w:eastAsia="Palatino Linotype" w:hAnsi="Palatino Linotype" w:cs="Palatino Linotype"/>
          <w:color w:val="000000"/>
        </w:rPr>
      </w:pPr>
      <w:r w:rsidRPr="000751DE">
        <w:rPr>
          <w:rFonts w:ascii="Palatino Linotype" w:eastAsia="Palatino Linotype" w:hAnsi="Palatino Linotype" w:cs="Palatino Linotype"/>
          <w:color w:val="000000"/>
        </w:rPr>
        <w:t>Acta de la Trigésima Novena Sesión Extraordinaria del Comité de Transparencia del Organismo de Atizapán de Zaragoza SAPASA, se advierte que el sujeto obligado no fundó y motivó adecuadamente la reserva de la información.</w:t>
      </w:r>
    </w:p>
    <w:p w:rsidR="006E60B6" w:rsidRPr="000751DE" w:rsidRDefault="006E60B6" w:rsidP="006E60B6">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color w:val="000000"/>
        </w:rPr>
      </w:pPr>
      <w:r w:rsidRPr="000751DE">
        <w:rPr>
          <w:rFonts w:ascii="Palatino Linotype" w:eastAsia="Palatino Linotype" w:hAnsi="Palatino Linotype" w:cs="Palatino Linotype"/>
          <w:color w:val="000000"/>
        </w:rPr>
        <w:lastRenderedPageBreak/>
        <w:t>Para fundar y motivar la causal de reserva, las autoridades debe Citar la disposición legal exacta que faculta la reserva de la información solicitada. Esto implica referirse a los artículos pertinentes de la Ley de Transparencia y Acceso a la Información Pública del Estado de México y Municipios para demostrar que la información cae dentro de una de las categorías de excepción.</w:t>
      </w:r>
    </w:p>
    <w:p w:rsidR="006E60B6" w:rsidRPr="000751DE" w:rsidRDefault="006E60B6" w:rsidP="006E60B6">
      <w:pPr>
        <w:shd w:val="clear" w:color="auto" w:fill="FFFFFF"/>
        <w:spacing w:before="240" w:after="160" w:afterAutospacing="1" w:line="360" w:lineRule="auto"/>
        <w:ind w:left="720"/>
        <w:contextualSpacing/>
        <w:jc w:val="both"/>
        <w:textAlignment w:val="baseline"/>
        <w:rPr>
          <w:rFonts w:ascii="Palatino Linotype" w:eastAsia="Palatino Linotype" w:hAnsi="Palatino Linotype" w:cs="Palatino Linotype"/>
          <w:color w:val="000000"/>
        </w:rPr>
      </w:pPr>
    </w:p>
    <w:p w:rsidR="006E60B6" w:rsidRPr="000751DE" w:rsidRDefault="006E60B6" w:rsidP="006E60B6">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color w:val="000000"/>
        </w:rPr>
      </w:pPr>
      <w:r w:rsidRPr="000751DE">
        <w:rPr>
          <w:rFonts w:ascii="Palatino Linotype" w:eastAsia="Palatino Linotype" w:hAnsi="Palatino Linotype" w:cs="Palatino Linotype"/>
          <w:color w:val="000000"/>
        </w:rPr>
        <w:t>Por otro lado motivar, implica que deberá explicar de manera clara y detallada por qué la divulgación de la información afectaría el bien jurídico protegido. Esto debe incluir una justificación sobre cómo la liberación de la información pondría en peligro alguno de los intereses previstos en las causales de reserva.</w:t>
      </w:r>
    </w:p>
    <w:p w:rsidR="006E60B6" w:rsidRPr="000751DE" w:rsidRDefault="006E60B6" w:rsidP="003A5E38">
      <w:pPr>
        <w:shd w:val="clear" w:color="auto" w:fill="FFFFFF"/>
        <w:spacing w:before="240" w:after="160" w:afterAutospacing="1" w:line="360" w:lineRule="auto"/>
        <w:ind w:left="720"/>
        <w:contextualSpacing/>
        <w:jc w:val="both"/>
        <w:textAlignment w:val="baseline"/>
        <w:rPr>
          <w:rFonts w:ascii="Palatino Linotype" w:eastAsia="Palatino Linotype" w:hAnsi="Palatino Linotype" w:cs="Palatino Linotype"/>
          <w:color w:val="000000"/>
        </w:rPr>
      </w:pPr>
    </w:p>
    <w:p w:rsidR="006E60B6" w:rsidRPr="000751DE" w:rsidRDefault="006E60B6" w:rsidP="003A5E38">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color w:val="000000"/>
        </w:rPr>
      </w:pPr>
      <w:r w:rsidRPr="000751DE">
        <w:rPr>
          <w:rFonts w:ascii="Palatino Linotype" w:eastAsia="Palatino Linotype" w:hAnsi="Palatino Linotype" w:cs="Palatino Linotype"/>
          <w:color w:val="000000"/>
        </w:rPr>
        <w:t>Además, la autoridad debe hacer un análisis caso por caso y evitar aplicar reservas de manera automática. Las resoluciones del Instituto Nacional de Transparencia, Acceso a la Información y Protección de Datos Personales (INAI) también señalan que la reserva de información debe ser proporcional, es decir, que el daño que podría causar su divulgación sea mayor al beneficio público de conocerla.</w:t>
      </w:r>
    </w:p>
    <w:p w:rsidR="006E60B6" w:rsidRPr="000751DE" w:rsidRDefault="006E60B6" w:rsidP="006E60B6">
      <w:pPr>
        <w:shd w:val="clear" w:color="auto" w:fill="FFFFFF"/>
        <w:spacing w:before="240" w:after="160" w:afterAutospacing="1" w:line="360" w:lineRule="auto"/>
        <w:contextualSpacing/>
        <w:jc w:val="both"/>
        <w:textAlignment w:val="baseline"/>
        <w:rPr>
          <w:rFonts w:ascii="Palatino Linotype" w:eastAsia="Palatino Linotype" w:hAnsi="Palatino Linotype" w:cs="Palatino Linotype"/>
          <w:color w:val="000000"/>
        </w:rPr>
      </w:pPr>
    </w:p>
    <w:p w:rsidR="00AB1E77" w:rsidRDefault="00AB1E77" w:rsidP="006F2208">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color w:val="000000"/>
        </w:rPr>
      </w:pPr>
      <w:r w:rsidRPr="000751DE">
        <w:rPr>
          <w:rFonts w:ascii="Palatino Linotype" w:eastAsia="Palatino Linotype" w:hAnsi="Palatino Linotype" w:cs="Palatino Linotype"/>
          <w:color w:val="000000"/>
        </w:rPr>
        <w:t>Es de señalar que el periodo de reserva de la información que marco el SUJETO OBLIGADO es de cinco años, situación que es regulada en el artículo 125 de la Ley de Transparencia y Acceso a la Información Pública del</w:t>
      </w:r>
      <w:r w:rsidRPr="00AB1E77">
        <w:rPr>
          <w:rFonts w:ascii="Palatino Linotype" w:eastAsia="Palatino Linotype" w:hAnsi="Palatino Linotype" w:cs="Palatino Linotype"/>
          <w:color w:val="000000"/>
        </w:rPr>
        <w:t xml:space="preserve"> Estado de México y Municipios, por tratarse de información que tiene el carácter de reservada</w:t>
      </w:r>
      <w:r>
        <w:rPr>
          <w:rFonts w:ascii="Palatino Linotype" w:eastAsia="Palatino Linotype" w:hAnsi="Palatino Linotype" w:cs="Palatino Linotype"/>
          <w:color w:val="000000"/>
        </w:rPr>
        <w:t>.</w:t>
      </w:r>
    </w:p>
    <w:p w:rsidR="00AB1E77" w:rsidRDefault="00AB1E77" w:rsidP="00AB1E77">
      <w:pPr>
        <w:shd w:val="clear" w:color="auto" w:fill="FFFFFF"/>
        <w:spacing w:before="240" w:after="160" w:afterAutospacing="1" w:line="360" w:lineRule="auto"/>
        <w:contextualSpacing/>
        <w:jc w:val="both"/>
        <w:textAlignment w:val="baseline"/>
        <w:rPr>
          <w:rFonts w:ascii="Palatino Linotype" w:eastAsia="Palatino Linotype" w:hAnsi="Palatino Linotype" w:cs="Palatino Linotype"/>
          <w:color w:val="000000"/>
        </w:rPr>
      </w:pPr>
    </w:p>
    <w:p w:rsidR="00AB1E77" w:rsidRPr="00AB1E77" w:rsidRDefault="00AB1E77" w:rsidP="00AB1E77">
      <w:pPr>
        <w:ind w:left="1134" w:right="900"/>
        <w:contextualSpacing/>
        <w:jc w:val="both"/>
        <w:rPr>
          <w:rFonts w:ascii="Palatino Linotype" w:eastAsia="MS Mincho" w:hAnsi="Palatino Linotype" w:cs="Arial"/>
          <w:i/>
          <w:sz w:val="22"/>
          <w:szCs w:val="22"/>
          <w:lang w:val="es-ES_tradnl" w:eastAsia="es-ES"/>
        </w:rPr>
      </w:pPr>
      <w:r w:rsidRPr="00AB1E77">
        <w:rPr>
          <w:rFonts w:ascii="Palatino Linotype" w:eastAsia="MS Mincho" w:hAnsi="Palatino Linotype" w:cs="Arial"/>
          <w:b/>
          <w:i/>
          <w:sz w:val="22"/>
          <w:szCs w:val="22"/>
          <w:lang w:val="es-ES_tradnl" w:eastAsia="es-ES"/>
        </w:rPr>
        <w:lastRenderedPageBreak/>
        <w:t>Artículo 125.</w:t>
      </w:r>
      <w:r w:rsidRPr="00AB1E77">
        <w:rPr>
          <w:rFonts w:ascii="Palatino Linotype" w:eastAsia="MS Mincho" w:hAnsi="Palatino Linotype" w:cs="Arial"/>
          <w:i/>
          <w:sz w:val="22"/>
          <w:szCs w:val="22"/>
          <w:lang w:val="es-ES_tradnl" w:eastAsia="es-ES"/>
        </w:rPr>
        <w:t xml:space="preserve"> La información clasificada como reservada, de acuerdo a lo establecido en esta Ley podrá permanecer con tal carácter hasta </w:t>
      </w:r>
      <w:r w:rsidRPr="00AB1E77">
        <w:rPr>
          <w:rFonts w:ascii="Palatino Linotype" w:eastAsia="MS Mincho" w:hAnsi="Palatino Linotype" w:cs="Arial"/>
          <w:b/>
          <w:i/>
          <w:sz w:val="22"/>
          <w:szCs w:val="22"/>
          <w:lang w:val="es-ES_tradnl" w:eastAsia="es-ES"/>
        </w:rPr>
        <w:t>por un periodo de cinco años</w:t>
      </w:r>
      <w:r w:rsidRPr="00AB1E77">
        <w:rPr>
          <w:rFonts w:ascii="Palatino Linotype" w:eastAsia="MS Mincho" w:hAnsi="Palatino Linotype" w:cs="Arial"/>
          <w:i/>
          <w:sz w:val="22"/>
          <w:szCs w:val="22"/>
          <w:lang w:val="es-ES_tradnl" w:eastAsia="es-ES"/>
        </w:rPr>
        <w:t xml:space="preserve">, contados a partir de su clasificación, salvo que antes del cumplimiento del periodo de restricción, dejaran de existir los motivos de su reserva. </w:t>
      </w:r>
    </w:p>
    <w:p w:rsidR="00AB1E77" w:rsidRPr="00AB1E77" w:rsidRDefault="00AB1E77" w:rsidP="00AB1E77">
      <w:pPr>
        <w:ind w:left="1134" w:right="900"/>
        <w:contextualSpacing/>
        <w:jc w:val="both"/>
        <w:rPr>
          <w:rFonts w:ascii="Palatino Linotype" w:eastAsia="MS Mincho" w:hAnsi="Palatino Linotype" w:cs="Arial"/>
          <w:b/>
          <w:i/>
          <w:sz w:val="22"/>
          <w:szCs w:val="22"/>
          <w:lang w:val="es-ES_tradnl" w:eastAsia="es-ES"/>
        </w:rPr>
      </w:pPr>
      <w:r w:rsidRPr="00AB1E77">
        <w:rPr>
          <w:rFonts w:ascii="Palatino Linotype" w:eastAsia="MS Mincho" w:hAnsi="Palatino Linotype" w:cs="Arial"/>
          <w:b/>
          <w:i/>
          <w:sz w:val="22"/>
          <w:szCs w:val="22"/>
          <w:lang w:val="es-ES_tradnl" w:eastAsia="es-ES"/>
        </w:rPr>
        <w:t xml:space="preserve">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w:t>
      </w:r>
    </w:p>
    <w:p w:rsidR="00AB1E77" w:rsidRPr="00AB1E77" w:rsidRDefault="00AB1E77" w:rsidP="00AB1E77">
      <w:pPr>
        <w:ind w:left="1134" w:right="900"/>
        <w:contextualSpacing/>
        <w:jc w:val="both"/>
        <w:rPr>
          <w:rFonts w:ascii="Palatino Linotype" w:eastAsia="MS Mincho" w:hAnsi="Palatino Linotype" w:cs="Arial"/>
          <w:i/>
          <w:sz w:val="22"/>
          <w:szCs w:val="22"/>
          <w:lang w:val="es-ES_tradnl" w:eastAsia="es-ES"/>
        </w:rPr>
      </w:pPr>
      <w:r w:rsidRPr="00AB1E77">
        <w:rPr>
          <w:rFonts w:ascii="Palatino Linotype" w:eastAsia="MS Mincho" w:hAnsi="Palatino Linotype" w:cs="Arial"/>
          <w:i/>
          <w:sz w:val="22"/>
          <w:szCs w:val="22"/>
          <w:lang w:val="es-ES_tradnl" w:eastAsia="es-ES"/>
        </w:rPr>
        <w:t xml:space="preserve">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 </w:t>
      </w:r>
    </w:p>
    <w:p w:rsidR="00AB1E77" w:rsidRPr="00AB1E77" w:rsidRDefault="00AB1E77" w:rsidP="00AB1E77">
      <w:pPr>
        <w:ind w:left="1134" w:right="900"/>
        <w:contextualSpacing/>
        <w:jc w:val="both"/>
        <w:rPr>
          <w:rFonts w:ascii="Palatino Linotype" w:eastAsia="MS Mincho" w:hAnsi="Palatino Linotype" w:cs="Arial"/>
          <w:lang w:val="es-ES_tradnl" w:eastAsia="es-ES"/>
        </w:rPr>
      </w:pPr>
      <w:r w:rsidRPr="00AB1E77">
        <w:rPr>
          <w:rFonts w:ascii="Palatino Linotype" w:eastAsia="MS Mincho" w:hAnsi="Palatino Linotype" w:cs="Arial"/>
          <w:i/>
          <w:sz w:val="22"/>
          <w:szCs w:val="22"/>
          <w:lang w:val="es-ES_tradnl" w:eastAsia="es-ES"/>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r w:rsidRPr="00AB1E77">
        <w:rPr>
          <w:rFonts w:ascii="Palatino Linotype" w:eastAsia="MS Mincho" w:hAnsi="Palatino Linotype" w:cs="Arial"/>
          <w:lang w:val="es-ES_tradnl" w:eastAsia="es-ES"/>
        </w:rPr>
        <w:t>.</w:t>
      </w:r>
    </w:p>
    <w:p w:rsidR="00AB1E77" w:rsidRPr="00AB1E77" w:rsidRDefault="00AB1E77" w:rsidP="00AB1E77">
      <w:pPr>
        <w:shd w:val="clear" w:color="auto" w:fill="FFFFFF"/>
        <w:spacing w:before="240" w:after="160" w:afterAutospacing="1" w:line="360" w:lineRule="auto"/>
        <w:contextualSpacing/>
        <w:jc w:val="both"/>
        <w:textAlignment w:val="baseline"/>
        <w:rPr>
          <w:rFonts w:ascii="Palatino Linotype" w:eastAsia="Palatino Linotype" w:hAnsi="Palatino Linotype" w:cs="Palatino Linotype"/>
          <w:color w:val="000000"/>
        </w:rPr>
      </w:pPr>
    </w:p>
    <w:p w:rsidR="00D60D66" w:rsidRPr="000751DE" w:rsidRDefault="00AB1E77" w:rsidP="00BA1F1B">
      <w:pPr>
        <w:numPr>
          <w:ilvl w:val="0"/>
          <w:numId w:val="1"/>
        </w:numPr>
        <w:shd w:val="clear" w:color="auto" w:fill="FFFFFF"/>
        <w:spacing w:before="240" w:after="160" w:afterAutospacing="1" w:line="360" w:lineRule="auto"/>
        <w:ind w:left="0" w:firstLine="0"/>
        <w:contextualSpacing/>
        <w:jc w:val="both"/>
        <w:textAlignment w:val="baseline"/>
        <w:rPr>
          <w:rFonts w:ascii="Palatino Linotype" w:eastAsia="Palatino Linotype" w:hAnsi="Palatino Linotype" w:cs="Palatino Linotype"/>
          <w:b/>
          <w:color w:val="000000"/>
        </w:rPr>
      </w:pPr>
      <w:r w:rsidRPr="000751DE">
        <w:rPr>
          <w:rFonts w:ascii="Palatino Linotype" w:hAnsi="Palatino Linotype"/>
        </w:rPr>
        <w:t>En conclusión, en el presente asunto se emitió respuesta en tiempo y forma, por lo que</w:t>
      </w:r>
      <w:r w:rsidR="00BA1F1B" w:rsidRPr="000751DE">
        <w:rPr>
          <w:rFonts w:ascii="Palatino Linotype" w:hAnsi="Palatino Linotype"/>
        </w:rPr>
        <w:t xml:space="preserve"> el SUJETO OBLIGADO al haber informado, que en la </w:t>
      </w:r>
      <w:r w:rsidR="00BA1F1B" w:rsidRPr="000751DE">
        <w:rPr>
          <w:rFonts w:ascii="Palatino Linotype" w:eastAsia="Palatino Linotype" w:hAnsi="Palatino Linotype" w:cs="Palatino Linotype"/>
        </w:rPr>
        <w:t xml:space="preserve">Coordinación Jurídica existe un juicio asociado con un proveedor que demandó al Organismo durante el mes de enero, con </w:t>
      </w:r>
      <w:r w:rsidR="00077FA9" w:rsidRPr="000751DE">
        <w:rPr>
          <w:rFonts w:ascii="Palatino Linotype" w:eastAsia="Palatino Linotype" w:hAnsi="Palatino Linotype" w:cs="Palatino Linotype"/>
        </w:rPr>
        <w:t>número de expediente 1210/2022 y</w:t>
      </w:r>
      <w:r w:rsidR="00BA1F1B" w:rsidRPr="000751DE">
        <w:rPr>
          <w:rFonts w:ascii="Palatino Linotype" w:eastAsia="Palatino Linotype" w:hAnsi="Palatino Linotype" w:cs="Palatino Linotype"/>
        </w:rPr>
        <w:t xml:space="preserve"> al haber remitido el Acta</w:t>
      </w:r>
      <w:r w:rsidR="00BA1F1B" w:rsidRPr="000751DE">
        <w:rPr>
          <w:rFonts w:ascii="Palatino Linotype" w:eastAsia="Palatino Linotype" w:hAnsi="Palatino Linotype" w:cs="Palatino Linotype"/>
          <w:color w:val="000000"/>
        </w:rPr>
        <w:t xml:space="preserve"> del Comité de Tr</w:t>
      </w:r>
      <w:r w:rsidR="00D60D66" w:rsidRPr="000751DE">
        <w:rPr>
          <w:rFonts w:ascii="Palatino Linotype" w:eastAsia="Palatino Linotype" w:hAnsi="Palatino Linotype" w:cs="Palatino Linotype"/>
          <w:color w:val="000000"/>
        </w:rPr>
        <w:t xml:space="preserve">ansparencia, mediante el cual </w:t>
      </w:r>
      <w:r w:rsidR="00BA1F1B" w:rsidRPr="000751DE">
        <w:rPr>
          <w:rFonts w:ascii="Palatino Linotype" w:eastAsia="Palatino Linotype" w:hAnsi="Palatino Linotype" w:cs="Palatino Linotype"/>
          <w:color w:val="000000"/>
        </w:rPr>
        <w:t xml:space="preserve"> aprueba </w:t>
      </w:r>
      <w:r w:rsidR="00077FA9" w:rsidRPr="000751DE">
        <w:rPr>
          <w:rFonts w:ascii="Palatino Linotype" w:eastAsia="Palatino Linotype" w:hAnsi="Palatino Linotype" w:cs="Palatino Linotype"/>
          <w:color w:val="000000"/>
        </w:rPr>
        <w:t>la reserva total del expediente 1210/2022 de los juicios a proveedores de enero de 2023</w:t>
      </w:r>
      <w:r w:rsidR="00D60D66" w:rsidRPr="000751DE">
        <w:rPr>
          <w:rFonts w:ascii="Palatino Linotype" w:eastAsia="Palatino Linotype" w:hAnsi="Palatino Linotype" w:cs="Palatino Linotype"/>
          <w:color w:val="000000"/>
        </w:rPr>
        <w:t xml:space="preserve">, sin embargo al no haber fundado y </w:t>
      </w:r>
      <w:r w:rsidR="00D60D66" w:rsidRPr="000751DE">
        <w:rPr>
          <w:rFonts w:ascii="Palatino Linotype" w:eastAsia="Palatino Linotype" w:hAnsi="Palatino Linotype" w:cs="Palatino Linotype"/>
          <w:color w:val="000000"/>
        </w:rPr>
        <w:lastRenderedPageBreak/>
        <w:t xml:space="preserve">motivado de forma correcta el Acuerdo por el cual aprueba la reserva de la información, este órgano garante determina procedente, MODIFICAR la respuesta del Sujeto </w:t>
      </w:r>
      <w:r w:rsidR="00EE0A06" w:rsidRPr="000751DE">
        <w:rPr>
          <w:rFonts w:ascii="Palatino Linotype" w:eastAsia="Palatino Linotype" w:hAnsi="Palatino Linotype" w:cs="Palatino Linotype"/>
          <w:color w:val="000000"/>
        </w:rPr>
        <w:t xml:space="preserve">Obligado y se ORDENA la entrega, de ser procedente en versión pública el acuerdo del Comité de Transparencia, en el que de manera fundada y motivada, confirme la clasificación de la información como reservada solicitada en la solicitud </w:t>
      </w:r>
      <w:r w:rsidR="00EE0A06" w:rsidRPr="000751DE">
        <w:rPr>
          <w:rFonts w:ascii="Palatino Linotype" w:eastAsia="Palatino Linotype" w:hAnsi="Palatino Linotype" w:cs="Palatino Linotype"/>
          <w:b/>
          <w:bCs/>
          <w:color w:val="000000"/>
        </w:rPr>
        <w:t>00117/OASATIZARA/IP/2024.</w:t>
      </w:r>
    </w:p>
    <w:p w:rsidR="00EE0A06" w:rsidRPr="000751DE" w:rsidRDefault="00EE0A06" w:rsidP="00EE0A06">
      <w:pPr>
        <w:shd w:val="clear" w:color="auto" w:fill="FFFFFF"/>
        <w:spacing w:before="240" w:after="160" w:afterAutospacing="1" w:line="360" w:lineRule="auto"/>
        <w:contextualSpacing/>
        <w:jc w:val="both"/>
        <w:textAlignment w:val="baseline"/>
        <w:rPr>
          <w:rFonts w:ascii="Palatino Linotype" w:eastAsia="Palatino Linotype" w:hAnsi="Palatino Linotype" w:cs="Palatino Linotype"/>
          <w:b/>
          <w:color w:val="000000"/>
        </w:rPr>
      </w:pPr>
    </w:p>
    <w:p w:rsidR="002457DB" w:rsidRDefault="002457DB" w:rsidP="002457DB">
      <w:pPr>
        <w:numPr>
          <w:ilvl w:val="0"/>
          <w:numId w:val="1"/>
        </w:numPr>
        <w:spacing w:line="360" w:lineRule="auto"/>
        <w:ind w:left="0" w:right="49" w:firstLine="0"/>
        <w:jc w:val="both"/>
        <w:rPr>
          <w:rFonts w:ascii="Palatino Linotype" w:eastAsia="Palatino Linotype" w:hAnsi="Palatino Linotype" w:cs="Palatino Linotype"/>
        </w:rPr>
      </w:pPr>
      <w:r w:rsidRPr="000751DE">
        <w:rPr>
          <w:rFonts w:ascii="Palatino Linotype" w:eastAsia="Palatino Linotype" w:hAnsi="Palatino Linotype" w:cs="Palatino Linotype"/>
        </w:rPr>
        <w:t>Por lo anteriormente expuesto</w:t>
      </w:r>
      <w:r w:rsidRPr="003E671B">
        <w:rPr>
          <w:rFonts w:ascii="Palatino Linotype" w:eastAsia="Palatino Linotype" w:hAnsi="Palatino Linotype" w:cs="Palatino Linotype"/>
        </w:rPr>
        <w:t xml:space="preserve"> y fundado, este </w:t>
      </w:r>
      <w:r w:rsidRPr="003E671B">
        <w:rPr>
          <w:rFonts w:ascii="Palatino Linotype" w:eastAsia="Palatino Linotype" w:hAnsi="Palatino Linotype" w:cs="Palatino Linotype"/>
          <w:b/>
        </w:rPr>
        <w:t>ÓRGANO GARANTE</w:t>
      </w:r>
      <w:r w:rsidRPr="003E671B">
        <w:rPr>
          <w:rFonts w:ascii="Palatino Linotype" w:eastAsia="Palatino Linotype" w:hAnsi="Palatino Linotype" w:cs="Palatino Linotype"/>
        </w:rPr>
        <w:t xml:space="preserve"> emite los siguientes:</w:t>
      </w:r>
    </w:p>
    <w:p w:rsidR="00077FA9" w:rsidRDefault="00077FA9" w:rsidP="00077FA9">
      <w:pPr>
        <w:pStyle w:val="Prrafodelista"/>
        <w:rPr>
          <w:rFonts w:ascii="Palatino Linotype" w:eastAsia="Palatino Linotype" w:hAnsi="Palatino Linotype" w:cs="Palatino Linotype"/>
        </w:rPr>
      </w:pPr>
    </w:p>
    <w:p w:rsidR="00077FA9" w:rsidRDefault="00077FA9" w:rsidP="00077FA9">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077FA9" w:rsidRDefault="00077FA9" w:rsidP="00077FA9">
      <w:pPr>
        <w:keepNext/>
        <w:keepLines/>
        <w:spacing w:line="360" w:lineRule="auto"/>
        <w:jc w:val="center"/>
        <w:rPr>
          <w:rFonts w:ascii="Palatino Linotype" w:eastAsia="Palatino Linotype" w:hAnsi="Palatino Linotype" w:cs="Palatino Linotype"/>
          <w:b/>
        </w:rPr>
      </w:pPr>
    </w:p>
    <w:p w:rsidR="00077FA9" w:rsidRDefault="00077FA9" w:rsidP="00077FA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sidR="00EE0A06">
        <w:rPr>
          <w:rFonts w:ascii="Palatino Linotype" w:eastAsia="Palatino Linotype" w:hAnsi="Palatino Linotype" w:cs="Palatino Linotype"/>
        </w:rPr>
        <w:t xml:space="preserve">Resultan </w:t>
      </w:r>
      <w:r>
        <w:rPr>
          <w:rFonts w:ascii="Palatino Linotype" w:eastAsia="Palatino Linotype" w:hAnsi="Palatino Linotype" w:cs="Palatino Linotype"/>
        </w:rPr>
        <w:t>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01608/INFOEM/IP/RR/2024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sidR="00EE0A06">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la presente </w:t>
      </w:r>
      <w:r w:rsidR="003A5E38">
        <w:rPr>
          <w:rFonts w:ascii="Palatino Linotype" w:eastAsia="Palatino Linotype" w:hAnsi="Palatino Linotype" w:cs="Palatino Linotype"/>
        </w:rPr>
        <w:t>R</w:t>
      </w:r>
      <w:r>
        <w:rPr>
          <w:rFonts w:ascii="Palatino Linotype" w:eastAsia="Palatino Linotype" w:hAnsi="Palatino Linotype" w:cs="Palatino Linotype"/>
        </w:rPr>
        <w:t>esolución.</w:t>
      </w:r>
    </w:p>
    <w:p w:rsidR="00077FA9" w:rsidRDefault="00077FA9" w:rsidP="00077FA9">
      <w:pPr>
        <w:spacing w:line="360" w:lineRule="auto"/>
        <w:jc w:val="both"/>
        <w:rPr>
          <w:rFonts w:ascii="Palatino Linotype" w:eastAsia="Palatino Linotype" w:hAnsi="Palatino Linotype" w:cs="Palatino Linotype"/>
          <w:b/>
        </w:rPr>
      </w:pPr>
    </w:p>
    <w:p w:rsidR="00077FA9" w:rsidRDefault="00077FA9" w:rsidP="00077FA9">
      <w:pPr>
        <w:spacing w:line="360" w:lineRule="auto"/>
        <w:jc w:val="both"/>
        <w:rPr>
          <w:rFonts w:ascii="Palatino Linotype" w:eastAsia="Palatino Linotype" w:hAnsi="Palatino Linotype" w:cs="Palatino Linotype"/>
        </w:rPr>
      </w:pPr>
      <w:bookmarkStart w:id="10" w:name="_heading=h.17dp8vu" w:colFirst="0" w:colLast="0"/>
      <w:bookmarkEnd w:id="10"/>
      <w:r w:rsidRPr="000751DE">
        <w:rPr>
          <w:rFonts w:ascii="Palatino Linotype" w:eastAsia="Palatino Linotype" w:hAnsi="Palatino Linotype" w:cs="Palatino Linotype"/>
          <w:b/>
        </w:rPr>
        <w:t xml:space="preserve">SEGUNDO. </w:t>
      </w:r>
      <w:r w:rsidRPr="000751DE">
        <w:rPr>
          <w:rFonts w:ascii="Palatino Linotype" w:eastAsia="Palatino Linotype" w:hAnsi="Palatino Linotype" w:cs="Palatino Linotype"/>
        </w:rPr>
        <w:t xml:space="preserve">Se </w:t>
      </w:r>
      <w:r w:rsidR="00EE0A06" w:rsidRPr="000751DE">
        <w:rPr>
          <w:rFonts w:ascii="Palatino Linotype" w:eastAsia="Palatino Linotype" w:hAnsi="Palatino Linotype" w:cs="Palatino Linotype"/>
          <w:b/>
        </w:rPr>
        <w:t>MODIFICA</w:t>
      </w:r>
      <w:r w:rsidRPr="000751DE">
        <w:rPr>
          <w:rFonts w:ascii="Palatino Linotype" w:eastAsia="Palatino Linotype" w:hAnsi="Palatino Linotype" w:cs="Palatino Linotype"/>
        </w:rPr>
        <w:t xml:space="preserve"> la respuesta emitida por</w:t>
      </w:r>
      <w:r w:rsidR="00CC58E4" w:rsidRPr="000751DE">
        <w:rPr>
          <w:rFonts w:ascii="Palatino Linotype" w:eastAsia="Palatino Linotype" w:hAnsi="Palatino Linotype" w:cs="Palatino Linotype"/>
        </w:rPr>
        <w:t xml:space="preserve"> el</w:t>
      </w:r>
      <w:r w:rsidRPr="000751DE">
        <w:rPr>
          <w:rFonts w:ascii="Palatino Linotype" w:eastAsia="Palatino Linotype" w:hAnsi="Palatino Linotype" w:cs="Palatino Linotype"/>
        </w:rPr>
        <w:t xml:space="preserve"> Organismo Público Descentralizado para la Prestación</w:t>
      </w:r>
      <w:r w:rsidRPr="00077FA9">
        <w:rPr>
          <w:rFonts w:ascii="Palatino Linotype" w:eastAsia="Palatino Linotype" w:hAnsi="Palatino Linotype" w:cs="Palatino Linotype"/>
        </w:rPr>
        <w:t xml:space="preserve"> de Los Servicios de Agua Potable Alcantarillado y Saneamiento de Atizapán de Zaragoza por sus siglas S.A.P.A.S.A.</w:t>
      </w:r>
      <w:r w:rsidR="001B5C93">
        <w:rPr>
          <w:rFonts w:ascii="Palatino Linotype" w:eastAsia="Palatino Linotype" w:hAnsi="Palatino Linotype" w:cs="Palatino Linotype"/>
        </w:rPr>
        <w:t xml:space="preserve"> </w:t>
      </w:r>
      <w:r w:rsidR="00EE0A06">
        <w:rPr>
          <w:rFonts w:ascii="Palatino Linotype" w:eastAsia="Palatino Linotype" w:hAnsi="Palatino Linotype" w:cs="Palatino Linotype"/>
        </w:rPr>
        <w:t xml:space="preserve">y se ORDENA entregar </w:t>
      </w:r>
      <w:r w:rsidR="003A5E38">
        <w:rPr>
          <w:rFonts w:ascii="Palatino Linotype" w:eastAsia="Palatino Linotype" w:hAnsi="Palatino Linotype" w:cs="Palatino Linotype"/>
        </w:rPr>
        <w:t>vía</w:t>
      </w:r>
      <w:r w:rsidR="00EE0A06">
        <w:rPr>
          <w:rFonts w:ascii="Palatino Linotype" w:eastAsia="Palatino Linotype" w:hAnsi="Palatino Linotype" w:cs="Palatino Linotype"/>
        </w:rPr>
        <w:t xml:space="preserve"> Sistema de Acceso a la Información Mexiquense (SAIMEX), la siguiente información:</w:t>
      </w:r>
    </w:p>
    <w:p w:rsidR="00EE0A06" w:rsidRDefault="00EE0A06" w:rsidP="00077FA9">
      <w:pPr>
        <w:spacing w:line="360" w:lineRule="auto"/>
        <w:jc w:val="both"/>
        <w:rPr>
          <w:rFonts w:ascii="Palatino Linotype" w:eastAsia="Palatino Linotype" w:hAnsi="Palatino Linotype" w:cs="Palatino Linotype"/>
        </w:rPr>
      </w:pPr>
    </w:p>
    <w:p w:rsidR="00EE0A06" w:rsidRPr="000751DE" w:rsidRDefault="00EE0A06" w:rsidP="00EE0A06">
      <w:pPr>
        <w:shd w:val="clear" w:color="auto" w:fill="FFFFFF"/>
        <w:spacing w:before="240" w:after="160" w:afterAutospacing="1" w:line="360" w:lineRule="auto"/>
        <w:ind w:left="567" w:right="539"/>
        <w:contextualSpacing/>
        <w:jc w:val="both"/>
        <w:textAlignment w:val="baseline"/>
        <w:rPr>
          <w:rFonts w:ascii="Palatino Linotype" w:eastAsia="Palatino Linotype" w:hAnsi="Palatino Linotype" w:cs="Palatino Linotype"/>
          <w:b/>
          <w:bCs/>
          <w:color w:val="000000"/>
        </w:rPr>
      </w:pPr>
      <w:r w:rsidRPr="00EE0A06">
        <w:rPr>
          <w:rFonts w:ascii="Palatino Linotype" w:eastAsia="Palatino Linotype" w:hAnsi="Palatino Linotype" w:cs="Palatino Linotype"/>
          <w:b/>
        </w:rPr>
        <w:lastRenderedPageBreak/>
        <w:t xml:space="preserve">1.- </w:t>
      </w:r>
      <w:r w:rsidRPr="000751DE">
        <w:rPr>
          <w:rFonts w:ascii="Palatino Linotype" w:eastAsia="Palatino Linotype" w:hAnsi="Palatino Linotype" w:cs="Palatino Linotype"/>
          <w:b/>
          <w:color w:val="000000"/>
        </w:rPr>
        <w:t xml:space="preserve">Acuerdo del Comité de Transparencia, en el que de manera fundada y motivada, confirme la clasificación de la información </w:t>
      </w:r>
      <w:r w:rsidR="003A5E38" w:rsidRPr="000751DE">
        <w:rPr>
          <w:rFonts w:ascii="Palatino Linotype" w:eastAsia="Palatino Linotype" w:hAnsi="Palatino Linotype" w:cs="Palatino Linotype"/>
          <w:b/>
          <w:color w:val="000000"/>
        </w:rPr>
        <w:t xml:space="preserve">requerida en la solicitud de información </w:t>
      </w:r>
      <w:r w:rsidR="003A5E38" w:rsidRPr="000751DE">
        <w:rPr>
          <w:rFonts w:ascii="Palatino Linotype" w:eastAsia="Palatino Linotype" w:hAnsi="Palatino Linotype" w:cs="Palatino Linotype"/>
          <w:b/>
          <w:bCs/>
          <w:color w:val="000000"/>
        </w:rPr>
        <w:t xml:space="preserve">00117/OASATIZARA/IP/2024, </w:t>
      </w:r>
      <w:r w:rsidRPr="000751DE">
        <w:rPr>
          <w:rFonts w:ascii="Palatino Linotype" w:eastAsia="Palatino Linotype" w:hAnsi="Palatino Linotype" w:cs="Palatino Linotype"/>
          <w:b/>
          <w:color w:val="000000"/>
        </w:rPr>
        <w:t>como reservada</w:t>
      </w:r>
      <w:r w:rsidRPr="000751DE">
        <w:rPr>
          <w:rFonts w:ascii="Palatino Linotype" w:eastAsia="Palatino Linotype" w:hAnsi="Palatino Linotype" w:cs="Palatino Linotype"/>
          <w:b/>
          <w:bCs/>
          <w:color w:val="000000"/>
        </w:rPr>
        <w:t>.</w:t>
      </w:r>
    </w:p>
    <w:p w:rsidR="00077FA9" w:rsidRDefault="00077FA9" w:rsidP="00077FA9">
      <w:pPr>
        <w:tabs>
          <w:tab w:val="left" w:pos="993"/>
        </w:tabs>
        <w:spacing w:line="360" w:lineRule="auto"/>
        <w:ind w:right="567"/>
        <w:jc w:val="both"/>
        <w:rPr>
          <w:rFonts w:ascii="Palatino Linotype" w:eastAsia="Palatino Linotype" w:hAnsi="Palatino Linotype" w:cs="Palatino Linotype"/>
        </w:rPr>
      </w:pPr>
    </w:p>
    <w:p w:rsidR="00077FA9" w:rsidRDefault="00077FA9" w:rsidP="00077FA9">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sidR="00EE0A06" w:rsidRPr="003E671B">
        <w:rPr>
          <w:rFonts w:ascii="Palatino Linotype" w:eastAsia="Palatino Linotype" w:hAnsi="Palatino Linotype" w:cs="Palatino Linotype"/>
          <w:b/>
        </w:rPr>
        <w:t xml:space="preserve">Notifíquese </w:t>
      </w:r>
      <w:r w:rsidR="00EE0A06" w:rsidRPr="003E671B">
        <w:rPr>
          <w:rFonts w:ascii="Palatino Linotype" w:eastAsia="Palatino Linotype" w:hAnsi="Palatino Linotype" w:cs="Palatino Linotype"/>
        </w:rPr>
        <w:t xml:space="preserve">la presente resolución al Titular de la Unidad de Transparencia del Sujeto Obligado vía </w:t>
      </w:r>
      <w:r w:rsidR="00EE0A06" w:rsidRPr="003E671B">
        <w:rPr>
          <w:rFonts w:ascii="Palatino Linotype" w:eastAsia="Palatino Linotype" w:hAnsi="Palatino Linotype" w:cs="Palatino Linotype"/>
          <w:b/>
        </w:rPr>
        <w:t>SAIMEX</w:t>
      </w:r>
      <w:r w:rsidR="00EE0A06" w:rsidRPr="003E671B">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00EE0A06" w:rsidRPr="003E671B">
        <w:rPr>
          <w:rFonts w:ascii="Palatino Linotype" w:eastAsia="Palatino Linotype" w:hAnsi="Palatino Linotype" w:cs="Palatino Linotype"/>
          <w:b/>
        </w:rPr>
        <w:t>dé cumplimiento a lo ordenado dentro del plazo de diez días hábiles,</w:t>
      </w:r>
      <w:r w:rsidR="00EE0A06" w:rsidRPr="003E671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77FA9" w:rsidRDefault="00077FA9" w:rsidP="00077FA9">
      <w:pPr>
        <w:tabs>
          <w:tab w:val="left" w:pos="8080"/>
        </w:tabs>
        <w:spacing w:line="360" w:lineRule="auto"/>
        <w:ind w:right="49"/>
        <w:jc w:val="both"/>
        <w:rPr>
          <w:rFonts w:ascii="Palatino Linotype" w:eastAsia="Palatino Linotype" w:hAnsi="Palatino Linotype" w:cs="Palatino Linotype"/>
          <w:b/>
        </w:rPr>
      </w:pPr>
    </w:p>
    <w:p w:rsidR="00077FA9" w:rsidRDefault="00077FA9" w:rsidP="00077FA9">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rsidR="00077FA9" w:rsidRDefault="00077FA9" w:rsidP="00077FA9">
      <w:pPr>
        <w:shd w:val="clear" w:color="auto" w:fill="FFFFFF"/>
        <w:spacing w:line="360" w:lineRule="auto"/>
        <w:jc w:val="both"/>
        <w:rPr>
          <w:rFonts w:ascii="Palatino Linotype" w:eastAsia="Palatino Linotype" w:hAnsi="Palatino Linotype" w:cs="Palatino Linotype"/>
        </w:rPr>
      </w:pPr>
    </w:p>
    <w:p w:rsidR="002457DB" w:rsidRDefault="00077FA9" w:rsidP="001B5C93">
      <w:pPr>
        <w:spacing w:line="360" w:lineRule="auto"/>
        <w:jc w:val="both"/>
        <w:rPr>
          <w:rFonts w:ascii="Palatino Linotype" w:eastAsia="Palatino Linotype" w:hAnsi="Palatino Linotype" w:cs="Palatino Linotype"/>
          <w:lang w:val="es-ES"/>
        </w:rPr>
      </w:pPr>
      <w:r>
        <w:rPr>
          <w:rFonts w:ascii="Palatino Linotype" w:eastAsia="Palatino Linotype" w:hAnsi="Palatino Linotype" w:cs="Palatino Linotype"/>
          <w:b/>
        </w:rPr>
        <w:t>QUINTO.</w:t>
      </w:r>
      <w:r w:rsidRPr="00077FA9">
        <w:rPr>
          <w:rFonts w:ascii="Palatino Linotype" w:eastAsia="Palatino Linotype" w:hAnsi="Palatino Linotype" w:cs="Palatino Linotype"/>
        </w:rPr>
        <w:t xml:space="preserve"> </w:t>
      </w:r>
      <w:r w:rsidRPr="00077FA9">
        <w:rPr>
          <w:rFonts w:ascii="Palatino Linotype" w:eastAsia="Palatino Linotype" w:hAnsi="Palatino Linotype" w:cs="Palatino Linotype"/>
          <w:lang w:val="es-ES"/>
        </w:rPr>
        <w:t xml:space="preserve">Se hace del conocimiento de </w:t>
      </w:r>
      <w:r w:rsidRPr="00077FA9">
        <w:rPr>
          <w:rFonts w:ascii="Palatino Linotype" w:eastAsia="Palatino Linotype" w:hAnsi="Palatino Linotype" w:cs="Palatino Linotype"/>
          <w:b/>
          <w:lang w:val="es-ES"/>
        </w:rPr>
        <w:t>EL RECURRENTE</w:t>
      </w:r>
      <w:r w:rsidRPr="00077FA9">
        <w:rPr>
          <w:rFonts w:ascii="Palatino Linotype" w:eastAsia="Palatino Linotype" w:hAnsi="Palatino Linotype" w:cs="Palatino Linotype"/>
          <w:lang w:val="es-ES"/>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w:t>
      </w:r>
      <w:r w:rsidRPr="00077FA9">
        <w:rPr>
          <w:rFonts w:ascii="Palatino Linotype" w:eastAsia="Palatino Linotype" w:hAnsi="Palatino Linotype" w:cs="Palatino Linotype"/>
          <w:lang w:val="es-ES"/>
        </w:rPr>
        <w:lastRenderedPageBreak/>
        <w:t>considere que la resolución le cause algún perjuicio podrá impugnarla vía recurso de inconformidad ante el Instituto Nacional de Transparencia, Acceso a la Información y Protección de Datos, o bien, vía juicio de amparo en los términos de las leyes aplicables.</w:t>
      </w:r>
    </w:p>
    <w:p w:rsidR="00EE0A06" w:rsidRDefault="00EE0A06" w:rsidP="001B5C93">
      <w:pPr>
        <w:spacing w:line="360" w:lineRule="auto"/>
        <w:jc w:val="both"/>
        <w:rPr>
          <w:rFonts w:ascii="Palatino Linotype" w:eastAsia="Palatino Linotype" w:hAnsi="Palatino Linotype" w:cs="Palatino Linotype"/>
          <w:lang w:val="es-ES"/>
        </w:rPr>
      </w:pPr>
    </w:p>
    <w:p w:rsidR="00EE0A06" w:rsidRPr="003E671B" w:rsidRDefault="00EE0A06" w:rsidP="00EE0A06">
      <w:pPr>
        <w:spacing w:line="360" w:lineRule="auto"/>
        <w:ind w:right="48"/>
        <w:jc w:val="both"/>
        <w:rPr>
          <w:rFonts w:ascii="Palatino Linotype" w:eastAsia="Palatino Linotype" w:hAnsi="Palatino Linotype" w:cs="Palatino Linotype"/>
        </w:rPr>
      </w:pPr>
      <w:r w:rsidRPr="00EE0A06">
        <w:rPr>
          <w:rFonts w:ascii="Palatino Linotype" w:eastAsia="Palatino Linotype" w:hAnsi="Palatino Linotype" w:cs="Palatino Linotype"/>
          <w:b/>
          <w:lang w:val="es-ES"/>
        </w:rPr>
        <w:t>SEXTO.-</w:t>
      </w:r>
      <w:r>
        <w:rPr>
          <w:rFonts w:ascii="Palatino Linotype" w:eastAsia="Palatino Linotype" w:hAnsi="Palatino Linotype" w:cs="Palatino Linotype"/>
          <w:lang w:val="es-ES"/>
        </w:rPr>
        <w:t xml:space="preserve"> </w:t>
      </w:r>
      <w:r w:rsidRPr="003E671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EE0A06" w:rsidRPr="00077FA9" w:rsidRDefault="00EE0A06" w:rsidP="001B5C93">
      <w:pPr>
        <w:spacing w:line="360" w:lineRule="auto"/>
        <w:jc w:val="both"/>
        <w:rPr>
          <w:rFonts w:ascii="Palatino Linotype" w:eastAsia="Palatino Linotype" w:hAnsi="Palatino Linotype" w:cs="Palatino Linotype"/>
          <w:lang w:val="es-ES"/>
        </w:rPr>
      </w:pPr>
    </w:p>
    <w:p w:rsidR="00CC58E4" w:rsidRPr="00A208F6" w:rsidRDefault="00CC58E4" w:rsidP="00CC58E4">
      <w:pPr>
        <w:spacing w:line="360" w:lineRule="auto"/>
        <w:ind w:left="-142" w:right="-234" w:firstLine="1"/>
        <w:jc w:val="both"/>
        <w:rPr>
          <w:rFonts w:ascii="Palatino Linotype" w:hAnsi="Palatino Linotype"/>
        </w:rPr>
      </w:pPr>
      <w:r w:rsidRPr="00A208F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57B4C" w:rsidRPr="00A208F6">
        <w:rPr>
          <w:rFonts w:ascii="Palatino Linotype" w:hAnsi="Palatino Linotype"/>
        </w:rPr>
        <w:t xml:space="preserve">EMITIENDO VOTO PARTICULAR </w:t>
      </w:r>
      <w:r w:rsidRPr="00A208F6">
        <w:rPr>
          <w:rFonts w:ascii="Palatino Linotype" w:hAnsi="Palatino Linotype"/>
        </w:rPr>
        <w:t xml:space="preserve">Y GUADALUPE RAMÍREZ PEÑA; EN LA TRIGÉSIMA CUARTA SESIÓN ORDINARIA CELEBRADA EL VEINTICINCO (25) DE SEPTIEMBRE DE DOS MIL VEINTICUATRO, ANTE EL </w:t>
      </w:r>
      <w:bookmarkStart w:id="11" w:name="_GoBack"/>
      <w:r w:rsidRPr="00A208F6">
        <w:rPr>
          <w:rFonts w:ascii="Palatino Linotype" w:hAnsi="Palatino Linotype"/>
        </w:rPr>
        <w:t xml:space="preserve">SECRETARIO </w:t>
      </w:r>
      <w:bookmarkEnd w:id="11"/>
      <w:r w:rsidRPr="00A208F6">
        <w:rPr>
          <w:rFonts w:ascii="Palatino Linotype" w:hAnsi="Palatino Linotype"/>
        </w:rPr>
        <w:t xml:space="preserve">TÉCNICO DEL PLENO ALEXIS TAPIA RAMÍREZ. </w:t>
      </w:r>
    </w:p>
    <w:p w:rsidR="00CC58E4" w:rsidRPr="00902BA4" w:rsidRDefault="00CC58E4" w:rsidP="00CC58E4">
      <w:pPr>
        <w:widowControl w:val="0"/>
        <w:autoSpaceDE w:val="0"/>
        <w:autoSpaceDN w:val="0"/>
        <w:adjustRightInd w:val="0"/>
        <w:spacing w:after="200" w:line="276" w:lineRule="auto"/>
        <w:ind w:left="-142" w:right="-234"/>
        <w:rPr>
          <w:rFonts w:ascii="Calibri" w:hAnsi="Calibri" w:cs="Calibri"/>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rPr>
      </w:pPr>
    </w:p>
    <w:p w:rsidR="002457DB" w:rsidRDefault="002457DB" w:rsidP="002457DB">
      <w:pPr>
        <w:spacing w:before="240" w:after="240" w:line="360" w:lineRule="auto"/>
        <w:jc w:val="both"/>
        <w:rPr>
          <w:rFonts w:ascii="Palatino Linotype" w:eastAsia="Palatino Linotype" w:hAnsi="Palatino Linotype" w:cs="Palatino Linotype"/>
          <w:b/>
        </w:rPr>
      </w:pPr>
    </w:p>
    <w:p w:rsidR="002457DB" w:rsidRDefault="002457DB" w:rsidP="002457DB">
      <w:pPr>
        <w:spacing w:line="360" w:lineRule="auto"/>
        <w:ind w:right="48"/>
        <w:jc w:val="both"/>
        <w:rPr>
          <w:rFonts w:ascii="Palatino Linotype" w:eastAsia="Palatino Linotype" w:hAnsi="Palatino Linotype" w:cs="Palatino Linotype"/>
        </w:rPr>
      </w:pPr>
    </w:p>
    <w:p w:rsidR="002457DB" w:rsidRDefault="002457DB" w:rsidP="002457DB"/>
    <w:p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Default="002457DB" w:rsidP="002457D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457DB" w:rsidRDefault="002457DB" w:rsidP="002457DB"/>
    <w:p w:rsidR="002457DB" w:rsidRDefault="002457DB" w:rsidP="002457DB"/>
    <w:p w:rsidR="002457DB" w:rsidRDefault="002457DB" w:rsidP="002457DB"/>
    <w:p w:rsidR="002457DB" w:rsidRDefault="002457DB" w:rsidP="002457DB"/>
    <w:p w:rsidR="002457DB" w:rsidRDefault="002457DB" w:rsidP="002457DB"/>
    <w:p w:rsidR="002457DB" w:rsidRDefault="002457DB" w:rsidP="002457DB"/>
    <w:p w:rsidR="002457DB" w:rsidRDefault="002457DB" w:rsidP="002457DB"/>
    <w:p w:rsidR="000945DC" w:rsidRDefault="000945DC"/>
    <w:sectPr w:rsidR="000945DC">
      <w:headerReference w:type="even" r:id="rId18"/>
      <w:headerReference w:type="default" r:id="rId19"/>
      <w:footerReference w:type="default" r:id="rId20"/>
      <w:headerReference w:type="first" r:id="rId21"/>
      <w:footerReference w:type="first" r:id="rId2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BA" w:rsidRDefault="009D39BA" w:rsidP="002457DB">
      <w:r>
        <w:separator/>
      </w:r>
    </w:p>
  </w:endnote>
  <w:endnote w:type="continuationSeparator" w:id="0">
    <w:p w:rsidR="009D39BA" w:rsidRDefault="009D39BA" w:rsidP="0024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66" w:rsidRDefault="00D60D6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751DE">
      <w:rPr>
        <w:b/>
        <w:noProof/>
        <w:color w:val="000000"/>
      </w:rPr>
      <w:t>42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751DE">
      <w:rPr>
        <w:b/>
        <w:noProof/>
        <w:color w:val="000000"/>
      </w:rPr>
      <w:t>42</w:t>
    </w:r>
    <w:r>
      <w:rPr>
        <w:b/>
        <w:color w:val="000000"/>
      </w:rPr>
      <w:fldChar w:fldCharType="end"/>
    </w:r>
  </w:p>
  <w:p w:rsidR="00D60D66" w:rsidRDefault="00D60D6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66" w:rsidRDefault="00D60D6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751D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751DE">
      <w:rPr>
        <w:b/>
        <w:noProof/>
        <w:color w:val="000000"/>
      </w:rPr>
      <w:t>42</w:t>
    </w:r>
    <w:r>
      <w:rPr>
        <w:b/>
        <w:color w:val="000000"/>
      </w:rPr>
      <w:fldChar w:fldCharType="end"/>
    </w:r>
  </w:p>
  <w:p w:rsidR="00D60D66" w:rsidRDefault="00D60D6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BA" w:rsidRDefault="009D39BA" w:rsidP="002457DB">
      <w:r>
        <w:separator/>
      </w:r>
    </w:p>
  </w:footnote>
  <w:footnote w:type="continuationSeparator" w:id="0">
    <w:p w:rsidR="009D39BA" w:rsidRDefault="009D39BA" w:rsidP="002457DB">
      <w:r>
        <w:continuationSeparator/>
      </w:r>
    </w:p>
  </w:footnote>
  <w:footnote w:id="1">
    <w:p w:rsidR="00D60D66" w:rsidRDefault="00D60D66" w:rsidP="00712D4C">
      <w:pPr>
        <w:pStyle w:val="Textonotapie"/>
      </w:pPr>
      <w:r>
        <w:rPr>
          <w:rStyle w:val="Refdenotaalpie"/>
        </w:rPr>
        <w:footnoteRef/>
      </w:r>
      <w:r>
        <w:t xml:space="preserve"> Artículo 150. Ley de Transparencia y Acceso a la Información Pública del Estado de México y Municipios.</w:t>
      </w:r>
    </w:p>
    <w:p w:rsidR="00D60D66" w:rsidRDefault="00D60D66" w:rsidP="00712D4C">
      <w:pPr>
        <w:pStyle w:val="Textonotapie"/>
      </w:pPr>
      <w:r>
        <w:t>Artículo 151. Ibídem.</w:t>
      </w:r>
    </w:p>
  </w:footnote>
  <w:footnote w:id="2">
    <w:p w:rsidR="00D60D66" w:rsidRDefault="00D60D66" w:rsidP="00712D4C">
      <w:pPr>
        <w:pStyle w:val="Textonotapie"/>
      </w:pPr>
      <w:r>
        <w:rPr>
          <w:rStyle w:val="Refdenotaalpie"/>
        </w:rPr>
        <w:footnoteRef/>
      </w:r>
      <w:r>
        <w:t xml:space="preserve"> Fracción IV. Artículo 53. Ibídem.</w:t>
      </w:r>
    </w:p>
  </w:footnote>
  <w:footnote w:id="3">
    <w:p w:rsidR="00D60D66" w:rsidRDefault="00D60D66" w:rsidP="00DF6688">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rPr>
        <w:t xml:space="preserve"> </w:t>
      </w:r>
      <w:r>
        <w:rPr>
          <w:rFonts w:ascii="Palatino Linotype" w:hAnsi="Palatino Linotype"/>
          <w:b/>
          <w:sz w:val="14"/>
        </w:rPr>
        <w:t>RESTRICCIONES A LOS DERECHOS FUNDAMENTALES. ELEMENTOS QUE EL JUEZ CONSTITUCIONAL DEBE TOMAR EN CUENTA PARA CONSIDERARLAS VÁLIDAS.</w:t>
      </w:r>
      <w:r>
        <w:rPr>
          <w:rFonts w:ascii="Palatino Linotype" w:hAnsi="Palatino Linotype"/>
          <w:sz w:val="14"/>
        </w:rPr>
        <w:t xml:space="preserve"> </w:t>
      </w:r>
      <w:proofErr w:type="spellStart"/>
      <w:r>
        <w:rPr>
          <w:rFonts w:ascii="Palatino Linotype" w:hAnsi="Palatino Linotype"/>
          <w:sz w:val="14"/>
        </w:rPr>
        <w:t>Ningún</w:t>
      </w:r>
      <w:proofErr w:type="spellEnd"/>
      <w:r>
        <w:rPr>
          <w:rFonts w:ascii="Palatino Linotype" w:hAnsi="Palatino Linotype"/>
          <w:sz w:val="14"/>
        </w:rPr>
        <w:t xml:space="preserve"> derecho fundamental es absoluto y en esa medida todos admiten restricciones. Sin embargo, la </w:t>
      </w:r>
      <w:proofErr w:type="spellStart"/>
      <w:r>
        <w:rPr>
          <w:rFonts w:ascii="Palatino Linotype" w:hAnsi="Palatino Linotype"/>
          <w:sz w:val="14"/>
        </w:rPr>
        <w:t>regulación</w:t>
      </w:r>
      <w:proofErr w:type="spellEnd"/>
      <w:r>
        <w:rPr>
          <w:rFonts w:ascii="Palatino Linotype" w:hAnsi="Palatino Linotype"/>
          <w:sz w:val="14"/>
        </w:rPr>
        <w:t xml:space="preserve"> de dichas restricciones no puede ser arbitraria. Para que las medidas emitidas por el legislador ordinario con el </w:t>
      </w:r>
      <w:proofErr w:type="spellStart"/>
      <w:r>
        <w:rPr>
          <w:rFonts w:ascii="Palatino Linotype" w:hAnsi="Palatino Linotype"/>
          <w:sz w:val="14"/>
        </w:rPr>
        <w:t>propósito</w:t>
      </w:r>
      <w:proofErr w:type="spellEnd"/>
      <w:r>
        <w:rPr>
          <w:rFonts w:ascii="Palatino Linotype" w:hAnsi="Palatino Linotype"/>
          <w:sz w:val="14"/>
        </w:rPr>
        <w:t xml:space="preserve"> de restringir los derechos fundamentales sean </w:t>
      </w:r>
      <w:proofErr w:type="spellStart"/>
      <w:r>
        <w:rPr>
          <w:rFonts w:ascii="Palatino Linotype" w:hAnsi="Palatino Linotype"/>
          <w:sz w:val="14"/>
        </w:rPr>
        <w:t>válidas</w:t>
      </w:r>
      <w:proofErr w:type="spellEnd"/>
      <w:r>
        <w:rPr>
          <w:rFonts w:ascii="Palatino Linotype" w:hAnsi="Palatino Linotype"/>
          <w:sz w:val="14"/>
        </w:rPr>
        <w:t xml:space="preserve">, deben satisfacer al menos los siguientes requisitos: a) ser admisibles dentro del </w:t>
      </w:r>
      <w:proofErr w:type="spellStart"/>
      <w:r>
        <w:rPr>
          <w:rFonts w:ascii="Palatino Linotype" w:hAnsi="Palatino Linotype"/>
          <w:sz w:val="14"/>
        </w:rPr>
        <w:t>ámbito</w:t>
      </w:r>
      <w:proofErr w:type="spellEnd"/>
      <w:r>
        <w:rPr>
          <w:rFonts w:ascii="Palatino Linotype" w:hAnsi="Palatino Linotype"/>
          <w:sz w:val="14"/>
        </w:rPr>
        <w:t xml:space="preserve"> constitucional, esto es, el legislador ordinario </w:t>
      </w:r>
      <w:proofErr w:type="spellStart"/>
      <w:r>
        <w:rPr>
          <w:rFonts w:ascii="Palatino Linotype" w:hAnsi="Palatino Linotype"/>
          <w:sz w:val="14"/>
        </w:rPr>
        <w:t>sólo</w:t>
      </w:r>
      <w:proofErr w:type="spellEnd"/>
      <w:r>
        <w:rPr>
          <w:rFonts w:ascii="Palatino Linotype" w:hAnsi="Palatino Linotype"/>
          <w:sz w:val="14"/>
        </w:rPr>
        <w:t xml:space="preserve"> puede restringir o suspender el ejercicio de las </w:t>
      </w:r>
      <w:proofErr w:type="spellStart"/>
      <w:r>
        <w:rPr>
          <w:rFonts w:ascii="Palatino Linotype" w:hAnsi="Palatino Linotype"/>
          <w:sz w:val="14"/>
        </w:rPr>
        <w:t>garantías</w:t>
      </w:r>
      <w:proofErr w:type="spellEnd"/>
      <w:r>
        <w:rPr>
          <w:rFonts w:ascii="Palatino Linotype" w:hAnsi="Palatino Linotype"/>
          <w:sz w:val="14"/>
        </w:rPr>
        <w:t xml:space="preserve"> individuales con objetivos que puedan enmarcarse dentro de las previsiones de la Carta Magna; b) ser necesarias para asegurar la </w:t>
      </w:r>
      <w:proofErr w:type="spellStart"/>
      <w:r>
        <w:rPr>
          <w:rFonts w:ascii="Palatino Linotype" w:hAnsi="Palatino Linotype"/>
          <w:sz w:val="14"/>
        </w:rPr>
        <w:t>obtención</w:t>
      </w:r>
      <w:proofErr w:type="spellEnd"/>
      <w:r>
        <w:rPr>
          <w:rFonts w:ascii="Palatino Linotype" w:hAnsi="Palatino Linotype"/>
          <w:sz w:val="14"/>
        </w:rPr>
        <w:t xml:space="preserve"> de los fines que fundamentan la </w:t>
      </w:r>
      <w:proofErr w:type="spellStart"/>
      <w:r>
        <w:rPr>
          <w:rFonts w:ascii="Palatino Linotype" w:hAnsi="Palatino Linotype"/>
          <w:sz w:val="14"/>
        </w:rPr>
        <w:t>restricción</w:t>
      </w:r>
      <w:proofErr w:type="spellEnd"/>
      <w:r>
        <w:rPr>
          <w:rFonts w:ascii="Palatino Linotype" w:hAnsi="Palatino Linotype"/>
          <w:sz w:val="14"/>
        </w:rPr>
        <w:t xml:space="preserve"> constitucional, es decir, no basta que la </w:t>
      </w:r>
      <w:proofErr w:type="spellStart"/>
      <w:r>
        <w:rPr>
          <w:rFonts w:ascii="Palatino Linotype" w:hAnsi="Palatino Linotype"/>
          <w:sz w:val="14"/>
        </w:rPr>
        <w:t>restricción</w:t>
      </w:r>
      <w:proofErr w:type="spellEnd"/>
      <w:r>
        <w:rPr>
          <w:rFonts w:ascii="Palatino Linotype" w:hAnsi="Palatino Linotype"/>
          <w:sz w:val="14"/>
        </w:rPr>
        <w:t xml:space="preserve"> sea en </w:t>
      </w:r>
      <w:proofErr w:type="spellStart"/>
      <w:r>
        <w:rPr>
          <w:rFonts w:ascii="Palatino Linotype" w:hAnsi="Palatino Linotype"/>
          <w:sz w:val="14"/>
        </w:rPr>
        <w:t>términos</w:t>
      </w:r>
      <w:proofErr w:type="spellEnd"/>
      <w:r>
        <w:rPr>
          <w:rFonts w:ascii="Palatino Linotype" w:hAnsi="Palatino Linotype"/>
          <w:sz w:val="14"/>
        </w:rPr>
        <w:t xml:space="preserve"> amplios </w:t>
      </w:r>
      <w:proofErr w:type="spellStart"/>
      <w:r>
        <w:rPr>
          <w:rFonts w:ascii="Palatino Linotype" w:hAnsi="Palatino Linotype"/>
          <w:sz w:val="14"/>
        </w:rPr>
        <w:t>útil</w:t>
      </w:r>
      <w:proofErr w:type="spellEnd"/>
      <w:r>
        <w:rPr>
          <w:rFonts w:ascii="Palatino Linotype" w:hAnsi="Palatino Linotype"/>
          <w:sz w:val="14"/>
        </w:rPr>
        <w:t xml:space="preserve"> para la </w:t>
      </w:r>
      <w:proofErr w:type="spellStart"/>
      <w:r>
        <w:rPr>
          <w:rFonts w:ascii="Palatino Linotype" w:hAnsi="Palatino Linotype"/>
          <w:sz w:val="14"/>
        </w:rPr>
        <w:t>obtención</w:t>
      </w:r>
      <w:proofErr w:type="spellEnd"/>
      <w:r>
        <w:rPr>
          <w:rFonts w:ascii="Palatino Linotype" w:hAnsi="Palatino Linotype"/>
          <w:sz w:val="14"/>
        </w:rPr>
        <w:t xml:space="preserve"> de esos objetivos, sino que debe ser la </w:t>
      </w:r>
      <w:proofErr w:type="spellStart"/>
      <w:r>
        <w:rPr>
          <w:rFonts w:ascii="Palatino Linotype" w:hAnsi="Palatino Linotype"/>
          <w:sz w:val="14"/>
        </w:rPr>
        <w:t>idónea</w:t>
      </w:r>
      <w:proofErr w:type="spellEnd"/>
      <w:r>
        <w:rPr>
          <w:rFonts w:ascii="Palatino Linotype" w:hAnsi="Palatino Linotype"/>
          <w:sz w:val="14"/>
        </w:rPr>
        <w:t xml:space="preserve"> para su </w:t>
      </w:r>
      <w:proofErr w:type="spellStart"/>
      <w:r>
        <w:rPr>
          <w:rFonts w:ascii="Palatino Linotype" w:hAnsi="Palatino Linotype"/>
          <w:sz w:val="14"/>
        </w:rPr>
        <w:t>realización</w:t>
      </w:r>
      <w:proofErr w:type="spellEnd"/>
      <w:r>
        <w:rPr>
          <w:rFonts w:ascii="Palatino Linotype" w:hAnsi="Palatino Linotype"/>
          <w:sz w:val="14"/>
        </w:rPr>
        <w:t xml:space="preserve">,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w:t>
      </w:r>
      <w:proofErr w:type="spellStart"/>
      <w:r>
        <w:rPr>
          <w:rFonts w:ascii="Palatino Linotype" w:hAnsi="Palatino Linotype"/>
          <w:sz w:val="14"/>
        </w:rPr>
        <w:t>persecución</w:t>
      </w:r>
      <w:proofErr w:type="spellEnd"/>
      <w:r>
        <w:rPr>
          <w:rFonts w:ascii="Palatino Linotype" w:hAnsi="Palatino Linotype"/>
          <w:sz w:val="14"/>
        </w:rPr>
        <w:t xml:space="preserve"> de un objetivo constitucional no puede hacerse a costa de una </w:t>
      </w:r>
      <w:proofErr w:type="spellStart"/>
      <w:r>
        <w:rPr>
          <w:rFonts w:ascii="Palatino Linotype" w:hAnsi="Palatino Linotype"/>
          <w:sz w:val="14"/>
        </w:rPr>
        <w:t>afectación</w:t>
      </w:r>
      <w:proofErr w:type="spellEnd"/>
      <w:r>
        <w:rPr>
          <w:rFonts w:ascii="Palatino Linotype" w:hAnsi="Palatino Linotype"/>
          <w:sz w:val="14"/>
        </w:rPr>
        <w:t xml:space="preserve"> innecesaria o desmedida a otros bienes y derechos constitucionalmente protegidos. </w:t>
      </w:r>
      <w:proofErr w:type="spellStart"/>
      <w:r>
        <w:rPr>
          <w:rFonts w:ascii="Palatino Linotype" w:hAnsi="Palatino Linotype"/>
          <w:sz w:val="14"/>
        </w:rPr>
        <w:t>Asi</w:t>
      </w:r>
      <w:proofErr w:type="spellEnd"/>
      <w:r>
        <w:rPr>
          <w:rFonts w:ascii="Palatino Linotype" w:hAnsi="Palatino Linotype"/>
          <w:sz w:val="14"/>
        </w:rPr>
        <w:t xml:space="preserve">́, el juzgador debe determinar en cada caso si la </w:t>
      </w:r>
      <w:proofErr w:type="spellStart"/>
      <w:r>
        <w:rPr>
          <w:rFonts w:ascii="Palatino Linotype" w:hAnsi="Palatino Linotype"/>
          <w:sz w:val="14"/>
        </w:rPr>
        <w:t>restricción</w:t>
      </w:r>
      <w:proofErr w:type="spellEnd"/>
      <w:r>
        <w:rPr>
          <w:rFonts w:ascii="Palatino Linotype" w:hAnsi="Palatino Linotype"/>
          <w:sz w:val="14"/>
        </w:rPr>
        <w:t xml:space="preserve">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w:t>
      </w:r>
      <w:proofErr w:type="spellStart"/>
      <w:r>
        <w:rPr>
          <w:rFonts w:ascii="Palatino Linotype" w:hAnsi="Palatino Linotype"/>
          <w:sz w:val="14"/>
        </w:rPr>
        <w:t>distinción</w:t>
      </w:r>
      <w:proofErr w:type="spellEnd"/>
      <w:r>
        <w:rPr>
          <w:rFonts w:ascii="Palatino Linotype" w:hAnsi="Palatino Linotype"/>
          <w:sz w:val="14"/>
        </w:rPr>
        <w:t xml:space="preserve"> legislativa se encuentra dentro de las opciones de tratamiento que pueden considerarse proporcionales. De igual manera, las restricciones </w:t>
      </w:r>
      <w:proofErr w:type="spellStart"/>
      <w:r>
        <w:rPr>
          <w:rFonts w:ascii="Palatino Linotype" w:hAnsi="Palatino Linotype"/>
          <w:sz w:val="14"/>
        </w:rPr>
        <w:t>deberán</w:t>
      </w:r>
      <w:proofErr w:type="spellEnd"/>
      <w:r>
        <w:rPr>
          <w:rFonts w:ascii="Palatino Linotype" w:hAnsi="Palatino Linotype"/>
          <w:sz w:val="14"/>
        </w:rPr>
        <w:t xml:space="preserve"> estar en consonancia con la ley, incluidas las normas internacionales de derechos humanos, y ser compatibles con la naturaleza de los derechos amparados por la </w:t>
      </w:r>
      <w:proofErr w:type="spellStart"/>
      <w:r>
        <w:rPr>
          <w:rFonts w:ascii="Palatino Linotype" w:hAnsi="Palatino Linotype"/>
          <w:sz w:val="14"/>
        </w:rPr>
        <w:t>Constitución</w:t>
      </w:r>
      <w:proofErr w:type="spellEnd"/>
      <w:r>
        <w:rPr>
          <w:rFonts w:ascii="Palatino Linotype" w:hAnsi="Palatino Linotype"/>
          <w:sz w:val="14"/>
        </w:rPr>
        <w:t xml:space="preserve">, en aras de la </w:t>
      </w:r>
      <w:proofErr w:type="spellStart"/>
      <w:r>
        <w:rPr>
          <w:rFonts w:ascii="Palatino Linotype" w:hAnsi="Palatino Linotype"/>
          <w:sz w:val="14"/>
        </w:rPr>
        <w:t>consecución</w:t>
      </w:r>
      <w:proofErr w:type="spellEnd"/>
      <w:r>
        <w:rPr>
          <w:rFonts w:ascii="Palatino Linotype" w:hAnsi="Palatino Linotype"/>
          <w:sz w:val="14"/>
        </w:rPr>
        <w:t xml:space="preserve"> de los objetivos </w:t>
      </w:r>
      <w:proofErr w:type="spellStart"/>
      <w:r>
        <w:rPr>
          <w:rFonts w:ascii="Palatino Linotype" w:hAnsi="Palatino Linotype"/>
          <w:sz w:val="14"/>
        </w:rPr>
        <w:t>legítimos</w:t>
      </w:r>
      <w:proofErr w:type="spellEnd"/>
      <w:r>
        <w:rPr>
          <w:rFonts w:ascii="Palatino Linotype" w:hAnsi="Palatino Linotype"/>
          <w:sz w:val="14"/>
        </w:rPr>
        <w:t xml:space="preserve"> perseguidos, y ser estrictamente necesarias para promover el bienestar general en una sociedad </w:t>
      </w:r>
      <w:proofErr w:type="spellStart"/>
      <w:r>
        <w:rPr>
          <w:rFonts w:ascii="Palatino Linotype" w:hAnsi="Palatino Linotype"/>
          <w:sz w:val="14"/>
        </w:rPr>
        <w:t>democrática</w:t>
      </w:r>
      <w:proofErr w:type="spellEnd"/>
      <w:r>
        <w:rPr>
          <w:rFonts w:ascii="Palatino Linotype" w:hAnsi="Palatino Linotype"/>
          <w:sz w:val="14"/>
        </w:rPr>
        <w:t xml:space="preserve">. </w:t>
      </w:r>
    </w:p>
    <w:p w:rsidR="00D60D66" w:rsidRDefault="00D60D66" w:rsidP="00DF6688">
      <w:pPr>
        <w:pStyle w:val="Textonotapie"/>
        <w:jc w:val="both"/>
        <w:rPr>
          <w:rFonts w:ascii="Palatino Linotype" w:hAnsi="Palatino Linotype"/>
          <w:sz w:val="14"/>
        </w:rPr>
      </w:pPr>
      <w:r>
        <w:rPr>
          <w:rFonts w:ascii="Palatino Linotype" w:hAnsi="Palatino Linotype"/>
          <w:sz w:val="14"/>
        </w:rPr>
        <w:t>1a</w:t>
      </w:r>
      <w:proofErr w:type="gramStart"/>
      <w:r>
        <w:rPr>
          <w:rFonts w:ascii="Palatino Linotype" w:hAnsi="Palatino Linotype"/>
          <w:sz w:val="14"/>
        </w:rPr>
        <w:t>./</w:t>
      </w:r>
      <w:proofErr w:type="gramEnd"/>
      <w:r>
        <w:rPr>
          <w:rFonts w:ascii="Palatino Linotype" w:hAnsi="Palatino Linotype"/>
          <w:sz w:val="14"/>
        </w:rPr>
        <w:t xml:space="preserve">J. 2/2012 (9a.). Primera Sala. </w:t>
      </w:r>
      <w:proofErr w:type="spellStart"/>
      <w:r>
        <w:rPr>
          <w:rFonts w:ascii="Palatino Linotype" w:hAnsi="Palatino Linotype"/>
          <w:sz w:val="14"/>
        </w:rPr>
        <w:t>Décima</w:t>
      </w:r>
      <w:proofErr w:type="spellEnd"/>
      <w:r>
        <w:rPr>
          <w:rFonts w:ascii="Palatino Linotype" w:hAnsi="Palatino Linotype"/>
          <w:sz w:val="14"/>
        </w:rPr>
        <w:t xml:space="preserve"> </w:t>
      </w:r>
      <w:proofErr w:type="spellStart"/>
      <w:r>
        <w:rPr>
          <w:rFonts w:ascii="Palatino Linotype" w:hAnsi="Palatino Linotype"/>
          <w:sz w:val="14"/>
        </w:rPr>
        <w:t>Época</w:t>
      </w:r>
      <w:proofErr w:type="spellEnd"/>
      <w:r>
        <w:rPr>
          <w:rFonts w:ascii="Palatino Linotype" w:hAnsi="Palatino Linotype"/>
          <w:sz w:val="14"/>
        </w:rPr>
        <w:t xml:space="preserve">. Semanario Judicial de la </w:t>
      </w:r>
      <w:proofErr w:type="spellStart"/>
      <w:r>
        <w:rPr>
          <w:rFonts w:ascii="Palatino Linotype" w:hAnsi="Palatino Linotype"/>
          <w:sz w:val="14"/>
        </w:rPr>
        <w:t>Federación</w:t>
      </w:r>
      <w:proofErr w:type="spellEnd"/>
      <w:r>
        <w:rPr>
          <w:rFonts w:ascii="Palatino Linotype" w:hAnsi="Palatino Linotype"/>
          <w:sz w:val="14"/>
        </w:rPr>
        <w:t xml:space="preserve"> y su Gaceta. Libro V, Febrero de 2012, </w:t>
      </w:r>
      <w:proofErr w:type="spellStart"/>
      <w:r>
        <w:rPr>
          <w:rFonts w:ascii="Palatino Linotype" w:hAnsi="Palatino Linotype"/>
          <w:sz w:val="14"/>
        </w:rPr>
        <w:t>Pág</w:t>
      </w:r>
      <w:proofErr w:type="spellEnd"/>
      <w:r>
        <w:rPr>
          <w:rFonts w:ascii="Palatino Linotype" w:hAnsi="Palatino Linotype"/>
          <w:sz w:val="14"/>
        </w:rPr>
        <w:t xml:space="preserve">. 533.  </w:t>
      </w:r>
    </w:p>
  </w:footnote>
  <w:footnote w:id="4">
    <w:p w:rsidR="00D60D66" w:rsidRDefault="00D60D66" w:rsidP="00DF6688">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hAnsi="Palatino Linotype"/>
          <w:i/>
          <w:sz w:val="14"/>
        </w:rPr>
        <w:t>Marco jurídico interamericano sobre el derecho a la libertad de expresión</w:t>
      </w:r>
      <w:r>
        <w:rPr>
          <w:rFonts w:ascii="Palatino Linotype" w:hAnsi="Palatino Linotype"/>
          <w:sz w:val="14"/>
        </w:rPr>
        <w:t xml:space="preserve">. Párr. 67. </w:t>
      </w:r>
    </w:p>
  </w:footnote>
  <w:footnote w:id="5">
    <w:p w:rsidR="00D60D66" w:rsidRDefault="00D60D66" w:rsidP="00DF6688">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rsidR="00D60D66" w:rsidRDefault="00D60D66" w:rsidP="00DF6688">
      <w:pPr>
        <w:pStyle w:val="Textonotapie"/>
        <w:jc w:val="both"/>
        <w:rPr>
          <w:rFonts w:ascii="Palatino Linotype" w:hAnsi="Palatino Linotype"/>
          <w:sz w:val="18"/>
        </w:rPr>
      </w:pPr>
      <w:r>
        <w:rPr>
          <w:rFonts w:ascii="Palatino Linotype" w:hAnsi="Palatino Linotype"/>
          <w:sz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rsidR="00D60D66" w:rsidRDefault="00D60D66" w:rsidP="00DF6688">
      <w:pPr>
        <w:pStyle w:val="Textonotapie"/>
        <w:jc w:val="both"/>
        <w:rPr>
          <w:rFonts w:ascii="Palatino Linotype" w:hAnsi="Palatino Linotype"/>
          <w:sz w:val="18"/>
        </w:rPr>
      </w:pPr>
      <w:r>
        <w:rPr>
          <w:rFonts w:ascii="Palatino Linotype" w:hAnsi="Palatino Linotype"/>
          <w:sz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proofErr w:type="spellStart"/>
      <w:r>
        <w:rPr>
          <w:rFonts w:ascii="Palatino Linotype" w:hAnsi="Palatino Linotype"/>
          <w:sz w:val="18"/>
        </w:rPr>
        <w:t>Pp</w:t>
      </w:r>
      <w:proofErr w:type="spellEnd"/>
      <w:r>
        <w:rPr>
          <w:rFonts w:ascii="Palatino Linotype" w:hAnsi="Palatino Linotype"/>
          <w:sz w:val="18"/>
        </w:rPr>
        <w:t xml:space="preserve"> 1-19.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66" w:rsidRDefault="009D39B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66" w:rsidRDefault="00D60D66">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D60D66">
      <w:trPr>
        <w:trHeight w:val="1435"/>
      </w:trPr>
      <w:tc>
        <w:tcPr>
          <w:tcW w:w="2268" w:type="dxa"/>
          <w:shd w:val="clear" w:color="auto" w:fill="auto"/>
        </w:tcPr>
        <w:p w:rsidR="00D60D66" w:rsidRDefault="00D60D66">
          <w:pPr>
            <w:tabs>
              <w:tab w:val="right" w:pos="4273"/>
            </w:tabs>
            <w:rPr>
              <w:rFonts w:ascii="Garamond" w:eastAsia="Garamond" w:hAnsi="Garamond" w:cs="Garamond"/>
              <w:sz w:val="16"/>
              <w:szCs w:val="16"/>
            </w:rPr>
          </w:pPr>
        </w:p>
      </w:tc>
      <w:tc>
        <w:tcPr>
          <w:tcW w:w="6946" w:type="dxa"/>
          <w:shd w:val="clear" w:color="auto" w:fill="auto"/>
        </w:tcPr>
        <w:p w:rsidR="00D60D66" w:rsidRDefault="00D60D66"/>
        <w:tbl>
          <w:tblPr>
            <w:tblW w:w="6662" w:type="dxa"/>
            <w:tblInd w:w="40" w:type="dxa"/>
            <w:tblLayout w:type="fixed"/>
            <w:tblLook w:val="0400" w:firstRow="0" w:lastRow="0" w:firstColumn="0" w:lastColumn="0" w:noHBand="0" w:noVBand="1"/>
          </w:tblPr>
          <w:tblGrid>
            <w:gridCol w:w="2551"/>
            <w:gridCol w:w="4111"/>
          </w:tblGrid>
          <w:tr w:rsidR="00D60D66">
            <w:trPr>
              <w:trHeight w:val="150"/>
            </w:trPr>
            <w:tc>
              <w:tcPr>
                <w:tcW w:w="2551" w:type="dxa"/>
                <w:shd w:val="clear" w:color="auto" w:fill="auto"/>
              </w:tcPr>
              <w:p w:rsidR="00D60D66" w:rsidRDefault="00D60D6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D60D66" w:rsidRDefault="00D60D66">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01608/INFOEM/IP/RR/2024</w:t>
                </w:r>
                <w:r>
                  <w:rPr>
                    <w:rFonts w:ascii="Palatino Linotype" w:eastAsia="Palatino Linotype" w:hAnsi="Palatino Linotype" w:cs="Palatino Linotype"/>
                    <w:b/>
                    <w:sz w:val="22"/>
                    <w:szCs w:val="22"/>
                  </w:rPr>
                  <w:t xml:space="preserve"> </w:t>
                </w:r>
              </w:p>
            </w:tc>
          </w:tr>
          <w:tr w:rsidR="00D60D66">
            <w:trPr>
              <w:trHeight w:val="295"/>
            </w:trPr>
            <w:tc>
              <w:tcPr>
                <w:tcW w:w="2551" w:type="dxa"/>
                <w:shd w:val="clear" w:color="auto" w:fill="auto"/>
              </w:tcPr>
              <w:p w:rsidR="00D60D66" w:rsidRDefault="00D60D6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D60D66" w:rsidRPr="008654D8" w:rsidRDefault="00D60D66">
                <w:pPr>
                  <w:tabs>
                    <w:tab w:val="left" w:pos="2834"/>
                    <w:tab w:val="right" w:pos="8838"/>
                  </w:tabs>
                  <w:ind w:left="-108" w:right="-102"/>
                  <w:jc w:val="both"/>
                  <w:rPr>
                    <w:rFonts w:ascii="Palatino Linotype" w:eastAsia="Palatino Linotype" w:hAnsi="Palatino Linotype" w:cs="Palatino Linotype"/>
                    <w:sz w:val="22"/>
                    <w:szCs w:val="22"/>
                  </w:rPr>
                </w:pPr>
                <w:r w:rsidRPr="00FB1C86">
                  <w:rPr>
                    <w:rFonts w:ascii="Palatino Linotype" w:eastAsia="Palatino Linotype" w:hAnsi="Palatino Linotype" w:cs="Palatino Linotype"/>
                    <w:sz w:val="22"/>
                    <w:szCs w:val="22"/>
                  </w:rPr>
                  <w:t>Organismo Público Descentralizado para la Prestación de Los Servicios de Agua Potable Alcantarillado y Saneamiento de Atizapán de Zaragoza por sus siglas S.A.P.A.S.A.</w:t>
                </w:r>
              </w:p>
            </w:tc>
          </w:tr>
          <w:tr w:rsidR="00D60D66">
            <w:trPr>
              <w:trHeight w:val="295"/>
            </w:trPr>
            <w:tc>
              <w:tcPr>
                <w:tcW w:w="2551" w:type="dxa"/>
                <w:shd w:val="clear" w:color="auto" w:fill="auto"/>
              </w:tcPr>
              <w:p w:rsidR="00D60D66" w:rsidRDefault="00D60D6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rsidR="00D60D66" w:rsidRDefault="00D60D66">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60D66" w:rsidRDefault="00D60D66">
                <w:pPr>
                  <w:tabs>
                    <w:tab w:val="right" w:pos="8838"/>
                  </w:tabs>
                  <w:ind w:left="-108" w:right="171"/>
                  <w:jc w:val="both"/>
                  <w:rPr>
                    <w:rFonts w:ascii="Palatino Linotype" w:eastAsia="Palatino Linotype" w:hAnsi="Palatino Linotype" w:cs="Palatino Linotype"/>
                    <w:b/>
                    <w:sz w:val="22"/>
                    <w:szCs w:val="22"/>
                  </w:rPr>
                </w:pPr>
              </w:p>
            </w:tc>
          </w:tr>
        </w:tbl>
        <w:p w:rsidR="00D60D66" w:rsidRDefault="00D60D66">
          <w:pPr>
            <w:tabs>
              <w:tab w:val="right" w:pos="8838"/>
            </w:tabs>
            <w:ind w:left="-28"/>
            <w:jc w:val="both"/>
            <w:rPr>
              <w:rFonts w:ascii="Arial" w:eastAsia="Arial" w:hAnsi="Arial" w:cs="Arial"/>
              <w:b/>
              <w:sz w:val="22"/>
              <w:szCs w:val="22"/>
            </w:rPr>
          </w:pPr>
        </w:p>
      </w:tc>
    </w:tr>
  </w:tbl>
  <w:p w:rsidR="00D60D66" w:rsidRDefault="009D39BA">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20.5pt;width:589.8pt;height:768pt;z-index:-25165619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66" w:rsidRDefault="00D60D66">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D60D66">
      <w:trPr>
        <w:trHeight w:val="1435"/>
      </w:trPr>
      <w:tc>
        <w:tcPr>
          <w:tcW w:w="2268" w:type="dxa"/>
          <w:shd w:val="clear" w:color="auto" w:fill="auto"/>
        </w:tcPr>
        <w:p w:rsidR="00D60D66" w:rsidRDefault="00D60D66">
          <w:pPr>
            <w:tabs>
              <w:tab w:val="right" w:pos="4273"/>
            </w:tabs>
            <w:rPr>
              <w:rFonts w:ascii="Garamond" w:eastAsia="Garamond" w:hAnsi="Garamond" w:cs="Garamond"/>
              <w:sz w:val="22"/>
              <w:szCs w:val="22"/>
            </w:rPr>
          </w:pPr>
        </w:p>
      </w:tc>
      <w:tc>
        <w:tcPr>
          <w:tcW w:w="6804" w:type="dxa"/>
          <w:shd w:val="clear" w:color="auto" w:fill="auto"/>
        </w:tcPr>
        <w:p w:rsidR="00D60D66" w:rsidRDefault="00D60D66">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D60D66">
            <w:trPr>
              <w:trHeight w:val="281"/>
            </w:trPr>
            <w:tc>
              <w:tcPr>
                <w:tcW w:w="2444" w:type="dxa"/>
                <w:shd w:val="clear" w:color="auto" w:fill="auto"/>
              </w:tcPr>
              <w:p w:rsidR="00D60D66" w:rsidRDefault="00D60D6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D60D66" w:rsidRDefault="00D60D6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01608/INFOEM/IP/RR/2024</w:t>
                </w:r>
              </w:p>
            </w:tc>
          </w:tr>
          <w:tr w:rsidR="00D60D66">
            <w:trPr>
              <w:trHeight w:val="281"/>
            </w:trPr>
            <w:tc>
              <w:tcPr>
                <w:tcW w:w="2444" w:type="dxa"/>
                <w:shd w:val="clear" w:color="auto" w:fill="auto"/>
              </w:tcPr>
              <w:p w:rsidR="00D60D66" w:rsidRDefault="00D60D6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D60D66" w:rsidRPr="002457DB" w:rsidRDefault="00D60D66">
                <w:pPr>
                  <w:tabs>
                    <w:tab w:val="left" w:pos="3122"/>
                    <w:tab w:val="right" w:pos="8838"/>
                  </w:tabs>
                  <w:ind w:left="-74" w:right="-105"/>
                  <w:jc w:val="both"/>
                  <w:rPr>
                    <w:rFonts w:ascii="Palatino Linotype" w:eastAsia="Palatino Linotype" w:hAnsi="Palatino Linotype" w:cs="Palatino Linotype"/>
                    <w:sz w:val="22"/>
                    <w:szCs w:val="22"/>
                  </w:rPr>
                </w:pPr>
              </w:p>
            </w:tc>
          </w:tr>
          <w:tr w:rsidR="00D60D66">
            <w:trPr>
              <w:trHeight w:val="281"/>
            </w:trPr>
            <w:tc>
              <w:tcPr>
                <w:tcW w:w="2444" w:type="dxa"/>
                <w:shd w:val="clear" w:color="auto" w:fill="auto"/>
              </w:tcPr>
              <w:p w:rsidR="00D60D66" w:rsidRDefault="00D60D6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D60D66" w:rsidRPr="008654D8" w:rsidRDefault="00D60D66">
                <w:pPr>
                  <w:tabs>
                    <w:tab w:val="left" w:pos="2834"/>
                    <w:tab w:val="right" w:pos="8838"/>
                  </w:tabs>
                  <w:ind w:left="-74" w:right="-105"/>
                  <w:jc w:val="both"/>
                  <w:rPr>
                    <w:rFonts w:ascii="Palatino Linotype" w:eastAsia="Palatino Linotype" w:hAnsi="Palatino Linotype" w:cs="Palatino Linotype"/>
                    <w:sz w:val="22"/>
                    <w:szCs w:val="22"/>
                  </w:rPr>
                </w:pPr>
                <w:r w:rsidRPr="00FB1C86">
                  <w:rPr>
                    <w:rFonts w:ascii="Palatino Linotype" w:eastAsia="Palatino Linotype" w:hAnsi="Palatino Linotype" w:cs="Palatino Linotype"/>
                    <w:sz w:val="22"/>
                    <w:szCs w:val="22"/>
                  </w:rPr>
                  <w:t>Organismo Público Descentralizado para la Prestación de Los Servicios de Agua Potable Alcantarillado y Saneamiento de Atizapán de Zaragoza por sus siglas S.A.P.A.S.A.</w:t>
                </w:r>
              </w:p>
            </w:tc>
          </w:tr>
          <w:tr w:rsidR="00D60D66">
            <w:trPr>
              <w:trHeight w:val="563"/>
            </w:trPr>
            <w:tc>
              <w:tcPr>
                <w:tcW w:w="2444" w:type="dxa"/>
                <w:shd w:val="clear" w:color="auto" w:fill="auto"/>
              </w:tcPr>
              <w:p w:rsidR="00D60D66" w:rsidRDefault="00D60D6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rsidR="00D60D66" w:rsidRDefault="00D60D66">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60D66" w:rsidRDefault="00D60D66">
                <w:pPr>
                  <w:tabs>
                    <w:tab w:val="right" w:pos="8838"/>
                  </w:tabs>
                  <w:ind w:left="-74" w:right="-105"/>
                  <w:jc w:val="both"/>
                  <w:rPr>
                    <w:rFonts w:ascii="Palatino Linotype" w:eastAsia="Palatino Linotype" w:hAnsi="Palatino Linotype" w:cs="Palatino Linotype"/>
                    <w:b/>
                    <w:sz w:val="22"/>
                    <w:szCs w:val="22"/>
                  </w:rPr>
                </w:pPr>
              </w:p>
            </w:tc>
          </w:tr>
        </w:tbl>
        <w:p w:rsidR="00D60D66" w:rsidRDefault="00D60D66">
          <w:pPr>
            <w:tabs>
              <w:tab w:val="right" w:pos="8838"/>
            </w:tabs>
            <w:ind w:left="-28"/>
            <w:jc w:val="both"/>
            <w:rPr>
              <w:rFonts w:ascii="Arial" w:eastAsia="Arial" w:hAnsi="Arial" w:cs="Arial"/>
              <w:b/>
              <w:sz w:val="22"/>
              <w:szCs w:val="22"/>
            </w:rPr>
          </w:pPr>
        </w:p>
      </w:tc>
    </w:tr>
  </w:tbl>
  <w:p w:rsidR="00D60D66" w:rsidRDefault="009D39BA">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17.6pt;width:589.8pt;height:768pt;z-index:-25165516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80A"/>
    <w:multiLevelType w:val="multilevel"/>
    <w:tmpl w:val="E58CAE8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2E5343"/>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nsid w:val="1F437758"/>
    <w:multiLevelType w:val="multilevel"/>
    <w:tmpl w:val="997489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E5203E"/>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1E57B9"/>
    <w:multiLevelType w:val="hybridMultilevel"/>
    <w:tmpl w:val="888CE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7D79A8"/>
    <w:multiLevelType w:val="hybridMultilevel"/>
    <w:tmpl w:val="2DA81262"/>
    <w:lvl w:ilvl="0" w:tplc="FD2417A4">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nsid w:val="46FF7A9C"/>
    <w:multiLevelType w:val="multilevel"/>
    <w:tmpl w:val="EB167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A4802E3"/>
    <w:multiLevelType w:val="hybridMultilevel"/>
    <w:tmpl w:val="14FC8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AD22ACC"/>
    <w:multiLevelType w:val="hybridMultilevel"/>
    <w:tmpl w:val="1DFA7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234BCD"/>
    <w:multiLevelType w:val="hybridMultilevel"/>
    <w:tmpl w:val="7A8484B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4FAD75BC"/>
    <w:multiLevelType w:val="multilevel"/>
    <w:tmpl w:val="DBF83A3A"/>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15">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11362F6"/>
    <w:multiLevelType w:val="hybridMultilevel"/>
    <w:tmpl w:val="61B26212"/>
    <w:lvl w:ilvl="0" w:tplc="6D2A769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632B348A"/>
    <w:multiLevelType w:val="hybridMultilevel"/>
    <w:tmpl w:val="7C8457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2E701D"/>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nsid w:val="69583307"/>
    <w:multiLevelType w:val="hybridMultilevel"/>
    <w:tmpl w:val="866A3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02C2931"/>
    <w:multiLevelType w:val="hybridMultilevel"/>
    <w:tmpl w:val="F8B8778C"/>
    <w:lvl w:ilvl="0" w:tplc="73CA9588">
      <w:start w:val="2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0E25586"/>
    <w:multiLevelType w:val="hybridMultilevel"/>
    <w:tmpl w:val="222E9574"/>
    <w:lvl w:ilvl="0" w:tplc="630E732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720F693A"/>
    <w:multiLevelType w:val="hybridMultilevel"/>
    <w:tmpl w:val="9A8C6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70136A0"/>
    <w:multiLevelType w:val="hybridMultilevel"/>
    <w:tmpl w:val="225C8A14"/>
    <w:lvl w:ilvl="0" w:tplc="9216D5FA">
      <w:start w:val="1"/>
      <w:numFmt w:val="decimal"/>
      <w:lvlText w:val="%1."/>
      <w:lvlJc w:val="left"/>
      <w:pPr>
        <w:ind w:left="360"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1C5644"/>
    <w:multiLevelType w:val="hybridMultilevel"/>
    <w:tmpl w:val="FCA62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122A86"/>
    <w:multiLevelType w:val="multilevel"/>
    <w:tmpl w:val="05A2863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3"/>
  </w:num>
  <w:num w:numId="3">
    <w:abstractNumId w:val="19"/>
  </w:num>
  <w:num w:numId="4">
    <w:abstractNumId w:val="22"/>
  </w:num>
  <w:num w:numId="5">
    <w:abstractNumId w:val="10"/>
  </w:num>
  <w:num w:numId="6">
    <w:abstractNumId w:val="6"/>
  </w:num>
  <w:num w:numId="7">
    <w:abstractNumId w:val="12"/>
  </w:num>
  <w:num w:numId="8">
    <w:abstractNumId w:val="11"/>
  </w:num>
  <w:num w:numId="9">
    <w:abstractNumId w:val="18"/>
  </w:num>
  <w:num w:numId="10">
    <w:abstractNumId w:val="21"/>
  </w:num>
  <w:num w:numId="11">
    <w:abstractNumId w:val="24"/>
  </w:num>
  <w:num w:numId="12">
    <w:abstractNumId w:val="4"/>
  </w:num>
  <w:num w:numId="13">
    <w:abstractNumId w:val="15"/>
  </w:num>
  <w:num w:numId="14">
    <w:abstractNumId w:val="1"/>
  </w:num>
  <w:num w:numId="15">
    <w:abstractNumId w:val="17"/>
  </w:num>
  <w:num w:numId="16">
    <w:abstractNumId w:val="14"/>
  </w:num>
  <w:num w:numId="17">
    <w:abstractNumId w:val="25"/>
  </w:num>
  <w:num w:numId="18">
    <w:abstractNumId w:val="8"/>
  </w:num>
  <w:num w:numId="19">
    <w:abstractNumId w:val="3"/>
  </w:num>
  <w:num w:numId="20">
    <w:abstractNumId w:val="20"/>
  </w:num>
  <w:num w:numId="21">
    <w:abstractNumId w:val="23"/>
  </w:num>
  <w:num w:numId="22">
    <w:abstractNumId w:val="9"/>
  </w:num>
  <w:num w:numId="23">
    <w:abstractNumId w:val="16"/>
  </w:num>
  <w:num w:numId="24">
    <w:abstractNumId w:val="7"/>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DB"/>
    <w:rsid w:val="00050D63"/>
    <w:rsid w:val="00067244"/>
    <w:rsid w:val="000751DE"/>
    <w:rsid w:val="00077FA9"/>
    <w:rsid w:val="000945DC"/>
    <w:rsid w:val="000A0EFD"/>
    <w:rsid w:val="0011153D"/>
    <w:rsid w:val="001B5C93"/>
    <w:rsid w:val="00220BAB"/>
    <w:rsid w:val="002457DB"/>
    <w:rsid w:val="00257B4C"/>
    <w:rsid w:val="00260FF9"/>
    <w:rsid w:val="002654E8"/>
    <w:rsid w:val="002B1AF1"/>
    <w:rsid w:val="002F54A0"/>
    <w:rsid w:val="00341DCC"/>
    <w:rsid w:val="00397F3B"/>
    <w:rsid w:val="003A5E38"/>
    <w:rsid w:val="003C0EB4"/>
    <w:rsid w:val="00401FE4"/>
    <w:rsid w:val="00416001"/>
    <w:rsid w:val="00430A05"/>
    <w:rsid w:val="004C5756"/>
    <w:rsid w:val="00535DAC"/>
    <w:rsid w:val="00553213"/>
    <w:rsid w:val="005753E0"/>
    <w:rsid w:val="00635FE6"/>
    <w:rsid w:val="00636537"/>
    <w:rsid w:val="006B6BDC"/>
    <w:rsid w:val="006D7AEE"/>
    <w:rsid w:val="006E0579"/>
    <w:rsid w:val="006E60B6"/>
    <w:rsid w:val="006F2208"/>
    <w:rsid w:val="00712D4C"/>
    <w:rsid w:val="007376B3"/>
    <w:rsid w:val="007A3802"/>
    <w:rsid w:val="007C164D"/>
    <w:rsid w:val="007C5E1F"/>
    <w:rsid w:val="00880048"/>
    <w:rsid w:val="008B3273"/>
    <w:rsid w:val="008B613A"/>
    <w:rsid w:val="008E5CF0"/>
    <w:rsid w:val="00901FDF"/>
    <w:rsid w:val="00914BE1"/>
    <w:rsid w:val="00957FF4"/>
    <w:rsid w:val="00992115"/>
    <w:rsid w:val="009A5177"/>
    <w:rsid w:val="009C09CC"/>
    <w:rsid w:val="009D39BA"/>
    <w:rsid w:val="00A116FF"/>
    <w:rsid w:val="00A208F6"/>
    <w:rsid w:val="00A559E8"/>
    <w:rsid w:val="00AB1E77"/>
    <w:rsid w:val="00AB7825"/>
    <w:rsid w:val="00B60A6F"/>
    <w:rsid w:val="00BA1F1B"/>
    <w:rsid w:val="00BA49AC"/>
    <w:rsid w:val="00C066E8"/>
    <w:rsid w:val="00C41E9B"/>
    <w:rsid w:val="00C43205"/>
    <w:rsid w:val="00C744F7"/>
    <w:rsid w:val="00CB2612"/>
    <w:rsid w:val="00CC3159"/>
    <w:rsid w:val="00CC58E4"/>
    <w:rsid w:val="00D054E0"/>
    <w:rsid w:val="00D52CC0"/>
    <w:rsid w:val="00D60D66"/>
    <w:rsid w:val="00DA6B2A"/>
    <w:rsid w:val="00DE3187"/>
    <w:rsid w:val="00DF6688"/>
    <w:rsid w:val="00E041DC"/>
    <w:rsid w:val="00E13535"/>
    <w:rsid w:val="00E20562"/>
    <w:rsid w:val="00E24FE7"/>
    <w:rsid w:val="00E3085C"/>
    <w:rsid w:val="00EE0A06"/>
    <w:rsid w:val="00F10E4B"/>
    <w:rsid w:val="00F27AC9"/>
    <w:rsid w:val="00F5385A"/>
    <w:rsid w:val="00FA3CE5"/>
    <w:rsid w:val="00FB1C86"/>
    <w:rsid w:val="00FF4465"/>
    <w:rsid w:val="00FF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42845DD-16D6-4466-A10E-5B86671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D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77F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uiPriority w:val="9"/>
    <w:unhideWhenUsed/>
    <w:qFormat/>
    <w:rsid w:val="002457DB"/>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457DB"/>
    <w:rPr>
      <w:rFonts w:asciiTheme="majorHAnsi" w:eastAsiaTheme="majorEastAsia" w:hAnsiTheme="majorHAnsi" w:cstheme="majorBidi"/>
      <w:color w:val="1F4D78" w:themeColor="accent1" w:themeShade="7F"/>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457DB"/>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57D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457DB"/>
    <w:rPr>
      <w:rFonts w:ascii="Times New Roman" w:eastAsia="Times New Roman" w:hAnsi="Times New Roman" w:cs="Times New Roman"/>
      <w:sz w:val="24"/>
      <w:szCs w:val="24"/>
      <w:lang w:eastAsia="es-MX"/>
    </w:rPr>
  </w:style>
  <w:style w:type="table" w:styleId="Tabladecuadrcula4-nfasis3">
    <w:name w:val="Grid Table 4 Accent 3"/>
    <w:basedOn w:val="Tablanormal"/>
    <w:uiPriority w:val="49"/>
    <w:rsid w:val="002457DB"/>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457DB"/>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457DB"/>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457DB"/>
    <w:rPr>
      <w:vertAlign w:val="superscript"/>
    </w:rPr>
  </w:style>
  <w:style w:type="paragraph" w:customStyle="1" w:styleId="Default">
    <w:name w:val="Default"/>
    <w:rsid w:val="002457DB"/>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2457DB"/>
    <w:pPr>
      <w:tabs>
        <w:tab w:val="center" w:pos="4419"/>
        <w:tab w:val="right" w:pos="8838"/>
      </w:tabs>
    </w:pPr>
  </w:style>
  <w:style w:type="character" w:customStyle="1" w:styleId="PiedepginaCar">
    <w:name w:val="Pie de página Car"/>
    <w:basedOn w:val="Fuentedeprrafopredeter"/>
    <w:link w:val="Piedepgina"/>
    <w:uiPriority w:val="99"/>
    <w:rsid w:val="002457DB"/>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077FA9"/>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7667</Words>
  <Characters>42173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7</cp:revision>
  <dcterms:created xsi:type="dcterms:W3CDTF">2024-09-23T23:39:00Z</dcterms:created>
  <dcterms:modified xsi:type="dcterms:W3CDTF">2024-09-26T16:20:00Z</dcterms:modified>
</cp:coreProperties>
</file>