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8E" w:rsidRPr="005342F4" w:rsidRDefault="00874F8E" w:rsidP="00874F8E">
      <w:pPr>
        <w:tabs>
          <w:tab w:val="left" w:pos="0"/>
          <w:tab w:val="left" w:pos="3465"/>
        </w:tabs>
        <w:spacing w:line="360" w:lineRule="auto"/>
        <w:jc w:val="both"/>
        <w:rPr>
          <w:rFonts w:ascii="Palatino Linotype" w:hAnsi="Palatino Linotype"/>
          <w:sz w:val="22"/>
          <w:szCs w:val="22"/>
        </w:rPr>
      </w:pPr>
      <w:r w:rsidRPr="005342F4">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C319D5" w:rsidRPr="005342F4">
        <w:rPr>
          <w:rFonts w:ascii="Palatino Linotype" w:hAnsi="Palatino Linotype"/>
          <w:sz w:val="22"/>
          <w:szCs w:val="22"/>
        </w:rPr>
        <w:t xml:space="preserve"> de México; del once (11)</w:t>
      </w:r>
      <w:r w:rsidRPr="005342F4">
        <w:rPr>
          <w:rFonts w:ascii="Palatino Linotype" w:hAnsi="Palatino Linotype"/>
          <w:sz w:val="22"/>
          <w:szCs w:val="22"/>
        </w:rPr>
        <w:t xml:space="preserve"> de septiembre de dos mil veinticuatro.</w:t>
      </w:r>
    </w:p>
    <w:p w:rsidR="00874F8E" w:rsidRPr="005342F4" w:rsidRDefault="00874F8E" w:rsidP="00874F8E">
      <w:pPr>
        <w:tabs>
          <w:tab w:val="left" w:pos="0"/>
          <w:tab w:val="left" w:pos="3465"/>
        </w:tabs>
        <w:spacing w:line="360" w:lineRule="auto"/>
        <w:jc w:val="both"/>
        <w:rPr>
          <w:rFonts w:ascii="Palatino Linotype" w:hAnsi="Palatino Linotype"/>
          <w:sz w:val="22"/>
          <w:szCs w:val="22"/>
        </w:rPr>
      </w:pPr>
    </w:p>
    <w:p w:rsidR="00874F8E" w:rsidRPr="005342F4" w:rsidRDefault="00874F8E" w:rsidP="00874F8E">
      <w:pPr>
        <w:pStyle w:val="Encabezado"/>
        <w:spacing w:line="360" w:lineRule="auto"/>
        <w:jc w:val="both"/>
        <w:rPr>
          <w:rFonts w:ascii="Palatino Linotype" w:eastAsia="Times New Roman" w:hAnsi="Palatino Linotype" w:cs="Times New Roman"/>
          <w:b/>
          <w:color w:val="000000" w:themeColor="text1"/>
          <w:sz w:val="22"/>
          <w:szCs w:val="22"/>
        </w:rPr>
      </w:pPr>
      <w:r w:rsidRPr="005342F4">
        <w:rPr>
          <w:rFonts w:ascii="Palatino Linotype" w:eastAsia="Times New Roman" w:hAnsi="Palatino Linotype" w:cs="Times New Roman"/>
          <w:b/>
          <w:color w:val="000000" w:themeColor="text1"/>
          <w:sz w:val="22"/>
          <w:szCs w:val="22"/>
        </w:rPr>
        <w:t>VISTO</w:t>
      </w:r>
      <w:r w:rsidRPr="005342F4">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Pr="005342F4">
        <w:rPr>
          <w:rFonts w:ascii="Palatino Linotype" w:hAnsi="Palatino Linotype" w:cs="Arial"/>
          <w:b/>
          <w:bCs/>
          <w:color w:val="000000" w:themeColor="text1"/>
          <w:sz w:val="22"/>
          <w:szCs w:val="22"/>
          <w:lang w:eastAsia="es-MX"/>
        </w:rPr>
        <w:t>04483/INFOEM/IP/RR/2024</w:t>
      </w:r>
      <w:r w:rsidRPr="005342F4">
        <w:rPr>
          <w:rFonts w:ascii="Palatino Linotype" w:eastAsia="Times New Roman" w:hAnsi="Palatino Linotype" w:cs="Arial"/>
          <w:bCs/>
          <w:color w:val="000000" w:themeColor="text1"/>
          <w:sz w:val="22"/>
          <w:szCs w:val="22"/>
        </w:rPr>
        <w:t xml:space="preserve">, </w:t>
      </w:r>
      <w:r w:rsidRPr="005342F4">
        <w:rPr>
          <w:rFonts w:ascii="Palatino Linotype" w:eastAsia="Times New Roman" w:hAnsi="Palatino Linotype" w:cs="Times New Roman"/>
          <w:color w:val="000000" w:themeColor="text1"/>
          <w:sz w:val="22"/>
          <w:szCs w:val="22"/>
        </w:rPr>
        <w:t>promovido por</w:t>
      </w:r>
      <w:r w:rsidRPr="005342F4">
        <w:rPr>
          <w:rFonts w:ascii="Palatino Linotype" w:hAnsi="Palatino Linotype"/>
          <w:sz w:val="22"/>
          <w:szCs w:val="22"/>
        </w:rPr>
        <w:t xml:space="preserve"> </w:t>
      </w:r>
      <w:r w:rsidR="005342F4" w:rsidRPr="005342F4">
        <w:rPr>
          <w:rFonts w:ascii="Palatino Linotype" w:hAnsi="Palatino Linotype"/>
          <w:b/>
          <w:sz w:val="22"/>
          <w:szCs w:val="22"/>
        </w:rPr>
        <w:t>XXXXXXXXX</w:t>
      </w:r>
      <w:r w:rsidRPr="005342F4">
        <w:rPr>
          <w:rFonts w:ascii="Palatino Linotype" w:eastAsia="Times New Roman" w:hAnsi="Palatino Linotype" w:cs="Arial"/>
          <w:color w:val="000000" w:themeColor="text1"/>
          <w:sz w:val="22"/>
          <w:szCs w:val="22"/>
        </w:rPr>
        <w:t xml:space="preserve">, en contra de la respuesta del </w:t>
      </w:r>
      <w:r w:rsidRPr="005342F4">
        <w:rPr>
          <w:rFonts w:ascii="Palatino Linotype" w:eastAsia="Times New Roman" w:hAnsi="Palatino Linotype" w:cs="Arial"/>
          <w:b/>
          <w:bCs/>
          <w:color w:val="000000" w:themeColor="text1"/>
          <w:sz w:val="22"/>
          <w:szCs w:val="22"/>
        </w:rPr>
        <w:t>Partido Morena</w:t>
      </w:r>
      <w:r w:rsidRPr="005342F4">
        <w:rPr>
          <w:rFonts w:ascii="Palatino Linotype" w:eastAsia="Calibri" w:hAnsi="Palatino Linotype" w:cs="Arial"/>
          <w:b/>
          <w:bCs/>
          <w:color w:val="000000" w:themeColor="text1"/>
          <w:sz w:val="22"/>
          <w:szCs w:val="22"/>
          <w:lang w:val="es-ES"/>
        </w:rPr>
        <w:t>,</w:t>
      </w:r>
      <w:r w:rsidRPr="005342F4">
        <w:rPr>
          <w:rFonts w:ascii="Palatino Linotype" w:eastAsia="Calibri" w:hAnsi="Palatino Linotype" w:cs="Arial"/>
          <w:color w:val="000000" w:themeColor="text1"/>
          <w:sz w:val="22"/>
          <w:szCs w:val="22"/>
          <w:lang w:val="es-ES"/>
        </w:rPr>
        <w:t xml:space="preserve"> </w:t>
      </w:r>
      <w:r w:rsidRPr="005342F4">
        <w:rPr>
          <w:rFonts w:ascii="Palatino Linotype" w:eastAsia="Times New Roman" w:hAnsi="Palatino Linotype" w:cs="Times New Roman"/>
          <w:color w:val="000000" w:themeColor="text1"/>
          <w:sz w:val="22"/>
          <w:szCs w:val="22"/>
        </w:rPr>
        <w:t>en lo sucesivo el</w:t>
      </w:r>
      <w:r w:rsidRPr="005342F4">
        <w:rPr>
          <w:rFonts w:ascii="Palatino Linotype" w:eastAsia="Times New Roman" w:hAnsi="Palatino Linotype" w:cs="Times New Roman"/>
          <w:b/>
          <w:color w:val="000000" w:themeColor="text1"/>
          <w:sz w:val="22"/>
          <w:szCs w:val="22"/>
        </w:rPr>
        <w:t xml:space="preserve"> SUJETO OBLIGADO, </w:t>
      </w:r>
      <w:r w:rsidRPr="005342F4">
        <w:rPr>
          <w:rFonts w:ascii="Palatino Linotype" w:eastAsia="Times New Roman" w:hAnsi="Palatino Linotype" w:cs="Times New Roman"/>
          <w:color w:val="000000" w:themeColor="text1"/>
          <w:sz w:val="22"/>
          <w:szCs w:val="22"/>
        </w:rPr>
        <w:t>se procede a dictar la presente resolución, con base en los siguientes:</w:t>
      </w:r>
    </w:p>
    <w:p w:rsidR="00874F8E" w:rsidRPr="005342F4" w:rsidRDefault="00874F8E" w:rsidP="00874F8E">
      <w:pPr>
        <w:tabs>
          <w:tab w:val="left" w:pos="0"/>
        </w:tabs>
        <w:spacing w:line="360" w:lineRule="auto"/>
        <w:jc w:val="both"/>
        <w:rPr>
          <w:rFonts w:ascii="Palatino Linotype" w:hAnsi="Palatino Linotype"/>
          <w:sz w:val="22"/>
          <w:szCs w:val="22"/>
        </w:rPr>
      </w:pPr>
    </w:p>
    <w:p w:rsidR="00874F8E" w:rsidRPr="005342F4" w:rsidRDefault="00874F8E" w:rsidP="00874F8E">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5342F4">
        <w:rPr>
          <w:rFonts w:ascii="Palatino Linotype" w:hAnsi="Palatino Linotype"/>
          <w:b/>
          <w:color w:val="000000" w:themeColor="text1"/>
          <w:sz w:val="22"/>
          <w:szCs w:val="22"/>
        </w:rPr>
        <w:t>ANTECEDENTES</w:t>
      </w:r>
      <w:bookmarkEnd w:id="0"/>
      <w:bookmarkEnd w:id="1"/>
      <w:bookmarkEnd w:id="2"/>
      <w:bookmarkEnd w:id="3"/>
    </w:p>
    <w:p w:rsidR="00874F8E" w:rsidRPr="005342F4" w:rsidRDefault="00874F8E" w:rsidP="00874F8E">
      <w:pPr>
        <w:rPr>
          <w:rFonts w:ascii="Palatino Linotype" w:hAnsi="Palatino Linotype"/>
          <w:sz w:val="22"/>
          <w:szCs w:val="22"/>
          <w:lang w:eastAsia="en-U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El uno de julio de dos mil veinticuatro,</w:t>
      </w:r>
      <w:r w:rsidRPr="005342F4">
        <w:rPr>
          <w:rFonts w:ascii="Palatino Linotype" w:eastAsia="Calibri" w:hAnsi="Palatino Linotype" w:cs="Times New Roman"/>
          <w:color w:val="000000" w:themeColor="text1"/>
          <w:sz w:val="22"/>
          <w:szCs w:val="22"/>
          <w:lang w:val="es-ES"/>
        </w:rPr>
        <w:t xml:space="preserve"> </w:t>
      </w:r>
      <w:r w:rsidRPr="005342F4">
        <w:rPr>
          <w:rFonts w:ascii="Palatino Linotype" w:eastAsia="Calibri" w:hAnsi="Palatino Linotype" w:cs="Arial"/>
          <w:color w:val="000000" w:themeColor="text1"/>
          <w:sz w:val="22"/>
          <w:szCs w:val="22"/>
          <w:lang w:val="es-ES"/>
        </w:rPr>
        <w:t>se</w:t>
      </w:r>
      <w:r w:rsidRPr="005342F4">
        <w:rPr>
          <w:rFonts w:ascii="Palatino Linotype" w:eastAsia="Calibri" w:hAnsi="Palatino Linotype" w:cs="Arial"/>
          <w:b/>
          <w:color w:val="000000" w:themeColor="text1"/>
          <w:sz w:val="22"/>
          <w:szCs w:val="22"/>
          <w:lang w:val="es-ES"/>
        </w:rPr>
        <w:t xml:space="preserve"> </w:t>
      </w:r>
      <w:r w:rsidRPr="005342F4">
        <w:rPr>
          <w:rFonts w:ascii="Palatino Linotype" w:hAnsi="Palatino Linotype"/>
          <w:color w:val="000000" w:themeColor="text1"/>
          <w:sz w:val="22"/>
          <w:szCs w:val="22"/>
        </w:rPr>
        <w:t>presentaron</w:t>
      </w:r>
      <w:r w:rsidRPr="005342F4">
        <w:rPr>
          <w:rFonts w:ascii="Palatino Linotype" w:hAnsi="Palatino Linotype"/>
          <w:b/>
          <w:color w:val="000000" w:themeColor="text1"/>
          <w:sz w:val="22"/>
          <w:szCs w:val="22"/>
        </w:rPr>
        <w:t xml:space="preserve"> </w:t>
      </w:r>
      <w:r w:rsidRPr="005342F4">
        <w:rPr>
          <w:rFonts w:ascii="Palatino Linotype" w:eastAsia="Calibri" w:hAnsi="Palatino Linotype" w:cs="Arial"/>
          <w:color w:val="000000" w:themeColor="text1"/>
          <w:sz w:val="22"/>
          <w:szCs w:val="22"/>
        </w:rPr>
        <w:t xml:space="preserve">vía Sistema de Acceso a la Información Mexiquense </w:t>
      </w:r>
      <w:r w:rsidRPr="005342F4">
        <w:rPr>
          <w:rFonts w:ascii="Palatino Linotype" w:eastAsia="Calibri" w:hAnsi="Palatino Linotype" w:cs="Arial"/>
          <w:b/>
          <w:color w:val="000000" w:themeColor="text1"/>
          <w:sz w:val="22"/>
          <w:szCs w:val="22"/>
        </w:rPr>
        <w:t>(SAIMEX)</w:t>
      </w:r>
      <w:r w:rsidRPr="005342F4">
        <w:rPr>
          <w:rFonts w:ascii="Palatino Linotype" w:eastAsia="Calibri" w:hAnsi="Palatino Linotype" w:cs="Arial"/>
          <w:b/>
          <w:color w:val="000000" w:themeColor="text1"/>
          <w:sz w:val="22"/>
          <w:szCs w:val="22"/>
          <w:lang w:val="es-ES"/>
        </w:rPr>
        <w:t>,</w:t>
      </w:r>
      <w:r w:rsidRPr="005342F4">
        <w:rPr>
          <w:rFonts w:ascii="Palatino Linotype" w:eastAsia="Calibri" w:hAnsi="Palatino Linotype" w:cs="Arial"/>
          <w:color w:val="000000" w:themeColor="text1"/>
          <w:sz w:val="22"/>
          <w:szCs w:val="22"/>
          <w:lang w:val="es-ES"/>
        </w:rPr>
        <w:t xml:space="preserve"> la solicitud de información pública registrada con el número </w:t>
      </w:r>
      <w:r w:rsidRPr="005342F4">
        <w:rPr>
          <w:rFonts w:ascii="Palatino Linotype" w:hAnsi="Palatino Linotype"/>
          <w:b/>
          <w:sz w:val="22"/>
          <w:szCs w:val="22"/>
        </w:rPr>
        <w:t>00122/PMOR/IP/2024</w:t>
      </w:r>
      <w:r w:rsidRPr="005342F4">
        <w:rPr>
          <w:rFonts w:ascii="Palatino Linotype" w:hAnsi="Palatino Linotype"/>
          <w:b/>
          <w:bCs/>
          <w:color w:val="000000" w:themeColor="text1"/>
          <w:sz w:val="22"/>
          <w:szCs w:val="22"/>
        </w:rPr>
        <w:t>,</w:t>
      </w:r>
      <w:r w:rsidRPr="005342F4">
        <w:rPr>
          <w:rFonts w:ascii="Palatino Linotype" w:eastAsia="Calibri" w:hAnsi="Palatino Linotype" w:cs="Arial"/>
          <w:color w:val="000000" w:themeColor="text1"/>
          <w:sz w:val="22"/>
          <w:szCs w:val="22"/>
          <w:lang w:val="es-ES"/>
        </w:rPr>
        <w:t xml:space="preserve"> mediante la cual se requirió lo siguiente:</w:t>
      </w:r>
    </w:p>
    <w:p w:rsidR="00874F8E" w:rsidRPr="005342F4" w:rsidRDefault="00874F8E" w:rsidP="00874F8E">
      <w:pPr>
        <w:ind w:left="567" w:right="565"/>
        <w:jc w:val="both"/>
        <w:rPr>
          <w:rFonts w:ascii="Palatino Linotype" w:hAnsi="Palatino Linotype"/>
          <w:i/>
          <w:iCs/>
          <w:color w:val="000000"/>
          <w:sz w:val="22"/>
          <w:szCs w:val="22"/>
          <w:lang w:val="es-ES"/>
        </w:rPr>
      </w:pPr>
    </w:p>
    <w:p w:rsidR="00874F8E" w:rsidRPr="005342F4" w:rsidRDefault="00874F8E" w:rsidP="00874F8E">
      <w:pPr>
        <w:ind w:left="567" w:right="565"/>
        <w:jc w:val="both"/>
        <w:rPr>
          <w:rFonts w:ascii="Palatino Linotype" w:hAnsi="Palatino Linotype"/>
          <w:i/>
          <w:iCs/>
          <w:sz w:val="22"/>
          <w:szCs w:val="22"/>
        </w:rPr>
      </w:pPr>
      <w:r w:rsidRPr="005342F4">
        <w:rPr>
          <w:rFonts w:ascii="Palatino Linotype" w:hAnsi="Palatino Linotype"/>
          <w:i/>
          <w:iCs/>
          <w:color w:val="000000"/>
          <w:sz w:val="22"/>
          <w:szCs w:val="22"/>
        </w:rPr>
        <w:t xml:space="preserve">“Proporcione la lista de afiliados del partido en </w:t>
      </w:r>
      <w:proofErr w:type="spellStart"/>
      <w:r w:rsidRPr="005342F4">
        <w:rPr>
          <w:rFonts w:ascii="Palatino Linotype" w:hAnsi="Palatino Linotype"/>
          <w:i/>
          <w:iCs/>
          <w:color w:val="000000"/>
          <w:sz w:val="22"/>
          <w:szCs w:val="22"/>
        </w:rPr>
        <w:t>el.municipio</w:t>
      </w:r>
      <w:proofErr w:type="spellEnd"/>
      <w:r w:rsidRPr="005342F4">
        <w:rPr>
          <w:rFonts w:ascii="Palatino Linotype" w:hAnsi="Palatino Linotype"/>
          <w:i/>
          <w:iCs/>
          <w:color w:val="000000"/>
          <w:sz w:val="22"/>
          <w:szCs w:val="22"/>
        </w:rPr>
        <w:t xml:space="preserve"> de </w:t>
      </w:r>
      <w:proofErr w:type="spellStart"/>
      <w:r w:rsidRPr="005342F4">
        <w:rPr>
          <w:rFonts w:ascii="Palatino Linotype" w:hAnsi="Palatino Linotype"/>
          <w:i/>
          <w:iCs/>
          <w:color w:val="000000"/>
          <w:sz w:val="22"/>
          <w:szCs w:val="22"/>
        </w:rPr>
        <w:t>Nicolas</w:t>
      </w:r>
      <w:proofErr w:type="spellEnd"/>
      <w:r w:rsidRPr="005342F4">
        <w:rPr>
          <w:rFonts w:ascii="Palatino Linotype" w:hAnsi="Palatino Linotype"/>
          <w:i/>
          <w:iCs/>
          <w:color w:val="000000"/>
          <w:sz w:val="22"/>
          <w:szCs w:val="22"/>
        </w:rPr>
        <w:t xml:space="preserve"> Romero, Estado de </w:t>
      </w:r>
      <w:proofErr w:type="spellStart"/>
      <w:r w:rsidRPr="005342F4">
        <w:rPr>
          <w:rFonts w:ascii="Palatino Linotype" w:hAnsi="Palatino Linotype"/>
          <w:i/>
          <w:iCs/>
          <w:color w:val="000000"/>
          <w:sz w:val="22"/>
          <w:szCs w:val="22"/>
        </w:rPr>
        <w:t>Mexico</w:t>
      </w:r>
      <w:proofErr w:type="spellEnd"/>
      <w:r w:rsidRPr="005342F4">
        <w:rPr>
          <w:rFonts w:ascii="Palatino Linotype" w:hAnsi="Palatino Linotype"/>
          <w:i/>
          <w:iCs/>
          <w:sz w:val="22"/>
          <w:szCs w:val="22"/>
        </w:rPr>
        <w:t>” (Sic)</w:t>
      </w:r>
    </w:p>
    <w:p w:rsidR="00874F8E" w:rsidRPr="005342F4" w:rsidRDefault="00874F8E" w:rsidP="00874F8E">
      <w:pPr>
        <w:tabs>
          <w:tab w:val="left" w:pos="426"/>
          <w:tab w:val="left" w:pos="567"/>
        </w:tabs>
        <w:jc w:val="both"/>
        <w:rPr>
          <w:rFonts w:ascii="Palatino Linotype" w:hAnsi="Palatino Linotype"/>
          <w:b/>
          <w:color w:val="000000" w:themeColor="text1"/>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Se </w:t>
      </w:r>
      <w:r w:rsidRPr="005342F4">
        <w:rPr>
          <w:rFonts w:ascii="Palatino Linotype" w:eastAsia="Times New Roman" w:hAnsi="Palatino Linotype" w:cs="Arial"/>
          <w:sz w:val="22"/>
          <w:szCs w:val="22"/>
          <w:lang w:val="es-ES"/>
        </w:rPr>
        <w:t xml:space="preserve">señaló como modalidad de entrega de la información: a través de </w:t>
      </w:r>
      <w:r w:rsidRPr="005342F4">
        <w:rPr>
          <w:rFonts w:ascii="Palatino Linotype" w:eastAsia="Times New Roman" w:hAnsi="Palatino Linotype" w:cs="Arial"/>
          <w:b/>
          <w:sz w:val="22"/>
          <w:szCs w:val="22"/>
          <w:lang w:val="es-ES"/>
        </w:rPr>
        <w:t>SAIMEX.</w:t>
      </w:r>
    </w:p>
    <w:p w:rsidR="00874F8E" w:rsidRPr="005342F4" w:rsidRDefault="00874F8E" w:rsidP="00874F8E">
      <w:pPr>
        <w:rPr>
          <w:rFonts w:ascii="Palatino Linotype" w:eastAsia="Calibri" w:hAnsi="Palatino Linotype" w:cs="Arial"/>
          <w:color w:val="000000" w:themeColor="text1"/>
          <w:sz w:val="22"/>
          <w:szCs w:val="22"/>
          <w:lang w:val="es-AR"/>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5342F4">
        <w:rPr>
          <w:rFonts w:ascii="Palatino Linotype" w:hAnsi="Palatino Linotype"/>
          <w:color w:val="000000" w:themeColor="text1"/>
          <w:sz w:val="22"/>
          <w:szCs w:val="22"/>
        </w:rPr>
        <w:t xml:space="preserve">El ocho de julio de dos mil veinticuatro, </w:t>
      </w:r>
      <w:r w:rsidRPr="005342F4">
        <w:rPr>
          <w:rFonts w:ascii="Palatino Linotype" w:eastAsia="Calibri" w:hAnsi="Palatino Linotype" w:cs="Arial"/>
          <w:color w:val="000000" w:themeColor="text1"/>
          <w:sz w:val="22"/>
          <w:szCs w:val="22"/>
          <w:lang w:val="es-AR"/>
        </w:rPr>
        <w:t xml:space="preserve">el </w:t>
      </w:r>
      <w:r w:rsidRPr="005342F4">
        <w:rPr>
          <w:rFonts w:ascii="Palatino Linotype" w:eastAsia="Times New Roman" w:hAnsi="Palatino Linotype" w:cs="Arial"/>
          <w:b/>
          <w:color w:val="000000" w:themeColor="text1"/>
          <w:sz w:val="22"/>
          <w:szCs w:val="22"/>
          <w:lang w:val="es-ES"/>
        </w:rPr>
        <w:t xml:space="preserve">SUJETO </w:t>
      </w:r>
      <w:r w:rsidRPr="005342F4">
        <w:rPr>
          <w:rFonts w:ascii="Palatino Linotype" w:hAnsi="Palatino Linotype" w:cs="Arial"/>
          <w:b/>
          <w:sz w:val="22"/>
          <w:szCs w:val="22"/>
        </w:rPr>
        <w:t>OBLIGADO</w:t>
      </w:r>
      <w:r w:rsidRPr="005342F4">
        <w:rPr>
          <w:rFonts w:ascii="Palatino Linotype" w:hAnsi="Palatino Linotype" w:cs="Arial"/>
          <w:sz w:val="22"/>
          <w:szCs w:val="22"/>
        </w:rPr>
        <w:t xml:space="preserve"> emitió respuesta a la solicitud de información, en los siguientes términos:</w:t>
      </w:r>
    </w:p>
    <w:p w:rsidR="00874F8E" w:rsidRPr="005342F4" w:rsidRDefault="00874F8E" w:rsidP="00874F8E">
      <w:pPr>
        <w:pStyle w:val="Prrafodelista"/>
        <w:tabs>
          <w:tab w:val="left" w:pos="426"/>
          <w:tab w:val="left" w:pos="567"/>
        </w:tabs>
        <w:ind w:left="567" w:right="565"/>
        <w:jc w:val="both"/>
        <w:rPr>
          <w:rFonts w:ascii="Palatino Linotype" w:hAnsi="Palatino Linotype"/>
          <w:i/>
          <w:iCs/>
          <w:color w:val="000000" w:themeColor="text1"/>
          <w:sz w:val="22"/>
          <w:szCs w:val="22"/>
        </w:rPr>
      </w:pPr>
    </w:p>
    <w:p w:rsidR="00874F8E" w:rsidRPr="005342F4" w:rsidRDefault="00874F8E" w:rsidP="00874F8E">
      <w:pPr>
        <w:tabs>
          <w:tab w:val="left" w:pos="426"/>
          <w:tab w:val="left" w:pos="567"/>
        </w:tabs>
        <w:ind w:left="567" w:right="565"/>
        <w:jc w:val="both"/>
        <w:rPr>
          <w:rFonts w:ascii="Palatino Linotype" w:hAnsi="Palatino Linotype"/>
          <w:i/>
          <w:iCs/>
          <w:color w:val="000000"/>
          <w:sz w:val="22"/>
          <w:szCs w:val="22"/>
        </w:rPr>
      </w:pPr>
      <w:r w:rsidRPr="005342F4">
        <w:rPr>
          <w:rFonts w:ascii="Palatino Linotype" w:hAnsi="Palatino Linotype"/>
          <w:i/>
          <w:iCs/>
          <w:color w:val="000000" w:themeColor="text1"/>
          <w:sz w:val="22"/>
          <w:szCs w:val="22"/>
        </w:rPr>
        <w:t>"</w:t>
      </w:r>
      <w:r w:rsidRPr="005342F4">
        <w:rPr>
          <w:rFonts w:ascii="Palatino Linotype" w:hAnsi="Palatino Linotype"/>
          <w:i/>
          <w:iCs/>
          <w:color w:val="000000"/>
          <w:sz w:val="22"/>
          <w:szCs w:val="22"/>
        </w:rPr>
        <w:t>…Persona solicitante de información Presente. En el archivo adjunto encontrará la respuesta a su solicitud. Atentamente. Unidad de Transparencia de MORENA en el Estado de México…” (Sic)</w:t>
      </w:r>
    </w:p>
    <w:p w:rsidR="00874F8E" w:rsidRPr="005342F4" w:rsidRDefault="00874F8E" w:rsidP="00874F8E">
      <w:pPr>
        <w:tabs>
          <w:tab w:val="left" w:pos="426"/>
          <w:tab w:val="left" w:pos="567"/>
        </w:tabs>
        <w:ind w:left="567" w:right="565"/>
        <w:jc w:val="both"/>
        <w:rPr>
          <w:rFonts w:ascii="Palatino Linotype" w:hAnsi="Palatino Linotype"/>
          <w:i/>
          <w:iCs/>
          <w:color w:val="000000" w:themeColor="text1"/>
          <w:sz w:val="22"/>
          <w:szCs w:val="22"/>
        </w:rPr>
      </w:pPr>
    </w:p>
    <w:p w:rsidR="00874F8E" w:rsidRPr="005342F4" w:rsidRDefault="00874F8E" w:rsidP="00874F8E">
      <w:pPr>
        <w:tabs>
          <w:tab w:val="left" w:pos="426"/>
          <w:tab w:val="left" w:pos="567"/>
        </w:tabs>
        <w:ind w:right="565"/>
        <w:jc w:val="both"/>
        <w:rPr>
          <w:rFonts w:ascii="Palatino Linotype" w:hAnsi="Palatino Linotype"/>
          <w:b/>
          <w:bCs/>
          <w:color w:val="000000" w:themeColor="text1"/>
          <w:sz w:val="22"/>
          <w:szCs w:val="22"/>
        </w:rPr>
      </w:pPr>
      <w:r w:rsidRPr="005342F4">
        <w:rPr>
          <w:rFonts w:ascii="Palatino Linotype" w:hAnsi="Palatino Linotype"/>
          <w:b/>
          <w:bCs/>
          <w:color w:val="000000" w:themeColor="text1"/>
          <w:sz w:val="22"/>
          <w:szCs w:val="22"/>
        </w:rPr>
        <w:t>Archivos electrónicos adjuntos:</w:t>
      </w:r>
    </w:p>
    <w:p w:rsidR="00874F8E" w:rsidRPr="005342F4" w:rsidRDefault="00547E5F" w:rsidP="00874F8E">
      <w:pPr>
        <w:tabs>
          <w:tab w:val="left" w:pos="426"/>
          <w:tab w:val="left" w:pos="567"/>
        </w:tabs>
        <w:ind w:left="567" w:right="565"/>
        <w:jc w:val="both"/>
        <w:rPr>
          <w:rFonts w:ascii="Palatino Linotype" w:hAnsi="Palatino Linotype"/>
          <w:b/>
          <w:bCs/>
          <w:color w:val="000000" w:themeColor="text1"/>
          <w:sz w:val="22"/>
          <w:szCs w:val="22"/>
        </w:rPr>
      </w:pPr>
      <w:hyperlink r:id="rId7" w:tgtFrame="_blank" w:history="1">
        <w:r w:rsidR="00874F8E" w:rsidRPr="005342F4">
          <w:rPr>
            <w:rStyle w:val="Hipervnculo"/>
            <w:rFonts w:ascii="Palatino Linotype" w:hAnsi="Palatino Linotype"/>
            <w:b/>
            <w:bCs/>
            <w:color w:val="000000" w:themeColor="text1"/>
            <w:sz w:val="22"/>
            <w:szCs w:val="22"/>
            <w:u w:val="none"/>
          </w:rPr>
          <w:t>Respuesta_00122_PMOR_IP_2024.pdf</w:t>
        </w:r>
      </w:hyperlink>
      <w:r w:rsidR="00874F8E" w:rsidRPr="005342F4">
        <w:rPr>
          <w:rFonts w:ascii="Palatino Linotype" w:hAnsi="Palatino Linotype"/>
          <w:b/>
          <w:bCs/>
          <w:color w:val="000000" w:themeColor="text1"/>
          <w:sz w:val="22"/>
          <w:szCs w:val="22"/>
        </w:rPr>
        <w:t xml:space="preserve">: </w:t>
      </w:r>
      <w:r w:rsidR="00874F8E" w:rsidRPr="005342F4">
        <w:rPr>
          <w:rFonts w:ascii="Palatino Linotype" w:hAnsi="Palatino Linotype"/>
          <w:color w:val="000000" w:themeColor="text1"/>
          <w:sz w:val="22"/>
          <w:szCs w:val="22"/>
        </w:rPr>
        <w:t xml:space="preserve">Oficio suscrito por el Titular de la Unidad de transparencia, por medio del cual, señaló que el Padrón de Protagonistas del Cambio Verdadero, </w:t>
      </w:r>
      <w:r w:rsidR="00874F8E" w:rsidRPr="005342F4">
        <w:rPr>
          <w:rFonts w:ascii="Palatino Linotype" w:hAnsi="Palatino Linotype"/>
          <w:sz w:val="22"/>
          <w:szCs w:val="22"/>
        </w:rPr>
        <w:t xml:space="preserve">se encuentra a cargo de la Presidencia, Secretaría General, Secretaría de Organización y la Presidencia del Instituto Nacional de Formación Política, con el acompañamiento de la Presidencia de la Comisión Nacional de Honestidad y Justicia. Asimismo, refirió que el padrón de afiliados podía ser consultada por medio del vínculo electrónico </w:t>
      </w:r>
      <w:hyperlink r:id="rId8" w:history="1">
        <w:r w:rsidR="00874F8E" w:rsidRPr="005342F4">
          <w:rPr>
            <w:rStyle w:val="Hipervnculo"/>
            <w:rFonts w:ascii="Palatino Linotype" w:hAnsi="Palatino Linotype"/>
            <w:b/>
            <w:bCs/>
            <w:sz w:val="22"/>
            <w:szCs w:val="22"/>
            <w:u w:val="none"/>
          </w:rPr>
          <w:t>https://ine.mx/actores-politicos/partidos-politicos-nacionales/padron-afiliados/</w:t>
        </w:r>
      </w:hyperlink>
      <w:r w:rsidR="00874F8E" w:rsidRPr="005342F4">
        <w:rPr>
          <w:rFonts w:ascii="Palatino Linotype" w:hAnsi="Palatino Linotype"/>
          <w:b/>
          <w:bCs/>
          <w:color w:val="000000" w:themeColor="text1"/>
          <w:sz w:val="22"/>
          <w:szCs w:val="22"/>
        </w:rPr>
        <w:t xml:space="preserve">, </w:t>
      </w:r>
      <w:r w:rsidR="00874F8E" w:rsidRPr="005342F4">
        <w:rPr>
          <w:rFonts w:ascii="Palatino Linotype" w:hAnsi="Palatino Linotype"/>
          <w:color w:val="000000" w:themeColor="text1"/>
          <w:sz w:val="22"/>
          <w:szCs w:val="22"/>
        </w:rPr>
        <w:t>al seleccionar la opción “Descargar” del partido político de interés, e insertó una captura de pantalla. Finalmente, informó que el padrón de sus militantes, contiene exclusivamente el apellido paterno, materno, nombre o nombres, fecha de afiliación y entidad de residencia.</w:t>
      </w:r>
    </w:p>
    <w:p w:rsidR="00874F8E" w:rsidRPr="005342F4" w:rsidRDefault="00874F8E" w:rsidP="00874F8E">
      <w:pPr>
        <w:spacing w:line="276" w:lineRule="auto"/>
        <w:ind w:right="565"/>
        <w:jc w:val="both"/>
        <w:rPr>
          <w:rFonts w:ascii="Palatino Linotype" w:hAnsi="Palatino Linotype" w:cs="ArialNarrow-Bold"/>
          <w:b/>
          <w:bCs/>
          <w:color w:val="000000"/>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Times New Roman" w:hAnsi="Palatino Linotype" w:cs="Arial"/>
          <w:color w:val="000000" w:themeColor="text1"/>
          <w:sz w:val="22"/>
          <w:szCs w:val="22"/>
          <w:lang w:val="es-ES"/>
        </w:rPr>
        <w:t xml:space="preserve">El </w:t>
      </w:r>
      <w:r w:rsidRPr="005342F4">
        <w:rPr>
          <w:rFonts w:ascii="Palatino Linotype" w:eastAsia="Times New Roman" w:hAnsi="Palatino Linotype" w:cs="Arial"/>
          <w:bCs/>
          <w:color w:val="000000" w:themeColor="text1"/>
          <w:sz w:val="22"/>
          <w:szCs w:val="22"/>
          <w:lang w:val="es-ES"/>
        </w:rPr>
        <w:t>quince de julio de dos mil veinticuatro,</w:t>
      </w:r>
      <w:r w:rsidRPr="005342F4">
        <w:rPr>
          <w:rFonts w:ascii="Palatino Linotype" w:eastAsia="Times New Roman" w:hAnsi="Palatino Linotype" w:cs="Arial"/>
          <w:color w:val="000000" w:themeColor="text1"/>
          <w:sz w:val="22"/>
          <w:szCs w:val="22"/>
          <w:lang w:val="es-ES"/>
        </w:rPr>
        <w:t xml:space="preserve"> </w:t>
      </w:r>
      <w:r w:rsidRPr="005342F4">
        <w:rPr>
          <w:rFonts w:ascii="Palatino Linotype" w:hAnsi="Palatino Linotype"/>
          <w:color w:val="000000" w:themeColor="text1"/>
          <w:sz w:val="22"/>
          <w:szCs w:val="22"/>
        </w:rPr>
        <w:t xml:space="preserve">se </w:t>
      </w:r>
      <w:r w:rsidRPr="005342F4">
        <w:rPr>
          <w:rFonts w:ascii="Palatino Linotype" w:eastAsia="Times New Roman" w:hAnsi="Palatino Linotype" w:cs="Arial"/>
          <w:color w:val="000000" w:themeColor="text1"/>
          <w:sz w:val="22"/>
          <w:szCs w:val="22"/>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rsidR="00874F8E" w:rsidRPr="005342F4" w:rsidRDefault="00874F8E" w:rsidP="00874F8E">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874F8E" w:rsidRPr="005342F4" w:rsidRDefault="00874F8E" w:rsidP="00874F8E">
      <w:pPr>
        <w:tabs>
          <w:tab w:val="left" w:pos="7400"/>
        </w:tabs>
        <w:ind w:left="596" w:right="645"/>
        <w:jc w:val="both"/>
        <w:rPr>
          <w:rFonts w:ascii="Palatino Linotype" w:hAnsi="Palatino Linotype"/>
          <w:b/>
          <w:sz w:val="22"/>
          <w:szCs w:val="22"/>
        </w:rPr>
      </w:pPr>
      <w:r w:rsidRPr="005342F4">
        <w:rPr>
          <w:rFonts w:ascii="Palatino Linotype" w:hAnsi="Palatino Linotype"/>
          <w:b/>
          <w:sz w:val="22"/>
          <w:szCs w:val="22"/>
        </w:rPr>
        <w:t>Acto Impugnado:</w:t>
      </w:r>
    </w:p>
    <w:p w:rsidR="00874F8E" w:rsidRPr="005342F4" w:rsidRDefault="00874F8E" w:rsidP="00874F8E">
      <w:pPr>
        <w:tabs>
          <w:tab w:val="left" w:pos="7400"/>
        </w:tabs>
        <w:ind w:left="596" w:right="645"/>
        <w:jc w:val="both"/>
        <w:rPr>
          <w:rFonts w:ascii="Palatino Linotype" w:hAnsi="Palatino Linotype"/>
          <w:i/>
          <w:color w:val="000000"/>
          <w:sz w:val="22"/>
          <w:szCs w:val="22"/>
        </w:rPr>
      </w:pPr>
      <w:r w:rsidRPr="005342F4">
        <w:rPr>
          <w:rFonts w:ascii="Palatino Linotype" w:hAnsi="Palatino Linotype"/>
          <w:b/>
          <w:i/>
          <w:sz w:val="22"/>
          <w:szCs w:val="22"/>
        </w:rPr>
        <w:t>“</w:t>
      </w:r>
      <w:r w:rsidRPr="005342F4">
        <w:rPr>
          <w:rFonts w:ascii="Palatino Linotype" w:hAnsi="Palatino Linotype"/>
          <w:i/>
          <w:color w:val="000000"/>
          <w:sz w:val="22"/>
          <w:szCs w:val="22"/>
        </w:rPr>
        <w:t>Omisión de dar respuesta” (Sic)</w:t>
      </w:r>
    </w:p>
    <w:p w:rsidR="00874F8E" w:rsidRPr="005342F4" w:rsidRDefault="00874F8E" w:rsidP="00874F8E">
      <w:pPr>
        <w:tabs>
          <w:tab w:val="left" w:pos="7400"/>
        </w:tabs>
        <w:ind w:left="596" w:right="645"/>
        <w:jc w:val="both"/>
        <w:rPr>
          <w:rFonts w:ascii="Palatino Linotype" w:hAnsi="Palatino Linotype"/>
          <w:b/>
          <w:color w:val="000000"/>
          <w:sz w:val="22"/>
          <w:szCs w:val="22"/>
        </w:rPr>
      </w:pPr>
    </w:p>
    <w:p w:rsidR="00874F8E" w:rsidRPr="005342F4" w:rsidRDefault="00874F8E" w:rsidP="00874F8E">
      <w:pPr>
        <w:tabs>
          <w:tab w:val="left" w:pos="7400"/>
        </w:tabs>
        <w:ind w:left="596" w:right="645"/>
        <w:jc w:val="both"/>
        <w:rPr>
          <w:rFonts w:ascii="Palatino Linotype" w:hAnsi="Palatino Linotype"/>
          <w:b/>
          <w:color w:val="000000"/>
          <w:sz w:val="22"/>
          <w:szCs w:val="22"/>
        </w:rPr>
      </w:pPr>
      <w:r w:rsidRPr="005342F4">
        <w:rPr>
          <w:rFonts w:ascii="Palatino Linotype" w:hAnsi="Palatino Linotype"/>
          <w:b/>
          <w:color w:val="000000"/>
          <w:sz w:val="22"/>
          <w:szCs w:val="22"/>
        </w:rPr>
        <w:t>Razones o Motivos de Inconformidad:</w:t>
      </w:r>
    </w:p>
    <w:p w:rsidR="00874F8E" w:rsidRPr="005342F4" w:rsidRDefault="00874F8E" w:rsidP="00874F8E">
      <w:pPr>
        <w:tabs>
          <w:tab w:val="left" w:pos="7400"/>
        </w:tabs>
        <w:ind w:left="596" w:right="645"/>
        <w:jc w:val="both"/>
        <w:rPr>
          <w:rFonts w:ascii="Palatino Linotype" w:hAnsi="Palatino Linotype"/>
          <w:bCs/>
          <w:i/>
          <w:iCs/>
          <w:color w:val="000000"/>
          <w:sz w:val="22"/>
          <w:szCs w:val="22"/>
        </w:rPr>
      </w:pPr>
      <w:r w:rsidRPr="005342F4">
        <w:rPr>
          <w:rFonts w:ascii="Palatino Linotype" w:hAnsi="Palatino Linotype"/>
          <w:bCs/>
          <w:i/>
          <w:iCs/>
          <w:color w:val="000000"/>
          <w:sz w:val="22"/>
          <w:szCs w:val="22"/>
        </w:rPr>
        <w:t>“</w:t>
      </w:r>
      <w:r w:rsidRPr="005342F4">
        <w:rPr>
          <w:rFonts w:ascii="Palatino Linotype" w:hAnsi="Palatino Linotype"/>
          <w:i/>
          <w:iCs/>
          <w:color w:val="000000"/>
          <w:sz w:val="22"/>
          <w:szCs w:val="22"/>
        </w:rPr>
        <w:t>Con el absurdo argumento que la información solicitada se encuentra publicada en base de datos de otro organismo se niega a proporcionar información solicitada.</w:t>
      </w:r>
      <w:r w:rsidRPr="005342F4">
        <w:rPr>
          <w:rFonts w:ascii="Palatino Linotype" w:hAnsi="Palatino Linotype"/>
          <w:bCs/>
          <w:i/>
          <w:iCs/>
          <w:color w:val="000000"/>
          <w:sz w:val="22"/>
          <w:szCs w:val="22"/>
        </w:rPr>
        <w:t>” (Sic)</w:t>
      </w:r>
    </w:p>
    <w:p w:rsidR="00874F8E" w:rsidRPr="005342F4" w:rsidRDefault="00874F8E" w:rsidP="00874F8E">
      <w:pPr>
        <w:tabs>
          <w:tab w:val="left" w:pos="7400"/>
        </w:tabs>
        <w:ind w:right="645"/>
        <w:jc w:val="both"/>
        <w:rPr>
          <w:rFonts w:ascii="Palatino Linotype" w:hAnsi="Palatino Linotype"/>
          <w:bCs/>
          <w:i/>
          <w:iCs/>
          <w:color w:val="000000"/>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La </w:t>
      </w:r>
      <w:r w:rsidRPr="005342F4">
        <w:rPr>
          <w:rFonts w:ascii="Palatino Linotype" w:eastAsia="Calibri" w:hAnsi="Palatino Linotype"/>
          <w:sz w:val="22"/>
          <w:szCs w:val="22"/>
        </w:rPr>
        <w:t>Comisionada</w:t>
      </w:r>
      <w:r w:rsidRPr="005342F4">
        <w:rPr>
          <w:rFonts w:ascii="Palatino Linotype" w:eastAsia="Calibri" w:hAnsi="Palatino Linotype" w:cs="Arial"/>
          <w:sz w:val="22"/>
          <w:szCs w:val="22"/>
        </w:rPr>
        <w:t xml:space="preserve"> Ponente con fundamento en lo dispuesto por el artículo 185 fracción II de la ley de la materia, a través del acuerdo de admisión del diecisiete de julio de dos mil veinticuatro, puso a disposición de las partes el expediente electrónico vía Sistema de Acceso a la Información Mexiquense </w:t>
      </w:r>
      <w:r w:rsidRPr="005342F4">
        <w:rPr>
          <w:rFonts w:ascii="Palatino Linotype" w:eastAsia="Calibri" w:hAnsi="Palatino Linotype" w:cs="Arial"/>
          <w:b/>
          <w:sz w:val="22"/>
          <w:szCs w:val="22"/>
        </w:rPr>
        <w:t xml:space="preserve">SAIMEX, </w:t>
      </w:r>
      <w:r w:rsidRPr="005342F4">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5342F4">
        <w:rPr>
          <w:rFonts w:ascii="Palatino Linotype" w:eastAsia="Calibri" w:hAnsi="Palatino Linotype" w:cs="Arial"/>
          <w:b/>
          <w:sz w:val="22"/>
          <w:szCs w:val="22"/>
        </w:rPr>
        <w:t>SUJETO OBLIGADO</w:t>
      </w:r>
      <w:r w:rsidRPr="005342F4">
        <w:rPr>
          <w:rFonts w:ascii="Palatino Linotype" w:eastAsia="Calibri" w:hAnsi="Palatino Linotype" w:cs="Arial"/>
          <w:sz w:val="22"/>
          <w:szCs w:val="22"/>
        </w:rPr>
        <w:t xml:space="preserve"> presentará el Informe Justificado procedente.</w:t>
      </w:r>
    </w:p>
    <w:bookmarkEnd w:id="4"/>
    <w:bookmarkEnd w:id="5"/>
    <w:bookmarkEnd w:id="6"/>
    <w:bookmarkEnd w:id="7"/>
    <w:bookmarkEnd w:id="8"/>
    <w:bookmarkEnd w:id="9"/>
    <w:bookmarkEnd w:id="10"/>
    <w:bookmarkEnd w:id="11"/>
    <w:bookmarkEnd w:id="12"/>
    <w:bookmarkEnd w:id="13"/>
    <w:bookmarkEnd w:id="14"/>
    <w:bookmarkEnd w:id="15"/>
    <w:bookmarkEnd w:id="16"/>
    <w:bookmarkEnd w:id="17"/>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5342F4">
        <w:rPr>
          <w:rFonts w:ascii="Palatino Linotype" w:eastAsia="Calibri" w:hAnsi="Palatino Linotype" w:cs="Arial"/>
          <w:color w:val="000000" w:themeColor="text1"/>
          <w:sz w:val="22"/>
          <w:szCs w:val="22"/>
          <w:lang w:val="es-ES"/>
        </w:rPr>
        <w:lastRenderedPageBreak/>
        <w:t xml:space="preserve">El cinco de agosto de dos mil veinticuatro, el </w:t>
      </w:r>
      <w:r w:rsidRPr="005342F4">
        <w:rPr>
          <w:rFonts w:ascii="Palatino Linotype" w:eastAsia="Calibri" w:hAnsi="Palatino Linotype" w:cs="Arial"/>
          <w:b/>
          <w:color w:val="000000" w:themeColor="text1"/>
          <w:sz w:val="22"/>
          <w:szCs w:val="22"/>
          <w:lang w:val="es-ES"/>
        </w:rPr>
        <w:t>SUJETO OBLIGADO</w:t>
      </w:r>
      <w:r w:rsidRPr="005342F4">
        <w:rPr>
          <w:rFonts w:ascii="Palatino Linotype" w:eastAsia="Calibri" w:hAnsi="Palatino Linotype" w:cs="Arial"/>
          <w:color w:val="000000" w:themeColor="text1"/>
          <w:sz w:val="22"/>
          <w:szCs w:val="22"/>
          <w:lang w:val="es-ES"/>
        </w:rPr>
        <w:t xml:space="preserve"> rindió el </w:t>
      </w:r>
      <w:r w:rsidRPr="005342F4">
        <w:rPr>
          <w:rFonts w:ascii="Palatino Linotype" w:eastAsia="Calibri" w:hAnsi="Palatino Linotype" w:cs="Arial"/>
          <w:sz w:val="22"/>
          <w:szCs w:val="22"/>
          <w:lang w:val="es-ES"/>
        </w:rPr>
        <w:t xml:space="preserve">informe justificado correspondiente, por medio del archivo electrónico denominado </w:t>
      </w:r>
      <w:r w:rsidRPr="005342F4">
        <w:rPr>
          <w:rFonts w:ascii="Palatino Linotype" w:eastAsia="Calibri" w:hAnsi="Palatino Linotype" w:cs="Arial"/>
          <w:b/>
          <w:bCs/>
          <w:sz w:val="22"/>
          <w:szCs w:val="22"/>
          <w:lang w:val="es-ES"/>
        </w:rPr>
        <w:t>“Manifestaciones_04483_INFOEM_IP_RR_2024.pdf”,</w:t>
      </w:r>
      <w:r w:rsidRPr="005342F4">
        <w:rPr>
          <w:rFonts w:ascii="Palatino Linotype" w:eastAsia="Calibri" w:hAnsi="Palatino Linotype" w:cs="Arial"/>
          <w:sz w:val="22"/>
          <w:szCs w:val="22"/>
          <w:lang w:val="es-ES"/>
        </w:rPr>
        <w:t xml:space="preserve"> por medio del cual, </w:t>
      </w:r>
      <w:r w:rsidRPr="005342F4">
        <w:rPr>
          <w:rFonts w:ascii="Palatino Linotype" w:eastAsia="Calibri" w:hAnsi="Palatino Linotype" w:cs="Arial"/>
          <w:b/>
          <w:bCs/>
          <w:sz w:val="22"/>
          <w:szCs w:val="22"/>
          <w:lang w:val="es-ES"/>
        </w:rPr>
        <w:t>ratificó la respuesta.</w:t>
      </w:r>
    </w:p>
    <w:p w:rsidR="00874F8E" w:rsidRPr="005342F4" w:rsidRDefault="00874F8E" w:rsidP="00874F8E">
      <w:pPr>
        <w:rPr>
          <w:rFonts w:ascii="Palatino Linotype" w:eastAsia="Calibri" w:hAnsi="Palatino Linotype" w:cs="Arial"/>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sz w:val="22"/>
          <w:szCs w:val="22"/>
          <w:lang w:val="es-ES"/>
        </w:rPr>
        <w:t xml:space="preserve">Por su parte, el </w:t>
      </w:r>
      <w:r w:rsidRPr="005342F4">
        <w:rPr>
          <w:rFonts w:ascii="Palatino Linotype" w:eastAsia="Calibri" w:hAnsi="Palatino Linotype" w:cs="Arial"/>
          <w:b/>
          <w:bCs/>
          <w:sz w:val="22"/>
          <w:szCs w:val="22"/>
          <w:lang w:val="es-ES"/>
        </w:rPr>
        <w:t>RECURRENTE</w:t>
      </w:r>
      <w:r w:rsidRPr="005342F4">
        <w:rPr>
          <w:rFonts w:ascii="Palatino Linotype" w:eastAsia="Calibri" w:hAnsi="Palatino Linotype" w:cs="Arial"/>
          <w:sz w:val="22"/>
          <w:szCs w:val="22"/>
          <w:lang w:val="es-ES"/>
        </w:rPr>
        <w:t xml:space="preserve"> no presentó pruebas o alegatos que convinieran a su derecho, según consta en el </w:t>
      </w:r>
      <w:r w:rsidRPr="005342F4">
        <w:rPr>
          <w:rFonts w:ascii="Palatino Linotype" w:eastAsia="Calibri" w:hAnsi="Palatino Linotype" w:cs="Arial"/>
          <w:b/>
          <w:bCs/>
          <w:sz w:val="22"/>
          <w:szCs w:val="22"/>
          <w:lang w:val="es-ES"/>
        </w:rPr>
        <w:t>SAIMEX.</w:t>
      </w:r>
    </w:p>
    <w:p w:rsidR="00874F8E" w:rsidRPr="005342F4"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5342F4">
        <w:rPr>
          <w:rFonts w:ascii="Palatino Linotype" w:hAnsi="Palatino Linotype"/>
          <w:sz w:val="22"/>
          <w:szCs w:val="22"/>
        </w:rPr>
        <w:t xml:space="preserve">El veinticinco de septiembre de dos mil veinticuatro, </w:t>
      </w:r>
      <w:r w:rsidRPr="005342F4">
        <w:rPr>
          <w:rFonts w:ascii="Palatino Linotype" w:hAnsi="Palatino Linotype" w:cs="Tahoma"/>
          <w:sz w:val="22"/>
          <w:szCs w:val="22"/>
        </w:rPr>
        <w:t>se notificó el acuerdo mediante el cual se amplió el plazo para emitir resolución por un término de 15 días adicionales.</w:t>
      </w:r>
    </w:p>
    <w:p w:rsidR="00874F8E" w:rsidRPr="005342F4"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5342F4">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874F8E" w:rsidRPr="005342F4" w:rsidRDefault="00874F8E" w:rsidP="00874F8E">
      <w:pPr>
        <w:pStyle w:val="Prrafodelista"/>
        <w:ind w:left="0"/>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74F8E" w:rsidRPr="005342F4" w:rsidRDefault="00874F8E" w:rsidP="00874F8E">
      <w:pPr>
        <w:pStyle w:val="Prrafodelista"/>
        <w:spacing w:before="240" w:after="240"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 xml:space="preserve">Así, en términos de lo que establecen los artículos 8.1 y 25 de la Convención Americana sobre Derechos Humanos, los recursos deben ser sencillos y resolverse en el </w:t>
      </w:r>
      <w:r w:rsidRPr="005342F4">
        <w:rPr>
          <w:rFonts w:ascii="Palatino Linotype" w:hAnsi="Palatino Linotype"/>
          <w:sz w:val="22"/>
          <w:szCs w:val="22"/>
        </w:rPr>
        <w:lastRenderedPageBreak/>
        <w:t>menor tiempo posible, tomando en consideración la dilación total del procedimiento; esto es, en un plazo razonable.</w:t>
      </w:r>
    </w:p>
    <w:p w:rsidR="00874F8E" w:rsidRPr="005342F4" w:rsidRDefault="00874F8E" w:rsidP="00874F8E">
      <w:pPr>
        <w:pStyle w:val="Prrafodelista"/>
        <w:ind w:left="0"/>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74F8E" w:rsidRPr="005342F4" w:rsidRDefault="00874F8E" w:rsidP="00874F8E">
      <w:pPr>
        <w:pStyle w:val="Prrafodelista"/>
        <w:spacing w:before="240" w:after="240"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874F8E" w:rsidRPr="005342F4" w:rsidRDefault="00874F8E" w:rsidP="00874F8E">
      <w:pPr>
        <w:pStyle w:val="Prrafodelista"/>
        <w:spacing w:before="240" w:after="240" w:line="360" w:lineRule="auto"/>
        <w:ind w:left="0"/>
        <w:jc w:val="both"/>
        <w:rPr>
          <w:rFonts w:ascii="Palatino Linotype" w:hAnsi="Palatino Linotype"/>
          <w:sz w:val="22"/>
          <w:szCs w:val="22"/>
        </w:rPr>
      </w:pPr>
    </w:p>
    <w:p w:rsidR="00874F8E" w:rsidRPr="005342F4" w:rsidRDefault="00874F8E" w:rsidP="00874F8E">
      <w:pPr>
        <w:pStyle w:val="Prrafodelista"/>
        <w:spacing w:before="240" w:after="240"/>
        <w:ind w:left="567" w:right="565"/>
        <w:jc w:val="both"/>
        <w:rPr>
          <w:rFonts w:ascii="Palatino Linotype" w:hAnsi="Palatino Linotype"/>
          <w:sz w:val="22"/>
          <w:szCs w:val="22"/>
        </w:rPr>
      </w:pPr>
      <w:r w:rsidRPr="005342F4">
        <w:rPr>
          <w:rFonts w:ascii="Palatino Linotype" w:hAnsi="Palatino Linotype"/>
          <w:sz w:val="22"/>
          <w:szCs w:val="22"/>
        </w:rPr>
        <w:t>a) Complejidad del asunto: La complejidad de la prueba, la pluralidad de sujetos procesales, el tiempo transcurrido, las características y contexto del recurso.</w:t>
      </w:r>
    </w:p>
    <w:p w:rsidR="00874F8E" w:rsidRPr="005342F4" w:rsidRDefault="00874F8E" w:rsidP="00874F8E">
      <w:pPr>
        <w:pStyle w:val="Prrafodelista"/>
        <w:spacing w:before="240" w:after="240"/>
        <w:ind w:left="567" w:right="565"/>
        <w:jc w:val="both"/>
        <w:rPr>
          <w:rFonts w:ascii="Palatino Linotype" w:hAnsi="Palatino Linotype"/>
          <w:sz w:val="22"/>
          <w:szCs w:val="22"/>
        </w:rPr>
      </w:pPr>
      <w:r w:rsidRPr="005342F4">
        <w:rPr>
          <w:rFonts w:ascii="Palatino Linotype" w:hAnsi="Palatino Linotype"/>
          <w:sz w:val="22"/>
          <w:szCs w:val="22"/>
        </w:rPr>
        <w:t>b) Actividad Procesal del interesado: Acciones u omisiones del interesado.</w:t>
      </w:r>
    </w:p>
    <w:p w:rsidR="00874F8E" w:rsidRPr="005342F4" w:rsidRDefault="00874F8E" w:rsidP="00874F8E">
      <w:pPr>
        <w:pStyle w:val="Prrafodelista"/>
        <w:spacing w:before="240" w:after="240"/>
        <w:ind w:left="567" w:right="565"/>
        <w:jc w:val="both"/>
        <w:rPr>
          <w:rFonts w:ascii="Palatino Linotype" w:hAnsi="Palatino Linotype"/>
          <w:sz w:val="22"/>
          <w:szCs w:val="22"/>
        </w:rPr>
      </w:pPr>
      <w:r w:rsidRPr="005342F4">
        <w:rPr>
          <w:rFonts w:ascii="Palatino Linotype" w:hAnsi="Palatino Linotype"/>
          <w:sz w:val="22"/>
          <w:szCs w:val="22"/>
        </w:rPr>
        <w:t>c) Conducta de la Autoridad: Las Acciones u omisiones realizadas en el procedimiento. Así como si la autoridad actuó con la debida diligencia.</w:t>
      </w:r>
    </w:p>
    <w:p w:rsidR="00874F8E" w:rsidRPr="005342F4" w:rsidRDefault="00874F8E" w:rsidP="00874F8E">
      <w:pPr>
        <w:pStyle w:val="Prrafodelista"/>
        <w:spacing w:before="240" w:after="240"/>
        <w:ind w:left="567" w:right="565"/>
        <w:jc w:val="both"/>
        <w:rPr>
          <w:rFonts w:ascii="Palatino Linotype" w:hAnsi="Palatino Linotype"/>
          <w:sz w:val="22"/>
          <w:szCs w:val="22"/>
        </w:rPr>
      </w:pPr>
      <w:r w:rsidRPr="005342F4">
        <w:rPr>
          <w:rFonts w:ascii="Palatino Linotype" w:hAnsi="Palatino Linotype"/>
          <w:sz w:val="22"/>
          <w:szCs w:val="22"/>
        </w:rPr>
        <w:t>d) La afectación generada en la situación jurídica de la persona involucrada en el proceso: Violación a sus derechos humanos.</w:t>
      </w:r>
    </w:p>
    <w:p w:rsidR="00874F8E" w:rsidRPr="005342F4" w:rsidRDefault="00874F8E" w:rsidP="00874F8E">
      <w:pPr>
        <w:pStyle w:val="Prrafodelista"/>
        <w:spacing w:before="240" w:after="240"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74F8E" w:rsidRPr="005342F4" w:rsidRDefault="00874F8E" w:rsidP="00874F8E">
      <w:pPr>
        <w:pStyle w:val="Prrafodelista"/>
        <w:spacing w:before="240" w:after="240"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lastRenderedPageBreak/>
        <w:t>Argumento que encuentra sustento en la jurisprudencia P</w:t>
      </w:r>
      <w:proofErr w:type="gramStart"/>
      <w:r w:rsidRPr="005342F4">
        <w:rPr>
          <w:rFonts w:ascii="Palatino Linotype" w:hAnsi="Palatino Linotype"/>
          <w:sz w:val="22"/>
          <w:szCs w:val="22"/>
        </w:rPr>
        <w:t>./</w:t>
      </w:r>
      <w:proofErr w:type="gramEnd"/>
      <w:r w:rsidRPr="005342F4">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874F8E" w:rsidRPr="005342F4" w:rsidRDefault="00874F8E" w:rsidP="00874F8E">
      <w:pPr>
        <w:pStyle w:val="Prrafodelista"/>
        <w:ind w:left="0"/>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74F8E" w:rsidRPr="005342F4" w:rsidRDefault="00874F8E" w:rsidP="00874F8E">
      <w:pPr>
        <w:pStyle w:val="Prrafodelista"/>
        <w:spacing w:before="240" w:after="240"/>
        <w:ind w:left="0"/>
        <w:jc w:val="both"/>
        <w:rPr>
          <w:rFonts w:ascii="Palatino Linotype" w:hAnsi="Palatino Linotype"/>
          <w:sz w:val="22"/>
          <w:szCs w:val="22"/>
        </w:rPr>
      </w:pPr>
    </w:p>
    <w:p w:rsidR="00874F8E" w:rsidRPr="005342F4" w:rsidRDefault="00874F8E" w:rsidP="00874F8E">
      <w:pPr>
        <w:pStyle w:val="Prrafodelista"/>
        <w:numPr>
          <w:ilvl w:val="0"/>
          <w:numId w:val="1"/>
        </w:numPr>
        <w:spacing w:before="240" w:after="240" w:line="360" w:lineRule="auto"/>
        <w:ind w:left="0" w:firstLine="0"/>
        <w:jc w:val="both"/>
        <w:rPr>
          <w:rFonts w:ascii="Palatino Linotype" w:hAnsi="Palatino Linotype"/>
          <w:sz w:val="22"/>
          <w:szCs w:val="22"/>
        </w:rPr>
      </w:pPr>
      <w:r w:rsidRPr="005342F4">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874F8E" w:rsidRPr="005342F4" w:rsidRDefault="00874F8E" w:rsidP="00874F8E">
      <w:pPr>
        <w:pStyle w:val="Prrafodelista"/>
        <w:ind w:left="0"/>
        <w:rPr>
          <w:rFonts w:ascii="Palatino Linotype" w:hAnsi="Palatino Linotype"/>
          <w:sz w:val="22"/>
          <w:szCs w:val="22"/>
        </w:rPr>
      </w:pPr>
    </w:p>
    <w:p w:rsidR="00874F8E" w:rsidRPr="005342F4" w:rsidRDefault="00874F8E" w:rsidP="00874F8E">
      <w:pPr>
        <w:pStyle w:val="Prrafodelista"/>
        <w:spacing w:before="240" w:after="240"/>
        <w:ind w:left="567" w:right="565"/>
        <w:jc w:val="both"/>
        <w:rPr>
          <w:rFonts w:ascii="Palatino Linotype" w:hAnsi="Palatino Linotype"/>
          <w:sz w:val="22"/>
          <w:szCs w:val="22"/>
        </w:rPr>
      </w:pPr>
      <w:r w:rsidRPr="005342F4">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rsidR="00874F8E" w:rsidRPr="005342F4" w:rsidRDefault="00874F8E" w:rsidP="00874F8E">
      <w:pPr>
        <w:pStyle w:val="Prrafodelista"/>
        <w:spacing w:before="240" w:after="240"/>
        <w:ind w:left="567" w:right="565"/>
        <w:jc w:val="both"/>
        <w:rPr>
          <w:rFonts w:ascii="Palatino Linotype" w:hAnsi="Palatino Linotype"/>
          <w:sz w:val="22"/>
          <w:szCs w:val="22"/>
        </w:rPr>
      </w:pPr>
      <w:r w:rsidRPr="005342F4">
        <w:rPr>
          <w:rFonts w:ascii="Palatino Linotype" w:hAnsi="Palatino Linotype"/>
          <w:sz w:val="22"/>
          <w:szCs w:val="22"/>
        </w:rPr>
        <w:t xml:space="preserve">“PLAZO RAZONABLE PARA RESOLVER. CONCEPTO Y ELEMENTOS QUE LO INTEGRAN A LA LUZ DEL DERECHO INTERNACIONAL DE LOS </w:t>
      </w:r>
      <w:r w:rsidRPr="005342F4">
        <w:rPr>
          <w:rFonts w:ascii="Palatino Linotype" w:hAnsi="Palatino Linotype"/>
          <w:sz w:val="22"/>
          <w:szCs w:val="22"/>
        </w:rPr>
        <w:lastRenderedPageBreak/>
        <w:t>DERECHOS HUMANOS.”, visible en el Seminario Judicial de la Federación y su gaceta, con el registro digital 2002350.</w:t>
      </w:r>
    </w:p>
    <w:p w:rsidR="00874F8E" w:rsidRPr="005342F4" w:rsidRDefault="00874F8E" w:rsidP="00874F8E">
      <w:pPr>
        <w:spacing w:before="240" w:after="240"/>
        <w:ind w:right="565"/>
        <w:jc w:val="both"/>
        <w:rPr>
          <w:rFonts w:ascii="Palatino Linotype" w:hAnsi="Palatino Linotype"/>
          <w:sz w:val="22"/>
          <w:szCs w:val="22"/>
        </w:rPr>
      </w:pPr>
    </w:p>
    <w:p w:rsidR="00874F8E" w:rsidRPr="005342F4" w:rsidRDefault="00874F8E" w:rsidP="00874F8E">
      <w:pPr>
        <w:pStyle w:val="Prrafodelista"/>
        <w:tabs>
          <w:tab w:val="left" w:pos="426"/>
          <w:tab w:val="left" w:pos="567"/>
        </w:tabs>
        <w:spacing w:line="360" w:lineRule="auto"/>
        <w:ind w:left="0"/>
        <w:jc w:val="both"/>
        <w:rPr>
          <w:rFonts w:ascii="Palatino Linotype" w:hAnsi="Palatino Linotype"/>
          <w:sz w:val="22"/>
          <w:szCs w:val="22"/>
        </w:rPr>
      </w:pPr>
      <w:r w:rsidRPr="005342F4">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rsidR="00874F8E" w:rsidRPr="005342F4"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5342F4">
        <w:rPr>
          <w:rFonts w:ascii="Palatino Linotype" w:hAnsi="Palatino Linotype"/>
          <w:sz w:val="22"/>
          <w:szCs w:val="22"/>
        </w:rPr>
        <w:t>La Comisionada Ponente decretó el cierre de instrucción mediante acuerdo del cuatro de diciembre de dos mil veinticuatro; por lo que se ordenó turnar el expediente a resolución, misma que ahora se pronuncia; y ---------------------------------------------------------------------------</w:t>
      </w:r>
    </w:p>
    <w:p w:rsidR="00874F8E" w:rsidRPr="005342F4"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5342F4" w:rsidRDefault="00874F8E" w:rsidP="00874F8E">
      <w:pPr>
        <w:pStyle w:val="Ttulo2"/>
        <w:jc w:val="center"/>
        <w:rPr>
          <w:rFonts w:ascii="Palatino Linotype" w:hAnsi="Palatino Linotype"/>
          <w:b/>
          <w:color w:val="000000" w:themeColor="text1"/>
          <w:sz w:val="22"/>
          <w:szCs w:val="22"/>
        </w:rPr>
      </w:pPr>
      <w:bookmarkStart w:id="18" w:name="_Toc88748490"/>
      <w:r w:rsidRPr="005342F4">
        <w:rPr>
          <w:rFonts w:ascii="Palatino Linotype" w:hAnsi="Palatino Linotype"/>
          <w:b/>
          <w:color w:val="000000" w:themeColor="text1"/>
          <w:sz w:val="22"/>
          <w:szCs w:val="22"/>
        </w:rPr>
        <w:t>CONSIDERANDO</w:t>
      </w:r>
      <w:bookmarkEnd w:id="18"/>
    </w:p>
    <w:p w:rsidR="00874F8E" w:rsidRPr="005342F4" w:rsidRDefault="00874F8E" w:rsidP="00874F8E">
      <w:pPr>
        <w:rPr>
          <w:rFonts w:ascii="Palatino Linotype" w:hAnsi="Palatino Linotype"/>
          <w:sz w:val="22"/>
          <w:szCs w:val="22"/>
          <w:lang w:eastAsia="en-US"/>
        </w:rPr>
      </w:pPr>
    </w:p>
    <w:p w:rsidR="00874F8E" w:rsidRPr="005342F4" w:rsidRDefault="00874F8E" w:rsidP="00874F8E">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5342F4">
        <w:rPr>
          <w:rFonts w:ascii="Palatino Linotype" w:hAnsi="Palatino Linotype"/>
          <w:b/>
          <w:color w:val="auto"/>
          <w:sz w:val="22"/>
          <w:szCs w:val="22"/>
        </w:rPr>
        <w:t>PRIMERO. De la competencia</w:t>
      </w:r>
      <w:bookmarkEnd w:id="19"/>
      <w:bookmarkEnd w:id="20"/>
      <w:bookmarkEnd w:id="21"/>
      <w:bookmarkEnd w:id="22"/>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Times New Roman"/>
          <w:sz w:val="22"/>
          <w:szCs w:val="22"/>
        </w:rPr>
        <w:t xml:space="preserve">Este </w:t>
      </w:r>
      <w:r w:rsidRPr="005342F4">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5342F4">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sidRPr="005342F4">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5342F4">
        <w:rPr>
          <w:rFonts w:ascii="Palatino Linotype" w:hAnsi="Palatino Linotype"/>
          <w:b/>
          <w:color w:val="auto"/>
          <w:sz w:val="22"/>
          <w:szCs w:val="22"/>
        </w:rPr>
        <w:t>SEGUNDO. De la oportunidad y procedencia.</w:t>
      </w:r>
      <w:bookmarkEnd w:id="23"/>
      <w:bookmarkEnd w:id="24"/>
      <w:bookmarkEnd w:id="25"/>
      <w:bookmarkEnd w:id="26"/>
    </w:p>
    <w:p w:rsidR="00874F8E" w:rsidRPr="005342F4" w:rsidRDefault="00874F8E" w:rsidP="00874F8E">
      <w:pPr>
        <w:rPr>
          <w:rFonts w:ascii="Palatino Linotype" w:hAnsi="Palatino Linotype"/>
          <w:sz w:val="22"/>
          <w:szCs w:val="22"/>
          <w:lang w:val="es-ES_tradnl" w:eastAsia="en-U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5342F4">
        <w:rPr>
          <w:rFonts w:ascii="Palatino Linotype" w:eastAsia="Calibri" w:hAnsi="Palatino Linotype" w:cs="Arial"/>
          <w:color w:val="000000" w:themeColor="text1"/>
          <w:sz w:val="22"/>
          <w:szCs w:val="22"/>
          <w:lang w:val="es-ES"/>
        </w:rPr>
        <w:t xml:space="preserve"> </w:t>
      </w:r>
      <w:r w:rsidRPr="005342F4">
        <w:rPr>
          <w:rFonts w:ascii="Palatino Linotype" w:eastAsia="Calibri" w:hAnsi="Palatino Linotype" w:cs="Arial"/>
          <w:color w:val="000000" w:themeColor="text1"/>
          <w:sz w:val="22"/>
          <w:szCs w:val="22"/>
        </w:rPr>
        <w:t xml:space="preserve">El medio de impugnación fue presentado a través del </w:t>
      </w:r>
      <w:r w:rsidRPr="005342F4">
        <w:rPr>
          <w:rFonts w:ascii="Palatino Linotype" w:eastAsia="Calibri" w:hAnsi="Palatino Linotype" w:cs="Arial"/>
          <w:b/>
          <w:bCs/>
          <w:iCs/>
          <w:color w:val="000000" w:themeColor="text1"/>
          <w:sz w:val="22"/>
          <w:szCs w:val="22"/>
        </w:rPr>
        <w:t>SAIMEX</w:t>
      </w:r>
      <w:r w:rsidRPr="005342F4">
        <w:rPr>
          <w:rFonts w:ascii="Palatino Linotype" w:eastAsia="Calibri" w:hAnsi="Palatino Linotype" w:cs="Arial"/>
          <w:b/>
          <w:color w:val="000000" w:themeColor="text1"/>
          <w:sz w:val="22"/>
          <w:szCs w:val="22"/>
        </w:rPr>
        <w:t xml:space="preserve"> </w:t>
      </w:r>
      <w:r w:rsidRPr="005342F4">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5342F4">
        <w:rPr>
          <w:rFonts w:ascii="Palatino Linotype" w:eastAsia="Calibri" w:hAnsi="Palatino Linotype" w:cs="Arial"/>
          <w:b/>
          <w:color w:val="000000" w:themeColor="text1"/>
          <w:sz w:val="22"/>
          <w:szCs w:val="22"/>
        </w:rPr>
        <w:t>SUJETO OBLIGADO</w:t>
      </w:r>
      <w:r w:rsidRPr="005342F4">
        <w:rPr>
          <w:rFonts w:ascii="Palatino Linotype" w:eastAsia="Calibri" w:hAnsi="Palatino Linotype" w:cs="Arial"/>
          <w:color w:val="000000" w:themeColor="text1"/>
          <w:sz w:val="22"/>
          <w:szCs w:val="22"/>
        </w:rPr>
        <w:t xml:space="preserve"> entregó respuesta el ocho de julio de dos mil veinticuatro, de tal forma que el plazo para interponer el recurso de revisión transcurrió del nueve de julio al doce de agosto de dos mil veinticuatro, en consecuencia, </w:t>
      </w:r>
      <w:r w:rsidRPr="005342F4">
        <w:rPr>
          <w:rFonts w:ascii="Palatino Linotype" w:hAnsi="Palatino Linotype" w:cs="Arial"/>
          <w:bCs/>
          <w:color w:val="000000" w:themeColor="text1"/>
          <w:sz w:val="22"/>
          <w:szCs w:val="22"/>
        </w:rPr>
        <w:t xml:space="preserve">si la parte </w:t>
      </w:r>
      <w:r w:rsidRPr="005342F4">
        <w:rPr>
          <w:rFonts w:ascii="Palatino Linotype" w:hAnsi="Palatino Linotype" w:cs="Arial"/>
          <w:b/>
          <w:color w:val="000000" w:themeColor="text1"/>
          <w:sz w:val="22"/>
          <w:szCs w:val="22"/>
        </w:rPr>
        <w:t xml:space="preserve">RECURRENTE </w:t>
      </w:r>
      <w:r w:rsidRPr="005342F4">
        <w:rPr>
          <w:rFonts w:ascii="Palatino Linotype" w:hAnsi="Palatino Linotype" w:cs="Arial"/>
          <w:bCs/>
          <w:color w:val="000000" w:themeColor="text1"/>
          <w:sz w:val="22"/>
          <w:szCs w:val="22"/>
        </w:rPr>
        <w:t>presentó su inconformidad el trece de julio de dos mil veinticuatro, se encuentra dentro de los márgenes temporales previstos en el artículo 178 de la Ley de Transparencia y Acceso a la Información Pública del Estado de México y Municipios.</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5342F4">
        <w:rPr>
          <w:rFonts w:ascii="Palatino Linotype" w:hAnsi="Palatino Linotype"/>
          <w:b/>
          <w:color w:val="auto"/>
          <w:sz w:val="22"/>
          <w:szCs w:val="22"/>
        </w:rPr>
        <w:t xml:space="preserve">TERCERO. </w:t>
      </w:r>
      <w:bookmarkEnd w:id="30"/>
      <w:bookmarkEnd w:id="31"/>
      <w:r w:rsidRPr="005342F4">
        <w:rPr>
          <w:rFonts w:ascii="Palatino Linotype" w:hAnsi="Palatino Linotype"/>
          <w:b/>
          <w:color w:val="auto"/>
          <w:sz w:val="22"/>
          <w:szCs w:val="22"/>
        </w:rPr>
        <w:t xml:space="preserve">Del planteamiento de la </w:t>
      </w:r>
      <w:r w:rsidRPr="005342F4">
        <w:rPr>
          <w:rFonts w:ascii="Palatino Linotype" w:hAnsi="Palatino Linotype"/>
          <w:b/>
          <w:i/>
          <w:iCs/>
          <w:color w:val="auto"/>
          <w:sz w:val="22"/>
          <w:szCs w:val="22"/>
        </w:rPr>
        <w:t>Litis.</w:t>
      </w:r>
    </w:p>
    <w:p w:rsidR="00874F8E" w:rsidRPr="005342F4" w:rsidRDefault="00874F8E" w:rsidP="00874F8E">
      <w:pPr>
        <w:spacing w:line="360" w:lineRule="auto"/>
        <w:rPr>
          <w:rFonts w:ascii="Palatino Linotype" w:hAnsi="Palatino Linotype"/>
          <w:sz w:val="22"/>
          <w:szCs w:val="22"/>
          <w:lang w:val="es-ES_tradnl" w:eastAsia="en-US"/>
        </w:rPr>
      </w:pPr>
    </w:p>
    <w:p w:rsidR="00874F8E" w:rsidRPr="005342F4" w:rsidRDefault="00874F8E" w:rsidP="00874F8E">
      <w:pPr>
        <w:pStyle w:val="Prrafodelista"/>
        <w:numPr>
          <w:ilvl w:val="0"/>
          <w:numId w:val="1"/>
        </w:numPr>
        <w:tabs>
          <w:tab w:val="left" w:pos="426"/>
          <w:tab w:val="left" w:pos="567"/>
        </w:tabs>
        <w:spacing w:line="360" w:lineRule="auto"/>
        <w:ind w:left="0" w:right="565" w:firstLine="0"/>
        <w:jc w:val="both"/>
        <w:rPr>
          <w:rFonts w:ascii="Palatino Linotype" w:eastAsia="Calibri" w:hAnsi="Palatino Linotype" w:cs="Arial"/>
          <w:b/>
          <w:color w:val="000000" w:themeColor="text1"/>
          <w:sz w:val="22"/>
          <w:szCs w:val="22"/>
          <w:lang w:val="es-ES"/>
        </w:rPr>
      </w:pPr>
      <w:bookmarkStart w:id="33" w:name="_Toc529263621"/>
      <w:bookmarkStart w:id="34" w:name="_Toc530650937"/>
      <w:bookmarkStart w:id="35" w:name="_Toc535334654"/>
      <w:bookmarkStart w:id="36" w:name="_Toc2248735"/>
      <w:bookmarkEnd w:id="32"/>
      <w:r w:rsidRPr="005342F4">
        <w:rPr>
          <w:rFonts w:ascii="Palatino Linotype" w:eastAsia="Calibri" w:hAnsi="Palatino Linotype" w:cs="Arial"/>
          <w:color w:val="000000" w:themeColor="text1"/>
          <w:sz w:val="22"/>
          <w:szCs w:val="22"/>
        </w:rPr>
        <w:t>El</w:t>
      </w:r>
      <w:r w:rsidRPr="005342F4">
        <w:rPr>
          <w:rFonts w:ascii="Palatino Linotype" w:eastAsia="Calibri" w:hAnsi="Palatino Linotype" w:cs="Arial"/>
          <w:color w:val="000000" w:themeColor="text1"/>
          <w:sz w:val="22"/>
          <w:szCs w:val="22"/>
          <w:lang w:val="es-ES"/>
        </w:rPr>
        <w:t xml:space="preserve"> </w:t>
      </w:r>
      <w:r w:rsidRPr="005342F4">
        <w:rPr>
          <w:rFonts w:ascii="Palatino Linotype" w:eastAsia="Calibri" w:hAnsi="Palatino Linotype" w:cs="Arial"/>
          <w:b/>
          <w:color w:val="000000" w:themeColor="text1"/>
          <w:sz w:val="22"/>
          <w:szCs w:val="22"/>
          <w:lang w:val="es-ES"/>
        </w:rPr>
        <w:t>RECURRENTE</w:t>
      </w:r>
      <w:r w:rsidRPr="005342F4">
        <w:rPr>
          <w:rFonts w:ascii="Palatino Linotype" w:eastAsia="Calibri" w:hAnsi="Palatino Linotype" w:cs="Arial"/>
          <w:color w:val="000000" w:themeColor="text1"/>
          <w:sz w:val="22"/>
          <w:szCs w:val="22"/>
          <w:lang w:val="es-ES"/>
        </w:rPr>
        <w:t xml:space="preserve"> solicitó el padrón de afiliados en el Municipio de Nicolás Romero.</w:t>
      </w:r>
    </w:p>
    <w:p w:rsidR="00874F8E" w:rsidRPr="005342F4" w:rsidRDefault="00874F8E" w:rsidP="00874F8E">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En respuesta, el </w:t>
      </w:r>
      <w:r w:rsidRPr="005342F4">
        <w:rPr>
          <w:rFonts w:ascii="Palatino Linotype" w:eastAsia="Calibri" w:hAnsi="Palatino Linotype" w:cs="Arial"/>
          <w:b/>
          <w:color w:val="000000" w:themeColor="text1"/>
          <w:sz w:val="22"/>
          <w:szCs w:val="22"/>
          <w:lang w:val="es-ES"/>
        </w:rPr>
        <w:t>SUJETO OBLIGADO</w:t>
      </w:r>
      <w:r w:rsidRPr="005342F4">
        <w:rPr>
          <w:rFonts w:ascii="Palatino Linotype" w:eastAsia="Calibri" w:hAnsi="Palatino Linotype" w:cs="Arial"/>
          <w:color w:val="000000" w:themeColor="text1"/>
          <w:sz w:val="22"/>
          <w:szCs w:val="22"/>
          <w:lang w:val="es-ES"/>
        </w:rPr>
        <w:t xml:space="preserve"> informó que el </w:t>
      </w:r>
      <w:r w:rsidRPr="005342F4">
        <w:rPr>
          <w:rFonts w:ascii="Palatino Linotype" w:hAnsi="Palatino Linotype"/>
          <w:color w:val="000000" w:themeColor="text1"/>
          <w:sz w:val="22"/>
          <w:szCs w:val="22"/>
        </w:rPr>
        <w:t xml:space="preserve">Padrón </w:t>
      </w:r>
      <w:r w:rsidRPr="005342F4">
        <w:rPr>
          <w:rFonts w:ascii="Palatino Linotype" w:hAnsi="Palatino Linotype"/>
          <w:sz w:val="22"/>
          <w:szCs w:val="22"/>
        </w:rPr>
        <w:t xml:space="preserve">se encuentra a cargo de la Presidencia, Secretaría General, Secretaría de Organización y la Presidencia del Instituto Nacional de Formación Política, con el acompañamiento de la Presidencia de la Comisión Nacional de Honestidad y Justicia; asimismo, refirió que podía ser consultado por medio del link </w:t>
      </w:r>
      <w:hyperlink r:id="rId9" w:history="1">
        <w:r w:rsidRPr="005342F4">
          <w:rPr>
            <w:rStyle w:val="Hipervnculo"/>
            <w:rFonts w:ascii="Palatino Linotype" w:hAnsi="Palatino Linotype"/>
            <w:b/>
            <w:bCs/>
            <w:sz w:val="22"/>
            <w:szCs w:val="22"/>
          </w:rPr>
          <w:t>https://ine.mx/actores-politicos/partidos-politicos-nacionales/padron-afiliados/</w:t>
        </w:r>
      </w:hyperlink>
      <w:r w:rsidRPr="005342F4">
        <w:rPr>
          <w:rFonts w:ascii="Palatino Linotype" w:hAnsi="Palatino Linotype"/>
          <w:b/>
          <w:bCs/>
          <w:color w:val="000000" w:themeColor="text1"/>
          <w:sz w:val="22"/>
          <w:szCs w:val="22"/>
        </w:rPr>
        <w:t xml:space="preserve">, </w:t>
      </w:r>
      <w:r w:rsidRPr="005342F4">
        <w:rPr>
          <w:rFonts w:ascii="Palatino Linotype" w:hAnsi="Palatino Linotype"/>
          <w:color w:val="000000" w:themeColor="text1"/>
          <w:sz w:val="22"/>
          <w:szCs w:val="22"/>
        </w:rPr>
        <w:t xml:space="preserve">al seleccionar la opción </w:t>
      </w:r>
      <w:r w:rsidRPr="005342F4">
        <w:rPr>
          <w:rFonts w:ascii="Palatino Linotype" w:hAnsi="Palatino Linotype"/>
          <w:i/>
          <w:iCs/>
          <w:color w:val="000000" w:themeColor="text1"/>
          <w:sz w:val="22"/>
          <w:szCs w:val="22"/>
        </w:rPr>
        <w:t>“Descargar”</w:t>
      </w:r>
      <w:r w:rsidRPr="005342F4">
        <w:rPr>
          <w:rFonts w:ascii="Palatino Linotype" w:hAnsi="Palatino Linotype"/>
          <w:color w:val="000000" w:themeColor="text1"/>
          <w:sz w:val="22"/>
          <w:szCs w:val="22"/>
        </w:rPr>
        <w:t xml:space="preserve"> del partido político de interés, e insertó una captura de pantalla de manera ilustrativa. Finalmente, informó que el padrón de sus militantes, contiene exclusivamente el apellido paterno, materno, nombre o nombres, fecha de afiliación y entidad de residencia.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No obstante, el </w:t>
      </w:r>
      <w:r w:rsidRPr="005342F4">
        <w:rPr>
          <w:rFonts w:ascii="Palatino Linotype" w:hAnsi="Palatino Linotype" w:cs="Arial"/>
          <w:b/>
          <w:color w:val="000000" w:themeColor="text1"/>
          <w:sz w:val="22"/>
          <w:szCs w:val="22"/>
        </w:rPr>
        <w:t>RECURRENTE</w:t>
      </w:r>
      <w:r w:rsidRPr="005342F4">
        <w:rPr>
          <w:rFonts w:ascii="Palatino Linotype" w:hAnsi="Palatino Linotype" w:cs="Arial"/>
          <w:color w:val="000000" w:themeColor="text1"/>
          <w:sz w:val="22"/>
          <w:szCs w:val="22"/>
        </w:rPr>
        <w:t xml:space="preserve"> impugnó la respuesta mediante recurso de revisión, en el que refirió como razones o motivos de inconformidad, </w:t>
      </w:r>
      <w:r w:rsidRPr="005342F4">
        <w:rPr>
          <w:rFonts w:ascii="Palatino Linotype" w:hAnsi="Palatino Linotype" w:cs="Arial"/>
          <w:b/>
          <w:color w:val="000000" w:themeColor="text1"/>
          <w:sz w:val="22"/>
          <w:szCs w:val="22"/>
        </w:rPr>
        <w:t>la negativa de la información solicitada.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En </w:t>
      </w:r>
      <w:r w:rsidRPr="005342F4">
        <w:rPr>
          <w:rFonts w:ascii="Palatino Linotype" w:hAnsi="Palatino Linotype" w:cs="Arial"/>
          <w:sz w:val="22"/>
          <w:szCs w:val="22"/>
        </w:rPr>
        <w:t xml:space="preserve">dichas condiciones, la </w:t>
      </w:r>
      <w:r w:rsidRPr="005342F4">
        <w:rPr>
          <w:rFonts w:ascii="Palatino Linotype" w:hAnsi="Palatino Linotype" w:cs="Arial"/>
          <w:i/>
          <w:sz w:val="22"/>
          <w:szCs w:val="22"/>
        </w:rPr>
        <w:t>Litis</w:t>
      </w:r>
      <w:r w:rsidRPr="005342F4">
        <w:rPr>
          <w:rFonts w:ascii="Palatino Linotype" w:hAnsi="Palatino Linotype" w:cs="Arial"/>
          <w:sz w:val="22"/>
          <w:szCs w:val="22"/>
        </w:rPr>
        <w:t xml:space="preserve"> a resolver en el presente recurso de revisión se circunscribe a determinar si </w:t>
      </w:r>
      <w:r w:rsidRPr="005342F4">
        <w:rPr>
          <w:rFonts w:ascii="Palatino Linotype" w:eastAsia="MS Mincho" w:hAnsi="Palatino Linotype" w:cs="Arial"/>
          <w:sz w:val="22"/>
          <w:szCs w:val="22"/>
        </w:rPr>
        <w:t>se actualizan la causal de procedencia prevista en el artículo 179, fracción</w:t>
      </w:r>
      <w:r w:rsidRPr="005342F4">
        <w:rPr>
          <w:rFonts w:ascii="Palatino Linotype" w:eastAsia="MS Mincho" w:hAnsi="Palatino Linotype" w:cs="Arial"/>
          <w:b/>
          <w:bCs/>
          <w:sz w:val="22"/>
          <w:szCs w:val="22"/>
        </w:rPr>
        <w:t xml:space="preserve"> </w:t>
      </w:r>
      <w:r w:rsidRPr="005342F4">
        <w:rPr>
          <w:rFonts w:ascii="Palatino Linotype" w:eastAsia="MS Mincho" w:hAnsi="Palatino Linotype" w:cs="Arial"/>
          <w:sz w:val="22"/>
          <w:szCs w:val="22"/>
        </w:rPr>
        <w:t xml:space="preserve">I de la </w:t>
      </w:r>
      <w:r w:rsidRPr="005342F4">
        <w:rPr>
          <w:rFonts w:ascii="Palatino Linotype" w:eastAsia="MS Mincho" w:hAnsi="Palatino Linotype" w:cs="Arial"/>
          <w:b/>
          <w:sz w:val="22"/>
          <w:szCs w:val="22"/>
        </w:rPr>
        <w:t>Ley de Transparencia y Acceso a la Información Pública del Estado de México y Municipios</w:t>
      </w:r>
      <w:r w:rsidRPr="005342F4">
        <w:rPr>
          <w:rFonts w:ascii="Palatino Linotype" w:eastAsia="MS Mincho" w:hAnsi="Palatino Linotype" w:cs="Arial"/>
          <w:sz w:val="22"/>
          <w:szCs w:val="22"/>
        </w:rPr>
        <w:t xml:space="preserve">; </w:t>
      </w:r>
      <w:r w:rsidRPr="005342F4">
        <w:rPr>
          <w:rFonts w:ascii="Palatino Linotype" w:hAnsi="Palatino Linotype" w:cs="Arial"/>
          <w:color w:val="000000" w:themeColor="text1"/>
          <w:sz w:val="22"/>
          <w:szCs w:val="22"/>
        </w:rPr>
        <w:t>fracción que determinan la hipótesis jurídica relativa a la negativa de la información solicitada.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Ttulo2"/>
        <w:tabs>
          <w:tab w:val="left" w:pos="0"/>
        </w:tabs>
        <w:spacing w:before="0" w:line="360" w:lineRule="auto"/>
        <w:rPr>
          <w:rFonts w:ascii="Palatino Linotype" w:hAnsi="Palatino Linotype"/>
          <w:b/>
          <w:color w:val="auto"/>
          <w:sz w:val="22"/>
          <w:szCs w:val="22"/>
        </w:rPr>
      </w:pPr>
      <w:r w:rsidRPr="005342F4">
        <w:rPr>
          <w:rFonts w:ascii="Palatino Linotype" w:hAnsi="Palatino Linotype"/>
          <w:b/>
          <w:color w:val="auto"/>
          <w:sz w:val="22"/>
          <w:szCs w:val="22"/>
        </w:rPr>
        <w:t>CUARTO. Del estudio y resolución del asunto.</w:t>
      </w:r>
    </w:p>
    <w:p w:rsidR="00874F8E" w:rsidRPr="005342F4" w:rsidRDefault="00874F8E" w:rsidP="00874F8E">
      <w:pPr>
        <w:rPr>
          <w:rFonts w:ascii="Palatino Linotype" w:hAnsi="Palatino Linotype"/>
          <w:sz w:val="22"/>
          <w:szCs w:val="22"/>
          <w:lang w:val="es-ES_tradnl" w:eastAsia="en-U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lastRenderedPageBreak/>
        <w:t xml:space="preserve">El </w:t>
      </w:r>
      <w:r w:rsidRPr="005342F4">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5342F4">
        <w:rPr>
          <w:rFonts w:ascii="Palatino Linotype" w:eastAsia="MS Mincho" w:hAnsi="Palatino Linotype" w:cs="Arial"/>
          <w:sz w:val="22"/>
          <w:szCs w:val="22"/>
        </w:rPr>
        <w:t>Particular</w:t>
      </w:r>
      <w:r w:rsidRPr="005342F4">
        <w:rPr>
          <w:rFonts w:ascii="Palatino Linotype" w:hAnsi="Palatino Linotype" w:cs="Arial"/>
          <w:color w:val="000000"/>
          <w:sz w:val="22"/>
          <w:szCs w:val="22"/>
          <w:lang w:eastAsia="es-MX"/>
        </w:rPr>
        <w:t xml:space="preserve"> del Estado de México</w:t>
      </w:r>
      <w:r w:rsidRPr="005342F4">
        <w:rPr>
          <w:rFonts w:ascii="Palatino Linotype" w:hAnsi="Palatino Linotype" w:cs="Arial"/>
          <w:color w:val="000000"/>
          <w:sz w:val="22"/>
          <w:szCs w:val="22"/>
        </w:rPr>
        <w:t>.</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Definiendo </w:t>
      </w:r>
      <w:r w:rsidRPr="005342F4">
        <w:rPr>
          <w:rFonts w:ascii="Palatino Linotype" w:hAnsi="Palatino Linotype"/>
          <w:sz w:val="22"/>
          <w:szCs w:val="22"/>
        </w:rPr>
        <w:t xml:space="preserve">el Derecho de Acceso a la Información Pública como: </w:t>
      </w:r>
      <w:r w:rsidRPr="005342F4">
        <w:rPr>
          <w:rFonts w:ascii="Palatino Linotype" w:hAnsi="Palatino Linotype"/>
          <w:i/>
          <w:color w:val="000000"/>
          <w:sz w:val="22"/>
          <w:szCs w:val="22"/>
        </w:rPr>
        <w:t xml:space="preserve">La igualdad de </w:t>
      </w:r>
      <w:r w:rsidRPr="005342F4">
        <w:rPr>
          <w:rFonts w:ascii="Palatino Linotype" w:hAnsi="Palatino Linotype"/>
          <w:sz w:val="22"/>
          <w:szCs w:val="22"/>
        </w:rPr>
        <w:t>oportunidades</w:t>
      </w:r>
      <w:r w:rsidRPr="005342F4">
        <w:rPr>
          <w:rFonts w:ascii="Palatino Linotype" w:hAnsi="Palatino Linotype"/>
          <w:i/>
          <w:color w:val="000000"/>
          <w:sz w:val="22"/>
          <w:szCs w:val="22"/>
        </w:rPr>
        <w:t xml:space="preserve"> para recibir, buscar e impartir información</w:t>
      </w:r>
      <w:r w:rsidRPr="005342F4">
        <w:rPr>
          <w:rFonts w:ascii="Palatino Linotype" w:hAnsi="Palatino Linotype"/>
          <w:i/>
          <w:color w:val="000000"/>
          <w:sz w:val="22"/>
          <w:szCs w:val="22"/>
          <w:vertAlign w:val="superscript"/>
        </w:rPr>
        <w:footnoteReference w:id="1"/>
      </w:r>
      <w:r w:rsidRPr="005342F4">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342F4">
        <w:rPr>
          <w:rFonts w:ascii="Palatino Linotype" w:hAnsi="Palatino Linotype"/>
          <w:i/>
          <w:color w:val="000000"/>
          <w:sz w:val="22"/>
          <w:szCs w:val="22"/>
          <w:vertAlign w:val="superscript"/>
        </w:rPr>
        <w:footnoteReference w:id="2"/>
      </w:r>
      <w:r w:rsidRPr="005342F4">
        <w:rPr>
          <w:rFonts w:ascii="Palatino Linotype" w:hAnsi="Palatino Linotype"/>
          <w:color w:val="000000"/>
          <w:sz w:val="22"/>
          <w:szCs w:val="22"/>
        </w:rPr>
        <w:t>que se constituye como una herramienta fundamental para ejercer</w:t>
      </w:r>
      <w:r w:rsidRPr="005342F4">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5342F4">
        <w:rPr>
          <w:rFonts w:ascii="Palatino Linotype" w:hAnsi="Palatino Linotype"/>
          <w:i/>
          <w:color w:val="000000"/>
          <w:sz w:val="22"/>
          <w:szCs w:val="22"/>
          <w:vertAlign w:val="superscript"/>
        </w:rPr>
        <w:footnoteReference w:id="3"/>
      </w:r>
      <w:r w:rsidRPr="005342F4">
        <w:rPr>
          <w:rFonts w:ascii="Palatino Linotype" w:hAnsi="Palatino Linotype"/>
          <w:color w:val="000000"/>
          <w:sz w:val="22"/>
          <w:szCs w:val="22"/>
        </w:rPr>
        <w:t>fomentando</w:t>
      </w:r>
      <w:r w:rsidRPr="005342F4">
        <w:rPr>
          <w:rFonts w:ascii="Palatino Linotype" w:hAnsi="Palatino Linotype"/>
          <w:i/>
          <w:color w:val="000000"/>
          <w:sz w:val="22"/>
          <w:szCs w:val="22"/>
        </w:rPr>
        <w:t xml:space="preserve"> la transparencia de las actividades estatales y </w:t>
      </w:r>
      <w:r w:rsidRPr="005342F4">
        <w:rPr>
          <w:rFonts w:ascii="Palatino Linotype" w:hAnsi="Palatino Linotype"/>
          <w:color w:val="000000"/>
          <w:sz w:val="22"/>
          <w:szCs w:val="22"/>
        </w:rPr>
        <w:t>promoviendo</w:t>
      </w:r>
      <w:r w:rsidRPr="005342F4">
        <w:rPr>
          <w:rFonts w:ascii="Palatino Linotype" w:hAnsi="Palatino Linotype"/>
          <w:i/>
          <w:color w:val="000000"/>
          <w:sz w:val="22"/>
          <w:szCs w:val="22"/>
        </w:rPr>
        <w:t xml:space="preserve"> la responsabilidad de los funcionarios sobre su gestión pública,</w:t>
      </w:r>
      <w:r w:rsidRPr="005342F4">
        <w:rPr>
          <w:rFonts w:ascii="Palatino Linotype" w:hAnsi="Palatino Linotype"/>
          <w:i/>
          <w:color w:val="000000"/>
          <w:sz w:val="22"/>
          <w:szCs w:val="22"/>
          <w:vertAlign w:val="superscript"/>
        </w:rPr>
        <w:footnoteReference w:id="4"/>
      </w:r>
      <w:r w:rsidRPr="005342F4">
        <w:rPr>
          <w:rFonts w:ascii="Palatino Linotype" w:hAnsi="Palatino Linotype"/>
          <w:color w:val="000000"/>
          <w:sz w:val="22"/>
          <w:szCs w:val="22"/>
        </w:rPr>
        <w:t>que permite</w:t>
      </w:r>
      <w:r w:rsidRPr="005342F4">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lastRenderedPageBreak/>
        <w:t xml:space="preserve">En </w:t>
      </w:r>
      <w:r w:rsidRPr="005342F4">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874F8E" w:rsidRPr="005342F4" w:rsidRDefault="00874F8E" w:rsidP="00874F8E">
      <w:pPr>
        <w:ind w:right="565"/>
        <w:rPr>
          <w:rFonts w:ascii="Palatino Linotype" w:eastAsia="Calibri" w:hAnsi="Palatino Linotype" w:cs="Arial"/>
          <w:color w:val="000000" w:themeColor="text1"/>
          <w:sz w:val="22"/>
          <w:szCs w:val="22"/>
          <w:lang w:val="es-ES"/>
        </w:rPr>
      </w:pPr>
    </w:p>
    <w:p w:rsidR="00874F8E" w:rsidRPr="005342F4" w:rsidRDefault="00874F8E" w:rsidP="00874F8E">
      <w:pPr>
        <w:ind w:left="567" w:right="565"/>
        <w:contextualSpacing/>
        <w:jc w:val="both"/>
        <w:rPr>
          <w:rFonts w:ascii="Palatino Linotype" w:hAnsi="Palatino Linotype"/>
          <w:i/>
          <w:sz w:val="22"/>
          <w:szCs w:val="22"/>
        </w:rPr>
      </w:pPr>
      <w:r w:rsidRPr="005342F4">
        <w:rPr>
          <w:rFonts w:ascii="Palatino Linotype" w:hAnsi="Palatino Linotype"/>
          <w:i/>
          <w:sz w:val="22"/>
          <w:szCs w:val="22"/>
        </w:rPr>
        <w:t>“</w:t>
      </w:r>
      <w:r w:rsidRPr="005342F4">
        <w:rPr>
          <w:rFonts w:ascii="Palatino Linotype" w:hAnsi="Palatino Linotype"/>
          <w:b/>
          <w:i/>
          <w:sz w:val="22"/>
          <w:szCs w:val="22"/>
        </w:rPr>
        <w:t>Artículo 1.-</w:t>
      </w:r>
      <w:r w:rsidRPr="005342F4">
        <w:rPr>
          <w:rFonts w:ascii="Palatino Linotype" w:hAnsi="Palatino Linotype"/>
          <w:i/>
          <w:sz w:val="22"/>
          <w:szCs w:val="22"/>
        </w:rPr>
        <w:t xml:space="preserve"> </w:t>
      </w:r>
    </w:p>
    <w:p w:rsidR="00874F8E" w:rsidRPr="005342F4" w:rsidRDefault="00874F8E" w:rsidP="00874F8E">
      <w:pPr>
        <w:ind w:left="567" w:right="565"/>
        <w:contextualSpacing/>
        <w:jc w:val="both"/>
        <w:rPr>
          <w:rFonts w:ascii="Palatino Linotype" w:hAnsi="Palatino Linotype"/>
          <w:i/>
          <w:sz w:val="22"/>
          <w:szCs w:val="22"/>
        </w:rPr>
      </w:pPr>
      <w:r w:rsidRPr="005342F4">
        <w:rPr>
          <w:rFonts w:ascii="Palatino Linotype" w:hAnsi="Palatino Linotype"/>
          <w:i/>
          <w:sz w:val="22"/>
          <w:szCs w:val="22"/>
        </w:rPr>
        <w:t>(…)</w:t>
      </w:r>
    </w:p>
    <w:p w:rsidR="00874F8E" w:rsidRPr="005342F4" w:rsidRDefault="00874F8E" w:rsidP="00874F8E">
      <w:pPr>
        <w:ind w:left="567" w:right="565"/>
        <w:contextualSpacing/>
        <w:jc w:val="both"/>
        <w:rPr>
          <w:rFonts w:ascii="Palatino Linotype" w:hAnsi="Palatino Linotype"/>
          <w:i/>
          <w:sz w:val="22"/>
          <w:szCs w:val="22"/>
        </w:rPr>
      </w:pPr>
      <w:r w:rsidRPr="005342F4">
        <w:rPr>
          <w:rFonts w:ascii="Palatino Linotype" w:hAnsi="Palatino Linotype"/>
          <w:i/>
          <w:sz w:val="22"/>
          <w:szCs w:val="22"/>
        </w:rPr>
        <w:t>Todas las</w:t>
      </w:r>
      <w:r w:rsidRPr="005342F4">
        <w:rPr>
          <w:rFonts w:ascii="Palatino Linotype" w:hAnsi="Palatino Linotype"/>
          <w:sz w:val="22"/>
          <w:szCs w:val="22"/>
        </w:rPr>
        <w:t xml:space="preserve"> </w:t>
      </w:r>
      <w:r w:rsidRPr="005342F4">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74F8E" w:rsidRPr="005342F4" w:rsidRDefault="00874F8E" w:rsidP="00874F8E">
      <w:pPr>
        <w:ind w:left="567" w:right="565"/>
        <w:contextualSpacing/>
        <w:jc w:val="both"/>
        <w:rPr>
          <w:rFonts w:ascii="Palatino Linotype" w:hAnsi="Palatino Linotype"/>
          <w:sz w:val="22"/>
          <w:szCs w:val="22"/>
        </w:rPr>
      </w:pPr>
      <w:r w:rsidRPr="005342F4">
        <w:rPr>
          <w:rFonts w:ascii="Palatino Linotype" w:hAnsi="Palatino Linotype"/>
          <w:i/>
          <w:sz w:val="22"/>
          <w:szCs w:val="22"/>
        </w:rPr>
        <w:t>(…)</w:t>
      </w:r>
      <w:r w:rsidRPr="005342F4">
        <w:rPr>
          <w:rFonts w:ascii="Palatino Linotype" w:hAnsi="Palatino Linotype"/>
          <w:sz w:val="22"/>
          <w:szCs w:val="22"/>
        </w:rPr>
        <w:t>”</w:t>
      </w:r>
    </w:p>
    <w:p w:rsidR="00874F8E" w:rsidRPr="005342F4" w:rsidRDefault="00874F8E" w:rsidP="00874F8E">
      <w:pPr>
        <w:ind w:right="565"/>
        <w:contextualSpacing/>
        <w:jc w:val="both"/>
        <w:rPr>
          <w:rFonts w:ascii="Palatino Linotype" w:hAnsi="Palatino Linotype"/>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Por </w:t>
      </w:r>
      <w:r w:rsidRPr="005342F4">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Así </w:t>
      </w:r>
      <w:r w:rsidRPr="005342F4">
        <w:rPr>
          <w:rFonts w:ascii="Palatino Linotype" w:hAnsi="Palatino Linotype"/>
          <w:sz w:val="22"/>
          <w:szCs w:val="22"/>
        </w:rPr>
        <w:t xml:space="preserve">conforme a la Constitución Política de las Estado Unidos Mexicanos </w:t>
      </w:r>
      <w:r w:rsidRPr="005342F4">
        <w:rPr>
          <w:rFonts w:ascii="Palatino Linotype" w:eastAsia="Calibri" w:hAnsi="Palatino Linotype"/>
          <w:sz w:val="22"/>
          <w:szCs w:val="22"/>
        </w:rPr>
        <w:t xml:space="preserve">y la </w:t>
      </w:r>
      <w:r w:rsidRPr="005342F4">
        <w:rPr>
          <w:rFonts w:ascii="Palatino Linotype" w:hAnsi="Palatino Linotype"/>
          <w:sz w:val="22"/>
          <w:szCs w:val="22"/>
        </w:rPr>
        <w:t>Constitución</w:t>
      </w:r>
      <w:r w:rsidRPr="005342F4">
        <w:rPr>
          <w:rFonts w:ascii="Palatino Linotype" w:eastAsia="Calibri" w:hAnsi="Palatino Linotype"/>
          <w:sz w:val="22"/>
          <w:szCs w:val="22"/>
        </w:rPr>
        <w:t xml:space="preserve"> Política del Estado Libre y Soberano de México respectivamente</w:t>
      </w:r>
      <w:r w:rsidRPr="005342F4">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ind w:left="567" w:right="565"/>
        <w:jc w:val="center"/>
        <w:rPr>
          <w:rFonts w:ascii="Palatino Linotype" w:hAnsi="Palatino Linotype" w:cs="Arial"/>
          <w:b/>
          <w:bCs/>
          <w:i/>
          <w:sz w:val="22"/>
          <w:szCs w:val="22"/>
        </w:rPr>
      </w:pPr>
      <w:r w:rsidRPr="005342F4">
        <w:rPr>
          <w:rFonts w:ascii="Palatino Linotype" w:hAnsi="Palatino Linotype" w:cs="Arial"/>
          <w:b/>
          <w:bCs/>
          <w:i/>
          <w:sz w:val="22"/>
          <w:szCs w:val="22"/>
        </w:rPr>
        <w:t>Constitución Política de los Estados Unidos Mexicanos</w:t>
      </w:r>
    </w:p>
    <w:p w:rsidR="00874F8E" w:rsidRPr="005342F4" w:rsidRDefault="00874F8E" w:rsidP="00874F8E">
      <w:pPr>
        <w:ind w:left="567" w:right="565"/>
        <w:jc w:val="center"/>
        <w:rPr>
          <w:rFonts w:ascii="Palatino Linotype" w:hAnsi="Palatino Linotype" w:cs="Arial"/>
          <w:b/>
          <w:bCs/>
          <w:i/>
          <w:sz w:val="22"/>
          <w:szCs w:val="22"/>
        </w:rPr>
      </w:pPr>
    </w:p>
    <w:p w:rsidR="00874F8E" w:rsidRPr="005342F4" w:rsidRDefault="00874F8E" w:rsidP="00874F8E">
      <w:pPr>
        <w:ind w:left="567" w:right="565"/>
        <w:jc w:val="both"/>
        <w:rPr>
          <w:rFonts w:ascii="Palatino Linotype" w:hAnsi="Palatino Linotype" w:cs="Arial"/>
          <w:b/>
          <w:bCs/>
          <w:i/>
          <w:sz w:val="22"/>
          <w:szCs w:val="22"/>
        </w:rPr>
      </w:pPr>
      <w:r w:rsidRPr="005342F4">
        <w:rPr>
          <w:rFonts w:ascii="Palatino Linotype" w:hAnsi="Palatino Linotype" w:cs="Arial"/>
          <w:b/>
          <w:bCs/>
          <w:i/>
          <w:sz w:val="22"/>
          <w:szCs w:val="22"/>
        </w:rPr>
        <w:t>“Artículo 6.</w:t>
      </w:r>
      <w:r w:rsidRPr="005342F4">
        <w:rPr>
          <w:rFonts w:ascii="Palatino Linotype" w:hAnsi="Palatino Linotype" w:cs="Arial"/>
          <w:bCs/>
          <w:i/>
          <w:sz w:val="22"/>
          <w:szCs w:val="22"/>
        </w:rPr>
        <w:t xml:space="preserve"> …</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Cs/>
          <w:i/>
          <w:sz w:val="22"/>
          <w:szCs w:val="22"/>
        </w:rPr>
        <w:t>…</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Cs/>
          <w:i/>
          <w:sz w:val="22"/>
          <w:szCs w:val="22"/>
        </w:rPr>
        <w:t>Para efectos de lo dispuesto en el presente artículo se observará lo siguiente:</w:t>
      </w:r>
    </w:p>
    <w:p w:rsidR="00874F8E" w:rsidRPr="005342F4" w:rsidRDefault="00874F8E" w:rsidP="00874F8E">
      <w:pPr>
        <w:ind w:left="567" w:right="565"/>
        <w:jc w:val="both"/>
        <w:rPr>
          <w:rFonts w:ascii="Palatino Linotype" w:hAnsi="Palatino Linotype" w:cs="Arial"/>
          <w:b/>
          <w:bCs/>
          <w:i/>
          <w:sz w:val="22"/>
          <w:szCs w:val="22"/>
        </w:rPr>
      </w:pPr>
      <w:r w:rsidRPr="005342F4">
        <w:rPr>
          <w:rFonts w:ascii="Palatino Linotype" w:hAnsi="Palatino Linotype" w:cs="Arial"/>
          <w:b/>
          <w:bCs/>
          <w:i/>
          <w:sz w:val="22"/>
          <w:szCs w:val="22"/>
        </w:rPr>
        <w:lastRenderedPageBreak/>
        <w:t>A</w:t>
      </w:r>
      <w:r w:rsidRPr="005342F4">
        <w:rPr>
          <w:rFonts w:ascii="Palatino Linotype" w:hAnsi="Palatino Linotype" w:cs="Arial"/>
          <w:bCs/>
          <w:i/>
          <w:sz w:val="22"/>
          <w:szCs w:val="22"/>
        </w:rPr>
        <w:t xml:space="preserve">. </w:t>
      </w:r>
      <w:r w:rsidRPr="005342F4">
        <w:rPr>
          <w:rFonts w:ascii="Palatino Linotype" w:hAnsi="Palatino Linotype" w:cs="Arial"/>
          <w:b/>
          <w:bCs/>
          <w:i/>
          <w:sz w:val="22"/>
          <w:szCs w:val="22"/>
        </w:rPr>
        <w:t>Para el ejercicio del derecho de acceso a la información</w:t>
      </w:r>
      <w:r w:rsidRPr="005342F4">
        <w:rPr>
          <w:rFonts w:ascii="Palatino Linotype" w:hAnsi="Palatino Linotype" w:cs="Arial"/>
          <w:bCs/>
          <w:i/>
          <w:sz w:val="22"/>
          <w:szCs w:val="22"/>
        </w:rPr>
        <w:t xml:space="preserve">, la Federación y </w:t>
      </w:r>
      <w:r w:rsidRPr="005342F4">
        <w:rPr>
          <w:rFonts w:ascii="Palatino Linotype" w:hAnsi="Palatino Linotype" w:cs="Arial"/>
          <w:b/>
          <w:bCs/>
          <w:i/>
          <w:sz w:val="22"/>
          <w:szCs w:val="22"/>
        </w:rPr>
        <w:t>las entidades federativas, en el ámbito de sus respectivas competencias, se regirán por los siguientes principios y bases:</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
          <w:bCs/>
          <w:i/>
          <w:sz w:val="22"/>
          <w:szCs w:val="22"/>
        </w:rPr>
        <w:t xml:space="preserve">I. </w:t>
      </w:r>
      <w:r w:rsidRPr="005342F4">
        <w:rPr>
          <w:rFonts w:ascii="Palatino Linotype" w:hAnsi="Palatino Linotype" w:cs="Arial"/>
          <w:b/>
          <w:bCs/>
          <w:i/>
          <w:sz w:val="22"/>
          <w:szCs w:val="22"/>
        </w:rPr>
        <w:tab/>
        <w:t>Toda la información en posesión de cualquier</w:t>
      </w:r>
      <w:r w:rsidRPr="005342F4">
        <w:rPr>
          <w:rFonts w:ascii="Palatino Linotype" w:hAnsi="Palatino Linotype" w:cs="Arial"/>
          <w:bCs/>
          <w:i/>
          <w:sz w:val="22"/>
          <w:szCs w:val="22"/>
        </w:rPr>
        <w:t xml:space="preserve"> </w:t>
      </w:r>
      <w:r w:rsidRPr="005342F4">
        <w:rPr>
          <w:rFonts w:ascii="Palatino Linotype" w:hAnsi="Palatino Linotype" w:cs="Arial"/>
          <w:b/>
          <w:bCs/>
          <w:i/>
          <w:sz w:val="22"/>
          <w:szCs w:val="22"/>
        </w:rPr>
        <w:t>autoridad</w:t>
      </w:r>
      <w:r w:rsidRPr="005342F4">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342F4">
        <w:rPr>
          <w:rFonts w:ascii="Palatino Linotype" w:hAnsi="Palatino Linotype" w:cs="Arial"/>
          <w:b/>
          <w:bCs/>
          <w:i/>
          <w:sz w:val="22"/>
          <w:szCs w:val="22"/>
        </w:rPr>
        <w:t>municipal</w:t>
      </w:r>
      <w:r w:rsidRPr="005342F4">
        <w:rPr>
          <w:rFonts w:ascii="Palatino Linotype" w:hAnsi="Palatino Linotype" w:cs="Arial"/>
          <w:bCs/>
          <w:i/>
          <w:sz w:val="22"/>
          <w:szCs w:val="22"/>
        </w:rPr>
        <w:t xml:space="preserve">, </w:t>
      </w:r>
      <w:r w:rsidRPr="005342F4">
        <w:rPr>
          <w:rFonts w:ascii="Palatino Linotype" w:hAnsi="Palatino Linotype" w:cs="Arial"/>
          <w:b/>
          <w:bCs/>
          <w:i/>
          <w:sz w:val="22"/>
          <w:szCs w:val="22"/>
        </w:rPr>
        <w:t>es pública</w:t>
      </w:r>
      <w:r w:rsidRPr="005342F4">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5342F4">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5342F4">
        <w:rPr>
          <w:rFonts w:ascii="Palatino Linotype" w:hAnsi="Palatino Linotype" w:cs="Arial"/>
          <w:bCs/>
          <w:i/>
          <w:sz w:val="22"/>
          <w:szCs w:val="22"/>
        </w:rPr>
        <w:t>, la ley determinará los supuestos específicos bajo los cuales procederá la declaración de inexistencia de la información.”</w:t>
      </w:r>
    </w:p>
    <w:p w:rsidR="00874F8E" w:rsidRPr="005342F4" w:rsidRDefault="00874F8E" w:rsidP="00874F8E">
      <w:pPr>
        <w:tabs>
          <w:tab w:val="left" w:pos="426"/>
          <w:tab w:val="left" w:pos="567"/>
        </w:tabs>
        <w:ind w:right="565"/>
        <w:jc w:val="both"/>
        <w:rPr>
          <w:rFonts w:ascii="Palatino Linotype" w:eastAsia="Calibri" w:hAnsi="Palatino Linotype" w:cs="Arial"/>
          <w:color w:val="000000" w:themeColor="text1"/>
          <w:sz w:val="22"/>
          <w:szCs w:val="22"/>
          <w:lang w:val="es-ES"/>
        </w:rPr>
      </w:pPr>
    </w:p>
    <w:p w:rsidR="00874F8E" w:rsidRPr="005342F4" w:rsidRDefault="00874F8E" w:rsidP="00874F8E">
      <w:pPr>
        <w:ind w:left="567" w:right="565"/>
        <w:jc w:val="center"/>
        <w:rPr>
          <w:rFonts w:ascii="Palatino Linotype" w:hAnsi="Palatino Linotype" w:cs="Arial"/>
          <w:b/>
          <w:bCs/>
          <w:i/>
          <w:sz w:val="22"/>
          <w:szCs w:val="22"/>
        </w:rPr>
      </w:pPr>
      <w:r w:rsidRPr="005342F4">
        <w:rPr>
          <w:rFonts w:ascii="Palatino Linotype" w:hAnsi="Palatino Linotype" w:cs="Arial"/>
          <w:b/>
          <w:bCs/>
          <w:i/>
          <w:sz w:val="22"/>
          <w:szCs w:val="22"/>
        </w:rPr>
        <w:t>Constitución Política del Estado Libre y Soberano de México</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
          <w:bCs/>
          <w:i/>
          <w:sz w:val="22"/>
          <w:szCs w:val="22"/>
        </w:rPr>
        <w:t>“Artículo 5</w:t>
      </w:r>
      <w:r w:rsidRPr="005342F4">
        <w:rPr>
          <w:rFonts w:ascii="Palatino Linotype" w:hAnsi="Palatino Linotype" w:cs="Arial"/>
          <w:bCs/>
          <w:i/>
          <w:sz w:val="22"/>
          <w:szCs w:val="22"/>
        </w:rPr>
        <w:t>.-…</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Cs/>
          <w:i/>
          <w:sz w:val="22"/>
          <w:szCs w:val="22"/>
        </w:rPr>
        <w:t>…</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5342F4">
        <w:rPr>
          <w:rFonts w:ascii="Palatino Linotype" w:hAnsi="Palatino Linotype" w:cs="Arial"/>
          <w:bCs/>
          <w:i/>
          <w:sz w:val="22"/>
          <w:szCs w:val="22"/>
        </w:rPr>
        <w:t>.</w:t>
      </w: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74F8E" w:rsidRPr="005342F4" w:rsidRDefault="00874F8E" w:rsidP="00874F8E">
      <w:pPr>
        <w:ind w:left="567" w:right="565"/>
        <w:jc w:val="both"/>
        <w:rPr>
          <w:rFonts w:ascii="Palatino Linotype" w:hAnsi="Palatino Linotype" w:cs="Arial"/>
          <w:bCs/>
          <w:i/>
          <w:sz w:val="22"/>
          <w:szCs w:val="22"/>
        </w:rPr>
      </w:pPr>
    </w:p>
    <w:p w:rsidR="00874F8E" w:rsidRPr="005342F4" w:rsidRDefault="00874F8E" w:rsidP="00874F8E">
      <w:pPr>
        <w:ind w:left="567" w:right="565"/>
        <w:jc w:val="both"/>
        <w:rPr>
          <w:rFonts w:ascii="Palatino Linotype" w:hAnsi="Palatino Linotype" w:cs="Arial"/>
          <w:bCs/>
          <w:i/>
          <w:sz w:val="22"/>
          <w:szCs w:val="22"/>
        </w:rPr>
      </w:pPr>
      <w:r w:rsidRPr="005342F4">
        <w:rPr>
          <w:rFonts w:ascii="Palatino Linotype" w:hAnsi="Palatino Linotype" w:cs="Arial"/>
          <w:b/>
          <w:bCs/>
          <w:i/>
          <w:sz w:val="22"/>
          <w:szCs w:val="22"/>
        </w:rPr>
        <w:t>Este derecho se regirá por los principios y bases siguientes</w:t>
      </w:r>
      <w:r w:rsidRPr="005342F4">
        <w:rPr>
          <w:rFonts w:ascii="Palatino Linotype" w:hAnsi="Palatino Linotype" w:cs="Arial"/>
          <w:bCs/>
          <w:i/>
          <w:sz w:val="22"/>
          <w:szCs w:val="22"/>
        </w:rPr>
        <w:t>:</w:t>
      </w:r>
    </w:p>
    <w:p w:rsidR="00874F8E" w:rsidRPr="005342F4" w:rsidRDefault="00874F8E" w:rsidP="00874F8E">
      <w:pPr>
        <w:pStyle w:val="Prrafodelista"/>
        <w:numPr>
          <w:ilvl w:val="0"/>
          <w:numId w:val="2"/>
        </w:numPr>
        <w:ind w:left="567" w:right="565" w:firstLine="0"/>
        <w:jc w:val="both"/>
        <w:rPr>
          <w:rFonts w:ascii="Palatino Linotype" w:hAnsi="Palatino Linotype" w:cs="Arial"/>
          <w:bCs/>
          <w:i/>
          <w:sz w:val="22"/>
          <w:szCs w:val="22"/>
        </w:rPr>
      </w:pPr>
      <w:r w:rsidRPr="005342F4">
        <w:rPr>
          <w:rFonts w:ascii="Palatino Linotype" w:hAnsi="Palatino Linotype" w:cs="Arial"/>
          <w:b/>
          <w:bCs/>
          <w:i/>
          <w:sz w:val="22"/>
          <w:szCs w:val="22"/>
        </w:rPr>
        <w:t>Toda la información en posesión de cualquier autoridad, entidad, órgano y organismos de los</w:t>
      </w:r>
      <w:r w:rsidRPr="005342F4">
        <w:rPr>
          <w:rFonts w:ascii="Palatino Linotype" w:hAnsi="Palatino Linotype" w:cs="Arial"/>
          <w:bCs/>
          <w:i/>
          <w:sz w:val="22"/>
          <w:szCs w:val="22"/>
        </w:rPr>
        <w:t xml:space="preserve"> Poderes Ejecutivo, Legislativo y Judicial, órganos autónomos, partidos políticos, fideicomisos y fondos públicos estatales y </w:t>
      </w:r>
      <w:r w:rsidRPr="005342F4">
        <w:rPr>
          <w:rFonts w:ascii="Palatino Linotype" w:hAnsi="Palatino Linotype" w:cs="Arial"/>
          <w:b/>
          <w:bCs/>
          <w:i/>
          <w:sz w:val="22"/>
          <w:szCs w:val="22"/>
        </w:rPr>
        <w:t>municipales</w:t>
      </w:r>
      <w:r w:rsidRPr="005342F4">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342F4">
        <w:rPr>
          <w:rFonts w:ascii="Palatino Linotype" w:hAnsi="Palatino Linotype" w:cs="Arial"/>
          <w:b/>
          <w:bCs/>
          <w:i/>
          <w:sz w:val="22"/>
          <w:szCs w:val="22"/>
        </w:rPr>
        <w:t>es pública</w:t>
      </w:r>
      <w:r w:rsidRPr="005342F4">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5342F4">
        <w:rPr>
          <w:rFonts w:ascii="Palatino Linotype" w:hAnsi="Palatino Linotype" w:cs="Arial"/>
          <w:b/>
          <w:bCs/>
          <w:i/>
          <w:sz w:val="22"/>
          <w:szCs w:val="22"/>
        </w:rPr>
        <w:t xml:space="preserve">En la interpretación de este derecho deberá </w:t>
      </w:r>
      <w:r w:rsidRPr="005342F4">
        <w:rPr>
          <w:rFonts w:ascii="Palatino Linotype" w:hAnsi="Palatino Linotype" w:cs="Arial"/>
          <w:b/>
          <w:bCs/>
          <w:i/>
          <w:sz w:val="22"/>
          <w:szCs w:val="22"/>
        </w:rPr>
        <w:lastRenderedPageBreak/>
        <w:t>prevalecer el principio de máxima publicidad</w:t>
      </w:r>
      <w:r w:rsidRPr="005342F4">
        <w:rPr>
          <w:rFonts w:ascii="Palatino Linotype" w:hAnsi="Palatino Linotype" w:cs="Arial"/>
          <w:bCs/>
          <w:i/>
          <w:sz w:val="22"/>
          <w:szCs w:val="22"/>
        </w:rPr>
        <w:t xml:space="preserve">. </w:t>
      </w:r>
      <w:r w:rsidRPr="005342F4">
        <w:rPr>
          <w:rFonts w:ascii="Palatino Linotype" w:hAnsi="Palatino Linotype" w:cs="Arial"/>
          <w:b/>
          <w:bCs/>
          <w:i/>
          <w:sz w:val="22"/>
          <w:szCs w:val="22"/>
        </w:rPr>
        <w:t>Los sujetos obligados deberán documentar todo acto que derive del ejercicio de sus facultades, competencias o funciones</w:t>
      </w:r>
      <w:r w:rsidRPr="005342F4">
        <w:rPr>
          <w:rFonts w:ascii="Palatino Linotype" w:hAnsi="Palatino Linotype" w:cs="Arial"/>
          <w:bCs/>
          <w:i/>
          <w:sz w:val="22"/>
          <w:szCs w:val="22"/>
        </w:rPr>
        <w:t>, la ley determinará los supuestos específicos bajo los cuales procederá la declaración de inexistencia de la información.”</w:t>
      </w:r>
    </w:p>
    <w:p w:rsidR="00874F8E" w:rsidRPr="005342F4" w:rsidRDefault="00874F8E" w:rsidP="00874F8E">
      <w:pPr>
        <w:ind w:left="567" w:right="565"/>
        <w:jc w:val="both"/>
        <w:rPr>
          <w:rFonts w:ascii="Palatino Linotype" w:hAnsi="Palatino Linotype" w:cs="Arial"/>
          <w:bCs/>
          <w:i/>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Según </w:t>
      </w:r>
      <w:r w:rsidRPr="005342F4">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5342F4">
        <w:rPr>
          <w:rFonts w:ascii="Palatino Linotype" w:hAnsi="Palatino Linotype" w:cs="Arial"/>
          <w:i/>
          <w:sz w:val="22"/>
          <w:szCs w:val="22"/>
        </w:rPr>
        <w:t>por los principios de simplicidad, rapidez gratuidad del procedimiento, auxilio y orientación a los particulares</w:t>
      </w:r>
      <w:r w:rsidRPr="005342F4">
        <w:rPr>
          <w:rFonts w:ascii="Palatino Linotype" w:hAnsi="Palatino Linotype" w:cs="Arial"/>
          <w:sz w:val="22"/>
          <w:szCs w:val="22"/>
        </w:rPr>
        <w:t>, contemplando el derecho de las personas con discapacidad y hablantes de lengua indígena.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El </w:t>
      </w:r>
      <w:r w:rsidRPr="005342F4">
        <w:rPr>
          <w:rFonts w:ascii="Palatino Linotype" w:hAnsi="Palatino Linotype"/>
          <w:sz w:val="22"/>
          <w:szCs w:val="22"/>
        </w:rPr>
        <w:t>Derecho</w:t>
      </w:r>
      <w:r w:rsidRPr="005342F4">
        <w:rPr>
          <w:rFonts w:ascii="Palatino Linotype" w:hAnsi="Palatino Linotype" w:cs="Arial"/>
          <w:sz w:val="22"/>
          <w:szCs w:val="22"/>
        </w:rPr>
        <w:t xml:space="preserve"> de Acceso a la Información se garantiza y respeta oportunamente, y según lo que dispone la Ley, las </w:t>
      </w:r>
      <w:r w:rsidRPr="005342F4">
        <w:rPr>
          <w:rFonts w:ascii="Palatino Linotype" w:hAnsi="Palatino Linotype" w:cs="Arial"/>
          <w:i/>
          <w:sz w:val="22"/>
          <w:szCs w:val="22"/>
        </w:rPr>
        <w:t>solicitudes de acceso a la información</w:t>
      </w:r>
      <w:r w:rsidRPr="005342F4">
        <w:rPr>
          <w:rFonts w:ascii="Palatino Linotype" w:hAnsi="Palatino Linotype" w:cs="Arial"/>
          <w:sz w:val="22"/>
          <w:szCs w:val="22"/>
        </w:rPr>
        <w:t>.</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Así </w:t>
      </w:r>
      <w:r w:rsidRPr="005342F4">
        <w:rPr>
          <w:rFonts w:ascii="Palatino Linotype" w:hAnsi="Palatino Linotype" w:cs="Arial"/>
          <w:sz w:val="22"/>
          <w:szCs w:val="22"/>
        </w:rPr>
        <w:t xml:space="preserve">entonces, se procede analizar, en primer lugar, si el </w:t>
      </w:r>
      <w:r w:rsidRPr="005342F4">
        <w:rPr>
          <w:rFonts w:ascii="Palatino Linotype" w:hAnsi="Palatino Linotype" w:cs="Arial"/>
          <w:b/>
          <w:bCs/>
          <w:sz w:val="22"/>
          <w:szCs w:val="22"/>
        </w:rPr>
        <w:t>SUJETO OBLIGADO</w:t>
      </w:r>
      <w:r w:rsidRPr="005342F4">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5342F4">
        <w:rPr>
          <w:rFonts w:ascii="Palatino Linotype" w:eastAsia="Calibri" w:hAnsi="Palatino Linotype" w:cs="Arial"/>
          <w:color w:val="000000" w:themeColor="text1"/>
          <w:sz w:val="22"/>
          <w:szCs w:val="22"/>
          <w:lang w:val="es-ES"/>
        </w:rPr>
        <w:t xml:space="preserve"> </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keepNext/>
        <w:keepLines/>
        <w:numPr>
          <w:ilvl w:val="1"/>
          <w:numId w:val="3"/>
        </w:numPr>
        <w:spacing w:line="360" w:lineRule="auto"/>
        <w:ind w:left="567" w:right="565"/>
        <w:contextualSpacing/>
        <w:jc w:val="both"/>
        <w:outlineLvl w:val="1"/>
        <w:rPr>
          <w:rFonts w:ascii="Palatino Linotype" w:eastAsia="MS Gothic" w:hAnsi="Palatino Linotype"/>
          <w:b/>
          <w:sz w:val="22"/>
          <w:szCs w:val="22"/>
        </w:rPr>
      </w:pPr>
      <w:bookmarkStart w:id="37" w:name="_Toc70428585"/>
      <w:bookmarkStart w:id="38" w:name="_Toc71234380"/>
      <w:bookmarkStart w:id="39" w:name="_Toc83901398"/>
      <w:r w:rsidRPr="005342F4">
        <w:rPr>
          <w:rFonts w:ascii="Palatino Linotype" w:eastAsia="MS Gothic" w:hAnsi="Palatino Linotype"/>
          <w:b/>
          <w:sz w:val="22"/>
          <w:szCs w:val="22"/>
        </w:rPr>
        <w:t>De</w:t>
      </w:r>
      <w:bookmarkEnd w:id="37"/>
      <w:bookmarkEnd w:id="38"/>
      <w:bookmarkEnd w:id="39"/>
      <w:r w:rsidRPr="005342F4">
        <w:rPr>
          <w:rFonts w:ascii="Palatino Linotype" w:eastAsia="MS Gothic" w:hAnsi="Palatino Linotype"/>
          <w:b/>
          <w:sz w:val="22"/>
          <w:szCs w:val="22"/>
        </w:rPr>
        <w:t xml:space="preserve"> la información solicitada y la respuesta del SUJETO OBLIGADO.</w:t>
      </w:r>
    </w:p>
    <w:p w:rsidR="00874F8E" w:rsidRPr="005342F4" w:rsidRDefault="00874F8E" w:rsidP="00874F8E">
      <w:pPr>
        <w:keepNext/>
        <w:keepLines/>
        <w:spacing w:line="360" w:lineRule="auto"/>
        <w:ind w:left="207"/>
        <w:contextualSpacing/>
        <w:jc w:val="both"/>
        <w:outlineLvl w:val="1"/>
        <w:rPr>
          <w:rFonts w:ascii="Palatino Linotype" w:eastAsia="MS Gothic" w:hAnsi="Palatino Linotype"/>
          <w:b/>
          <w:sz w:val="22"/>
          <w:szCs w:val="22"/>
        </w:rPr>
      </w:pPr>
    </w:p>
    <w:p w:rsidR="00874F8E" w:rsidRPr="005342F4" w:rsidRDefault="00874F8E" w:rsidP="00874F8E">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Derivado </w:t>
      </w:r>
      <w:r w:rsidRPr="005342F4">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5342F4">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rsidR="00874F8E" w:rsidRPr="005342F4" w:rsidRDefault="00874F8E" w:rsidP="00874F8E">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bCs/>
          <w:color w:val="000000" w:themeColor="text1"/>
          <w:sz w:val="22"/>
          <w:szCs w:val="22"/>
          <w:lang w:val="es-ES"/>
        </w:rPr>
      </w:pPr>
      <w:r w:rsidRPr="005342F4">
        <w:rPr>
          <w:rFonts w:ascii="Palatino Linotype" w:eastAsia="Calibri" w:hAnsi="Palatino Linotype" w:cs="Arial"/>
          <w:sz w:val="22"/>
          <w:szCs w:val="22"/>
        </w:rPr>
        <w:t xml:space="preserve">Así, debemos recapitular que el </w:t>
      </w:r>
      <w:r w:rsidRPr="005342F4">
        <w:rPr>
          <w:rFonts w:ascii="Palatino Linotype" w:eastAsia="Calibri" w:hAnsi="Palatino Linotype" w:cs="Arial"/>
          <w:b/>
          <w:bCs/>
          <w:sz w:val="22"/>
          <w:szCs w:val="22"/>
        </w:rPr>
        <w:t>RECURRENTE</w:t>
      </w:r>
      <w:r w:rsidRPr="005342F4">
        <w:rPr>
          <w:rFonts w:ascii="Palatino Linotype" w:eastAsia="Calibri" w:hAnsi="Palatino Linotype" w:cs="Arial"/>
          <w:sz w:val="22"/>
          <w:szCs w:val="22"/>
        </w:rPr>
        <w:t xml:space="preserve"> solicitó </w:t>
      </w:r>
      <w:r w:rsidRPr="005342F4">
        <w:rPr>
          <w:rFonts w:ascii="Palatino Linotype" w:eastAsia="Calibri" w:hAnsi="Palatino Linotype" w:cs="Arial"/>
          <w:b/>
          <w:bCs/>
          <w:color w:val="000000" w:themeColor="text1"/>
          <w:sz w:val="22"/>
          <w:szCs w:val="22"/>
          <w:lang w:val="es-ES"/>
        </w:rPr>
        <w:t>el padrón de afiliados del Partido Morena en el Municipio de Nicolás Romero.</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En respuesta, el </w:t>
      </w:r>
      <w:r w:rsidRPr="005342F4">
        <w:rPr>
          <w:rFonts w:ascii="Palatino Linotype" w:eastAsia="Calibri" w:hAnsi="Palatino Linotype" w:cs="Arial"/>
          <w:b/>
          <w:bCs/>
          <w:color w:val="000000" w:themeColor="text1"/>
          <w:sz w:val="22"/>
          <w:szCs w:val="22"/>
          <w:lang w:val="es-ES"/>
        </w:rPr>
        <w:t>SUJETO OBLIGADO</w:t>
      </w:r>
      <w:r w:rsidRPr="005342F4">
        <w:rPr>
          <w:rFonts w:ascii="Palatino Linotype" w:eastAsia="Calibri" w:hAnsi="Palatino Linotype" w:cs="Arial"/>
          <w:color w:val="000000" w:themeColor="text1"/>
          <w:sz w:val="22"/>
          <w:szCs w:val="22"/>
          <w:lang w:val="es-ES"/>
        </w:rPr>
        <w:t xml:space="preserve"> informó que el </w:t>
      </w:r>
      <w:r w:rsidRPr="005342F4">
        <w:rPr>
          <w:rFonts w:ascii="Palatino Linotype" w:hAnsi="Palatino Linotype"/>
          <w:color w:val="000000" w:themeColor="text1"/>
          <w:sz w:val="22"/>
          <w:szCs w:val="22"/>
        </w:rPr>
        <w:t xml:space="preserve">Padrón </w:t>
      </w:r>
      <w:r w:rsidRPr="005342F4">
        <w:rPr>
          <w:rFonts w:ascii="Palatino Linotype" w:hAnsi="Palatino Linotype"/>
          <w:sz w:val="22"/>
          <w:szCs w:val="22"/>
        </w:rPr>
        <w:t xml:space="preserve">se encuentra a cargo de la Presidencia, Secretaría General, Secretaría de Organización y la Presidencia del Instituto Nacional de Formación Política, con el acompañamiento de la Presidencia de la Comisión Nacional de Honestidad y Justicia; asimismo, </w:t>
      </w:r>
      <w:r w:rsidRPr="005342F4">
        <w:rPr>
          <w:rFonts w:ascii="Palatino Linotype" w:hAnsi="Palatino Linotype"/>
          <w:b/>
          <w:bCs/>
          <w:sz w:val="22"/>
          <w:szCs w:val="22"/>
        </w:rPr>
        <w:t xml:space="preserve">refirió que el padrón podía ser consultado por medio del link </w:t>
      </w:r>
      <w:hyperlink r:id="rId10" w:history="1">
        <w:r w:rsidRPr="005342F4">
          <w:rPr>
            <w:rStyle w:val="Hipervnculo"/>
            <w:rFonts w:ascii="Palatino Linotype" w:hAnsi="Palatino Linotype"/>
            <w:b/>
            <w:bCs/>
            <w:sz w:val="22"/>
            <w:szCs w:val="22"/>
          </w:rPr>
          <w:t>https://ine.mx/actores-politicos/partidos-politicos-nacionales/padron-afiliados/</w:t>
        </w:r>
      </w:hyperlink>
      <w:r w:rsidRPr="005342F4">
        <w:rPr>
          <w:rFonts w:ascii="Palatino Linotype" w:hAnsi="Palatino Linotype"/>
          <w:b/>
          <w:bCs/>
          <w:color w:val="000000" w:themeColor="text1"/>
          <w:sz w:val="22"/>
          <w:szCs w:val="22"/>
        </w:rPr>
        <w:t xml:space="preserve">, al seleccionar la opción </w:t>
      </w:r>
      <w:r w:rsidRPr="005342F4">
        <w:rPr>
          <w:rFonts w:ascii="Palatino Linotype" w:hAnsi="Palatino Linotype"/>
          <w:b/>
          <w:bCs/>
          <w:i/>
          <w:iCs/>
          <w:color w:val="000000" w:themeColor="text1"/>
          <w:sz w:val="22"/>
          <w:szCs w:val="22"/>
        </w:rPr>
        <w:t>“Descargar”</w:t>
      </w:r>
      <w:r w:rsidRPr="005342F4">
        <w:rPr>
          <w:rFonts w:ascii="Palatino Linotype" w:hAnsi="Palatino Linotype"/>
          <w:b/>
          <w:bCs/>
          <w:color w:val="000000" w:themeColor="text1"/>
          <w:sz w:val="22"/>
          <w:szCs w:val="22"/>
        </w:rPr>
        <w:t xml:space="preserve"> del partido político de interés, e insertó una captura de pantalla de manera ilustrativa.</w:t>
      </w:r>
      <w:r w:rsidRPr="005342F4">
        <w:rPr>
          <w:rFonts w:ascii="Palatino Linotype" w:hAnsi="Palatino Linotype"/>
          <w:color w:val="000000" w:themeColor="text1"/>
          <w:sz w:val="22"/>
          <w:szCs w:val="22"/>
        </w:rPr>
        <w:t xml:space="preserve"> Finalmente, informó que el padrón de sus militantes contiene exclusivamente el apellido paterno, materno, nombre o nombres, fecha de afiliación y entidad de residencia. Como se observa a continuación:</w:t>
      </w:r>
    </w:p>
    <w:p w:rsidR="00874F8E" w:rsidRPr="005342F4" w:rsidRDefault="00874F8E" w:rsidP="00874F8E">
      <w:pPr>
        <w:pStyle w:val="Prrafodelista"/>
        <w:rPr>
          <w:rFonts w:ascii="Palatino Linotype" w:eastAsia="Calibri" w:hAnsi="Palatino Linotype" w:cs="Arial"/>
          <w:color w:val="000000" w:themeColor="text1"/>
          <w:sz w:val="22"/>
          <w:szCs w:val="22"/>
          <w:lang w:val="es-ES"/>
        </w:rPr>
      </w:pPr>
    </w:p>
    <w:p w:rsidR="00874F8E" w:rsidRPr="005342F4" w:rsidRDefault="00874F8E" w:rsidP="00874F8E">
      <w:pPr>
        <w:pStyle w:val="Prrafodelista"/>
        <w:tabs>
          <w:tab w:val="left" w:pos="426"/>
          <w:tab w:val="left" w:pos="567"/>
        </w:tabs>
        <w:spacing w:line="360" w:lineRule="auto"/>
        <w:ind w:left="0"/>
        <w:jc w:val="center"/>
        <w:rPr>
          <w:rFonts w:ascii="Palatino Linotype" w:eastAsia="Calibri" w:hAnsi="Palatino Linotype" w:cs="Arial"/>
          <w:b/>
          <w:bCs/>
          <w:color w:val="000000" w:themeColor="text1"/>
          <w:sz w:val="22"/>
          <w:szCs w:val="22"/>
          <w:lang w:val="es-ES"/>
        </w:rPr>
      </w:pPr>
      <w:r w:rsidRPr="005342F4">
        <w:rPr>
          <w:rFonts w:ascii="Palatino Linotype" w:eastAsia="Calibri" w:hAnsi="Palatino Linotype" w:cs="Arial"/>
          <w:b/>
          <w:bCs/>
          <w:noProof/>
          <w:color w:val="000000" w:themeColor="text1"/>
          <w:sz w:val="22"/>
          <w:szCs w:val="22"/>
          <w:lang w:val="es-MX" w:eastAsia="es-MX"/>
        </w:rPr>
        <mc:AlternateContent>
          <mc:Choice Requires="wps">
            <w:drawing>
              <wp:anchor distT="0" distB="0" distL="114300" distR="114300" simplePos="0" relativeHeight="251661312" behindDoc="0" locked="0" layoutInCell="1" allowOverlap="1" wp14:anchorId="20008F32" wp14:editId="50823353">
                <wp:simplePos x="0" y="0"/>
                <wp:positionH relativeFrom="column">
                  <wp:posOffset>-49194</wp:posOffset>
                </wp:positionH>
                <wp:positionV relativeFrom="paragraph">
                  <wp:posOffset>252543</wp:posOffset>
                </wp:positionV>
                <wp:extent cx="5585012" cy="2886636"/>
                <wp:effectExtent l="50800" t="38100" r="28575" b="73025"/>
                <wp:wrapNone/>
                <wp:docPr id="7" name="Conector recto 7"/>
                <wp:cNvGraphicFramePr/>
                <a:graphic xmlns:a="http://schemas.openxmlformats.org/drawingml/2006/main">
                  <a:graphicData uri="http://schemas.microsoft.com/office/word/2010/wordprocessingShape">
                    <wps:wsp>
                      <wps:cNvCnPr/>
                      <wps:spPr>
                        <a:xfrm>
                          <a:off x="0" y="0"/>
                          <a:ext cx="5585012" cy="288663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107D6E"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5pt,19.9pt" to="435.9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" strokecolor="#5b9bd5 [3204]" strokeweight="1pt">
                <v:stroke joinstyle="miter"/>
              </v:line>
            </w:pict>
          </mc:Fallback>
        </mc:AlternateContent>
      </w:r>
      <w:r w:rsidRPr="005342F4">
        <w:rPr>
          <w:rFonts w:ascii="Palatino Linotype" w:eastAsia="Calibri" w:hAnsi="Palatino Linotype" w:cs="Arial"/>
          <w:b/>
          <w:bCs/>
          <w:color w:val="000000" w:themeColor="text1"/>
          <w:sz w:val="22"/>
          <w:szCs w:val="22"/>
          <w:lang w:val="es-ES"/>
        </w:rPr>
        <w:t>(…)</w:t>
      </w:r>
    </w:p>
    <w:p w:rsidR="00874F8E" w:rsidRPr="005342F4" w:rsidRDefault="00874F8E" w:rsidP="00874F8E">
      <w:pPr>
        <w:tabs>
          <w:tab w:val="left" w:pos="426"/>
          <w:tab w:val="left" w:pos="567"/>
        </w:tabs>
        <w:spacing w:line="360" w:lineRule="auto"/>
        <w:jc w:val="center"/>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noProof/>
          <w:color w:val="000000" w:themeColor="text1"/>
          <w:sz w:val="22"/>
          <w:szCs w:val="22"/>
        </w:rPr>
        <w:lastRenderedPageBreak/>
        <w:drawing>
          <wp:inline distT="0" distB="0" distL="0" distR="0" wp14:anchorId="2DF7DFE7" wp14:editId="19557836">
            <wp:extent cx="5517240" cy="6137088"/>
            <wp:effectExtent l="12700" t="12700" r="7620" b="101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1"/>
                    <a:srcRect l="4954"/>
                    <a:stretch/>
                  </pic:blipFill>
                  <pic:spPr bwMode="auto">
                    <a:xfrm>
                      <a:off x="0" y="0"/>
                      <a:ext cx="5528037" cy="614909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59264" behindDoc="0" locked="0" layoutInCell="1" allowOverlap="1" wp14:anchorId="7EF17A8B" wp14:editId="10F718EA">
                <wp:simplePos x="0" y="0"/>
                <wp:positionH relativeFrom="column">
                  <wp:posOffset>81915</wp:posOffset>
                </wp:positionH>
                <wp:positionV relativeFrom="paragraph">
                  <wp:posOffset>3038475</wp:posOffset>
                </wp:positionV>
                <wp:extent cx="285750" cy="247650"/>
                <wp:effectExtent l="57150" t="38100" r="0" b="95250"/>
                <wp:wrapNone/>
                <wp:docPr id="2" name="Flecha derecha 2"/>
                <wp:cNvGraphicFramePr/>
                <a:graphic xmlns:a="http://schemas.openxmlformats.org/drawingml/2006/main">
                  <a:graphicData uri="http://schemas.microsoft.com/office/word/2010/wordprocessingShape">
                    <wps:wsp>
                      <wps:cNvSpPr/>
                      <wps:spPr>
                        <a:xfrm>
                          <a:off x="0" y="0"/>
                          <a:ext cx="285750" cy="247650"/>
                        </a:xfrm>
                        <a:prstGeom prst="rightArrow">
                          <a:avLst/>
                        </a:prstGeom>
                        <a:solidFill>
                          <a:srgbClr val="C00000"/>
                        </a:solidFill>
                        <a:ln>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49F8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6.45pt;margin-top:239.25pt;width: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" adj="12240" fillcolor="#c00000" strokecolor="#c00000" strokeweight=".5pt"/>
            </w:pict>
          </mc:Fallback>
        </mc:AlternateContent>
      </w:r>
      <w:r w:rsidRPr="005342F4">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60288" behindDoc="0" locked="0" layoutInCell="1" allowOverlap="1" wp14:anchorId="72838A91" wp14:editId="3B67DA68">
                <wp:simplePos x="0" y="0"/>
                <wp:positionH relativeFrom="column">
                  <wp:posOffset>281940</wp:posOffset>
                </wp:positionH>
                <wp:positionV relativeFrom="paragraph">
                  <wp:posOffset>2886076</wp:posOffset>
                </wp:positionV>
                <wp:extent cx="2219325" cy="19050"/>
                <wp:effectExtent l="38100" t="38100" r="66675" b="95250"/>
                <wp:wrapNone/>
                <wp:docPr id="5" name="Conector recto 5"/>
                <wp:cNvGraphicFramePr/>
                <a:graphic xmlns:a="http://schemas.openxmlformats.org/drawingml/2006/main">
                  <a:graphicData uri="http://schemas.microsoft.com/office/word/2010/wordprocessingShape">
                    <wps:wsp>
                      <wps:cNvCnPr/>
                      <wps:spPr>
                        <a:xfrm>
                          <a:off x="0" y="0"/>
                          <a:ext cx="2219325" cy="19050"/>
                        </a:xfrm>
                        <a:prstGeom prst="lin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8563"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227.25pt" to="196.9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" strokecolor="#c00000" strokeweight="1pt">
                <v:stroke joinstyle="miter"/>
              </v:line>
            </w:pict>
          </mc:Fallback>
        </mc:AlternateContent>
      </w:r>
    </w:p>
    <w:p w:rsidR="00874F8E" w:rsidRPr="005342F4" w:rsidRDefault="00874F8E" w:rsidP="00874F8E">
      <w:pPr>
        <w:pStyle w:val="Prrafodelista"/>
        <w:tabs>
          <w:tab w:val="left" w:pos="426"/>
          <w:tab w:val="left" w:pos="567"/>
        </w:tabs>
        <w:spacing w:line="360" w:lineRule="auto"/>
        <w:ind w:left="0"/>
        <w:jc w:val="center"/>
        <w:rPr>
          <w:rFonts w:ascii="Palatino Linotype" w:eastAsia="Calibri" w:hAnsi="Palatino Linotype" w:cs="Arial"/>
          <w:b/>
          <w:color w:val="000000" w:themeColor="text1"/>
          <w:sz w:val="22"/>
          <w:szCs w:val="22"/>
          <w:lang w:val="es-ES"/>
        </w:rPr>
      </w:pPr>
      <w:r w:rsidRPr="005342F4">
        <w:rPr>
          <w:rFonts w:ascii="Palatino Linotype" w:eastAsia="Calibri" w:hAnsi="Palatino Linotype" w:cs="Arial"/>
          <w:b/>
          <w:color w:val="000000" w:themeColor="text1"/>
          <w:sz w:val="22"/>
          <w:szCs w:val="22"/>
          <w:lang w:val="es-ES"/>
        </w:rPr>
        <w:t>(…)</w:t>
      </w:r>
    </w:p>
    <w:p w:rsidR="00874F8E" w:rsidRPr="005342F4" w:rsidRDefault="00874F8E" w:rsidP="00874F8E">
      <w:pPr>
        <w:pStyle w:val="Prrafodelista"/>
        <w:tabs>
          <w:tab w:val="left" w:pos="426"/>
          <w:tab w:val="left" w:pos="567"/>
        </w:tabs>
        <w:spacing w:line="360" w:lineRule="auto"/>
        <w:ind w:left="0"/>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Posteriormente, el </w:t>
      </w:r>
      <w:r w:rsidRPr="005342F4">
        <w:rPr>
          <w:rFonts w:ascii="Palatino Linotype" w:eastAsia="Calibri" w:hAnsi="Palatino Linotype" w:cs="Arial"/>
          <w:b/>
          <w:bCs/>
          <w:color w:val="000000" w:themeColor="text1"/>
          <w:sz w:val="22"/>
          <w:szCs w:val="22"/>
          <w:lang w:val="es-ES"/>
        </w:rPr>
        <w:t>RECURRENTE</w:t>
      </w:r>
      <w:r w:rsidRPr="005342F4">
        <w:rPr>
          <w:rFonts w:ascii="Palatino Linotype" w:eastAsia="Calibri" w:hAnsi="Palatino Linotype" w:cs="Arial"/>
          <w:color w:val="000000" w:themeColor="text1"/>
          <w:sz w:val="22"/>
          <w:szCs w:val="22"/>
          <w:lang w:val="es-ES"/>
        </w:rPr>
        <w:t xml:space="preserve"> </w:t>
      </w:r>
      <w:r w:rsidRPr="005342F4">
        <w:rPr>
          <w:rFonts w:ascii="Palatino Linotype" w:hAnsi="Palatino Linotype" w:cs="Arial"/>
          <w:color w:val="000000" w:themeColor="text1"/>
          <w:sz w:val="22"/>
          <w:szCs w:val="22"/>
        </w:rPr>
        <w:t xml:space="preserve">interpuso el recurso de revisión, donde manifestó como motivos de inconformidad, </w:t>
      </w:r>
      <w:r w:rsidRPr="005342F4">
        <w:rPr>
          <w:rFonts w:ascii="Palatino Linotype" w:hAnsi="Palatino Linotype" w:cs="Arial"/>
          <w:b/>
          <w:color w:val="000000" w:themeColor="text1"/>
          <w:sz w:val="22"/>
          <w:szCs w:val="22"/>
        </w:rPr>
        <w:t>la negativa de la información solicitada.</w:t>
      </w:r>
    </w:p>
    <w:p w:rsidR="00874F8E" w:rsidRPr="005342F4" w:rsidRDefault="00874F8E" w:rsidP="00874F8E">
      <w:pPr>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En </w:t>
      </w:r>
      <w:r w:rsidRPr="005342F4">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w:t>
      </w:r>
      <w:r w:rsidRPr="005342F4">
        <w:rPr>
          <w:rFonts w:ascii="Palatino Linotype" w:hAnsi="Palatino Linotype"/>
          <w:b/>
          <w:color w:val="000000" w:themeColor="text1"/>
          <w:sz w:val="22"/>
          <w:szCs w:val="22"/>
        </w:rPr>
        <w:t>SAIMEX</w:t>
      </w:r>
      <w:r w:rsidRPr="005342F4">
        <w:rPr>
          <w:rFonts w:ascii="Palatino Linotype" w:hAnsi="Palatino Linotype"/>
          <w:color w:val="000000" w:themeColor="text1"/>
          <w:sz w:val="22"/>
          <w:szCs w:val="22"/>
        </w:rPr>
        <w:t xml:space="preserve">, así como los agravios expuestos por el </w:t>
      </w:r>
      <w:r w:rsidRPr="005342F4">
        <w:rPr>
          <w:rFonts w:ascii="Palatino Linotype" w:hAnsi="Palatino Linotype"/>
          <w:b/>
          <w:bCs/>
          <w:color w:val="000000" w:themeColor="text1"/>
          <w:sz w:val="22"/>
          <w:szCs w:val="22"/>
        </w:rPr>
        <w:t>RECURRENTE</w:t>
      </w:r>
      <w:r w:rsidRPr="005342F4">
        <w:rPr>
          <w:rFonts w:ascii="Palatino Linotype" w:hAnsi="Palatino Linotype"/>
          <w:color w:val="000000" w:themeColor="text1"/>
          <w:sz w:val="22"/>
          <w:szCs w:val="22"/>
        </w:rPr>
        <w:t xml:space="preserve"> a través del recurso de revisión </w:t>
      </w:r>
      <w:r w:rsidRPr="005342F4">
        <w:rPr>
          <w:rFonts w:ascii="Palatino Linotype" w:hAnsi="Palatino Linotype"/>
          <w:b/>
          <w:bCs/>
          <w:color w:val="000000" w:themeColor="text1"/>
          <w:sz w:val="22"/>
          <w:szCs w:val="22"/>
        </w:rPr>
        <w:t>04483/INFOEM/IP/RR/2024</w:t>
      </w:r>
      <w:r w:rsidRPr="005342F4">
        <w:rPr>
          <w:rFonts w:ascii="Palatino Linotype" w:hAnsi="Palatino Linotype"/>
          <w:color w:val="000000" w:themeColor="text1"/>
          <w:sz w:val="22"/>
          <w:szCs w:val="22"/>
        </w:rPr>
        <w:t xml:space="preserve">, con el objeto de determinar si, con su respuesta, el </w:t>
      </w:r>
      <w:r w:rsidRPr="005342F4">
        <w:rPr>
          <w:rFonts w:ascii="Palatino Linotype" w:hAnsi="Palatino Linotype"/>
          <w:b/>
          <w:color w:val="000000" w:themeColor="text1"/>
          <w:sz w:val="22"/>
          <w:szCs w:val="22"/>
        </w:rPr>
        <w:t>SUJETO OBLIGADO</w:t>
      </w:r>
      <w:r w:rsidRPr="005342F4">
        <w:rPr>
          <w:rFonts w:ascii="Palatino Linotype" w:hAnsi="Palatino Linotype"/>
          <w:color w:val="000000" w:themeColor="text1"/>
          <w:sz w:val="22"/>
          <w:szCs w:val="22"/>
        </w:rPr>
        <w:t xml:space="preserve"> colmó el derecho de acceso a la información o, si por el contrario, procede la entrega de información.</w:t>
      </w:r>
    </w:p>
    <w:p w:rsidR="00874F8E" w:rsidRPr="005342F4" w:rsidRDefault="00874F8E" w:rsidP="00874F8E">
      <w:pPr>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Así, </w:t>
      </w:r>
      <w:r w:rsidRPr="005342F4">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Pr="005342F4">
        <w:rPr>
          <w:rFonts w:ascii="Palatino Linotype" w:eastAsia="Palatino Linotype" w:hAnsi="Palatino Linotype" w:cs="Palatino Linotype"/>
          <w:b/>
          <w:sz w:val="22"/>
          <w:szCs w:val="22"/>
        </w:rPr>
        <w:t>SUJETO OBLIGADO</w:t>
      </w:r>
      <w:r w:rsidRPr="005342F4">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Pr="005342F4">
        <w:rPr>
          <w:rFonts w:ascii="Palatino Linotype" w:eastAsia="Palatino Linotype" w:hAnsi="Palatino Linotype" w:cs="Palatino Linotype"/>
          <w:i/>
          <w:sz w:val="22"/>
          <w:szCs w:val="22"/>
        </w:rPr>
        <w:t xml:space="preserve">, </w:t>
      </w:r>
      <w:r w:rsidRPr="005342F4">
        <w:rPr>
          <w:rFonts w:ascii="Palatino Linotype" w:eastAsia="Palatino Linotype" w:hAnsi="Palatino Linotype" w:cs="Palatino Linotype"/>
          <w:sz w:val="22"/>
          <w:szCs w:val="22"/>
        </w:rPr>
        <w:t xml:space="preserve">lo anterior es así, ya que el estudio enunciado tiene por objeto determinar si </w:t>
      </w:r>
      <w:r w:rsidRPr="005342F4">
        <w:rPr>
          <w:rFonts w:ascii="Palatino Linotype" w:hAnsi="Palatino Linotype"/>
          <w:sz w:val="22"/>
          <w:szCs w:val="22"/>
        </w:rPr>
        <w:t>los</w:t>
      </w:r>
      <w:r w:rsidRPr="005342F4">
        <w:rPr>
          <w:rFonts w:ascii="Palatino Linotype" w:eastAsia="Palatino Linotype" w:hAnsi="Palatino Linotype" w:cs="Palatino Linotype"/>
          <w:sz w:val="22"/>
          <w:szCs w:val="22"/>
        </w:rPr>
        <w:t xml:space="preserve"> Sujeto</w:t>
      </w:r>
      <w:r w:rsidRPr="005342F4">
        <w:rPr>
          <w:rFonts w:ascii="Palatino Linotype" w:hAnsi="Palatino Linotype"/>
          <w:sz w:val="22"/>
          <w:szCs w:val="22"/>
        </w:rPr>
        <w:t>s</w:t>
      </w:r>
      <w:r w:rsidRPr="005342F4">
        <w:rPr>
          <w:rFonts w:ascii="Palatino Linotype" w:eastAsia="Palatino Linotype" w:hAnsi="Palatino Linotype" w:cs="Palatino Linotype"/>
          <w:sz w:val="22"/>
          <w:szCs w:val="22"/>
        </w:rPr>
        <w:t xml:space="preserve"> Obligado</w:t>
      </w:r>
      <w:r w:rsidRPr="005342F4">
        <w:rPr>
          <w:rFonts w:ascii="Palatino Linotype" w:hAnsi="Palatino Linotype"/>
          <w:sz w:val="22"/>
          <w:szCs w:val="22"/>
        </w:rPr>
        <w:t>s</w:t>
      </w:r>
      <w:r w:rsidRPr="005342F4">
        <w:rPr>
          <w:rFonts w:ascii="Palatino Linotype" w:eastAsia="Palatino Linotype" w:hAnsi="Palatino Linotype" w:cs="Palatino Linotype"/>
          <w:sz w:val="22"/>
          <w:szCs w:val="22"/>
        </w:rPr>
        <w:t xml:space="preserve"> generan, poseen o administran  la información solicitada, sin embargo, en aquellos casos en que </w:t>
      </w:r>
      <w:r w:rsidRPr="005342F4">
        <w:rPr>
          <w:rFonts w:ascii="Palatino Linotype" w:hAnsi="Palatino Linotype"/>
          <w:sz w:val="22"/>
          <w:szCs w:val="22"/>
        </w:rPr>
        <w:t>e</w:t>
      </w:r>
      <w:r w:rsidRPr="005342F4">
        <w:rPr>
          <w:rFonts w:ascii="Palatino Linotype" w:eastAsia="Palatino Linotype" w:hAnsi="Palatino Linotype" w:cs="Palatino Linotype"/>
          <w:sz w:val="22"/>
          <w:szCs w:val="22"/>
        </w:rPr>
        <w:t>st</w:t>
      </w:r>
      <w:r w:rsidRPr="005342F4">
        <w:rPr>
          <w:rFonts w:ascii="Palatino Linotype" w:hAnsi="Palatino Linotype"/>
          <w:sz w:val="22"/>
          <w:szCs w:val="22"/>
        </w:rPr>
        <w:t xml:space="preserve">os </w:t>
      </w:r>
      <w:r w:rsidRPr="005342F4">
        <w:rPr>
          <w:rFonts w:ascii="Palatino Linotype" w:eastAsia="Palatino Linotype" w:hAnsi="Palatino Linotype" w:cs="Palatino Linotype"/>
          <w:sz w:val="22"/>
          <w:szCs w:val="22"/>
        </w:rPr>
        <w:t>ha</w:t>
      </w:r>
      <w:r w:rsidRPr="005342F4">
        <w:rPr>
          <w:rFonts w:ascii="Palatino Linotype" w:hAnsi="Palatino Linotype"/>
          <w:sz w:val="22"/>
          <w:szCs w:val="22"/>
        </w:rPr>
        <w:t>n</w:t>
      </w:r>
      <w:r w:rsidRPr="005342F4">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5342F4">
        <w:rPr>
          <w:rFonts w:ascii="Palatino Linotype" w:eastAsia="Palatino Linotype" w:hAnsi="Palatino Linotype" w:cs="Palatino Linotype"/>
          <w:b/>
          <w:sz w:val="22"/>
          <w:szCs w:val="22"/>
        </w:rPr>
        <w:t>SUJETO OBLIGADO</w:t>
      </w:r>
      <w:r w:rsidRPr="005342F4">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lastRenderedPageBreak/>
        <w:t>Precisa</w:t>
      </w:r>
      <w:r w:rsidR="00AB74EC" w:rsidRPr="005342F4">
        <w:rPr>
          <w:rFonts w:ascii="Palatino Linotype" w:eastAsia="Calibri" w:hAnsi="Palatino Linotype" w:cs="Arial"/>
          <w:color w:val="000000" w:themeColor="text1"/>
          <w:sz w:val="22"/>
          <w:szCs w:val="22"/>
          <w:lang w:val="es-ES"/>
        </w:rPr>
        <w:t>do</w:t>
      </w:r>
      <w:r w:rsidRPr="005342F4">
        <w:rPr>
          <w:rFonts w:ascii="Palatino Linotype" w:eastAsia="Calibri" w:hAnsi="Palatino Linotype" w:cs="Arial"/>
          <w:color w:val="000000" w:themeColor="text1"/>
          <w:sz w:val="22"/>
          <w:szCs w:val="22"/>
          <w:lang w:val="es-ES"/>
        </w:rPr>
        <w:t xml:space="preserve"> lo anterior, se advierte que este Organismo Garante ingresó al enlace electrónico proporcionado por el </w:t>
      </w:r>
      <w:r w:rsidRPr="005342F4">
        <w:rPr>
          <w:rFonts w:ascii="Palatino Linotype" w:eastAsia="Calibri" w:hAnsi="Palatino Linotype" w:cs="Arial"/>
          <w:b/>
          <w:bCs/>
          <w:color w:val="000000" w:themeColor="text1"/>
          <w:sz w:val="22"/>
          <w:szCs w:val="22"/>
          <w:lang w:val="es-ES"/>
        </w:rPr>
        <w:t>SUJETO OBLIGADO,</w:t>
      </w:r>
      <w:r w:rsidRPr="005342F4">
        <w:rPr>
          <w:rFonts w:ascii="Palatino Linotype" w:eastAsia="Calibri" w:hAnsi="Palatino Linotype" w:cs="Arial"/>
          <w:color w:val="000000" w:themeColor="text1"/>
          <w:sz w:val="22"/>
          <w:szCs w:val="22"/>
          <w:lang w:val="es-ES"/>
        </w:rPr>
        <w:t xml:space="preserve"> asimismo, siguió las indicaciones precisadas mediante respuesta; en consecuencia, fue posible descargar el padrón de afiliados del Partido morena en formato Excel; como se observa a continuación:</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62336" behindDoc="0" locked="0" layoutInCell="1" allowOverlap="1" wp14:anchorId="1A3299D5" wp14:editId="22442FE3">
                <wp:simplePos x="0" y="0"/>
                <wp:positionH relativeFrom="column">
                  <wp:posOffset>4585559</wp:posOffset>
                </wp:positionH>
                <wp:positionV relativeFrom="paragraph">
                  <wp:posOffset>1493146</wp:posOffset>
                </wp:positionV>
                <wp:extent cx="860612" cy="627530"/>
                <wp:effectExtent l="63500" t="38100" r="66675" b="71120"/>
                <wp:wrapNone/>
                <wp:docPr id="10" name="Rectángulo 10"/>
                <wp:cNvGraphicFramePr/>
                <a:graphic xmlns:a="http://schemas.openxmlformats.org/drawingml/2006/main">
                  <a:graphicData uri="http://schemas.microsoft.com/office/word/2010/wordprocessingShape">
                    <wps:wsp>
                      <wps:cNvSpPr/>
                      <wps:spPr>
                        <a:xfrm>
                          <a:off x="0" y="0"/>
                          <a:ext cx="860612" cy="627530"/>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3C48E" id="Rectángulo 10" o:spid="_x0000_s1026" style="position:absolute;margin-left:361.05pt;margin-top:117.55pt;width:67.75pt;height:4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" filled="f" strokecolor="#c00000" strokeweight="2.25pt"/>
            </w:pict>
          </mc:Fallback>
        </mc:AlternateContent>
      </w:r>
      <w:r w:rsidRPr="005342F4">
        <w:rPr>
          <w:rFonts w:ascii="Palatino Linotype" w:eastAsia="Calibri" w:hAnsi="Palatino Linotype" w:cs="Arial"/>
          <w:noProof/>
          <w:color w:val="000000" w:themeColor="text1"/>
          <w:sz w:val="22"/>
          <w:szCs w:val="22"/>
          <w:lang w:val="es-MX" w:eastAsia="es-MX"/>
        </w:rPr>
        <w:drawing>
          <wp:inline distT="0" distB="0" distL="0" distR="0" wp14:anchorId="2CEDD116" wp14:editId="3A7B069E">
            <wp:extent cx="5579745" cy="1995394"/>
            <wp:effectExtent l="12700" t="12700" r="8255" b="114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2"/>
                    <a:srcRect b="14911"/>
                    <a:stretch/>
                  </pic:blipFill>
                  <pic:spPr bwMode="auto">
                    <a:xfrm>
                      <a:off x="0" y="0"/>
                      <a:ext cx="5579745" cy="199539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874F8E" w:rsidRPr="005342F4" w:rsidRDefault="00874F8E" w:rsidP="00874F8E">
      <w:pPr>
        <w:pStyle w:val="Prrafodelista"/>
        <w:tabs>
          <w:tab w:val="left" w:pos="426"/>
          <w:tab w:val="left" w:pos="567"/>
        </w:tabs>
        <w:spacing w:line="360" w:lineRule="auto"/>
        <w:ind w:left="0"/>
        <w:jc w:val="center"/>
        <w:rPr>
          <w:rFonts w:ascii="Palatino Linotype" w:eastAsia="Calibri" w:hAnsi="Palatino Linotype" w:cs="Arial"/>
          <w:b/>
          <w:bCs/>
          <w:color w:val="000000" w:themeColor="text1"/>
          <w:sz w:val="22"/>
          <w:szCs w:val="22"/>
          <w:lang w:val="es-ES"/>
        </w:rPr>
      </w:pPr>
      <w:r w:rsidRPr="005342F4">
        <w:rPr>
          <w:rFonts w:ascii="Palatino Linotype" w:eastAsia="Calibri" w:hAnsi="Palatino Linotype" w:cs="Arial"/>
          <w:b/>
          <w:bCs/>
          <w:color w:val="000000" w:themeColor="text1"/>
          <w:sz w:val="22"/>
          <w:szCs w:val="22"/>
          <w:lang w:val="es-ES"/>
        </w:rPr>
        <w:t>(…)</w:t>
      </w:r>
    </w:p>
    <w:p w:rsidR="00AB74EC" w:rsidRPr="005342F4" w:rsidRDefault="00874F8E" w:rsidP="00AB74E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noProof/>
          <w:color w:val="000000" w:themeColor="text1"/>
          <w:sz w:val="22"/>
          <w:szCs w:val="22"/>
          <w:lang w:val="es-MX" w:eastAsia="es-MX"/>
        </w:rPr>
        <w:drawing>
          <wp:inline distT="0" distB="0" distL="0" distR="0" wp14:anchorId="1CB9BC22" wp14:editId="1C732AF0">
            <wp:extent cx="5579456" cy="291352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stretch>
                      <a:fillRect/>
                    </a:stretch>
                  </pic:blipFill>
                  <pic:spPr>
                    <a:xfrm>
                      <a:off x="0" y="0"/>
                      <a:ext cx="5584569" cy="2916199"/>
                    </a:xfrm>
                    <a:prstGeom prst="rect">
                      <a:avLst/>
                    </a:prstGeom>
                  </pic:spPr>
                </pic:pic>
              </a:graphicData>
            </a:graphic>
          </wp:inline>
        </w:drawing>
      </w:r>
    </w:p>
    <w:p w:rsidR="00AB74EC" w:rsidRPr="005342F4" w:rsidRDefault="00CA0013" w:rsidP="00AB74E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lastRenderedPageBreak/>
        <w:t>Al respecto</w:t>
      </w:r>
      <w:r w:rsidR="00AB74EC" w:rsidRPr="005342F4">
        <w:rPr>
          <w:rFonts w:ascii="Palatino Linotype" w:eastAsia="Calibri" w:hAnsi="Palatino Linotype" w:cs="Arial"/>
          <w:color w:val="000000" w:themeColor="text1"/>
          <w:sz w:val="22"/>
          <w:szCs w:val="22"/>
          <w:lang w:val="es-ES"/>
        </w:rPr>
        <w:t xml:space="preserve">, resulta </w:t>
      </w:r>
      <w:r w:rsidRPr="005342F4">
        <w:rPr>
          <w:rFonts w:ascii="Palatino Linotype" w:eastAsia="Calibri" w:hAnsi="Palatino Linotype" w:cs="Arial"/>
          <w:color w:val="000000" w:themeColor="text1"/>
          <w:sz w:val="22"/>
          <w:szCs w:val="22"/>
          <w:lang w:val="es-ES"/>
        </w:rPr>
        <w:t>necesario</w:t>
      </w:r>
      <w:r w:rsidR="00AB74EC" w:rsidRPr="005342F4">
        <w:rPr>
          <w:rFonts w:ascii="Palatino Linotype" w:eastAsia="Calibri" w:hAnsi="Palatino Linotype" w:cs="Arial"/>
          <w:color w:val="000000" w:themeColor="text1"/>
          <w:sz w:val="22"/>
          <w:szCs w:val="22"/>
          <w:lang w:val="es-ES"/>
        </w:rPr>
        <w:t xml:space="preserve"> mencionar que, el “Padrón de Afiliados” corresponde a una obligación de transparencia específica de los Partidos Políticos, el cual, se deberá poner a disposición del público de manera actualizada de conformidad con lo establecido en el artículo 100 de la Ley de Transparencia Local; precepto legal que se transcribe a continuación:</w:t>
      </w:r>
    </w:p>
    <w:p w:rsidR="00AB74EC" w:rsidRPr="005342F4" w:rsidRDefault="00AB74EC" w:rsidP="00AB74E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AB74EC" w:rsidRPr="005342F4" w:rsidRDefault="00AB74EC" w:rsidP="00AB74EC">
      <w:pPr>
        <w:pStyle w:val="Prrafodelista"/>
        <w:ind w:left="567" w:right="565"/>
        <w:jc w:val="both"/>
        <w:rPr>
          <w:rFonts w:ascii="Palatino Linotype" w:hAnsi="Palatino Linotype"/>
          <w:b/>
          <w:i/>
          <w:sz w:val="22"/>
          <w:szCs w:val="22"/>
        </w:rPr>
      </w:pPr>
      <w:r w:rsidRPr="005342F4">
        <w:rPr>
          <w:rFonts w:ascii="Palatino Linotype" w:hAnsi="Palatino Linotype"/>
          <w:b/>
          <w:i/>
          <w:sz w:val="22"/>
          <w:szCs w:val="22"/>
        </w:rPr>
        <w:t>“Artículo 100. Los partidos políticos nacionales acreditados</w:t>
      </w:r>
      <w:r w:rsidRPr="005342F4">
        <w:rPr>
          <w:rFonts w:ascii="Palatino Linotype" w:hAnsi="Palatino Linotype"/>
          <w:i/>
          <w:sz w:val="22"/>
          <w:szCs w:val="22"/>
        </w:rPr>
        <w:t xml:space="preserve">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w:t>
      </w:r>
      <w:r w:rsidRPr="005342F4">
        <w:rPr>
          <w:rFonts w:ascii="Palatino Linotype" w:hAnsi="Palatino Linotype"/>
          <w:b/>
          <w:i/>
          <w:sz w:val="22"/>
          <w:szCs w:val="22"/>
        </w:rPr>
        <w:t xml:space="preserve">deberán poner a disposición del público y </w:t>
      </w:r>
      <w:r w:rsidRPr="005342F4">
        <w:rPr>
          <w:rFonts w:ascii="Palatino Linotype" w:hAnsi="Palatino Linotype"/>
          <w:b/>
          <w:i/>
          <w:sz w:val="22"/>
          <w:szCs w:val="22"/>
          <w:u w:val="single"/>
        </w:rPr>
        <w:t xml:space="preserve">actualizar </w:t>
      </w:r>
      <w:r w:rsidRPr="005342F4">
        <w:rPr>
          <w:rFonts w:ascii="Palatino Linotype" w:hAnsi="Palatino Linotype"/>
          <w:b/>
          <w:i/>
          <w:sz w:val="22"/>
          <w:szCs w:val="22"/>
        </w:rPr>
        <w:t>la siguiente información:</w:t>
      </w:r>
    </w:p>
    <w:p w:rsidR="00AB74EC" w:rsidRPr="005342F4" w:rsidRDefault="00AB74EC" w:rsidP="00AB74EC">
      <w:pPr>
        <w:pStyle w:val="Prrafodelista"/>
        <w:ind w:left="567" w:right="565"/>
        <w:jc w:val="both"/>
        <w:rPr>
          <w:rFonts w:ascii="Palatino Linotype" w:hAnsi="Palatino Linotype"/>
          <w:i/>
          <w:sz w:val="22"/>
          <w:szCs w:val="22"/>
        </w:rPr>
      </w:pPr>
    </w:p>
    <w:p w:rsidR="00AB74EC" w:rsidRPr="005342F4" w:rsidRDefault="00AB74EC" w:rsidP="00AB74EC">
      <w:pPr>
        <w:pStyle w:val="Prrafodelista"/>
        <w:ind w:left="567" w:right="565"/>
        <w:jc w:val="both"/>
        <w:rPr>
          <w:rFonts w:ascii="Palatino Linotype" w:hAnsi="Palatino Linotype"/>
          <w:b/>
          <w:i/>
          <w:sz w:val="22"/>
          <w:szCs w:val="22"/>
        </w:rPr>
      </w:pPr>
      <w:r w:rsidRPr="005342F4">
        <w:rPr>
          <w:rFonts w:ascii="Palatino Linotype" w:hAnsi="Palatino Linotype"/>
          <w:b/>
          <w:i/>
          <w:sz w:val="22"/>
          <w:szCs w:val="22"/>
        </w:rPr>
        <w:t>I. El padrón de afiliados o militantes de los partidos políticos estatales, que</w:t>
      </w:r>
      <w:r w:rsidRPr="005342F4">
        <w:rPr>
          <w:rFonts w:ascii="Palatino Linotype" w:hAnsi="Palatino Linotype"/>
          <w:i/>
          <w:sz w:val="22"/>
          <w:szCs w:val="22"/>
        </w:rPr>
        <w:t xml:space="preserve"> </w:t>
      </w:r>
      <w:r w:rsidRPr="005342F4">
        <w:rPr>
          <w:rFonts w:ascii="Palatino Linotype" w:hAnsi="Palatino Linotype"/>
          <w:b/>
          <w:i/>
          <w:sz w:val="22"/>
          <w:szCs w:val="22"/>
        </w:rPr>
        <w:t>contendrá exclusivamente: apellidos, nombre o nombres, fechas de afiliación y entidad de residencia;</w:t>
      </w:r>
    </w:p>
    <w:p w:rsidR="00AB74EC" w:rsidRPr="005342F4" w:rsidRDefault="00AB74EC" w:rsidP="00AB74EC">
      <w:pPr>
        <w:pStyle w:val="Prrafodelista"/>
        <w:ind w:left="567" w:right="565"/>
        <w:jc w:val="both"/>
        <w:rPr>
          <w:rFonts w:ascii="Palatino Linotype" w:eastAsia="Calibri" w:hAnsi="Palatino Linotype" w:cs="Arial"/>
          <w:b/>
          <w:i/>
          <w:color w:val="000000" w:themeColor="text1"/>
          <w:sz w:val="22"/>
          <w:szCs w:val="22"/>
          <w:lang w:val="es-ES"/>
        </w:rPr>
      </w:pPr>
      <w:r w:rsidRPr="005342F4">
        <w:rPr>
          <w:rFonts w:ascii="Palatino Linotype" w:eastAsia="Calibri" w:hAnsi="Palatino Linotype" w:cs="Arial"/>
          <w:b/>
          <w:i/>
          <w:color w:val="000000" w:themeColor="text1"/>
          <w:sz w:val="22"/>
          <w:szCs w:val="22"/>
          <w:lang w:val="es-ES"/>
        </w:rPr>
        <w:t>(…)”</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AB74EC" w:rsidRPr="005342F4" w:rsidRDefault="00AB74EC" w:rsidP="00AB74E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Así,</w:t>
      </w:r>
      <w:r w:rsidR="006D58A3" w:rsidRPr="005342F4">
        <w:rPr>
          <w:rFonts w:ascii="Palatino Linotype" w:eastAsia="Calibri" w:hAnsi="Palatino Linotype" w:cs="Arial"/>
          <w:color w:val="000000" w:themeColor="text1"/>
          <w:sz w:val="22"/>
          <w:szCs w:val="22"/>
          <w:lang w:val="es-ES"/>
        </w:rPr>
        <w:t xml:space="preserve"> se advierte que se puede tiene</w:t>
      </w:r>
      <w:r w:rsidRPr="005342F4">
        <w:rPr>
          <w:rFonts w:ascii="Palatino Linotype" w:eastAsia="Calibri" w:hAnsi="Palatino Linotype" w:cs="Arial"/>
          <w:color w:val="000000" w:themeColor="text1"/>
          <w:sz w:val="22"/>
          <w:szCs w:val="22"/>
          <w:lang w:val="es-ES"/>
        </w:rPr>
        <w:t xml:space="preserve"> p</w:t>
      </w:r>
      <w:r w:rsidR="006D58A3" w:rsidRPr="005342F4">
        <w:rPr>
          <w:rFonts w:ascii="Palatino Linotype" w:eastAsia="Calibri" w:hAnsi="Palatino Linotype" w:cs="Arial"/>
          <w:color w:val="000000" w:themeColor="text1"/>
          <w:sz w:val="22"/>
          <w:szCs w:val="22"/>
          <w:lang w:val="es-ES"/>
        </w:rPr>
        <w:t xml:space="preserve">or atendido el requerimiento del </w:t>
      </w:r>
      <w:r w:rsidRPr="005342F4">
        <w:rPr>
          <w:rFonts w:ascii="Palatino Linotype" w:eastAsia="Calibri" w:hAnsi="Palatino Linotype" w:cs="Arial"/>
          <w:color w:val="000000" w:themeColor="text1"/>
          <w:sz w:val="22"/>
          <w:szCs w:val="22"/>
          <w:lang w:val="es-ES"/>
        </w:rPr>
        <w:t>Particular con la información proporcionada mediante respuesta.</w:t>
      </w:r>
    </w:p>
    <w:p w:rsidR="004B0972" w:rsidRPr="005342F4" w:rsidRDefault="004B0972" w:rsidP="0035587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355878"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Ahora bien,</w:t>
      </w:r>
      <w:r w:rsidR="00874F8E" w:rsidRPr="005342F4">
        <w:rPr>
          <w:rFonts w:ascii="Palatino Linotype" w:eastAsia="Calibri" w:hAnsi="Palatino Linotype" w:cs="Arial"/>
          <w:color w:val="000000" w:themeColor="text1"/>
          <w:sz w:val="22"/>
          <w:szCs w:val="22"/>
          <w:lang w:val="es-ES"/>
        </w:rPr>
        <w:t xml:space="preserve"> </w:t>
      </w:r>
      <w:r w:rsidR="00874F8E" w:rsidRPr="005342F4">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t>“</w:t>
      </w:r>
      <w:r w:rsidRPr="005342F4">
        <w:rPr>
          <w:rFonts w:ascii="Palatino Linotype" w:hAnsi="Palatino Linotype"/>
          <w:b/>
          <w:i/>
          <w:sz w:val="22"/>
          <w:szCs w:val="22"/>
        </w:rPr>
        <w:t>Artículo 4. …</w:t>
      </w: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5342F4">
        <w:rPr>
          <w:rFonts w:ascii="Palatino Linotype" w:hAnsi="Palatino Linotype"/>
          <w:i/>
          <w:sz w:val="22"/>
          <w:szCs w:val="22"/>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74F8E" w:rsidRPr="005342F4" w:rsidRDefault="00874F8E" w:rsidP="00874F8E">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De lo anterior, se desprende </w:t>
      </w:r>
      <w:r w:rsidRPr="005342F4">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t>“</w:t>
      </w:r>
      <w:r w:rsidRPr="005342F4">
        <w:rPr>
          <w:rFonts w:ascii="Palatino Linotype" w:hAnsi="Palatino Linotype"/>
          <w:b/>
          <w:i/>
          <w:sz w:val="22"/>
          <w:szCs w:val="22"/>
        </w:rPr>
        <w:t>Artículo 12.</w:t>
      </w:r>
      <w:r w:rsidRPr="005342F4">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p>
    <w:p w:rsidR="00874F8E" w:rsidRPr="005342F4" w:rsidRDefault="00874F8E" w:rsidP="00874F8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5342F4">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En síntesis, </w:t>
      </w:r>
      <w:r w:rsidRPr="005342F4">
        <w:rPr>
          <w:rFonts w:ascii="Palatino Linotype" w:hAnsi="Palatino Linotype"/>
          <w:sz w:val="22"/>
          <w:szCs w:val="22"/>
        </w:rPr>
        <w:t xml:space="preserve">el derecho de acceso a la información pública se satisface en aquellos casos en que se entregue el soporte documental en que conste la información pública, toda vez </w:t>
      </w:r>
      <w:r w:rsidRPr="005342F4">
        <w:rPr>
          <w:rFonts w:ascii="Palatino Linotype" w:hAnsi="Palatino Linotype"/>
          <w:sz w:val="22"/>
          <w:szCs w:val="22"/>
        </w:rPr>
        <w:lastRenderedPageBreak/>
        <w:t xml:space="preserve">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rsidR="00874F8E" w:rsidRPr="005342F4" w:rsidRDefault="00874F8E" w:rsidP="00874F8E">
      <w:pPr>
        <w:rPr>
          <w:rFonts w:ascii="Palatino Linotype" w:hAnsi="Palatino Linotype"/>
          <w:b/>
          <w:sz w:val="22"/>
          <w:szCs w:val="22"/>
        </w:rPr>
      </w:pP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b/>
          <w:i/>
          <w:sz w:val="22"/>
          <w:szCs w:val="22"/>
        </w:rPr>
        <w:t>“No existe obligación de elaborar documentos ad hoc para atender las solicitudes de acceso a la información.</w:t>
      </w:r>
      <w:r w:rsidRPr="005342F4">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t xml:space="preserve">Resoluciones: </w:t>
      </w: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sym w:font="Symbol" w:char="F0B7"/>
      </w:r>
      <w:r w:rsidRPr="005342F4">
        <w:rPr>
          <w:rFonts w:ascii="Palatino Linotype" w:hAnsi="Palatino Linotype"/>
          <w:i/>
          <w:sz w:val="22"/>
          <w:szCs w:val="22"/>
        </w:rPr>
        <w:t xml:space="preserve"> RRA 0050/16. Instituto Nacional para la Evaluación de la Educación. 13 julio de 2016. Por unanimidad. Comisionado Ponente: Francisco Javier Acuña Llamas. </w:t>
      </w: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sym w:font="Symbol" w:char="F0B7"/>
      </w:r>
      <w:r w:rsidRPr="005342F4">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rsidR="00874F8E" w:rsidRPr="005342F4" w:rsidRDefault="00874F8E" w:rsidP="00874F8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5342F4">
        <w:rPr>
          <w:rFonts w:ascii="Palatino Linotype" w:hAnsi="Palatino Linotype"/>
          <w:i/>
          <w:sz w:val="22"/>
          <w:szCs w:val="22"/>
        </w:rPr>
        <w:sym w:font="Symbol" w:char="F0B7"/>
      </w:r>
      <w:r w:rsidRPr="005342F4">
        <w:rPr>
          <w:rFonts w:ascii="Palatino Linotype" w:hAnsi="Palatino Linotype"/>
          <w:i/>
          <w:sz w:val="22"/>
          <w:szCs w:val="22"/>
        </w:rPr>
        <w:t xml:space="preserve"> RRA 1889/16. Secretaría de Hacienda y Crédito Público. 05 de octubre de 2016. Por unanimidad. Comisionada Ponente. Ximena Puente de la Mora.”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Asimos, </w:t>
      </w:r>
      <w:r w:rsidRPr="005342F4">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w:t>
      </w:r>
      <w:r w:rsidRPr="005342F4">
        <w:rPr>
          <w:rFonts w:ascii="Palatino Linotype" w:hAnsi="Palatino Linotype"/>
          <w:sz w:val="22"/>
          <w:szCs w:val="22"/>
        </w:rPr>
        <w:lastRenderedPageBreak/>
        <w:t>sus atribuciones; por consiguiente, la información pública se encuentra a disposición de cualquier persona, lo que implica que es deber de los Sujetos Obligados, garantizar el derecho de acceso a la información pública.</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b/>
          <w:i/>
          <w:sz w:val="22"/>
          <w:szCs w:val="22"/>
        </w:rPr>
        <w:t>“Artículo 3.</w:t>
      </w:r>
      <w:r w:rsidRPr="005342F4">
        <w:rPr>
          <w:rFonts w:ascii="Palatino Linotype" w:hAnsi="Palatino Linotype"/>
          <w:i/>
          <w:sz w:val="22"/>
          <w:szCs w:val="22"/>
        </w:rPr>
        <w:t xml:space="preserve"> Para los efectos de la presente Ley se entenderá por: </w:t>
      </w: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t xml:space="preserve">(…) </w:t>
      </w:r>
    </w:p>
    <w:p w:rsidR="00874F8E" w:rsidRPr="005342F4" w:rsidRDefault="00874F8E" w:rsidP="00874F8E">
      <w:pPr>
        <w:pStyle w:val="Prrafodelista"/>
        <w:tabs>
          <w:tab w:val="left" w:pos="426"/>
          <w:tab w:val="left" w:pos="567"/>
        </w:tabs>
        <w:ind w:left="567" w:right="565"/>
        <w:jc w:val="both"/>
        <w:rPr>
          <w:rFonts w:ascii="Palatino Linotype" w:hAnsi="Palatino Linotype"/>
          <w:b/>
          <w:i/>
          <w:sz w:val="22"/>
          <w:szCs w:val="22"/>
        </w:rPr>
      </w:pPr>
      <w:r w:rsidRPr="005342F4">
        <w:rPr>
          <w:rFonts w:ascii="Palatino Linotype" w:hAnsi="Palatino Linotype"/>
          <w:b/>
          <w:i/>
          <w:sz w:val="22"/>
          <w:szCs w:val="22"/>
        </w:rPr>
        <w:t>XI. Documento:</w:t>
      </w:r>
      <w:r w:rsidRPr="005342F4">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5342F4">
        <w:rPr>
          <w:rFonts w:ascii="Palatino Linotype" w:hAnsi="Palatino Linotype"/>
          <w:b/>
          <w:i/>
          <w:sz w:val="22"/>
          <w:szCs w:val="22"/>
        </w:rPr>
        <w:t xml:space="preserve">Los documentos podrán estar en cualquier medio, sea escrito, impreso, sonoro, visual, electrónico, informático u holográfico; </w:t>
      </w:r>
    </w:p>
    <w:p w:rsidR="00874F8E" w:rsidRPr="005342F4" w:rsidRDefault="00874F8E" w:rsidP="00874F8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5342F4">
        <w:rPr>
          <w:rFonts w:ascii="Palatino Linotype" w:hAnsi="Palatino Linotype"/>
          <w:i/>
          <w:sz w:val="22"/>
          <w:szCs w:val="22"/>
        </w:rPr>
        <w:t>(…)”</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Siendo </w:t>
      </w:r>
      <w:r w:rsidRPr="005342F4">
        <w:rPr>
          <w:rFonts w:ascii="Palatino Linotype" w:hAnsi="Palatino Linotype"/>
          <w:sz w:val="22"/>
          <w:szCs w:val="22"/>
        </w:rPr>
        <w:t xml:space="preserve">aplicable el Criterio de interpretación en el orden administrativo número 0002- 11, emitido por Acuerdo del Pleno del Instituto de Transparencia y Acceso a la Información </w:t>
      </w:r>
      <w:r w:rsidRPr="005342F4">
        <w:rPr>
          <w:rFonts w:ascii="Palatino Linotype" w:hAnsi="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dispone:</w:t>
      </w:r>
    </w:p>
    <w:p w:rsidR="00874F8E" w:rsidRPr="005342F4" w:rsidRDefault="00874F8E" w:rsidP="00874F8E">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874F8E" w:rsidRPr="005342F4" w:rsidRDefault="00874F8E" w:rsidP="00874F8E">
      <w:pPr>
        <w:pStyle w:val="Prrafodelista"/>
        <w:tabs>
          <w:tab w:val="left" w:pos="426"/>
          <w:tab w:val="left" w:pos="567"/>
        </w:tabs>
        <w:ind w:left="567" w:right="565"/>
        <w:jc w:val="both"/>
        <w:rPr>
          <w:rFonts w:ascii="Palatino Linotype" w:hAnsi="Palatino Linotype"/>
          <w:i/>
          <w:sz w:val="22"/>
          <w:szCs w:val="22"/>
        </w:rPr>
      </w:pPr>
      <w:r w:rsidRPr="005342F4">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D58A3" w:rsidRPr="005342F4" w:rsidRDefault="006D58A3" w:rsidP="006D58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Bajo este contexto, </w:t>
      </w:r>
      <w:r w:rsidRPr="005342F4">
        <w:rPr>
          <w:rFonts w:ascii="Palatino Linotype" w:hAnsi="Palatino Linotype"/>
          <w:sz w:val="22"/>
          <w:szCs w:val="22"/>
        </w:rPr>
        <w:t xml:space="preserve">se considera que, con el pronunciamiento realizado por parte del </w:t>
      </w:r>
      <w:r w:rsidRPr="005342F4">
        <w:rPr>
          <w:rFonts w:ascii="Palatino Linotype" w:hAnsi="Palatino Linotype"/>
          <w:b/>
          <w:sz w:val="22"/>
          <w:szCs w:val="22"/>
        </w:rPr>
        <w:t>SUJETO OBLIGADO,</w:t>
      </w:r>
      <w:r w:rsidRPr="005342F4">
        <w:rPr>
          <w:rFonts w:ascii="Palatino Linotype" w:hAnsi="Palatino Linotype"/>
          <w:sz w:val="22"/>
          <w:szCs w:val="22"/>
        </w:rPr>
        <w:t xml:space="preserve"> mediante respuesta a la solicitud de información número </w:t>
      </w:r>
      <w:r w:rsidRPr="005342F4">
        <w:rPr>
          <w:rFonts w:ascii="Palatino Linotype" w:hAnsi="Palatino Linotype"/>
          <w:b/>
          <w:sz w:val="22"/>
          <w:szCs w:val="22"/>
        </w:rPr>
        <w:t>00122/PMOR/IP/2024</w:t>
      </w:r>
      <w:r w:rsidRPr="005342F4">
        <w:rPr>
          <w:rFonts w:ascii="Palatino Linotype" w:hAnsi="Palatino Linotype"/>
          <w:sz w:val="22"/>
          <w:szCs w:val="22"/>
        </w:rPr>
        <w:t xml:space="preserve">, colma en su totalidad con lo requerido por el </w:t>
      </w:r>
      <w:r w:rsidRPr="005342F4">
        <w:rPr>
          <w:rFonts w:ascii="Palatino Linotype" w:hAnsi="Palatino Linotype"/>
          <w:b/>
          <w:sz w:val="22"/>
          <w:szCs w:val="22"/>
        </w:rPr>
        <w:t>RECURRENTE.</w:t>
      </w:r>
    </w:p>
    <w:p w:rsidR="006D58A3" w:rsidRPr="005342F4" w:rsidRDefault="006D58A3" w:rsidP="006D58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D58A3" w:rsidRPr="005342F4" w:rsidRDefault="006D58A3" w:rsidP="006D58A3">
      <w:pPr>
        <w:tabs>
          <w:tab w:val="left" w:pos="426"/>
          <w:tab w:val="left" w:pos="567"/>
        </w:tabs>
        <w:spacing w:line="360" w:lineRule="auto"/>
        <w:jc w:val="both"/>
        <w:rPr>
          <w:rFonts w:ascii="Palatino Linotype" w:eastAsia="Calibri" w:hAnsi="Palatino Linotype" w:cs="Arial"/>
          <w:color w:val="000000" w:themeColor="text1"/>
          <w:sz w:val="22"/>
          <w:szCs w:val="22"/>
          <w:lang w:val="es-ES"/>
        </w:rPr>
      </w:pPr>
      <w:r w:rsidRPr="005342F4">
        <w:rPr>
          <w:rFonts w:ascii="Palatino Linotype" w:hAnsi="Palatino Linotype"/>
          <w:color w:val="000000" w:themeColor="text1"/>
          <w:sz w:val="22"/>
          <w:szCs w:val="22"/>
        </w:rPr>
        <w:t xml:space="preserve">Por </w:t>
      </w:r>
      <w:r w:rsidRPr="005342F4">
        <w:rPr>
          <w:rFonts w:ascii="Palatino Linotype" w:hAnsi="Palatino Linotype" w:cs="Arial"/>
          <w:sz w:val="22"/>
          <w:szCs w:val="22"/>
          <w:lang w:val="es-ES"/>
        </w:rPr>
        <w:t xml:space="preserve">lo tanto, este Organismo Garante considera procedente </w:t>
      </w:r>
      <w:r w:rsidRPr="005342F4">
        <w:rPr>
          <w:rFonts w:ascii="Palatino Linotype" w:hAnsi="Palatino Linotype" w:cs="Arial"/>
          <w:b/>
          <w:bCs/>
          <w:sz w:val="22"/>
          <w:szCs w:val="22"/>
          <w:lang w:val="es-ES"/>
        </w:rPr>
        <w:t xml:space="preserve">CONFIRMAR </w:t>
      </w:r>
      <w:r w:rsidRPr="005342F4">
        <w:rPr>
          <w:rFonts w:ascii="Palatino Linotype" w:hAnsi="Palatino Linotype" w:cs="Arial"/>
          <w:sz w:val="22"/>
          <w:szCs w:val="22"/>
          <w:lang w:val="es-ES"/>
        </w:rPr>
        <w:t xml:space="preserve">la respuesta otorgada por </w:t>
      </w:r>
      <w:r w:rsidRPr="005342F4">
        <w:rPr>
          <w:rFonts w:ascii="Palatino Linotype" w:hAnsi="Palatino Linotype"/>
          <w:b/>
          <w:bCs/>
          <w:color w:val="000000"/>
          <w:sz w:val="22"/>
          <w:szCs w:val="22"/>
        </w:rPr>
        <w:t xml:space="preserve">Partido Morena </w:t>
      </w:r>
      <w:r w:rsidRPr="005342F4">
        <w:rPr>
          <w:rFonts w:ascii="Palatino Linotype" w:hAnsi="Palatino Linotype" w:cs="Arial"/>
          <w:sz w:val="22"/>
          <w:szCs w:val="22"/>
          <w:lang w:val="es-ES"/>
        </w:rPr>
        <w:t>a la solicitud de información</w:t>
      </w:r>
      <w:r w:rsidRPr="005342F4">
        <w:rPr>
          <w:rFonts w:ascii="Palatino Linotype" w:hAnsi="Palatino Linotype" w:cs="Arial"/>
          <w:b/>
          <w:sz w:val="22"/>
          <w:szCs w:val="22"/>
          <w:lang w:val="es-ES"/>
        </w:rPr>
        <w:t xml:space="preserve"> </w:t>
      </w:r>
      <w:r w:rsidRPr="005342F4">
        <w:rPr>
          <w:rFonts w:ascii="Palatino Linotype" w:hAnsi="Palatino Linotype"/>
          <w:b/>
          <w:sz w:val="22"/>
          <w:szCs w:val="22"/>
        </w:rPr>
        <w:t>00122/PMOR/IP/2024.</w:t>
      </w:r>
    </w:p>
    <w:bookmarkEnd w:id="33"/>
    <w:bookmarkEnd w:id="34"/>
    <w:bookmarkEnd w:id="35"/>
    <w:bookmarkEnd w:id="36"/>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342F4">
        <w:rPr>
          <w:rFonts w:ascii="Palatino Linotype" w:eastAsia="Calibri" w:hAnsi="Palatino Linotype" w:cs="Arial"/>
          <w:color w:val="000000" w:themeColor="text1"/>
          <w:sz w:val="22"/>
          <w:szCs w:val="22"/>
          <w:lang w:val="es-ES"/>
        </w:rPr>
        <w:t xml:space="preserve">Por lo anteriormente expuesto y fundado, este </w:t>
      </w:r>
      <w:r w:rsidRPr="005342F4">
        <w:rPr>
          <w:rFonts w:ascii="Palatino Linotype" w:eastAsia="Calibri" w:hAnsi="Palatino Linotype" w:cs="Arial"/>
          <w:b/>
          <w:color w:val="000000" w:themeColor="text1"/>
          <w:sz w:val="22"/>
          <w:szCs w:val="22"/>
          <w:lang w:val="es-ES"/>
        </w:rPr>
        <w:t>ÓRGANO GARANTE</w:t>
      </w:r>
      <w:r w:rsidRPr="005342F4">
        <w:rPr>
          <w:rFonts w:ascii="Palatino Linotype" w:eastAsia="Calibri" w:hAnsi="Palatino Linotype" w:cs="Arial"/>
          <w:color w:val="000000" w:themeColor="text1"/>
          <w:sz w:val="22"/>
          <w:szCs w:val="22"/>
          <w:lang w:val="es-ES"/>
        </w:rPr>
        <w:t xml:space="preserve"> emite los siguientes:</w:t>
      </w:r>
    </w:p>
    <w:p w:rsidR="00874F8E" w:rsidRPr="005342F4"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5342F4" w:rsidRDefault="00874F8E" w:rsidP="00874F8E">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5342F4">
        <w:rPr>
          <w:rFonts w:ascii="Palatino Linotype" w:hAnsi="Palatino Linotype"/>
          <w:b/>
          <w:color w:val="auto"/>
          <w:sz w:val="22"/>
          <w:szCs w:val="22"/>
          <w:lang w:val="es-ES"/>
        </w:rPr>
        <w:t>R E S O L U T I V O S</w:t>
      </w:r>
      <w:bookmarkEnd w:id="40"/>
    </w:p>
    <w:p w:rsidR="006D58A3" w:rsidRPr="005342F4" w:rsidRDefault="006D58A3" w:rsidP="006D58A3">
      <w:pPr>
        <w:spacing w:line="360" w:lineRule="auto"/>
        <w:jc w:val="both"/>
        <w:rPr>
          <w:rFonts w:ascii="Palatino Linotype" w:hAnsi="Palatino Linotype"/>
          <w:sz w:val="22"/>
          <w:szCs w:val="22"/>
        </w:rPr>
      </w:pPr>
      <w:r w:rsidRPr="005342F4">
        <w:rPr>
          <w:rFonts w:ascii="Palatino Linotype" w:hAnsi="Palatino Linotype" w:cs="Arial"/>
          <w:b/>
          <w:sz w:val="22"/>
          <w:szCs w:val="22"/>
        </w:rPr>
        <w:t xml:space="preserve">PRIMERO. </w:t>
      </w:r>
      <w:r w:rsidRPr="005342F4">
        <w:rPr>
          <w:rFonts w:ascii="Palatino Linotype" w:hAnsi="Palatino Linotype" w:cs="Arial"/>
          <w:sz w:val="22"/>
          <w:szCs w:val="22"/>
        </w:rPr>
        <w:t>Resultan infundadas las</w:t>
      </w:r>
      <w:r w:rsidRPr="005342F4">
        <w:rPr>
          <w:rFonts w:ascii="Palatino Linotype" w:hAnsi="Palatino Linotype" w:cs="Arial"/>
          <w:b/>
          <w:sz w:val="22"/>
          <w:szCs w:val="22"/>
        </w:rPr>
        <w:t xml:space="preserve"> </w:t>
      </w:r>
      <w:r w:rsidRPr="005342F4">
        <w:rPr>
          <w:rFonts w:ascii="Palatino Linotype" w:hAnsi="Palatino Linotype" w:cs="Arial"/>
          <w:sz w:val="22"/>
          <w:szCs w:val="22"/>
          <w:lang w:val="es-ES"/>
        </w:rPr>
        <w:t xml:space="preserve">razones o motivos de inconformidad hechos valer </w:t>
      </w:r>
      <w:r w:rsidRPr="005342F4">
        <w:rPr>
          <w:rFonts w:ascii="Palatino Linotype" w:eastAsia="Calibri" w:hAnsi="Palatino Linotype" w:cs="Arial"/>
          <w:sz w:val="22"/>
          <w:szCs w:val="22"/>
          <w:lang w:val="es-ES"/>
        </w:rPr>
        <w:t xml:space="preserve">en el recurso de revisión </w:t>
      </w:r>
      <w:r w:rsidRPr="005342F4">
        <w:rPr>
          <w:rFonts w:ascii="Palatino Linotype" w:hAnsi="Palatino Linotype"/>
          <w:b/>
          <w:sz w:val="22"/>
          <w:szCs w:val="22"/>
        </w:rPr>
        <w:t>04483/INFOEM/IP/RR/2024</w:t>
      </w:r>
      <w:r w:rsidR="00C319D5" w:rsidRPr="005342F4">
        <w:rPr>
          <w:rFonts w:ascii="Palatino Linotype" w:hAnsi="Palatino Linotype"/>
          <w:b/>
          <w:sz w:val="22"/>
          <w:szCs w:val="22"/>
        </w:rPr>
        <w:t>,</w:t>
      </w:r>
      <w:r w:rsidRPr="005342F4">
        <w:rPr>
          <w:rFonts w:ascii="Palatino Linotype" w:hAnsi="Palatino Linotype"/>
          <w:b/>
          <w:sz w:val="22"/>
          <w:szCs w:val="22"/>
        </w:rPr>
        <w:t xml:space="preserve"> </w:t>
      </w:r>
      <w:r w:rsidRPr="005342F4">
        <w:rPr>
          <w:rFonts w:ascii="Palatino Linotype" w:hAnsi="Palatino Linotype"/>
          <w:sz w:val="22"/>
          <w:szCs w:val="22"/>
        </w:rPr>
        <w:t>en términos del</w:t>
      </w:r>
      <w:r w:rsidRPr="005342F4">
        <w:rPr>
          <w:rFonts w:ascii="Palatino Linotype" w:hAnsi="Palatino Linotype"/>
          <w:b/>
          <w:bCs/>
          <w:sz w:val="22"/>
          <w:szCs w:val="22"/>
        </w:rPr>
        <w:t xml:space="preserve"> Considerando</w:t>
      </w:r>
      <w:r w:rsidRPr="005342F4">
        <w:rPr>
          <w:rFonts w:ascii="Palatino Linotype" w:hAnsi="Palatino Linotype"/>
          <w:sz w:val="22"/>
          <w:szCs w:val="22"/>
        </w:rPr>
        <w:t xml:space="preserve"> </w:t>
      </w:r>
      <w:r w:rsidRPr="005342F4">
        <w:rPr>
          <w:rFonts w:ascii="Palatino Linotype" w:hAnsi="Palatino Linotype"/>
          <w:b/>
          <w:sz w:val="22"/>
          <w:szCs w:val="22"/>
        </w:rPr>
        <w:t>CUARTO</w:t>
      </w:r>
      <w:r w:rsidRPr="005342F4">
        <w:rPr>
          <w:rFonts w:ascii="Palatino Linotype" w:hAnsi="Palatino Linotype"/>
          <w:sz w:val="22"/>
          <w:szCs w:val="22"/>
        </w:rPr>
        <w:t xml:space="preserve"> de la presente resolución.</w:t>
      </w:r>
    </w:p>
    <w:p w:rsidR="006D58A3" w:rsidRPr="005342F4" w:rsidRDefault="006D58A3" w:rsidP="006D58A3">
      <w:pPr>
        <w:spacing w:line="360" w:lineRule="auto"/>
        <w:jc w:val="both"/>
        <w:rPr>
          <w:rFonts w:ascii="Palatino Linotype" w:hAnsi="Palatino Linotype"/>
          <w:sz w:val="22"/>
          <w:szCs w:val="22"/>
        </w:rPr>
      </w:pPr>
    </w:p>
    <w:p w:rsidR="006D58A3" w:rsidRPr="005342F4" w:rsidRDefault="006D58A3" w:rsidP="006D58A3">
      <w:pPr>
        <w:spacing w:line="360" w:lineRule="auto"/>
        <w:contextualSpacing/>
        <w:jc w:val="both"/>
        <w:rPr>
          <w:rFonts w:ascii="Palatino Linotype" w:hAnsi="Palatino Linotype" w:cs="Arial"/>
          <w:b/>
          <w:sz w:val="22"/>
          <w:szCs w:val="22"/>
          <w:lang w:val="es-ES"/>
        </w:rPr>
      </w:pPr>
      <w:r w:rsidRPr="005342F4">
        <w:rPr>
          <w:rFonts w:ascii="Palatino Linotype" w:eastAsia="Calibri" w:hAnsi="Palatino Linotype" w:cs="Arial"/>
          <w:b/>
          <w:bCs/>
          <w:sz w:val="22"/>
          <w:szCs w:val="22"/>
          <w:lang w:val="es-ES"/>
        </w:rPr>
        <w:t xml:space="preserve">SEGUNDO. </w:t>
      </w:r>
      <w:r w:rsidRPr="005342F4">
        <w:rPr>
          <w:rFonts w:ascii="Palatino Linotype" w:eastAsia="Calibri" w:hAnsi="Palatino Linotype" w:cs="Arial"/>
          <w:sz w:val="22"/>
          <w:szCs w:val="22"/>
          <w:lang w:val="es-ES"/>
        </w:rPr>
        <w:t xml:space="preserve">Se </w:t>
      </w:r>
      <w:r w:rsidRPr="005342F4">
        <w:rPr>
          <w:rFonts w:ascii="Palatino Linotype" w:eastAsia="Calibri" w:hAnsi="Palatino Linotype" w:cs="Arial"/>
          <w:b/>
          <w:sz w:val="22"/>
          <w:szCs w:val="22"/>
          <w:lang w:val="es-ES"/>
        </w:rPr>
        <w:t>CONFIRMA</w:t>
      </w:r>
      <w:r w:rsidRPr="005342F4">
        <w:rPr>
          <w:rFonts w:ascii="Palatino Linotype" w:eastAsia="Calibri" w:hAnsi="Palatino Linotype" w:cs="Arial"/>
          <w:sz w:val="22"/>
          <w:szCs w:val="22"/>
          <w:lang w:val="es-ES"/>
        </w:rPr>
        <w:t xml:space="preserve"> la respuesta emitida por el </w:t>
      </w:r>
      <w:r w:rsidRPr="005342F4">
        <w:rPr>
          <w:rFonts w:ascii="Palatino Linotype" w:eastAsia="Calibri" w:hAnsi="Palatino Linotype" w:cs="Arial"/>
          <w:b/>
          <w:sz w:val="22"/>
          <w:szCs w:val="22"/>
          <w:lang w:val="es-ES"/>
        </w:rPr>
        <w:t>Partido Morena</w:t>
      </w:r>
      <w:r w:rsidRPr="005342F4">
        <w:rPr>
          <w:rFonts w:ascii="Palatino Linotype" w:eastAsia="Calibri" w:hAnsi="Palatino Linotype" w:cs="Arial"/>
          <w:sz w:val="22"/>
          <w:szCs w:val="22"/>
          <w:lang w:val="es-ES"/>
        </w:rPr>
        <w:t xml:space="preserve"> </w:t>
      </w:r>
      <w:r w:rsidRPr="005342F4">
        <w:rPr>
          <w:rFonts w:ascii="Palatino Linotype" w:eastAsia="Calibri" w:hAnsi="Palatino Linotype" w:cs="Arial"/>
          <w:bCs/>
          <w:sz w:val="22"/>
          <w:szCs w:val="22"/>
        </w:rPr>
        <w:t xml:space="preserve">a la solicitud </w:t>
      </w:r>
      <w:bookmarkStart w:id="41" w:name="_Toc460947013"/>
      <w:r w:rsidRPr="005342F4">
        <w:rPr>
          <w:rFonts w:ascii="Palatino Linotype" w:hAnsi="Palatino Linotype"/>
          <w:b/>
          <w:sz w:val="22"/>
          <w:szCs w:val="22"/>
        </w:rPr>
        <w:t>00122/PMOR/IP/2024.</w:t>
      </w:r>
    </w:p>
    <w:p w:rsidR="006D58A3" w:rsidRPr="005342F4" w:rsidRDefault="006D58A3" w:rsidP="006D58A3">
      <w:pPr>
        <w:spacing w:line="360" w:lineRule="auto"/>
        <w:contextualSpacing/>
        <w:jc w:val="both"/>
        <w:rPr>
          <w:rFonts w:ascii="Palatino Linotype" w:hAnsi="Palatino Linotype" w:cs="Arial"/>
          <w:b/>
          <w:sz w:val="22"/>
          <w:szCs w:val="22"/>
          <w:lang w:val="es-ES"/>
        </w:rPr>
      </w:pPr>
    </w:p>
    <w:p w:rsidR="006D58A3" w:rsidRPr="005342F4" w:rsidRDefault="006D58A3" w:rsidP="006D58A3">
      <w:pPr>
        <w:tabs>
          <w:tab w:val="left" w:pos="8080"/>
        </w:tabs>
        <w:spacing w:line="360" w:lineRule="auto"/>
        <w:ind w:right="49"/>
        <w:contextualSpacing/>
        <w:jc w:val="both"/>
        <w:rPr>
          <w:rFonts w:ascii="Palatino Linotype" w:eastAsia="Palatino Linotype" w:hAnsi="Palatino Linotype" w:cs="Palatino Linotype"/>
          <w:b/>
          <w:sz w:val="22"/>
          <w:szCs w:val="22"/>
        </w:rPr>
      </w:pPr>
      <w:r w:rsidRPr="005342F4">
        <w:rPr>
          <w:rFonts w:ascii="Palatino Linotype" w:eastAsia="MS Mincho" w:hAnsi="Palatino Linotype"/>
          <w:b/>
          <w:color w:val="000000"/>
          <w:sz w:val="22"/>
          <w:szCs w:val="22"/>
        </w:rPr>
        <w:t>TERCERO.</w:t>
      </w:r>
      <w:r w:rsidRPr="005342F4">
        <w:rPr>
          <w:rFonts w:ascii="Palatino Linotype" w:eastAsia="MS Mincho" w:hAnsi="Palatino Linotype"/>
          <w:color w:val="000000"/>
          <w:sz w:val="22"/>
          <w:szCs w:val="22"/>
        </w:rPr>
        <w:t xml:space="preserve"> </w:t>
      </w:r>
      <w:bookmarkEnd w:id="41"/>
      <w:r w:rsidRPr="005342F4">
        <w:rPr>
          <w:rFonts w:ascii="Palatino Linotype" w:eastAsia="Palatino Linotype" w:hAnsi="Palatino Linotype" w:cs="Palatino Linotype"/>
          <w:b/>
          <w:sz w:val="22"/>
          <w:szCs w:val="22"/>
        </w:rPr>
        <w:t xml:space="preserve">Notifíquese </w:t>
      </w:r>
      <w:r w:rsidRPr="005342F4">
        <w:rPr>
          <w:rFonts w:ascii="Palatino Linotype" w:eastAsia="Palatino Linotype" w:hAnsi="Palatino Linotype" w:cs="Palatino Linotype"/>
          <w:sz w:val="22"/>
          <w:szCs w:val="22"/>
        </w:rPr>
        <w:t xml:space="preserve">vía Sistema de Acceso a la Información Mexiquense </w:t>
      </w:r>
      <w:r w:rsidRPr="005342F4">
        <w:rPr>
          <w:rFonts w:ascii="Palatino Linotype" w:eastAsia="Palatino Linotype" w:hAnsi="Palatino Linotype" w:cs="Palatino Linotype"/>
          <w:b/>
          <w:sz w:val="22"/>
          <w:szCs w:val="22"/>
        </w:rPr>
        <w:t>(SAIMEX),</w:t>
      </w:r>
      <w:r w:rsidRPr="005342F4">
        <w:rPr>
          <w:rFonts w:ascii="Palatino Linotype" w:eastAsia="Palatino Linotype" w:hAnsi="Palatino Linotype" w:cs="Palatino Linotype"/>
          <w:sz w:val="22"/>
          <w:szCs w:val="22"/>
        </w:rPr>
        <w:t xml:space="preserve"> la presente resolución al Titular de la Unidad de Transparencia del </w:t>
      </w:r>
      <w:r w:rsidRPr="005342F4">
        <w:rPr>
          <w:rFonts w:ascii="Palatino Linotype" w:eastAsia="Palatino Linotype" w:hAnsi="Palatino Linotype" w:cs="Palatino Linotype"/>
          <w:b/>
          <w:sz w:val="22"/>
          <w:szCs w:val="22"/>
        </w:rPr>
        <w:t>SUJETO OBLIGADO.</w:t>
      </w:r>
    </w:p>
    <w:p w:rsidR="006D58A3" w:rsidRPr="005342F4" w:rsidRDefault="006D58A3" w:rsidP="006D58A3">
      <w:pPr>
        <w:tabs>
          <w:tab w:val="left" w:pos="8080"/>
        </w:tabs>
        <w:spacing w:line="360" w:lineRule="auto"/>
        <w:ind w:right="49"/>
        <w:contextualSpacing/>
        <w:jc w:val="both"/>
        <w:rPr>
          <w:rFonts w:ascii="Palatino Linotype" w:eastAsia="Palatino Linotype" w:hAnsi="Palatino Linotype" w:cs="Palatino Linotype"/>
          <w:b/>
          <w:sz w:val="22"/>
          <w:szCs w:val="22"/>
        </w:rPr>
      </w:pPr>
    </w:p>
    <w:p w:rsidR="006D58A3" w:rsidRPr="005342F4" w:rsidRDefault="006D58A3" w:rsidP="006D58A3">
      <w:pPr>
        <w:shd w:val="clear" w:color="auto" w:fill="FFFFFF"/>
        <w:spacing w:line="360" w:lineRule="auto"/>
        <w:jc w:val="both"/>
        <w:rPr>
          <w:rFonts w:ascii="Palatino Linotype" w:hAnsi="Palatino Linotype"/>
          <w:sz w:val="22"/>
          <w:szCs w:val="22"/>
        </w:rPr>
      </w:pPr>
      <w:r w:rsidRPr="005342F4">
        <w:rPr>
          <w:rFonts w:ascii="Palatino Linotype" w:hAnsi="Palatino Linotype" w:cs="Arial"/>
          <w:b/>
          <w:sz w:val="22"/>
          <w:szCs w:val="22"/>
        </w:rPr>
        <w:t xml:space="preserve">CUARTO. </w:t>
      </w:r>
      <w:r w:rsidRPr="005342F4">
        <w:rPr>
          <w:rFonts w:ascii="Palatino Linotype" w:hAnsi="Palatino Linotype"/>
          <w:b/>
          <w:bCs/>
          <w:color w:val="222222"/>
          <w:sz w:val="22"/>
          <w:szCs w:val="22"/>
          <w:lang w:val="es-ES"/>
        </w:rPr>
        <w:t>Notifíquese al</w:t>
      </w:r>
      <w:r w:rsidRPr="005342F4">
        <w:rPr>
          <w:rFonts w:ascii="Palatino Linotype" w:hAnsi="Palatino Linotype"/>
          <w:b/>
          <w:sz w:val="22"/>
          <w:szCs w:val="22"/>
        </w:rPr>
        <w:t xml:space="preserve"> RECURRENTE</w:t>
      </w:r>
      <w:r w:rsidRPr="005342F4">
        <w:rPr>
          <w:rFonts w:ascii="Palatino Linotype" w:hAnsi="Palatino Linotype"/>
          <w:sz w:val="22"/>
          <w:szCs w:val="22"/>
        </w:rPr>
        <w:t xml:space="preserve"> la presente resolución, </w:t>
      </w:r>
      <w:r w:rsidRPr="005342F4">
        <w:rPr>
          <w:rFonts w:ascii="Palatino Linotype" w:eastAsia="Palatino Linotype" w:hAnsi="Palatino Linotype" w:cs="Palatino Linotype"/>
          <w:sz w:val="22"/>
          <w:szCs w:val="22"/>
        </w:rPr>
        <w:t xml:space="preserve">vía Sistema de Acceso a la Información Mexiquense </w:t>
      </w:r>
      <w:r w:rsidRPr="005342F4">
        <w:rPr>
          <w:rFonts w:ascii="Palatino Linotype" w:eastAsia="Palatino Linotype" w:hAnsi="Palatino Linotype" w:cs="Palatino Linotype"/>
          <w:b/>
          <w:sz w:val="22"/>
          <w:szCs w:val="22"/>
        </w:rPr>
        <w:t>(SAIMEX).</w:t>
      </w:r>
    </w:p>
    <w:p w:rsidR="006D58A3" w:rsidRPr="005342F4" w:rsidRDefault="006D58A3" w:rsidP="006D58A3">
      <w:pPr>
        <w:shd w:val="clear" w:color="auto" w:fill="FFFFFF"/>
        <w:spacing w:line="360" w:lineRule="auto"/>
        <w:jc w:val="both"/>
        <w:rPr>
          <w:rFonts w:ascii="Palatino Linotype" w:hAnsi="Palatino Linotype"/>
          <w:sz w:val="22"/>
          <w:szCs w:val="22"/>
        </w:rPr>
      </w:pPr>
    </w:p>
    <w:p w:rsidR="00874F8E" w:rsidRPr="005342F4" w:rsidRDefault="006D58A3" w:rsidP="006D58A3">
      <w:pPr>
        <w:spacing w:before="240" w:after="240" w:line="360" w:lineRule="auto"/>
        <w:ind w:right="1"/>
        <w:jc w:val="both"/>
        <w:rPr>
          <w:rFonts w:ascii="Palatino Linotype" w:eastAsia="Palatino Linotype" w:hAnsi="Palatino Linotype" w:cs="Palatino Linotype"/>
          <w:sz w:val="22"/>
          <w:szCs w:val="22"/>
        </w:rPr>
      </w:pPr>
      <w:r w:rsidRPr="005342F4">
        <w:rPr>
          <w:rFonts w:ascii="Palatino Linotype" w:eastAsia="MS Mincho" w:hAnsi="Palatino Linotype"/>
          <w:b/>
          <w:sz w:val="22"/>
          <w:szCs w:val="22"/>
        </w:rPr>
        <w:t>QUINTO.</w:t>
      </w:r>
      <w:r w:rsidRPr="005342F4">
        <w:rPr>
          <w:rFonts w:ascii="Palatino Linotype" w:eastAsia="MS Mincho" w:hAnsi="Palatino Linotype"/>
          <w:sz w:val="22"/>
          <w:szCs w:val="22"/>
        </w:rPr>
        <w:t xml:space="preserve"> </w:t>
      </w:r>
      <w:r w:rsidRPr="005342F4">
        <w:rPr>
          <w:rFonts w:ascii="Palatino Linotype" w:eastAsia="MS Mincho" w:hAnsi="Palatino Linotype"/>
          <w:sz w:val="22"/>
          <w:szCs w:val="22"/>
          <w:lang w:val="es-ES"/>
        </w:rPr>
        <w:t xml:space="preserve">Se hace del conocimiento del </w:t>
      </w:r>
      <w:r w:rsidRPr="005342F4">
        <w:rPr>
          <w:rFonts w:ascii="Palatino Linotype" w:eastAsia="MS Mincho" w:hAnsi="Palatino Linotype"/>
          <w:b/>
          <w:sz w:val="22"/>
          <w:szCs w:val="22"/>
          <w:lang w:val="es-ES"/>
        </w:rPr>
        <w:t>RECURRENTE</w:t>
      </w:r>
      <w:r w:rsidRPr="005342F4">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342F4">
        <w:rPr>
          <w:rFonts w:ascii="Palatino Linotype" w:eastAsia="MS Mincho" w:hAnsi="Palatino Linotype"/>
          <w:bCs/>
          <w:sz w:val="22"/>
          <w:szCs w:val="22"/>
          <w:lang w:val="es-ES"/>
        </w:rPr>
        <w:t>vía juicio de amparo</w:t>
      </w:r>
      <w:r w:rsidRPr="005342F4">
        <w:rPr>
          <w:rFonts w:ascii="Palatino Linotype" w:eastAsia="MS Mincho" w:hAnsi="Palatino Linotype"/>
          <w:sz w:val="22"/>
          <w:szCs w:val="22"/>
          <w:lang w:val="es-ES"/>
        </w:rPr>
        <w:t xml:space="preserve"> en los términos de las leyes aplicables.</w:t>
      </w:r>
    </w:p>
    <w:p w:rsidR="00874F8E" w:rsidRPr="005342F4" w:rsidRDefault="00874F8E" w:rsidP="00874F8E">
      <w:pPr>
        <w:spacing w:line="360" w:lineRule="auto"/>
        <w:jc w:val="both"/>
        <w:rPr>
          <w:rFonts w:ascii="Palatino Linotype" w:eastAsia="MS Mincho" w:hAnsi="Palatino Linotype"/>
          <w:sz w:val="22"/>
          <w:szCs w:val="22"/>
          <w:lang w:val="es-ES"/>
        </w:rPr>
      </w:pPr>
    </w:p>
    <w:bookmarkEnd w:id="27"/>
    <w:bookmarkEnd w:id="28"/>
    <w:bookmarkEnd w:id="29"/>
    <w:p w:rsidR="00C319D5" w:rsidRPr="003C7186" w:rsidRDefault="00C319D5" w:rsidP="00C319D5">
      <w:pPr>
        <w:spacing w:line="360" w:lineRule="auto"/>
        <w:ind w:left="-142" w:right="-234" w:firstLine="1"/>
        <w:jc w:val="both"/>
        <w:rPr>
          <w:rFonts w:ascii="Palatino Linotype" w:hAnsi="Palatino Linotype"/>
        </w:rPr>
      </w:pPr>
      <w:r w:rsidRPr="005342F4">
        <w:rPr>
          <w:rFonts w:ascii="Palatino Linotype" w:hAnsi="Palatino Linotype"/>
        </w:rPr>
        <w:t xml:space="preserve">ASÍ LO RESUELVE, POR UNANIMIDAD DE VOTOS, EL PLENO DEL INSTITUTO DE TRANSPARENCIA, ACCESO A LA INFORMACIÓN PÚBLICA Y PROTECCIÓN </w:t>
      </w:r>
      <w:r w:rsidRPr="005342F4">
        <w:rPr>
          <w:rFonts w:ascii="Palatino Linotype" w:hAnsi="Palatino Linotype"/>
        </w:rPr>
        <w:lastRenderedPageBreak/>
        <w:t>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42" w:name="_GoBack"/>
      <w:bookmarkEnd w:id="42"/>
      <w:r w:rsidRPr="003C7186">
        <w:rPr>
          <w:rFonts w:ascii="Palatino Linotype" w:hAnsi="Palatino Linotype"/>
        </w:rPr>
        <w:t xml:space="preserve"> </w:t>
      </w:r>
    </w:p>
    <w:p w:rsidR="00C319D5" w:rsidRPr="00902BA4" w:rsidRDefault="00C319D5" w:rsidP="00C319D5">
      <w:pPr>
        <w:widowControl w:val="0"/>
        <w:autoSpaceDE w:val="0"/>
        <w:autoSpaceDN w:val="0"/>
        <w:adjustRightInd w:val="0"/>
        <w:spacing w:after="200" w:line="276" w:lineRule="auto"/>
        <w:ind w:left="-142" w:right="-234"/>
        <w:rPr>
          <w:rFonts w:ascii="Calibri" w:hAnsi="Calibri" w:cs="Calibri"/>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874F8E" w:rsidRPr="006D58A3" w:rsidRDefault="00874F8E" w:rsidP="00874F8E">
      <w:pPr>
        <w:spacing w:line="360" w:lineRule="auto"/>
        <w:jc w:val="both"/>
        <w:rPr>
          <w:rFonts w:ascii="Palatino Linotype" w:hAnsi="Palatino Linotype" w:cs="Tahoma"/>
          <w:sz w:val="22"/>
          <w:szCs w:val="22"/>
        </w:rPr>
      </w:pPr>
    </w:p>
    <w:p w:rsidR="00765CD4" w:rsidRPr="006D58A3" w:rsidRDefault="00765CD4">
      <w:pPr>
        <w:rPr>
          <w:rFonts w:ascii="Palatino Linotype" w:hAnsi="Palatino Linotype"/>
          <w:sz w:val="22"/>
          <w:szCs w:val="22"/>
        </w:rPr>
      </w:pPr>
    </w:p>
    <w:sectPr w:rsidR="00765CD4" w:rsidRPr="006D58A3" w:rsidSect="00AB74EC">
      <w:headerReference w:type="default" r:id="rId14"/>
      <w:footerReference w:type="default" r:id="rId15"/>
      <w:headerReference w:type="first" r:id="rId16"/>
      <w:footerReference w:type="first" r:id="rId17"/>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5F" w:rsidRDefault="00547E5F" w:rsidP="00874F8E">
      <w:r>
        <w:separator/>
      </w:r>
    </w:p>
  </w:endnote>
  <w:endnote w:type="continuationSeparator" w:id="0">
    <w:p w:rsidR="00547E5F" w:rsidRDefault="00547E5F" w:rsidP="0087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AB74EC" w:rsidRPr="00883450" w:rsidRDefault="00AB74EC">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5342F4">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5342F4">
              <w:rPr>
                <w:rFonts w:ascii="Palatino Linotype" w:hAnsi="Palatino Linotype"/>
                <w:b/>
                <w:bCs/>
                <w:noProof/>
                <w:sz w:val="22"/>
                <w:szCs w:val="20"/>
              </w:rPr>
              <w:t>23</w:t>
            </w:r>
            <w:r w:rsidRPr="00883450">
              <w:rPr>
                <w:rFonts w:ascii="Palatino Linotype" w:hAnsi="Palatino Linotype"/>
                <w:b/>
                <w:bCs/>
                <w:sz w:val="22"/>
                <w:szCs w:val="20"/>
              </w:rPr>
              <w:fldChar w:fldCharType="end"/>
            </w:r>
          </w:p>
        </w:sdtContent>
      </w:sdt>
    </w:sdtContent>
  </w:sdt>
  <w:p w:rsidR="00AB74EC" w:rsidRDefault="00AB74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EC" w:rsidRPr="00883450" w:rsidRDefault="00AB74EC" w:rsidP="00AB74EC">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5342F4" w:rsidRPr="005342F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5342F4" w:rsidRPr="005342F4">
      <w:rPr>
        <w:rFonts w:ascii="Palatino Linotype" w:hAnsi="Palatino Linotype"/>
        <w:noProof/>
        <w:sz w:val="22"/>
        <w:szCs w:val="22"/>
        <w:lang w:val="es-ES"/>
      </w:rPr>
      <w:t>23</w:t>
    </w:r>
    <w:r w:rsidRPr="00883450">
      <w:rPr>
        <w:rFonts w:ascii="Palatino Linotype" w:hAnsi="Palatino Linotype"/>
        <w:sz w:val="22"/>
        <w:szCs w:val="22"/>
      </w:rPr>
      <w:fldChar w:fldCharType="end"/>
    </w:r>
  </w:p>
  <w:p w:rsidR="00AB74EC" w:rsidRPr="00883450" w:rsidRDefault="00AB74EC">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5F" w:rsidRDefault="00547E5F" w:rsidP="00874F8E">
      <w:r>
        <w:separator/>
      </w:r>
    </w:p>
  </w:footnote>
  <w:footnote w:type="continuationSeparator" w:id="0">
    <w:p w:rsidR="00547E5F" w:rsidRDefault="00547E5F" w:rsidP="00874F8E">
      <w:r>
        <w:continuationSeparator/>
      </w:r>
    </w:p>
  </w:footnote>
  <w:footnote w:id="1">
    <w:p w:rsidR="00AB74EC" w:rsidRDefault="00AB74EC" w:rsidP="00874F8E">
      <w:pPr>
        <w:pStyle w:val="Textonotapie"/>
      </w:pPr>
      <w:r>
        <w:rPr>
          <w:rStyle w:val="Refdenotaalpie"/>
        </w:rPr>
        <w:footnoteRef/>
      </w:r>
      <w:r>
        <w:t xml:space="preserve"> Convención Americana sobre Derechos Humanos. Artículo 13.</w:t>
      </w:r>
    </w:p>
  </w:footnote>
  <w:footnote w:id="2">
    <w:p w:rsidR="00AB74EC" w:rsidRDefault="00AB74EC" w:rsidP="00874F8E">
      <w:pPr>
        <w:pStyle w:val="Textonotapie"/>
      </w:pPr>
      <w:r>
        <w:rPr>
          <w:rStyle w:val="Refdenotaalpie"/>
        </w:rPr>
        <w:footnoteRef/>
      </w:r>
      <w:r>
        <w:t xml:space="preserve"> Constitución Política de los Estados Unidos Mexicanos. Artículo sexto, sección A, fracción I.</w:t>
      </w:r>
    </w:p>
  </w:footnote>
  <w:footnote w:id="3">
    <w:p w:rsidR="00AB74EC" w:rsidRDefault="00AB74EC" w:rsidP="00874F8E">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AB74EC" w:rsidRDefault="00AB74EC" w:rsidP="00874F8E">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EC" w:rsidRDefault="00AB74EC" w:rsidP="00AB74EC">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AB74EC" w:rsidRDefault="00AB74EC">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AB74EC" w:rsidRPr="00674A46" w:rsidTr="00AB74EC">
      <w:trPr>
        <w:trHeight w:val="138"/>
      </w:trPr>
      <w:tc>
        <w:tcPr>
          <w:tcW w:w="3544" w:type="dxa"/>
          <w:vAlign w:val="center"/>
        </w:tcPr>
        <w:p w:rsidR="00AB74EC" w:rsidRPr="00620589" w:rsidRDefault="00AB74EC" w:rsidP="00AB74EC">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AB74EC" w:rsidRPr="00B465F0" w:rsidRDefault="00AB74EC" w:rsidP="00AB74EC">
          <w:pPr>
            <w:pStyle w:val="Encabezado"/>
            <w:rPr>
              <w:rFonts w:ascii="Palatino Linotype" w:hAnsi="Palatino Linotype" w:cs="Arial"/>
              <w:b/>
              <w:bCs/>
              <w:sz w:val="20"/>
              <w:szCs w:val="20"/>
              <w:lang w:eastAsia="es-MX"/>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4483</w:t>
          </w:r>
          <w:r w:rsidRPr="00B465F0">
            <w:rPr>
              <w:rFonts w:ascii="Palatino Linotype" w:hAnsi="Palatino Linotype" w:cs="Arial"/>
              <w:b/>
              <w:bCs/>
              <w:sz w:val="20"/>
              <w:szCs w:val="20"/>
              <w:lang w:eastAsia="es-MX"/>
            </w:rPr>
            <w:t>/INFOEM/IP/RR/202</w:t>
          </w:r>
          <w:r>
            <w:rPr>
              <w:rFonts w:ascii="Palatino Linotype" w:hAnsi="Palatino Linotype" w:cs="Arial"/>
              <w:b/>
              <w:bCs/>
              <w:sz w:val="20"/>
              <w:szCs w:val="20"/>
              <w:lang w:eastAsia="es-MX"/>
            </w:rPr>
            <w:t>4</w:t>
          </w:r>
        </w:p>
      </w:tc>
    </w:tr>
    <w:tr w:rsidR="00AB74EC" w:rsidRPr="00674A46" w:rsidTr="00AB74EC">
      <w:trPr>
        <w:trHeight w:val="233"/>
      </w:trPr>
      <w:tc>
        <w:tcPr>
          <w:tcW w:w="3544" w:type="dxa"/>
          <w:vAlign w:val="center"/>
        </w:tcPr>
        <w:p w:rsidR="00AB74EC" w:rsidRPr="00620589" w:rsidRDefault="00AB74EC" w:rsidP="00AB74EC">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AB74EC" w:rsidRPr="00B465F0" w:rsidRDefault="00AB74EC" w:rsidP="00AB74EC">
          <w:pPr>
            <w:pStyle w:val="Encabezado"/>
            <w:rPr>
              <w:rFonts w:ascii="Palatino Linotype" w:hAnsi="Palatino Linotype"/>
              <w:b/>
              <w:sz w:val="20"/>
              <w:szCs w:val="20"/>
            </w:rPr>
          </w:pPr>
          <w:r>
            <w:rPr>
              <w:rFonts w:ascii="Palatino Linotype" w:hAnsi="Palatino Linotype"/>
              <w:b/>
              <w:bCs/>
              <w:color w:val="000000"/>
              <w:sz w:val="20"/>
              <w:szCs w:val="20"/>
            </w:rPr>
            <w:t>Partido Morena</w:t>
          </w:r>
        </w:p>
      </w:tc>
    </w:tr>
    <w:tr w:rsidR="00AB74EC" w:rsidRPr="00674A46" w:rsidTr="00AB74EC">
      <w:trPr>
        <w:trHeight w:val="321"/>
      </w:trPr>
      <w:tc>
        <w:tcPr>
          <w:tcW w:w="3544" w:type="dxa"/>
          <w:vAlign w:val="center"/>
        </w:tcPr>
        <w:p w:rsidR="00AB74EC" w:rsidRPr="00620589" w:rsidRDefault="00AB74EC" w:rsidP="00AB74EC">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AB74EC" w:rsidRPr="00B465F0" w:rsidRDefault="00AB74EC" w:rsidP="00AB74EC">
          <w:pPr>
            <w:pStyle w:val="Encabezado"/>
            <w:rPr>
              <w:rFonts w:ascii="Palatino Linotype" w:hAnsi="Palatino Linotype"/>
              <w:b/>
              <w:sz w:val="20"/>
              <w:szCs w:val="20"/>
            </w:rPr>
          </w:pPr>
          <w:r w:rsidRPr="00B465F0">
            <w:rPr>
              <w:rFonts w:ascii="Palatino Linotype" w:hAnsi="Palatino Linotype"/>
              <w:b/>
              <w:sz w:val="20"/>
              <w:szCs w:val="20"/>
            </w:rPr>
            <w:t>María del Rosario Mejía Ayala</w:t>
          </w:r>
        </w:p>
      </w:tc>
    </w:tr>
  </w:tbl>
  <w:p w:rsidR="00AB74EC" w:rsidRDefault="00AB74EC" w:rsidP="00AB74E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EC" w:rsidRDefault="00547E5F" w:rsidP="00AB74EC">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AB74EC">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AB74EC" w:rsidRPr="00674A46" w:rsidTr="00AB74EC">
      <w:trPr>
        <w:trHeight w:val="138"/>
      </w:trPr>
      <w:tc>
        <w:tcPr>
          <w:tcW w:w="3261" w:type="dxa"/>
          <w:shd w:val="clear" w:color="auto" w:fill="auto"/>
          <w:vAlign w:val="center"/>
        </w:tcPr>
        <w:p w:rsidR="00AB74EC" w:rsidRPr="00B465F0" w:rsidRDefault="00AB74EC" w:rsidP="00AB74EC">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rsidR="00AB74EC" w:rsidRPr="00B465F0" w:rsidRDefault="00AB74EC" w:rsidP="00AB74EC">
          <w:pPr>
            <w:pStyle w:val="Encabezado"/>
            <w:jc w:val="both"/>
            <w:rPr>
              <w:rFonts w:ascii="Palatino Linotype" w:hAnsi="Palatino Linotype"/>
              <w:b/>
              <w:sz w:val="20"/>
              <w:szCs w:val="20"/>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4483/INFOEM/IP/RR/2024</w:t>
          </w:r>
        </w:p>
      </w:tc>
    </w:tr>
    <w:tr w:rsidR="00AB74EC" w:rsidRPr="00B75F20" w:rsidTr="00AB74EC">
      <w:trPr>
        <w:trHeight w:val="233"/>
      </w:trPr>
      <w:tc>
        <w:tcPr>
          <w:tcW w:w="3261" w:type="dxa"/>
          <w:shd w:val="clear" w:color="auto" w:fill="auto"/>
          <w:vAlign w:val="center"/>
        </w:tcPr>
        <w:p w:rsidR="00AB74EC" w:rsidRPr="00B465F0" w:rsidRDefault="00AB74EC" w:rsidP="00AB74EC">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rsidR="00AB74EC" w:rsidRPr="00B465F0" w:rsidRDefault="005342F4" w:rsidP="00AB74EC">
          <w:pPr>
            <w:pStyle w:val="Encabezado"/>
            <w:ind w:right="234"/>
            <w:jc w:val="both"/>
            <w:rPr>
              <w:rFonts w:ascii="Palatino Linotype" w:hAnsi="Palatino Linotype"/>
              <w:b/>
              <w:sz w:val="20"/>
              <w:szCs w:val="20"/>
            </w:rPr>
          </w:pPr>
          <w:r>
            <w:rPr>
              <w:rFonts w:ascii="Palatino Linotype" w:hAnsi="Palatino Linotype"/>
              <w:b/>
              <w:sz w:val="20"/>
              <w:szCs w:val="20"/>
            </w:rPr>
            <w:t>XXXXXXXXX</w:t>
          </w:r>
        </w:p>
      </w:tc>
    </w:tr>
    <w:tr w:rsidR="00AB74EC" w:rsidRPr="00674A46" w:rsidTr="00AB74EC">
      <w:trPr>
        <w:trHeight w:val="321"/>
      </w:trPr>
      <w:tc>
        <w:tcPr>
          <w:tcW w:w="3261" w:type="dxa"/>
          <w:shd w:val="clear" w:color="auto" w:fill="auto"/>
          <w:vAlign w:val="center"/>
        </w:tcPr>
        <w:p w:rsidR="00AB74EC" w:rsidRPr="00B465F0" w:rsidRDefault="00AB74EC" w:rsidP="00AB74EC">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rsidR="00AB74EC" w:rsidRPr="00B465F0" w:rsidRDefault="00AB74EC" w:rsidP="00AB74EC">
          <w:pPr>
            <w:pStyle w:val="Encabezado"/>
            <w:jc w:val="both"/>
            <w:rPr>
              <w:rFonts w:ascii="Palatino Linotype" w:hAnsi="Palatino Linotype"/>
              <w:b/>
              <w:sz w:val="20"/>
              <w:szCs w:val="20"/>
            </w:rPr>
          </w:pPr>
          <w:r>
            <w:rPr>
              <w:rFonts w:ascii="Palatino Linotype" w:hAnsi="Palatino Linotype"/>
              <w:b/>
              <w:bCs/>
              <w:color w:val="000000"/>
              <w:sz w:val="20"/>
              <w:szCs w:val="20"/>
            </w:rPr>
            <w:t>Partido Morena</w:t>
          </w:r>
        </w:p>
      </w:tc>
    </w:tr>
    <w:tr w:rsidR="00AB74EC" w:rsidRPr="00674A46" w:rsidTr="00AB74EC">
      <w:trPr>
        <w:trHeight w:val="321"/>
      </w:trPr>
      <w:tc>
        <w:tcPr>
          <w:tcW w:w="3261" w:type="dxa"/>
          <w:shd w:val="clear" w:color="auto" w:fill="auto"/>
          <w:vAlign w:val="center"/>
        </w:tcPr>
        <w:p w:rsidR="00AB74EC" w:rsidRPr="00B465F0" w:rsidRDefault="00AB74EC" w:rsidP="00AB74EC">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rsidR="00AB74EC" w:rsidRPr="00B465F0" w:rsidRDefault="00AB74EC" w:rsidP="00AB74EC">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rsidR="00AB74EC" w:rsidRDefault="00AB74EC" w:rsidP="00AB74EC">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AE5"/>
    <w:multiLevelType w:val="multilevel"/>
    <w:tmpl w:val="0E7AA73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8E"/>
    <w:rsid w:val="001E431B"/>
    <w:rsid w:val="00355878"/>
    <w:rsid w:val="00456D7B"/>
    <w:rsid w:val="004A1205"/>
    <w:rsid w:val="004B0972"/>
    <w:rsid w:val="004D1B03"/>
    <w:rsid w:val="005342F4"/>
    <w:rsid w:val="00547E5F"/>
    <w:rsid w:val="006D58A3"/>
    <w:rsid w:val="007609B0"/>
    <w:rsid w:val="00765CD4"/>
    <w:rsid w:val="00874F8E"/>
    <w:rsid w:val="00AB0C6B"/>
    <w:rsid w:val="00AB74EC"/>
    <w:rsid w:val="00C319D5"/>
    <w:rsid w:val="00CA0013"/>
    <w:rsid w:val="00F01637"/>
    <w:rsid w:val="00F452D8"/>
    <w:rsid w:val="00F72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7BB369-5770-4B25-A2FD-E60AA70D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8E"/>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874F8E"/>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4F8E"/>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74F8E"/>
    <w:rPr>
      <w:rFonts w:eastAsiaTheme="minorEastAsia"/>
      <w:sz w:val="24"/>
      <w:szCs w:val="24"/>
      <w:lang w:val="es-ES_tradnl" w:eastAsia="es-ES"/>
    </w:rPr>
  </w:style>
  <w:style w:type="paragraph" w:styleId="Piedepgina">
    <w:name w:val="footer"/>
    <w:basedOn w:val="Normal"/>
    <w:link w:val="Piedepgina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74F8E"/>
    <w:rPr>
      <w:rFonts w:eastAsiaTheme="minorEastAsia"/>
      <w:sz w:val="24"/>
      <w:szCs w:val="24"/>
      <w:lang w:val="es-ES_tradnl" w:eastAsia="es-ES"/>
    </w:rPr>
  </w:style>
  <w:style w:type="table" w:styleId="Tablaconcuadrcula">
    <w:name w:val="Table Grid"/>
    <w:basedOn w:val="Tablanormal"/>
    <w:uiPriority w:val="39"/>
    <w:rsid w:val="00874F8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4F8E"/>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4F8E"/>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4F8E"/>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4F8E"/>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4F8E"/>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74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mx/actores-politicos/partidos-politicos-nacionales/padron-afiliado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161296.page"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e.mx/actores-politicos/partidos-politicos-nacionales/padron-afiliad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e.mx/actores-politicos/partidos-politicos-nacionales/padron-afiliado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5093</Words>
  <Characters>28015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4</cp:revision>
  <dcterms:created xsi:type="dcterms:W3CDTF">2024-12-11T15:35:00Z</dcterms:created>
  <dcterms:modified xsi:type="dcterms:W3CDTF">2025-01-22T00:23:00Z</dcterms:modified>
</cp:coreProperties>
</file>