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574" w:rsidRPr="0024200F" w:rsidRDefault="00603574" w:rsidP="00603574">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Pr>
          <w:rFonts w:ascii="Palatino Linotype" w:hAnsi="Palatino Linotype"/>
        </w:rPr>
        <w:t>nueve de octubre de dos mil veinticuatro.</w:t>
      </w:r>
    </w:p>
    <w:p w:rsidR="00603574" w:rsidRPr="0024200F" w:rsidRDefault="00603574" w:rsidP="00603574">
      <w:pPr>
        <w:spacing w:line="360" w:lineRule="auto"/>
        <w:jc w:val="both"/>
        <w:rPr>
          <w:rFonts w:ascii="Palatino Linotype" w:hAnsi="Palatino Linotype"/>
        </w:rPr>
      </w:pPr>
    </w:p>
    <w:p w:rsidR="00603574" w:rsidRPr="002C3EC8" w:rsidRDefault="00603574" w:rsidP="00603574">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w:t>
      </w:r>
      <w:bookmarkStart w:id="0" w:name="_GoBack"/>
      <w:bookmarkEnd w:id="0"/>
      <w:r>
        <w:rPr>
          <w:rFonts w:ascii="Palatino Linotype" w:hAnsi="Palatino Linotype" w:cs="Arial"/>
        </w:rPr>
        <w:t>curso de revisión número</w:t>
      </w:r>
      <w:r w:rsidRPr="002C3EC8">
        <w:rPr>
          <w:rFonts w:ascii="Palatino Linotype" w:hAnsi="Palatino Linotype" w:cs="Arial"/>
          <w:b/>
        </w:rPr>
        <w:t xml:space="preserve"> </w:t>
      </w:r>
      <w:r w:rsidR="00D82CA4">
        <w:rPr>
          <w:rFonts w:ascii="Palatino Linotype" w:hAnsi="Palatino Linotype" w:cs="Arial"/>
          <w:b/>
        </w:rPr>
        <w:t>0</w:t>
      </w:r>
      <w:r>
        <w:rPr>
          <w:rFonts w:ascii="Palatino Linotype" w:hAnsi="Palatino Linotype" w:cs="Arial"/>
          <w:b/>
          <w:bCs/>
          <w:lang w:eastAsia="es-MX"/>
        </w:rPr>
        <w:t>5675/INFOEM/IP/RR/2024</w:t>
      </w:r>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por un particular que no proporcionó nombre o seudónimo</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Pr="00603574">
        <w:rPr>
          <w:rFonts w:ascii="Palatino Linotype" w:hAnsi="Palatino Linotype"/>
          <w:b/>
        </w:rPr>
        <w:t>Ayuntamiento de Atizapán</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rsidR="00603574" w:rsidRPr="002C3EC8" w:rsidRDefault="00603574" w:rsidP="00603574">
      <w:pPr>
        <w:tabs>
          <w:tab w:val="left" w:pos="1701"/>
        </w:tabs>
        <w:spacing w:before="240" w:line="360" w:lineRule="auto"/>
        <w:jc w:val="both"/>
        <w:rPr>
          <w:rFonts w:ascii="Palatino Linotype" w:hAnsi="Palatino Linotype" w:cs="Arial"/>
          <w:b/>
        </w:rPr>
      </w:pPr>
    </w:p>
    <w:p w:rsidR="00603574" w:rsidRDefault="00603574" w:rsidP="00603574">
      <w:pPr>
        <w:pStyle w:val="infoemcitas"/>
        <w:jc w:val="center"/>
        <w:rPr>
          <w:b/>
          <w:bCs/>
          <w:i w:val="0"/>
          <w:iCs/>
          <w:sz w:val="28"/>
          <w:szCs w:val="28"/>
        </w:rPr>
      </w:pPr>
      <w:r w:rsidRPr="002C3EC8">
        <w:rPr>
          <w:b/>
          <w:bCs/>
          <w:i w:val="0"/>
          <w:iCs/>
          <w:sz w:val="28"/>
          <w:szCs w:val="28"/>
        </w:rPr>
        <w:t>A N T E C E D E N T E S   D E L   A S U N T O</w:t>
      </w:r>
    </w:p>
    <w:p w:rsidR="00603574" w:rsidRPr="002C3EC8" w:rsidRDefault="00603574" w:rsidP="00603574">
      <w:pPr>
        <w:pStyle w:val="infoemcitas"/>
        <w:jc w:val="center"/>
        <w:rPr>
          <w:b/>
          <w:bCs/>
          <w:i w:val="0"/>
          <w:iCs/>
          <w:sz w:val="28"/>
          <w:szCs w:val="28"/>
        </w:rPr>
      </w:pPr>
    </w:p>
    <w:p w:rsidR="00603574" w:rsidRPr="002C3EC8" w:rsidRDefault="00603574" w:rsidP="00603574">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603574" w:rsidRPr="00D705FF" w:rsidRDefault="00603574" w:rsidP="00603574">
      <w:pPr>
        <w:spacing w:before="240" w:line="360" w:lineRule="auto"/>
        <w:jc w:val="both"/>
        <w:rPr>
          <w:rFonts w:ascii="Palatino Linotype" w:hAnsi="Palatino Linotype" w:cs="Arial"/>
        </w:rPr>
      </w:pPr>
      <w:r w:rsidRPr="00D705FF">
        <w:rPr>
          <w:rFonts w:ascii="Palatino Linotype" w:hAnsi="Palatino Linotype" w:cs="Arial"/>
        </w:rPr>
        <w:t xml:space="preserve">Con fecha </w:t>
      </w:r>
      <w:r>
        <w:rPr>
          <w:rFonts w:ascii="Palatino Linotype" w:hAnsi="Palatino Linotype" w:cs="Arial"/>
        </w:rPr>
        <w:t xml:space="preserve">veintidós de agosto de dos mil veinticuatro,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expediente </w:t>
      </w:r>
      <w:r>
        <w:rPr>
          <w:rFonts w:ascii="Palatino Linotype" w:hAnsi="Palatino Linotype" w:cs="Arial"/>
          <w:b/>
        </w:rPr>
        <w:t>00114/ATIZAPAN/IP/2024</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rsidR="00603574" w:rsidRPr="001C7F6F" w:rsidRDefault="00603574" w:rsidP="00603574">
      <w:pPr>
        <w:pStyle w:val="INFOEM"/>
        <w:rPr>
          <w:lang w:val="es-ES_tradnl" w:eastAsia="es-ES"/>
        </w:rPr>
      </w:pPr>
      <w:r w:rsidRPr="00D705FF">
        <w:rPr>
          <w:lang w:val="es-ES_tradnl" w:eastAsia="es-ES"/>
        </w:rPr>
        <w:t>“</w:t>
      </w:r>
      <w:r w:rsidRPr="00603574">
        <w:rPr>
          <w:lang w:val="es-ES" w:eastAsia="es-ES"/>
        </w:rPr>
        <w:t>conciliación de nómina de la primer quincena de agosto 2024</w:t>
      </w:r>
      <w:r w:rsidRPr="00D705FF">
        <w:rPr>
          <w:lang w:val="es-ES_tradnl" w:eastAsia="es-ES"/>
        </w:rPr>
        <w:t>” (Sic)</w:t>
      </w:r>
    </w:p>
    <w:p w:rsidR="00603574" w:rsidRPr="002C3EC8" w:rsidRDefault="00603574" w:rsidP="00603574">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rsidR="00603574" w:rsidRDefault="00603574" w:rsidP="00603574">
      <w:pPr>
        <w:spacing w:before="240" w:line="360" w:lineRule="auto"/>
        <w:jc w:val="both"/>
        <w:rPr>
          <w:rFonts w:ascii="Palatino Linotype" w:hAnsi="Palatino Linotype" w:cs="Arial"/>
          <w:b/>
          <w:sz w:val="28"/>
        </w:rPr>
      </w:pPr>
      <w:r>
        <w:rPr>
          <w:rFonts w:ascii="Palatino Linotype" w:hAnsi="Palatino Linotype" w:cs="Arial"/>
          <w:b/>
          <w:sz w:val="28"/>
        </w:rPr>
        <w:lastRenderedPageBreak/>
        <w:t xml:space="preserve">SEGUNDO. </w:t>
      </w:r>
      <w:r>
        <w:rPr>
          <w:rFonts w:ascii="Palatino Linotype" w:hAnsi="Palatino Linotype" w:cs="Arial"/>
          <w:b/>
          <w:sz w:val="28"/>
          <w:szCs w:val="20"/>
        </w:rPr>
        <w:t>De la respuesta o entrega de la información</w:t>
      </w:r>
      <w:r w:rsidRPr="00165D6E">
        <w:rPr>
          <w:rFonts w:ascii="Palatino Linotype" w:hAnsi="Palatino Linotype" w:cs="Arial"/>
          <w:b/>
          <w:sz w:val="28"/>
          <w:szCs w:val="20"/>
        </w:rPr>
        <w:t>.</w:t>
      </w:r>
    </w:p>
    <w:p w:rsidR="00603574" w:rsidRPr="009062B2" w:rsidRDefault="00603574" w:rsidP="00603574">
      <w:pPr>
        <w:pStyle w:val="Sinespaciado"/>
        <w:spacing w:line="360" w:lineRule="auto"/>
        <w:jc w:val="both"/>
        <w:rPr>
          <w:rFonts w:ascii="Palatino Linotype" w:hAnsi="Palatino Linotype" w:cs="Arial"/>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Pr>
          <w:rFonts w:ascii="Palatino Linotype" w:hAnsi="Palatino Linotype" w:cs="Arial"/>
          <w:b/>
          <w:sz w:val="24"/>
        </w:rPr>
        <w:t>once de septiembre de dos mil veinticuatro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rsidR="00603574" w:rsidRPr="00E818A5" w:rsidRDefault="00603574" w:rsidP="00603574">
      <w:pPr>
        <w:spacing w:line="360" w:lineRule="auto"/>
        <w:jc w:val="both"/>
        <w:rPr>
          <w:rFonts w:ascii="Palatino Linotype" w:hAnsi="Palatino Linotype" w:cs="Arial"/>
        </w:rPr>
      </w:pPr>
    </w:p>
    <w:p w:rsidR="00603574" w:rsidRDefault="00603574" w:rsidP="00603574">
      <w:pPr>
        <w:ind w:left="567" w:right="567"/>
        <w:jc w:val="both"/>
        <w:rPr>
          <w:rFonts w:ascii="Palatino Linotype" w:hAnsi="Palatino Linotype" w:cs="Arial"/>
          <w:i/>
        </w:rPr>
      </w:pPr>
      <w:r>
        <w:rPr>
          <w:rFonts w:ascii="Palatino Linotype" w:hAnsi="Palatino Linotype" w:cs="Arial"/>
          <w:i/>
        </w:rPr>
        <w:t>“</w:t>
      </w:r>
      <w:r w:rsidRPr="00603574">
        <w:rPr>
          <w:rFonts w:ascii="Palatino Linotype" w:hAnsi="Palatino Linotype" w:cs="Arial"/>
          <w:i/>
        </w:rPr>
        <w:t xml:space="preserve">Estimado C. Solicitante, en atención al folio de solicitud citado al rubro, adjunto respuesta signada por el área de tesorería municipal. </w:t>
      </w:r>
      <w:r w:rsidRPr="00667998">
        <w:rPr>
          <w:rFonts w:ascii="Palatino Linotype" w:hAnsi="Palatino Linotype" w:cs="Arial"/>
          <w:i/>
        </w:rPr>
        <w:t>“(Sic).</w:t>
      </w:r>
    </w:p>
    <w:p w:rsidR="00603574" w:rsidRDefault="00603574" w:rsidP="00603574">
      <w:pPr>
        <w:spacing w:line="360" w:lineRule="auto"/>
        <w:ind w:right="567"/>
        <w:jc w:val="both"/>
        <w:rPr>
          <w:rFonts w:ascii="Palatino Linotype" w:hAnsi="Palatino Linotype" w:cs="Arial"/>
        </w:rPr>
      </w:pPr>
    </w:p>
    <w:p w:rsidR="00603574" w:rsidRPr="003750D2" w:rsidRDefault="00603574" w:rsidP="00603574">
      <w:pPr>
        <w:spacing w:line="360" w:lineRule="auto"/>
        <w:jc w:val="both"/>
        <w:rPr>
          <w:rFonts w:ascii="Palatino Linotype" w:hAnsi="Palatino Linotype" w:cs="Arial"/>
        </w:rPr>
      </w:pPr>
      <w:r>
        <w:rPr>
          <w:rFonts w:ascii="Palatino Linotype" w:hAnsi="Palatino Linotype" w:cs="Arial"/>
        </w:rPr>
        <w:t>Adicionalmente, el Sujeto Obligado adjuntó el archivo electrónico denominado “</w:t>
      </w:r>
      <w:r w:rsidRPr="00603574">
        <w:rPr>
          <w:rFonts w:ascii="Palatino Linotype" w:hAnsi="Palatino Linotype" w:cs="Arial"/>
          <w:b/>
          <w:i/>
        </w:rPr>
        <w:t>FOL. SOL 114.pdf</w:t>
      </w:r>
      <w:r>
        <w:rPr>
          <w:rFonts w:ascii="Palatino Linotype" w:hAnsi="Palatino Linotype" w:cs="Arial"/>
          <w:b/>
          <w:i/>
        </w:rPr>
        <w:t xml:space="preserve">”, </w:t>
      </w:r>
      <w:r>
        <w:rPr>
          <w:rFonts w:ascii="Palatino Linotype" w:hAnsi="Palatino Linotype" w:cs="Arial"/>
        </w:rPr>
        <w:t xml:space="preserve">mismo que no se reproduce por ser del conocimiento de las partes, sin embargo, será materia de estudio en el considerando respectivo. </w:t>
      </w:r>
    </w:p>
    <w:p w:rsidR="00603574" w:rsidRDefault="00603574" w:rsidP="00603574">
      <w:pPr>
        <w:spacing w:before="240" w:line="360" w:lineRule="auto"/>
        <w:jc w:val="both"/>
        <w:rPr>
          <w:rFonts w:ascii="Palatino Linotype" w:hAnsi="Palatino Linotype" w:cs="Arial"/>
          <w:b/>
          <w:sz w:val="28"/>
        </w:rPr>
      </w:pPr>
    </w:p>
    <w:p w:rsidR="00603574" w:rsidRPr="002C3EC8" w:rsidRDefault="00603574" w:rsidP="00603574">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603574" w:rsidRDefault="00603574" w:rsidP="00603574">
      <w:pPr>
        <w:spacing w:before="240"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Pr>
          <w:rFonts w:ascii="Palatino Linotype" w:hAnsi="Palatino Linotype" w:cs="Arial"/>
          <w:b/>
        </w:rPr>
        <w:t>diecisiete de septiembre de dos mil veinticuatro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sidR="00D82CA4">
        <w:rPr>
          <w:rFonts w:ascii="Palatino Linotype" w:hAnsi="Palatino Linotype" w:cs="Arial"/>
          <w:b/>
        </w:rPr>
        <w:t>0</w:t>
      </w:r>
      <w:r>
        <w:rPr>
          <w:rFonts w:ascii="Palatino Linotype" w:hAnsi="Palatino Linotype" w:cs="Arial"/>
          <w:b/>
        </w:rPr>
        <w:t>5675/INFOEM/IP/RR/2024</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rsidR="00603574" w:rsidRDefault="00603574" w:rsidP="00603574">
      <w:pPr>
        <w:pStyle w:val="Prrafodelista"/>
        <w:numPr>
          <w:ilvl w:val="0"/>
          <w:numId w:val="2"/>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rsidR="00603574" w:rsidRPr="007E4713" w:rsidRDefault="00603574" w:rsidP="00603574">
      <w:pPr>
        <w:pStyle w:val="INFOEM"/>
      </w:pPr>
      <w:r w:rsidRPr="007E4713">
        <w:t>“</w:t>
      </w:r>
      <w:r w:rsidRPr="00603574">
        <w:t>No me entregan lo que solicite</w:t>
      </w:r>
      <w:r>
        <w:t>” (sic)</w:t>
      </w:r>
    </w:p>
    <w:p w:rsidR="00603574" w:rsidRPr="0033050B" w:rsidRDefault="00603574" w:rsidP="00603574">
      <w:pPr>
        <w:pStyle w:val="Prrafodelista"/>
        <w:numPr>
          <w:ilvl w:val="0"/>
          <w:numId w:val="2"/>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rsidR="00603574" w:rsidRPr="009068C9" w:rsidRDefault="00603574" w:rsidP="00603574">
      <w:pPr>
        <w:pStyle w:val="INFOEM"/>
      </w:pPr>
      <w:r>
        <w:t>“</w:t>
      </w:r>
      <w:r w:rsidRPr="00603574">
        <w:t>No me entregan lo que solicite</w:t>
      </w:r>
      <w:r>
        <w:t>” (sic)</w:t>
      </w:r>
    </w:p>
    <w:p w:rsidR="00603574" w:rsidRPr="002C3EC8" w:rsidRDefault="00603574" w:rsidP="00603574">
      <w:pPr>
        <w:spacing w:before="240" w:line="360" w:lineRule="auto"/>
        <w:jc w:val="both"/>
        <w:rPr>
          <w:rFonts w:ascii="Palatino Linotype" w:hAnsi="Palatino Linotype" w:cs="Arial"/>
          <w:b/>
        </w:rPr>
      </w:pPr>
      <w:r>
        <w:rPr>
          <w:rFonts w:ascii="Palatino Linotype" w:hAnsi="Palatino Linotype" w:cs="Arial"/>
          <w:b/>
          <w:sz w:val="28"/>
        </w:rPr>
        <w:lastRenderedPageBreak/>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603574" w:rsidRDefault="00603574" w:rsidP="00603574">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Pr>
          <w:rFonts w:ascii="Palatino Linotype" w:hAnsi="Palatino Linotype"/>
          <w:b/>
        </w:rPr>
        <w:t>dieciocho de septiembre de dos mil veinticuatro</w:t>
      </w:r>
      <w:r w:rsidRPr="002C3EC8">
        <w:rPr>
          <w:rFonts w:ascii="Palatino Linotype" w:hAnsi="Palatino Linotype"/>
        </w:rPr>
        <w:t>, determinándose en ellos, un plazo de siete días para que las partes manifestaran lo que a su derecho corresponda en términos del numeral ya citado.</w:t>
      </w:r>
    </w:p>
    <w:p w:rsidR="00603574" w:rsidRPr="004C20B7" w:rsidRDefault="00603574" w:rsidP="00603574">
      <w:pPr>
        <w:spacing w:before="240" w:line="360" w:lineRule="auto"/>
        <w:jc w:val="both"/>
        <w:rPr>
          <w:rFonts w:ascii="Palatino Linotype" w:hAnsi="Palatino Linotype" w:cs="Arial"/>
          <w:sz w:val="28"/>
        </w:rPr>
      </w:pPr>
    </w:p>
    <w:p w:rsidR="00603574" w:rsidRPr="00E52C83" w:rsidRDefault="00603574" w:rsidP="00603574">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rsidR="00603574" w:rsidRDefault="00603574" w:rsidP="00603574">
      <w:pPr>
        <w:spacing w:line="360" w:lineRule="auto"/>
        <w:jc w:val="both"/>
        <w:rPr>
          <w:rFonts w:ascii="Palatino Linotype" w:hAnsi="Palatino Linotype"/>
        </w:rPr>
      </w:pPr>
      <w:r w:rsidRPr="00DD2E32">
        <w:rPr>
          <w:rFonts w:ascii="Palatino Linotype" w:hAnsi="Palatino Linotype" w:cs="Arial"/>
        </w:rPr>
        <w:t>De las constancias que obran en el</w:t>
      </w:r>
      <w:r>
        <w:rPr>
          <w:rFonts w:ascii="Palatino Linotype" w:hAnsi="Palatino Linotype" w:cs="Arial"/>
        </w:rPr>
        <w:t xml:space="preserve"> expediente electrónico del</w:t>
      </w:r>
      <w:r w:rsidRPr="00DD2E32">
        <w:rPr>
          <w:rFonts w:ascii="Palatino Linotype" w:hAnsi="Palatino Linotype" w:cs="Arial"/>
        </w:rPr>
        <w:t xml:space="preserve"> SAIMEX, se advierte que el Sujeto Obligado </w:t>
      </w:r>
      <w:r>
        <w:rPr>
          <w:rFonts w:ascii="Palatino Linotype" w:hAnsi="Palatino Linotype" w:cs="Arial"/>
        </w:rPr>
        <w:t xml:space="preserve">fue omiso al rendir su informe justificado. </w:t>
      </w:r>
      <w:r w:rsidRPr="0006745F">
        <w:rPr>
          <w:rFonts w:ascii="Palatino Linotype" w:hAnsi="Palatino Linotype" w:cs="Arial"/>
        </w:rPr>
        <w:t>De igual manera, se advierte que el Recurrente</w:t>
      </w:r>
      <w:r w:rsidRPr="0006745F">
        <w:rPr>
          <w:rFonts w:ascii="Palatino Linotype" w:hAnsi="Palatino Linotype" w:cs="Arial"/>
          <w:b/>
        </w:rPr>
        <w:t>,</w:t>
      </w:r>
      <w:r w:rsidRPr="0006745F">
        <w:rPr>
          <w:rFonts w:ascii="Palatino Linotype" w:hAnsi="Palatino Linotype" w:cs="Arial"/>
        </w:rPr>
        <w:t xml:space="preserve"> omitió rendir dentro del término de Ley, las manifestaciones que a sus intereses conviniera.</w:t>
      </w:r>
    </w:p>
    <w:p w:rsidR="00603574" w:rsidRDefault="00603574" w:rsidP="00603574">
      <w:pPr>
        <w:spacing w:line="360" w:lineRule="auto"/>
        <w:jc w:val="both"/>
        <w:rPr>
          <w:rFonts w:ascii="Palatino Linotype" w:hAnsi="Palatino Linotype" w:cs="Arial"/>
          <w:b/>
          <w:sz w:val="28"/>
          <w:szCs w:val="28"/>
        </w:rPr>
      </w:pPr>
    </w:p>
    <w:p w:rsidR="00603574" w:rsidRPr="002C3EC8" w:rsidRDefault="00603574" w:rsidP="00603574">
      <w:pPr>
        <w:spacing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603574" w:rsidRDefault="00603574" w:rsidP="00603574">
      <w:pPr>
        <w:spacing w:line="360" w:lineRule="auto"/>
        <w:jc w:val="both"/>
        <w:rPr>
          <w:rFonts w:ascii="Palatino Linotype" w:hAnsi="Palatino Linotype" w:cs="Arial"/>
        </w:rPr>
      </w:pPr>
      <w:r w:rsidRPr="002C3EC8">
        <w:rPr>
          <w:rFonts w:ascii="Palatino Linotype" w:hAnsi="Palatino Linotype" w:cs="Arial"/>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rPr>
        <w:t xml:space="preserve"> cierre de instrucción en fecha </w:t>
      </w:r>
      <w:r>
        <w:rPr>
          <w:rFonts w:ascii="Palatino Linotype" w:hAnsi="Palatino Linotype" w:cs="Arial"/>
          <w:b/>
        </w:rPr>
        <w:t>treinta de septiembre de dos mil veinticuatro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rsidR="00603574" w:rsidRDefault="00603574" w:rsidP="00603574">
      <w:pPr>
        <w:spacing w:line="360" w:lineRule="auto"/>
        <w:jc w:val="both"/>
        <w:rPr>
          <w:rFonts w:ascii="Palatino Linotype" w:hAnsi="Palatino Linotype" w:cs="Arial"/>
          <w:b/>
          <w:sz w:val="28"/>
          <w:szCs w:val="28"/>
        </w:rPr>
      </w:pPr>
    </w:p>
    <w:p w:rsidR="00603574" w:rsidRPr="0024200F" w:rsidRDefault="00603574" w:rsidP="00603574">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rsidR="00603574" w:rsidRPr="00825F67" w:rsidRDefault="00603574" w:rsidP="00603574">
      <w:pPr>
        <w:spacing w:line="360" w:lineRule="auto"/>
        <w:ind w:right="49"/>
        <w:jc w:val="both"/>
        <w:rPr>
          <w:rFonts w:ascii="Palatino Linotype" w:hAnsi="Palatino Linotype"/>
          <w:szCs w:val="28"/>
        </w:rPr>
      </w:pPr>
    </w:p>
    <w:p w:rsidR="00603574" w:rsidRPr="002C3EC8" w:rsidRDefault="00603574" w:rsidP="00603574">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603574" w:rsidRPr="007C6AB6" w:rsidRDefault="00603574" w:rsidP="00603574">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603574" w:rsidRPr="002C3EC8" w:rsidRDefault="00603574" w:rsidP="00603574">
      <w:pPr>
        <w:spacing w:before="240" w:line="360" w:lineRule="auto"/>
        <w:jc w:val="both"/>
        <w:rPr>
          <w:rFonts w:ascii="Palatino Linotype" w:eastAsia="Calibri" w:hAnsi="Palatino Linotype"/>
          <w:b/>
          <w:color w:val="000000" w:themeColor="text1"/>
        </w:rPr>
      </w:pPr>
    </w:p>
    <w:p w:rsidR="00603574" w:rsidRPr="002C3EC8" w:rsidRDefault="00603574" w:rsidP="00603574">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603574" w:rsidRDefault="00603574" w:rsidP="00603574">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w:t>
      </w:r>
      <w:r w:rsidRPr="002C3EC8">
        <w:rPr>
          <w:rFonts w:ascii="Palatino Linotype" w:hAnsi="Palatino Linotype" w:cs="Arial"/>
        </w:rPr>
        <w:lastRenderedPageBreak/>
        <w:t>obren en el expediente electrónico, con la finalidad de reparar cualquier posible afectación al derecho de acceso a la información pública y garantizando el principio rector de máxima publicidad.</w:t>
      </w:r>
    </w:p>
    <w:p w:rsidR="00603574" w:rsidRPr="00821CCD" w:rsidRDefault="00603574" w:rsidP="00603574">
      <w:pPr>
        <w:autoSpaceDE w:val="0"/>
        <w:autoSpaceDN w:val="0"/>
        <w:adjustRightInd w:val="0"/>
        <w:spacing w:before="240" w:line="360" w:lineRule="auto"/>
        <w:jc w:val="both"/>
        <w:rPr>
          <w:rFonts w:ascii="Palatino Linotype" w:hAnsi="Palatino Linotype" w:cs="Arial"/>
        </w:rPr>
      </w:pPr>
      <w:r w:rsidRPr="00821CCD">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rsidR="00603574" w:rsidRPr="00821CCD" w:rsidRDefault="00603574" w:rsidP="00603574">
      <w:pPr>
        <w:autoSpaceDE w:val="0"/>
        <w:autoSpaceDN w:val="0"/>
        <w:adjustRightInd w:val="0"/>
        <w:spacing w:before="240" w:line="360" w:lineRule="auto"/>
        <w:ind w:left="1134"/>
        <w:jc w:val="both"/>
        <w:rPr>
          <w:rFonts w:ascii="Palatino Linotype" w:hAnsi="Palatino Linotype" w:cs="Arial"/>
          <w:i/>
        </w:rPr>
      </w:pPr>
      <w:r w:rsidRPr="00821CCD">
        <w:rPr>
          <w:rFonts w:ascii="Palatino Linotype" w:hAnsi="Palatino Linotype" w:cs="Arial"/>
          <w:i/>
        </w:rPr>
        <w:t xml:space="preserve">“Artículo 180. El recurso de revisión contendrá: </w:t>
      </w:r>
    </w:p>
    <w:p w:rsidR="00603574" w:rsidRPr="00821CCD" w:rsidRDefault="00603574" w:rsidP="00603574">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 xml:space="preserve">I. El sujeto obligado ante la cual se presentó la solicitud; </w:t>
      </w:r>
    </w:p>
    <w:p w:rsidR="00603574" w:rsidRPr="00821CCD" w:rsidRDefault="00603574" w:rsidP="00603574">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b/>
          <w:i/>
          <w:lang w:val="es-ES_tradnl"/>
        </w:rPr>
        <w:t>II. El nombre del solicitante que recurre</w:t>
      </w:r>
      <w:r w:rsidRPr="00821CCD">
        <w:rPr>
          <w:rFonts w:ascii="Palatino Linotype" w:hAnsi="Palatino Linotype" w:cs="Arial"/>
          <w:i/>
          <w:lang w:val="es-ES_tradnl"/>
        </w:rPr>
        <w:t xml:space="preserve"> o de su representante y, en su caso, del tercero interesado, así como la dirección o medio que señale para recibir notificaciones;</w:t>
      </w:r>
    </w:p>
    <w:p w:rsidR="00603574" w:rsidRPr="00821CCD" w:rsidRDefault="00603574" w:rsidP="00603574">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III. El número de folio de respuesta de la solicitud de acceso;</w:t>
      </w:r>
    </w:p>
    <w:p w:rsidR="00603574" w:rsidRPr="00821CCD" w:rsidRDefault="00603574" w:rsidP="00603574">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rsidR="00603574" w:rsidRPr="00821CCD" w:rsidRDefault="00603574" w:rsidP="00603574">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V. El acto que se recurre;</w:t>
      </w:r>
    </w:p>
    <w:p w:rsidR="00603574" w:rsidRPr="00821CCD" w:rsidRDefault="00603574" w:rsidP="00603574">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VI. Las razones o motivos de inconformidad;</w:t>
      </w:r>
    </w:p>
    <w:p w:rsidR="00603574" w:rsidRPr="00821CCD" w:rsidRDefault="00603574" w:rsidP="00603574">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 La copia de la respuesta que se impugna y, en su caso, de la notificación correspondiente, en el caso de respuesta de la solicitud; y </w:t>
      </w:r>
    </w:p>
    <w:p w:rsidR="00603574" w:rsidRPr="00821CCD" w:rsidRDefault="00603574" w:rsidP="00603574">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VIII. Firma del recurrente, en su caso, cuando se presente por escrito, requisito sin el cual se dará trámite al recurso. </w:t>
      </w:r>
    </w:p>
    <w:p w:rsidR="00603574" w:rsidRPr="00821CCD" w:rsidRDefault="00603574" w:rsidP="00603574">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Adicionalmente, se podrán anexar las pruebas y demás elementos que considere procedentes someter a juicio del Instituto. </w:t>
      </w:r>
    </w:p>
    <w:p w:rsidR="00603574" w:rsidRPr="00821CCD" w:rsidRDefault="00603574" w:rsidP="00603574">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En ningún caso será necesario que el particular ratifique el recurso de revisión interpuesto. </w:t>
      </w:r>
    </w:p>
    <w:p w:rsidR="00603574" w:rsidRPr="00821CCD" w:rsidRDefault="00603574" w:rsidP="00603574">
      <w:pPr>
        <w:autoSpaceDE w:val="0"/>
        <w:autoSpaceDN w:val="0"/>
        <w:adjustRightInd w:val="0"/>
        <w:spacing w:before="240" w:line="360" w:lineRule="auto"/>
        <w:ind w:left="1134" w:right="567"/>
        <w:jc w:val="both"/>
        <w:rPr>
          <w:rFonts w:ascii="Palatino Linotype" w:hAnsi="Palatino Linotype" w:cs="Arial"/>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603574" w:rsidRPr="00821CCD" w:rsidRDefault="00603574" w:rsidP="00603574">
      <w:pPr>
        <w:autoSpaceDE w:val="0"/>
        <w:autoSpaceDN w:val="0"/>
        <w:adjustRightInd w:val="0"/>
        <w:spacing w:before="240" w:line="360" w:lineRule="auto"/>
        <w:jc w:val="both"/>
        <w:rPr>
          <w:rFonts w:ascii="Palatino Linotype" w:hAnsi="Palatino Linotype"/>
        </w:rPr>
      </w:pPr>
    </w:p>
    <w:p w:rsidR="00603574" w:rsidRPr="00821CCD" w:rsidRDefault="00603574" w:rsidP="00603574">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603574" w:rsidRPr="00821CCD" w:rsidTr="00E503B2">
        <w:trPr>
          <w:trHeight w:val="1360"/>
        </w:trPr>
        <w:tc>
          <w:tcPr>
            <w:tcW w:w="7982" w:type="dxa"/>
          </w:tcPr>
          <w:p w:rsidR="00603574" w:rsidRPr="00821CCD" w:rsidRDefault="00603574" w:rsidP="00E503B2">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603574" w:rsidRPr="00821CCD" w:rsidRDefault="00603574" w:rsidP="00603574">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603574" w:rsidRPr="00821CCD" w:rsidTr="00E503B2">
        <w:trPr>
          <w:jc w:val="center"/>
        </w:trPr>
        <w:tc>
          <w:tcPr>
            <w:tcW w:w="8075" w:type="dxa"/>
          </w:tcPr>
          <w:p w:rsidR="00603574" w:rsidRPr="00821CCD" w:rsidRDefault="00603574" w:rsidP="00E503B2">
            <w:pPr>
              <w:autoSpaceDE w:val="0"/>
              <w:autoSpaceDN w:val="0"/>
              <w:adjustRightInd w:val="0"/>
              <w:spacing w:before="240" w:line="360" w:lineRule="auto"/>
              <w:jc w:val="center"/>
              <w:rPr>
                <w:rFonts w:ascii="Palatino Linotype" w:hAnsi="Palatino Linotype"/>
                <w:b/>
                <w:i/>
              </w:rPr>
            </w:pPr>
            <w:r w:rsidRPr="00821CCD">
              <w:rPr>
                <w:rFonts w:ascii="Palatino Linotype" w:hAnsi="Palatino Linotype"/>
                <w:b/>
                <w:i/>
              </w:rPr>
              <w:t xml:space="preserve">Constitución Política de los Estados Unidos Mexicanos </w:t>
            </w:r>
          </w:p>
          <w:p w:rsidR="00603574" w:rsidRPr="00821CCD" w:rsidRDefault="00603574" w:rsidP="00E503B2">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603574" w:rsidRPr="00821CCD" w:rsidRDefault="00603574" w:rsidP="00E503B2">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w:t>
            </w:r>
          </w:p>
          <w:p w:rsidR="00603574" w:rsidRPr="00821CCD" w:rsidRDefault="00603574" w:rsidP="00E503B2">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lastRenderedPageBreak/>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603574" w:rsidRPr="00821CCD" w:rsidRDefault="00603574" w:rsidP="00E503B2">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 </w:t>
            </w:r>
          </w:p>
          <w:p w:rsidR="00603574" w:rsidRPr="00821CCD" w:rsidRDefault="00603574" w:rsidP="00E503B2">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III. Toda persona, sin necesidad de acreditar interés alguno o justificar su utilización, tendrá acceso gratuito a la información pública, a sus datos personales o a la rectificación de éstos.</w:t>
            </w:r>
          </w:p>
          <w:p w:rsidR="00603574" w:rsidRPr="00821CCD" w:rsidRDefault="00603574" w:rsidP="00E503B2">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rsidR="00603574" w:rsidRPr="00821CCD" w:rsidRDefault="00603574" w:rsidP="00E503B2">
            <w:pPr>
              <w:autoSpaceDE w:val="0"/>
              <w:autoSpaceDN w:val="0"/>
              <w:adjustRightInd w:val="0"/>
              <w:spacing w:before="240" w:line="360" w:lineRule="auto"/>
              <w:jc w:val="both"/>
              <w:rPr>
                <w:rFonts w:ascii="Palatino Linotype" w:hAnsi="Palatino Linotype" w:cs="Arial"/>
                <w:b/>
                <w:i/>
              </w:rPr>
            </w:pPr>
            <w:r w:rsidRPr="00821CCD">
              <w:rPr>
                <w:rFonts w:ascii="Palatino Linotype" w:hAnsi="Palatino Linotype" w:cs="Arial"/>
                <w:b/>
                <w:i/>
              </w:rPr>
              <w:t>Constitución Política del Estado Libre y Soberano de México</w:t>
            </w:r>
          </w:p>
          <w:p w:rsidR="00603574" w:rsidRPr="00821CCD" w:rsidRDefault="00603574" w:rsidP="00E503B2">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603574" w:rsidRPr="00821CCD" w:rsidRDefault="00603574" w:rsidP="00E503B2">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603574" w:rsidRPr="00821CCD" w:rsidRDefault="00603574" w:rsidP="00E503B2">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Toda persona en el Estado de México, tiene derecho al libre acceso a la información plural y oportuna, así como a buscar recibir y difundir información e ideas de toda índole por cualquier medio de expresión.</w:t>
            </w:r>
          </w:p>
          <w:p w:rsidR="00603574" w:rsidRPr="00821CCD" w:rsidRDefault="00603574" w:rsidP="00E503B2">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603574" w:rsidRPr="00821CCD" w:rsidRDefault="00603574" w:rsidP="00E503B2">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rsidR="00603574" w:rsidRPr="00821CCD" w:rsidRDefault="00603574" w:rsidP="00E503B2">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603574" w:rsidRPr="00821CCD" w:rsidRDefault="00603574" w:rsidP="00E503B2">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rsidR="00603574" w:rsidRPr="00821CCD" w:rsidRDefault="00603574" w:rsidP="00E503B2">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rsidR="00603574" w:rsidRPr="00821CCD" w:rsidRDefault="00603574" w:rsidP="00E503B2">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w:t>
            </w:r>
          </w:p>
          <w:p w:rsidR="00603574" w:rsidRPr="00821CCD" w:rsidRDefault="00603574" w:rsidP="00E503B2">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 xml:space="preserve">VIII. El Estado contará con un organismo autónomo, especializado, imparcial, colegiado, con personalidad jurídica y patrimonio propio, con plena autonomía </w:t>
            </w:r>
            <w:r w:rsidRPr="00821CCD">
              <w:rPr>
                <w:rFonts w:ascii="Palatino Linotype" w:hAnsi="Palatino Linotype" w:cs="Arial"/>
                <w:i/>
              </w:rPr>
              <w:lastRenderedPageBreak/>
              <w:t>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603574" w:rsidRPr="00821CCD" w:rsidRDefault="00603574" w:rsidP="00603574">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hAnsi="Palatino Linotype"/>
          <w:b/>
          <w:u w:val="single"/>
        </w:rPr>
        <w:t>incluso, la solicitud de acceso a la información pueda ser anónima o no contener un nombre que identifique al solicitante o que permita tener certeza sobre su identidad</w:t>
      </w:r>
      <w:r w:rsidRPr="00821CCD">
        <w:rPr>
          <w:rFonts w:ascii="Palatino Linotype" w:hAnsi="Palatino Linotype"/>
        </w:rPr>
        <w:t xml:space="preserve">. </w:t>
      </w:r>
    </w:p>
    <w:p w:rsidR="00603574" w:rsidRPr="00821CCD" w:rsidRDefault="00603574" w:rsidP="00603574">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 xml:space="preserve">En conclusión, se cubrieron los requisitos de procedencia y </w:t>
      </w:r>
      <w:proofErr w:type="spellStart"/>
      <w:r w:rsidRPr="00821CCD">
        <w:rPr>
          <w:rFonts w:ascii="Palatino Linotype" w:hAnsi="Palatino Linotype"/>
        </w:rPr>
        <w:t>procedibilidad</w:t>
      </w:r>
      <w:proofErr w:type="spellEnd"/>
      <w:r w:rsidRPr="00821CCD">
        <w:rPr>
          <w:rFonts w:ascii="Palatino Linotype" w:hAnsi="Palatino Linotype"/>
        </w:rPr>
        <w:t xml:space="preserve"> y conforme a las constancias que obran en el expediente.</w:t>
      </w:r>
    </w:p>
    <w:p w:rsidR="00603574" w:rsidRPr="00FF46DA" w:rsidRDefault="00603574" w:rsidP="00603574">
      <w:pPr>
        <w:pStyle w:val="Prrafodelista"/>
        <w:autoSpaceDE w:val="0"/>
        <w:autoSpaceDN w:val="0"/>
        <w:adjustRightInd w:val="0"/>
        <w:spacing w:before="240" w:after="160" w:line="360" w:lineRule="auto"/>
        <w:ind w:left="0"/>
        <w:jc w:val="both"/>
        <w:rPr>
          <w:rFonts w:ascii="Palatino Linotype" w:hAnsi="Palatino Linotype" w:cs="Arial"/>
        </w:rPr>
      </w:pPr>
    </w:p>
    <w:p w:rsidR="00603574" w:rsidRPr="002C3EC8" w:rsidRDefault="00603574" w:rsidP="00603574">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603574" w:rsidRPr="002C3EC8" w:rsidRDefault="00603574" w:rsidP="00603574">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xml:space="preserve">, los cuales deben estudiarse con la finalidad de dar cumplimiento a los principios de legalidad y objetividad inmersos en el artículo 9 de Ley de Transparencia y Acceso a la Información Pública </w:t>
      </w:r>
      <w:r w:rsidRPr="002C3EC8">
        <w:rPr>
          <w:rFonts w:ascii="Palatino Linotype" w:hAnsi="Palatino Linotype" w:cs="Arial"/>
        </w:rPr>
        <w:lastRenderedPageBreak/>
        <w:t>del Estado de México y Municipios, en correlación con la seguridad jurídica que debe generar lo actuado ante este Organismo garante.</w:t>
      </w:r>
    </w:p>
    <w:p w:rsidR="00603574" w:rsidRPr="002C3EC8" w:rsidRDefault="00603574" w:rsidP="00603574">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603574" w:rsidRDefault="00603574" w:rsidP="00603574">
      <w:pPr>
        <w:tabs>
          <w:tab w:val="left" w:pos="709"/>
        </w:tabs>
        <w:spacing w:before="240" w:line="360" w:lineRule="auto"/>
        <w:ind w:right="51"/>
        <w:jc w:val="both"/>
        <w:rPr>
          <w:rFonts w:ascii="Palatino Linotype" w:hAnsi="Palatino Linotype"/>
          <w:b/>
          <w:sz w:val="28"/>
          <w:szCs w:val="28"/>
        </w:rPr>
      </w:pPr>
    </w:p>
    <w:p w:rsidR="00603574" w:rsidRPr="002C3EC8" w:rsidRDefault="00603574" w:rsidP="00603574">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lastRenderedPageBreak/>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603574" w:rsidRPr="007379EE" w:rsidRDefault="00603574" w:rsidP="0060357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603574" w:rsidRDefault="00603574" w:rsidP="00603574">
      <w:pPr>
        <w:autoSpaceDE w:val="0"/>
        <w:autoSpaceDN w:val="0"/>
        <w:adjustRightInd w:val="0"/>
        <w:ind w:left="567" w:right="567"/>
        <w:jc w:val="right"/>
        <w:rPr>
          <w:rFonts w:ascii="Palatino Linotype" w:eastAsia="Calibri" w:hAnsi="Palatino Linotype" w:cs="Arial"/>
        </w:rPr>
      </w:pPr>
    </w:p>
    <w:p w:rsidR="00603574" w:rsidRDefault="00603574" w:rsidP="00603574">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los requerimientos del ahora </w:t>
      </w:r>
      <w:r w:rsidRPr="000A4CB6">
        <w:rPr>
          <w:rFonts w:ascii="Palatino Linotype" w:hAnsi="Palatino Linotype" w:cs="Tahoma"/>
          <w:b/>
          <w:bCs/>
        </w:rPr>
        <w:t>Recurrente</w:t>
      </w:r>
      <w:r w:rsidRPr="00A779C7">
        <w:rPr>
          <w:rFonts w:ascii="Palatino Linotype" w:hAnsi="Palatino Linotype" w:cs="Tahoma"/>
          <w:bCs/>
        </w:rPr>
        <w:t>, de manera objetiva se precisa que requiere la siguiente información:</w:t>
      </w:r>
    </w:p>
    <w:p w:rsidR="00603574" w:rsidRPr="00BE61FC" w:rsidRDefault="00603574" w:rsidP="00603574">
      <w:pPr>
        <w:pStyle w:val="Prrafodelista"/>
        <w:numPr>
          <w:ilvl w:val="0"/>
          <w:numId w:val="4"/>
        </w:numPr>
        <w:tabs>
          <w:tab w:val="left" w:pos="1828"/>
        </w:tabs>
        <w:spacing w:line="360" w:lineRule="auto"/>
        <w:jc w:val="both"/>
        <w:rPr>
          <w:rFonts w:ascii="Palatino Linotype" w:hAnsi="Palatino Linotype" w:cs="Tahoma"/>
          <w:bCs/>
        </w:rPr>
      </w:pPr>
      <w:r>
        <w:rPr>
          <w:rFonts w:ascii="Palatino Linotype" w:hAnsi="Palatino Linotype" w:cs="Tahoma"/>
          <w:bCs/>
        </w:rPr>
        <w:t>Conciliación de nómina de la primera quincena de agosto 2024</w:t>
      </w:r>
      <w:r w:rsidRPr="00BE61FC">
        <w:rPr>
          <w:rFonts w:ascii="Palatino Linotype" w:hAnsi="Palatino Linotype" w:cs="Tahoma"/>
          <w:bCs/>
        </w:rPr>
        <w:t xml:space="preserve">. </w:t>
      </w:r>
    </w:p>
    <w:p w:rsidR="00603574" w:rsidRPr="001106D5" w:rsidRDefault="00603574" w:rsidP="00603574">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Pr>
          <w:rFonts w:ascii="Palatino Linotype" w:hAnsi="Palatino Linotype" w:cs="Arial"/>
          <w:b/>
        </w:rPr>
        <w:t>00114/ATIZAPAN/IP/2024</w:t>
      </w:r>
      <w:r w:rsidRPr="001106D5">
        <w:rPr>
          <w:rFonts w:ascii="Palatino Linotype" w:hAnsi="Palatino Linotype" w:cs="Arial"/>
          <w:b/>
        </w:rPr>
        <w:t xml:space="preserve">; </w:t>
      </w:r>
      <w:r>
        <w:rPr>
          <w:rFonts w:ascii="Palatino Linotype" w:hAnsi="Palatino Linotype" w:cs="Arial"/>
        </w:rPr>
        <w:t>a través de los archivos electrónicos</w:t>
      </w:r>
      <w:r w:rsidRPr="001106D5">
        <w:rPr>
          <w:rFonts w:ascii="Palatino Linotype" w:hAnsi="Palatino Linotype" w:cs="Arial"/>
          <w:b/>
        </w:rPr>
        <w:t>:</w:t>
      </w:r>
    </w:p>
    <w:p w:rsidR="00603574" w:rsidRPr="00A2631F" w:rsidRDefault="00603574" w:rsidP="00603574">
      <w:pPr>
        <w:pStyle w:val="Sinespaciado"/>
        <w:numPr>
          <w:ilvl w:val="0"/>
          <w:numId w:val="1"/>
        </w:numPr>
        <w:spacing w:before="240" w:line="360" w:lineRule="auto"/>
        <w:jc w:val="both"/>
        <w:rPr>
          <w:rFonts w:ascii="Palatino Linotype" w:hAnsi="Palatino Linotype" w:cs="Arial"/>
          <w:b/>
          <w:i/>
          <w:sz w:val="24"/>
        </w:rPr>
      </w:pPr>
      <w:r w:rsidRPr="00603574">
        <w:rPr>
          <w:rFonts w:ascii="Palatino Linotype" w:hAnsi="Palatino Linotype" w:cs="Arial"/>
          <w:b/>
          <w:i/>
          <w:sz w:val="24"/>
        </w:rPr>
        <w:t>FOL. SOL 114.pdf</w:t>
      </w:r>
      <w:r>
        <w:rPr>
          <w:rFonts w:ascii="Palatino Linotype" w:hAnsi="Palatino Linotype" w:cs="Arial"/>
          <w:b/>
          <w:i/>
          <w:sz w:val="24"/>
        </w:rPr>
        <w:t xml:space="preserve">: </w:t>
      </w:r>
      <w:r>
        <w:rPr>
          <w:rFonts w:ascii="Palatino Linotype" w:hAnsi="Palatino Linotype" w:cs="Arial"/>
          <w:sz w:val="24"/>
        </w:rPr>
        <w:t xml:space="preserve">constante de una foja, en formato </w:t>
      </w:r>
      <w:proofErr w:type="spellStart"/>
      <w:r>
        <w:rPr>
          <w:rFonts w:ascii="Palatino Linotype" w:hAnsi="Palatino Linotype" w:cs="Arial"/>
          <w:sz w:val="24"/>
        </w:rPr>
        <w:t>pdf</w:t>
      </w:r>
      <w:proofErr w:type="spellEnd"/>
      <w:r>
        <w:rPr>
          <w:rFonts w:ascii="Palatino Linotype" w:hAnsi="Palatino Linotype" w:cs="Arial"/>
          <w:sz w:val="24"/>
        </w:rPr>
        <w:t>, contiene el oficio número MATM/149/2024, de fecha diez de septiembre de dos mil veinticuatro, firmado por el Tesorero Municipal, en el que refiere lo siguiente:</w:t>
      </w:r>
    </w:p>
    <w:p w:rsidR="00603574" w:rsidRDefault="00603574" w:rsidP="00603574">
      <w:pPr>
        <w:pStyle w:val="INFOEM"/>
      </w:pPr>
      <w:r>
        <w:t>“(…)</w:t>
      </w:r>
    </w:p>
    <w:p w:rsidR="00603574" w:rsidRDefault="0048142B" w:rsidP="00603574">
      <w:pPr>
        <w:pStyle w:val="INFOEM"/>
      </w:pPr>
      <w:r>
        <w:t xml:space="preserve">A la petición anterior le comento que necesito que sea más </w:t>
      </w:r>
      <w:proofErr w:type="spellStart"/>
      <w:r>
        <w:t>especifico</w:t>
      </w:r>
      <w:proofErr w:type="spellEnd"/>
      <w:r>
        <w:t xml:space="preserve"> en su solicitud ya que hay diferentes tipos de conciliaciones que se pueden realizar (contable, ante el ISSEMYM, ante el SAT etc.)</w:t>
      </w:r>
      <w:r w:rsidR="00603574">
        <w:t xml:space="preserve">  </w:t>
      </w:r>
    </w:p>
    <w:p w:rsidR="00603574" w:rsidRPr="00A2631F" w:rsidRDefault="00603574" w:rsidP="00603574">
      <w:pPr>
        <w:pStyle w:val="INFOEM"/>
        <w:rPr>
          <w:rFonts w:cs="Arial"/>
          <w:b/>
          <w:sz w:val="24"/>
        </w:rPr>
      </w:pPr>
      <w:r>
        <w:lastRenderedPageBreak/>
        <w:t xml:space="preserve"> (…)” (Sic)</w:t>
      </w:r>
    </w:p>
    <w:p w:rsidR="00603574" w:rsidRDefault="00603574" w:rsidP="00603574">
      <w:pPr>
        <w:spacing w:line="360" w:lineRule="auto"/>
        <w:jc w:val="both"/>
        <w:rPr>
          <w:rFonts w:ascii="Palatino Linotype" w:hAnsi="Palatino Linotype" w:cs="Arial"/>
          <w:bCs/>
        </w:rPr>
      </w:pPr>
    </w:p>
    <w:p w:rsidR="00603574" w:rsidRDefault="00603574" w:rsidP="00603574">
      <w:pPr>
        <w:spacing w:line="360" w:lineRule="auto"/>
        <w:jc w:val="both"/>
        <w:rPr>
          <w:rFonts w:ascii="Palatino Linotype" w:hAnsi="Palatino Linotype"/>
          <w:i/>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Pr="00E53228">
        <w:rPr>
          <w:rFonts w:ascii="Palatino Linotype" w:hAnsi="Palatino Linotype"/>
          <w:i/>
        </w:rPr>
        <w:t xml:space="preserve">No </w:t>
      </w:r>
      <w:r w:rsidR="0048142B">
        <w:rPr>
          <w:rFonts w:ascii="Palatino Linotype" w:hAnsi="Palatino Linotype"/>
          <w:i/>
        </w:rPr>
        <w:t xml:space="preserve">me entregan lo que </w:t>
      </w:r>
      <w:proofErr w:type="spellStart"/>
      <w:r w:rsidR="0048142B">
        <w:rPr>
          <w:rFonts w:ascii="Palatino Linotype" w:hAnsi="Palatino Linotype"/>
          <w:i/>
        </w:rPr>
        <w:t>solciite</w:t>
      </w:r>
      <w:proofErr w:type="spellEnd"/>
      <w:r>
        <w:rPr>
          <w:rFonts w:ascii="Palatino Linotype" w:hAnsi="Palatino Linotype"/>
          <w:i/>
        </w:rPr>
        <w:t>” (Sic).</w:t>
      </w:r>
    </w:p>
    <w:p w:rsidR="00603574" w:rsidRDefault="00603574" w:rsidP="00603574">
      <w:pPr>
        <w:spacing w:line="360" w:lineRule="auto"/>
        <w:jc w:val="both"/>
        <w:rPr>
          <w:rFonts w:ascii="Palatino Linotype" w:hAnsi="Palatino Linotype"/>
          <w:i/>
        </w:rPr>
      </w:pPr>
    </w:p>
    <w:p w:rsidR="00603574" w:rsidRPr="00177253" w:rsidRDefault="00603574" w:rsidP="00603574">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177253">
        <w:rPr>
          <w:rFonts w:ascii="Palatino Linotype" w:eastAsia="Calibri" w:hAnsi="Palatino Linotype" w:cs="Calibri"/>
          <w:lang w:val="es-ES_tradnl" w:eastAsia="es-MX"/>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rsidR="00603574" w:rsidRDefault="00603574" w:rsidP="00603574">
      <w:pPr>
        <w:rPr>
          <w:rFonts w:ascii="Palatino Linotype" w:eastAsia="Calibri" w:hAnsi="Palatino Linotype" w:cs="Calibri"/>
          <w:lang w:val="es-ES_tradnl" w:eastAsia="es-MX"/>
        </w:rPr>
      </w:pPr>
    </w:p>
    <w:p w:rsidR="00603574" w:rsidRDefault="00603574" w:rsidP="00603574">
      <w:pPr>
        <w:spacing w:line="360" w:lineRule="auto"/>
        <w:jc w:val="both"/>
        <w:rPr>
          <w:rFonts w:ascii="Palatino Linotype" w:hAnsi="Palatino Linotype"/>
        </w:rPr>
      </w:pPr>
    </w:p>
    <w:p w:rsidR="00603574" w:rsidRPr="00112C93" w:rsidRDefault="000E15E9" w:rsidP="00603574">
      <w:pPr>
        <w:spacing w:line="360" w:lineRule="auto"/>
        <w:ind w:right="214"/>
        <w:jc w:val="both"/>
        <w:rPr>
          <w:rFonts w:ascii="Palatino Linotype" w:hAnsi="Palatino Linotype"/>
        </w:rPr>
      </w:pPr>
      <w:r>
        <w:rPr>
          <w:rFonts w:ascii="Palatino Linotype" w:hAnsi="Palatino Linotype"/>
        </w:rPr>
        <w:t>Ahora bien, el Manual de Organización de la Tesorería Municipal</w:t>
      </w:r>
      <w:r w:rsidR="00603574" w:rsidRPr="00112C93">
        <w:rPr>
          <w:rFonts w:ascii="Palatino Linotype" w:hAnsi="Palatino Linotype"/>
        </w:rPr>
        <w:t xml:space="preserve">, </w:t>
      </w:r>
      <w:r>
        <w:rPr>
          <w:rFonts w:ascii="Palatino Linotype" w:hAnsi="Palatino Linotype"/>
        </w:rPr>
        <w:t>establece las facultades del departamento de Nómina, dependiente de la Tesorería Municipal, las cuales son</w:t>
      </w:r>
      <w:r w:rsidR="00603574" w:rsidRPr="00112C93">
        <w:rPr>
          <w:rFonts w:ascii="Palatino Linotype" w:hAnsi="Palatino Linotype"/>
        </w:rPr>
        <w:t>:</w:t>
      </w:r>
    </w:p>
    <w:p w:rsidR="00612D4B" w:rsidRDefault="00612D4B" w:rsidP="00603574">
      <w:pPr>
        <w:pStyle w:val="Citas"/>
        <w:rPr>
          <w:b/>
          <w:lang w:val="es-ES_tradnl" w:eastAsia="es-MX"/>
        </w:rPr>
      </w:pPr>
      <w:r>
        <w:rPr>
          <w:b/>
          <w:lang w:val="es-ES_tradnl" w:eastAsia="es-MX"/>
        </w:rPr>
        <w:t xml:space="preserve">L00 NOMINA </w:t>
      </w:r>
    </w:p>
    <w:p w:rsidR="00603574" w:rsidRDefault="000E15E9" w:rsidP="00603574">
      <w:pPr>
        <w:pStyle w:val="Citas"/>
        <w:rPr>
          <w:b/>
          <w:lang w:val="es-ES_tradnl" w:eastAsia="es-MX"/>
        </w:rPr>
      </w:pPr>
      <w:r w:rsidRPr="000E15E9">
        <w:rPr>
          <w:b/>
          <w:lang w:val="es-ES_tradnl" w:eastAsia="es-MX"/>
        </w:rPr>
        <w:t>OBJETIVO</w:t>
      </w:r>
    </w:p>
    <w:p w:rsidR="000E15E9" w:rsidRDefault="000E15E9" w:rsidP="00603574">
      <w:pPr>
        <w:pStyle w:val="Citas"/>
        <w:rPr>
          <w:lang w:val="es-ES_tradnl" w:eastAsia="es-MX"/>
        </w:rPr>
      </w:pPr>
      <w:r>
        <w:rPr>
          <w:lang w:val="es-ES_tradnl" w:eastAsia="es-MX"/>
        </w:rPr>
        <w:t>Efectuar el pago de la nómina de los servidores públicos del Municipio, de acuerdo a la programación establecida y conforme a la normatividad vigente.</w:t>
      </w:r>
    </w:p>
    <w:p w:rsidR="000E15E9" w:rsidRDefault="000E15E9" w:rsidP="00603574">
      <w:pPr>
        <w:pStyle w:val="Citas"/>
        <w:rPr>
          <w:b/>
          <w:lang w:val="es-ES_tradnl" w:eastAsia="es-MX"/>
        </w:rPr>
      </w:pPr>
      <w:r>
        <w:rPr>
          <w:b/>
          <w:lang w:val="es-ES_tradnl" w:eastAsia="es-MX"/>
        </w:rPr>
        <w:lastRenderedPageBreak/>
        <w:t>FUNCIONES</w:t>
      </w:r>
    </w:p>
    <w:p w:rsidR="000E15E9" w:rsidRDefault="000E15E9" w:rsidP="000E15E9">
      <w:pPr>
        <w:pStyle w:val="Citas"/>
        <w:numPr>
          <w:ilvl w:val="0"/>
          <w:numId w:val="17"/>
        </w:numPr>
        <w:rPr>
          <w:lang w:val="es-ES_tradnl" w:eastAsia="es-MX"/>
        </w:rPr>
      </w:pPr>
      <w:r>
        <w:rPr>
          <w:lang w:val="es-ES_tradnl" w:eastAsia="es-MX"/>
        </w:rPr>
        <w:t>Llevar a cabo el registro y control de las remuneraciones del personal del Municipio.</w:t>
      </w:r>
    </w:p>
    <w:p w:rsidR="000E15E9" w:rsidRDefault="000E15E9" w:rsidP="000E15E9">
      <w:pPr>
        <w:pStyle w:val="Citas"/>
        <w:numPr>
          <w:ilvl w:val="0"/>
          <w:numId w:val="17"/>
        </w:numPr>
        <w:rPr>
          <w:lang w:val="es-ES_tradnl" w:eastAsia="es-MX"/>
        </w:rPr>
      </w:pPr>
      <w:r>
        <w:rPr>
          <w:lang w:val="es-ES_tradnl" w:eastAsia="es-MX"/>
        </w:rPr>
        <w:t>Efectuar en términos de ley, las deducciones y descuentos en la nómina correspondiente.</w:t>
      </w:r>
    </w:p>
    <w:p w:rsidR="000E15E9" w:rsidRDefault="000E15E9" w:rsidP="000E15E9">
      <w:pPr>
        <w:pStyle w:val="Citas"/>
        <w:numPr>
          <w:ilvl w:val="0"/>
          <w:numId w:val="17"/>
        </w:numPr>
        <w:rPr>
          <w:lang w:val="es-ES_tradnl" w:eastAsia="es-MX"/>
        </w:rPr>
      </w:pPr>
      <w:r>
        <w:rPr>
          <w:lang w:val="es-ES_tradnl" w:eastAsia="es-MX"/>
        </w:rPr>
        <w:t>Aplicar las retenciones legales al sueldo de los servidores públicos tales como: Impuestos sobre el Producto del Trabajo, Servicio de Salud, Fondo de Pensiones, Sistema de Capitalización Individual, entre otros.</w:t>
      </w:r>
    </w:p>
    <w:p w:rsidR="000E15E9" w:rsidRDefault="000E15E9" w:rsidP="000E15E9">
      <w:pPr>
        <w:pStyle w:val="Citas"/>
        <w:numPr>
          <w:ilvl w:val="0"/>
          <w:numId w:val="17"/>
        </w:numPr>
        <w:rPr>
          <w:lang w:val="es-ES_tradnl" w:eastAsia="es-MX"/>
        </w:rPr>
      </w:pPr>
      <w:r>
        <w:rPr>
          <w:lang w:val="es-ES_tradnl" w:eastAsia="es-MX"/>
        </w:rPr>
        <w:t xml:space="preserve">Realizar los descuentos el sueldo del personal que por solicitud de las instituciones judiciales, comerciales o civiles corresponda, como la pensión alimenticia, crédito, préstamos hipotecarios, seguros, FONACOT, entre otros. </w:t>
      </w:r>
    </w:p>
    <w:p w:rsidR="000E15E9" w:rsidRDefault="000E15E9" w:rsidP="000E15E9">
      <w:pPr>
        <w:pStyle w:val="Citas"/>
        <w:numPr>
          <w:ilvl w:val="0"/>
          <w:numId w:val="17"/>
        </w:numPr>
        <w:rPr>
          <w:lang w:val="es-ES_tradnl" w:eastAsia="es-MX"/>
        </w:rPr>
      </w:pPr>
      <w:r>
        <w:rPr>
          <w:lang w:val="es-ES_tradnl" w:eastAsia="es-MX"/>
        </w:rPr>
        <w:t>Calcular y tramitar el pago de los finiquitos al personal dado de baja en términos de Ley</w:t>
      </w:r>
    </w:p>
    <w:p w:rsidR="000E15E9" w:rsidRDefault="000E15E9" w:rsidP="000E15E9">
      <w:pPr>
        <w:pStyle w:val="Citas"/>
        <w:numPr>
          <w:ilvl w:val="0"/>
          <w:numId w:val="17"/>
        </w:numPr>
        <w:rPr>
          <w:lang w:val="es-ES_tradnl" w:eastAsia="es-MX"/>
        </w:rPr>
      </w:pPr>
      <w:r>
        <w:rPr>
          <w:lang w:val="es-ES_tradnl" w:eastAsia="es-MX"/>
        </w:rPr>
        <w:t>Mantener actualizada la plantilla nominal del personal adscrito al Municipio</w:t>
      </w:r>
    </w:p>
    <w:p w:rsidR="000E15E9" w:rsidRDefault="00612D4B" w:rsidP="000E15E9">
      <w:pPr>
        <w:pStyle w:val="Citas"/>
        <w:numPr>
          <w:ilvl w:val="0"/>
          <w:numId w:val="17"/>
        </w:numPr>
        <w:rPr>
          <w:lang w:val="es-ES_tradnl" w:eastAsia="es-MX"/>
        </w:rPr>
      </w:pPr>
      <w:r>
        <w:rPr>
          <w:lang w:val="es-ES_tradnl" w:eastAsia="es-MX"/>
        </w:rPr>
        <w:t>Tramitar en coordinación con las áreas correspondientes la transferencia electrónica de la nómina.</w:t>
      </w:r>
    </w:p>
    <w:p w:rsidR="00612D4B" w:rsidRDefault="00612D4B" w:rsidP="000E15E9">
      <w:pPr>
        <w:pStyle w:val="Citas"/>
        <w:numPr>
          <w:ilvl w:val="0"/>
          <w:numId w:val="17"/>
        </w:numPr>
        <w:rPr>
          <w:lang w:val="es-ES_tradnl" w:eastAsia="es-MX"/>
        </w:rPr>
      </w:pPr>
      <w:r>
        <w:rPr>
          <w:lang w:val="es-ES_tradnl" w:eastAsia="es-MX"/>
        </w:rPr>
        <w:t xml:space="preserve">Tramitar ante la Institución Bancaria la expedición y reposición de tarjetas de débito. </w:t>
      </w:r>
    </w:p>
    <w:p w:rsidR="00612D4B" w:rsidRDefault="00612D4B" w:rsidP="000E15E9">
      <w:pPr>
        <w:pStyle w:val="Citas"/>
        <w:numPr>
          <w:ilvl w:val="0"/>
          <w:numId w:val="17"/>
        </w:numPr>
        <w:rPr>
          <w:lang w:val="es-ES_tradnl" w:eastAsia="es-MX"/>
        </w:rPr>
      </w:pPr>
      <w:r>
        <w:rPr>
          <w:lang w:val="es-ES_tradnl" w:eastAsia="es-MX"/>
        </w:rPr>
        <w:t>Programar y entregar oportunamente el comprobante de ingresos del servidor público.</w:t>
      </w:r>
    </w:p>
    <w:p w:rsidR="00612D4B" w:rsidRDefault="00612D4B" w:rsidP="000E15E9">
      <w:pPr>
        <w:pStyle w:val="Citas"/>
        <w:numPr>
          <w:ilvl w:val="0"/>
          <w:numId w:val="17"/>
        </w:numPr>
        <w:rPr>
          <w:lang w:val="es-ES_tradnl" w:eastAsia="es-MX"/>
        </w:rPr>
      </w:pPr>
      <w:r>
        <w:rPr>
          <w:lang w:val="es-ES_tradnl" w:eastAsia="es-MX"/>
        </w:rPr>
        <w:t>Remitir en tiempo y forma la solicitud de recursos presupuestales, correspondiente a la partida de sueldos, el área de Programación y Presupuesto.</w:t>
      </w:r>
    </w:p>
    <w:p w:rsidR="00612D4B" w:rsidRDefault="00612D4B" w:rsidP="000E15E9">
      <w:pPr>
        <w:pStyle w:val="Citas"/>
        <w:numPr>
          <w:ilvl w:val="0"/>
          <w:numId w:val="17"/>
        </w:numPr>
        <w:rPr>
          <w:lang w:val="es-ES_tradnl" w:eastAsia="es-MX"/>
        </w:rPr>
      </w:pPr>
      <w:r>
        <w:rPr>
          <w:lang w:val="es-ES_tradnl" w:eastAsia="es-MX"/>
        </w:rPr>
        <w:lastRenderedPageBreak/>
        <w:t>Mantener actualizado el sistema de nóminas del Municipio, de acuerdo a los requerimientos y necesidades de la Institución.</w:t>
      </w:r>
    </w:p>
    <w:p w:rsidR="00612D4B" w:rsidRPr="000E15E9" w:rsidRDefault="00612D4B" w:rsidP="000E15E9">
      <w:pPr>
        <w:pStyle w:val="Citas"/>
        <w:numPr>
          <w:ilvl w:val="0"/>
          <w:numId w:val="17"/>
        </w:numPr>
        <w:rPr>
          <w:lang w:val="es-ES_tradnl" w:eastAsia="es-MX"/>
        </w:rPr>
      </w:pPr>
      <w:r>
        <w:rPr>
          <w:lang w:val="es-ES_tradnl" w:eastAsia="es-MX"/>
        </w:rPr>
        <w:t xml:space="preserve">Desarrollar las demás funciones inherentes al área de su competencia. </w:t>
      </w:r>
    </w:p>
    <w:p w:rsidR="000E15E9" w:rsidRDefault="000E15E9" w:rsidP="007D38CE">
      <w:pPr>
        <w:spacing w:line="360" w:lineRule="auto"/>
        <w:jc w:val="both"/>
        <w:rPr>
          <w:rFonts w:ascii="Palatino Linotype" w:eastAsiaTheme="minorHAnsi" w:hAnsi="Palatino Linotype" w:cs="Arial"/>
          <w:lang w:val="es-MX" w:eastAsia="en-US"/>
        </w:rPr>
      </w:pPr>
    </w:p>
    <w:p w:rsidR="00612D4B" w:rsidRPr="00E95582" w:rsidRDefault="00612D4B" w:rsidP="00612D4B">
      <w:pPr>
        <w:spacing w:line="360" w:lineRule="auto"/>
        <w:jc w:val="both"/>
        <w:rPr>
          <w:rFonts w:ascii="Palatino Linotype" w:hAnsi="Palatino Linotype"/>
        </w:rPr>
      </w:pPr>
      <w:r>
        <w:rPr>
          <w:rFonts w:ascii="Palatino Linotype" w:hAnsi="Palatino Linotype" w:cs="Arial"/>
        </w:rPr>
        <w:t>Por otro lado</w:t>
      </w:r>
      <w:r w:rsidRPr="00E95582">
        <w:rPr>
          <w:rFonts w:ascii="Palatino Linotype" w:hAnsi="Palatino Linotype" w:cs="Arial"/>
        </w:rPr>
        <w:t xml:space="preserve">, </w:t>
      </w:r>
      <w:r w:rsidRPr="00E95582">
        <w:rPr>
          <w:rFonts w:ascii="Palatino Linotype" w:hAnsi="Palatino Linotype"/>
        </w:rPr>
        <w:t>la Ley Orgánica Municipal del Estado de México</w:t>
      </w:r>
      <w:r>
        <w:rPr>
          <w:rFonts w:ascii="Palatino Linotype" w:hAnsi="Palatino Linotype"/>
        </w:rPr>
        <w:t xml:space="preserve"> establece las atribuciones del tesorero municipal en </w:t>
      </w:r>
      <w:r w:rsidRPr="00E95582">
        <w:rPr>
          <w:rFonts w:ascii="Palatino Linotype" w:hAnsi="Palatino Linotype" w:cs="Arial"/>
        </w:rPr>
        <w:t>los</w:t>
      </w:r>
      <w:r w:rsidRPr="00E95582">
        <w:rPr>
          <w:rFonts w:ascii="Palatino Linotype" w:hAnsi="Palatino Linotype"/>
        </w:rPr>
        <w:t xml:space="preserve"> artículos 87, 93, 94 y 95, fracciones I, IV, V, XVI y XVII; porciones normativas que disponen a la literalidad lo siguiente: </w:t>
      </w:r>
    </w:p>
    <w:p w:rsidR="00612D4B" w:rsidRPr="0053681B" w:rsidRDefault="00612D4B" w:rsidP="00612D4B">
      <w:pPr>
        <w:spacing w:line="360" w:lineRule="auto"/>
        <w:jc w:val="both"/>
        <w:rPr>
          <w:rFonts w:ascii="Palatino Linotype" w:hAnsi="Palatino Linotype"/>
        </w:rPr>
      </w:pPr>
    </w:p>
    <w:p w:rsidR="00612D4B" w:rsidRPr="0053681B" w:rsidRDefault="00612D4B" w:rsidP="00612D4B">
      <w:pPr>
        <w:ind w:left="567" w:right="567"/>
        <w:jc w:val="center"/>
        <w:rPr>
          <w:rFonts w:ascii="Palatino Linotype" w:hAnsi="Palatino Linotype"/>
          <w:b/>
          <w:i/>
        </w:rPr>
      </w:pPr>
      <w:r w:rsidRPr="0053681B">
        <w:rPr>
          <w:rFonts w:ascii="Palatino Linotype" w:hAnsi="Palatino Linotype"/>
          <w:b/>
          <w:i/>
        </w:rPr>
        <w:t>LEY ORGÁNICA MUNICIPAL DEL ESTADO DE MÉXICO</w:t>
      </w:r>
    </w:p>
    <w:p w:rsidR="00612D4B" w:rsidRPr="0053681B" w:rsidRDefault="00612D4B" w:rsidP="00612D4B">
      <w:pPr>
        <w:ind w:left="567" w:right="567"/>
        <w:jc w:val="both"/>
        <w:rPr>
          <w:rFonts w:ascii="Palatino Linotype" w:hAnsi="Palatino Linotype"/>
          <w:i/>
        </w:rPr>
      </w:pPr>
    </w:p>
    <w:p w:rsidR="00612D4B" w:rsidRPr="0053681B" w:rsidRDefault="00612D4B" w:rsidP="00612D4B">
      <w:pPr>
        <w:ind w:left="567" w:right="567"/>
        <w:jc w:val="both"/>
        <w:rPr>
          <w:rFonts w:ascii="Palatino Linotype" w:hAnsi="Palatino Linotype"/>
          <w:i/>
        </w:rPr>
      </w:pPr>
      <w:r w:rsidRPr="0053681B">
        <w:rPr>
          <w:rFonts w:ascii="Palatino Linotype" w:hAnsi="Palatino Linotype"/>
          <w:i/>
        </w:rPr>
        <w:t>“</w:t>
      </w:r>
      <w:r w:rsidRPr="0053681B">
        <w:rPr>
          <w:rFonts w:ascii="Palatino Linotype" w:hAnsi="Palatino Linotype"/>
          <w:b/>
          <w:i/>
        </w:rPr>
        <w:t xml:space="preserve">Artículo 87.- </w:t>
      </w:r>
      <w:r w:rsidRPr="0053681B">
        <w:rPr>
          <w:rFonts w:ascii="Palatino Linotype" w:hAnsi="Palatino Linotype"/>
          <w:i/>
        </w:rPr>
        <w:t>Para el despacho, estudio y planeación de los diversos asuntos de la administración municipal, el ayuntamiento contará por lo menos con las siguientes Dependencias:</w:t>
      </w:r>
    </w:p>
    <w:p w:rsidR="00612D4B" w:rsidRPr="0053681B" w:rsidRDefault="00612D4B" w:rsidP="00612D4B">
      <w:pPr>
        <w:ind w:left="567" w:right="567"/>
        <w:jc w:val="both"/>
        <w:rPr>
          <w:rFonts w:ascii="Palatino Linotype" w:hAnsi="Palatino Linotype"/>
          <w:i/>
        </w:rPr>
      </w:pPr>
      <w:r w:rsidRPr="0053681B">
        <w:rPr>
          <w:rFonts w:ascii="Palatino Linotype" w:hAnsi="Palatino Linotype"/>
          <w:i/>
        </w:rPr>
        <w:t>I. La secretaría del ayuntamiento;</w:t>
      </w:r>
    </w:p>
    <w:p w:rsidR="00612D4B" w:rsidRPr="001737D5" w:rsidRDefault="00612D4B" w:rsidP="00612D4B">
      <w:pPr>
        <w:ind w:left="567" w:right="567"/>
        <w:jc w:val="both"/>
        <w:rPr>
          <w:rFonts w:ascii="Palatino Linotype" w:hAnsi="Palatino Linotype"/>
          <w:b/>
          <w:i/>
        </w:rPr>
      </w:pPr>
      <w:r w:rsidRPr="001737D5">
        <w:rPr>
          <w:rFonts w:ascii="Palatino Linotype" w:hAnsi="Palatino Linotype"/>
          <w:b/>
          <w:i/>
          <w:u w:val="single"/>
        </w:rPr>
        <w:t>II. La tesorería municipal</w:t>
      </w:r>
      <w:r w:rsidRPr="001737D5">
        <w:rPr>
          <w:rFonts w:ascii="Palatino Linotype" w:hAnsi="Palatino Linotype"/>
          <w:b/>
          <w:i/>
        </w:rPr>
        <w:t>.</w:t>
      </w:r>
    </w:p>
    <w:p w:rsidR="00612D4B" w:rsidRPr="0053681B" w:rsidRDefault="00612D4B" w:rsidP="00612D4B">
      <w:pPr>
        <w:ind w:left="567" w:right="567"/>
        <w:jc w:val="both"/>
        <w:rPr>
          <w:rFonts w:ascii="Palatino Linotype" w:hAnsi="Palatino Linotype"/>
          <w:i/>
        </w:rPr>
      </w:pPr>
      <w:r w:rsidRPr="0053681B">
        <w:rPr>
          <w:rFonts w:ascii="Palatino Linotype" w:hAnsi="Palatino Linotype"/>
          <w:i/>
        </w:rPr>
        <w:t>III. La Dirección de Obras Públicas o equivalente.</w:t>
      </w:r>
    </w:p>
    <w:p w:rsidR="00612D4B" w:rsidRPr="0053681B" w:rsidRDefault="00612D4B" w:rsidP="00612D4B">
      <w:pPr>
        <w:ind w:left="567" w:right="567"/>
        <w:jc w:val="both"/>
        <w:rPr>
          <w:rFonts w:ascii="Palatino Linotype" w:hAnsi="Palatino Linotype"/>
          <w:i/>
        </w:rPr>
      </w:pPr>
      <w:r w:rsidRPr="0053681B">
        <w:rPr>
          <w:rFonts w:ascii="Palatino Linotype" w:hAnsi="Palatino Linotype"/>
          <w:i/>
        </w:rPr>
        <w:t>IV. La Dirección de Desarrollo Económico o equivalente.</w:t>
      </w:r>
    </w:p>
    <w:p w:rsidR="00612D4B" w:rsidRPr="0053681B" w:rsidRDefault="00612D4B" w:rsidP="00612D4B">
      <w:pPr>
        <w:ind w:left="567" w:right="567"/>
        <w:jc w:val="both"/>
        <w:rPr>
          <w:rFonts w:ascii="Palatino Linotype" w:hAnsi="Palatino Linotype"/>
          <w:i/>
        </w:rPr>
      </w:pPr>
      <w:r w:rsidRPr="0053681B">
        <w:rPr>
          <w:rFonts w:ascii="Palatino Linotype" w:hAnsi="Palatino Linotype"/>
          <w:i/>
        </w:rPr>
        <w:t>V. La Dirección de Desarrollo Urbano o equivalente;</w:t>
      </w:r>
    </w:p>
    <w:p w:rsidR="00612D4B" w:rsidRPr="0053681B" w:rsidRDefault="00612D4B" w:rsidP="00612D4B">
      <w:pPr>
        <w:ind w:left="567" w:right="567"/>
        <w:jc w:val="both"/>
        <w:rPr>
          <w:rFonts w:ascii="Palatino Linotype" w:hAnsi="Palatino Linotype"/>
          <w:i/>
        </w:rPr>
      </w:pPr>
      <w:r w:rsidRPr="0053681B">
        <w:rPr>
          <w:rFonts w:ascii="Palatino Linotype" w:hAnsi="Palatino Linotype"/>
          <w:i/>
        </w:rPr>
        <w:t>VI. La Dirección de Ecología o equivalente.</w:t>
      </w:r>
    </w:p>
    <w:p w:rsidR="00612D4B" w:rsidRPr="0053681B" w:rsidRDefault="00612D4B" w:rsidP="00612D4B">
      <w:pPr>
        <w:ind w:left="567" w:right="567"/>
        <w:jc w:val="both"/>
        <w:rPr>
          <w:rFonts w:ascii="Palatino Linotype" w:hAnsi="Palatino Linotype"/>
          <w:i/>
        </w:rPr>
      </w:pPr>
      <w:r w:rsidRPr="0053681B">
        <w:rPr>
          <w:rFonts w:ascii="Palatino Linotype" w:hAnsi="Palatino Linotype"/>
          <w:i/>
        </w:rPr>
        <w:t>VII. La Dirección de Desarrollo Social o equivalente.</w:t>
      </w:r>
    </w:p>
    <w:p w:rsidR="00612D4B" w:rsidRPr="0053681B" w:rsidRDefault="00612D4B" w:rsidP="00612D4B">
      <w:pPr>
        <w:ind w:left="567" w:right="567"/>
        <w:jc w:val="both"/>
        <w:rPr>
          <w:rFonts w:ascii="Palatino Linotype" w:hAnsi="Palatino Linotype"/>
          <w:i/>
        </w:rPr>
      </w:pPr>
      <w:r w:rsidRPr="0053681B">
        <w:rPr>
          <w:rFonts w:ascii="Palatino Linotype" w:hAnsi="Palatino Linotype"/>
          <w:i/>
        </w:rPr>
        <w:t>VIII. La Coordinación Municipal de Protección Civil o equivalente.</w:t>
      </w:r>
    </w:p>
    <w:p w:rsidR="00612D4B" w:rsidRDefault="00612D4B" w:rsidP="00612D4B">
      <w:pPr>
        <w:ind w:left="567" w:right="567"/>
        <w:jc w:val="both"/>
        <w:rPr>
          <w:rFonts w:ascii="Palatino Linotype" w:hAnsi="Palatino Linotype"/>
          <w:i/>
        </w:rPr>
      </w:pPr>
      <w:r w:rsidRPr="0053681B">
        <w:rPr>
          <w:rFonts w:ascii="Palatino Linotype" w:hAnsi="Palatino Linotype"/>
          <w:i/>
        </w:rPr>
        <w:t>IX. La Dirección de las Mujeres o equivalente.”</w:t>
      </w:r>
    </w:p>
    <w:p w:rsidR="00612D4B" w:rsidRPr="0053681B" w:rsidRDefault="00612D4B" w:rsidP="00612D4B">
      <w:pPr>
        <w:ind w:left="567" w:right="567"/>
        <w:jc w:val="both"/>
        <w:rPr>
          <w:rFonts w:ascii="Palatino Linotype" w:hAnsi="Palatino Linotype"/>
          <w:i/>
        </w:rPr>
      </w:pPr>
    </w:p>
    <w:p w:rsidR="00612D4B" w:rsidRDefault="00612D4B" w:rsidP="00612D4B">
      <w:pPr>
        <w:ind w:left="567" w:right="567"/>
        <w:jc w:val="both"/>
        <w:rPr>
          <w:rFonts w:ascii="Palatino Linotype" w:eastAsia="Calibri" w:hAnsi="Palatino Linotype" w:cs="Arial"/>
          <w:i/>
          <w:lang w:val="es-ES_tradnl"/>
        </w:rPr>
      </w:pPr>
      <w:r w:rsidRPr="00C94E05">
        <w:rPr>
          <w:rFonts w:ascii="Palatino Linotype" w:eastAsia="Calibri" w:hAnsi="Palatino Linotype" w:cs="Arial"/>
          <w:b/>
          <w:i/>
          <w:lang w:val="es-ES_tradnl"/>
        </w:rPr>
        <w:t>Artículo 93</w:t>
      </w:r>
      <w:r w:rsidRPr="00C94E05">
        <w:rPr>
          <w:rFonts w:ascii="Palatino Linotype" w:eastAsia="Calibri" w:hAnsi="Palatino Linotype" w:cs="Arial"/>
          <w:i/>
          <w:lang w:val="es-ES_tradnl"/>
        </w:rPr>
        <w:t xml:space="preserve">.- </w:t>
      </w:r>
      <w:r w:rsidRPr="00C94E05">
        <w:rPr>
          <w:rFonts w:ascii="Palatino Linotype" w:eastAsia="Calibri" w:hAnsi="Palatino Linotype" w:cs="Arial"/>
          <w:b/>
          <w:bCs/>
          <w:i/>
          <w:lang w:val="es-ES_tradnl"/>
        </w:rPr>
        <w:t>La tesorería municipal es el órgano encargado de la recaudación de los ingresos municipales y responsable de realizar las erogaciones que haga el ayuntamiento</w:t>
      </w:r>
      <w:r w:rsidRPr="00C94E05">
        <w:rPr>
          <w:rFonts w:ascii="Palatino Linotype" w:eastAsia="Calibri" w:hAnsi="Palatino Linotype" w:cs="Arial"/>
          <w:i/>
          <w:lang w:val="es-ES_tradnl"/>
        </w:rPr>
        <w:t>.</w:t>
      </w:r>
    </w:p>
    <w:p w:rsidR="00612D4B" w:rsidRPr="00C94E05" w:rsidRDefault="00612D4B" w:rsidP="00612D4B">
      <w:pPr>
        <w:ind w:left="567" w:right="567"/>
        <w:jc w:val="both"/>
        <w:rPr>
          <w:rFonts w:ascii="Palatino Linotype" w:eastAsia="Calibri" w:hAnsi="Palatino Linotype" w:cs="Arial"/>
          <w:i/>
          <w:lang w:val="es-ES_tradnl"/>
        </w:rPr>
      </w:pPr>
    </w:p>
    <w:p w:rsidR="00612D4B" w:rsidRPr="001737D5" w:rsidRDefault="00612D4B" w:rsidP="00612D4B">
      <w:pPr>
        <w:ind w:left="567" w:right="567"/>
        <w:jc w:val="both"/>
        <w:rPr>
          <w:rFonts w:ascii="Palatino Linotype" w:eastAsia="Calibri" w:hAnsi="Palatino Linotype" w:cs="Arial"/>
          <w:i/>
          <w:lang w:val="es-ES_tradnl"/>
        </w:rPr>
      </w:pPr>
      <w:r w:rsidRPr="00C94E05">
        <w:rPr>
          <w:rFonts w:ascii="Palatino Linotype" w:eastAsia="Calibri" w:hAnsi="Palatino Linotype" w:cs="Arial"/>
          <w:b/>
          <w:bCs/>
          <w:i/>
          <w:lang w:val="es-ES_tradnl"/>
        </w:rPr>
        <w:t>Artículo 94.-</w:t>
      </w:r>
      <w:r w:rsidRPr="00C94E05">
        <w:rPr>
          <w:rFonts w:ascii="Palatino Linotype" w:eastAsia="Calibri" w:hAnsi="Palatino Linotype" w:cs="Arial"/>
          <w:i/>
          <w:lang w:val="es-ES_tradnl"/>
        </w:rPr>
        <w:t xml:space="preserve">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rsidR="00612D4B" w:rsidRPr="0053681B" w:rsidRDefault="00612D4B" w:rsidP="00612D4B">
      <w:pPr>
        <w:ind w:left="567" w:right="567"/>
        <w:jc w:val="both"/>
        <w:rPr>
          <w:rFonts w:ascii="Palatino Linotype" w:hAnsi="Palatino Linotype"/>
          <w:i/>
        </w:rPr>
      </w:pPr>
    </w:p>
    <w:p w:rsidR="00612D4B" w:rsidRPr="0053681B" w:rsidRDefault="00612D4B" w:rsidP="00612D4B">
      <w:pPr>
        <w:ind w:left="567" w:right="567"/>
        <w:jc w:val="both"/>
        <w:rPr>
          <w:rFonts w:ascii="Palatino Linotype" w:hAnsi="Palatino Linotype"/>
          <w:i/>
        </w:rPr>
      </w:pPr>
      <w:r w:rsidRPr="0053681B">
        <w:rPr>
          <w:rFonts w:ascii="Palatino Linotype" w:hAnsi="Palatino Linotype"/>
          <w:i/>
        </w:rPr>
        <w:lastRenderedPageBreak/>
        <w:t>“</w:t>
      </w:r>
      <w:r w:rsidRPr="0053681B">
        <w:rPr>
          <w:rFonts w:ascii="Palatino Linotype" w:hAnsi="Palatino Linotype"/>
          <w:b/>
          <w:i/>
        </w:rPr>
        <w:t>Artículo 95.-</w:t>
      </w:r>
      <w:r w:rsidRPr="0053681B">
        <w:rPr>
          <w:rFonts w:ascii="Palatino Linotype" w:hAnsi="Palatino Linotype"/>
          <w:i/>
        </w:rPr>
        <w:t xml:space="preserve"> Son atribuciones del </w:t>
      </w:r>
      <w:r w:rsidRPr="00E14773">
        <w:rPr>
          <w:rFonts w:ascii="Palatino Linotype" w:hAnsi="Palatino Linotype"/>
          <w:b/>
          <w:i/>
          <w:u w:val="single"/>
        </w:rPr>
        <w:t>tesorero municipal</w:t>
      </w:r>
      <w:r w:rsidRPr="0053681B">
        <w:rPr>
          <w:rFonts w:ascii="Palatino Linotype" w:hAnsi="Palatino Linotype"/>
          <w:i/>
        </w:rPr>
        <w:t xml:space="preserve">: </w:t>
      </w:r>
    </w:p>
    <w:p w:rsidR="00612D4B" w:rsidRPr="0053681B" w:rsidRDefault="00612D4B" w:rsidP="00612D4B">
      <w:pPr>
        <w:ind w:left="567" w:right="567"/>
        <w:jc w:val="both"/>
        <w:rPr>
          <w:rFonts w:ascii="Palatino Linotype" w:hAnsi="Palatino Linotype"/>
          <w:i/>
        </w:rPr>
      </w:pPr>
      <w:r w:rsidRPr="0053681B">
        <w:rPr>
          <w:rFonts w:ascii="Palatino Linotype" w:hAnsi="Palatino Linotype"/>
          <w:i/>
        </w:rPr>
        <w:t>I. Administrar la hacienda pública municipal, de conformidad con las disposiciones legales aplicables;</w:t>
      </w:r>
    </w:p>
    <w:p w:rsidR="00612D4B" w:rsidRPr="0053681B" w:rsidRDefault="00612D4B" w:rsidP="00612D4B">
      <w:pPr>
        <w:ind w:left="567" w:right="567"/>
        <w:jc w:val="both"/>
        <w:rPr>
          <w:rFonts w:ascii="Palatino Linotype" w:hAnsi="Palatino Linotype"/>
          <w:i/>
        </w:rPr>
      </w:pPr>
      <w:r w:rsidRPr="0053681B">
        <w:rPr>
          <w:rFonts w:ascii="Palatino Linotype" w:hAnsi="Palatino Linotype"/>
          <w:i/>
        </w:rPr>
        <w:t>(…)</w:t>
      </w:r>
    </w:p>
    <w:p w:rsidR="00612D4B" w:rsidRPr="0053681B" w:rsidRDefault="00612D4B" w:rsidP="00612D4B">
      <w:pPr>
        <w:ind w:left="567" w:right="567"/>
        <w:jc w:val="both"/>
        <w:rPr>
          <w:rFonts w:ascii="Palatino Linotype" w:hAnsi="Palatino Linotype"/>
          <w:i/>
          <w:u w:val="single"/>
        </w:rPr>
      </w:pPr>
      <w:r w:rsidRPr="0053681B">
        <w:rPr>
          <w:rFonts w:ascii="Palatino Linotype" w:hAnsi="Palatino Linotype"/>
          <w:i/>
        </w:rPr>
        <w:t>IV</w:t>
      </w:r>
      <w:r w:rsidRPr="0053681B">
        <w:rPr>
          <w:rFonts w:ascii="Palatino Linotype" w:hAnsi="Palatino Linotype"/>
          <w:b/>
          <w:i/>
          <w:u w:val="single"/>
        </w:rPr>
        <w:t>. Llevar los registros contables, financieros y administrativos de los ingresos, egresos, e inventarios;</w:t>
      </w:r>
    </w:p>
    <w:p w:rsidR="00612D4B" w:rsidRPr="0053681B" w:rsidRDefault="00612D4B" w:rsidP="00612D4B">
      <w:pPr>
        <w:ind w:left="567" w:right="567"/>
        <w:jc w:val="both"/>
        <w:rPr>
          <w:rFonts w:ascii="Palatino Linotype" w:hAnsi="Palatino Linotype"/>
          <w:i/>
        </w:rPr>
      </w:pPr>
      <w:r w:rsidRPr="0053681B">
        <w:rPr>
          <w:rFonts w:ascii="Palatino Linotype" w:hAnsi="Palatino Linotype"/>
          <w:i/>
        </w:rPr>
        <w:t>V. Proporcionar oportunamente al ayuntamiento todos los datos o informes que sean necesarios para la formulación del Presupuesto de Egresos Municipales, vigilando que se ajuste a las disposiciones de esta Ley y otros ordenamientos aplicables;</w:t>
      </w:r>
    </w:p>
    <w:p w:rsidR="00612D4B" w:rsidRPr="0053681B" w:rsidRDefault="00612D4B" w:rsidP="00612D4B">
      <w:pPr>
        <w:ind w:left="567" w:right="567"/>
        <w:jc w:val="both"/>
        <w:rPr>
          <w:rFonts w:ascii="Palatino Linotype" w:hAnsi="Palatino Linotype"/>
          <w:i/>
        </w:rPr>
      </w:pPr>
      <w:r w:rsidRPr="0053681B">
        <w:rPr>
          <w:rFonts w:ascii="Palatino Linotype" w:hAnsi="Palatino Linotype"/>
          <w:i/>
        </w:rPr>
        <w:t>(…)</w:t>
      </w:r>
    </w:p>
    <w:p w:rsidR="00612D4B" w:rsidRPr="0053681B" w:rsidRDefault="00612D4B" w:rsidP="00612D4B">
      <w:pPr>
        <w:ind w:left="567" w:right="567"/>
        <w:jc w:val="both"/>
        <w:rPr>
          <w:rFonts w:ascii="Palatino Linotype" w:hAnsi="Palatino Linotype"/>
          <w:i/>
        </w:rPr>
      </w:pPr>
      <w:r w:rsidRPr="0053681B">
        <w:rPr>
          <w:rFonts w:ascii="Palatino Linotype" w:hAnsi="Palatino Linotype"/>
          <w:i/>
        </w:rPr>
        <w:t xml:space="preserve">XVI. Glosar oportunamente las cuentas del ayuntamiento; </w:t>
      </w:r>
    </w:p>
    <w:p w:rsidR="00612D4B" w:rsidRPr="0053681B" w:rsidRDefault="00612D4B" w:rsidP="00612D4B">
      <w:pPr>
        <w:ind w:left="567" w:right="567"/>
        <w:jc w:val="both"/>
        <w:rPr>
          <w:rFonts w:ascii="Palatino Linotype" w:hAnsi="Palatino Linotype"/>
          <w:i/>
        </w:rPr>
      </w:pPr>
      <w:r w:rsidRPr="0053681B">
        <w:rPr>
          <w:rFonts w:ascii="Palatino Linotype" w:hAnsi="Palatino Linotype"/>
          <w:i/>
        </w:rPr>
        <w:t>XVII. Contestar oportunamente los pliegos de observaciones y responsabilidad que haga el Órgano Superior de Fiscalización del Estado de México, así como atender en tiempo y forma las solicitudes de información que éste requiera, informando al Ayuntamiento;</w:t>
      </w:r>
    </w:p>
    <w:p w:rsidR="00612D4B" w:rsidRPr="0053681B" w:rsidRDefault="00612D4B" w:rsidP="00612D4B">
      <w:pPr>
        <w:ind w:left="567" w:right="567"/>
        <w:jc w:val="both"/>
        <w:rPr>
          <w:rFonts w:ascii="Palatino Linotype" w:hAnsi="Palatino Linotype"/>
          <w:i/>
        </w:rPr>
      </w:pPr>
      <w:r w:rsidRPr="0053681B">
        <w:rPr>
          <w:rFonts w:ascii="Palatino Linotype" w:hAnsi="Palatino Linotype"/>
          <w:i/>
        </w:rPr>
        <w:t>(…)” (Sic)</w:t>
      </w:r>
    </w:p>
    <w:p w:rsidR="00612D4B" w:rsidRDefault="00612D4B" w:rsidP="00612D4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612D4B" w:rsidRDefault="00612D4B" w:rsidP="00612D4B">
      <w:pPr>
        <w:pStyle w:val="Prrafodelista"/>
        <w:spacing w:line="360" w:lineRule="auto"/>
        <w:ind w:left="0" w:right="49"/>
        <w:contextualSpacing/>
        <w:jc w:val="both"/>
        <w:rPr>
          <w:rFonts w:ascii="Palatino Linotype" w:hAnsi="Palatino Linotype" w:cs="Arial"/>
        </w:rPr>
      </w:pPr>
      <w:r w:rsidRPr="007D2692">
        <w:rPr>
          <w:rFonts w:ascii="Palatino Linotype" w:hAnsi="Palatino Linotype" w:cs="Arial"/>
        </w:rPr>
        <w:t xml:space="preserve">De lo anterior se advierte que los Ayuntamientos tienen la atribución de administrar libremente su hacienda y controlar la aplicación del presupuesto de egresos aprobado por dicho cuerpo colegiado, </w:t>
      </w:r>
      <w:r w:rsidRPr="007D2692">
        <w:rPr>
          <w:rFonts w:ascii="Palatino Linotype" w:hAnsi="Palatino Linotype" w:cs="Arial"/>
          <w:b/>
        </w:rPr>
        <w:t>siendo atribución del Tesorero Municipal la de llevar los registros contables, financieros y administrativos de los ingresos, egresos e inventarios</w:t>
      </w:r>
      <w:r w:rsidRPr="007D2692">
        <w:rPr>
          <w:rFonts w:ascii="Palatino Linotype" w:hAnsi="Palatino Linotype" w:cs="Arial"/>
        </w:rPr>
        <w:t>.</w:t>
      </w:r>
    </w:p>
    <w:p w:rsidR="00612D4B" w:rsidRDefault="00612D4B" w:rsidP="007D38CE">
      <w:pPr>
        <w:spacing w:line="360" w:lineRule="auto"/>
        <w:jc w:val="both"/>
        <w:rPr>
          <w:rFonts w:ascii="Palatino Linotype" w:eastAsiaTheme="minorHAnsi" w:hAnsi="Palatino Linotype" w:cs="Arial"/>
          <w:lang w:val="es-MX" w:eastAsia="en-US"/>
        </w:rPr>
      </w:pPr>
    </w:p>
    <w:p w:rsidR="007D38CE" w:rsidRPr="002C5A45" w:rsidRDefault="007D38CE" w:rsidP="007D38CE">
      <w:pPr>
        <w:spacing w:line="360" w:lineRule="auto"/>
        <w:jc w:val="both"/>
        <w:rPr>
          <w:rFonts w:ascii="Palatino Linotype" w:eastAsiaTheme="minorHAnsi" w:hAnsi="Palatino Linotype" w:cs="Arial"/>
          <w:lang w:val="es-MX" w:eastAsia="en-US"/>
        </w:rPr>
      </w:pPr>
      <w:r w:rsidRPr="002C5A45">
        <w:rPr>
          <w:rFonts w:ascii="Palatino Linotype" w:eastAsiaTheme="minorHAnsi" w:hAnsi="Palatino Linotype" w:cs="Arial"/>
          <w:lang w:val="es-MX" w:eastAsia="en-US"/>
        </w:rPr>
        <w:t xml:space="preserve">Dicho lo anterior,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w:t>
      </w:r>
      <w:proofErr w:type="spellStart"/>
      <w:r w:rsidRPr="002C5A45">
        <w:rPr>
          <w:rFonts w:ascii="Palatino Linotype" w:eastAsiaTheme="minorHAnsi" w:hAnsi="Palatino Linotype" w:cs="Arial"/>
          <w:lang w:val="es-MX" w:eastAsia="en-US"/>
        </w:rPr>
        <w:t>Presupuestación</w:t>
      </w:r>
      <w:proofErr w:type="spellEnd"/>
      <w:r w:rsidRPr="002C5A45">
        <w:rPr>
          <w:rFonts w:ascii="Palatino Linotype" w:eastAsiaTheme="minorHAnsi" w:hAnsi="Palatino Linotype" w:cs="Arial"/>
          <w:lang w:val="es-MX" w:eastAsia="en-US"/>
        </w:rPr>
        <w:t xml:space="preserve"> y Evaluación en la Administración Pública”, elaborado por el Grupo de Trabajo de Sistemas de Información Financiera, Contable y Presupuestal de la Comisión Permanente de Funcionarios Fiscales del </w:t>
      </w:r>
      <w:r w:rsidRPr="002C5A45">
        <w:rPr>
          <w:rFonts w:ascii="Palatino Linotype" w:eastAsiaTheme="minorHAnsi" w:hAnsi="Palatino Linotype" w:cs="Arial"/>
          <w:lang w:val="es-MX" w:eastAsia="en-US"/>
        </w:rPr>
        <w:lastRenderedPageBreak/>
        <w:t>Instituto para el Desarrollo Técnico de las Haciendas Públicas (INDETEC) señalan la siguiente definición de la palabra:</w:t>
      </w:r>
    </w:p>
    <w:p w:rsidR="007D38CE" w:rsidRPr="002C5A45" w:rsidRDefault="007D38CE" w:rsidP="007D38CE">
      <w:pPr>
        <w:spacing w:line="360" w:lineRule="auto"/>
        <w:jc w:val="both"/>
        <w:rPr>
          <w:rFonts w:ascii="Palatino Linotype" w:eastAsiaTheme="minorHAnsi" w:hAnsi="Palatino Linotype" w:cs="Arial"/>
          <w:lang w:val="es-MX" w:eastAsia="en-US"/>
        </w:rPr>
      </w:pPr>
    </w:p>
    <w:p w:rsidR="007D38CE" w:rsidRPr="002C5A45" w:rsidRDefault="007D38CE" w:rsidP="007D38CE">
      <w:pPr>
        <w:ind w:left="567" w:right="567"/>
        <w:jc w:val="both"/>
        <w:rPr>
          <w:rFonts w:ascii="Palatino Linotype" w:eastAsiaTheme="minorHAnsi" w:hAnsi="Palatino Linotype" w:cs="Arial"/>
          <w:i/>
          <w:lang w:val="es-MX" w:eastAsia="en-US"/>
        </w:rPr>
      </w:pPr>
      <w:r w:rsidRPr="002C5A45">
        <w:rPr>
          <w:rFonts w:ascii="Palatino Linotype" w:eastAsiaTheme="minorHAnsi" w:hAnsi="Palatino Linotype" w:cs="Arial"/>
          <w:i/>
          <w:lang w:val="es-MX" w:eastAsia="en-US"/>
        </w:rPr>
        <w:t>“</w:t>
      </w:r>
      <w:r w:rsidRPr="002C5A45">
        <w:rPr>
          <w:rFonts w:ascii="Palatino Linotype" w:eastAsiaTheme="minorHAnsi" w:hAnsi="Palatino Linotype" w:cs="Arial"/>
          <w:b/>
          <w:i/>
          <w:lang w:val="es-MX" w:eastAsia="en-US"/>
        </w:rPr>
        <w:t>NÓMINA</w:t>
      </w:r>
      <w:r w:rsidRPr="002C5A45">
        <w:rPr>
          <w:rFonts w:ascii="Palatino Linotype" w:eastAsiaTheme="minorHAnsi" w:hAnsi="Palatino Linotype" w:cs="Arial"/>
          <w:i/>
          <w:lang w:val="es-MX" w:eastAsia="en-US"/>
        </w:rPr>
        <w:t>: Listado general de los trabajadores de una institución, en el cual se asientan las percepciones brutas, deducciones y alcance neto de las mismas; la nómina es utilizada para efectuar los pagos periódicos (semanales, quincenales o mensuales) a los trabajadores por concepto de sueldos y salarios.”</w:t>
      </w:r>
    </w:p>
    <w:p w:rsidR="007D38CE" w:rsidRPr="002C5A45" w:rsidRDefault="007D38CE" w:rsidP="007D38CE">
      <w:pPr>
        <w:spacing w:line="360" w:lineRule="auto"/>
        <w:jc w:val="both"/>
        <w:rPr>
          <w:rFonts w:ascii="Palatino Linotype" w:eastAsiaTheme="minorHAnsi" w:hAnsi="Palatino Linotype" w:cs="Arial"/>
          <w:lang w:val="es-MX" w:eastAsia="en-US"/>
        </w:rPr>
      </w:pPr>
    </w:p>
    <w:p w:rsidR="007D38CE" w:rsidRPr="002C5A45" w:rsidRDefault="007D38CE" w:rsidP="007D38CE">
      <w:pPr>
        <w:spacing w:line="360" w:lineRule="auto"/>
        <w:jc w:val="both"/>
        <w:rPr>
          <w:rFonts w:ascii="Palatino Linotype" w:eastAsiaTheme="minorHAnsi" w:hAnsi="Palatino Linotype" w:cs="Arial"/>
          <w:lang w:val="es-MX" w:eastAsia="en-US"/>
        </w:rPr>
      </w:pPr>
      <w:r w:rsidRPr="002C5A45">
        <w:rPr>
          <w:rFonts w:ascii="Palatino Linotype" w:eastAsiaTheme="minorHAnsi" w:hAnsi="Palatino Linotype" w:cs="Arial"/>
          <w:lang w:val="es-MX" w:eastAsia="en-US"/>
        </w:rPr>
        <w:t>Relativo al tema, debemos traer a colación que el artículo 147 de la Constitución Política del Estado Libre y Soberano de México, establece que los trabajadores al servicio del Estado y los miembros de los Ayuntamientos, recibirán una remuneración adecuada e irrenunciable por el desempeño de su empleo, cargo o comisión, que será determinada en el presupuesto de egresos que corresponda.</w:t>
      </w:r>
    </w:p>
    <w:p w:rsidR="007D38CE" w:rsidRPr="002C5A45" w:rsidRDefault="007D38CE" w:rsidP="007D38CE">
      <w:pPr>
        <w:spacing w:line="360" w:lineRule="auto"/>
        <w:jc w:val="both"/>
        <w:rPr>
          <w:rFonts w:ascii="Palatino Linotype" w:eastAsiaTheme="minorHAnsi" w:hAnsi="Palatino Linotype" w:cs="Arial"/>
          <w:lang w:val="es-MX" w:eastAsia="en-US"/>
        </w:rPr>
      </w:pPr>
    </w:p>
    <w:p w:rsidR="007D38CE" w:rsidRPr="002C5A45" w:rsidRDefault="007D38CE" w:rsidP="007D38CE">
      <w:pPr>
        <w:spacing w:line="360" w:lineRule="auto"/>
        <w:jc w:val="both"/>
        <w:rPr>
          <w:rFonts w:ascii="Palatino Linotype" w:eastAsiaTheme="minorHAnsi" w:hAnsi="Palatino Linotype" w:cs="Arial"/>
          <w:lang w:val="es-MX" w:eastAsia="en-US"/>
        </w:rPr>
      </w:pPr>
      <w:r w:rsidRPr="002C5A45">
        <w:rPr>
          <w:rFonts w:ascii="Palatino Linotype" w:eastAsiaTheme="minorHAnsi" w:hAnsi="Palatino Linotype" w:cs="Arial"/>
          <w:lang w:val="es-MX" w:eastAsia="en-US"/>
        </w:rPr>
        <w:t>En el mismo sentido, el Código Financiero del Estado de México y Municipios, en su artículo 3° fracción XXXXII estipula lo siguiente:</w:t>
      </w:r>
    </w:p>
    <w:p w:rsidR="007D38CE" w:rsidRPr="002C5A45" w:rsidRDefault="007D38CE" w:rsidP="007D38CE">
      <w:pPr>
        <w:spacing w:line="360" w:lineRule="auto"/>
        <w:jc w:val="both"/>
        <w:rPr>
          <w:rFonts w:ascii="Palatino Linotype" w:eastAsiaTheme="minorHAnsi" w:hAnsi="Palatino Linotype" w:cs="Arial"/>
          <w:lang w:val="es-MX" w:eastAsia="en-US"/>
        </w:rPr>
      </w:pPr>
    </w:p>
    <w:p w:rsidR="007D38CE" w:rsidRPr="002C5A45" w:rsidRDefault="007D38CE" w:rsidP="007D38CE">
      <w:pPr>
        <w:ind w:left="567" w:right="567"/>
        <w:jc w:val="both"/>
        <w:rPr>
          <w:rFonts w:ascii="Palatino Linotype" w:eastAsiaTheme="minorHAnsi" w:hAnsi="Palatino Linotype" w:cs="Arial"/>
          <w:b/>
          <w:i/>
          <w:sz w:val="22"/>
          <w:lang w:val="es-MX" w:eastAsia="en-US"/>
        </w:rPr>
      </w:pPr>
      <w:r w:rsidRPr="002C5A45">
        <w:rPr>
          <w:rFonts w:ascii="Palatino Linotype" w:eastAsiaTheme="minorHAnsi" w:hAnsi="Palatino Linotype" w:cs="Arial"/>
          <w:i/>
          <w:sz w:val="22"/>
          <w:lang w:val="es-MX" w:eastAsia="en-US"/>
        </w:rPr>
        <w:t>“</w:t>
      </w:r>
      <w:r w:rsidRPr="002C5A45">
        <w:rPr>
          <w:rFonts w:ascii="Palatino Linotype" w:eastAsiaTheme="minorHAnsi" w:hAnsi="Palatino Linotype" w:cs="Arial"/>
          <w:b/>
          <w:i/>
          <w:sz w:val="22"/>
          <w:lang w:val="es-MX" w:eastAsia="en-US"/>
        </w:rPr>
        <w:t xml:space="preserve">Artículo 3. </w:t>
      </w:r>
    </w:p>
    <w:p w:rsidR="007D38CE" w:rsidRPr="002C5A45" w:rsidRDefault="007D38CE" w:rsidP="007D38CE">
      <w:pPr>
        <w:ind w:left="567" w:right="567"/>
        <w:jc w:val="both"/>
        <w:rPr>
          <w:rFonts w:ascii="Palatino Linotype" w:eastAsiaTheme="minorHAnsi" w:hAnsi="Palatino Linotype" w:cs="Arial"/>
          <w:b/>
          <w:i/>
          <w:sz w:val="22"/>
          <w:lang w:val="es-MX" w:eastAsia="en-US"/>
        </w:rPr>
      </w:pPr>
      <w:r w:rsidRPr="002C5A45">
        <w:rPr>
          <w:rFonts w:ascii="Palatino Linotype" w:eastAsiaTheme="minorHAnsi" w:hAnsi="Palatino Linotype" w:cs="Arial"/>
          <w:b/>
          <w:i/>
          <w:sz w:val="22"/>
          <w:lang w:val="es-MX" w:eastAsia="en-US"/>
        </w:rPr>
        <w:t>(…)</w:t>
      </w:r>
    </w:p>
    <w:p w:rsidR="007D38CE" w:rsidRPr="002C5A45" w:rsidRDefault="007D38CE" w:rsidP="007D38CE">
      <w:pPr>
        <w:ind w:left="567" w:right="567"/>
        <w:jc w:val="both"/>
        <w:rPr>
          <w:rFonts w:ascii="Palatino Linotype" w:eastAsiaTheme="minorHAnsi" w:hAnsi="Palatino Linotype" w:cs="Arial"/>
          <w:i/>
          <w:sz w:val="22"/>
          <w:lang w:val="es-MX" w:eastAsia="en-US"/>
        </w:rPr>
      </w:pPr>
      <w:r w:rsidRPr="002C5A45">
        <w:rPr>
          <w:rFonts w:ascii="Palatino Linotype" w:eastAsiaTheme="minorHAnsi" w:hAnsi="Palatino Linotype" w:cs="Arial"/>
          <w:b/>
          <w:i/>
          <w:sz w:val="22"/>
          <w:lang w:val="es-MX" w:eastAsia="en-US"/>
        </w:rPr>
        <w:t>XXXII. Remuneración:</w:t>
      </w:r>
      <w:r w:rsidRPr="002C5A45">
        <w:rPr>
          <w:rFonts w:ascii="Palatino Linotype" w:eastAsiaTheme="minorHAnsi" w:hAnsi="Palatino Linotype" w:cs="Arial"/>
          <w:i/>
          <w:sz w:val="22"/>
          <w:lang w:val="es-MX" w:eastAsia="en-US"/>
        </w:rPr>
        <w:t xml:space="preserve"> 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w:t>
      </w:r>
    </w:p>
    <w:p w:rsidR="007D38CE" w:rsidRPr="002C5A45" w:rsidRDefault="007D38CE" w:rsidP="007D38CE">
      <w:pPr>
        <w:ind w:left="567" w:right="567"/>
        <w:jc w:val="both"/>
        <w:rPr>
          <w:rFonts w:ascii="Palatino Linotype" w:eastAsiaTheme="minorHAnsi" w:hAnsi="Palatino Linotype" w:cs="Arial"/>
          <w:i/>
          <w:sz w:val="22"/>
          <w:lang w:val="es-MX" w:eastAsia="en-US"/>
        </w:rPr>
      </w:pPr>
      <w:r w:rsidRPr="002C5A45">
        <w:rPr>
          <w:rFonts w:ascii="Palatino Linotype" w:eastAsiaTheme="minorHAnsi" w:hAnsi="Palatino Linotype" w:cs="Arial"/>
          <w:i/>
          <w:sz w:val="22"/>
          <w:lang w:val="es-MX" w:eastAsia="en-US"/>
        </w:rPr>
        <w:t>(…)”</w:t>
      </w:r>
    </w:p>
    <w:p w:rsidR="007D38CE" w:rsidRPr="002C5A45" w:rsidRDefault="007D38CE" w:rsidP="007D38CE">
      <w:pPr>
        <w:spacing w:line="360" w:lineRule="auto"/>
        <w:jc w:val="both"/>
        <w:rPr>
          <w:rFonts w:ascii="Palatino Linotype" w:eastAsiaTheme="minorHAnsi" w:hAnsi="Palatino Linotype" w:cs="Arial"/>
          <w:lang w:val="es-MX" w:eastAsia="en-US"/>
        </w:rPr>
      </w:pPr>
    </w:p>
    <w:p w:rsidR="007D38CE" w:rsidRPr="002C5A45" w:rsidRDefault="007D38CE" w:rsidP="007D38CE">
      <w:pPr>
        <w:spacing w:line="360" w:lineRule="auto"/>
        <w:jc w:val="both"/>
        <w:rPr>
          <w:rFonts w:ascii="Palatino Linotype" w:eastAsiaTheme="minorHAnsi" w:hAnsi="Palatino Linotype" w:cs="Arial"/>
          <w:lang w:val="es-MX" w:eastAsia="en-US"/>
        </w:rPr>
      </w:pPr>
      <w:r w:rsidRPr="002C5A45">
        <w:rPr>
          <w:rFonts w:ascii="Palatino Linotype" w:eastAsiaTheme="minorHAnsi" w:hAnsi="Palatino Linotype" w:cs="Arial"/>
          <w:lang w:val="es-MX" w:eastAsia="en-US"/>
        </w:rPr>
        <w:t xml:space="preserve">Además, la Ley Orgánica Municipal del Estado de México en el artículo 31 fracción XIX establece como atribución de los Ayuntamientos aprobar su </w:t>
      </w:r>
      <w:r w:rsidRPr="002C5A45">
        <w:rPr>
          <w:rFonts w:ascii="Palatino Linotype" w:eastAsiaTheme="minorHAnsi" w:hAnsi="Palatino Linotype" w:cs="Arial"/>
          <w:b/>
          <w:lang w:val="es-MX" w:eastAsia="en-US"/>
        </w:rPr>
        <w:t>Presupuesto de Egresos</w:t>
      </w:r>
      <w:r w:rsidRPr="002C5A45">
        <w:rPr>
          <w:rFonts w:ascii="Palatino Linotype" w:eastAsiaTheme="minorHAnsi" w:hAnsi="Palatino Linotype" w:cs="Arial"/>
          <w:lang w:val="es-MX" w:eastAsia="en-US"/>
        </w:rPr>
        <w:t xml:space="preserve">, y al hacerlo deberán señalar </w:t>
      </w:r>
      <w:r w:rsidRPr="002C5A45">
        <w:rPr>
          <w:rFonts w:ascii="Palatino Linotype" w:eastAsiaTheme="minorHAnsi" w:hAnsi="Palatino Linotype" w:cs="Arial"/>
          <w:i/>
          <w:lang w:val="es-MX" w:eastAsia="en-US"/>
        </w:rPr>
        <w:t>“</w:t>
      </w:r>
      <w:r w:rsidRPr="002C5A45">
        <w:rPr>
          <w:rFonts w:ascii="Palatino Linotype" w:eastAsiaTheme="minorHAnsi" w:hAnsi="Palatino Linotype" w:cs="Arial"/>
          <w:b/>
          <w:i/>
          <w:lang w:val="es-MX" w:eastAsia="en-US"/>
        </w:rPr>
        <w:t>la remuneración</w:t>
      </w:r>
      <w:r w:rsidRPr="002C5A45">
        <w:rPr>
          <w:rFonts w:ascii="Palatino Linotype" w:eastAsiaTheme="minorHAnsi" w:hAnsi="Palatino Linotype" w:cs="Arial"/>
          <w:i/>
          <w:lang w:val="es-MX" w:eastAsia="en-US"/>
        </w:rPr>
        <w:t xml:space="preserve"> de todo tipo que corresponda a un empleo, </w:t>
      </w:r>
      <w:r w:rsidRPr="002C5A45">
        <w:rPr>
          <w:rFonts w:ascii="Palatino Linotype" w:eastAsiaTheme="minorHAnsi" w:hAnsi="Palatino Linotype" w:cs="Arial"/>
          <w:i/>
          <w:lang w:val="es-MX" w:eastAsia="en-US"/>
        </w:rPr>
        <w:lastRenderedPageBreak/>
        <w:t xml:space="preserve">cargo o comisión de cualquier naturaleza, determinada conforme a principios de racionalidad, austeridad, disciplina financiera, equidad, legalidad, igualdad y transparencia, sujetándose a lo dispuesto por el Código Financiero y demás disposiciones legales aplicables“ y además “las remuneraciones de todo tipo del Presidente Municipal, Síndicos, Regidores y servidores públicos en general, incluyendo mandos medios y superiores de la administración municipal, serán </w:t>
      </w:r>
      <w:r w:rsidRPr="002C5A45">
        <w:rPr>
          <w:rFonts w:ascii="Palatino Linotype" w:eastAsiaTheme="minorHAnsi" w:hAnsi="Palatino Linotype" w:cs="Arial"/>
          <w:b/>
          <w:i/>
          <w:lang w:val="es-MX" w:eastAsia="en-US"/>
        </w:rPr>
        <w:t>determinadas anualmente en el presupuesto de egresos</w:t>
      </w:r>
      <w:r w:rsidRPr="002C5A45">
        <w:rPr>
          <w:rFonts w:ascii="Palatino Linotype" w:eastAsiaTheme="minorHAnsi" w:hAnsi="Palatino Linotype" w:cs="Arial"/>
          <w:i/>
          <w:lang w:val="es-MX" w:eastAsia="en-US"/>
        </w:rPr>
        <w:t xml:space="preserve"> correspondiente y se sujetarán a los lineamientos legales establecidos para todos los servidores públicos municipales”.(…)</w:t>
      </w:r>
    </w:p>
    <w:p w:rsidR="007D38CE" w:rsidRPr="002C5A45" w:rsidRDefault="007D38CE" w:rsidP="007D38CE">
      <w:pPr>
        <w:spacing w:line="360" w:lineRule="auto"/>
        <w:jc w:val="both"/>
        <w:rPr>
          <w:rFonts w:ascii="Palatino Linotype" w:eastAsiaTheme="minorHAnsi" w:hAnsi="Palatino Linotype" w:cs="Arial"/>
          <w:lang w:val="es-MX" w:eastAsia="en-US"/>
        </w:rPr>
      </w:pPr>
    </w:p>
    <w:p w:rsidR="007D38CE" w:rsidRPr="002C5A45" w:rsidRDefault="007D38CE" w:rsidP="007D38CE">
      <w:pPr>
        <w:spacing w:line="360" w:lineRule="auto"/>
        <w:jc w:val="both"/>
        <w:rPr>
          <w:rFonts w:ascii="Palatino Linotype" w:eastAsiaTheme="minorHAnsi" w:hAnsi="Palatino Linotype" w:cs="Arial"/>
          <w:lang w:val="es-MX" w:eastAsia="en-US"/>
        </w:rPr>
      </w:pPr>
      <w:r w:rsidRPr="002C5A45">
        <w:rPr>
          <w:rFonts w:ascii="Palatino Linotype" w:eastAsiaTheme="minorHAnsi" w:hAnsi="Palatino Linotype" w:cs="Arial"/>
          <w:lang w:val="es-MX" w:eastAsia="en-US"/>
        </w:rPr>
        <w:t xml:space="preserve">Del ordenamiento legal citado se desprende que las remuneraciones se encuentran contenidas tanto en el presupuesto de egresos como en el informe mensual que se envía al Órgano Superior de Fiscalización, y que dichas facultades son conferidas a la </w:t>
      </w:r>
      <w:r w:rsidRPr="002C5A45">
        <w:rPr>
          <w:rFonts w:ascii="Palatino Linotype" w:eastAsiaTheme="minorHAnsi" w:hAnsi="Palatino Linotype" w:cs="Arial"/>
          <w:b/>
          <w:lang w:val="es-MX" w:eastAsia="en-US"/>
        </w:rPr>
        <w:t>Tesorería Municipal</w:t>
      </w:r>
      <w:r w:rsidRPr="002C5A45">
        <w:rPr>
          <w:rFonts w:ascii="Palatino Linotype" w:eastAsiaTheme="minorHAnsi" w:hAnsi="Palatino Linotype" w:cs="Arial"/>
          <w:lang w:val="es-MX" w:eastAsia="en-US"/>
        </w:rPr>
        <w:t>.</w:t>
      </w:r>
    </w:p>
    <w:p w:rsidR="007D38CE" w:rsidRPr="002C5A45" w:rsidRDefault="007D38CE" w:rsidP="007D38CE">
      <w:pPr>
        <w:spacing w:line="360" w:lineRule="auto"/>
        <w:jc w:val="both"/>
        <w:rPr>
          <w:rFonts w:ascii="Palatino Linotype" w:eastAsiaTheme="minorHAnsi" w:hAnsi="Palatino Linotype" w:cs="Arial"/>
          <w:lang w:val="es-MX" w:eastAsia="en-US"/>
        </w:rPr>
      </w:pPr>
    </w:p>
    <w:p w:rsidR="007D38CE" w:rsidRPr="002C5A45" w:rsidRDefault="007D38CE" w:rsidP="007D38CE">
      <w:pPr>
        <w:spacing w:line="360" w:lineRule="auto"/>
        <w:jc w:val="both"/>
        <w:rPr>
          <w:rFonts w:ascii="Palatino Linotype" w:eastAsiaTheme="minorHAnsi" w:hAnsi="Palatino Linotype" w:cs="Arial"/>
          <w:b/>
          <w:lang w:val="es-MX" w:eastAsia="en-US"/>
        </w:rPr>
      </w:pPr>
      <w:r w:rsidRPr="002C5A45">
        <w:rPr>
          <w:rFonts w:ascii="Palatino Linotype" w:eastAsiaTheme="minorHAnsi" w:hAnsi="Palatino Linotype" w:cs="Arial"/>
          <w:lang w:val="es-MX" w:eastAsia="en-US"/>
        </w:rPr>
        <w:t xml:space="preserve">De lo anteriormente expuesto, este Instituto advierte que tanto en la nómina general o recibos de pagos de salarios es donde se registran las remuneraciones otorgadas a los servidores públicos, las cuales de acuerdo con los artículos 127 de la Constitución Política de los Estados Unidos Mexicanos y 3, fracción XXXII del Código Financiero del Estado de México y Municipios, </w:t>
      </w:r>
      <w:r w:rsidRPr="002C5A45">
        <w:rPr>
          <w:rFonts w:ascii="Palatino Linotype" w:eastAsiaTheme="minorHAnsi" w:hAnsi="Palatino Linotype" w:cs="Arial"/>
          <w:b/>
          <w:lang w:val="es-MX" w:eastAsia="en-US"/>
        </w:rPr>
        <w:t>constituyen toda percepción o pagos por concepto de sueldo, compensaciones, gratificaciones, habitación, primas, comisiones, prestaciones en especie, premios, recompensas, bonos, estímulos, dietas, aguinaldos, comisiones y cualquier otra prestación que se entregue a los servidores públicos por su trabajo.</w:t>
      </w:r>
    </w:p>
    <w:p w:rsidR="007D38CE" w:rsidRPr="002C5A45" w:rsidRDefault="007D38CE" w:rsidP="007D38CE">
      <w:pPr>
        <w:spacing w:line="360" w:lineRule="auto"/>
        <w:jc w:val="both"/>
        <w:rPr>
          <w:rFonts w:ascii="Palatino Linotype" w:eastAsiaTheme="minorHAnsi" w:hAnsi="Palatino Linotype" w:cs="Arial"/>
          <w:lang w:val="es-MX" w:eastAsia="en-US"/>
        </w:rPr>
      </w:pPr>
    </w:p>
    <w:p w:rsidR="007D38CE" w:rsidRDefault="007D38CE" w:rsidP="007D38CE">
      <w:pPr>
        <w:spacing w:before="240" w:after="240" w:line="360" w:lineRule="auto"/>
        <w:jc w:val="both"/>
        <w:rPr>
          <w:rFonts w:ascii="Palatino Linotype" w:hAnsi="Palatino Linotype"/>
        </w:rPr>
      </w:pPr>
      <w:r w:rsidRPr="003E0BC5">
        <w:rPr>
          <w:rFonts w:ascii="Palatino Linotype" w:hAnsi="Palatino Linotype"/>
        </w:rPr>
        <w:lastRenderedPageBreak/>
        <w:t xml:space="preserve">Aunado a lo anterior, </w:t>
      </w:r>
      <w:r w:rsidRPr="003E0BC5">
        <w:rPr>
          <w:rFonts w:ascii="Palatino Linotype" w:hAnsi="Palatino Linotype" w:cs="Arial"/>
          <w:color w:val="000000"/>
        </w:rPr>
        <w:t>l</w:t>
      </w:r>
      <w:r w:rsidRPr="003E0BC5">
        <w:rPr>
          <w:rFonts w:ascii="Palatino Linotype" w:hAnsi="Palatino Linotype"/>
          <w:color w:val="000000"/>
        </w:rPr>
        <w:t xml:space="preserve">os Lineamientos para la </w:t>
      </w:r>
      <w:r>
        <w:rPr>
          <w:rFonts w:ascii="Palatino Linotype" w:hAnsi="Palatino Linotype"/>
          <w:color w:val="000000"/>
        </w:rPr>
        <w:t>Presentación del Informe Trimestral Municipal Ejercicio Fiscal 2024</w:t>
      </w:r>
      <w:r w:rsidRPr="003E0BC5">
        <w:rPr>
          <w:rFonts w:ascii="Palatino Linotype" w:hAnsi="Palatino Linotype"/>
          <w:color w:val="000000"/>
        </w:rPr>
        <w:t>, visibles en la página oficial del Órgano Superior de Fiscalizaci</w:t>
      </w:r>
      <w:r>
        <w:rPr>
          <w:rFonts w:ascii="Palatino Linotype" w:hAnsi="Palatino Linotype"/>
          <w:color w:val="000000"/>
        </w:rPr>
        <w:t xml:space="preserve">ón del Estado de México (OSFEM), </w:t>
      </w:r>
      <w:r>
        <w:rPr>
          <w:rFonts w:ascii="Palatino Linotype" w:hAnsi="Palatino Linotype"/>
        </w:rPr>
        <w:t xml:space="preserve">donde se destaca que dentro de los informes trimestrales que </w:t>
      </w:r>
      <w:r>
        <w:rPr>
          <w:rFonts w:ascii="Palatino Linotype" w:hAnsi="Palatino Linotype"/>
          <w:b/>
        </w:rPr>
        <w:t xml:space="preserve">El Sujeto Obligado </w:t>
      </w:r>
      <w:r>
        <w:rPr>
          <w:rFonts w:ascii="Palatino Linotype" w:hAnsi="Palatino Linotype"/>
        </w:rPr>
        <w:t>tiene la obligación de rendir, se contempla precisamente la presentación de la información referente a la Conciliación de Nómina, los cuales define como:</w:t>
      </w:r>
    </w:p>
    <w:p w:rsidR="007D38CE" w:rsidRDefault="007D38CE" w:rsidP="007D38CE">
      <w:pPr>
        <w:pStyle w:val="Prrafodelista"/>
        <w:numPr>
          <w:ilvl w:val="0"/>
          <w:numId w:val="16"/>
        </w:numPr>
        <w:spacing w:before="240" w:after="240" w:line="360" w:lineRule="auto"/>
        <w:jc w:val="both"/>
        <w:rPr>
          <w:rFonts w:ascii="Palatino Linotype" w:hAnsi="Palatino Linotype"/>
        </w:rPr>
      </w:pPr>
      <w:r w:rsidRPr="0038100F">
        <w:rPr>
          <w:rFonts w:ascii="Palatino Linotype" w:hAnsi="Palatino Linotype"/>
          <w:b/>
        </w:rPr>
        <w:t>Conciliación de Nómina:</w:t>
      </w:r>
      <w:r>
        <w:rPr>
          <w:rFonts w:ascii="Palatino Linotype" w:hAnsi="Palatino Linotype"/>
        </w:rPr>
        <w:t xml:space="preserve"> es el concentrado mensual de las cifras derivadas de todas las erogaciones realizadas por concepto de remuneraciones al trabajo, registradas en la nómina; las cuales deben coincidir con las contenidas en los registros contables, por concepto de remuneraciones o trabajo personal.</w:t>
      </w:r>
    </w:p>
    <w:p w:rsidR="007D38CE" w:rsidRDefault="007D38CE" w:rsidP="007D38CE">
      <w:pPr>
        <w:pStyle w:val="Prrafodelista"/>
        <w:spacing w:before="240" w:after="240" w:line="360" w:lineRule="auto"/>
        <w:ind w:left="720"/>
        <w:jc w:val="both"/>
        <w:rPr>
          <w:rFonts w:ascii="Palatino Linotype" w:hAnsi="Palatino Linotype"/>
        </w:rPr>
      </w:pPr>
      <w:r>
        <w:rPr>
          <w:rFonts w:ascii="Palatino Linotype" w:hAnsi="Palatino Linotype"/>
          <w:noProof/>
          <w:lang w:val="es-MX" w:eastAsia="es-MX"/>
        </w:rPr>
        <w:drawing>
          <wp:inline distT="0" distB="0" distL="0" distR="0" wp14:anchorId="5291277C" wp14:editId="25A4A8A6">
            <wp:extent cx="5229225" cy="3770630"/>
            <wp:effectExtent l="0" t="0" r="952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145C63.tmp"/>
                    <pic:cNvPicPr/>
                  </pic:nvPicPr>
                  <pic:blipFill>
                    <a:blip r:embed="rId7">
                      <a:extLst>
                        <a:ext uri="{28A0092B-C50C-407E-A947-70E740481C1C}">
                          <a14:useLocalDpi xmlns:a14="http://schemas.microsoft.com/office/drawing/2010/main" val="0"/>
                        </a:ext>
                      </a:extLst>
                    </a:blip>
                    <a:stretch>
                      <a:fillRect/>
                    </a:stretch>
                  </pic:blipFill>
                  <pic:spPr>
                    <a:xfrm>
                      <a:off x="0" y="0"/>
                      <a:ext cx="5229225" cy="3770630"/>
                    </a:xfrm>
                    <a:prstGeom prst="rect">
                      <a:avLst/>
                    </a:prstGeom>
                  </pic:spPr>
                </pic:pic>
              </a:graphicData>
            </a:graphic>
          </wp:inline>
        </w:drawing>
      </w:r>
    </w:p>
    <w:p w:rsidR="007D38CE" w:rsidRDefault="007D38CE" w:rsidP="007D38CE">
      <w:pPr>
        <w:pStyle w:val="Prrafodelista"/>
        <w:spacing w:before="240" w:after="240" w:line="360" w:lineRule="auto"/>
        <w:ind w:left="720"/>
        <w:rPr>
          <w:rFonts w:ascii="Palatino Linotype" w:hAnsi="Palatino Linotype"/>
        </w:rPr>
      </w:pPr>
      <w:r>
        <w:rPr>
          <w:rFonts w:ascii="Palatino Linotype" w:hAnsi="Palatino Linotype"/>
          <w:noProof/>
          <w:lang w:val="es-MX" w:eastAsia="es-MX"/>
        </w:rPr>
        <w:lastRenderedPageBreak/>
        <w:drawing>
          <wp:inline distT="0" distB="0" distL="0" distR="0" wp14:anchorId="38E6B1A9" wp14:editId="053A7392">
            <wp:extent cx="5229225" cy="1652905"/>
            <wp:effectExtent l="0" t="0" r="952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14CAED.tmp"/>
                    <pic:cNvPicPr/>
                  </pic:nvPicPr>
                  <pic:blipFill>
                    <a:blip r:embed="rId8">
                      <a:extLst>
                        <a:ext uri="{28A0092B-C50C-407E-A947-70E740481C1C}">
                          <a14:useLocalDpi xmlns:a14="http://schemas.microsoft.com/office/drawing/2010/main" val="0"/>
                        </a:ext>
                      </a:extLst>
                    </a:blip>
                    <a:stretch>
                      <a:fillRect/>
                    </a:stretch>
                  </pic:blipFill>
                  <pic:spPr>
                    <a:xfrm>
                      <a:off x="0" y="0"/>
                      <a:ext cx="5229225" cy="1652905"/>
                    </a:xfrm>
                    <a:prstGeom prst="rect">
                      <a:avLst/>
                    </a:prstGeom>
                  </pic:spPr>
                </pic:pic>
              </a:graphicData>
            </a:graphic>
          </wp:inline>
        </w:drawing>
      </w:r>
    </w:p>
    <w:p w:rsidR="007D38CE" w:rsidRDefault="007D38CE" w:rsidP="007D38CE">
      <w:pPr>
        <w:spacing w:before="240" w:after="240" w:line="360" w:lineRule="auto"/>
        <w:jc w:val="center"/>
        <w:rPr>
          <w:rFonts w:ascii="Palatino Linotype" w:hAnsi="Palatino Linotype"/>
        </w:rPr>
      </w:pPr>
      <w:r>
        <w:rPr>
          <w:rFonts w:ascii="Palatino Linotype" w:hAnsi="Palatino Linotype"/>
          <w:noProof/>
          <w:lang w:val="es-MX" w:eastAsia="es-MX"/>
        </w:rPr>
        <w:drawing>
          <wp:inline distT="0" distB="0" distL="0" distR="0" wp14:anchorId="2E704CFB" wp14:editId="254601B7">
            <wp:extent cx="4191000" cy="5366716"/>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149013.tmp"/>
                    <pic:cNvPicPr/>
                  </pic:nvPicPr>
                  <pic:blipFill>
                    <a:blip r:embed="rId9">
                      <a:extLst>
                        <a:ext uri="{28A0092B-C50C-407E-A947-70E740481C1C}">
                          <a14:useLocalDpi xmlns:a14="http://schemas.microsoft.com/office/drawing/2010/main" val="0"/>
                        </a:ext>
                      </a:extLst>
                    </a:blip>
                    <a:stretch>
                      <a:fillRect/>
                    </a:stretch>
                  </pic:blipFill>
                  <pic:spPr>
                    <a:xfrm>
                      <a:off x="0" y="0"/>
                      <a:ext cx="4196706" cy="5374022"/>
                    </a:xfrm>
                    <a:prstGeom prst="rect">
                      <a:avLst/>
                    </a:prstGeom>
                  </pic:spPr>
                </pic:pic>
              </a:graphicData>
            </a:graphic>
          </wp:inline>
        </w:drawing>
      </w:r>
    </w:p>
    <w:p w:rsidR="007D38CE" w:rsidRPr="006963F6" w:rsidRDefault="007D38CE" w:rsidP="007D38CE">
      <w:pPr>
        <w:spacing w:before="240" w:after="240" w:line="360" w:lineRule="auto"/>
        <w:jc w:val="center"/>
        <w:rPr>
          <w:rFonts w:ascii="Palatino Linotype" w:hAnsi="Palatino Linotype"/>
        </w:rPr>
      </w:pPr>
    </w:p>
    <w:p w:rsidR="007D38CE" w:rsidRDefault="007D38CE" w:rsidP="007D38CE">
      <w:pPr>
        <w:spacing w:before="240" w:after="240" w:line="360" w:lineRule="auto"/>
        <w:jc w:val="center"/>
        <w:rPr>
          <w:rFonts w:ascii="Palatino Linotype" w:hAnsi="Palatino Linotype"/>
        </w:rPr>
      </w:pPr>
      <w:r>
        <w:rPr>
          <w:rFonts w:ascii="Palatino Linotype" w:hAnsi="Palatino Linotype"/>
          <w:noProof/>
          <w:lang w:val="es-MX" w:eastAsia="es-MX"/>
        </w:rPr>
        <w:drawing>
          <wp:inline distT="0" distB="0" distL="0" distR="0" wp14:anchorId="09BC9CBB" wp14:editId="23D55DD8">
            <wp:extent cx="5267325" cy="167681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14F575.tmp"/>
                    <pic:cNvPicPr/>
                  </pic:nvPicPr>
                  <pic:blipFill>
                    <a:blip r:embed="rId10">
                      <a:extLst>
                        <a:ext uri="{28A0092B-C50C-407E-A947-70E740481C1C}">
                          <a14:useLocalDpi xmlns:a14="http://schemas.microsoft.com/office/drawing/2010/main" val="0"/>
                        </a:ext>
                      </a:extLst>
                    </a:blip>
                    <a:stretch>
                      <a:fillRect/>
                    </a:stretch>
                  </pic:blipFill>
                  <pic:spPr>
                    <a:xfrm>
                      <a:off x="0" y="0"/>
                      <a:ext cx="5283127" cy="1681843"/>
                    </a:xfrm>
                    <a:prstGeom prst="rect">
                      <a:avLst/>
                    </a:prstGeom>
                  </pic:spPr>
                </pic:pic>
              </a:graphicData>
            </a:graphic>
          </wp:inline>
        </w:drawing>
      </w:r>
    </w:p>
    <w:p w:rsidR="007D38CE" w:rsidRDefault="007D38CE" w:rsidP="007D38CE">
      <w:pPr>
        <w:autoSpaceDE w:val="0"/>
        <w:autoSpaceDN w:val="0"/>
        <w:adjustRightInd w:val="0"/>
        <w:spacing w:line="360" w:lineRule="auto"/>
        <w:ind w:right="49"/>
        <w:contextualSpacing/>
        <w:jc w:val="both"/>
        <w:rPr>
          <w:rFonts w:ascii="Palatino Linotype" w:eastAsiaTheme="minorHAnsi" w:hAnsi="Palatino Linotype" w:cs="Arial"/>
          <w:lang w:val="es-MX" w:eastAsia="en-US"/>
        </w:rPr>
      </w:pPr>
      <w:r w:rsidRPr="002C5A45">
        <w:rPr>
          <w:rFonts w:ascii="Palatino Linotype" w:eastAsiaTheme="minorHAnsi" w:hAnsi="Palatino Linotype" w:cs="Arial"/>
          <w:lang w:val="es-MX" w:eastAsia="en-US"/>
        </w:rPr>
        <w:t xml:space="preserve">De lo anteriormente expuesto, este Instituto advierte que tanto en la nómina general o recibos de pagos de salarios es donde se registran las remuneraciones otorgadas a los servidores públicos, las cuales de acuerdo con los artículos 127 de la </w:t>
      </w:r>
      <w:r w:rsidRPr="002C5A45">
        <w:rPr>
          <w:rFonts w:ascii="Palatino Linotype" w:eastAsiaTheme="minorHAnsi" w:hAnsi="Palatino Linotype" w:cs="Arial"/>
          <w:b/>
          <w:lang w:val="es-MX" w:eastAsia="en-US"/>
        </w:rPr>
        <w:t>Constitución Política de los Estados Unidos Mexicanos</w:t>
      </w:r>
      <w:r w:rsidRPr="002C5A45">
        <w:rPr>
          <w:rFonts w:ascii="Palatino Linotype" w:eastAsiaTheme="minorHAnsi" w:hAnsi="Palatino Linotype" w:cs="Arial"/>
          <w:lang w:val="es-MX" w:eastAsia="en-US"/>
        </w:rPr>
        <w:t xml:space="preserve"> y 3, fracción XXXII del </w:t>
      </w:r>
      <w:r w:rsidRPr="002C5A45">
        <w:rPr>
          <w:rFonts w:ascii="Palatino Linotype" w:eastAsiaTheme="minorHAnsi" w:hAnsi="Palatino Linotype" w:cs="Arial"/>
          <w:b/>
          <w:lang w:val="es-MX" w:eastAsia="en-US"/>
        </w:rPr>
        <w:t>Código Financiero del Estado de México y Municipios</w:t>
      </w:r>
      <w:r w:rsidRPr="002C5A45">
        <w:rPr>
          <w:rFonts w:ascii="Palatino Linotype" w:eastAsiaTheme="minorHAnsi" w:hAnsi="Palatino Linotype" w:cs="Arial"/>
          <w:lang w:val="es-MX" w:eastAsia="en-US"/>
        </w:rPr>
        <w:t>, constituyen toda percepción o pagos por concepto de sueldo, compensaciones, gratificaciones, habitación, primas, comisiones, prestaciones en especie, premios, recompensas, bonos, estímulos, dietas, aguinaldos, comisiones y cualquier otra prestación que se entregue a los servidores públicos por su trabajo.</w:t>
      </w:r>
    </w:p>
    <w:p w:rsidR="00612D4B" w:rsidRDefault="00612D4B" w:rsidP="00612D4B">
      <w:pPr>
        <w:spacing w:before="240" w:after="240" w:line="360" w:lineRule="auto"/>
        <w:jc w:val="both"/>
        <w:rPr>
          <w:rFonts w:ascii="Palatino Linotype" w:hAnsi="Palatino Linotype" w:cs="Arial"/>
        </w:rPr>
      </w:pPr>
      <w:r w:rsidRPr="00B272A6">
        <w:rPr>
          <w:rFonts w:ascii="Palatino Linotype" w:hAnsi="Palatino Linotype" w:cs="Arial"/>
        </w:rPr>
        <w:t xml:space="preserve">En este sentido, </w:t>
      </w:r>
      <w:r w:rsidRPr="00B272A6">
        <w:rPr>
          <w:rFonts w:ascii="Palatino Linotype" w:hAnsi="Palatino Linotype" w:cs="Arial"/>
          <w:b/>
        </w:rPr>
        <w:t>E</w:t>
      </w:r>
      <w:r>
        <w:rPr>
          <w:rFonts w:ascii="Palatino Linotype" w:hAnsi="Palatino Linotype" w:cs="Arial"/>
          <w:b/>
        </w:rPr>
        <w:t>l</w:t>
      </w:r>
      <w:r w:rsidRPr="00B272A6">
        <w:rPr>
          <w:rFonts w:ascii="Palatino Linotype" w:hAnsi="Palatino Linotype" w:cs="Arial"/>
          <w:b/>
        </w:rPr>
        <w:t xml:space="preserve"> </w:t>
      </w:r>
      <w:r>
        <w:rPr>
          <w:rFonts w:ascii="Palatino Linotype" w:hAnsi="Palatino Linotype" w:cs="Arial"/>
          <w:b/>
        </w:rPr>
        <w:t>Sujeto</w:t>
      </w:r>
      <w:r w:rsidRPr="00B272A6">
        <w:rPr>
          <w:rFonts w:ascii="Palatino Linotype" w:hAnsi="Palatino Linotype" w:cs="Arial"/>
          <w:b/>
        </w:rPr>
        <w:t xml:space="preserve"> </w:t>
      </w:r>
      <w:r>
        <w:rPr>
          <w:rFonts w:ascii="Palatino Linotype" w:hAnsi="Palatino Linotype" w:cs="Arial"/>
          <w:b/>
        </w:rPr>
        <w:t>Obligado</w:t>
      </w:r>
      <w:r w:rsidRPr="00B272A6">
        <w:rPr>
          <w:rFonts w:ascii="Palatino Linotype" w:hAnsi="Palatino Linotype" w:cs="Arial"/>
        </w:rPr>
        <w:t xml:space="preserve"> se encuentra constreñido a entregar la información solicitada por</w:t>
      </w:r>
      <w:r>
        <w:rPr>
          <w:rFonts w:ascii="Palatino Linotype" w:hAnsi="Palatino Linotype" w:cs="Arial"/>
        </w:rPr>
        <w:t xml:space="preserve"> </w:t>
      </w:r>
      <w:r>
        <w:rPr>
          <w:rFonts w:ascii="Palatino Linotype" w:hAnsi="Palatino Linotype" w:cs="Arial"/>
          <w:b/>
        </w:rPr>
        <w:t>El</w:t>
      </w:r>
      <w:r w:rsidRPr="00B272A6">
        <w:rPr>
          <w:rFonts w:ascii="Palatino Linotype" w:hAnsi="Palatino Linotype" w:cs="Arial"/>
          <w:b/>
          <w:color w:val="000000"/>
          <w:lang w:eastAsia="es-MX"/>
        </w:rPr>
        <w:t xml:space="preserve"> R</w:t>
      </w:r>
      <w:r>
        <w:rPr>
          <w:rFonts w:ascii="Palatino Linotype" w:hAnsi="Palatino Linotype" w:cs="Arial"/>
          <w:b/>
          <w:color w:val="000000"/>
          <w:lang w:eastAsia="es-MX"/>
        </w:rPr>
        <w:t>ecurrente</w:t>
      </w:r>
      <w:r w:rsidRPr="00B272A6">
        <w:rPr>
          <w:rFonts w:ascii="Palatino Linotype" w:hAnsi="Palatino Linotype" w:cs="Arial"/>
        </w:rPr>
        <w:t xml:space="preserve">, de acuerdo a lo dispuesto por los artículos 3, fracción XI y 12 </w:t>
      </w:r>
      <w:r w:rsidRPr="00B272A6">
        <w:rPr>
          <w:rFonts w:ascii="Palatino Linotype" w:hAnsi="Palatino Linotype" w:cs="Arial"/>
          <w:bCs/>
        </w:rPr>
        <w:t>de la Ley de Transparencia y Acceso a la Información Pública del Estado de México y Municipios</w:t>
      </w:r>
      <w:r w:rsidRPr="00B272A6">
        <w:rPr>
          <w:rFonts w:ascii="Palatino Linotype" w:hAnsi="Palatino Linotype" w:cs="Arial"/>
        </w:rPr>
        <w:t>, de los cuales se desprende que es información pública la contenida en los documentos que los Sujetos Obligados generen, administren o se encuentre en su posesión en ejercicio de sus atribuciones.</w:t>
      </w:r>
    </w:p>
    <w:p w:rsidR="00612D4B" w:rsidRPr="002C5A45" w:rsidRDefault="00612D4B" w:rsidP="007D38CE">
      <w:pPr>
        <w:autoSpaceDE w:val="0"/>
        <w:autoSpaceDN w:val="0"/>
        <w:adjustRightInd w:val="0"/>
        <w:spacing w:line="360" w:lineRule="auto"/>
        <w:ind w:right="49"/>
        <w:contextualSpacing/>
        <w:jc w:val="both"/>
        <w:rPr>
          <w:rFonts w:ascii="Palatino Linotype" w:eastAsiaTheme="minorHAnsi" w:hAnsi="Palatino Linotype" w:cs="Arial"/>
          <w:lang w:val="es-MX" w:eastAsia="en-US"/>
        </w:rPr>
      </w:pPr>
    </w:p>
    <w:p w:rsidR="007D38CE" w:rsidRPr="002C5A45" w:rsidRDefault="007D38CE" w:rsidP="007D38CE">
      <w:pPr>
        <w:autoSpaceDE w:val="0"/>
        <w:autoSpaceDN w:val="0"/>
        <w:adjustRightInd w:val="0"/>
        <w:spacing w:before="240" w:after="160" w:line="360" w:lineRule="auto"/>
        <w:jc w:val="both"/>
        <w:rPr>
          <w:rFonts w:ascii="Palatino Linotype" w:eastAsiaTheme="minorHAnsi" w:hAnsi="Palatino Linotype" w:cs="Arial"/>
          <w:lang w:val="es-MX" w:eastAsia="en-US"/>
        </w:rPr>
      </w:pPr>
      <w:r w:rsidRPr="002C5A45">
        <w:rPr>
          <w:rFonts w:ascii="Palatino Linotype" w:eastAsiaTheme="minorHAnsi" w:hAnsi="Palatino Linotype" w:cs="Arial"/>
          <w:lang w:val="es-MX" w:eastAsia="en-US"/>
        </w:rPr>
        <w:lastRenderedPageBreak/>
        <w:t xml:space="preserve">De manera complementaria, resulta oportuno traer a colación los artículos 24 fracción XII y 92, fracción VIII de la Ley de Transparencia y Acceso a la Información Pública del Estado de México y Municipios, cuyo contenido literal es el siguiente: </w:t>
      </w:r>
    </w:p>
    <w:p w:rsidR="007D38CE" w:rsidRPr="002C5A45" w:rsidRDefault="007D38CE" w:rsidP="007D38CE">
      <w:pPr>
        <w:autoSpaceDE w:val="0"/>
        <w:autoSpaceDN w:val="0"/>
        <w:adjustRightInd w:val="0"/>
        <w:spacing w:before="240" w:after="160" w:line="360" w:lineRule="auto"/>
        <w:ind w:left="851" w:right="851"/>
        <w:jc w:val="both"/>
        <w:rPr>
          <w:rFonts w:ascii="Palatino Linotype" w:eastAsiaTheme="minorHAnsi" w:hAnsi="Palatino Linotype" w:cs="Arial"/>
          <w:b/>
          <w:bCs/>
          <w:i/>
          <w:color w:val="000000"/>
          <w:sz w:val="22"/>
          <w:szCs w:val="22"/>
          <w:lang w:val="es-MX" w:eastAsia="en-US"/>
        </w:rPr>
      </w:pPr>
      <w:r w:rsidRPr="002C5A45">
        <w:rPr>
          <w:rFonts w:ascii="Palatino Linotype" w:eastAsiaTheme="minorHAnsi" w:hAnsi="Palatino Linotype" w:cs="Arial"/>
          <w:b/>
          <w:bCs/>
          <w:i/>
          <w:color w:val="000000"/>
          <w:sz w:val="22"/>
          <w:szCs w:val="22"/>
          <w:lang w:val="es-MX" w:eastAsia="en-US"/>
        </w:rPr>
        <w:t xml:space="preserve">“Artículo 24. </w:t>
      </w:r>
      <w:r w:rsidRPr="002C5A45">
        <w:rPr>
          <w:rFonts w:ascii="Palatino Linotype" w:eastAsiaTheme="minorHAnsi" w:hAnsi="Palatino Linotype" w:cs="Arial"/>
          <w:i/>
          <w:color w:val="000000"/>
          <w:sz w:val="22"/>
          <w:szCs w:val="22"/>
          <w:lang w:val="es-MX" w:eastAsia="en-US"/>
        </w:rPr>
        <w:t>Para el cumplimiento de los objetivos de esta Ley, los sujetos obligados deberán cumplir con las siguientes obligaciones, según corresponda, de acuerdo a su naturaleza:</w:t>
      </w:r>
    </w:p>
    <w:p w:rsidR="007D38CE" w:rsidRPr="002C5A45" w:rsidRDefault="007D38CE" w:rsidP="007D38CE">
      <w:pPr>
        <w:autoSpaceDE w:val="0"/>
        <w:autoSpaceDN w:val="0"/>
        <w:adjustRightInd w:val="0"/>
        <w:spacing w:before="240" w:after="160" w:line="360" w:lineRule="auto"/>
        <w:ind w:left="851" w:right="851"/>
        <w:jc w:val="both"/>
        <w:rPr>
          <w:rFonts w:ascii="Palatino Linotype" w:eastAsiaTheme="minorHAnsi" w:hAnsi="Palatino Linotype" w:cs="Arial"/>
          <w:b/>
          <w:bCs/>
          <w:i/>
          <w:color w:val="000000"/>
          <w:sz w:val="22"/>
          <w:szCs w:val="22"/>
          <w:lang w:val="es-MX" w:eastAsia="en-US"/>
        </w:rPr>
      </w:pPr>
      <w:r w:rsidRPr="002C5A45">
        <w:rPr>
          <w:rFonts w:ascii="Palatino Linotype" w:eastAsiaTheme="minorHAnsi" w:hAnsi="Palatino Linotype" w:cs="Arial"/>
          <w:b/>
          <w:bCs/>
          <w:i/>
          <w:color w:val="000000"/>
          <w:sz w:val="22"/>
          <w:szCs w:val="22"/>
          <w:lang w:val="es-MX" w:eastAsia="en-US"/>
        </w:rPr>
        <w:t xml:space="preserve">XII. </w:t>
      </w:r>
      <w:r w:rsidRPr="002C5A45">
        <w:rPr>
          <w:rFonts w:ascii="Palatino Linotype" w:eastAsiaTheme="minorHAnsi" w:hAnsi="Palatino Linotype" w:cs="Arial"/>
          <w:b/>
          <w:i/>
          <w:color w:val="000000"/>
          <w:sz w:val="22"/>
          <w:szCs w:val="22"/>
          <w:u w:val="single"/>
          <w:lang w:val="es-MX" w:eastAsia="en-US"/>
        </w:rPr>
        <w:t>Publicar y mantener actualizada la información relativa a las obligaciones generales de transparencia</w:t>
      </w:r>
      <w:r w:rsidRPr="002C5A45">
        <w:rPr>
          <w:rFonts w:ascii="Palatino Linotype" w:eastAsiaTheme="minorHAnsi" w:hAnsi="Palatino Linotype" w:cs="Arial"/>
          <w:i/>
          <w:color w:val="000000"/>
          <w:sz w:val="22"/>
          <w:szCs w:val="22"/>
          <w:lang w:val="es-MX" w:eastAsia="en-US"/>
        </w:rPr>
        <w:t xml:space="preserve"> previstas en la presente Ley o determinadas así por el Instituto, y en general aquella que sea de interés público;</w:t>
      </w:r>
    </w:p>
    <w:p w:rsidR="007D38CE" w:rsidRPr="002C5A45" w:rsidRDefault="007D38CE" w:rsidP="007D38CE">
      <w:pPr>
        <w:autoSpaceDE w:val="0"/>
        <w:autoSpaceDN w:val="0"/>
        <w:adjustRightInd w:val="0"/>
        <w:spacing w:before="240" w:after="160" w:line="360" w:lineRule="auto"/>
        <w:ind w:left="851" w:right="851"/>
        <w:jc w:val="both"/>
        <w:rPr>
          <w:rFonts w:ascii="Palatino Linotype" w:eastAsiaTheme="minorHAnsi" w:hAnsi="Palatino Linotype" w:cs="Arial"/>
          <w:i/>
          <w:color w:val="000000"/>
          <w:sz w:val="22"/>
          <w:szCs w:val="22"/>
          <w:lang w:val="es-MX" w:eastAsia="en-US"/>
        </w:rPr>
      </w:pPr>
      <w:r w:rsidRPr="002C5A45">
        <w:rPr>
          <w:rFonts w:ascii="Palatino Linotype" w:eastAsiaTheme="minorHAnsi" w:hAnsi="Palatino Linotype" w:cs="Arial"/>
          <w:b/>
          <w:bCs/>
          <w:i/>
          <w:color w:val="000000"/>
          <w:sz w:val="22"/>
          <w:szCs w:val="22"/>
          <w:lang w:val="es-MX" w:eastAsia="en-US"/>
        </w:rPr>
        <w:t xml:space="preserve">Artículo 92. </w:t>
      </w:r>
      <w:r w:rsidRPr="002C5A45">
        <w:rPr>
          <w:rFonts w:ascii="Palatino Linotype" w:eastAsiaTheme="minorHAnsi" w:hAnsi="Palatino Linotype" w:cs="Arial"/>
          <w:i/>
          <w:color w:val="000000"/>
          <w:sz w:val="22"/>
          <w:szCs w:val="22"/>
          <w:lang w:val="es-MX" w:eastAsia="en-US"/>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rsidR="007D38CE" w:rsidRPr="002C5A45" w:rsidRDefault="007D38CE" w:rsidP="007D38CE">
      <w:pPr>
        <w:autoSpaceDE w:val="0"/>
        <w:autoSpaceDN w:val="0"/>
        <w:adjustRightInd w:val="0"/>
        <w:spacing w:before="240" w:after="160" w:line="360" w:lineRule="auto"/>
        <w:ind w:left="851" w:right="851"/>
        <w:jc w:val="both"/>
        <w:rPr>
          <w:rFonts w:ascii="Palatino Linotype" w:eastAsiaTheme="minorHAnsi" w:hAnsi="Palatino Linotype" w:cs="Arial"/>
          <w:i/>
          <w:color w:val="000000"/>
          <w:sz w:val="22"/>
          <w:szCs w:val="22"/>
          <w:lang w:val="es-MX" w:eastAsia="en-US"/>
        </w:rPr>
      </w:pPr>
      <w:r w:rsidRPr="002C5A45">
        <w:rPr>
          <w:rFonts w:ascii="Palatino Linotype" w:eastAsiaTheme="minorHAnsi" w:hAnsi="Palatino Linotype" w:cs="Arial"/>
          <w:b/>
          <w:bCs/>
          <w:i/>
          <w:color w:val="000000"/>
          <w:sz w:val="22"/>
          <w:szCs w:val="22"/>
          <w:lang w:val="es-MX" w:eastAsia="en-US"/>
        </w:rPr>
        <w:t>(…</w:t>
      </w:r>
      <w:r w:rsidRPr="002C5A45">
        <w:rPr>
          <w:rFonts w:ascii="Palatino Linotype" w:eastAsiaTheme="minorHAnsi" w:hAnsi="Palatino Linotype" w:cs="Arial"/>
          <w:i/>
          <w:color w:val="000000"/>
          <w:sz w:val="22"/>
          <w:szCs w:val="22"/>
          <w:lang w:val="es-MX" w:eastAsia="en-US"/>
        </w:rPr>
        <w:t>)</w:t>
      </w:r>
    </w:p>
    <w:p w:rsidR="007D38CE" w:rsidRPr="002C5A45" w:rsidRDefault="007D38CE" w:rsidP="007D38CE">
      <w:pPr>
        <w:autoSpaceDE w:val="0"/>
        <w:autoSpaceDN w:val="0"/>
        <w:adjustRightInd w:val="0"/>
        <w:spacing w:before="240" w:after="160" w:line="360" w:lineRule="auto"/>
        <w:ind w:left="851" w:right="851"/>
        <w:jc w:val="both"/>
        <w:rPr>
          <w:rFonts w:ascii="Palatino Linotype" w:eastAsiaTheme="minorHAnsi" w:hAnsi="Palatino Linotype" w:cstheme="minorBidi"/>
          <w:b/>
          <w:i/>
          <w:sz w:val="22"/>
          <w:szCs w:val="22"/>
          <w:u w:val="single"/>
          <w:lang w:val="es-MX" w:eastAsia="en-US"/>
        </w:rPr>
      </w:pPr>
      <w:r w:rsidRPr="002C5A45">
        <w:rPr>
          <w:rFonts w:ascii="Palatino Linotype" w:eastAsiaTheme="minorHAnsi" w:hAnsi="Palatino Linotype" w:cstheme="minorBidi"/>
          <w:b/>
          <w:bCs/>
          <w:i/>
          <w:sz w:val="22"/>
          <w:szCs w:val="22"/>
          <w:u w:val="single"/>
          <w:lang w:val="es-MX" w:eastAsia="en-US"/>
        </w:rPr>
        <w:t xml:space="preserve">VIII. </w:t>
      </w:r>
      <w:r w:rsidRPr="002C5A45">
        <w:rPr>
          <w:rFonts w:ascii="Palatino Linotype" w:eastAsiaTheme="minorHAnsi" w:hAnsi="Palatino Linotype" w:cstheme="minorBidi"/>
          <w:b/>
          <w:i/>
          <w:sz w:val="22"/>
          <w:szCs w:val="22"/>
          <w:u w:val="single"/>
          <w:lang w:val="es-MX" w:eastAsia="en-US"/>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rsidR="007D38CE" w:rsidRPr="002C5A45" w:rsidRDefault="007D38CE" w:rsidP="007D38CE">
      <w:pPr>
        <w:autoSpaceDE w:val="0"/>
        <w:autoSpaceDN w:val="0"/>
        <w:adjustRightInd w:val="0"/>
        <w:spacing w:before="240" w:after="160" w:line="360" w:lineRule="auto"/>
        <w:ind w:left="851" w:right="851"/>
        <w:jc w:val="both"/>
        <w:rPr>
          <w:rFonts w:ascii="Palatino Linotype" w:eastAsiaTheme="minorHAnsi" w:hAnsi="Palatino Linotype" w:cstheme="minorBidi"/>
          <w:b/>
          <w:i/>
          <w:sz w:val="22"/>
          <w:szCs w:val="22"/>
          <w:u w:val="single"/>
          <w:lang w:val="es-MX" w:eastAsia="en-US"/>
        </w:rPr>
      </w:pPr>
      <w:r w:rsidRPr="002C5A45">
        <w:rPr>
          <w:rFonts w:ascii="Palatino Linotype" w:eastAsiaTheme="minorHAnsi" w:hAnsi="Palatino Linotype" w:cstheme="minorBidi"/>
          <w:b/>
          <w:i/>
          <w:sz w:val="22"/>
          <w:szCs w:val="22"/>
          <w:u w:val="single"/>
          <w:lang w:val="es-MX" w:eastAsia="en-US"/>
        </w:rPr>
        <w:t>(…)”</w:t>
      </w:r>
      <w:r w:rsidRPr="002C5A45">
        <w:rPr>
          <w:rFonts w:ascii="Palatino Linotype" w:eastAsiaTheme="minorHAnsi" w:hAnsi="Palatino Linotype" w:cstheme="minorBidi"/>
          <w:i/>
          <w:sz w:val="22"/>
          <w:szCs w:val="22"/>
          <w:u w:val="single"/>
          <w:lang w:val="es-MX" w:eastAsia="en-US"/>
        </w:rPr>
        <w:t xml:space="preserve"> </w:t>
      </w:r>
      <w:r w:rsidRPr="002C5A45">
        <w:rPr>
          <w:rFonts w:ascii="Palatino Linotype" w:eastAsiaTheme="minorHAnsi" w:hAnsi="Palatino Linotype" w:cstheme="minorBidi"/>
          <w:b/>
          <w:i/>
          <w:sz w:val="22"/>
          <w:szCs w:val="22"/>
          <w:u w:val="single"/>
          <w:lang w:val="es-MX" w:eastAsia="en-US"/>
        </w:rPr>
        <w:t>[Sic]</w:t>
      </w:r>
    </w:p>
    <w:p w:rsidR="007D38CE" w:rsidRDefault="007D38CE" w:rsidP="007D38CE">
      <w:pPr>
        <w:spacing w:line="360" w:lineRule="auto"/>
        <w:contextualSpacing/>
        <w:jc w:val="both"/>
        <w:rPr>
          <w:rFonts w:ascii="Palatino Linotype" w:eastAsia="Palatino Linotype" w:hAnsi="Palatino Linotype" w:cs="Palatino Linotype"/>
        </w:rPr>
      </w:pPr>
    </w:p>
    <w:p w:rsidR="00603574" w:rsidRDefault="00603574" w:rsidP="00603574">
      <w:pPr>
        <w:spacing w:before="240" w:line="360" w:lineRule="auto"/>
        <w:jc w:val="both"/>
        <w:rPr>
          <w:rFonts w:ascii="Palatino Linotype" w:hAnsi="Palatino Linotype"/>
        </w:rPr>
      </w:pPr>
      <w:r w:rsidRPr="00612D4B">
        <w:rPr>
          <w:rFonts w:ascii="Palatino Linotype" w:hAnsi="Palatino Linotype"/>
        </w:rPr>
        <w:lastRenderedPageBreak/>
        <w:t>Con base en lo anteriormente expuesto,</w:t>
      </w:r>
      <w:r w:rsidR="00554C57">
        <w:rPr>
          <w:rFonts w:ascii="Palatino Linotype" w:hAnsi="Palatino Linotype"/>
        </w:rPr>
        <w:t xml:space="preserve"> y en virtud de que las pretensiones del Recurrente no fueron colmadas,</w:t>
      </w:r>
      <w:r w:rsidRPr="00612D4B">
        <w:rPr>
          <w:rFonts w:ascii="Palatino Linotype" w:hAnsi="Palatino Linotype"/>
        </w:rPr>
        <w:t xml:space="preserve"> resulta procedente ordenar </w:t>
      </w:r>
      <w:r w:rsidR="00554C57">
        <w:rPr>
          <w:rFonts w:ascii="Palatino Linotype" w:hAnsi="Palatino Linotype"/>
        </w:rPr>
        <w:t>la</w:t>
      </w:r>
      <w:r w:rsidRPr="00612D4B">
        <w:rPr>
          <w:rFonts w:ascii="Palatino Linotype" w:hAnsi="Palatino Linotype"/>
        </w:rPr>
        <w:t xml:space="preserve"> entrega, en vers</w:t>
      </w:r>
      <w:r w:rsidR="00554C57">
        <w:rPr>
          <w:rFonts w:ascii="Palatino Linotype" w:hAnsi="Palatino Linotype"/>
        </w:rPr>
        <w:t>ión pública</w:t>
      </w:r>
      <w:r w:rsidRPr="00612D4B">
        <w:rPr>
          <w:rFonts w:ascii="Palatino Linotype" w:hAnsi="Palatino Linotype"/>
        </w:rPr>
        <w:t xml:space="preserve">, </w:t>
      </w:r>
      <w:r w:rsidR="00554C57">
        <w:rPr>
          <w:rFonts w:ascii="Palatino Linotype" w:hAnsi="Palatino Linotype"/>
        </w:rPr>
        <w:t xml:space="preserve">de la </w:t>
      </w:r>
      <w:r w:rsidRPr="00612D4B">
        <w:rPr>
          <w:rFonts w:ascii="Palatino Linotype" w:hAnsi="Palatino Linotype"/>
        </w:rPr>
        <w:t>siguiente información:</w:t>
      </w:r>
    </w:p>
    <w:p w:rsidR="00603574" w:rsidRPr="00942A02" w:rsidRDefault="00554C57" w:rsidP="00603574">
      <w:pPr>
        <w:pStyle w:val="Prrafodelista"/>
        <w:numPr>
          <w:ilvl w:val="0"/>
          <w:numId w:val="14"/>
        </w:numPr>
        <w:spacing w:before="240" w:line="360" w:lineRule="auto"/>
        <w:jc w:val="both"/>
        <w:rPr>
          <w:rFonts w:ascii="Palatino Linotype" w:hAnsi="Palatino Linotype"/>
        </w:rPr>
      </w:pPr>
      <w:r>
        <w:rPr>
          <w:rFonts w:ascii="Palatino Linotype" w:hAnsi="Palatino Linotype" w:cs="Tahoma"/>
          <w:bCs/>
        </w:rPr>
        <w:t>Conciliación de nómina de la primera quincena de agosto de dos mil veinticuatro</w:t>
      </w:r>
      <w:r w:rsidR="00603574">
        <w:rPr>
          <w:rFonts w:ascii="Palatino Linotype" w:hAnsi="Palatino Linotype"/>
        </w:rPr>
        <w:t>.</w:t>
      </w:r>
    </w:p>
    <w:p w:rsidR="00603574" w:rsidRDefault="00603574" w:rsidP="00603574">
      <w:pPr>
        <w:tabs>
          <w:tab w:val="left" w:pos="2130"/>
        </w:tabs>
        <w:spacing w:line="360" w:lineRule="auto"/>
        <w:jc w:val="both"/>
        <w:rPr>
          <w:rFonts w:ascii="Palatino Linotype" w:eastAsia="Calibri" w:hAnsi="Palatino Linotype" w:cs="Tahoma"/>
          <w:bCs/>
        </w:rPr>
      </w:pPr>
    </w:p>
    <w:p w:rsidR="0048142B" w:rsidRDefault="0048142B" w:rsidP="0048142B">
      <w:pPr>
        <w:autoSpaceDE w:val="0"/>
        <w:autoSpaceDN w:val="0"/>
        <w:adjustRightInd w:val="0"/>
        <w:spacing w:line="360" w:lineRule="auto"/>
        <w:contextualSpacing/>
        <w:jc w:val="both"/>
        <w:rPr>
          <w:rFonts w:ascii="Palatino Linotype" w:hAnsi="Palatino Linotype" w:cs="Arial"/>
          <w:b/>
          <w:i/>
          <w:sz w:val="28"/>
        </w:rPr>
      </w:pPr>
      <w:r w:rsidRPr="002444BB">
        <w:rPr>
          <w:rFonts w:ascii="Palatino Linotype" w:hAnsi="Palatino Linotype" w:cs="Arial"/>
          <w:b/>
          <w:i/>
          <w:sz w:val="28"/>
        </w:rPr>
        <w:t>De la versión pública</w:t>
      </w:r>
    </w:p>
    <w:p w:rsidR="0048142B" w:rsidRPr="0039499D" w:rsidRDefault="00554C57" w:rsidP="0048142B">
      <w:pPr>
        <w:spacing w:line="360" w:lineRule="auto"/>
        <w:jc w:val="both"/>
        <w:rPr>
          <w:rFonts w:ascii="Palatino Linotype" w:hAnsi="Palatino Linotype" w:cs="Arial"/>
        </w:rPr>
      </w:pPr>
      <w:r>
        <w:rPr>
          <w:rFonts w:ascii="Palatino Linotype" w:hAnsi="Palatino Linotype" w:cs="Arial"/>
        </w:rPr>
        <w:t>E</w:t>
      </w:r>
      <w:r w:rsidR="0048142B" w:rsidRPr="0039499D">
        <w:rPr>
          <w:rFonts w:ascii="Palatino Linotype" w:hAnsi="Palatino Linotype" w:cs="Arial"/>
        </w:rPr>
        <w:t xml:space="preserve">ste Órgano Garante determina ordenar que la entrega de la información al </w:t>
      </w:r>
      <w:r w:rsidR="0048142B" w:rsidRPr="0039499D">
        <w:rPr>
          <w:rFonts w:ascii="Palatino Linotype" w:hAnsi="Palatino Linotype" w:cs="Arial"/>
          <w:b/>
        </w:rPr>
        <w:t>Recurrente</w:t>
      </w:r>
      <w:r w:rsidR="0048142B" w:rsidRPr="0039499D">
        <w:rPr>
          <w:rFonts w:ascii="Palatino Linotype" w:hAnsi="Palatino Linotype" w:cs="Arial"/>
        </w:rPr>
        <w:t xml:space="preserve"> se haga en versión pública, esto es, omitiendo, eliminando o suprimiendo la información personal de cada funcionario público, susceptibles de ser clasificadas como confidencial o cualquier otro dato que ponga en riesgo la vida, seguridad o salud de dicha persona.</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A este respecto, los artículos 3, fracciones IX, XX, XXI y XLV; 51 y 52, de la Ley de Transparencia y Acceso a la Información Pública del Estado de México y Municipios establecen:</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Artículo 3.</w:t>
      </w:r>
      <w:r w:rsidRPr="0039499D">
        <w:rPr>
          <w:rFonts w:ascii="Palatino Linotype" w:hAnsi="Palatino Linotype" w:cs="Arial"/>
          <w:i/>
        </w:rPr>
        <w:t xml:space="preserve"> Para los efectos de la presente Ley se entenderá por: </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t>IX</w:t>
      </w:r>
      <w:r w:rsidRPr="0039499D">
        <w:rPr>
          <w:rFonts w:ascii="Palatino Linotype" w:hAnsi="Palatino Linotype" w:cs="Arial"/>
          <w:i/>
        </w:rPr>
        <w:t xml:space="preserve">. </w:t>
      </w:r>
      <w:r w:rsidRPr="0039499D">
        <w:rPr>
          <w:rFonts w:ascii="Palatino Linotype" w:hAnsi="Palatino Linotype" w:cs="Arial"/>
          <w:b/>
          <w:i/>
        </w:rPr>
        <w:t>Datos personales:</w:t>
      </w:r>
      <w:r w:rsidRPr="0039499D">
        <w:rPr>
          <w:rFonts w:ascii="Palatino Linotype" w:hAnsi="Palatino Linotype" w:cs="Arial"/>
          <w:i/>
        </w:rPr>
        <w:t xml:space="preserve"> La información concerniente a una persona, identificada o identificable según lo dispuesto por la Ley de Protección de Datos Personales del Estado de México; </w:t>
      </w:r>
    </w:p>
    <w:p w:rsidR="0048142B" w:rsidRPr="0039499D" w:rsidRDefault="0048142B" w:rsidP="0048142B">
      <w:pPr>
        <w:spacing w:line="276" w:lineRule="auto"/>
        <w:ind w:left="567" w:right="567"/>
        <w:jc w:val="both"/>
        <w:rPr>
          <w:rFonts w:ascii="Palatino Linotype" w:hAnsi="Palatino Linotype" w:cs="Arial"/>
          <w:i/>
        </w:rPr>
      </w:pP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t>XX. Información clasificada:</w:t>
      </w:r>
      <w:r w:rsidRPr="0039499D">
        <w:rPr>
          <w:rFonts w:ascii="Palatino Linotype" w:hAnsi="Palatino Linotype" w:cs="Arial"/>
          <w:i/>
        </w:rPr>
        <w:t xml:space="preserve"> Aquella considerada por la presente Ley como reservada o confidencial; </w:t>
      </w:r>
    </w:p>
    <w:p w:rsidR="0048142B" w:rsidRPr="0039499D" w:rsidRDefault="0048142B" w:rsidP="0048142B">
      <w:pPr>
        <w:spacing w:line="276" w:lineRule="auto"/>
        <w:ind w:left="567" w:right="567"/>
        <w:jc w:val="both"/>
        <w:rPr>
          <w:rFonts w:ascii="Palatino Linotype" w:hAnsi="Palatino Linotype" w:cs="Arial"/>
          <w:i/>
        </w:rPr>
      </w:pP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lastRenderedPageBreak/>
        <w:t>XXI. Información confidencial:</w:t>
      </w:r>
      <w:r w:rsidRPr="0039499D">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t>XLV. Versión pública:</w:t>
      </w:r>
      <w:r w:rsidRPr="0039499D">
        <w:rPr>
          <w:rFonts w:ascii="Palatino Linotype" w:hAnsi="Palatino Linotype" w:cs="Arial"/>
          <w:i/>
        </w:rPr>
        <w:t xml:space="preserve"> Documento en el que se elimine, suprime o borra la información clasificada como reservada o confidencial para permitir su acceso. </w:t>
      </w:r>
    </w:p>
    <w:p w:rsidR="0048142B" w:rsidRPr="0039499D" w:rsidRDefault="0048142B" w:rsidP="0048142B">
      <w:pPr>
        <w:spacing w:line="276" w:lineRule="auto"/>
        <w:ind w:left="567" w:right="567"/>
        <w:jc w:val="both"/>
        <w:rPr>
          <w:rFonts w:ascii="Palatino Linotype" w:hAnsi="Palatino Linotype" w:cs="Arial"/>
          <w:i/>
        </w:rPr>
      </w:pP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t xml:space="preserve">Artículo 51. </w:t>
      </w:r>
      <w:r w:rsidRPr="0039499D">
        <w:rPr>
          <w:rFonts w:ascii="Palatino Linotype" w:hAnsi="Palatino Linotype" w:cs="Arial"/>
          <w:i/>
        </w:rPr>
        <w:t xml:space="preserve">Los sujetos obligados designaran a un responsable para atender la Unidad de Transparencia, quien fungirá como enlace entre éstos y los solicitantes. Dicha Unidad será la encargada de tramitar internamente la solicitud de información </w:t>
      </w:r>
      <w:r w:rsidRPr="0039499D">
        <w:rPr>
          <w:rFonts w:ascii="Palatino Linotype" w:hAnsi="Palatino Linotype" w:cs="Arial"/>
          <w:b/>
          <w:i/>
        </w:rPr>
        <w:t>y tendrá la responsabilidad de verificar en cada caso que la misma no sea confidencial o reservada</w:t>
      </w:r>
      <w:r w:rsidRPr="0039499D">
        <w:rPr>
          <w:rFonts w:ascii="Palatino Linotype" w:hAnsi="Palatino Linotype" w:cs="Arial"/>
          <w:i/>
        </w:rPr>
        <w:t xml:space="preserve">. Dicha Unidad contará con las facultades internas necesarias para gestionar la atención a las solicitudes de información en los términos de la Ley General y la presente Ley. </w:t>
      </w:r>
    </w:p>
    <w:p w:rsidR="0048142B" w:rsidRPr="0039499D" w:rsidRDefault="0048142B" w:rsidP="0048142B">
      <w:pPr>
        <w:spacing w:line="276" w:lineRule="auto"/>
        <w:ind w:left="567" w:right="567"/>
        <w:jc w:val="both"/>
        <w:rPr>
          <w:rFonts w:ascii="Palatino Linotype" w:hAnsi="Palatino Linotype" w:cs="Arial"/>
          <w:i/>
        </w:rPr>
      </w:pP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t>Artículo 52.</w:t>
      </w:r>
      <w:r w:rsidRPr="0039499D">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Artículo 22.</w:t>
      </w:r>
      <w:r w:rsidRPr="0039499D">
        <w:rPr>
          <w:rFonts w:ascii="Palatino Linotype" w:hAnsi="Palatino Linotype" w:cs="Arial"/>
          <w:i/>
        </w:rPr>
        <w:t xml:space="preserve"> Todo tratamiento de datos personales que efectúe el responsable deberá estar justificado por finalidades concretas, lícitas, explícitas y legítimas, relacionadas con las atribuciones que la normatividad aplicable les confiera.</w:t>
      </w:r>
    </w:p>
    <w:p w:rsidR="0048142B" w:rsidRPr="0039499D" w:rsidRDefault="0048142B" w:rsidP="0048142B">
      <w:pPr>
        <w:spacing w:line="276" w:lineRule="auto"/>
        <w:ind w:left="567" w:right="567"/>
        <w:jc w:val="both"/>
        <w:rPr>
          <w:rFonts w:ascii="Palatino Linotype" w:hAnsi="Palatino Linotype" w:cs="Arial"/>
          <w:i/>
        </w:rPr>
      </w:pP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El responsable podrá tratar datos personales para finalidades distintas a aquéllas establecidas en el aviso de privacidad, en los casos siguientes:</w:t>
      </w:r>
    </w:p>
    <w:p w:rsidR="0048142B" w:rsidRPr="0039499D" w:rsidRDefault="0048142B" w:rsidP="0048142B">
      <w:pPr>
        <w:spacing w:line="276" w:lineRule="auto"/>
        <w:ind w:left="567" w:right="567"/>
        <w:jc w:val="both"/>
        <w:rPr>
          <w:rFonts w:ascii="Palatino Linotype" w:hAnsi="Palatino Linotype" w:cs="Arial"/>
          <w:i/>
        </w:rPr>
      </w:pP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I. Cuente con atribuciones conferidas en ley y medie el consentimiento del titular.</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II. Se trate de una persona reportada como desaparecida, en los términos previstos en la presente Ley y demás disposiciones legales aplicables...</w:t>
      </w:r>
    </w:p>
    <w:p w:rsidR="0048142B" w:rsidRPr="0039499D" w:rsidRDefault="0048142B" w:rsidP="0048142B">
      <w:pPr>
        <w:spacing w:line="276" w:lineRule="auto"/>
        <w:ind w:left="567" w:right="567"/>
        <w:jc w:val="both"/>
        <w:rPr>
          <w:rFonts w:ascii="Palatino Linotype" w:hAnsi="Palatino Linotype" w:cs="Arial"/>
          <w:i/>
        </w:rPr>
      </w:pP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t>Artículo 38.</w:t>
      </w:r>
      <w:r w:rsidRPr="0039499D">
        <w:rPr>
          <w:rFonts w:ascii="Palatino Linotype" w:hAnsi="Palatino Linotype" w:cs="Arial"/>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lastRenderedPageBreak/>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 xml:space="preserve">Asimismo, de la versión pública deberá dejarse a la vista del </w:t>
      </w:r>
      <w:r w:rsidRPr="0039499D">
        <w:rPr>
          <w:rFonts w:ascii="Palatino Linotype" w:hAnsi="Palatino Linotype" w:cs="Arial"/>
          <w:b/>
        </w:rPr>
        <w:t>Recurrente</w:t>
      </w:r>
      <w:r w:rsidRPr="0039499D">
        <w:rPr>
          <w:rFonts w:ascii="Palatino Linotype" w:hAnsi="Palatino Linotype" w:cs="Arial"/>
        </w:rPr>
        <w:t xml:space="preserve"> los siguientes elementos de información pública: monto total del sueldo neto y bruto, compensaciones, prestaciones, aguinaldos, bonos, pagos por concepto de gasolina, de servicio de telefonía celular, el </w:t>
      </w:r>
      <w:r w:rsidRPr="0039499D">
        <w:rPr>
          <w:rFonts w:ascii="Palatino Linotype" w:hAnsi="Palatino Linotype" w:cs="Arial"/>
          <w:b/>
        </w:rPr>
        <w:t>nombre del servidor público</w:t>
      </w:r>
      <w:r w:rsidRPr="0039499D">
        <w:rPr>
          <w:rFonts w:ascii="Palatino Linotype" w:hAnsi="Palatino Linotype" w:cs="Arial"/>
        </w:rPr>
        <w:t xml:space="preserve">, el cargo que desempeña, área de adscripción, número de empleado (sólo en caso de no arrojar datos personales) y el período de la nómina respectiva, básicamente.  </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rsidR="0048142B" w:rsidRPr="0039499D" w:rsidRDefault="0048142B" w:rsidP="0048142B">
      <w:pPr>
        <w:spacing w:line="360" w:lineRule="auto"/>
        <w:jc w:val="both"/>
        <w:rPr>
          <w:rFonts w:ascii="Palatino Linotype" w:hAnsi="Palatino Linotype" w:cs="Arial"/>
        </w:rPr>
      </w:pPr>
    </w:p>
    <w:p w:rsidR="0048142B" w:rsidRPr="00E5613E" w:rsidRDefault="0048142B" w:rsidP="0048142B">
      <w:pPr>
        <w:spacing w:line="360" w:lineRule="auto"/>
        <w:ind w:left="567" w:right="567"/>
        <w:jc w:val="both"/>
        <w:rPr>
          <w:rFonts w:ascii="Palatino Linotype" w:hAnsi="Palatino Linotype" w:cs="Arial"/>
          <w:i/>
        </w:rPr>
      </w:pPr>
      <w:r w:rsidRPr="00E5613E">
        <w:rPr>
          <w:rFonts w:ascii="Palatino Linotype" w:hAnsi="Palatino Linotype" w:cs="Arial"/>
          <w:i/>
        </w:rPr>
        <w:t>"</w:t>
      </w:r>
      <w:r w:rsidRPr="00E5613E">
        <w:rPr>
          <w:rFonts w:ascii="Palatino Linotype" w:hAnsi="Palatino Linotype" w:cs="Arial"/>
          <w:b/>
          <w:i/>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E5613E">
        <w:rPr>
          <w:rFonts w:ascii="Palatino Linotype" w:hAnsi="Palatino Linotype" w:cs="Arial"/>
          <w:i/>
        </w:rPr>
        <w:t xml:space="preserve"> Si se toma en cuenta que la garantía constitucional indicada no implica </w:t>
      </w:r>
      <w:r w:rsidRPr="00E5613E">
        <w:rPr>
          <w:rFonts w:ascii="Palatino Linotype" w:hAnsi="Palatino Linotype" w:cs="Arial"/>
          <w:i/>
        </w:rPr>
        <w:lastRenderedPageBreak/>
        <w:t>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39499D">
        <w:rPr>
          <w:rFonts w:ascii="Palatino Linotype" w:hAnsi="Palatino Linotype" w:cs="Arial"/>
          <w:b/>
        </w:rPr>
        <w:t xml:space="preserve">Lineamientos Generales en Materia de Clasificación y </w:t>
      </w:r>
      <w:r w:rsidRPr="0039499D">
        <w:rPr>
          <w:rFonts w:ascii="Palatino Linotype" w:hAnsi="Palatino Linotype" w:cs="Arial"/>
          <w:b/>
        </w:rPr>
        <w:lastRenderedPageBreak/>
        <w:t>Desclasificación de la Información, así como para la Elaboración de Versiones Públicas</w:t>
      </w:r>
      <w:r w:rsidRPr="0039499D">
        <w:rPr>
          <w:rFonts w:ascii="Palatino Linotype" w:hAnsi="Palatino Linotype" w:cs="Arial"/>
        </w:rPr>
        <w:t>, publicados en el Diario Oficial de la Federación en fecha quince de abril del año dos mil dieciséis, mediante Acuerdo del Consejo Nacional del Sistema Nacional de Transparencia, Acceso a la Información Pública y Protección de Datos Personales.</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 xml:space="preserve">Lo anterior es así, puesto que ha de destacarse que el artículo 91, de la Ley de la Materia, dispone que el acceso a la información pública será restringido excepcionalmente, cuando ésta sea clasificada como reservada o confidencial. </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 xml:space="preserve">Respecto de ello se destaca que a criterio de este Instituto la información relativa al nombre de </w:t>
      </w:r>
      <w:r w:rsidRPr="0039499D">
        <w:rPr>
          <w:rFonts w:ascii="Palatino Linotype" w:hAnsi="Palatino Linotype" w:cs="Arial"/>
          <w:b/>
        </w:rPr>
        <w:t>los servidores públicos que ocupan un cargo en las dependencias de gobierno encargadas de la seguridad pública</w:t>
      </w:r>
      <w:r w:rsidRPr="0039499D">
        <w:rPr>
          <w:rFonts w:ascii="Palatino Linotype" w:hAnsi="Palatino Linotype" w:cs="Arial"/>
        </w:rPr>
        <w:t xml:space="preserve">, debe ser objeto de un proceso de </w:t>
      </w:r>
      <w:r w:rsidRPr="0039499D">
        <w:rPr>
          <w:rFonts w:ascii="Palatino Linotype" w:hAnsi="Palatino Linotype" w:cs="Arial"/>
          <w:b/>
        </w:rPr>
        <w:t>reserva de la información,</w:t>
      </w:r>
      <w:r w:rsidRPr="0039499D">
        <w:rPr>
          <w:rFonts w:ascii="Palatino Linotype" w:hAnsi="Palatino Linotype" w:cs="Arial"/>
        </w:rPr>
        <w:t xml:space="preserve"> para no hacer identificable al titular de tal dato personal.</w:t>
      </w: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Ello, conforme al propio concepto de versión pública contenido en el artículo 3, fracción XXIV, de la multicitada Ley se define como:</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XXIV</w:t>
      </w:r>
      <w:r w:rsidRPr="0039499D">
        <w:rPr>
          <w:rFonts w:ascii="Palatino Linotype" w:hAnsi="Palatino Linotype" w:cs="Arial"/>
          <w:i/>
        </w:rPr>
        <w:t xml:space="preserve">. </w:t>
      </w:r>
      <w:r w:rsidRPr="0039499D">
        <w:rPr>
          <w:rFonts w:ascii="Palatino Linotype" w:hAnsi="Palatino Linotype" w:cs="Arial"/>
          <w:b/>
          <w:i/>
        </w:rPr>
        <w:t>Información reservada:</w:t>
      </w:r>
      <w:r w:rsidRPr="0039499D">
        <w:rPr>
          <w:rFonts w:ascii="Palatino Linotype" w:hAnsi="Palatino Linotype" w:cs="Arial"/>
          <w:i/>
        </w:rPr>
        <w:t xml:space="preserve"> La clasificada con este carácter de manera temporal por las disposiciones de esta Ley, cuya divulgación puede causar daño en términos de lo establecido por esta Ley;”</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 xml:space="preserve">No obstante que si bien, por regla general dentro de la nómina 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con el artículo 23, segundo párrafo, de la Ley ya </w:t>
      </w:r>
      <w:r w:rsidRPr="0039499D">
        <w:rPr>
          <w:rFonts w:ascii="Palatino Linotype" w:hAnsi="Palatino Linotype" w:cs="Arial"/>
        </w:rPr>
        <w:lastRenderedPageBreak/>
        <w:t xml:space="preserve">analizado, lo cierto es que, en lo que respecta a la </w:t>
      </w:r>
      <w:r w:rsidRPr="0039499D">
        <w:rPr>
          <w:rFonts w:ascii="Palatino Linotype" w:hAnsi="Palatino Linotype" w:cs="Arial"/>
          <w:b/>
        </w:rPr>
        <w:t>nómina de elementos de seguridad pública, la elaboración de versiones públicas pudiera variar, eliminando información adicional, siempre y cuando se demuestre que pueda poner en riesgo la vida e integridad física con motivo de las funciones de servidores públicos</w:t>
      </w:r>
      <w:r w:rsidRPr="0039499D">
        <w:rPr>
          <w:rFonts w:ascii="Palatino Linotype" w:hAnsi="Palatino Linotype" w:cs="Arial"/>
        </w:rPr>
        <w:t>.</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 xml:space="preserve">Esto es así, ya que el artículo 81, fracción III, de la Ley de Seguridad del Estado de México, establece lo siguiente: </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Artículo 81.-</w:t>
      </w:r>
      <w:r w:rsidRPr="0039499D">
        <w:rPr>
          <w:rFonts w:ascii="Palatino Linotype" w:hAnsi="Palatino Linotype" w:cs="Arial"/>
          <w:i/>
        </w:rPr>
        <w:t xml:space="preserve"> </w:t>
      </w:r>
      <w:r w:rsidRPr="0039499D">
        <w:rPr>
          <w:rFonts w:ascii="Palatino Linotype" w:hAnsi="Palatino Linotype" w:cs="Arial"/>
          <w:i/>
          <w:u w:val="single"/>
        </w:rPr>
        <w:t>Toda información para la seguridad pública</w:t>
      </w:r>
      <w:r w:rsidRPr="0039499D">
        <w:rPr>
          <w:rFonts w:ascii="Palatino Linotype" w:hAnsi="Palatino Linotype" w:cs="Arial"/>
          <w:i/>
        </w:rPr>
        <w:t xml:space="preserve"> generada o en poder de Instituciones de Seguridad Pública o de cualquier instancia del Sistema Estatal </w:t>
      </w:r>
      <w:r w:rsidRPr="0039499D">
        <w:rPr>
          <w:rFonts w:ascii="Palatino Linotype" w:hAnsi="Palatino Linotype" w:cs="Arial"/>
          <w:i/>
          <w:u w:val="single"/>
        </w:rPr>
        <w:t>debe</w:t>
      </w:r>
      <w:r w:rsidRPr="0039499D">
        <w:rPr>
          <w:rFonts w:ascii="Palatino Linotype" w:hAnsi="Palatino Linotype" w:cs="Arial"/>
          <w:i/>
        </w:rPr>
        <w:t xml:space="preserve"> registrarse, </w:t>
      </w:r>
      <w:r w:rsidRPr="0039499D">
        <w:rPr>
          <w:rFonts w:ascii="Palatino Linotype" w:hAnsi="Palatino Linotype" w:cs="Arial"/>
          <w:i/>
          <w:u w:val="single"/>
        </w:rPr>
        <w:t>clasificarse</w:t>
      </w:r>
      <w:r w:rsidRPr="0039499D">
        <w:rPr>
          <w:rFonts w:ascii="Palatino Linotype" w:hAnsi="Palatino Linotype" w:cs="Arial"/>
          <w:i/>
        </w:rPr>
        <w:t xml:space="preserve"> y tratarse de conformidad con las disposiciones aplicables. No obstante lo anterior, esta información se considerará reservada en los casos siguientes:</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t>III</w:t>
      </w:r>
      <w:r w:rsidRPr="0039499D">
        <w:rPr>
          <w:rFonts w:ascii="Palatino Linotype" w:hAnsi="Palatino Linotype" w:cs="Arial"/>
          <w:i/>
        </w:rPr>
        <w:t xml:space="preserve">. </w:t>
      </w:r>
      <w:r w:rsidRPr="0039499D">
        <w:rPr>
          <w:rFonts w:ascii="Palatino Linotype" w:hAnsi="Palatino Linotype" w:cs="Arial"/>
          <w:i/>
          <w:u w:val="single"/>
        </w:rPr>
        <w:t>La relativa a servidores públicos miembros de las instituciones de seguridad pública, cuya revelación pueda poner en riesgo su vida e integridad física con motivo de sus funciones;”</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Por tanto, el Sujeto Obligado deberá identificar si dicho supuesto es factible de aplicarse, justificando de manera fundada y motivada las circunstancias por las cuales considera que se podría poner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lastRenderedPageBreak/>
        <w:t>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rsidR="0048142B" w:rsidRPr="0039499D" w:rsidRDefault="0048142B" w:rsidP="0048142B">
      <w:pPr>
        <w:spacing w:line="360" w:lineRule="auto"/>
        <w:jc w:val="both"/>
        <w:rPr>
          <w:rFonts w:ascii="Palatino Linotype" w:hAnsi="Palatino Linotype" w:cs="Arial"/>
        </w:rPr>
      </w:pPr>
    </w:p>
    <w:p w:rsidR="0048142B" w:rsidRPr="000317F4" w:rsidRDefault="0048142B" w:rsidP="0048142B">
      <w:pPr>
        <w:spacing w:line="360" w:lineRule="auto"/>
        <w:jc w:val="both"/>
        <w:rPr>
          <w:rFonts w:ascii="Palatino Linotype" w:hAnsi="Palatino Linotype" w:cs="Arial"/>
        </w:rPr>
      </w:pPr>
      <w:r w:rsidRPr="000317F4">
        <w:rPr>
          <w:rFonts w:ascii="Palatino Linotype" w:hAnsi="Palatino Linotype" w:cs="Arial"/>
        </w:rPr>
        <w:t>Resulta alusivo por analogía el criterio 06-09 emitido por el entonces Instituto Federal de Acceso a la Información (IFAI), ahora Instituto Nacional de Transparencia, Acceso a la Información y Protección de Datos Personales (INAI) que a la letra dice:</w:t>
      </w:r>
    </w:p>
    <w:p w:rsidR="0048142B" w:rsidRPr="000317F4" w:rsidRDefault="0048142B" w:rsidP="0048142B">
      <w:pPr>
        <w:spacing w:line="276" w:lineRule="auto"/>
        <w:jc w:val="both"/>
        <w:rPr>
          <w:rFonts w:ascii="Palatino Linotype" w:hAnsi="Palatino Linotype" w:cs="Arial"/>
        </w:rPr>
      </w:pPr>
    </w:p>
    <w:p w:rsidR="0048142B" w:rsidRPr="0039499D" w:rsidRDefault="0048142B" w:rsidP="0048142B">
      <w:pPr>
        <w:spacing w:line="276" w:lineRule="auto"/>
        <w:ind w:left="567" w:right="567"/>
        <w:jc w:val="both"/>
        <w:rPr>
          <w:rFonts w:ascii="Palatino Linotype" w:hAnsi="Palatino Linotype" w:cs="Arial"/>
          <w:i/>
        </w:rPr>
      </w:pPr>
      <w:r w:rsidRPr="000317F4">
        <w:rPr>
          <w:rFonts w:ascii="Palatino Linotype" w:hAnsi="Palatino Linotype" w:cs="Arial"/>
          <w:i/>
        </w:rPr>
        <w:t>“</w:t>
      </w:r>
      <w:r w:rsidRPr="000317F4">
        <w:rPr>
          <w:rFonts w:ascii="Palatino Linotype" w:hAnsi="Palatino Linotype" w:cs="Arial"/>
          <w:b/>
          <w:i/>
        </w:rPr>
        <w:t>Nombres de servidores públicos dedicados a actividades en materia de seguridad, por excepción pueden considerarse información reservada.</w:t>
      </w:r>
      <w:r w:rsidRPr="000317F4">
        <w:rPr>
          <w:rFonts w:ascii="Palatino Linotype" w:hAnsi="Palatino Linotype" w:cs="Arial"/>
          <w:i/>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w:t>
      </w:r>
      <w:r w:rsidRPr="000317F4">
        <w:rPr>
          <w:rFonts w:ascii="Palatino Linotype" w:hAnsi="Palatino Linotype" w:cs="Arial"/>
          <w:i/>
        </w:rPr>
        <w:lastRenderedPageBreak/>
        <w:t>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b/>
        </w:rPr>
      </w:pPr>
      <w:r w:rsidRPr="0039499D">
        <w:rPr>
          <w:rFonts w:ascii="Palatino Linotype" w:hAnsi="Palatino Linotype" w:cs="Arial"/>
        </w:rPr>
        <w:t xml:space="preserve">En caso específico, de los documentos solicitados obran datos que son considerados confidenciales, cuyo acceso debe ser restringido, los cuales deben testarse al momento de la elaboración de versiones públicas, como es el caso del </w:t>
      </w:r>
      <w:r w:rsidRPr="0039499D">
        <w:rPr>
          <w:rFonts w:ascii="Palatino Linotype" w:hAnsi="Palatino Linotype" w:cs="Arial"/>
          <w:b/>
        </w:rPr>
        <w:t>Registro Federal de Contribuyentes (RFC)</w:t>
      </w:r>
      <w:r w:rsidRPr="0039499D">
        <w:rPr>
          <w:rFonts w:ascii="Palatino Linotype" w:hAnsi="Palatino Linotype" w:cs="Arial"/>
        </w:rPr>
        <w:t xml:space="preserve">, la </w:t>
      </w:r>
      <w:r w:rsidRPr="0039499D">
        <w:rPr>
          <w:rFonts w:ascii="Palatino Linotype" w:hAnsi="Palatino Linotype" w:cs="Arial"/>
          <w:b/>
        </w:rPr>
        <w:t>Clave Única de Registro de Población (CURP)</w:t>
      </w:r>
      <w:r w:rsidRPr="0039499D">
        <w:rPr>
          <w:rFonts w:ascii="Palatino Linotype" w:hAnsi="Palatino Linotype" w:cs="Arial"/>
        </w:rPr>
        <w:t xml:space="preserve">, la </w:t>
      </w:r>
      <w:r w:rsidRPr="0039499D">
        <w:rPr>
          <w:rFonts w:ascii="Palatino Linotype" w:hAnsi="Palatino Linotype" w:cs="Arial"/>
          <w:b/>
        </w:rPr>
        <w:t>Clave de cualquier tipo de seguridad social</w:t>
      </w:r>
      <w:r w:rsidRPr="0039499D">
        <w:rPr>
          <w:rFonts w:ascii="Palatino Linotype" w:hAnsi="Palatino Linotype" w:cs="Arial"/>
        </w:rPr>
        <w:t xml:space="preserve"> (</w:t>
      </w:r>
      <w:r w:rsidRPr="0039499D">
        <w:rPr>
          <w:rFonts w:ascii="Palatino Linotype" w:hAnsi="Palatino Linotype" w:cs="Arial"/>
          <w:b/>
        </w:rPr>
        <w:t>ISSEMYM</w:t>
      </w:r>
      <w:r w:rsidRPr="0039499D">
        <w:rPr>
          <w:rFonts w:ascii="Palatino Linotype" w:hAnsi="Palatino Linotype" w:cs="Arial"/>
        </w:rPr>
        <w:t xml:space="preserve">, u otros), así como, los préstamos o descuentos que se le hagan al servidor público, que no se encuentren relacionados con los impuestos o la </w:t>
      </w:r>
      <w:r w:rsidRPr="0039499D">
        <w:rPr>
          <w:rFonts w:ascii="Palatino Linotype" w:hAnsi="Palatino Linotype" w:cs="Arial"/>
          <w:b/>
        </w:rPr>
        <w:t>cuotas</w:t>
      </w:r>
      <w:r w:rsidRPr="0039499D">
        <w:rPr>
          <w:rFonts w:ascii="Palatino Linotype" w:hAnsi="Palatino Linotype" w:cs="Arial"/>
        </w:rPr>
        <w:t xml:space="preserve"> por </w:t>
      </w:r>
      <w:r w:rsidRPr="0039499D">
        <w:rPr>
          <w:rFonts w:ascii="Palatino Linotype" w:hAnsi="Palatino Linotype" w:cs="Arial"/>
          <w:b/>
        </w:rPr>
        <w:t>seguridad social, Cadenas Originales y Sellos Digitales</w:t>
      </w: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b/>
        </w:rPr>
        <w:t>Códigos Bidimensionales</w:t>
      </w:r>
      <w:r w:rsidRPr="0039499D">
        <w:rPr>
          <w:rFonts w:ascii="Palatino Linotype" w:hAnsi="Palatino Linotype" w:cs="Arial"/>
        </w:rPr>
        <w:t xml:space="preserve"> y los denominados </w:t>
      </w:r>
      <w:r w:rsidRPr="0039499D">
        <w:rPr>
          <w:rFonts w:ascii="Palatino Linotype" w:hAnsi="Palatino Linotype" w:cs="Arial"/>
          <w:b/>
        </w:rPr>
        <w:t>Códigos QR</w:t>
      </w:r>
      <w:r w:rsidRPr="0039499D">
        <w:rPr>
          <w:rFonts w:ascii="Palatino Linotype" w:hAnsi="Palatino Linotype" w:cs="Arial"/>
        </w:rPr>
        <w:t>.</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 xml:space="preserve">Por cuanto hace al </w:t>
      </w:r>
      <w:r w:rsidRPr="0039499D">
        <w:rPr>
          <w:rFonts w:ascii="Palatino Linotype" w:hAnsi="Palatino Linotype" w:cs="Arial"/>
          <w:b/>
        </w:rPr>
        <w:t>Registro Federal de Contribuyentes de las personas físicas</w:t>
      </w:r>
      <w:r w:rsidRPr="0039499D">
        <w:rPr>
          <w:rFonts w:ascii="Palatino Linotype" w:hAnsi="Palatino Linotype" w:cs="Arial"/>
        </w:rPr>
        <w:t xml:space="preserve"> constituye un dato personal, ya que se genera con caracteres alfanuméricos obtenidos a partir del nombre en mayúsculas sin acentos ni diéresis y la fecha de nacimiento de </w:t>
      </w:r>
      <w:r w:rsidRPr="0039499D">
        <w:rPr>
          <w:rFonts w:ascii="Palatino Linotype" w:hAnsi="Palatino Linotype" w:cs="Arial"/>
        </w:rPr>
        <w:lastRenderedPageBreak/>
        <w:t xml:space="preserve">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39499D">
        <w:rPr>
          <w:rFonts w:ascii="Palatino Linotype" w:hAnsi="Palatino Linotype" w:cs="Arial"/>
        </w:rPr>
        <w:t>homoclave</w:t>
      </w:r>
      <w:proofErr w:type="spellEnd"/>
      <w:r w:rsidRPr="0039499D">
        <w:rPr>
          <w:rFonts w:ascii="Palatino Linotype" w:hAnsi="Palatino Linotype" w:cs="Arial"/>
        </w:rPr>
        <w:t>; la cual para su obtención es necesario acreditar personalidad, fecha de nacimiento entre otros con documentos oficiales.</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Al respecto, el Instituto Nacional Transparencia, Acceso a la Información y Protección de Datos Personales (INAI) a través del Criterio 19/17, señala literalmente lo siguiente:</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Registro Federal de Contribuyentes (RFC) de personas físicas</w:t>
      </w:r>
      <w:r w:rsidRPr="0039499D">
        <w:rPr>
          <w:rFonts w:ascii="Palatino Linotype" w:hAnsi="Palatino Linotype" w:cs="Arial"/>
          <w:i/>
        </w:rPr>
        <w:t xml:space="preserve">. El RFC es una clave de carácter fiscal, </w:t>
      </w:r>
      <w:proofErr w:type="gramStart"/>
      <w:r w:rsidRPr="0039499D">
        <w:rPr>
          <w:rFonts w:ascii="Palatino Linotype" w:hAnsi="Palatino Linotype" w:cs="Arial"/>
          <w:i/>
        </w:rPr>
        <w:t>única</w:t>
      </w:r>
      <w:proofErr w:type="gramEnd"/>
      <w:r w:rsidRPr="0039499D">
        <w:rPr>
          <w:rFonts w:ascii="Palatino Linotype" w:hAnsi="Palatino Linotype" w:cs="Arial"/>
          <w:i/>
        </w:rPr>
        <w:t xml:space="preserve"> e irrepetible, que permite identificar al titular, su edad y fecha de nacimiento, por lo que es un dato personal de carácter confidencial.</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 xml:space="preserve">De lo anterior, se desprende que el Registro Federal de Contribuyentes se vincula al nombre de su titular, permitiendo identificar la edad de la persona, fecha de nacimiento, así como su </w:t>
      </w:r>
      <w:proofErr w:type="spellStart"/>
      <w:r w:rsidRPr="0039499D">
        <w:rPr>
          <w:rFonts w:ascii="Palatino Linotype" w:hAnsi="Palatino Linotype" w:cs="Arial"/>
        </w:rPr>
        <w:t>homoclave</w:t>
      </w:r>
      <w:proofErr w:type="spellEnd"/>
      <w:r w:rsidRPr="0039499D">
        <w:rPr>
          <w:rFonts w:ascii="Palatino Linotype" w:hAnsi="Palatino Linotype" w:cs="Arial"/>
        </w:rPr>
        <w:t>,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 xml:space="preserve">Por cuanto hace a la </w:t>
      </w:r>
      <w:r w:rsidRPr="0039499D">
        <w:rPr>
          <w:rFonts w:ascii="Palatino Linotype" w:hAnsi="Palatino Linotype" w:cs="Arial"/>
          <w:b/>
        </w:rPr>
        <w:t>Clave Única de Registro de Población</w:t>
      </w:r>
      <w:r w:rsidRPr="0039499D">
        <w:rPr>
          <w:rFonts w:ascii="Palatino Linotype" w:hAnsi="Palatino Linotype" w:cs="Arial"/>
        </w:rPr>
        <w:t>, constituye un dato personal, ya que tiene como finalidad registrar a cada una de las personas que integran la población del país, con los datos que permitan certificar y acreditar fehacientemente su identidad, la cual servirá para identificarla de manera individual.</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Lo anterior, tiene sustento en los artículos 86 y 91, de la Ley General de Población, la cual señala lo siguiente:</w:t>
      </w:r>
    </w:p>
    <w:p w:rsidR="0048142B" w:rsidRPr="0039499D" w:rsidRDefault="0048142B" w:rsidP="0048142B">
      <w:pPr>
        <w:spacing w:line="276" w:lineRule="auto"/>
        <w:jc w:val="both"/>
        <w:rPr>
          <w:rFonts w:ascii="Palatino Linotype" w:hAnsi="Palatino Linotype" w:cs="Arial"/>
        </w:rPr>
      </w:pP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Artículo 86.</w:t>
      </w:r>
      <w:r w:rsidRPr="0039499D">
        <w:rPr>
          <w:rFonts w:ascii="Palatino Linotype" w:hAnsi="Palatino Linotype" w:cs="Arial"/>
          <w:i/>
        </w:rPr>
        <w:t xml:space="preserve"> El Registro Nacional de Población tiene como finalidad registrar a cada una de las personas que integran la población del país, con los datos que permitan certificar y acreditar fehacientemente su identidad.</w:t>
      </w:r>
    </w:p>
    <w:p w:rsidR="0048142B" w:rsidRPr="0039499D" w:rsidRDefault="0048142B" w:rsidP="0048142B">
      <w:pPr>
        <w:spacing w:line="276" w:lineRule="auto"/>
        <w:ind w:left="567" w:right="567"/>
        <w:jc w:val="both"/>
        <w:rPr>
          <w:rFonts w:ascii="Palatino Linotype" w:hAnsi="Palatino Linotype" w:cs="Arial"/>
          <w:i/>
        </w:rPr>
      </w:pP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t>Artículo 91.</w:t>
      </w:r>
      <w:r w:rsidRPr="0039499D">
        <w:rPr>
          <w:rFonts w:ascii="Palatino Linotype" w:hAnsi="Palatino Linotype" w:cs="Arial"/>
          <w:i/>
        </w:rPr>
        <w:t xml:space="preserve"> Al incorporar a una persona en el Registro Nacional de Población, se le asignará una clave que se denominará Clave Única de Registro de Población. Esta servirá para registrarla e identificarla en forma individual.”</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Al respecto, el Instituto Nacional de Transparencia, Acceso a la Información y Protección de Datos Personales (INAI) a través del Criterio 18/17, señala literalmente lo siguiente:</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lastRenderedPageBreak/>
        <w:t>Clave Única de Registro de Población (CURP).</w:t>
      </w:r>
      <w:r w:rsidRPr="0039499D">
        <w:rPr>
          <w:rFonts w:ascii="Palatino Linotype" w:hAnsi="Palatino Linotype" w:cs="Arial"/>
          <w:i/>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48142B" w:rsidRPr="0039499D" w:rsidRDefault="0048142B" w:rsidP="0048142B">
      <w:pPr>
        <w:spacing w:line="276"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 xml:space="preserve">Por cuanto hace a la </w:t>
      </w:r>
      <w:r w:rsidRPr="0039499D">
        <w:rPr>
          <w:rFonts w:ascii="Palatino Linotype" w:hAnsi="Palatino Linotype" w:cs="Arial"/>
          <w:b/>
        </w:rPr>
        <w:t>Clave de cualquier tipo de seguridad social</w:t>
      </w:r>
      <w:r w:rsidRPr="0039499D">
        <w:rPr>
          <w:rFonts w:ascii="Palatino Linotype" w:hAnsi="Palatino Linotype" w:cs="Arial"/>
        </w:rPr>
        <w:t xml:space="preserve">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 xml:space="preserve">Respecto de los </w:t>
      </w:r>
      <w:r w:rsidRPr="0039499D">
        <w:rPr>
          <w:rFonts w:ascii="Palatino Linotype" w:hAnsi="Palatino Linotype" w:cs="Arial"/>
          <w:b/>
        </w:rPr>
        <w:t>préstamos o descuentos de carácter personal</w:t>
      </w:r>
      <w:r w:rsidRPr="0039499D">
        <w:rPr>
          <w:rFonts w:ascii="Palatino Linotype" w:hAnsi="Palatino Linotype" w:cs="Arial"/>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Por su parte, el artículo 84 de la Ley del Trabajo de los Servidores Públicos del Estado y Municipios, señala:</w:t>
      </w:r>
    </w:p>
    <w:p w:rsidR="0048142B" w:rsidRPr="00E5613E" w:rsidRDefault="0048142B" w:rsidP="0048142B">
      <w:pPr>
        <w:spacing w:line="276" w:lineRule="auto"/>
        <w:ind w:left="567" w:right="567"/>
        <w:jc w:val="both"/>
        <w:rPr>
          <w:rFonts w:ascii="Palatino Linotype" w:hAnsi="Palatino Linotype" w:cs="Arial"/>
          <w:i/>
        </w:rPr>
      </w:pPr>
      <w:r w:rsidRPr="00E5613E">
        <w:rPr>
          <w:rFonts w:ascii="Palatino Linotype" w:hAnsi="Palatino Linotype" w:cs="Arial"/>
          <w:b/>
          <w:i/>
        </w:rPr>
        <w:t>ARTICULO 84.</w:t>
      </w:r>
      <w:r w:rsidRPr="00E5613E">
        <w:rPr>
          <w:rFonts w:ascii="Palatino Linotype" w:hAnsi="Palatino Linotype" w:cs="Arial"/>
          <w:i/>
        </w:rPr>
        <w:t xml:space="preserve"> Sólo podrán hacerse retenciones, descuentos o deducciones al sueldo de los servidores públicos por concepto de:</w:t>
      </w:r>
    </w:p>
    <w:p w:rsidR="0048142B" w:rsidRPr="00E5613E" w:rsidRDefault="0048142B" w:rsidP="0048142B">
      <w:pPr>
        <w:spacing w:line="276" w:lineRule="auto"/>
        <w:ind w:left="567" w:right="567"/>
        <w:jc w:val="both"/>
        <w:rPr>
          <w:rFonts w:ascii="Palatino Linotype" w:hAnsi="Palatino Linotype" w:cs="Arial"/>
          <w:i/>
        </w:rPr>
      </w:pPr>
      <w:r w:rsidRPr="00E5613E">
        <w:rPr>
          <w:rFonts w:ascii="Palatino Linotype" w:hAnsi="Palatino Linotype" w:cs="Arial"/>
          <w:b/>
          <w:i/>
        </w:rPr>
        <w:t>I.</w:t>
      </w:r>
      <w:r w:rsidRPr="00E5613E">
        <w:rPr>
          <w:rFonts w:ascii="Palatino Linotype" w:hAnsi="Palatino Linotype" w:cs="Arial"/>
          <w:i/>
        </w:rPr>
        <w:t xml:space="preserve"> Gravámenes fiscales relacionados con el sueldo;</w:t>
      </w:r>
    </w:p>
    <w:p w:rsidR="0048142B" w:rsidRPr="00E5613E" w:rsidRDefault="0048142B" w:rsidP="0048142B">
      <w:pPr>
        <w:spacing w:line="276" w:lineRule="auto"/>
        <w:ind w:left="567" w:right="567"/>
        <w:jc w:val="both"/>
        <w:rPr>
          <w:rFonts w:ascii="Palatino Linotype" w:hAnsi="Palatino Linotype" w:cs="Arial"/>
          <w:i/>
        </w:rPr>
      </w:pPr>
      <w:r w:rsidRPr="00E5613E">
        <w:rPr>
          <w:rFonts w:ascii="Palatino Linotype" w:hAnsi="Palatino Linotype" w:cs="Arial"/>
          <w:b/>
          <w:i/>
        </w:rPr>
        <w:t>II.</w:t>
      </w:r>
      <w:r w:rsidRPr="00E5613E">
        <w:rPr>
          <w:rFonts w:ascii="Palatino Linotype" w:hAnsi="Palatino Linotype" w:cs="Arial"/>
          <w:i/>
        </w:rPr>
        <w:t xml:space="preserve"> Deudas contraídas con las instituciones públicas o dependencias por concepto de anticipos de sueldo, pagos hechos con exceso, errores o pérdidas debidamente comprobados;</w:t>
      </w:r>
    </w:p>
    <w:p w:rsidR="0048142B" w:rsidRPr="00E5613E" w:rsidRDefault="0048142B" w:rsidP="0048142B">
      <w:pPr>
        <w:spacing w:line="276" w:lineRule="auto"/>
        <w:ind w:left="567" w:right="567"/>
        <w:jc w:val="both"/>
        <w:rPr>
          <w:rFonts w:ascii="Palatino Linotype" w:hAnsi="Palatino Linotype" w:cs="Arial"/>
          <w:i/>
        </w:rPr>
      </w:pPr>
      <w:r w:rsidRPr="00E5613E">
        <w:rPr>
          <w:rFonts w:ascii="Palatino Linotype" w:hAnsi="Palatino Linotype" w:cs="Arial"/>
          <w:b/>
          <w:i/>
        </w:rPr>
        <w:t>III.</w:t>
      </w:r>
      <w:r w:rsidRPr="00E5613E">
        <w:rPr>
          <w:rFonts w:ascii="Palatino Linotype" w:hAnsi="Palatino Linotype" w:cs="Arial"/>
          <w:i/>
        </w:rPr>
        <w:t xml:space="preserve"> Cuotas sindicales;</w:t>
      </w:r>
    </w:p>
    <w:p w:rsidR="0048142B" w:rsidRPr="00E5613E" w:rsidRDefault="0048142B" w:rsidP="0048142B">
      <w:pPr>
        <w:spacing w:line="276" w:lineRule="auto"/>
        <w:ind w:left="567" w:right="567"/>
        <w:jc w:val="both"/>
        <w:rPr>
          <w:rFonts w:ascii="Palatino Linotype" w:hAnsi="Palatino Linotype" w:cs="Arial"/>
          <w:i/>
        </w:rPr>
      </w:pPr>
      <w:r w:rsidRPr="00E5613E">
        <w:rPr>
          <w:rFonts w:ascii="Palatino Linotype" w:hAnsi="Palatino Linotype" w:cs="Arial"/>
          <w:b/>
          <w:i/>
        </w:rPr>
        <w:t>IV.</w:t>
      </w:r>
      <w:r w:rsidRPr="00E5613E">
        <w:rPr>
          <w:rFonts w:ascii="Palatino Linotype" w:hAnsi="Palatino Linotype" w:cs="Arial"/>
          <w:i/>
        </w:rPr>
        <w:t xml:space="preserve"> Cuotas de aportación a fondos para la constitución de cooperativas y de cajas de ahorro, siempre que el servidor público hubiese manifestado previamente, de manera expresa, su conformidad;</w:t>
      </w:r>
    </w:p>
    <w:p w:rsidR="0048142B" w:rsidRPr="00E5613E" w:rsidRDefault="0048142B" w:rsidP="0048142B">
      <w:pPr>
        <w:spacing w:line="276" w:lineRule="auto"/>
        <w:ind w:left="567" w:right="567"/>
        <w:jc w:val="both"/>
        <w:rPr>
          <w:rFonts w:ascii="Palatino Linotype" w:hAnsi="Palatino Linotype" w:cs="Arial"/>
          <w:i/>
        </w:rPr>
      </w:pPr>
      <w:r w:rsidRPr="00E5613E">
        <w:rPr>
          <w:rFonts w:ascii="Palatino Linotype" w:hAnsi="Palatino Linotype" w:cs="Arial"/>
          <w:b/>
          <w:i/>
        </w:rPr>
        <w:t>V.</w:t>
      </w:r>
      <w:r w:rsidRPr="00E5613E">
        <w:rPr>
          <w:rFonts w:ascii="Palatino Linotype" w:hAnsi="Palatino Linotype" w:cs="Arial"/>
          <w:i/>
        </w:rPr>
        <w:t xml:space="preserve"> Descuentos ordenados por el Instituto de Seguridad Social del Estado de México y Municipios, con motivo de cuotas y obligaciones contraídas con éste por los servidores públicos;</w:t>
      </w:r>
    </w:p>
    <w:p w:rsidR="0048142B" w:rsidRPr="00E5613E" w:rsidRDefault="0048142B" w:rsidP="0048142B">
      <w:pPr>
        <w:spacing w:line="276" w:lineRule="auto"/>
        <w:ind w:left="567" w:right="567"/>
        <w:jc w:val="both"/>
        <w:rPr>
          <w:rFonts w:ascii="Palatino Linotype" w:hAnsi="Palatino Linotype" w:cs="Arial"/>
          <w:i/>
        </w:rPr>
      </w:pPr>
      <w:r w:rsidRPr="00E5613E">
        <w:rPr>
          <w:rFonts w:ascii="Palatino Linotype" w:hAnsi="Palatino Linotype" w:cs="Arial"/>
          <w:b/>
          <w:i/>
        </w:rPr>
        <w:t>VI.</w:t>
      </w:r>
      <w:r w:rsidRPr="00E5613E">
        <w:rPr>
          <w:rFonts w:ascii="Palatino Linotype" w:hAnsi="Palatino Linotype" w:cs="Arial"/>
          <w:i/>
        </w:rPr>
        <w:t xml:space="preserve"> Obligaciones a cargo del servidor público con las que haya consentido, derivadas de la adquisición o del uso de habitaciones consideradas como de interés social;</w:t>
      </w:r>
    </w:p>
    <w:p w:rsidR="0048142B" w:rsidRPr="00E5613E" w:rsidRDefault="0048142B" w:rsidP="0048142B">
      <w:pPr>
        <w:spacing w:line="276" w:lineRule="auto"/>
        <w:ind w:left="567" w:right="567"/>
        <w:jc w:val="both"/>
        <w:rPr>
          <w:rFonts w:ascii="Palatino Linotype" w:hAnsi="Palatino Linotype" w:cs="Arial"/>
          <w:i/>
        </w:rPr>
      </w:pPr>
      <w:r w:rsidRPr="00E5613E">
        <w:rPr>
          <w:rFonts w:ascii="Palatino Linotype" w:hAnsi="Palatino Linotype" w:cs="Arial"/>
          <w:b/>
          <w:i/>
        </w:rPr>
        <w:t>VII.</w:t>
      </w:r>
      <w:r w:rsidRPr="00E5613E">
        <w:rPr>
          <w:rFonts w:ascii="Palatino Linotype" w:hAnsi="Palatino Linotype" w:cs="Arial"/>
          <w:i/>
        </w:rPr>
        <w:t xml:space="preserve"> Faltas de puntualidad o de asistencia injustificadas;</w:t>
      </w:r>
    </w:p>
    <w:p w:rsidR="0048142B" w:rsidRPr="00E5613E" w:rsidRDefault="0048142B" w:rsidP="0048142B">
      <w:pPr>
        <w:spacing w:line="276" w:lineRule="auto"/>
        <w:ind w:left="567" w:right="567"/>
        <w:jc w:val="both"/>
        <w:rPr>
          <w:rFonts w:ascii="Palatino Linotype" w:hAnsi="Palatino Linotype" w:cs="Arial"/>
          <w:i/>
        </w:rPr>
      </w:pPr>
      <w:r w:rsidRPr="00E5613E">
        <w:rPr>
          <w:rFonts w:ascii="Palatino Linotype" w:hAnsi="Palatino Linotype" w:cs="Arial"/>
          <w:b/>
          <w:i/>
        </w:rPr>
        <w:t>VIII.</w:t>
      </w:r>
      <w:r w:rsidRPr="00E5613E">
        <w:rPr>
          <w:rFonts w:ascii="Palatino Linotype" w:hAnsi="Palatino Linotype" w:cs="Arial"/>
          <w:i/>
        </w:rPr>
        <w:t xml:space="preserve"> Pensiones alimenticias ordenadas por la autoridad judicial; o</w:t>
      </w:r>
    </w:p>
    <w:p w:rsidR="0048142B" w:rsidRPr="00E5613E" w:rsidRDefault="0048142B" w:rsidP="0048142B">
      <w:pPr>
        <w:spacing w:line="276" w:lineRule="auto"/>
        <w:ind w:left="567" w:right="567"/>
        <w:jc w:val="both"/>
        <w:rPr>
          <w:rFonts w:ascii="Palatino Linotype" w:hAnsi="Palatino Linotype" w:cs="Arial"/>
          <w:i/>
        </w:rPr>
      </w:pPr>
      <w:r w:rsidRPr="00E5613E">
        <w:rPr>
          <w:rFonts w:ascii="Palatino Linotype" w:hAnsi="Palatino Linotype" w:cs="Arial"/>
          <w:b/>
          <w:i/>
        </w:rPr>
        <w:t>IX.</w:t>
      </w:r>
      <w:r w:rsidRPr="00E5613E">
        <w:rPr>
          <w:rFonts w:ascii="Palatino Linotype" w:hAnsi="Palatino Linotype" w:cs="Arial"/>
          <w:i/>
        </w:rPr>
        <w:t xml:space="preserve"> Cualquier otro convenido con instituciones de servicios y aceptado por el servidor público.</w:t>
      </w:r>
    </w:p>
    <w:p w:rsidR="0048142B" w:rsidRPr="00E5613E" w:rsidRDefault="0048142B" w:rsidP="0048142B">
      <w:pPr>
        <w:spacing w:line="276" w:lineRule="auto"/>
        <w:ind w:left="567" w:right="567"/>
        <w:jc w:val="both"/>
        <w:rPr>
          <w:rFonts w:ascii="Palatino Linotype" w:hAnsi="Palatino Linotype" w:cs="Arial"/>
          <w:i/>
        </w:rPr>
      </w:pPr>
    </w:p>
    <w:p w:rsidR="0048142B" w:rsidRPr="00E5613E" w:rsidRDefault="0048142B" w:rsidP="0048142B">
      <w:pPr>
        <w:spacing w:line="276" w:lineRule="auto"/>
        <w:ind w:left="567" w:right="567"/>
        <w:jc w:val="both"/>
        <w:rPr>
          <w:rFonts w:ascii="Palatino Linotype" w:hAnsi="Palatino Linotype" w:cs="Arial"/>
          <w:i/>
        </w:rPr>
      </w:pPr>
      <w:r w:rsidRPr="00E5613E">
        <w:rPr>
          <w:rFonts w:ascii="Palatino Linotype" w:hAnsi="Palatino Linotype" w:cs="Arial"/>
          <w:i/>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rsidR="0048142B" w:rsidRPr="008D66C3" w:rsidRDefault="0048142B" w:rsidP="0048142B">
      <w:pPr>
        <w:spacing w:line="360" w:lineRule="auto"/>
        <w:jc w:val="both"/>
        <w:rPr>
          <w:rFonts w:ascii="Palatino Linotype" w:hAnsi="Palatino Linotype" w:cs="Arial"/>
        </w:rPr>
      </w:pPr>
    </w:p>
    <w:p w:rsidR="0048142B" w:rsidRPr="00D76604" w:rsidRDefault="0048142B" w:rsidP="0048142B">
      <w:pPr>
        <w:spacing w:line="360" w:lineRule="auto"/>
        <w:ind w:right="51"/>
        <w:jc w:val="both"/>
        <w:rPr>
          <w:rFonts w:ascii="Palatino Linotype" w:hAnsi="Palatino Linotype"/>
          <w:szCs w:val="14"/>
        </w:rPr>
      </w:pPr>
      <w:r w:rsidRPr="00D76604">
        <w:rPr>
          <w:rFonts w:ascii="Palatino Linotype" w:eastAsia="Palatino Linotype" w:hAnsi="Palatino Linotype" w:cs="Palatino Linotype"/>
        </w:rPr>
        <w:t xml:space="preserve">Igualmente, resulta importante destacar que el </w:t>
      </w:r>
      <w:r w:rsidRPr="00D76604">
        <w:rPr>
          <w:rFonts w:ascii="Palatino Linotype" w:eastAsia="Palatino Linotype" w:hAnsi="Palatino Linotype" w:cs="Palatino Linotype"/>
          <w:b/>
          <w:i/>
        </w:rPr>
        <w:t>número de cuenta bancaria</w:t>
      </w:r>
      <w:r w:rsidRPr="00D76604">
        <w:rPr>
          <w:rFonts w:ascii="Palatino Linotype" w:eastAsia="Palatino Linotype" w:hAnsi="Palatino Linotype" w:cs="Palatino Linotype"/>
          <w:b/>
        </w:rPr>
        <w:t xml:space="preserve"> de las personas físicas </w:t>
      </w:r>
      <w:r w:rsidRPr="00D76604">
        <w:rPr>
          <w:rFonts w:ascii="Palatino Linotype" w:eastAsia="Palatino Linotype" w:hAnsi="Palatino Linotype" w:cs="Palatino Linotype"/>
        </w:rPr>
        <w:t>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rsidR="0048142B" w:rsidRDefault="0048142B" w:rsidP="0048142B">
      <w:pPr>
        <w:spacing w:line="360" w:lineRule="auto"/>
        <w:ind w:right="50"/>
        <w:jc w:val="both"/>
        <w:rPr>
          <w:rFonts w:ascii="Palatino Linotype" w:eastAsia="Palatino Linotype" w:hAnsi="Palatino Linotype" w:cs="Palatino Linotype"/>
        </w:rPr>
      </w:pPr>
    </w:p>
    <w:p w:rsidR="0048142B" w:rsidRPr="00D76604" w:rsidRDefault="0048142B" w:rsidP="0048142B">
      <w:pPr>
        <w:spacing w:line="360" w:lineRule="auto"/>
        <w:ind w:right="50"/>
        <w:jc w:val="both"/>
        <w:rPr>
          <w:rFonts w:ascii="Palatino Linotype" w:eastAsia="Palatino Linotype" w:hAnsi="Palatino Linotype" w:cs="Palatino Linotype"/>
        </w:rPr>
      </w:pPr>
      <w:r w:rsidRPr="00D76604">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rsidR="0048142B" w:rsidRPr="00D76604" w:rsidRDefault="0048142B" w:rsidP="0048142B">
      <w:pPr>
        <w:spacing w:line="360" w:lineRule="auto"/>
        <w:ind w:right="50"/>
        <w:jc w:val="both"/>
        <w:rPr>
          <w:rFonts w:ascii="Palatino Linotype" w:eastAsia="Palatino Linotype" w:hAnsi="Palatino Linotype" w:cs="Palatino Linotype"/>
        </w:rPr>
      </w:pPr>
    </w:p>
    <w:p w:rsidR="0048142B" w:rsidRPr="00D76604" w:rsidRDefault="0048142B" w:rsidP="0048142B">
      <w:pPr>
        <w:spacing w:line="360" w:lineRule="auto"/>
        <w:ind w:right="50"/>
        <w:jc w:val="both"/>
        <w:rPr>
          <w:rFonts w:ascii="Palatino Linotype" w:eastAsia="Palatino Linotype" w:hAnsi="Palatino Linotype" w:cs="Palatino Linotype"/>
        </w:rPr>
      </w:pPr>
      <w:r w:rsidRPr="00D76604">
        <w:rPr>
          <w:rFonts w:ascii="Palatino Linotype" w:eastAsia="Palatino Linotype" w:hAnsi="Palatino Linotype" w:cs="Palatino Linotype"/>
        </w:rPr>
        <w:lastRenderedPageBreak/>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rsidR="0048142B" w:rsidRPr="00D76604" w:rsidRDefault="0048142B" w:rsidP="0048142B">
      <w:pPr>
        <w:spacing w:line="360" w:lineRule="auto"/>
        <w:ind w:right="50"/>
        <w:jc w:val="both"/>
        <w:rPr>
          <w:rFonts w:ascii="Palatino Linotype" w:eastAsia="Palatino Linotype" w:hAnsi="Palatino Linotype" w:cs="Palatino Linotype"/>
        </w:rPr>
      </w:pPr>
    </w:p>
    <w:p w:rsidR="0048142B" w:rsidRPr="00D76604" w:rsidRDefault="0048142B" w:rsidP="0048142B">
      <w:pPr>
        <w:spacing w:line="360" w:lineRule="auto"/>
        <w:ind w:right="50"/>
        <w:jc w:val="both"/>
        <w:rPr>
          <w:rFonts w:ascii="Palatino Linotype" w:eastAsia="Palatino Linotype" w:hAnsi="Palatino Linotype" w:cs="Palatino Linotype"/>
        </w:rPr>
      </w:pPr>
      <w:r w:rsidRPr="00D76604">
        <w:rPr>
          <w:rFonts w:ascii="Palatino Linotype" w:eastAsia="Palatino Linotype" w:hAnsi="Palatino Linotype" w:cs="Palatino Linotype"/>
        </w:rPr>
        <w:t xml:space="preserve">En esa virtud, este Pleno determina que dicha información no puede ser del dominio público, toda vez que se podría dar un uso inadecuado a la misma o cometer algún ilícito o fraude como ya ha sido expuesto. </w:t>
      </w:r>
    </w:p>
    <w:p w:rsidR="0048142B" w:rsidRPr="00D76604" w:rsidRDefault="0048142B" w:rsidP="0048142B">
      <w:pPr>
        <w:spacing w:line="360" w:lineRule="auto"/>
        <w:ind w:right="50"/>
        <w:jc w:val="both"/>
        <w:rPr>
          <w:rFonts w:ascii="Palatino Linotype" w:eastAsia="Palatino Linotype" w:hAnsi="Palatino Linotype" w:cs="Palatino Linotype"/>
        </w:rPr>
      </w:pPr>
    </w:p>
    <w:p w:rsidR="0048142B" w:rsidRPr="00D76604" w:rsidRDefault="0048142B" w:rsidP="0048142B">
      <w:pPr>
        <w:spacing w:line="360" w:lineRule="auto"/>
        <w:ind w:right="50"/>
        <w:jc w:val="both"/>
        <w:rPr>
          <w:rFonts w:ascii="Palatino Linotype" w:eastAsia="Palatino Linotype" w:hAnsi="Palatino Linotype" w:cs="Palatino Linotype"/>
        </w:rPr>
      </w:pPr>
      <w:r w:rsidRPr="00D76604">
        <w:rPr>
          <w:rFonts w:ascii="Palatino Linotype" w:eastAsia="Palatino Linotype" w:hAnsi="Palatino Linotype" w:cs="Palatino Linotype"/>
        </w:rPr>
        <w:t>Es por esta razón que se debe omitir el o los números de cuentas bancarias de particulares en las versiones públicas, para ser entregadas.</w:t>
      </w:r>
    </w:p>
    <w:p w:rsidR="0048142B" w:rsidRPr="00D76604" w:rsidRDefault="0048142B" w:rsidP="0048142B">
      <w:pPr>
        <w:spacing w:line="360" w:lineRule="auto"/>
        <w:ind w:right="50"/>
        <w:jc w:val="both"/>
        <w:rPr>
          <w:rFonts w:ascii="Palatino Linotype" w:eastAsia="Palatino Linotype" w:hAnsi="Palatino Linotype" w:cs="Palatino Linotype"/>
        </w:rPr>
      </w:pPr>
    </w:p>
    <w:p w:rsidR="0048142B" w:rsidRPr="00D76604" w:rsidRDefault="0048142B" w:rsidP="0048142B">
      <w:pPr>
        <w:spacing w:line="360" w:lineRule="auto"/>
        <w:ind w:right="50"/>
        <w:jc w:val="both"/>
        <w:rPr>
          <w:rFonts w:ascii="Palatino Linotype" w:eastAsia="Palatino Linotype" w:hAnsi="Palatino Linotype" w:cs="Palatino Linotype"/>
        </w:rPr>
      </w:pPr>
      <w:r w:rsidRPr="00D76604">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rsidR="0048142B" w:rsidRPr="00D76604" w:rsidRDefault="0048142B" w:rsidP="0048142B">
      <w:pPr>
        <w:spacing w:line="360" w:lineRule="auto"/>
        <w:ind w:right="50"/>
        <w:jc w:val="both"/>
        <w:rPr>
          <w:rFonts w:ascii="Palatino Linotype" w:eastAsia="Palatino Linotype" w:hAnsi="Palatino Linotype" w:cs="Palatino Linotype"/>
        </w:rPr>
      </w:pPr>
    </w:p>
    <w:p w:rsidR="0048142B" w:rsidRPr="00D76604" w:rsidRDefault="0048142B" w:rsidP="0048142B">
      <w:pPr>
        <w:spacing w:line="360" w:lineRule="auto"/>
        <w:ind w:right="50"/>
        <w:jc w:val="both"/>
        <w:rPr>
          <w:rFonts w:ascii="Palatino Linotype" w:eastAsia="Palatino Linotype" w:hAnsi="Palatino Linotype" w:cs="Palatino Linotype"/>
        </w:rPr>
      </w:pPr>
      <w:r w:rsidRPr="00D76604">
        <w:rPr>
          <w:rFonts w:ascii="Palatino Linotype" w:eastAsia="Palatino Linotype" w:hAnsi="Palatino Linotype" w:cs="Palatino Linotype"/>
        </w:rPr>
        <w:t>Lo argumentado encuentra sustento en los criterios 10/17 y 11/17 emitidos por el Instituto Nacional de Transparencia, Acceso a la Información y Protección de Datos Personales, INAI, que llevan por rubro y texto los siguientes:</w:t>
      </w:r>
    </w:p>
    <w:p w:rsidR="0048142B" w:rsidRDefault="0048142B" w:rsidP="0048142B">
      <w:pPr>
        <w:spacing w:line="360" w:lineRule="auto"/>
        <w:ind w:right="50"/>
        <w:jc w:val="both"/>
        <w:rPr>
          <w:rFonts w:ascii="Palatino Linotype" w:eastAsia="Palatino Linotype" w:hAnsi="Palatino Linotype" w:cs="Palatino Linotype"/>
        </w:rPr>
      </w:pPr>
    </w:p>
    <w:p w:rsidR="0048142B" w:rsidRDefault="0048142B" w:rsidP="0048142B">
      <w:pPr>
        <w:spacing w:after="24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“Cuentas bancarias y/o CLABE interbancaria de personas físicas y morales privadas.</w:t>
      </w:r>
      <w:r>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rsidR="0048142B" w:rsidRDefault="0048142B" w:rsidP="0048142B">
      <w:pPr>
        <w:spacing w:before="24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Cuentas bancarias y/o CLABE interbancaria de sujetos obligados que reciben y/o transfieren recursos públicos, son información pública</w:t>
      </w:r>
      <w:r>
        <w:rPr>
          <w:rFonts w:ascii="Palatino Linotype" w:eastAsia="Palatino Linotype" w:hAnsi="Palatino Linotype" w:cs="Palatino Linotype"/>
          <w:i/>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rsidR="0048142B" w:rsidRDefault="0048142B" w:rsidP="0048142B">
      <w:pPr>
        <w:spacing w:line="360" w:lineRule="auto"/>
        <w:ind w:left="851" w:right="900"/>
        <w:jc w:val="both"/>
        <w:rPr>
          <w:rFonts w:ascii="Palatino Linotype" w:eastAsia="Palatino Linotype" w:hAnsi="Palatino Linotype" w:cs="Palatino Linotype"/>
          <w:i/>
        </w:rPr>
      </w:pPr>
    </w:p>
    <w:p w:rsidR="0048142B"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 xml:space="preserve">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w:t>
      </w:r>
      <w:r w:rsidRPr="0039499D">
        <w:rPr>
          <w:rFonts w:ascii="Palatino Linotype" w:hAnsi="Palatino Linotype" w:cs="Arial"/>
        </w:rPr>
        <w:lastRenderedPageBreak/>
        <w:t>y finalmente sea éste último quien apruebe, modifique o revoque la clasificación de la información solicitada.</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Artículo 49.</w:t>
      </w:r>
      <w:r w:rsidRPr="0039499D">
        <w:rPr>
          <w:rFonts w:ascii="Palatino Linotype" w:hAnsi="Palatino Linotype" w:cs="Arial"/>
          <w:i/>
        </w:rPr>
        <w:t xml:space="preserve"> Los Comités de Transparencia tendrán las siguientes atribuciones:</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t>VIII</w:t>
      </w:r>
      <w:r w:rsidRPr="0039499D">
        <w:rPr>
          <w:rFonts w:ascii="Palatino Linotype" w:hAnsi="Palatino Linotype" w:cs="Arial"/>
          <w:i/>
        </w:rPr>
        <w:t>. Aprobar, modificar o revocar la clasificación de la información;</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lastRenderedPageBreak/>
        <w:t>Artículo 132.</w:t>
      </w:r>
      <w:r w:rsidRPr="0039499D">
        <w:rPr>
          <w:rFonts w:ascii="Palatino Linotype" w:hAnsi="Palatino Linotype" w:cs="Arial"/>
          <w:i/>
        </w:rPr>
        <w:t xml:space="preserve"> La clasificación de la información se llevará a cabo en el momento en que:</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I. Se reciba una solicitud de acceso a la información;</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II. Se determine mediante resolución de autoridad competente; o</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III. Se generen versiones públicas para dar cumplimiento a las obligaciones de transparencia previstas en esta Ley.”</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Segundo</w:t>
      </w:r>
      <w:r w:rsidRPr="0039499D">
        <w:rPr>
          <w:rFonts w:ascii="Palatino Linotype" w:hAnsi="Palatino Linotype" w:cs="Arial"/>
          <w:i/>
        </w:rPr>
        <w:t>.- Para efectos de los presentes Lineamientos Generales, se entenderá por:</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t>XVIII</w:t>
      </w:r>
      <w:r w:rsidRPr="0039499D">
        <w:rPr>
          <w:rFonts w:ascii="Palatino Linotype" w:hAnsi="Palatino Linotype" w:cs="Arial"/>
          <w:i/>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t>Cuarto</w:t>
      </w:r>
      <w:r w:rsidRPr="0039499D">
        <w:rPr>
          <w:rFonts w:ascii="Palatino Linotype" w:hAnsi="Palatino Linotype" w:cs="Arial"/>
          <w:i/>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Los Sujetos Obligados deberán aplicar, de manera estricta, las excepciones al derecho de acceso a la información y sólo podrán invocarlas cuando acrediten su procedencia.</w:t>
      </w:r>
    </w:p>
    <w:p w:rsidR="0048142B" w:rsidRPr="0039499D" w:rsidRDefault="0048142B" w:rsidP="0048142B">
      <w:pPr>
        <w:spacing w:line="276" w:lineRule="auto"/>
        <w:ind w:left="567" w:right="567"/>
        <w:jc w:val="both"/>
        <w:rPr>
          <w:rFonts w:ascii="Palatino Linotype" w:hAnsi="Palatino Linotype" w:cs="Arial"/>
          <w:i/>
        </w:rPr>
      </w:pP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t>Quinto</w:t>
      </w:r>
      <w:r w:rsidRPr="0039499D">
        <w:rPr>
          <w:rFonts w:ascii="Palatino Linotype" w:hAnsi="Palatino Linotype" w:cs="Arial"/>
          <w:i/>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48142B" w:rsidRPr="0039499D" w:rsidRDefault="0048142B" w:rsidP="0048142B">
      <w:pPr>
        <w:spacing w:line="276" w:lineRule="auto"/>
        <w:ind w:left="567" w:right="567"/>
        <w:jc w:val="both"/>
        <w:rPr>
          <w:rFonts w:ascii="Palatino Linotype" w:hAnsi="Palatino Linotype" w:cs="Arial"/>
          <w:i/>
        </w:rPr>
      </w:pP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t>Sexto</w:t>
      </w:r>
      <w:r w:rsidRPr="0039499D">
        <w:rPr>
          <w:rFonts w:ascii="Palatino Linotype" w:hAnsi="Palatino Linotype" w:cs="Arial"/>
          <w:i/>
        </w:rPr>
        <w:t xml:space="preserve">. Los Sujetos Obligados no podrán emitir acuerdos de carácter general ni particular que clasifiquen documentos o expedientes como reservados, ni clasificar </w:t>
      </w:r>
      <w:r w:rsidRPr="0039499D">
        <w:rPr>
          <w:rFonts w:ascii="Palatino Linotype" w:hAnsi="Palatino Linotype" w:cs="Arial"/>
          <w:i/>
        </w:rPr>
        <w:lastRenderedPageBreak/>
        <w:t>documentos antes de que se genere la información o cuando éstos no obren en sus archivos.</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La clasificación de información se realizará conforme a un análisis caso por caso, mediante la aplicación de la prueba de daño y de interés público.</w:t>
      </w:r>
    </w:p>
    <w:p w:rsidR="0048142B" w:rsidRPr="0039499D" w:rsidRDefault="0048142B" w:rsidP="0048142B">
      <w:pPr>
        <w:spacing w:line="276" w:lineRule="auto"/>
        <w:ind w:left="567" w:right="567"/>
        <w:jc w:val="both"/>
        <w:rPr>
          <w:rFonts w:ascii="Palatino Linotype" w:hAnsi="Palatino Linotype" w:cs="Arial"/>
          <w:i/>
        </w:rPr>
      </w:pP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t>Séptimo</w:t>
      </w:r>
      <w:r w:rsidRPr="0039499D">
        <w:rPr>
          <w:rFonts w:ascii="Palatino Linotype" w:hAnsi="Palatino Linotype" w:cs="Arial"/>
          <w:i/>
        </w:rPr>
        <w:t>. La clasificación de la información se llevará a cabo en el momento en que:</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t>I.</w:t>
      </w:r>
      <w:r w:rsidRPr="0039499D">
        <w:rPr>
          <w:rFonts w:ascii="Palatino Linotype" w:hAnsi="Palatino Linotype" w:cs="Arial"/>
          <w:i/>
        </w:rPr>
        <w:t xml:space="preserve"> Se reciba una solicitud de acceso a la información;</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t>II</w:t>
      </w:r>
      <w:r w:rsidRPr="0039499D">
        <w:rPr>
          <w:rFonts w:ascii="Palatino Linotype" w:hAnsi="Palatino Linotype" w:cs="Arial"/>
          <w:i/>
        </w:rPr>
        <w:t>. Se determine mediante resolución de autoridad competente, o</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t>III</w:t>
      </w:r>
      <w:r w:rsidRPr="0039499D">
        <w:rPr>
          <w:rFonts w:ascii="Palatino Linotype" w:hAnsi="Palatino Linotype" w:cs="Arial"/>
          <w:i/>
        </w:rPr>
        <w:t>. Se generen versiones públicas para dar cumplimiento a las obligaciones de transparencia previstas en la Ley General, la Ley Federal y las correspondientes de las entidades federativas.</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Los titulares de las áreas deberán revisar la clasificación al momento de la recepción de una solicitud de acceso a la información, para verificar si encuadra en una causal de reserva o de confidencialidad.</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t>Octavo</w:t>
      </w:r>
      <w:r w:rsidRPr="0039499D">
        <w:rPr>
          <w:rFonts w:ascii="Palatino Linotype" w:hAnsi="Palatino Linotype" w:cs="Arial"/>
          <w:i/>
        </w:rPr>
        <w:t>. Para fundar la clasificación de la información se debe señalar el artículo, fracción, inciso, párrafo o numeral de la ley o tratado internacional suscrito por el Estado mexicano que expresamente le otorga el carácter de reservada o confidencial.</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Para motivar la clasificación se deberán señalar las razones o circunstancias especiales que lo llevaron a concluir que el caso particular se ajusta al supuesto previsto por la norma legal invocada como fundamento.</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En caso de referirse a información reservada, la motivación de la clasificación también deberá comprender las circunstancias que justifican el establecimiento de determinado plazo de reserva.</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Tratándose de información clasificada como confidencial respecto de la cual se haya determinado su conservación permanente por tener valor histórico, ésta conservará tal carácter de conformidad con la normativa aplicable en materia de archivos.</w:t>
      </w: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Los documentos contenidos en los archivos históricos y los identificados como históricos confidenciales no serán susceptibles de clasificación como reservados.</w:t>
      </w:r>
    </w:p>
    <w:p w:rsidR="0048142B" w:rsidRPr="0039499D" w:rsidRDefault="0048142B" w:rsidP="0048142B">
      <w:pPr>
        <w:spacing w:line="276" w:lineRule="auto"/>
        <w:ind w:left="567" w:right="567"/>
        <w:jc w:val="both"/>
        <w:rPr>
          <w:rFonts w:ascii="Palatino Linotype" w:hAnsi="Palatino Linotype" w:cs="Arial"/>
          <w:i/>
        </w:rPr>
      </w:pP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t>Noveno</w:t>
      </w:r>
      <w:r w:rsidRPr="0039499D">
        <w:rPr>
          <w:rFonts w:ascii="Palatino Linotype" w:hAnsi="Palatino Linotype" w:cs="Arial"/>
          <w:i/>
        </w:rPr>
        <w:t xml:space="preserve">. En los casos en que se solicite un documento o expediente que contenga partes o secciones clasificadas, los titulares de las áreas deberán elaborar una versión pública fundando y motivando la clasificación de las partes o secciones que se testen, </w:t>
      </w:r>
      <w:r w:rsidRPr="0039499D">
        <w:rPr>
          <w:rFonts w:ascii="Palatino Linotype" w:hAnsi="Palatino Linotype" w:cs="Arial"/>
          <w:i/>
        </w:rPr>
        <w:lastRenderedPageBreak/>
        <w:t>siguiendo los procedimientos establecidos en el Capítulo IX de los presentes lineamientos.</w:t>
      </w:r>
    </w:p>
    <w:p w:rsidR="0048142B" w:rsidRPr="0039499D" w:rsidRDefault="0048142B" w:rsidP="0048142B">
      <w:pPr>
        <w:spacing w:line="276" w:lineRule="auto"/>
        <w:ind w:left="567" w:right="567"/>
        <w:jc w:val="both"/>
        <w:rPr>
          <w:rFonts w:ascii="Palatino Linotype" w:hAnsi="Palatino Linotype" w:cs="Arial"/>
          <w:i/>
        </w:rPr>
      </w:pP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t>Décimo</w:t>
      </w:r>
      <w:r w:rsidRPr="0039499D">
        <w:rPr>
          <w:rFonts w:ascii="Palatino Linotype" w:hAnsi="Palatino Linotype" w:cs="Arial"/>
          <w:i/>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rsidR="0048142B" w:rsidRPr="0039499D" w:rsidRDefault="0048142B" w:rsidP="0048142B">
      <w:pPr>
        <w:spacing w:line="276" w:lineRule="auto"/>
        <w:ind w:left="567" w:right="567"/>
        <w:jc w:val="both"/>
        <w:rPr>
          <w:rFonts w:ascii="Palatino Linotype" w:hAnsi="Palatino Linotype" w:cs="Arial"/>
          <w:i/>
        </w:rPr>
      </w:pP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i/>
        </w:rPr>
        <w:t>En ausencia de los titulares de las áreas, la información será clasificada o desclasificada por la persona que lo supla, en términos de la normativa que rija la actuación del sujeto obligado.</w:t>
      </w:r>
    </w:p>
    <w:p w:rsidR="0048142B" w:rsidRPr="0039499D" w:rsidRDefault="0048142B" w:rsidP="0048142B">
      <w:pPr>
        <w:spacing w:line="276" w:lineRule="auto"/>
        <w:ind w:left="567" w:right="567"/>
        <w:jc w:val="both"/>
        <w:rPr>
          <w:rFonts w:ascii="Palatino Linotype" w:hAnsi="Palatino Linotype" w:cs="Arial"/>
          <w:i/>
        </w:rPr>
      </w:pP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t>Décimo primero.</w:t>
      </w:r>
      <w:r w:rsidRPr="0039499D">
        <w:rPr>
          <w:rFonts w:ascii="Palatino Linotype" w:hAnsi="Palatino Linotype" w:cs="Arial"/>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w:t>
      </w:r>
      <w:r w:rsidRPr="0039499D">
        <w:rPr>
          <w:rFonts w:ascii="Palatino Linotype" w:hAnsi="Palatino Linotype" w:cs="Arial"/>
        </w:rPr>
        <w:lastRenderedPageBreak/>
        <w:t>supuestos jurídicos se debe fundar y motivar correctamente la categorización de la información.</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Por tanto, la fundamentación y motivación consiste en la obligación que tiene todo ente público de expresar los preceptos jurídicos aplicables al asunto motivo del acto y las razones o argumentos de su actuar.</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Al respecto, el máximo tribunal del país ha establecido jurisprudencia respecto a qué debe entenderse por fundamentación y motivación, en los siguientes términos:</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t>FUNDAMENTACIÓN Y MOTIVACIÓN</w:t>
      </w:r>
      <w:r w:rsidRPr="0039499D">
        <w:rPr>
          <w:rFonts w:ascii="Palatino Linotype" w:hAnsi="Palatino Linotype" w:cs="Arial"/>
          <w:i/>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rsidR="0048142B" w:rsidRPr="0039499D" w:rsidRDefault="0048142B" w:rsidP="0048142B">
      <w:pPr>
        <w:spacing w:line="276" w:lineRule="auto"/>
        <w:jc w:val="both"/>
        <w:rPr>
          <w:rFonts w:ascii="Palatino Linotype" w:hAnsi="Palatino Linotype" w:cs="Arial"/>
        </w:rPr>
      </w:pPr>
    </w:p>
    <w:p w:rsidR="0048142B" w:rsidRPr="0039499D" w:rsidRDefault="0048142B" w:rsidP="0048142B">
      <w:pPr>
        <w:spacing w:line="276" w:lineRule="auto"/>
        <w:ind w:left="567" w:right="567"/>
        <w:jc w:val="both"/>
        <w:rPr>
          <w:rFonts w:ascii="Palatino Linotype" w:hAnsi="Palatino Linotype" w:cs="Arial"/>
          <w:i/>
        </w:rPr>
      </w:pPr>
      <w:r w:rsidRPr="0039499D">
        <w:rPr>
          <w:rFonts w:ascii="Palatino Linotype" w:hAnsi="Palatino Linotype" w:cs="Arial"/>
          <w:b/>
          <w:i/>
        </w:rPr>
        <w:lastRenderedPageBreak/>
        <w:t>FUNDAMENTACIÓN Y MOTIVACIÓN. EL ASPECTO FORMAL DE LA GARANTÍA Y SU FINALIDAD SE TRADUCEN EN EXPLICAR, JUSTIFICAR, POSIBILITAR LA DEFENSA Y COMUNICAR LA DECISIÓN.</w:t>
      </w:r>
      <w:r w:rsidRPr="0039499D">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rsidR="0048142B" w:rsidRPr="0039499D" w:rsidRDefault="0048142B" w:rsidP="0048142B">
      <w:pPr>
        <w:spacing w:line="276"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rsidR="0048142B" w:rsidRPr="0039499D" w:rsidRDefault="0048142B" w:rsidP="0048142B">
      <w:pPr>
        <w:spacing w:line="360" w:lineRule="auto"/>
        <w:jc w:val="both"/>
        <w:rPr>
          <w:rFonts w:ascii="Palatino Linotype" w:hAnsi="Palatino Linotype" w:cs="Arial"/>
        </w:rPr>
      </w:pPr>
    </w:p>
    <w:p w:rsidR="0048142B" w:rsidRPr="0039499D" w:rsidRDefault="0048142B" w:rsidP="0048142B">
      <w:pPr>
        <w:spacing w:line="360" w:lineRule="auto"/>
        <w:jc w:val="both"/>
        <w:rPr>
          <w:rFonts w:ascii="Palatino Linotype" w:hAnsi="Palatino Linotype" w:cs="Arial"/>
        </w:rPr>
      </w:pPr>
      <w:r w:rsidRPr="0039499D">
        <w:rPr>
          <w:rFonts w:ascii="Palatino Linotype" w:hAnsi="Palatino Linotype" w:cs="Arial"/>
        </w:rPr>
        <w:t xml:space="preserve">Por lo tanto, la entrega de documentos en su versión pública debe acompañarse necesariamente del Acuerdo del Comité de Transparencia del Sujeto Obligado que la sustente, en el que se expongan los fundamentos y razones que llevaron a la autoridad </w:t>
      </w:r>
      <w:r w:rsidRPr="0039499D">
        <w:rPr>
          <w:rFonts w:ascii="Palatino Linotype" w:hAnsi="Palatino Linotype" w:cs="Arial"/>
        </w:rPr>
        <w:lastRenderedPageBreak/>
        <w:t>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rsidR="00554C57" w:rsidRDefault="00554C57" w:rsidP="00554C57">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p>
    <w:p w:rsidR="00554C57" w:rsidRPr="00CD0D60" w:rsidRDefault="00554C57" w:rsidP="00554C57">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r w:rsidRPr="00CD0D60">
        <w:rPr>
          <w:rFonts w:ascii="Palatino Linotype" w:eastAsia="Palatino Linotype" w:hAnsi="Palatino Linotype" w:cs="Palatino Linotype"/>
          <w:color w:val="000000"/>
          <w:lang w:val="es-ES_tradnl" w:eastAsia="es-MX"/>
        </w:rPr>
        <w:t xml:space="preserve">En mérito de lo expuesto en líneas anteriores, este Instituto considera que los motivos de inconformidad planteados por la Recurrente resultan fundados en el recurso de revisión que es materia de esta resolución; por ello </w:t>
      </w:r>
      <w:r w:rsidRPr="00CD0D60">
        <w:rPr>
          <w:rFonts w:ascii="Palatino Linotype" w:eastAsia="Palatino Linotype" w:hAnsi="Palatino Linotype" w:cs="Palatino Linotype"/>
          <w:b/>
          <w:color w:val="000000"/>
          <w:lang w:val="es-ES_tradnl" w:eastAsia="es-MX"/>
        </w:rPr>
        <w:t xml:space="preserve">con fundamento en la </w:t>
      </w:r>
      <w:r>
        <w:rPr>
          <w:rFonts w:ascii="Palatino Linotype" w:eastAsia="Palatino Linotype" w:hAnsi="Palatino Linotype" w:cs="Palatino Linotype"/>
          <w:b/>
          <w:color w:val="000000"/>
          <w:lang w:val="es-ES_tradnl" w:eastAsia="es-MX"/>
        </w:rPr>
        <w:t>primera</w:t>
      </w:r>
      <w:r w:rsidRPr="00CD0D60">
        <w:rPr>
          <w:rFonts w:ascii="Palatino Linotype" w:eastAsia="Palatino Linotype" w:hAnsi="Palatino Linotype" w:cs="Palatino Linotype"/>
          <w:b/>
          <w:color w:val="000000"/>
          <w:lang w:val="es-ES_tradnl" w:eastAsia="es-MX"/>
        </w:rPr>
        <w:t xml:space="preserve"> hipótesis de la fracción III del artículo 186 </w:t>
      </w:r>
      <w:r w:rsidRPr="00CD0D60">
        <w:rPr>
          <w:rFonts w:ascii="Palatino Linotype" w:eastAsia="Palatino Linotype" w:hAnsi="Palatino Linotype" w:cs="Palatino Linotype"/>
          <w:color w:val="000000"/>
          <w:lang w:val="es-ES_tradnl" w:eastAsia="es-MX"/>
        </w:rPr>
        <w:t xml:space="preserve">de la Ley de Transparencia y Acceso a la Información Pública del Estado de México y Municipios, se </w:t>
      </w:r>
      <w:r>
        <w:rPr>
          <w:rFonts w:ascii="Palatino Linotype" w:eastAsia="Palatino Linotype" w:hAnsi="Palatino Linotype" w:cs="Palatino Linotype"/>
          <w:b/>
          <w:color w:val="000000"/>
          <w:lang w:val="es-ES_tradnl" w:eastAsia="es-MX"/>
        </w:rPr>
        <w:t>REVO</w:t>
      </w:r>
      <w:r w:rsidRPr="00CD0D60">
        <w:rPr>
          <w:rFonts w:ascii="Palatino Linotype" w:eastAsia="Palatino Linotype" w:hAnsi="Palatino Linotype" w:cs="Palatino Linotype"/>
          <w:b/>
          <w:color w:val="000000"/>
          <w:lang w:val="es-ES_tradnl" w:eastAsia="es-MX"/>
        </w:rPr>
        <w:t xml:space="preserve">CA </w:t>
      </w:r>
      <w:r w:rsidRPr="00CD0D60">
        <w:rPr>
          <w:rFonts w:ascii="Palatino Linotype" w:eastAsia="Palatino Linotype" w:hAnsi="Palatino Linotype" w:cs="Palatino Linotype"/>
          <w:color w:val="000000"/>
          <w:lang w:val="es-ES_tradnl" w:eastAsia="es-MX"/>
        </w:rPr>
        <w:t>la respuesta a la solicitud de información número</w:t>
      </w:r>
      <w:r w:rsidRPr="00CD0D60">
        <w:rPr>
          <w:rFonts w:ascii="Palatino Linotype" w:eastAsia="Palatino Linotype" w:hAnsi="Palatino Linotype" w:cs="Palatino Linotype"/>
          <w:b/>
          <w:color w:val="000000"/>
          <w:lang w:val="es-ES_tradnl" w:eastAsia="es-MX"/>
        </w:rPr>
        <w:t xml:space="preserve"> </w:t>
      </w:r>
      <w:r>
        <w:rPr>
          <w:rFonts w:ascii="Palatino Linotype" w:hAnsi="Palatino Linotype"/>
          <w:b/>
          <w:bCs/>
        </w:rPr>
        <w:t>00114/ATIZAPAN/IP/2024</w:t>
      </w:r>
      <w:r w:rsidRPr="00CD0D60">
        <w:rPr>
          <w:rFonts w:ascii="Palatino Linotype" w:eastAsia="Palatino Linotype" w:hAnsi="Palatino Linotype" w:cs="Palatino Linotype"/>
          <w:color w:val="000000"/>
          <w:lang w:val="es-ES_tradnl" w:eastAsia="es-MX"/>
        </w:rPr>
        <w:t>, que ha sido materia del presente estudio.</w:t>
      </w:r>
    </w:p>
    <w:p w:rsidR="00554C57" w:rsidRPr="009A71E1" w:rsidRDefault="00554C57" w:rsidP="00603574">
      <w:pPr>
        <w:spacing w:line="360" w:lineRule="auto"/>
        <w:jc w:val="both"/>
        <w:rPr>
          <w:rFonts w:ascii="Palatino Linotype" w:eastAsiaTheme="minorHAnsi" w:hAnsi="Palatino Linotype" w:cstheme="minorBidi"/>
          <w:lang w:val="es-MX" w:eastAsia="en-US"/>
        </w:rPr>
      </w:pPr>
    </w:p>
    <w:p w:rsidR="00603574" w:rsidRDefault="00603574" w:rsidP="00603574">
      <w:pPr>
        <w:spacing w:line="360" w:lineRule="auto"/>
        <w:jc w:val="both"/>
        <w:rPr>
          <w:rFonts w:ascii="Palatino Linotype" w:hAnsi="Palatino Linotype"/>
          <w:lang w:val="es-MX"/>
        </w:rPr>
      </w:pPr>
      <w:r w:rsidRPr="009A71E1">
        <w:rPr>
          <w:rFonts w:ascii="Palatino Linotype" w:hAnsi="Palatino Linotype"/>
          <w:lang w:val="es-MX"/>
        </w:rPr>
        <w:t>Por lo antes expuesto y fundado es de resolverse y,</w:t>
      </w:r>
    </w:p>
    <w:p w:rsidR="00603574" w:rsidRDefault="00603574" w:rsidP="00603574">
      <w:pPr>
        <w:spacing w:line="360" w:lineRule="auto"/>
        <w:jc w:val="both"/>
        <w:rPr>
          <w:rFonts w:ascii="Palatino Linotype" w:hAnsi="Palatino Linotype"/>
          <w:lang w:val="es-MX"/>
        </w:rPr>
      </w:pPr>
    </w:p>
    <w:p w:rsidR="00603574" w:rsidRPr="009A71E1" w:rsidRDefault="00603574" w:rsidP="00603574">
      <w:pPr>
        <w:spacing w:line="360" w:lineRule="auto"/>
        <w:jc w:val="both"/>
        <w:rPr>
          <w:rFonts w:ascii="Palatino Linotype" w:hAnsi="Palatino Linotype"/>
          <w:lang w:val="es-MX"/>
        </w:rPr>
      </w:pPr>
    </w:p>
    <w:p w:rsidR="00603574" w:rsidRPr="009A71E1" w:rsidRDefault="00603574" w:rsidP="00603574">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t>SE    RESUELVE</w:t>
      </w:r>
    </w:p>
    <w:p w:rsidR="00603574" w:rsidRDefault="00603574" w:rsidP="00603574">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rsidR="00603574" w:rsidRPr="00165D42" w:rsidRDefault="00603574" w:rsidP="00603574">
      <w:pPr>
        <w:spacing w:line="360" w:lineRule="auto"/>
        <w:jc w:val="both"/>
        <w:rPr>
          <w:rFonts w:ascii="Palatino Linotype" w:hAnsi="Palatino Linotype" w:cs="Arial"/>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rPr>
        <w:t xml:space="preserve"> </w:t>
      </w:r>
      <w:r w:rsidRPr="00165D42">
        <w:rPr>
          <w:rFonts w:ascii="Palatino Linotype" w:hAnsi="Palatino Linotype" w:cs="Arial"/>
        </w:rPr>
        <w:t>Se</w:t>
      </w:r>
      <w:r w:rsidRPr="00165D42">
        <w:rPr>
          <w:rFonts w:ascii="Palatino Linotype" w:hAnsi="Palatino Linotype" w:cs="Arial"/>
          <w:b/>
        </w:rPr>
        <w:t xml:space="preserve"> </w:t>
      </w:r>
      <w:r>
        <w:rPr>
          <w:rFonts w:ascii="Palatino Linotype" w:hAnsi="Palatino Linotype" w:cs="Arial"/>
          <w:b/>
        </w:rPr>
        <w:t>REVO</w:t>
      </w:r>
      <w:r w:rsidRPr="00165D42">
        <w:rPr>
          <w:rFonts w:ascii="Palatino Linotype" w:hAnsi="Palatino Linotype" w:cs="Arial"/>
          <w:b/>
        </w:rPr>
        <w:t xml:space="preserve">CA </w:t>
      </w:r>
      <w:r w:rsidRPr="00165D42">
        <w:rPr>
          <w:rFonts w:ascii="Palatino Linotype" w:hAnsi="Palatino Linotype" w:cs="Arial"/>
        </w:rPr>
        <w:t xml:space="preserve">la respuesta del </w:t>
      </w:r>
      <w:r w:rsidRPr="00165D42">
        <w:rPr>
          <w:rFonts w:ascii="Palatino Linotype" w:hAnsi="Palatino Linotype" w:cs="Arial"/>
          <w:b/>
        </w:rPr>
        <w:t>Sujeto Obligado</w:t>
      </w:r>
      <w:r w:rsidRPr="00165D42">
        <w:rPr>
          <w:rFonts w:ascii="Palatino Linotype" w:hAnsi="Palatino Linotype" w:cs="Arial"/>
        </w:rPr>
        <w:t xml:space="preserve"> a la solicitud de acceso a la información pública</w:t>
      </w:r>
      <w:r>
        <w:rPr>
          <w:rFonts w:ascii="Palatino Linotype" w:hAnsi="Palatino Linotype" w:cs="Arial"/>
          <w:b/>
        </w:rPr>
        <w:t xml:space="preserve"> </w:t>
      </w:r>
      <w:r>
        <w:rPr>
          <w:rFonts w:ascii="Palatino Linotype" w:hAnsi="Palatino Linotype"/>
          <w:b/>
          <w:bCs/>
        </w:rPr>
        <w:t>00114/ATIZAPAN/IP/2024</w:t>
      </w:r>
      <w:r w:rsidRPr="00165D42">
        <w:rPr>
          <w:rFonts w:ascii="Palatino Linotype" w:hAnsi="Palatino Linotype" w:cs="Arial"/>
        </w:rPr>
        <w:t>,</w:t>
      </w:r>
      <w:r w:rsidRPr="00165D42">
        <w:rPr>
          <w:rFonts w:ascii="Palatino Linotype" w:hAnsi="Palatino Linotype" w:cs="Tahoma"/>
          <w:b/>
        </w:rPr>
        <w:t xml:space="preserve"> </w:t>
      </w:r>
      <w:r w:rsidRPr="00165D42">
        <w:rPr>
          <w:rFonts w:ascii="Palatino Linotype" w:hAnsi="Palatino Linotype" w:cs="Arial"/>
        </w:rPr>
        <w:t>por resultar</w:t>
      </w:r>
      <w:r>
        <w:rPr>
          <w:rFonts w:ascii="Palatino Linotype" w:hAnsi="Palatino Linotype" w:cs="Arial"/>
        </w:rPr>
        <w:t xml:space="preserve"> fundados</w:t>
      </w:r>
      <w:r w:rsidRPr="00165D42">
        <w:rPr>
          <w:rFonts w:ascii="Palatino Linotype" w:hAnsi="Palatino Linotype" w:cs="Arial"/>
          <w:b/>
        </w:rPr>
        <w:t xml:space="preserve"> </w:t>
      </w:r>
      <w:r w:rsidRPr="00165D42">
        <w:rPr>
          <w:rFonts w:ascii="Palatino Linotype" w:hAnsi="Palatino Linotype" w:cs="Arial"/>
        </w:rPr>
        <w:t xml:space="preserve">los motivos </w:t>
      </w:r>
      <w:r w:rsidRPr="00165D42">
        <w:rPr>
          <w:rFonts w:ascii="Palatino Linotype" w:hAnsi="Palatino Linotype" w:cs="Arial"/>
        </w:rPr>
        <w:lastRenderedPageBreak/>
        <w:t>de inconformidad vertidos por la</w:t>
      </w:r>
      <w:r>
        <w:rPr>
          <w:rFonts w:ascii="Palatino Linotype" w:hAnsi="Palatino Linotype" w:cs="Arial"/>
        </w:rPr>
        <w:t xml:space="preserve"> parte</w:t>
      </w:r>
      <w:r w:rsidRPr="00165D42">
        <w:rPr>
          <w:rFonts w:ascii="Palatino Linotype" w:hAnsi="Palatino Linotype" w:cs="Arial"/>
        </w:rPr>
        <w:t xml:space="preserve"> </w:t>
      </w:r>
      <w:r w:rsidRPr="00165D42">
        <w:rPr>
          <w:rFonts w:ascii="Palatino Linotype" w:hAnsi="Palatino Linotype" w:cs="Arial"/>
          <w:b/>
        </w:rPr>
        <w:t>Recurrente</w:t>
      </w:r>
      <w:r>
        <w:rPr>
          <w:rFonts w:ascii="Palatino Linotype" w:hAnsi="Palatino Linotype" w:cs="Arial"/>
        </w:rPr>
        <w:t>, en términos del considerando</w:t>
      </w:r>
      <w:r w:rsidRPr="00165D42">
        <w:rPr>
          <w:rFonts w:ascii="Palatino Linotype" w:hAnsi="Palatino Linotype" w:cs="Arial"/>
          <w:b/>
        </w:rPr>
        <w:t xml:space="preserve"> CUARTO </w:t>
      </w:r>
      <w:r w:rsidRPr="00165D42">
        <w:rPr>
          <w:rFonts w:ascii="Palatino Linotype" w:hAnsi="Palatino Linotype" w:cs="Arial"/>
        </w:rPr>
        <w:t>de la presente Resolución.</w:t>
      </w:r>
    </w:p>
    <w:p w:rsidR="00603574" w:rsidRPr="00165D42" w:rsidRDefault="00603574" w:rsidP="00603574">
      <w:pPr>
        <w:spacing w:line="360" w:lineRule="auto"/>
        <w:jc w:val="both"/>
        <w:rPr>
          <w:rFonts w:ascii="Palatino Linotype" w:hAnsi="Palatino Linotype" w:cs="Arial"/>
        </w:rPr>
      </w:pPr>
    </w:p>
    <w:p w:rsidR="00603574" w:rsidRDefault="00603574" w:rsidP="00603574">
      <w:pPr>
        <w:spacing w:line="360" w:lineRule="auto"/>
        <w:jc w:val="both"/>
        <w:rPr>
          <w:rFonts w:ascii="Palatino Linotype" w:hAnsi="Palatino Linotype" w:cs="Tahoma"/>
        </w:rPr>
      </w:pPr>
      <w:r w:rsidRPr="00165D42">
        <w:rPr>
          <w:rFonts w:ascii="Palatino Linotype" w:hAnsi="Palatino Linotype" w:cs="Arial"/>
          <w:b/>
          <w:sz w:val="28"/>
        </w:rPr>
        <w:t>SEGUNDO</w:t>
      </w:r>
      <w:r w:rsidRPr="00165D42">
        <w:rPr>
          <w:rFonts w:ascii="Palatino Linotype" w:hAnsi="Palatino Linotype" w:cs="Arial"/>
          <w:b/>
        </w:rPr>
        <w:t>.</w:t>
      </w:r>
      <w:r w:rsidRPr="00165D42">
        <w:rPr>
          <w:rFonts w:ascii="Palatino Linotype" w:hAnsi="Palatino Linotype" w:cs="Tahoma"/>
        </w:rPr>
        <w:t xml:space="preserve"> Se </w:t>
      </w:r>
      <w:r w:rsidRPr="00165D42">
        <w:rPr>
          <w:rFonts w:ascii="Palatino Linotype" w:hAnsi="Palatino Linotype" w:cs="Tahoma"/>
          <w:b/>
        </w:rPr>
        <w:t>ORDENA</w:t>
      </w:r>
      <w:r w:rsidRPr="00165D42">
        <w:rPr>
          <w:rFonts w:ascii="Palatino Linotype" w:hAnsi="Palatino Linotype" w:cs="Tahoma"/>
        </w:rPr>
        <w:t xml:space="preserve"> al </w:t>
      </w:r>
      <w:r w:rsidRPr="00165D42">
        <w:rPr>
          <w:rFonts w:ascii="Palatino Linotype" w:hAnsi="Palatino Linotype" w:cs="Tahoma"/>
          <w:b/>
        </w:rPr>
        <w:t>Sujeto Obligado,</w:t>
      </w:r>
      <w:r w:rsidRPr="00165D42">
        <w:rPr>
          <w:rFonts w:ascii="Palatino Linotype" w:hAnsi="Palatino Linotype" w:cs="Tahoma"/>
        </w:rPr>
        <w:t xml:space="preserve"> </w:t>
      </w:r>
      <w:r>
        <w:rPr>
          <w:rFonts w:ascii="Palatino Linotype" w:hAnsi="Palatino Linotype" w:cs="Tahoma"/>
        </w:rPr>
        <w:t>haga entrega a la parte</w:t>
      </w:r>
      <w:r w:rsidRPr="00165D42">
        <w:rPr>
          <w:rFonts w:ascii="Palatino Linotype" w:hAnsi="Palatino Linotype" w:cs="Tahoma"/>
        </w:rPr>
        <w:t xml:space="preserve"> </w:t>
      </w:r>
      <w:r w:rsidRPr="00165D42">
        <w:rPr>
          <w:rFonts w:ascii="Palatino Linotype" w:hAnsi="Palatino Linotype" w:cs="Tahoma"/>
          <w:b/>
        </w:rPr>
        <w:t>Recurrente</w:t>
      </w:r>
      <w:r w:rsidRPr="00165D42">
        <w:rPr>
          <w:rFonts w:ascii="Palatino Linotype" w:hAnsi="Palatino Linotype" w:cs="Tahoma"/>
        </w:rPr>
        <w:t xml:space="preserve">, </w:t>
      </w:r>
      <w:r>
        <w:rPr>
          <w:rFonts w:ascii="Palatino Linotype" w:hAnsi="Palatino Linotype" w:cs="Tahoma"/>
        </w:rPr>
        <w:t xml:space="preserve">previa búsqueda exhaustiva y razonable, </w:t>
      </w:r>
      <w:r w:rsidRPr="00165D42">
        <w:rPr>
          <w:rFonts w:ascii="Palatino Linotype" w:hAnsi="Palatino Linotype" w:cs="Tahoma"/>
        </w:rPr>
        <w:t>a través del Sistema de Acceso a la Información Mexiquense (</w:t>
      </w:r>
      <w:r w:rsidRPr="00165D42">
        <w:rPr>
          <w:rFonts w:ascii="Palatino Linotype" w:hAnsi="Palatino Linotype" w:cs="Tahoma"/>
          <w:b/>
        </w:rPr>
        <w:t>SAIMEX</w:t>
      </w:r>
      <w:r w:rsidRPr="00165D42">
        <w:rPr>
          <w:rFonts w:ascii="Palatino Linotype" w:hAnsi="Palatino Linotype" w:cs="Tahoma"/>
        </w:rPr>
        <w:t xml:space="preserve">), </w:t>
      </w:r>
      <w:r>
        <w:rPr>
          <w:rFonts w:ascii="Palatino Linotype" w:hAnsi="Palatino Linotype" w:cs="Tahoma"/>
        </w:rPr>
        <w:t xml:space="preserve">en versión pública, de </w:t>
      </w:r>
      <w:r w:rsidRPr="00165D42">
        <w:rPr>
          <w:rFonts w:ascii="Palatino Linotype" w:hAnsi="Palatino Linotype" w:cs="Tahoma"/>
        </w:rPr>
        <w:t>lo siguiente:</w:t>
      </w:r>
    </w:p>
    <w:p w:rsidR="00554C57" w:rsidRDefault="00554C57" w:rsidP="00603574">
      <w:pPr>
        <w:spacing w:line="360" w:lineRule="auto"/>
        <w:jc w:val="both"/>
        <w:rPr>
          <w:rFonts w:ascii="Palatino Linotype" w:hAnsi="Palatino Linotype" w:cs="Tahoma"/>
        </w:rPr>
      </w:pPr>
    </w:p>
    <w:p w:rsidR="00603574" w:rsidRDefault="00554C57" w:rsidP="00603574">
      <w:pPr>
        <w:pStyle w:val="Prrafodelista"/>
        <w:numPr>
          <w:ilvl w:val="0"/>
          <w:numId w:val="15"/>
        </w:numPr>
        <w:tabs>
          <w:tab w:val="left" w:pos="1828"/>
        </w:tabs>
        <w:spacing w:line="360" w:lineRule="auto"/>
        <w:jc w:val="both"/>
        <w:rPr>
          <w:rFonts w:ascii="Palatino Linotype" w:hAnsi="Palatino Linotype" w:cs="Tahoma"/>
          <w:bCs/>
        </w:rPr>
      </w:pPr>
      <w:r>
        <w:rPr>
          <w:rFonts w:ascii="Palatino Linotype" w:hAnsi="Palatino Linotype" w:cs="Tahoma"/>
          <w:bCs/>
        </w:rPr>
        <w:t>Conciliación de nómina de la primera quincena de agosto de dos mil veinticuatro</w:t>
      </w:r>
      <w:r w:rsidR="00603574">
        <w:rPr>
          <w:rFonts w:ascii="Palatino Linotype" w:hAnsi="Palatino Linotype" w:cs="Tahoma"/>
          <w:bCs/>
        </w:rPr>
        <w:t>.</w:t>
      </w:r>
    </w:p>
    <w:p w:rsidR="00603574" w:rsidRDefault="00603574" w:rsidP="00603574">
      <w:pPr>
        <w:pStyle w:val="INFOEM"/>
        <w:spacing w:before="0" w:after="0"/>
        <w:ind w:left="720" w:right="567"/>
        <w:rPr>
          <w:sz w:val="24"/>
          <w:szCs w:val="24"/>
        </w:rPr>
      </w:pPr>
    </w:p>
    <w:p w:rsidR="00603574" w:rsidRDefault="00603574" w:rsidP="00603574">
      <w:pPr>
        <w:pStyle w:val="Citas"/>
      </w:pPr>
      <w:r w:rsidRPr="00C960DD">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603574" w:rsidRPr="00DC5E29" w:rsidRDefault="00603574" w:rsidP="00603574">
      <w:pPr>
        <w:spacing w:line="360" w:lineRule="auto"/>
        <w:jc w:val="both"/>
        <w:rPr>
          <w:rFonts w:ascii="Palatino Linotype" w:hAnsi="Palatino Linotype" w:cs="Arial"/>
        </w:rPr>
      </w:pPr>
    </w:p>
    <w:p w:rsidR="00603574" w:rsidRPr="00DC5E29" w:rsidRDefault="00603574" w:rsidP="00603574">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w:t>
      </w:r>
      <w:r w:rsidRPr="002F26BB">
        <w:rPr>
          <w:rFonts w:ascii="Palatino Linotype" w:hAnsi="Palatino Linotype" w:cs="Arial"/>
          <w:b/>
        </w:rPr>
        <w:t>(SAIMEX)</w:t>
      </w:r>
      <w:r>
        <w:rPr>
          <w:rFonts w:ascii="Palatino Linotype" w:hAnsi="Palatino Linotype" w:cs="Arial"/>
        </w:rPr>
        <w:t xml:space="preserve">,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E24C8E">
        <w:rPr>
          <w:rFonts w:ascii="Palatino Linotype" w:eastAsia="Palatino Linotype" w:hAnsi="Palatino Linotype" w:cs="Palatino Linotype"/>
          <w:b/>
          <w:color w:val="000000"/>
          <w:lang w:val="es-ES_tradnl" w:eastAsia="es-MX"/>
        </w:rPr>
        <w:t xml:space="preserve">se le apercibe que en caso de negarse a cumplir la presente resolución o hacerlo de manera parcial, se le impondrá </w:t>
      </w:r>
      <w:r w:rsidRPr="00E24C8E">
        <w:rPr>
          <w:rFonts w:ascii="Palatino Linotype" w:eastAsia="Palatino Linotype" w:hAnsi="Palatino Linotype" w:cs="Palatino Linotype"/>
          <w:b/>
          <w:color w:val="000000"/>
          <w:lang w:val="es-ES_tradnl" w:eastAsia="es-MX"/>
        </w:rPr>
        <w:lastRenderedPageBreak/>
        <w:t>una medida de apremio de conformidad con lo previsto en los artículos 198, 200, fracción III; 214, 215 y 216 de la Ley  de Transparencia y Acceso a la Información Pública del Estado de México y Municipios.</w:t>
      </w:r>
    </w:p>
    <w:p w:rsidR="00603574" w:rsidRPr="00DC5E29" w:rsidRDefault="00603574" w:rsidP="00603574">
      <w:pPr>
        <w:spacing w:line="360" w:lineRule="auto"/>
        <w:ind w:right="-595"/>
        <w:jc w:val="both"/>
        <w:rPr>
          <w:rFonts w:ascii="Palatino Linotype" w:hAnsi="Palatino Linotype" w:cs="Tahoma"/>
          <w:bCs/>
        </w:rPr>
      </w:pPr>
    </w:p>
    <w:p w:rsidR="00603574" w:rsidRDefault="00603574" w:rsidP="00603574">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rsidR="00603574" w:rsidRPr="00DC5E29" w:rsidRDefault="00603574" w:rsidP="00603574">
      <w:pPr>
        <w:autoSpaceDE w:val="0"/>
        <w:autoSpaceDN w:val="0"/>
        <w:adjustRightInd w:val="0"/>
        <w:spacing w:line="360" w:lineRule="auto"/>
        <w:jc w:val="both"/>
        <w:rPr>
          <w:rFonts w:ascii="Palatino Linotype" w:hAnsi="Palatino Linotype" w:cs="Arial"/>
        </w:rPr>
      </w:pPr>
    </w:p>
    <w:p w:rsidR="00603574" w:rsidRDefault="00D82CA4" w:rsidP="00603574">
      <w:pPr>
        <w:autoSpaceDE w:val="0"/>
        <w:autoSpaceDN w:val="0"/>
        <w:adjustRightInd w:val="0"/>
        <w:spacing w:line="360" w:lineRule="auto"/>
        <w:jc w:val="both"/>
        <w:rPr>
          <w:rFonts w:ascii="Palatino Linotype" w:hAnsi="Palatino Linotype" w:cs="Arial"/>
        </w:rPr>
      </w:pPr>
      <w:r>
        <w:rPr>
          <w:rFonts w:ascii="Palatino Linotype" w:hAnsi="Palatino Linotype"/>
          <w:b/>
          <w:noProof/>
          <w:sz w:val="28"/>
          <w:szCs w:val="28"/>
          <w:lang w:val="es-MX" w:eastAsia="es-MX"/>
        </w:rPr>
        <mc:AlternateContent>
          <mc:Choice Requires="wps">
            <w:drawing>
              <wp:anchor distT="0" distB="0" distL="114300" distR="114300" simplePos="0" relativeHeight="251659264" behindDoc="0" locked="0" layoutInCell="1" allowOverlap="1">
                <wp:simplePos x="0" y="0"/>
                <wp:positionH relativeFrom="column">
                  <wp:posOffset>5714</wp:posOffset>
                </wp:positionH>
                <wp:positionV relativeFrom="paragraph">
                  <wp:posOffset>1797050</wp:posOffset>
                </wp:positionV>
                <wp:extent cx="5648325" cy="306705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5648325" cy="3067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8A020"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41.5pt" to="445.2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" strokecolor="#5b9bd5 [3204]" strokeweight=".5pt">
                <v:stroke joinstyle="miter"/>
              </v:line>
            </w:pict>
          </mc:Fallback>
        </mc:AlternateContent>
      </w:r>
      <w:r w:rsidR="00603574" w:rsidRPr="00DC5E29">
        <w:rPr>
          <w:rFonts w:ascii="Palatino Linotype" w:hAnsi="Palatino Linotype"/>
          <w:b/>
          <w:sz w:val="28"/>
          <w:szCs w:val="28"/>
        </w:rPr>
        <w:t>QUINTO</w:t>
      </w:r>
      <w:r w:rsidR="00603574" w:rsidRPr="00DC5E29">
        <w:rPr>
          <w:rFonts w:ascii="Palatino Linotype" w:hAnsi="Palatino Linotype"/>
          <w:b/>
        </w:rPr>
        <w:t xml:space="preserve">. </w:t>
      </w:r>
      <w:r w:rsidR="00603574" w:rsidRPr="00DC5E29">
        <w:rPr>
          <w:rFonts w:ascii="Palatino Linotype" w:hAnsi="Palatino Linotype" w:cs="Arial"/>
          <w:b/>
        </w:rPr>
        <w:t>NOTIFÍQUESE</w:t>
      </w:r>
      <w:r w:rsidR="00603574" w:rsidRPr="00DC5E29">
        <w:rPr>
          <w:rFonts w:ascii="Palatino Linotype" w:hAnsi="Palatino Linotype" w:cs="Arial"/>
        </w:rPr>
        <w:t xml:space="preserve"> a través del Sistema de Acceso a la Inf</w:t>
      </w:r>
      <w:r w:rsidR="00603574">
        <w:rPr>
          <w:rFonts w:ascii="Palatino Linotype" w:hAnsi="Palatino Linotype" w:cs="Arial"/>
        </w:rPr>
        <w:t xml:space="preserve">ormación Mexiquense </w:t>
      </w:r>
      <w:r w:rsidR="00603574" w:rsidRPr="00E27DC5">
        <w:rPr>
          <w:rFonts w:ascii="Palatino Linotype" w:hAnsi="Palatino Linotype" w:cs="Arial"/>
          <w:b/>
        </w:rPr>
        <w:t>(SAIMEX)</w:t>
      </w:r>
      <w:r w:rsidR="00603574">
        <w:rPr>
          <w:rFonts w:ascii="Palatino Linotype" w:hAnsi="Palatino Linotype" w:cs="Arial"/>
        </w:rPr>
        <w:t>, al</w:t>
      </w:r>
      <w:r w:rsidR="00603574" w:rsidRPr="00DC5E29">
        <w:rPr>
          <w:rFonts w:ascii="Palatino Linotype" w:hAnsi="Palatino Linotype" w:cs="Arial"/>
        </w:rPr>
        <w:t xml:space="preserve"> </w:t>
      </w:r>
      <w:r w:rsidR="00603574" w:rsidRPr="00DC5E29">
        <w:rPr>
          <w:rFonts w:ascii="Palatino Linotype" w:hAnsi="Palatino Linotype" w:cs="Arial"/>
          <w:b/>
        </w:rPr>
        <w:t>Recurrente</w:t>
      </w:r>
      <w:r w:rsidR="00603574"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603574" w:rsidRDefault="00603574" w:rsidP="00603574">
      <w:pPr>
        <w:spacing w:line="360" w:lineRule="auto"/>
        <w:jc w:val="both"/>
        <w:rPr>
          <w:rFonts w:ascii="Palatino Linotype" w:hAnsi="Palatino Linotype"/>
          <w:lang w:eastAsia="es-ES_tradnl"/>
        </w:rPr>
      </w:pPr>
    </w:p>
    <w:p w:rsidR="00D82CA4" w:rsidRDefault="00D82CA4" w:rsidP="00603574">
      <w:pPr>
        <w:spacing w:line="360" w:lineRule="auto"/>
        <w:jc w:val="both"/>
        <w:rPr>
          <w:rFonts w:ascii="Palatino Linotype" w:hAnsi="Palatino Linotype"/>
          <w:lang w:eastAsia="es-ES_tradnl"/>
        </w:rPr>
      </w:pPr>
    </w:p>
    <w:p w:rsidR="00D82CA4" w:rsidRDefault="00D82CA4" w:rsidP="00603574">
      <w:pPr>
        <w:spacing w:line="360" w:lineRule="auto"/>
        <w:jc w:val="both"/>
        <w:rPr>
          <w:rFonts w:ascii="Palatino Linotype" w:hAnsi="Palatino Linotype"/>
          <w:lang w:eastAsia="es-ES_tradnl"/>
        </w:rPr>
      </w:pPr>
    </w:p>
    <w:p w:rsidR="00D82CA4" w:rsidRDefault="00D82CA4" w:rsidP="00603574">
      <w:pPr>
        <w:spacing w:line="360" w:lineRule="auto"/>
        <w:jc w:val="both"/>
        <w:rPr>
          <w:rFonts w:ascii="Palatino Linotype" w:hAnsi="Palatino Linotype"/>
          <w:lang w:eastAsia="es-ES_tradnl"/>
        </w:rPr>
      </w:pPr>
    </w:p>
    <w:p w:rsidR="00D82CA4" w:rsidRDefault="00D82CA4" w:rsidP="00603574">
      <w:pPr>
        <w:spacing w:line="360" w:lineRule="auto"/>
        <w:jc w:val="both"/>
        <w:rPr>
          <w:rFonts w:ascii="Palatino Linotype" w:hAnsi="Palatino Linotype"/>
          <w:lang w:eastAsia="es-ES_tradnl"/>
        </w:rPr>
      </w:pPr>
    </w:p>
    <w:p w:rsidR="00D82CA4" w:rsidRDefault="00D82CA4" w:rsidP="00603574">
      <w:pPr>
        <w:spacing w:line="360" w:lineRule="auto"/>
        <w:jc w:val="both"/>
        <w:rPr>
          <w:rFonts w:ascii="Palatino Linotype" w:hAnsi="Palatino Linotype"/>
          <w:lang w:eastAsia="es-ES_tradnl"/>
        </w:rPr>
      </w:pPr>
    </w:p>
    <w:p w:rsidR="00D82CA4" w:rsidRDefault="00D82CA4" w:rsidP="00603574">
      <w:pPr>
        <w:spacing w:line="360" w:lineRule="auto"/>
        <w:jc w:val="both"/>
        <w:rPr>
          <w:rFonts w:ascii="Palatino Linotype" w:hAnsi="Palatino Linotype"/>
          <w:lang w:eastAsia="es-ES_tradnl"/>
        </w:rPr>
      </w:pPr>
    </w:p>
    <w:p w:rsidR="00D82CA4" w:rsidRDefault="00D82CA4" w:rsidP="00603574">
      <w:pPr>
        <w:spacing w:line="360" w:lineRule="auto"/>
        <w:jc w:val="both"/>
        <w:rPr>
          <w:rFonts w:ascii="Palatino Linotype" w:hAnsi="Palatino Linotype"/>
          <w:lang w:eastAsia="es-ES_tradnl"/>
        </w:rPr>
      </w:pPr>
    </w:p>
    <w:p w:rsidR="00D82CA4" w:rsidRPr="007C3942" w:rsidRDefault="00D82CA4" w:rsidP="00603574">
      <w:pPr>
        <w:spacing w:line="360" w:lineRule="auto"/>
        <w:jc w:val="both"/>
        <w:rPr>
          <w:rFonts w:ascii="Palatino Linotype" w:hAnsi="Palatino Linotype"/>
          <w:lang w:eastAsia="es-ES_tradnl"/>
        </w:rPr>
      </w:pPr>
    </w:p>
    <w:p w:rsidR="00603574" w:rsidRPr="007C3942" w:rsidRDefault="00603574" w:rsidP="00603574">
      <w:pPr>
        <w:spacing w:line="360" w:lineRule="auto"/>
        <w:jc w:val="both"/>
        <w:rPr>
          <w:rFonts w:ascii="Palatino Linotype" w:hAnsi="Palatino Linotype" w:cs="Arial"/>
        </w:rPr>
      </w:pPr>
      <w:r w:rsidRPr="007C3942">
        <w:rPr>
          <w:rFonts w:ascii="Palatino Linotype" w:hAnsi="Palatino Linotype" w:cs="Arial"/>
        </w:rPr>
        <w:lastRenderedPageBreak/>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CONFORMADO POR LOS COMISIONADOS JOSÉ MARTÍNEZ VILCHIS, MARÍA DEL ROSARIO MEJÍA AYALA, SHARON CRISTINA MORALES MARTÍNEZ, LUIS GUSTAVO PARRA NORIEGA</w:t>
      </w:r>
      <w:r w:rsidR="00BB6CA2">
        <w:rPr>
          <w:rFonts w:ascii="Palatino Linotype" w:hAnsi="Palatino Linotype" w:cs="Arial"/>
        </w:rPr>
        <w:t xml:space="preserve"> (</w:t>
      </w:r>
      <w:r w:rsidR="00D82CA4">
        <w:rPr>
          <w:rFonts w:ascii="Palatino Linotype" w:hAnsi="Palatino Linotype" w:cs="Arial"/>
        </w:rPr>
        <w:t xml:space="preserve">EMITIENDO </w:t>
      </w:r>
      <w:r w:rsidR="00BB6CA2">
        <w:rPr>
          <w:rFonts w:ascii="Palatino Linotype" w:hAnsi="Palatino Linotype" w:cs="Arial"/>
        </w:rPr>
        <w:t>VOTO PARTICULAR)</w:t>
      </w:r>
      <w:r w:rsidRPr="007C3942">
        <w:rPr>
          <w:rFonts w:ascii="Palatino Linotype" w:hAnsi="Palatino Linotype" w:cs="Arial"/>
        </w:rPr>
        <w:t xml:space="preserve"> Y GUADALUPE RAMÍREZ PEÑA</w:t>
      </w:r>
      <w:r w:rsidR="00BB6CA2">
        <w:rPr>
          <w:rFonts w:ascii="Palatino Linotype" w:hAnsi="Palatino Linotype" w:cs="Arial"/>
        </w:rPr>
        <w:t xml:space="preserve"> (</w:t>
      </w:r>
      <w:r w:rsidR="00D82CA4">
        <w:rPr>
          <w:rFonts w:ascii="Palatino Linotype" w:hAnsi="Palatino Linotype" w:cs="Arial"/>
        </w:rPr>
        <w:t>EMITIENDO V</w:t>
      </w:r>
      <w:r w:rsidR="00BB6CA2">
        <w:rPr>
          <w:rFonts w:ascii="Palatino Linotype" w:hAnsi="Palatino Linotype" w:cs="Arial"/>
        </w:rPr>
        <w:t>OTO PARTICULAR)</w:t>
      </w:r>
      <w:r w:rsidRPr="007C3942">
        <w:rPr>
          <w:rFonts w:ascii="Palatino Linotype" w:hAnsi="Palatino Linotype" w:cs="Arial"/>
        </w:rPr>
        <w:t xml:space="preserve">, EN LA </w:t>
      </w:r>
      <w:r>
        <w:rPr>
          <w:rFonts w:ascii="Palatino Linotype" w:hAnsi="Palatino Linotype" w:cs="Arial"/>
        </w:rPr>
        <w:t xml:space="preserve">TRIGÉSIMA </w:t>
      </w:r>
      <w:r w:rsidR="00554C57">
        <w:rPr>
          <w:rFonts w:ascii="Palatino Linotype" w:hAnsi="Palatino Linotype" w:cs="Arial"/>
        </w:rPr>
        <w:t>QUINTA</w:t>
      </w:r>
      <w:r>
        <w:rPr>
          <w:rFonts w:ascii="Palatino Linotype" w:hAnsi="Palatino Linotype" w:cs="Arial"/>
        </w:rPr>
        <w:t xml:space="preserve"> </w:t>
      </w:r>
      <w:r w:rsidRPr="007C3942">
        <w:rPr>
          <w:rFonts w:ascii="Palatino Linotype" w:hAnsi="Palatino Linotype" w:cs="Arial"/>
        </w:rPr>
        <w:t>SESIÓN ORDINARIA CELEBRADA EL</w:t>
      </w:r>
      <w:r>
        <w:rPr>
          <w:rFonts w:ascii="Palatino Linotype" w:hAnsi="Palatino Linotype" w:cs="Arial"/>
        </w:rPr>
        <w:t xml:space="preserve"> </w:t>
      </w:r>
      <w:r w:rsidR="00554C57">
        <w:rPr>
          <w:rFonts w:ascii="Palatino Linotype" w:hAnsi="Palatino Linotype" w:cs="Arial"/>
        </w:rPr>
        <w:t xml:space="preserve">NUEVE </w:t>
      </w:r>
      <w:r>
        <w:rPr>
          <w:rFonts w:ascii="Palatino Linotype" w:hAnsi="Palatino Linotype" w:cs="Arial"/>
        </w:rPr>
        <w:t xml:space="preserve">DE </w:t>
      </w:r>
      <w:r w:rsidR="00554C57">
        <w:rPr>
          <w:rFonts w:ascii="Palatino Linotype" w:hAnsi="Palatino Linotype" w:cs="Arial"/>
        </w:rPr>
        <w:t>OCTU</w:t>
      </w:r>
      <w:r>
        <w:rPr>
          <w:rFonts w:ascii="Palatino Linotype" w:hAnsi="Palatino Linotype" w:cs="Arial"/>
        </w:rPr>
        <w:t>BRE DE DOS MIL VEINTICUATRO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D82CA4">
        <w:rPr>
          <w:rFonts w:ascii="Palatino Linotype" w:hAnsi="Palatino Linotype" w:cs="Arial"/>
        </w:rPr>
        <w:t>------------------------------------------------------------------------------------------------------------------------------------------------------------------------------------------------------------------------------------------------------------------------------------------------------------------------------------------------------</w:t>
      </w:r>
    </w:p>
    <w:p w:rsidR="00603574" w:rsidRPr="00A151D0" w:rsidRDefault="00603574" w:rsidP="00603574">
      <w:pPr>
        <w:spacing w:line="360" w:lineRule="auto"/>
        <w:jc w:val="both"/>
        <w:rPr>
          <w:rFonts w:ascii="Palatino Linotype" w:hAnsi="Palatino Linotype" w:cs="Arial"/>
          <w:sz w:val="20"/>
        </w:rPr>
      </w:pPr>
      <w:r>
        <w:rPr>
          <w:rFonts w:ascii="Palatino Linotype" w:hAnsi="Palatino Linotype" w:cs="Arial"/>
        </w:rPr>
        <w:t>----------------------------------------------------------------------------------------------------------------------------------------------------------------------</w:t>
      </w:r>
      <w:r w:rsidRPr="007C3942">
        <w:rPr>
          <w:rFonts w:ascii="Palatino Linotype" w:hAnsi="Palatino Linotype" w:cs="Arial"/>
        </w:rPr>
        <w:t>-----------------------------------------</w:t>
      </w:r>
      <w:r w:rsidRPr="00692461">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Pr="00692461">
        <w:rPr>
          <w:rFonts w:ascii="Palatino Linotype" w:hAnsi="Palatino Linotype" w:cs="Arial"/>
        </w:rPr>
        <w:t>--------------------------------------------------------------------------------------------------------------------------------------------------------------------------------------------------------------------------------------------------------------------------------------------------------------------------------------------------------------------------------------------------------------------------------------------</w:t>
      </w:r>
      <w:r>
        <w:rPr>
          <w:rFonts w:ascii="Palatino Linotype" w:hAnsi="Palatino Linotype" w:cs="Arial"/>
        </w:rPr>
        <w:t>---------------------------</w:t>
      </w:r>
    </w:p>
    <w:p w:rsidR="00603574" w:rsidRPr="00E23C8F" w:rsidRDefault="00554C57" w:rsidP="00603574">
      <w:pPr>
        <w:spacing w:line="360" w:lineRule="auto"/>
        <w:jc w:val="both"/>
        <w:rPr>
          <w:rFonts w:ascii="Palatino Linotype" w:hAnsi="Palatino Linotype" w:cs="Arial"/>
          <w:sz w:val="16"/>
        </w:rPr>
      </w:pPr>
      <w:r>
        <w:rPr>
          <w:rFonts w:ascii="Palatino Linotype" w:hAnsi="Palatino Linotype" w:cs="Arial"/>
          <w:sz w:val="16"/>
        </w:rPr>
        <w:t>JMV/CCR/</w:t>
      </w:r>
      <w:r w:rsidR="00BB6CA2">
        <w:rPr>
          <w:rFonts w:ascii="Palatino Linotype" w:hAnsi="Palatino Linotype" w:cs="Arial"/>
          <w:sz w:val="16"/>
        </w:rPr>
        <w:t>LMST</w:t>
      </w:r>
    </w:p>
    <w:p w:rsidR="00603574" w:rsidRDefault="00603574" w:rsidP="00603574"/>
    <w:p w:rsidR="00603574" w:rsidRDefault="00603574" w:rsidP="00603574"/>
    <w:p w:rsidR="00603574" w:rsidRDefault="00603574" w:rsidP="00603574"/>
    <w:p w:rsidR="00603574" w:rsidRDefault="00603574" w:rsidP="00603574"/>
    <w:p w:rsidR="00603574" w:rsidRDefault="00603574" w:rsidP="00603574"/>
    <w:p w:rsidR="00603574" w:rsidRDefault="00603574" w:rsidP="00603574"/>
    <w:p w:rsidR="00603574" w:rsidRDefault="00603574" w:rsidP="00603574"/>
    <w:p w:rsidR="00603574" w:rsidRDefault="00603574" w:rsidP="00603574"/>
    <w:p w:rsidR="00603574" w:rsidRDefault="00603574" w:rsidP="00603574"/>
    <w:p w:rsidR="00603574" w:rsidRDefault="00603574" w:rsidP="00603574"/>
    <w:p w:rsidR="00603574" w:rsidRDefault="00603574" w:rsidP="00603574"/>
    <w:p w:rsidR="00603574" w:rsidRDefault="00603574" w:rsidP="00603574"/>
    <w:p w:rsidR="00603574" w:rsidRDefault="00603574" w:rsidP="00603574"/>
    <w:p w:rsidR="00603574" w:rsidRDefault="00603574" w:rsidP="00603574"/>
    <w:p w:rsidR="00603574" w:rsidRDefault="00603574" w:rsidP="00603574"/>
    <w:p w:rsidR="00603574" w:rsidRDefault="00603574" w:rsidP="00603574"/>
    <w:p w:rsidR="00603574" w:rsidRDefault="00603574" w:rsidP="00603574"/>
    <w:p w:rsidR="00603574" w:rsidRDefault="00603574" w:rsidP="00603574"/>
    <w:p w:rsidR="00603574" w:rsidRDefault="00603574" w:rsidP="00603574"/>
    <w:p w:rsidR="00603574" w:rsidRDefault="00603574" w:rsidP="00603574"/>
    <w:p w:rsidR="00603574" w:rsidRDefault="00603574" w:rsidP="00603574"/>
    <w:p w:rsidR="00603574" w:rsidRDefault="00603574" w:rsidP="00603574"/>
    <w:p w:rsidR="000403B0" w:rsidRDefault="000403B0"/>
    <w:sectPr w:rsidR="000403B0" w:rsidSect="00E503B2">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5E9" w:rsidRDefault="000E15E9" w:rsidP="00603574">
      <w:r>
        <w:separator/>
      </w:r>
    </w:p>
  </w:endnote>
  <w:endnote w:type="continuationSeparator" w:id="0">
    <w:p w:rsidR="000E15E9" w:rsidRDefault="000E15E9" w:rsidP="0060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E9" w:rsidRPr="00A2780F" w:rsidRDefault="000E15E9" w:rsidP="00E503B2">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F407EF">
      <w:rPr>
        <w:rFonts w:ascii="Arial" w:hAnsi="Arial" w:cs="Arial"/>
        <w:b/>
        <w:bCs/>
        <w:noProof/>
        <w:sz w:val="20"/>
        <w:szCs w:val="20"/>
      </w:rPr>
      <w:t>5</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F407EF">
      <w:rPr>
        <w:rFonts w:ascii="Arial" w:hAnsi="Arial" w:cs="Arial"/>
        <w:b/>
        <w:bCs/>
        <w:noProof/>
        <w:sz w:val="20"/>
        <w:szCs w:val="20"/>
      </w:rPr>
      <w:t>48</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E9" w:rsidRPr="00070856" w:rsidRDefault="000E15E9" w:rsidP="00E503B2">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F407EF">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F407EF">
      <w:rPr>
        <w:rFonts w:ascii="Arial" w:hAnsi="Arial" w:cs="Arial"/>
        <w:b/>
        <w:bCs/>
        <w:noProof/>
        <w:sz w:val="20"/>
        <w:szCs w:val="20"/>
      </w:rPr>
      <w:t>48</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5E9" w:rsidRDefault="000E15E9" w:rsidP="00603574">
      <w:r>
        <w:separator/>
      </w:r>
    </w:p>
  </w:footnote>
  <w:footnote w:type="continuationSeparator" w:id="0">
    <w:p w:rsidR="000E15E9" w:rsidRDefault="000E15E9" w:rsidP="00603574">
      <w:r>
        <w:continuationSeparator/>
      </w:r>
    </w:p>
  </w:footnote>
  <w:footnote w:id="1">
    <w:p w:rsidR="000E15E9" w:rsidRPr="005552A8" w:rsidRDefault="000E15E9" w:rsidP="00603574">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0E15E9" w:rsidRPr="005552A8" w:rsidRDefault="000E15E9" w:rsidP="00603574">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0E15E9" w:rsidRPr="008F2CCC" w:rsidTr="00E503B2">
      <w:tc>
        <w:tcPr>
          <w:tcW w:w="3620" w:type="dxa"/>
          <w:shd w:val="clear" w:color="auto" w:fill="auto"/>
        </w:tcPr>
        <w:p w:rsidR="000E15E9" w:rsidRPr="007E5FC4" w:rsidRDefault="000E15E9" w:rsidP="00E503B2">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0E15E9" w:rsidRPr="00664658" w:rsidRDefault="00D82CA4" w:rsidP="00E503B2">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0E15E9">
            <w:rPr>
              <w:rFonts w:ascii="Palatino Linotype" w:hAnsi="Palatino Linotype"/>
              <w:b/>
              <w:sz w:val="22"/>
              <w:szCs w:val="22"/>
              <w:lang w:val="es-ES_tradnl"/>
            </w:rPr>
            <w:t>5675/INFOEM/IP/RR/2024</w:t>
          </w:r>
        </w:p>
      </w:tc>
    </w:tr>
    <w:tr w:rsidR="000E15E9" w:rsidRPr="008F2CCC" w:rsidTr="00E503B2">
      <w:tc>
        <w:tcPr>
          <w:tcW w:w="3620" w:type="dxa"/>
          <w:shd w:val="clear" w:color="auto" w:fill="auto"/>
        </w:tcPr>
        <w:p w:rsidR="000E15E9" w:rsidRPr="007E5FC4" w:rsidRDefault="000E15E9" w:rsidP="00E503B2">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0E15E9" w:rsidRPr="00664658" w:rsidRDefault="000E15E9" w:rsidP="00E503B2">
          <w:pPr>
            <w:spacing w:line="276" w:lineRule="auto"/>
            <w:jc w:val="right"/>
            <w:rPr>
              <w:rFonts w:ascii="Palatino Linotype" w:hAnsi="Palatino Linotype"/>
              <w:b/>
              <w:sz w:val="22"/>
              <w:szCs w:val="22"/>
              <w:lang w:val="es-ES_tradnl"/>
            </w:rPr>
          </w:pPr>
          <w:r w:rsidRPr="00603574">
            <w:rPr>
              <w:rFonts w:ascii="Palatino Linotype" w:hAnsi="Palatino Linotype"/>
              <w:b/>
              <w:sz w:val="22"/>
              <w:szCs w:val="22"/>
            </w:rPr>
            <w:t>Ayuntamiento de Atizapán</w:t>
          </w:r>
        </w:p>
      </w:tc>
    </w:tr>
    <w:tr w:rsidR="000E15E9" w:rsidRPr="008F2CCC" w:rsidTr="00E503B2">
      <w:trPr>
        <w:trHeight w:val="228"/>
      </w:trPr>
      <w:tc>
        <w:tcPr>
          <w:tcW w:w="3620" w:type="dxa"/>
          <w:shd w:val="clear" w:color="auto" w:fill="auto"/>
        </w:tcPr>
        <w:p w:rsidR="000E15E9" w:rsidRPr="007E5FC4" w:rsidRDefault="000E15E9" w:rsidP="00E503B2">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0E15E9" w:rsidRPr="00664658" w:rsidRDefault="000E15E9" w:rsidP="00E503B2">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0E15E9" w:rsidRDefault="000E15E9" w:rsidP="00E503B2">
    <w:pPr>
      <w:pStyle w:val="Encabezado"/>
      <w:tabs>
        <w:tab w:val="clear" w:pos="4252"/>
        <w:tab w:val="clear" w:pos="8504"/>
        <w:tab w:val="left" w:pos="2326"/>
      </w:tabs>
      <w:rPr>
        <w:rFonts w:ascii="Palatino Linotype" w:hAnsi="Palatino Linotype"/>
        <w:sz w:val="20"/>
      </w:rPr>
    </w:pPr>
  </w:p>
  <w:p w:rsidR="000E15E9" w:rsidRPr="001779E0" w:rsidRDefault="000E15E9" w:rsidP="00E503B2">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A5C9447" wp14:editId="4CB16E4A">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0E15E9" w:rsidRPr="008F2CCC" w:rsidTr="00E503B2">
      <w:tc>
        <w:tcPr>
          <w:tcW w:w="2977" w:type="dxa"/>
          <w:shd w:val="clear" w:color="auto" w:fill="auto"/>
        </w:tcPr>
        <w:p w:rsidR="000E15E9" w:rsidRPr="007E5FC4" w:rsidRDefault="000E15E9" w:rsidP="00E503B2">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0E15E9" w:rsidRPr="008F2CCC" w:rsidRDefault="00D82CA4" w:rsidP="00E503B2">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0E15E9">
            <w:rPr>
              <w:rFonts w:ascii="Palatino Linotype" w:hAnsi="Palatino Linotype"/>
              <w:b/>
              <w:sz w:val="22"/>
              <w:szCs w:val="22"/>
              <w:lang w:val="es-ES_tradnl"/>
            </w:rPr>
            <w:t>5675/INFOEM/IP/RR/2024</w:t>
          </w:r>
        </w:p>
      </w:tc>
    </w:tr>
    <w:tr w:rsidR="000E15E9" w:rsidRPr="008F2CCC" w:rsidTr="00E503B2">
      <w:tc>
        <w:tcPr>
          <w:tcW w:w="2977" w:type="dxa"/>
          <w:shd w:val="clear" w:color="auto" w:fill="auto"/>
          <w:vAlign w:val="center"/>
        </w:tcPr>
        <w:p w:rsidR="000E15E9" w:rsidRPr="007E5FC4" w:rsidRDefault="000E15E9" w:rsidP="00E503B2">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0E15E9" w:rsidRPr="008F2CCC" w:rsidRDefault="00F407EF" w:rsidP="00E503B2">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0E15E9" w:rsidRPr="008F2CCC" w:rsidTr="00E503B2">
      <w:trPr>
        <w:trHeight w:val="228"/>
      </w:trPr>
      <w:tc>
        <w:tcPr>
          <w:tcW w:w="2977" w:type="dxa"/>
          <w:shd w:val="clear" w:color="auto" w:fill="auto"/>
        </w:tcPr>
        <w:p w:rsidR="000E15E9" w:rsidRPr="007E5FC4" w:rsidRDefault="000E15E9" w:rsidP="00E503B2">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0E15E9" w:rsidRPr="00DC41C8" w:rsidRDefault="000E15E9" w:rsidP="00E503B2">
          <w:pPr>
            <w:spacing w:line="360" w:lineRule="auto"/>
            <w:jc w:val="right"/>
            <w:rPr>
              <w:rFonts w:ascii="Palatino Linotype" w:hAnsi="Palatino Linotype"/>
              <w:b/>
              <w:sz w:val="22"/>
              <w:szCs w:val="22"/>
            </w:rPr>
          </w:pPr>
          <w:r w:rsidRPr="00603574">
            <w:rPr>
              <w:rFonts w:ascii="Palatino Linotype" w:hAnsi="Palatino Linotype"/>
              <w:b/>
              <w:sz w:val="22"/>
              <w:szCs w:val="22"/>
            </w:rPr>
            <w:t>Ayuntamiento de Atizapán</w:t>
          </w:r>
        </w:p>
      </w:tc>
    </w:tr>
    <w:tr w:rsidR="000E15E9" w:rsidRPr="008F2CCC" w:rsidTr="00E503B2">
      <w:tc>
        <w:tcPr>
          <w:tcW w:w="2977" w:type="dxa"/>
          <w:shd w:val="clear" w:color="auto" w:fill="auto"/>
        </w:tcPr>
        <w:p w:rsidR="000E15E9" w:rsidRPr="007E5FC4" w:rsidRDefault="000E15E9" w:rsidP="00E503B2">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0E15E9" w:rsidRPr="008F2CCC" w:rsidRDefault="000E15E9" w:rsidP="00E503B2">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0E15E9" w:rsidRPr="009F1AB6" w:rsidRDefault="000E15E9">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DE0E885" wp14:editId="484515C6">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55D0"/>
    <w:multiLevelType w:val="hybridMultilevel"/>
    <w:tmpl w:val="AAD42730"/>
    <w:lvl w:ilvl="0" w:tplc="EE281A4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8387C88"/>
    <w:multiLevelType w:val="hybridMultilevel"/>
    <w:tmpl w:val="8B16676A"/>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B22D33"/>
    <w:multiLevelType w:val="hybridMultilevel"/>
    <w:tmpl w:val="22602F4A"/>
    <w:lvl w:ilvl="0" w:tplc="B61E3E2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1E184389"/>
    <w:multiLevelType w:val="hybridMultilevel"/>
    <w:tmpl w:val="AB406652"/>
    <w:lvl w:ilvl="0" w:tplc="98022B5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290E41B2"/>
    <w:multiLevelType w:val="hybridMultilevel"/>
    <w:tmpl w:val="B6AA4F78"/>
    <w:lvl w:ilvl="0" w:tplc="82FECC14">
      <w:start w:val="1"/>
      <w:numFmt w:val="lowerLetter"/>
      <w:lvlText w:val="%1)"/>
      <w:lvlJc w:val="left"/>
      <w:pPr>
        <w:ind w:left="1931" w:hanging="360"/>
      </w:pPr>
      <w:rPr>
        <w:rFonts w:hint="default"/>
      </w:r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6"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A41FA8"/>
    <w:multiLevelType w:val="hybridMultilevel"/>
    <w:tmpl w:val="6242DB24"/>
    <w:lvl w:ilvl="0" w:tplc="4F12C35E">
      <w:numFmt w:val="bullet"/>
      <w:lvlText w:val="-"/>
      <w:lvlJc w:val="left"/>
      <w:pPr>
        <w:ind w:left="1211" w:hanging="360"/>
      </w:pPr>
      <w:rPr>
        <w:rFonts w:ascii="Palatino Linotype" w:eastAsiaTheme="minorHAnsi" w:hAnsi="Palatino Linotype"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8" w15:restartNumberingAfterBreak="0">
    <w:nsid w:val="31AA0C59"/>
    <w:multiLevelType w:val="hybridMultilevel"/>
    <w:tmpl w:val="D57ED2B2"/>
    <w:lvl w:ilvl="0" w:tplc="46CECF4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DB1117"/>
    <w:multiLevelType w:val="hybridMultilevel"/>
    <w:tmpl w:val="B2E82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A72177"/>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BCF0BCD"/>
    <w:multiLevelType w:val="hybridMultilevel"/>
    <w:tmpl w:val="C64A9BE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BFF5788"/>
    <w:multiLevelType w:val="hybridMultilevel"/>
    <w:tmpl w:val="290ACF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9458B0"/>
    <w:multiLevelType w:val="hybridMultilevel"/>
    <w:tmpl w:val="EF8676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840947"/>
    <w:multiLevelType w:val="hybridMultilevel"/>
    <w:tmpl w:val="3B5C88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14"/>
  </w:num>
  <w:num w:numId="4">
    <w:abstractNumId w:val="9"/>
  </w:num>
  <w:num w:numId="5">
    <w:abstractNumId w:val="0"/>
  </w:num>
  <w:num w:numId="6">
    <w:abstractNumId w:val="10"/>
  </w:num>
  <w:num w:numId="7">
    <w:abstractNumId w:val="1"/>
  </w:num>
  <w:num w:numId="8">
    <w:abstractNumId w:val="15"/>
  </w:num>
  <w:num w:numId="9">
    <w:abstractNumId w:val="8"/>
  </w:num>
  <w:num w:numId="10">
    <w:abstractNumId w:val="5"/>
  </w:num>
  <w:num w:numId="11">
    <w:abstractNumId w:val="4"/>
  </w:num>
  <w:num w:numId="12">
    <w:abstractNumId w:val="3"/>
  </w:num>
  <w:num w:numId="13">
    <w:abstractNumId w:val="12"/>
  </w:num>
  <w:num w:numId="14">
    <w:abstractNumId w:val="13"/>
  </w:num>
  <w:num w:numId="15">
    <w:abstractNumId w:val="16"/>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574"/>
    <w:rsid w:val="000403B0"/>
    <w:rsid w:val="000E15E9"/>
    <w:rsid w:val="0048142B"/>
    <w:rsid w:val="00554C57"/>
    <w:rsid w:val="00603574"/>
    <w:rsid w:val="00612D4B"/>
    <w:rsid w:val="007D38CE"/>
    <w:rsid w:val="00BB6CA2"/>
    <w:rsid w:val="00D82CA4"/>
    <w:rsid w:val="00E503B2"/>
    <w:rsid w:val="00F407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41CE4-AA94-4E58-9770-518E1766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57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357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603574"/>
    <w:rPr>
      <w:rFonts w:eastAsiaTheme="minorEastAsia"/>
      <w:sz w:val="24"/>
      <w:szCs w:val="24"/>
      <w:lang w:val="es-ES_tradnl" w:eastAsia="es-ES"/>
    </w:rPr>
  </w:style>
  <w:style w:type="paragraph" w:styleId="Piedepgina">
    <w:name w:val="footer"/>
    <w:basedOn w:val="Normal"/>
    <w:link w:val="PiedepginaCar"/>
    <w:uiPriority w:val="99"/>
    <w:unhideWhenUsed/>
    <w:rsid w:val="0060357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603574"/>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03574"/>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03574"/>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603574"/>
    <w:pPr>
      <w:spacing w:after="0" w:line="240" w:lineRule="auto"/>
    </w:pPr>
  </w:style>
  <w:style w:type="character" w:customStyle="1" w:styleId="SinespaciadoCar">
    <w:name w:val="Sin espaciado Car"/>
    <w:aliases w:val="Francesa Car,INAI Car"/>
    <w:link w:val="Sinespaciado"/>
    <w:uiPriority w:val="1"/>
    <w:locked/>
    <w:rsid w:val="00603574"/>
  </w:style>
  <w:style w:type="character" w:styleId="Hipervnculo">
    <w:name w:val="Hyperlink"/>
    <w:aliases w:val="Hipervínculo1,Hipervínculo11,Hipervínculo12,Hipervínculo13,Hipervínculo14,Hipervínculo15"/>
    <w:basedOn w:val="Fuentedeprrafopredeter"/>
    <w:uiPriority w:val="99"/>
    <w:unhideWhenUsed/>
    <w:rsid w:val="00603574"/>
    <w:rPr>
      <w:color w:val="0563C1" w:themeColor="hyperlink"/>
      <w:u w:val="single"/>
    </w:rPr>
  </w:style>
  <w:style w:type="paragraph" w:customStyle="1" w:styleId="INFOEM">
    <w:name w:val="INFOEM"/>
    <w:basedOn w:val="Normal"/>
    <w:qFormat/>
    <w:rsid w:val="00603574"/>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60357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03574"/>
    <w:rPr>
      <w:vertAlign w:val="superscript"/>
    </w:rPr>
  </w:style>
  <w:style w:type="paragraph" w:customStyle="1" w:styleId="infoemcitas">
    <w:name w:val="infoem citas"/>
    <w:basedOn w:val="Normal"/>
    <w:qFormat/>
    <w:rsid w:val="00603574"/>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603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03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603574"/>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48</Pages>
  <Words>11134</Words>
  <Characters>61243</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5</cp:revision>
  <dcterms:created xsi:type="dcterms:W3CDTF">2024-09-26T21:49:00Z</dcterms:created>
  <dcterms:modified xsi:type="dcterms:W3CDTF">2024-11-05T19:43:00Z</dcterms:modified>
</cp:coreProperties>
</file>