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548DC" w14:textId="77777777" w:rsidR="008D36C8" w:rsidRPr="00897E4A" w:rsidRDefault="00036B21">
      <w:pPr>
        <w:tabs>
          <w:tab w:val="left" w:pos="0"/>
        </w:tabs>
        <w:spacing w:before="240" w:after="240" w:line="360" w:lineRule="auto"/>
        <w:jc w:val="both"/>
        <w:rPr>
          <w:rFonts w:ascii="Palatino Linotype" w:eastAsia="Palatino Linotype" w:hAnsi="Palatino Linotype" w:cs="Palatino Linotype"/>
          <w:sz w:val="22"/>
          <w:szCs w:val="22"/>
        </w:rPr>
      </w:pPr>
      <w:bookmarkStart w:id="0" w:name="_heading=h.gjdgxs" w:colFirst="0" w:colLast="0"/>
      <w:bookmarkEnd w:id="0"/>
      <w:r w:rsidRPr="00897E4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AC3BB0" w:rsidRPr="00897E4A">
        <w:rPr>
          <w:rFonts w:ascii="Palatino Linotype" w:eastAsia="Palatino Linotype" w:hAnsi="Palatino Linotype" w:cs="Palatino Linotype"/>
          <w:sz w:val="22"/>
          <w:szCs w:val="22"/>
        </w:rPr>
        <w:t>once</w:t>
      </w:r>
      <w:r w:rsidR="00897E4A">
        <w:rPr>
          <w:rFonts w:ascii="Palatino Linotype" w:eastAsia="Palatino Linotype" w:hAnsi="Palatino Linotype" w:cs="Palatino Linotype"/>
          <w:sz w:val="22"/>
          <w:szCs w:val="22"/>
        </w:rPr>
        <w:t xml:space="preserve"> </w:t>
      </w:r>
      <w:r w:rsidR="00E814D9">
        <w:rPr>
          <w:rFonts w:ascii="Palatino Linotype" w:eastAsia="Palatino Linotype" w:hAnsi="Palatino Linotype" w:cs="Palatino Linotype"/>
          <w:sz w:val="22"/>
          <w:szCs w:val="22"/>
        </w:rPr>
        <w:t xml:space="preserve">(11) </w:t>
      </w:r>
      <w:r w:rsidR="00897E4A">
        <w:rPr>
          <w:rFonts w:ascii="Palatino Linotype" w:eastAsia="Palatino Linotype" w:hAnsi="Palatino Linotype" w:cs="Palatino Linotype"/>
          <w:sz w:val="22"/>
          <w:szCs w:val="22"/>
        </w:rPr>
        <w:t>de septiembre</w:t>
      </w:r>
      <w:r w:rsidRPr="00897E4A">
        <w:rPr>
          <w:rFonts w:ascii="Palatino Linotype" w:eastAsia="Palatino Linotype" w:hAnsi="Palatino Linotype" w:cs="Palatino Linotype"/>
          <w:sz w:val="22"/>
          <w:szCs w:val="22"/>
        </w:rPr>
        <w:t xml:space="preserve"> de dos mil veinticuatro. </w:t>
      </w:r>
    </w:p>
    <w:p w14:paraId="3198E754" w14:textId="5F05C8BC" w:rsidR="008D36C8" w:rsidRPr="00897E4A" w:rsidRDefault="00036B21">
      <w:pPr>
        <w:spacing w:before="240" w:after="240" w:line="360" w:lineRule="auto"/>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b/>
          <w:sz w:val="22"/>
          <w:szCs w:val="22"/>
        </w:rPr>
        <w:t>VISTO</w:t>
      </w:r>
      <w:r w:rsidRPr="00897E4A">
        <w:rPr>
          <w:rFonts w:ascii="Palatino Linotype" w:eastAsia="Palatino Linotype" w:hAnsi="Palatino Linotype" w:cs="Palatino Linotype"/>
          <w:sz w:val="22"/>
          <w:szCs w:val="22"/>
        </w:rPr>
        <w:t xml:space="preserve"> el expediente electrónico formado con motivo del recurso de revisión </w:t>
      </w:r>
      <w:r w:rsidR="00AC3BB0" w:rsidRPr="00897E4A">
        <w:rPr>
          <w:rFonts w:ascii="Palatino Linotype" w:eastAsia="Palatino Linotype" w:hAnsi="Palatino Linotype" w:cs="Palatino Linotype"/>
          <w:b/>
          <w:sz w:val="22"/>
          <w:szCs w:val="22"/>
        </w:rPr>
        <w:t>03643/INFOEM/IP/RR/2024</w:t>
      </w:r>
      <w:r w:rsidRPr="00897E4A">
        <w:rPr>
          <w:rFonts w:ascii="Palatino Linotype" w:eastAsia="Palatino Linotype" w:hAnsi="Palatino Linotype" w:cs="Palatino Linotype"/>
          <w:b/>
          <w:sz w:val="22"/>
          <w:szCs w:val="22"/>
        </w:rPr>
        <w:t xml:space="preserve"> </w:t>
      </w:r>
      <w:r w:rsidR="00E814D9">
        <w:rPr>
          <w:rFonts w:ascii="Palatino Linotype" w:eastAsia="Palatino Linotype" w:hAnsi="Palatino Linotype" w:cs="Palatino Linotype"/>
          <w:sz w:val="22"/>
          <w:szCs w:val="22"/>
        </w:rPr>
        <w:t xml:space="preserve">promovido por </w:t>
      </w:r>
      <w:r w:rsidRPr="00897E4A">
        <w:rPr>
          <w:rFonts w:ascii="Palatino Linotype" w:eastAsia="Palatino Linotype" w:hAnsi="Palatino Linotype" w:cs="Palatino Linotype"/>
          <w:b/>
          <w:sz w:val="22"/>
          <w:szCs w:val="22"/>
        </w:rPr>
        <w:t xml:space="preserve"> </w:t>
      </w:r>
      <w:r w:rsidR="00BF3261">
        <w:rPr>
          <w:rFonts w:ascii="Palatino Linotype" w:eastAsia="Palatino Linotype" w:hAnsi="Palatino Linotype" w:cs="Palatino Linotype"/>
          <w:b/>
          <w:sz w:val="22"/>
          <w:szCs w:val="22"/>
        </w:rPr>
        <w:t>XXX XXX</w:t>
      </w:r>
      <w:r w:rsidRPr="00897E4A">
        <w:rPr>
          <w:rFonts w:ascii="Palatino Linotype" w:eastAsia="Palatino Linotype" w:hAnsi="Palatino Linotype" w:cs="Palatino Linotype"/>
          <w:b/>
          <w:sz w:val="22"/>
          <w:szCs w:val="22"/>
        </w:rPr>
        <w:t xml:space="preserve">, </w:t>
      </w:r>
      <w:r w:rsidR="00E814D9" w:rsidRPr="00E814D9">
        <w:rPr>
          <w:rFonts w:ascii="Palatino Linotype" w:eastAsia="Palatino Linotype" w:hAnsi="Palatino Linotype" w:cs="Palatino Linotype"/>
          <w:sz w:val="22"/>
          <w:szCs w:val="22"/>
        </w:rPr>
        <w:t>en lo sucesivo</w:t>
      </w:r>
      <w:r w:rsidR="00E814D9">
        <w:rPr>
          <w:rFonts w:ascii="Palatino Linotype" w:eastAsia="Palatino Linotype" w:hAnsi="Palatino Linotype" w:cs="Palatino Linotype"/>
          <w:b/>
          <w:sz w:val="22"/>
          <w:szCs w:val="22"/>
        </w:rPr>
        <w:t xml:space="preserve"> EL RECURRENTE, </w:t>
      </w:r>
      <w:r w:rsidR="00E814D9">
        <w:rPr>
          <w:rFonts w:ascii="Palatino Linotype" w:eastAsia="Palatino Linotype" w:hAnsi="Palatino Linotype" w:cs="Palatino Linotype"/>
          <w:sz w:val="22"/>
          <w:szCs w:val="22"/>
        </w:rPr>
        <w:t>en contra de la respuesta de los</w:t>
      </w:r>
      <w:r w:rsidRPr="00897E4A">
        <w:rPr>
          <w:rFonts w:ascii="Palatino Linotype" w:eastAsia="Palatino Linotype" w:hAnsi="Palatino Linotype" w:cs="Palatino Linotype"/>
          <w:sz w:val="22"/>
          <w:szCs w:val="22"/>
        </w:rPr>
        <w:t xml:space="preserve"> </w:t>
      </w:r>
      <w:r w:rsidR="00E814D9">
        <w:rPr>
          <w:rFonts w:ascii="Palatino Linotype" w:eastAsia="Palatino Linotype" w:hAnsi="Palatino Linotype" w:cs="Palatino Linotype"/>
          <w:sz w:val="22"/>
          <w:szCs w:val="22"/>
        </w:rPr>
        <w:t>Servicios Educativos Integrados al Estado de México</w:t>
      </w:r>
      <w:r w:rsidRPr="00897E4A">
        <w:rPr>
          <w:rFonts w:ascii="Palatino Linotype" w:eastAsia="Palatino Linotype" w:hAnsi="Palatino Linotype" w:cs="Palatino Linotype"/>
          <w:b/>
          <w:sz w:val="22"/>
          <w:szCs w:val="22"/>
        </w:rPr>
        <w:t xml:space="preserve">, </w:t>
      </w:r>
      <w:r w:rsidRPr="00897E4A">
        <w:rPr>
          <w:rFonts w:ascii="Palatino Linotype" w:eastAsia="Palatino Linotype" w:hAnsi="Palatino Linotype" w:cs="Palatino Linotype"/>
          <w:sz w:val="22"/>
          <w:szCs w:val="22"/>
        </w:rPr>
        <w:t>en lo sucesivo el</w:t>
      </w:r>
      <w:r w:rsidRPr="00897E4A">
        <w:rPr>
          <w:rFonts w:ascii="Palatino Linotype" w:eastAsia="Palatino Linotype" w:hAnsi="Palatino Linotype" w:cs="Palatino Linotype"/>
          <w:b/>
          <w:sz w:val="22"/>
          <w:szCs w:val="22"/>
        </w:rPr>
        <w:t xml:space="preserve"> SUJETO OBLIGADO, </w:t>
      </w:r>
      <w:r w:rsidRPr="00897E4A">
        <w:rPr>
          <w:rFonts w:ascii="Palatino Linotype" w:eastAsia="Palatino Linotype" w:hAnsi="Palatino Linotype" w:cs="Palatino Linotype"/>
          <w:sz w:val="22"/>
          <w:szCs w:val="22"/>
        </w:rPr>
        <w:t>se procede a dictar la presente resolución, con base en los siguientes:</w:t>
      </w:r>
    </w:p>
    <w:p w14:paraId="51EF5F53" w14:textId="77777777" w:rsidR="008D36C8" w:rsidRPr="00897E4A" w:rsidRDefault="00036B21">
      <w:pPr>
        <w:keepNext/>
        <w:keepLines/>
        <w:tabs>
          <w:tab w:val="left" w:pos="0"/>
        </w:tabs>
        <w:spacing w:before="240" w:after="240" w:line="360" w:lineRule="auto"/>
        <w:jc w:val="center"/>
        <w:rPr>
          <w:rFonts w:ascii="Palatino Linotype" w:eastAsia="Palatino Linotype" w:hAnsi="Palatino Linotype" w:cs="Palatino Linotype"/>
          <w:b/>
          <w:sz w:val="22"/>
          <w:szCs w:val="22"/>
        </w:rPr>
      </w:pPr>
      <w:bookmarkStart w:id="1" w:name="_heading=h.30j0zll" w:colFirst="0" w:colLast="0"/>
      <w:bookmarkEnd w:id="1"/>
      <w:r w:rsidRPr="00897E4A">
        <w:rPr>
          <w:rFonts w:ascii="Palatino Linotype" w:eastAsia="Palatino Linotype" w:hAnsi="Palatino Linotype" w:cs="Palatino Linotype"/>
          <w:b/>
          <w:sz w:val="22"/>
          <w:szCs w:val="22"/>
        </w:rPr>
        <w:t>ANTECEDENTES</w:t>
      </w:r>
    </w:p>
    <w:p w14:paraId="6728DCE0" w14:textId="77777777" w:rsidR="008D36C8" w:rsidRPr="00897E4A" w:rsidRDefault="00036B21">
      <w:pPr>
        <w:numPr>
          <w:ilvl w:val="0"/>
          <w:numId w:val="2"/>
        </w:numPr>
        <w:tabs>
          <w:tab w:val="left" w:pos="0"/>
        </w:tabs>
        <w:spacing w:before="240" w:line="360" w:lineRule="auto"/>
        <w:ind w:left="0" w:firstLine="0"/>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sz w:val="22"/>
          <w:szCs w:val="22"/>
        </w:rPr>
        <w:t xml:space="preserve">El </w:t>
      </w:r>
      <w:r w:rsidR="00AC3BB0" w:rsidRPr="00897E4A">
        <w:rPr>
          <w:rFonts w:ascii="Palatino Linotype" w:eastAsia="Palatino Linotype" w:hAnsi="Palatino Linotype" w:cs="Palatino Linotype"/>
          <w:sz w:val="22"/>
          <w:szCs w:val="22"/>
        </w:rPr>
        <w:t>veintitrés de mayo de dos mil veinticuatro</w:t>
      </w:r>
      <w:r w:rsidRPr="00897E4A">
        <w:rPr>
          <w:rFonts w:ascii="Palatino Linotype" w:eastAsia="Palatino Linotype" w:hAnsi="Palatino Linotype" w:cs="Palatino Linotype"/>
          <w:sz w:val="22"/>
          <w:szCs w:val="22"/>
        </w:rPr>
        <w:t>, el</w:t>
      </w:r>
      <w:r w:rsidRPr="00897E4A">
        <w:rPr>
          <w:rFonts w:ascii="Palatino Linotype" w:eastAsia="Palatino Linotype" w:hAnsi="Palatino Linotype" w:cs="Palatino Linotype"/>
          <w:b/>
          <w:sz w:val="22"/>
          <w:szCs w:val="22"/>
        </w:rPr>
        <w:t xml:space="preserve"> RECURRENTE </w:t>
      </w:r>
      <w:r w:rsidRPr="00897E4A">
        <w:rPr>
          <w:rFonts w:ascii="Palatino Linotype" w:eastAsia="Palatino Linotype" w:hAnsi="Palatino Linotype" w:cs="Palatino Linotype"/>
          <w:sz w:val="22"/>
          <w:szCs w:val="22"/>
        </w:rPr>
        <w:t>presentó</w:t>
      </w:r>
      <w:r w:rsidRPr="00897E4A">
        <w:rPr>
          <w:rFonts w:ascii="Palatino Linotype" w:eastAsia="Palatino Linotype" w:hAnsi="Palatino Linotype" w:cs="Palatino Linotype"/>
          <w:b/>
          <w:sz w:val="22"/>
          <w:szCs w:val="22"/>
        </w:rPr>
        <w:t xml:space="preserve"> </w:t>
      </w:r>
      <w:r w:rsidRPr="00897E4A">
        <w:rPr>
          <w:rFonts w:ascii="Palatino Linotype" w:eastAsia="Palatino Linotype" w:hAnsi="Palatino Linotype" w:cs="Palatino Linotype"/>
          <w:sz w:val="22"/>
          <w:szCs w:val="22"/>
        </w:rPr>
        <w:t xml:space="preserve">ante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sz w:val="22"/>
          <w:szCs w:val="22"/>
        </w:rPr>
        <w:t xml:space="preserve"> a través del Sistema de Acceso a la Información Mexiquense </w:t>
      </w:r>
      <w:r w:rsidRPr="00897E4A">
        <w:rPr>
          <w:rFonts w:ascii="Palatino Linotype" w:eastAsia="Palatino Linotype" w:hAnsi="Palatino Linotype" w:cs="Palatino Linotype"/>
          <w:b/>
          <w:sz w:val="22"/>
          <w:szCs w:val="22"/>
        </w:rPr>
        <w:t>(SAIMEX),</w:t>
      </w:r>
      <w:r w:rsidRPr="00897E4A">
        <w:rPr>
          <w:rFonts w:ascii="Palatino Linotype" w:eastAsia="Palatino Linotype" w:hAnsi="Palatino Linotype" w:cs="Palatino Linotype"/>
          <w:sz w:val="22"/>
          <w:szCs w:val="22"/>
        </w:rPr>
        <w:t xml:space="preserve"> la solicitud de información pública registrada con el número </w:t>
      </w:r>
      <w:r w:rsidR="00AC3BB0" w:rsidRPr="00897E4A">
        <w:rPr>
          <w:rFonts w:ascii="Palatino Linotype" w:eastAsia="Palatino Linotype" w:hAnsi="Palatino Linotype" w:cs="Palatino Linotype"/>
          <w:b/>
          <w:sz w:val="22"/>
          <w:szCs w:val="22"/>
        </w:rPr>
        <w:t>00231</w:t>
      </w:r>
      <w:r w:rsidRPr="00897E4A">
        <w:rPr>
          <w:rFonts w:ascii="Palatino Linotype" w:eastAsia="Palatino Linotype" w:hAnsi="Palatino Linotype" w:cs="Palatino Linotype"/>
          <w:b/>
          <w:sz w:val="22"/>
          <w:szCs w:val="22"/>
        </w:rPr>
        <w:t>/SE</w:t>
      </w:r>
      <w:r w:rsidR="00AC3BB0" w:rsidRPr="00897E4A">
        <w:rPr>
          <w:rFonts w:ascii="Palatino Linotype" w:eastAsia="Palatino Linotype" w:hAnsi="Palatino Linotype" w:cs="Palatino Linotype"/>
          <w:b/>
          <w:sz w:val="22"/>
          <w:szCs w:val="22"/>
        </w:rPr>
        <w:t>IEM/IP/2024</w:t>
      </w:r>
      <w:r w:rsidRPr="00897E4A">
        <w:rPr>
          <w:rFonts w:ascii="Palatino Linotype" w:eastAsia="Palatino Linotype" w:hAnsi="Palatino Linotype" w:cs="Palatino Linotype"/>
          <w:b/>
          <w:sz w:val="22"/>
          <w:szCs w:val="22"/>
        </w:rPr>
        <w:t>,</w:t>
      </w:r>
      <w:r w:rsidRPr="00897E4A">
        <w:rPr>
          <w:rFonts w:ascii="Palatino Linotype" w:eastAsia="Palatino Linotype" w:hAnsi="Palatino Linotype" w:cs="Palatino Linotype"/>
          <w:sz w:val="22"/>
          <w:szCs w:val="22"/>
        </w:rPr>
        <w:t xml:space="preserve"> en la que se solicitó:</w:t>
      </w:r>
    </w:p>
    <w:p w14:paraId="25AE6288" w14:textId="77777777" w:rsidR="008D36C8" w:rsidRPr="00897E4A" w:rsidRDefault="008D36C8">
      <w:pPr>
        <w:ind w:right="539"/>
        <w:jc w:val="both"/>
        <w:rPr>
          <w:rFonts w:ascii="Palatino Linotype" w:eastAsia="Palatino Linotype" w:hAnsi="Palatino Linotype" w:cs="Palatino Linotype"/>
          <w:i/>
          <w:sz w:val="22"/>
          <w:szCs w:val="22"/>
        </w:rPr>
      </w:pPr>
    </w:p>
    <w:p w14:paraId="2E06B720" w14:textId="77777777" w:rsidR="008D36C8" w:rsidRPr="00897E4A" w:rsidRDefault="00036B21" w:rsidP="00AC3BB0">
      <w:pPr>
        <w:ind w:left="567" w:right="539"/>
        <w:jc w:val="both"/>
        <w:rPr>
          <w:rFonts w:ascii="Palatino Linotype" w:eastAsia="Palatino Linotype" w:hAnsi="Palatino Linotype" w:cs="Palatino Linotype"/>
          <w:i/>
          <w:color w:val="000000"/>
          <w:sz w:val="22"/>
          <w:szCs w:val="22"/>
        </w:rPr>
      </w:pPr>
      <w:r w:rsidRPr="00897E4A">
        <w:rPr>
          <w:rFonts w:ascii="Palatino Linotype" w:eastAsia="Palatino Linotype" w:hAnsi="Palatino Linotype" w:cs="Palatino Linotype"/>
          <w:i/>
          <w:color w:val="000000"/>
          <w:sz w:val="22"/>
          <w:szCs w:val="22"/>
        </w:rPr>
        <w:t>“</w:t>
      </w:r>
      <w:r w:rsidR="00AC3BB0" w:rsidRPr="00897E4A">
        <w:rPr>
          <w:rFonts w:ascii="Palatino Linotype" w:hAnsi="Palatino Linotype"/>
          <w:i/>
          <w:color w:val="000000"/>
          <w:sz w:val="22"/>
          <w:szCs w:val="22"/>
        </w:rPr>
        <w:t>Solicitamos por este medio al director general de SEIEM nos proporcione la siguiente información en su versión pública. EN EL CALENDARIO DEL GEM 2024 INDICA, SEÑALA, MARCA EL DÍA 6 DE MAYO COMO DIA NO LABORABLE. PREGUNTA. - Nombre, clave y dirección de las unidades administrativas dependiente del SEIEM en las que el personal adscrito a dichas unidades administrativas en comento no laboró o no trabajaron y cumplieron, ejecutaron, formalizaron y acataron EL CALENDARIO DEL GEM 2024 QUE INDICA, SEÑALA, que el DÍA 6 DE MAYO NO tendrían que asistir a su unidad administrativa de adscripción correspondiente.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y por tratarse de una información pública. Sin más por el momento, le envío un cordial saludo.</w:t>
      </w:r>
      <w:r w:rsidR="00AC3BB0" w:rsidRPr="00897E4A">
        <w:rPr>
          <w:rFonts w:ascii="Palatino Linotype" w:eastAsia="Palatino Linotype" w:hAnsi="Palatino Linotype" w:cs="Palatino Linotype"/>
          <w:i/>
          <w:color w:val="000000"/>
          <w:sz w:val="22"/>
          <w:szCs w:val="22"/>
        </w:rPr>
        <w:t xml:space="preserve"> </w:t>
      </w:r>
      <w:r w:rsidRPr="00897E4A">
        <w:rPr>
          <w:rFonts w:ascii="Palatino Linotype" w:eastAsia="Palatino Linotype" w:hAnsi="Palatino Linotype" w:cs="Palatino Linotype"/>
          <w:i/>
          <w:color w:val="000000"/>
          <w:sz w:val="22"/>
          <w:szCs w:val="22"/>
        </w:rPr>
        <w:t>" (Sic)</w:t>
      </w:r>
    </w:p>
    <w:p w14:paraId="52AC178C" w14:textId="77777777" w:rsidR="008D36C8" w:rsidRPr="00897E4A" w:rsidRDefault="00036B21">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lastRenderedPageBreak/>
        <w:t xml:space="preserve">Se hace constar que se señaló como modalidad de entrega de la información a través del Sistema de Acceso a la Información Mexiquense </w:t>
      </w:r>
      <w:r w:rsidRPr="00897E4A">
        <w:rPr>
          <w:rFonts w:ascii="Palatino Linotype" w:eastAsia="Palatino Linotype" w:hAnsi="Palatino Linotype" w:cs="Palatino Linotype"/>
          <w:b/>
          <w:color w:val="000000"/>
          <w:sz w:val="22"/>
          <w:szCs w:val="22"/>
        </w:rPr>
        <w:t>(SAIMEX).</w:t>
      </w:r>
    </w:p>
    <w:p w14:paraId="2F10364B" w14:textId="77777777" w:rsidR="00AC3BB0" w:rsidRPr="00897E4A" w:rsidRDefault="00AC3BB0" w:rsidP="00AC3BB0">
      <w:p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2"/>
          <w:szCs w:val="22"/>
        </w:rPr>
      </w:pPr>
    </w:p>
    <w:p w14:paraId="1BFFAC52" w14:textId="77777777" w:rsidR="008D36C8" w:rsidRPr="00897E4A" w:rsidRDefault="00036B21">
      <w:pPr>
        <w:numPr>
          <w:ilvl w:val="0"/>
          <w:numId w:val="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sz w:val="22"/>
          <w:szCs w:val="22"/>
        </w:rPr>
      </w:pPr>
      <w:bookmarkStart w:id="2" w:name="_heading=h.1fob9te" w:colFirst="0" w:colLast="0"/>
      <w:bookmarkEnd w:id="2"/>
      <w:r w:rsidRPr="00897E4A">
        <w:rPr>
          <w:rFonts w:ascii="Palatino Linotype" w:eastAsia="Palatino Linotype" w:hAnsi="Palatino Linotype" w:cs="Palatino Linotype"/>
          <w:color w:val="000000"/>
          <w:sz w:val="22"/>
          <w:szCs w:val="22"/>
        </w:rPr>
        <w:t xml:space="preserve">El </w:t>
      </w:r>
      <w:r w:rsidR="00AC3BB0" w:rsidRPr="00897E4A">
        <w:rPr>
          <w:rFonts w:ascii="Palatino Linotype" w:eastAsia="Palatino Linotype" w:hAnsi="Palatino Linotype" w:cs="Palatino Linotype"/>
          <w:color w:val="000000"/>
          <w:sz w:val="22"/>
          <w:szCs w:val="22"/>
        </w:rPr>
        <w:t>trece de junio</w:t>
      </w:r>
      <w:r w:rsidRPr="00897E4A">
        <w:rPr>
          <w:rFonts w:ascii="Palatino Linotype" w:eastAsia="Palatino Linotype" w:hAnsi="Palatino Linotype" w:cs="Palatino Linotype"/>
          <w:color w:val="000000"/>
          <w:sz w:val="22"/>
          <w:szCs w:val="22"/>
        </w:rPr>
        <w:t xml:space="preserve"> de dos mil veinticuatro, el </w:t>
      </w:r>
      <w:r w:rsidRPr="00897E4A">
        <w:rPr>
          <w:rFonts w:ascii="Palatino Linotype" w:eastAsia="Palatino Linotype" w:hAnsi="Palatino Linotype" w:cs="Palatino Linotype"/>
          <w:b/>
          <w:color w:val="000000"/>
          <w:sz w:val="22"/>
          <w:szCs w:val="22"/>
        </w:rPr>
        <w:t xml:space="preserve">SUJETO OBLIGADO </w:t>
      </w:r>
      <w:r w:rsidRPr="00897E4A">
        <w:rPr>
          <w:rFonts w:ascii="Palatino Linotype" w:eastAsia="Palatino Linotype" w:hAnsi="Palatino Linotype" w:cs="Palatino Linotype"/>
          <w:color w:val="000000"/>
          <w:sz w:val="22"/>
          <w:szCs w:val="22"/>
        </w:rPr>
        <w:t xml:space="preserve">dio respuesta a la </w:t>
      </w:r>
      <w:r w:rsidRPr="00897E4A">
        <w:rPr>
          <w:rFonts w:ascii="Palatino Linotype" w:eastAsia="Palatino Linotype" w:hAnsi="Palatino Linotype" w:cs="Palatino Linotype"/>
          <w:sz w:val="22"/>
          <w:szCs w:val="22"/>
        </w:rPr>
        <w:t>solicitud de información, en los siguientes términos:</w:t>
      </w:r>
    </w:p>
    <w:p w14:paraId="3A828DCC" w14:textId="77777777" w:rsidR="008D36C8" w:rsidRPr="00897E4A" w:rsidRDefault="00036B21">
      <w:pPr>
        <w:ind w:left="567" w:right="539"/>
        <w:jc w:val="both"/>
        <w:rPr>
          <w:rFonts w:ascii="Palatino Linotype" w:eastAsia="Palatino Linotype" w:hAnsi="Palatino Linotype" w:cs="Palatino Linotype"/>
          <w:i/>
          <w:sz w:val="22"/>
          <w:szCs w:val="22"/>
        </w:rPr>
      </w:pPr>
      <w:r w:rsidRPr="00897E4A">
        <w:rPr>
          <w:rFonts w:ascii="Palatino Linotype" w:eastAsia="Palatino Linotype" w:hAnsi="Palatino Linotype" w:cs="Palatino Linotype"/>
          <w:i/>
          <w:sz w:val="22"/>
          <w:szCs w:val="22"/>
        </w:rPr>
        <w:t>“…</w:t>
      </w:r>
      <w:r w:rsidR="00AC3BB0" w:rsidRPr="00897E4A">
        <w:rPr>
          <w:rFonts w:ascii="Verdana" w:hAnsi="Verdana"/>
          <w:color w:val="000000"/>
          <w:sz w:val="22"/>
          <w:szCs w:val="22"/>
        </w:rPr>
        <w:t>SE ADJUNTA INFORMACIÓN</w:t>
      </w:r>
      <w:r w:rsidRPr="00897E4A">
        <w:rPr>
          <w:rFonts w:ascii="Palatino Linotype" w:eastAsia="Palatino Linotype" w:hAnsi="Palatino Linotype" w:cs="Palatino Linotype"/>
          <w:i/>
          <w:color w:val="000000"/>
          <w:sz w:val="22"/>
          <w:szCs w:val="22"/>
        </w:rPr>
        <w:t>.</w:t>
      </w:r>
      <w:r w:rsidRPr="00897E4A">
        <w:rPr>
          <w:rFonts w:ascii="Palatino Linotype" w:eastAsia="Palatino Linotype" w:hAnsi="Palatino Linotype" w:cs="Palatino Linotype"/>
          <w:i/>
          <w:sz w:val="22"/>
          <w:szCs w:val="22"/>
        </w:rPr>
        <w:t>..” (Sic)</w:t>
      </w:r>
    </w:p>
    <w:p w14:paraId="3D8693F1" w14:textId="77777777" w:rsidR="008D36C8" w:rsidRPr="00897E4A" w:rsidRDefault="008D36C8">
      <w:pPr>
        <w:ind w:right="539"/>
        <w:jc w:val="both"/>
        <w:rPr>
          <w:rFonts w:ascii="Palatino Linotype" w:eastAsia="Palatino Linotype" w:hAnsi="Palatino Linotype" w:cs="Palatino Linotype"/>
          <w:i/>
          <w:sz w:val="22"/>
          <w:szCs w:val="22"/>
        </w:rPr>
      </w:pPr>
    </w:p>
    <w:p w14:paraId="6EE64D4E" w14:textId="77777777" w:rsidR="008D36C8" w:rsidRPr="00897E4A" w:rsidRDefault="00036B21">
      <w:pPr>
        <w:ind w:right="-28"/>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sz w:val="22"/>
          <w:szCs w:val="22"/>
        </w:rPr>
        <w:t>Archivos electrónicos adjuntos:</w:t>
      </w:r>
    </w:p>
    <w:p w14:paraId="1430917D" w14:textId="77777777" w:rsidR="008D36C8" w:rsidRPr="00897E4A" w:rsidRDefault="008D36C8">
      <w:pPr>
        <w:ind w:right="-28"/>
        <w:jc w:val="both"/>
        <w:rPr>
          <w:rFonts w:ascii="Palatino Linotype" w:eastAsia="Palatino Linotype" w:hAnsi="Palatino Linotype" w:cs="Palatino Linotype"/>
          <w:color w:val="000000"/>
          <w:sz w:val="22"/>
          <w:szCs w:val="22"/>
        </w:rPr>
      </w:pPr>
    </w:p>
    <w:p w14:paraId="264A2E78" w14:textId="77777777" w:rsidR="00AC3BB0" w:rsidRPr="00897E4A" w:rsidRDefault="000D77E9" w:rsidP="00AC3BB0">
      <w:pPr>
        <w:pBdr>
          <w:top w:val="nil"/>
          <w:left w:val="nil"/>
          <w:bottom w:val="nil"/>
          <w:right w:val="nil"/>
          <w:between w:val="nil"/>
        </w:pBdr>
        <w:spacing w:before="240" w:after="240"/>
        <w:ind w:left="567" w:right="539"/>
        <w:jc w:val="both"/>
        <w:rPr>
          <w:rFonts w:ascii="Palatino Linotype" w:hAnsi="Palatino Linotype"/>
          <w:b/>
          <w:sz w:val="22"/>
          <w:szCs w:val="22"/>
        </w:rPr>
      </w:pPr>
      <w:hyperlink r:id="rId8" w:tgtFrame="_blank" w:history="1">
        <w:r w:rsidR="00AC3BB0" w:rsidRPr="00897E4A">
          <w:rPr>
            <w:rStyle w:val="Hipervnculo"/>
            <w:rFonts w:ascii="Palatino Linotype" w:hAnsi="Palatino Linotype" w:cs="Arial"/>
            <w:b/>
            <w:bCs/>
            <w:color w:val="auto"/>
            <w:sz w:val="22"/>
            <w:szCs w:val="22"/>
            <w:u w:val="none"/>
          </w:rPr>
          <w:t>ANEXO RESP. SOL-231-24.pdf</w:t>
        </w:r>
      </w:hyperlink>
      <w:r w:rsidR="00AC3BB0" w:rsidRPr="00897E4A">
        <w:rPr>
          <w:rFonts w:ascii="Palatino Linotype" w:hAnsi="Palatino Linotype"/>
          <w:b/>
          <w:sz w:val="22"/>
          <w:szCs w:val="22"/>
        </w:rPr>
        <w:t>:</w:t>
      </w:r>
    </w:p>
    <w:p w14:paraId="06E58511" w14:textId="77777777" w:rsidR="00612CB2" w:rsidRPr="00897E4A" w:rsidRDefault="00612CB2" w:rsidP="006C695C">
      <w:pPr>
        <w:pBdr>
          <w:top w:val="nil"/>
          <w:left w:val="nil"/>
          <w:bottom w:val="nil"/>
          <w:right w:val="nil"/>
          <w:between w:val="nil"/>
        </w:pBdr>
        <w:spacing w:before="240" w:after="240"/>
        <w:ind w:left="720" w:right="539"/>
        <w:jc w:val="both"/>
        <w:rPr>
          <w:rFonts w:ascii="Palatino Linotype" w:hAnsi="Palatino Linotype"/>
          <w:sz w:val="22"/>
          <w:szCs w:val="22"/>
        </w:rPr>
      </w:pPr>
      <w:r w:rsidRPr="00897E4A">
        <w:rPr>
          <w:rFonts w:ascii="Palatino Linotype" w:hAnsi="Palatino Linotype"/>
          <w:b/>
          <w:sz w:val="22"/>
          <w:szCs w:val="22"/>
        </w:rPr>
        <w:t>-Oficio 228C0101230102L/0529/2024,</w:t>
      </w:r>
      <w:r w:rsidRPr="00897E4A">
        <w:rPr>
          <w:rFonts w:ascii="Palatino Linotype" w:hAnsi="Palatino Linotype"/>
          <w:sz w:val="22"/>
          <w:szCs w:val="22"/>
        </w:rPr>
        <w:t xml:space="preserve"> suscrito por la Encargada del Despacho del Departamento de Prestaciones, por medio del cual, informó lo siguiente: </w:t>
      </w:r>
      <w:r w:rsidRPr="00897E4A">
        <w:rPr>
          <w:rFonts w:ascii="Palatino Linotype" w:hAnsi="Palatino Linotype"/>
          <w:i/>
          <w:sz w:val="22"/>
          <w:szCs w:val="22"/>
        </w:rPr>
        <w:t>“… hago de su conocimiento que la información requerida fue a su vez solicitada mediante oficio a la Subdirección de Administración de Personal de acuerdo a las funciones encomendadas por el Manual General de Organización de Servicios Educativos Integrados al Estado de México, emitiendo la respuesta correspondiente a través del oficio número 228C0101230203L/2846/2024, signado por el Encargado del Despacho del Departamento de Registro y Archivo, del cual se adjunta copia al presente.” (Sic)</w:t>
      </w:r>
    </w:p>
    <w:p w14:paraId="2E2E9DFD" w14:textId="77777777" w:rsidR="00612CB2" w:rsidRPr="00897E4A" w:rsidRDefault="00612CB2" w:rsidP="006C695C">
      <w:pPr>
        <w:pBdr>
          <w:top w:val="nil"/>
          <w:left w:val="nil"/>
          <w:bottom w:val="nil"/>
          <w:right w:val="nil"/>
          <w:between w:val="nil"/>
        </w:pBdr>
        <w:spacing w:before="240" w:after="240"/>
        <w:ind w:left="720" w:right="539"/>
        <w:jc w:val="both"/>
        <w:rPr>
          <w:rFonts w:ascii="Palatino Linotype" w:hAnsi="Palatino Linotype"/>
          <w:b/>
          <w:i/>
          <w:sz w:val="22"/>
          <w:szCs w:val="22"/>
        </w:rPr>
      </w:pPr>
      <w:r w:rsidRPr="00897E4A">
        <w:rPr>
          <w:rFonts w:ascii="Palatino Linotype" w:hAnsi="Palatino Linotype"/>
          <w:b/>
          <w:sz w:val="22"/>
          <w:szCs w:val="22"/>
        </w:rPr>
        <w:t>-Oficio 228C0101230203L/2846/2024,</w:t>
      </w:r>
      <w:r w:rsidRPr="00897E4A">
        <w:rPr>
          <w:rFonts w:ascii="Palatino Linotype" w:hAnsi="Palatino Linotype"/>
          <w:sz w:val="22"/>
          <w:szCs w:val="22"/>
        </w:rPr>
        <w:t xml:space="preserve"> suscrito por el Encargado del Despacho del Departamento de Registro y Archivo, </w:t>
      </w:r>
      <w:r w:rsidR="006C695C" w:rsidRPr="00897E4A">
        <w:rPr>
          <w:rFonts w:ascii="Palatino Linotype" w:hAnsi="Palatino Linotype"/>
          <w:sz w:val="22"/>
          <w:szCs w:val="22"/>
        </w:rPr>
        <w:t>por medio del cual informó lo siguiente:</w:t>
      </w:r>
      <w:r w:rsidR="006C695C" w:rsidRPr="00897E4A">
        <w:rPr>
          <w:rFonts w:ascii="Palatino Linotype" w:hAnsi="Palatino Linotype"/>
          <w:b/>
          <w:sz w:val="22"/>
          <w:szCs w:val="22"/>
        </w:rPr>
        <w:t xml:space="preserve"> </w:t>
      </w:r>
      <w:r w:rsidR="006C695C" w:rsidRPr="00897E4A">
        <w:rPr>
          <w:rFonts w:ascii="Palatino Linotype" w:hAnsi="Palatino Linotype"/>
          <w:i/>
          <w:sz w:val="22"/>
          <w:szCs w:val="22"/>
        </w:rPr>
        <w:t>“</w:t>
      </w:r>
      <w:r w:rsidRPr="00897E4A">
        <w:rPr>
          <w:rFonts w:ascii="Palatino Linotype" w:hAnsi="Palatino Linotype"/>
          <w:i/>
          <w:sz w:val="22"/>
          <w:szCs w:val="22"/>
        </w:rPr>
        <w:t>Al respecto y en apego a las atribuciones conferidas a este Departamento bajo mi responsabilidad, integradas en el Manual General de Organización de Servicios Educativos Integrados al Estado de México las cuales son: Integrar, actualizar y resguardar los expedientes del personal, así como organizar y operar el sistema de control de plazas, control presupuestal y de asistencia y puntualidad, info</w:t>
      </w:r>
      <w:r w:rsidR="006C695C" w:rsidRPr="00897E4A">
        <w:rPr>
          <w:rFonts w:ascii="Palatino Linotype" w:hAnsi="Palatino Linotype"/>
          <w:i/>
          <w:sz w:val="22"/>
          <w:szCs w:val="22"/>
        </w:rPr>
        <w:t xml:space="preserve">rmo a Usted </w:t>
      </w:r>
      <w:r w:rsidRPr="00897E4A">
        <w:rPr>
          <w:rFonts w:ascii="Palatino Linotype" w:hAnsi="Palatino Linotype"/>
          <w:i/>
          <w:sz w:val="22"/>
          <w:szCs w:val="22"/>
        </w:rPr>
        <w:t>lo siguiente:</w:t>
      </w:r>
      <w:r w:rsidR="006C695C" w:rsidRPr="00897E4A">
        <w:rPr>
          <w:rFonts w:ascii="Palatino Linotype" w:hAnsi="Palatino Linotype"/>
          <w:i/>
          <w:sz w:val="22"/>
          <w:szCs w:val="22"/>
        </w:rPr>
        <w:t xml:space="preserve"> </w:t>
      </w:r>
      <w:r w:rsidRPr="00897E4A">
        <w:rPr>
          <w:rFonts w:ascii="Palatino Linotype" w:hAnsi="Palatino Linotype"/>
          <w:b/>
          <w:i/>
          <w:sz w:val="22"/>
          <w:szCs w:val="22"/>
        </w:rPr>
        <w:t>En apego al Manual de Operación del Sistema de Control de Puntualidad y Asistencia para Unidades Administrativas de Servicios</w:t>
      </w:r>
      <w:r w:rsidR="006C695C" w:rsidRPr="00897E4A">
        <w:rPr>
          <w:rFonts w:ascii="Palatino Linotype" w:hAnsi="Palatino Linotype"/>
          <w:b/>
          <w:i/>
          <w:sz w:val="22"/>
          <w:szCs w:val="22"/>
        </w:rPr>
        <w:t xml:space="preserve"> </w:t>
      </w:r>
      <w:r w:rsidRPr="00897E4A">
        <w:rPr>
          <w:rFonts w:ascii="Palatino Linotype" w:hAnsi="Palatino Linotype"/>
          <w:b/>
          <w:i/>
          <w:sz w:val="22"/>
          <w:szCs w:val="22"/>
        </w:rPr>
        <w:t xml:space="preserve">Educativos Integrados at Estado de México, apartado VII, Responsabilidades Generales, es responsabilidad de las Coordinaciones, Unidades y Direcciones de área, entregar el "Reporte mensual de puntualidad y asistencia" dentro de los 15 </w:t>
      </w:r>
      <w:r w:rsidRPr="00897E4A">
        <w:rPr>
          <w:rFonts w:ascii="Palatino Linotype" w:hAnsi="Palatino Linotype"/>
          <w:b/>
          <w:i/>
          <w:sz w:val="22"/>
          <w:szCs w:val="22"/>
        </w:rPr>
        <w:lastRenderedPageBreak/>
        <w:t>días hábiles posteriores al mes que se reporte, por lo tanto, aún no se cuenta con los reportes emitidos por las Unidades Adm</w:t>
      </w:r>
      <w:r w:rsidR="006C695C" w:rsidRPr="00897E4A">
        <w:rPr>
          <w:rFonts w:ascii="Palatino Linotype" w:hAnsi="Palatino Linotype"/>
          <w:b/>
          <w:i/>
          <w:sz w:val="22"/>
          <w:szCs w:val="22"/>
        </w:rPr>
        <w:t xml:space="preserve">inistrativas en mención </w:t>
      </w:r>
      <w:r w:rsidRPr="00897E4A">
        <w:rPr>
          <w:rFonts w:ascii="Palatino Linotype" w:hAnsi="Palatino Linotype"/>
          <w:b/>
          <w:i/>
          <w:sz w:val="22"/>
          <w:szCs w:val="22"/>
        </w:rPr>
        <w:t>correspondientes al mes de Mayo.</w:t>
      </w:r>
      <w:r w:rsidR="006C695C" w:rsidRPr="00897E4A">
        <w:rPr>
          <w:rFonts w:ascii="Palatino Linotype" w:hAnsi="Palatino Linotype"/>
          <w:b/>
          <w:i/>
          <w:sz w:val="22"/>
          <w:szCs w:val="22"/>
        </w:rPr>
        <w:t>” (Sic)</w:t>
      </w:r>
    </w:p>
    <w:p w14:paraId="4D6FD152" w14:textId="77777777" w:rsidR="00612CB2" w:rsidRPr="00897E4A" w:rsidRDefault="00612CB2" w:rsidP="00612CB2">
      <w:pPr>
        <w:pBdr>
          <w:top w:val="nil"/>
          <w:left w:val="nil"/>
          <w:bottom w:val="nil"/>
          <w:right w:val="nil"/>
          <w:between w:val="nil"/>
        </w:pBdr>
        <w:spacing w:before="240" w:after="240"/>
        <w:ind w:right="539"/>
        <w:jc w:val="both"/>
        <w:rPr>
          <w:rFonts w:ascii="Palatino Linotype" w:hAnsi="Palatino Linotype"/>
          <w:b/>
          <w:sz w:val="22"/>
          <w:szCs w:val="22"/>
        </w:rPr>
      </w:pPr>
    </w:p>
    <w:p w14:paraId="55BE0B88" w14:textId="77777777" w:rsidR="006C695C" w:rsidRPr="00897E4A" w:rsidRDefault="000D77E9" w:rsidP="006C695C">
      <w:pPr>
        <w:pBdr>
          <w:top w:val="nil"/>
          <w:left w:val="nil"/>
          <w:bottom w:val="nil"/>
          <w:right w:val="nil"/>
          <w:between w:val="nil"/>
        </w:pBdr>
        <w:spacing w:before="240" w:after="240"/>
        <w:ind w:left="567" w:right="539"/>
        <w:jc w:val="both"/>
        <w:rPr>
          <w:rFonts w:ascii="Palatino Linotype" w:hAnsi="Palatino Linotype"/>
          <w:sz w:val="22"/>
          <w:szCs w:val="22"/>
        </w:rPr>
      </w:pPr>
      <w:hyperlink r:id="rId9" w:tgtFrame="_blank" w:history="1">
        <w:r w:rsidR="00AC3BB0" w:rsidRPr="00897E4A">
          <w:rPr>
            <w:rStyle w:val="Hipervnculo"/>
            <w:rFonts w:ascii="Palatino Linotype" w:hAnsi="Palatino Linotype" w:cs="Arial"/>
            <w:b/>
            <w:bCs/>
            <w:color w:val="auto"/>
            <w:sz w:val="22"/>
            <w:szCs w:val="22"/>
            <w:u w:val="none"/>
          </w:rPr>
          <w:t>OFI. RESP. CIUD. SOL-231-24.pdf</w:t>
        </w:r>
      </w:hyperlink>
      <w:r w:rsidR="00AC3BB0" w:rsidRPr="00897E4A">
        <w:rPr>
          <w:rFonts w:ascii="Palatino Linotype" w:hAnsi="Palatino Linotype"/>
          <w:b/>
          <w:sz w:val="22"/>
          <w:szCs w:val="22"/>
        </w:rPr>
        <w:t>:</w:t>
      </w:r>
      <w:r w:rsidR="006C695C" w:rsidRPr="00897E4A">
        <w:rPr>
          <w:rFonts w:ascii="Palatino Linotype" w:hAnsi="Palatino Linotype"/>
          <w:b/>
          <w:sz w:val="22"/>
          <w:szCs w:val="22"/>
        </w:rPr>
        <w:t xml:space="preserve"> </w:t>
      </w:r>
      <w:r w:rsidR="006C695C" w:rsidRPr="00897E4A">
        <w:rPr>
          <w:rFonts w:ascii="Palatino Linotype" w:hAnsi="Palatino Linotype"/>
          <w:sz w:val="22"/>
          <w:szCs w:val="22"/>
        </w:rPr>
        <w:t xml:space="preserve">Oficio 228C0101030002S/UT/0818/2024, suscrito por el Suplente del Titular de la Unidad de Transparencia, por medio del cual, informó lo siguiente: </w:t>
      </w:r>
      <w:r w:rsidR="006C695C" w:rsidRPr="00897E4A">
        <w:rPr>
          <w:rFonts w:ascii="Palatino Linotype" w:hAnsi="Palatino Linotype"/>
          <w:i/>
          <w:sz w:val="22"/>
          <w:szCs w:val="22"/>
        </w:rPr>
        <w:t xml:space="preserve">“… </w:t>
      </w:r>
      <w:r w:rsidR="006C695C" w:rsidRPr="00897E4A">
        <w:rPr>
          <w:rFonts w:ascii="Palatino Linotype" w:eastAsia="Palatino Linotype" w:hAnsi="Palatino Linotype" w:cs="Palatino Linotype"/>
          <w:i/>
          <w:sz w:val="22"/>
          <w:szCs w:val="22"/>
        </w:rPr>
        <w:t xml:space="preserve">conforme a la respuesta proporcionada por el Servidor Público Habilitado de la Dirección de Administración y Finanzas, con </w:t>
      </w:r>
      <w:r w:rsidR="006C695C" w:rsidRPr="00897E4A">
        <w:rPr>
          <w:rFonts w:ascii="Palatino Linotype" w:eastAsia="Palatino Linotype" w:hAnsi="Palatino Linotype" w:cs="Palatino Linotype"/>
          <w:b/>
          <w:i/>
          <w:sz w:val="22"/>
          <w:szCs w:val="22"/>
        </w:rPr>
        <w:t>oficio número: 228C0101230102L/0529/2024,</w:t>
      </w:r>
      <w:r w:rsidR="006C695C" w:rsidRPr="00897E4A">
        <w:rPr>
          <w:rFonts w:ascii="Palatino Linotype" w:eastAsia="Palatino Linotype" w:hAnsi="Palatino Linotype" w:cs="Palatino Linotype"/>
          <w:i/>
          <w:sz w:val="22"/>
          <w:szCs w:val="22"/>
        </w:rPr>
        <w:t xml:space="preserve"> de fecha 30 de mayo del año en curso, se informa lo siguiente: </w:t>
      </w:r>
      <w:r w:rsidR="006C695C" w:rsidRPr="00897E4A">
        <w:rPr>
          <w:rFonts w:ascii="Palatino Linotype" w:eastAsia="Palatino Linotype" w:hAnsi="Palatino Linotype" w:cs="Palatino Linotype"/>
          <w:b/>
          <w:i/>
          <w:sz w:val="22"/>
          <w:szCs w:val="22"/>
        </w:rPr>
        <w:t>Se anexa respuesta, en formato PDF.</w:t>
      </w:r>
      <w:r w:rsidR="006C695C" w:rsidRPr="00897E4A">
        <w:rPr>
          <w:rFonts w:ascii="Palatino Linotype" w:eastAsia="Palatino Linotype" w:hAnsi="Palatino Linotype" w:cs="Palatino Linotype"/>
          <w:i/>
          <w:sz w:val="22"/>
          <w:szCs w:val="22"/>
        </w:rPr>
        <w:t>” (Sic)</w:t>
      </w:r>
    </w:p>
    <w:p w14:paraId="76CD4AF4" w14:textId="77777777" w:rsidR="00AC3BB0" w:rsidRPr="00897E4A" w:rsidRDefault="00AC3BB0" w:rsidP="006C695C">
      <w:pPr>
        <w:pBdr>
          <w:top w:val="nil"/>
          <w:left w:val="nil"/>
          <w:bottom w:val="nil"/>
          <w:right w:val="nil"/>
          <w:between w:val="nil"/>
        </w:pBdr>
        <w:tabs>
          <w:tab w:val="left" w:pos="0"/>
        </w:tabs>
        <w:spacing w:before="240" w:after="240"/>
        <w:jc w:val="both"/>
        <w:rPr>
          <w:rFonts w:ascii="Palatino Linotype" w:eastAsia="Palatino Linotype" w:hAnsi="Palatino Linotype" w:cs="Palatino Linotype"/>
          <w:b/>
          <w:color w:val="000000"/>
          <w:sz w:val="22"/>
          <w:szCs w:val="22"/>
        </w:rPr>
      </w:pPr>
    </w:p>
    <w:p w14:paraId="3CC157B8" w14:textId="77777777" w:rsidR="008D36C8" w:rsidRPr="00897E4A" w:rsidRDefault="00036B21">
      <w:pPr>
        <w:numPr>
          <w:ilvl w:val="0"/>
          <w:numId w:val="2"/>
        </w:numPr>
        <w:pBdr>
          <w:top w:val="nil"/>
          <w:left w:val="nil"/>
          <w:bottom w:val="nil"/>
          <w:right w:val="nil"/>
          <w:between w:val="nil"/>
        </w:pBdr>
        <w:tabs>
          <w:tab w:val="left" w:pos="0"/>
        </w:tabs>
        <w:spacing w:before="240" w:after="240" w:line="360" w:lineRule="auto"/>
        <w:ind w:left="0" w:firstLine="0"/>
        <w:jc w:val="both"/>
        <w:rPr>
          <w:rFonts w:ascii="Palatino Linotype" w:eastAsia="Palatino Linotype" w:hAnsi="Palatino Linotype" w:cs="Palatino Linotype"/>
          <w:b/>
          <w:color w:val="000000"/>
          <w:sz w:val="22"/>
          <w:szCs w:val="22"/>
        </w:rPr>
      </w:pPr>
      <w:r w:rsidRPr="00897E4A">
        <w:rPr>
          <w:rFonts w:ascii="Palatino Linotype" w:eastAsia="Palatino Linotype" w:hAnsi="Palatino Linotype" w:cs="Palatino Linotype"/>
          <w:color w:val="000000"/>
          <w:sz w:val="22"/>
          <w:szCs w:val="22"/>
        </w:rPr>
        <w:t xml:space="preserve">El </w:t>
      </w:r>
      <w:r w:rsidR="00AC3BB0" w:rsidRPr="00897E4A">
        <w:rPr>
          <w:rFonts w:ascii="Palatino Linotype" w:eastAsia="Palatino Linotype" w:hAnsi="Palatino Linotype" w:cs="Palatino Linotype"/>
          <w:color w:val="000000"/>
          <w:sz w:val="22"/>
          <w:szCs w:val="22"/>
        </w:rPr>
        <w:t>dieciocho de junio de dos mil veinticuatro</w:t>
      </w:r>
      <w:r w:rsidRPr="00897E4A">
        <w:rPr>
          <w:rFonts w:ascii="Palatino Linotype" w:eastAsia="Palatino Linotype" w:hAnsi="Palatino Linotype" w:cs="Palatino Linotype"/>
          <w:b/>
          <w:color w:val="000000"/>
          <w:sz w:val="22"/>
          <w:szCs w:val="22"/>
        </w:rPr>
        <w:t>,</w:t>
      </w:r>
      <w:r w:rsidRPr="00897E4A">
        <w:rPr>
          <w:rFonts w:ascii="Palatino Linotype" w:eastAsia="Palatino Linotype" w:hAnsi="Palatino Linotype" w:cs="Palatino Linotype"/>
          <w:color w:val="000000"/>
          <w:sz w:val="22"/>
          <w:szCs w:val="22"/>
        </w:rPr>
        <w:t xml:space="preserve"> el </w:t>
      </w:r>
      <w:r w:rsidRPr="00897E4A">
        <w:rPr>
          <w:rFonts w:ascii="Palatino Linotype" w:eastAsia="Palatino Linotype" w:hAnsi="Palatino Linotype" w:cs="Palatino Linotype"/>
          <w:b/>
          <w:color w:val="000000"/>
          <w:sz w:val="22"/>
          <w:szCs w:val="22"/>
        </w:rPr>
        <w:t xml:space="preserve">RECURRENTE </w:t>
      </w:r>
      <w:r w:rsidRPr="00897E4A">
        <w:rPr>
          <w:rFonts w:ascii="Palatino Linotype" w:eastAsia="Palatino Linotype" w:hAnsi="Palatino Linotype" w:cs="Palatino Linotype"/>
          <w:color w:val="000000"/>
          <w:sz w:val="22"/>
          <w:szCs w:val="22"/>
        </w:rPr>
        <w:t>interpuso el recurso de revisión, señalando como:</w:t>
      </w:r>
    </w:p>
    <w:p w14:paraId="604F0908" w14:textId="77777777" w:rsidR="008D36C8" w:rsidRPr="00897E4A" w:rsidRDefault="00036B21" w:rsidP="00E23F53">
      <w:pPr>
        <w:ind w:left="567" w:right="539"/>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b/>
          <w:sz w:val="22"/>
          <w:szCs w:val="22"/>
        </w:rPr>
        <w:t>Acto impugnado:</w:t>
      </w:r>
      <w:r w:rsidRPr="00897E4A">
        <w:rPr>
          <w:rFonts w:ascii="Palatino Linotype" w:eastAsia="Palatino Linotype" w:hAnsi="Palatino Linotype" w:cs="Palatino Linotype"/>
          <w:i/>
          <w:sz w:val="22"/>
          <w:szCs w:val="22"/>
        </w:rPr>
        <w:t xml:space="preserve"> </w:t>
      </w:r>
    </w:p>
    <w:p w14:paraId="531A53EB" w14:textId="77777777" w:rsidR="008D36C8" w:rsidRPr="00897E4A" w:rsidRDefault="00036B21" w:rsidP="00E23F53">
      <w:pPr>
        <w:ind w:left="567" w:right="539"/>
        <w:jc w:val="both"/>
        <w:rPr>
          <w:rFonts w:ascii="Palatino Linotype" w:eastAsia="Palatino Linotype" w:hAnsi="Palatino Linotype" w:cs="Palatino Linotype"/>
          <w:i/>
          <w:sz w:val="22"/>
          <w:szCs w:val="22"/>
        </w:rPr>
      </w:pPr>
      <w:r w:rsidRPr="00897E4A">
        <w:rPr>
          <w:rFonts w:ascii="Palatino Linotype" w:eastAsia="Palatino Linotype" w:hAnsi="Palatino Linotype" w:cs="Palatino Linotype"/>
          <w:i/>
          <w:sz w:val="22"/>
          <w:szCs w:val="22"/>
        </w:rPr>
        <w:t>“</w:t>
      </w:r>
      <w:r w:rsidR="00AC3BB0" w:rsidRPr="00897E4A">
        <w:rPr>
          <w:rFonts w:ascii="Palatino Linotype" w:hAnsi="Palatino Linotype"/>
          <w:i/>
          <w:color w:val="000000"/>
          <w:sz w:val="22"/>
          <w:szCs w:val="22"/>
        </w:rPr>
        <w:t>La declaración de incompetencia de entregar la información</w:t>
      </w:r>
      <w:r w:rsidRPr="00897E4A">
        <w:rPr>
          <w:rFonts w:ascii="Palatino Linotype" w:eastAsia="Palatino Linotype" w:hAnsi="Palatino Linotype" w:cs="Palatino Linotype"/>
          <w:i/>
          <w:color w:val="000000"/>
          <w:sz w:val="22"/>
          <w:szCs w:val="22"/>
        </w:rPr>
        <w:t>” (Sic)</w:t>
      </w:r>
    </w:p>
    <w:p w14:paraId="34123A4F" w14:textId="77777777" w:rsidR="008D36C8" w:rsidRPr="00897E4A" w:rsidRDefault="008D36C8" w:rsidP="00E23F53">
      <w:pPr>
        <w:ind w:left="567" w:right="539"/>
        <w:jc w:val="both"/>
        <w:rPr>
          <w:rFonts w:ascii="Palatino Linotype" w:eastAsia="Palatino Linotype" w:hAnsi="Palatino Linotype" w:cs="Palatino Linotype"/>
          <w:i/>
          <w:sz w:val="22"/>
          <w:szCs w:val="22"/>
        </w:rPr>
      </w:pPr>
    </w:p>
    <w:p w14:paraId="3A53BDAB" w14:textId="77777777" w:rsidR="008D36C8" w:rsidRPr="00897E4A" w:rsidRDefault="00036B21" w:rsidP="00E23F53">
      <w:pPr>
        <w:ind w:left="567" w:right="539"/>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b/>
          <w:sz w:val="22"/>
          <w:szCs w:val="22"/>
        </w:rPr>
        <w:t>Razones o Motivos de inconformidad</w:t>
      </w:r>
      <w:r w:rsidRPr="00897E4A">
        <w:rPr>
          <w:rFonts w:ascii="Palatino Linotype" w:eastAsia="Palatino Linotype" w:hAnsi="Palatino Linotype" w:cs="Palatino Linotype"/>
          <w:i/>
          <w:sz w:val="22"/>
          <w:szCs w:val="22"/>
        </w:rPr>
        <w:t xml:space="preserve">: </w:t>
      </w:r>
    </w:p>
    <w:p w14:paraId="39A02236" w14:textId="77777777" w:rsidR="008D36C8" w:rsidRPr="00897E4A" w:rsidRDefault="00036B21" w:rsidP="00E23F53">
      <w:pPr>
        <w:ind w:left="567" w:right="539"/>
        <w:jc w:val="both"/>
        <w:rPr>
          <w:rFonts w:ascii="Palatino Linotype" w:eastAsia="Palatino Linotype" w:hAnsi="Palatino Linotype" w:cs="Palatino Linotype"/>
          <w:i/>
          <w:sz w:val="22"/>
          <w:szCs w:val="22"/>
        </w:rPr>
      </w:pPr>
      <w:r w:rsidRPr="00897E4A">
        <w:rPr>
          <w:rFonts w:ascii="Palatino Linotype" w:eastAsia="Palatino Linotype" w:hAnsi="Palatino Linotype" w:cs="Palatino Linotype"/>
          <w:i/>
          <w:sz w:val="22"/>
          <w:szCs w:val="22"/>
        </w:rPr>
        <w:t>“</w:t>
      </w:r>
      <w:r w:rsidR="00AC3BB0" w:rsidRPr="00897E4A">
        <w:rPr>
          <w:rFonts w:ascii="Palatino Linotype" w:hAnsi="Palatino Linotype"/>
          <w:i/>
          <w:color w:val="000000"/>
          <w:sz w:val="22"/>
          <w:szCs w:val="22"/>
        </w:rPr>
        <w:t>No entendemos y mucho menos comprendemos la negativa de entregarnos la información solicitada argumentando una serie de justificaciones jurídicas. La pregunta es muy sencilla solo requerimos saber que unidades administrativas dependiente del SEIEM cerraron y no dieron servicio el DÍA 6 DE MAYO de 2024 tal como lo establece EL CALENDARIO DEL GEM. 2024.</w:t>
      </w:r>
      <w:r w:rsidRPr="00897E4A">
        <w:rPr>
          <w:rFonts w:ascii="Palatino Linotype" w:eastAsia="Palatino Linotype" w:hAnsi="Palatino Linotype" w:cs="Palatino Linotype"/>
          <w:i/>
          <w:color w:val="000000"/>
          <w:sz w:val="22"/>
          <w:szCs w:val="22"/>
        </w:rPr>
        <w:t>” (Sic)</w:t>
      </w:r>
    </w:p>
    <w:p w14:paraId="4F4D4A55" w14:textId="77777777" w:rsidR="008D36C8" w:rsidRPr="00897E4A" w:rsidRDefault="008D36C8">
      <w:pPr>
        <w:spacing w:line="360" w:lineRule="auto"/>
        <w:jc w:val="both"/>
        <w:rPr>
          <w:rFonts w:ascii="Palatino Linotype" w:eastAsia="Palatino Linotype" w:hAnsi="Palatino Linotype" w:cs="Palatino Linotype"/>
          <w:color w:val="000000"/>
          <w:sz w:val="22"/>
          <w:szCs w:val="22"/>
        </w:rPr>
      </w:pPr>
    </w:p>
    <w:p w14:paraId="63297B1D"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La </w:t>
      </w:r>
      <w:r w:rsidRPr="00897E4A">
        <w:rPr>
          <w:rFonts w:ascii="Palatino Linotype" w:eastAsia="Palatino Linotype" w:hAnsi="Palatino Linotype" w:cs="Palatino Linotype"/>
          <w:sz w:val="22"/>
          <w:szCs w:val="22"/>
        </w:rPr>
        <w:t xml:space="preserve">Comisionada Ponente, con fundamento en lo dispuesto por el artículo 185 fracción II de la ley de la materia, a través del acuerdo de admisión del </w:t>
      </w:r>
      <w:r w:rsidR="00AC3BB0" w:rsidRPr="00897E4A">
        <w:rPr>
          <w:rFonts w:ascii="Palatino Linotype" w:eastAsia="Palatino Linotype" w:hAnsi="Palatino Linotype" w:cs="Palatino Linotype"/>
          <w:sz w:val="22"/>
          <w:szCs w:val="22"/>
        </w:rPr>
        <w:t xml:space="preserve">dieciocho de junio de dos mil veinticuatro </w:t>
      </w:r>
      <w:r w:rsidRPr="00897E4A">
        <w:rPr>
          <w:rFonts w:ascii="Palatino Linotype" w:eastAsia="Palatino Linotype" w:hAnsi="Palatino Linotype" w:cs="Palatino Linotype"/>
          <w:sz w:val="22"/>
          <w:szCs w:val="22"/>
        </w:rPr>
        <w:t xml:space="preserve">puso a disposición de las partes el expediente electrónicos vía Sistema de Acceso a la Información Mexiquense </w:t>
      </w:r>
      <w:r w:rsidRPr="00897E4A">
        <w:rPr>
          <w:rFonts w:ascii="Palatino Linotype" w:eastAsia="Palatino Linotype" w:hAnsi="Palatino Linotype" w:cs="Palatino Linotype"/>
          <w:b/>
          <w:sz w:val="22"/>
          <w:szCs w:val="22"/>
        </w:rPr>
        <w:t xml:space="preserve">SAIMEX </w:t>
      </w:r>
      <w:r w:rsidRPr="00897E4A">
        <w:rPr>
          <w:rFonts w:ascii="Palatino Linotype" w:eastAsia="Palatino Linotype" w:hAnsi="Palatino Linotype" w:cs="Palatino Linotype"/>
          <w:sz w:val="22"/>
          <w:szCs w:val="22"/>
        </w:rPr>
        <w:t xml:space="preserve">a efecto de que en un plazo máximo de siete días manifestara lo que a su derecho conviniera, ofreciera pruebas y alegatos según correspondiera </w:t>
      </w:r>
      <w:r w:rsidRPr="00897E4A">
        <w:rPr>
          <w:rFonts w:ascii="Palatino Linotype" w:eastAsia="Palatino Linotype" w:hAnsi="Palatino Linotype" w:cs="Palatino Linotype"/>
          <w:sz w:val="22"/>
          <w:szCs w:val="22"/>
        </w:rPr>
        <w:lastRenderedPageBreak/>
        <w:t xml:space="preserve">a los casos concretos, de esta forma para que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sz w:val="22"/>
          <w:szCs w:val="22"/>
        </w:rPr>
        <w:t xml:space="preserve"> presentará el Informe Justificado procedente.</w:t>
      </w:r>
    </w:p>
    <w:p w14:paraId="4964F860" w14:textId="77777777" w:rsidR="008D36C8" w:rsidRPr="00897E4A" w:rsidRDefault="008D36C8">
      <w:pPr>
        <w:spacing w:line="360" w:lineRule="auto"/>
        <w:jc w:val="both"/>
        <w:rPr>
          <w:rFonts w:ascii="Palatino Linotype" w:eastAsia="Palatino Linotype" w:hAnsi="Palatino Linotype" w:cs="Palatino Linotype"/>
          <w:i/>
          <w:color w:val="000000"/>
          <w:sz w:val="22"/>
          <w:szCs w:val="22"/>
        </w:rPr>
      </w:pPr>
    </w:p>
    <w:p w14:paraId="419969D8"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El </w:t>
      </w:r>
      <w:r w:rsidR="00AC3BB0" w:rsidRPr="00897E4A">
        <w:rPr>
          <w:rFonts w:ascii="Palatino Linotype" w:eastAsia="Palatino Linotype" w:hAnsi="Palatino Linotype" w:cs="Palatino Linotype"/>
          <w:color w:val="000000"/>
          <w:sz w:val="22"/>
          <w:szCs w:val="22"/>
        </w:rPr>
        <w:t>veinticinco de junio</w:t>
      </w:r>
      <w:r w:rsidRPr="00897E4A">
        <w:rPr>
          <w:rFonts w:ascii="Palatino Linotype" w:eastAsia="Palatino Linotype" w:hAnsi="Palatino Linotype" w:cs="Palatino Linotype"/>
          <w:color w:val="000000"/>
          <w:sz w:val="22"/>
          <w:szCs w:val="22"/>
        </w:rPr>
        <w:t xml:space="preserve"> de dos mil veintitrés, el </w:t>
      </w:r>
      <w:r w:rsidRPr="00897E4A">
        <w:rPr>
          <w:rFonts w:ascii="Palatino Linotype" w:eastAsia="Palatino Linotype" w:hAnsi="Palatino Linotype" w:cs="Palatino Linotype"/>
          <w:b/>
          <w:sz w:val="22"/>
          <w:szCs w:val="22"/>
        </w:rPr>
        <w:t xml:space="preserve">SUJETO OBLIGADO </w:t>
      </w:r>
      <w:r w:rsidRPr="00897E4A">
        <w:rPr>
          <w:rFonts w:ascii="Palatino Linotype" w:eastAsia="Palatino Linotype" w:hAnsi="Palatino Linotype" w:cs="Palatino Linotype"/>
          <w:sz w:val="22"/>
          <w:szCs w:val="22"/>
        </w:rPr>
        <w:t>rindió el informe justificado correspondiente</w:t>
      </w:r>
      <w:r w:rsidRPr="00897E4A">
        <w:rPr>
          <w:rFonts w:ascii="Palatino Linotype" w:eastAsia="Palatino Linotype" w:hAnsi="Palatino Linotype" w:cs="Palatino Linotype"/>
          <w:color w:val="000000"/>
          <w:sz w:val="22"/>
          <w:szCs w:val="22"/>
        </w:rPr>
        <w:t>; por medio de los siguientes archivos electrónicos:</w:t>
      </w:r>
    </w:p>
    <w:p w14:paraId="357E5DAF" w14:textId="77777777" w:rsidR="00E23F53" w:rsidRPr="00897E4A" w:rsidRDefault="00E23F53" w:rsidP="00E23F53">
      <w:pPr>
        <w:spacing w:line="360" w:lineRule="auto"/>
        <w:jc w:val="both"/>
        <w:rPr>
          <w:rFonts w:ascii="Palatino Linotype" w:eastAsia="Palatino Linotype" w:hAnsi="Palatino Linotype" w:cs="Palatino Linotype"/>
          <w:color w:val="000000"/>
          <w:sz w:val="22"/>
          <w:szCs w:val="22"/>
        </w:rPr>
      </w:pPr>
    </w:p>
    <w:p w14:paraId="4BDCD0B9" w14:textId="77777777" w:rsidR="008D36C8" w:rsidRPr="00897E4A" w:rsidRDefault="00AC3BB0" w:rsidP="005B4EE2">
      <w:pPr>
        <w:ind w:left="567" w:right="539"/>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b/>
          <w:sz w:val="22"/>
          <w:szCs w:val="22"/>
        </w:rPr>
        <w:t>ANEXO RR-3643 SOL-231-24.pdf:</w:t>
      </w:r>
    </w:p>
    <w:p w14:paraId="7140345A" w14:textId="77777777" w:rsidR="005B4EE2" w:rsidRPr="00897E4A" w:rsidRDefault="005B4EE2" w:rsidP="005B4EE2">
      <w:pPr>
        <w:ind w:left="567" w:right="539"/>
        <w:jc w:val="both"/>
        <w:rPr>
          <w:rFonts w:ascii="Palatino Linotype" w:eastAsia="Palatino Linotype" w:hAnsi="Palatino Linotype" w:cs="Palatino Linotype"/>
          <w:b/>
          <w:sz w:val="22"/>
          <w:szCs w:val="22"/>
        </w:rPr>
      </w:pPr>
    </w:p>
    <w:p w14:paraId="47255728" w14:textId="77777777" w:rsidR="005B4EE2" w:rsidRPr="00897E4A" w:rsidRDefault="005B4EE2" w:rsidP="005B4EE2">
      <w:pPr>
        <w:ind w:left="567" w:right="539"/>
        <w:jc w:val="both"/>
        <w:rPr>
          <w:rFonts w:ascii="Palatino Linotype" w:eastAsia="Palatino Linotype" w:hAnsi="Palatino Linotype" w:cs="Palatino Linotype"/>
          <w:i/>
          <w:sz w:val="22"/>
          <w:szCs w:val="22"/>
        </w:rPr>
      </w:pPr>
      <w:r w:rsidRPr="00897E4A">
        <w:rPr>
          <w:rFonts w:ascii="Palatino Linotype" w:eastAsia="Palatino Linotype" w:hAnsi="Palatino Linotype" w:cs="Palatino Linotype"/>
          <w:b/>
          <w:sz w:val="22"/>
          <w:szCs w:val="22"/>
        </w:rPr>
        <w:t xml:space="preserve">-Oficio 228C0101230102L/0662/2024, </w:t>
      </w:r>
      <w:r w:rsidRPr="00897E4A">
        <w:rPr>
          <w:rFonts w:ascii="Palatino Linotype" w:eastAsia="Palatino Linotype" w:hAnsi="Palatino Linotype" w:cs="Palatino Linotype"/>
          <w:sz w:val="22"/>
          <w:szCs w:val="22"/>
        </w:rPr>
        <w:t xml:space="preserve">suscrito por la Encargada del Despacho del Departamento de Prestaciones, por medio del cual, informó lo siguiente: </w:t>
      </w:r>
      <w:r w:rsidRPr="00897E4A">
        <w:rPr>
          <w:rFonts w:ascii="Palatino Linotype" w:eastAsia="Palatino Linotype" w:hAnsi="Palatino Linotype" w:cs="Palatino Linotype"/>
          <w:i/>
          <w:sz w:val="22"/>
          <w:szCs w:val="22"/>
        </w:rPr>
        <w:t xml:space="preserve">“… hago de su conocimiento, que la información requerida fue a su vez solicitada mediante oficio a la Subdirección de Administración de Personal, de acuerdo a las funciones encomendadas por el Manual General de Organización de Servicios Educativos Integrados al Estado de México; emitiendo su respuesta a través del </w:t>
      </w:r>
      <w:r w:rsidRPr="00897E4A">
        <w:rPr>
          <w:rFonts w:ascii="Palatino Linotype" w:eastAsia="Palatino Linotype" w:hAnsi="Palatino Linotype" w:cs="Palatino Linotype"/>
          <w:b/>
          <w:i/>
          <w:sz w:val="22"/>
          <w:szCs w:val="22"/>
        </w:rPr>
        <w:t>oficio número 228C0101230203L/03218/2024,</w:t>
      </w:r>
      <w:r w:rsidRPr="00897E4A">
        <w:rPr>
          <w:rFonts w:ascii="Palatino Linotype" w:eastAsia="Palatino Linotype" w:hAnsi="Palatino Linotype" w:cs="Palatino Linotype"/>
          <w:i/>
          <w:sz w:val="22"/>
          <w:szCs w:val="22"/>
        </w:rPr>
        <w:t xml:space="preserve"> signado por el Encargado del Despacho del Departamento de Registro y Archivo del cual </w:t>
      </w:r>
      <w:r w:rsidRPr="00897E4A">
        <w:rPr>
          <w:rFonts w:ascii="Palatino Linotype" w:eastAsia="Palatino Linotype" w:hAnsi="Palatino Linotype" w:cs="Palatino Linotype"/>
          <w:b/>
          <w:i/>
          <w:sz w:val="22"/>
          <w:szCs w:val="22"/>
        </w:rPr>
        <w:t>se anexa copia al presente</w:t>
      </w:r>
      <w:r w:rsidRPr="00897E4A">
        <w:rPr>
          <w:rFonts w:ascii="Palatino Linotype" w:eastAsia="Palatino Linotype" w:hAnsi="Palatino Linotype" w:cs="Palatino Linotype"/>
          <w:i/>
          <w:sz w:val="22"/>
          <w:szCs w:val="22"/>
        </w:rPr>
        <w:t>.” (Sic)</w:t>
      </w:r>
    </w:p>
    <w:p w14:paraId="7E8D7A1C" w14:textId="77777777" w:rsidR="005B4EE2" w:rsidRPr="00897E4A" w:rsidRDefault="005B4EE2" w:rsidP="005B4EE2">
      <w:pPr>
        <w:ind w:left="567" w:right="539"/>
        <w:jc w:val="both"/>
        <w:rPr>
          <w:rFonts w:ascii="Palatino Linotype" w:eastAsia="Palatino Linotype" w:hAnsi="Palatino Linotype" w:cs="Palatino Linotype"/>
          <w:sz w:val="22"/>
          <w:szCs w:val="22"/>
        </w:rPr>
      </w:pPr>
    </w:p>
    <w:p w14:paraId="1492898C" w14:textId="77777777" w:rsidR="005B4EE2" w:rsidRPr="00897E4A" w:rsidRDefault="005B4EE2" w:rsidP="005B4EE2">
      <w:pPr>
        <w:ind w:left="567" w:right="539"/>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b/>
          <w:sz w:val="22"/>
          <w:szCs w:val="22"/>
        </w:rPr>
        <w:t>-Oficio número 228C0101230203L/03218/2024, suscrito</w:t>
      </w:r>
      <w:r w:rsidRPr="00897E4A">
        <w:rPr>
          <w:rFonts w:ascii="Palatino Linotype" w:eastAsia="Palatino Linotype" w:hAnsi="Palatino Linotype" w:cs="Palatino Linotype"/>
          <w:sz w:val="22"/>
          <w:szCs w:val="22"/>
        </w:rPr>
        <w:t xml:space="preserve"> por el Encargado del Despacho del Departamento de Registro y Archivo, por medio del cual,</w:t>
      </w:r>
      <w:r w:rsidR="001D69A1" w:rsidRPr="00897E4A">
        <w:rPr>
          <w:rFonts w:ascii="Palatino Linotype" w:eastAsia="Palatino Linotype" w:hAnsi="Palatino Linotype" w:cs="Palatino Linotype"/>
          <w:b/>
          <w:sz w:val="22"/>
          <w:szCs w:val="22"/>
        </w:rPr>
        <w:t xml:space="preserve"> refirió hacer entrega de la información solicitada,</w:t>
      </w:r>
      <w:r w:rsidRPr="00897E4A">
        <w:rPr>
          <w:rFonts w:ascii="Palatino Linotype" w:eastAsia="Palatino Linotype" w:hAnsi="Palatino Linotype" w:cs="Palatino Linotype"/>
          <w:b/>
          <w:sz w:val="22"/>
          <w:szCs w:val="22"/>
        </w:rPr>
        <w:t xml:space="preserve"> de </w:t>
      </w:r>
      <w:r w:rsidR="001D69A1" w:rsidRPr="00897E4A">
        <w:rPr>
          <w:rFonts w:ascii="Palatino Linotype" w:eastAsia="Palatino Linotype" w:hAnsi="Palatino Linotype" w:cs="Palatino Linotype"/>
          <w:b/>
          <w:sz w:val="22"/>
          <w:szCs w:val="22"/>
        </w:rPr>
        <w:t xml:space="preserve">conformidad </w:t>
      </w:r>
      <w:r w:rsidRPr="00897E4A">
        <w:rPr>
          <w:rFonts w:ascii="Palatino Linotype" w:eastAsia="Palatino Linotype" w:hAnsi="Palatino Linotype" w:cs="Palatino Linotype"/>
          <w:b/>
          <w:sz w:val="22"/>
          <w:szCs w:val="22"/>
        </w:rPr>
        <w:t>con los “Reportes Mensuales de Incidencias de Puntualidad y Asistencia”</w:t>
      </w:r>
      <w:r w:rsidR="001D69A1" w:rsidRPr="00897E4A">
        <w:rPr>
          <w:rFonts w:ascii="Palatino Linotype" w:eastAsia="Palatino Linotype" w:hAnsi="Palatino Linotype" w:cs="Palatino Linotype"/>
          <w:b/>
          <w:sz w:val="22"/>
          <w:szCs w:val="22"/>
        </w:rPr>
        <w:t xml:space="preserve"> relativos al mes de mayo, remitidos por los Titulares de las Unidades Administrativas del Organismo al Departamento a su cargo, por medio de un cuadro descriptivo que se integra bajo los siguientes rubros: CLAVE CENTRO DE TRABAJO, NOMBRE, DIRECCIÓN y LABORÓ.</w:t>
      </w:r>
    </w:p>
    <w:p w14:paraId="54B37F9F" w14:textId="77777777" w:rsidR="005B4EE2" w:rsidRPr="00897E4A" w:rsidRDefault="005B4EE2" w:rsidP="005B4EE2">
      <w:pPr>
        <w:ind w:left="567" w:right="539"/>
        <w:jc w:val="both"/>
        <w:rPr>
          <w:rFonts w:ascii="Palatino Linotype" w:eastAsia="Palatino Linotype" w:hAnsi="Palatino Linotype" w:cs="Palatino Linotype"/>
          <w:b/>
          <w:sz w:val="22"/>
          <w:szCs w:val="22"/>
        </w:rPr>
      </w:pPr>
    </w:p>
    <w:p w14:paraId="0533E6B5" w14:textId="77777777" w:rsidR="005B4EE2" w:rsidRPr="00897E4A" w:rsidRDefault="00AC3BB0" w:rsidP="005B4EE2">
      <w:pPr>
        <w:ind w:left="567" w:right="539"/>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b/>
          <w:sz w:val="22"/>
          <w:szCs w:val="22"/>
        </w:rPr>
        <w:t>INF. JUST. COM. RR-3643 SOL-231-24.pdf:</w:t>
      </w:r>
      <w:r w:rsidR="006C695C" w:rsidRPr="00897E4A">
        <w:rPr>
          <w:rFonts w:ascii="Palatino Linotype" w:eastAsia="Palatino Linotype" w:hAnsi="Palatino Linotype" w:cs="Palatino Linotype"/>
          <w:b/>
          <w:sz w:val="22"/>
          <w:szCs w:val="22"/>
        </w:rPr>
        <w:t xml:space="preserve"> </w:t>
      </w:r>
      <w:r w:rsidR="005B4EE2" w:rsidRPr="00897E4A">
        <w:rPr>
          <w:rFonts w:ascii="Palatino Linotype" w:eastAsia="Palatino Linotype" w:hAnsi="Palatino Linotype" w:cs="Palatino Linotype"/>
          <w:sz w:val="22"/>
          <w:szCs w:val="22"/>
        </w:rPr>
        <w:t xml:space="preserve">Oficio 228C0101030002S/UT/0895/2024, suscrito por el Suplente del Titular de la Unidad de Transparencia, por medio del cual, informó lo siguiente: </w:t>
      </w:r>
      <w:r w:rsidR="005B4EE2" w:rsidRPr="00897E4A">
        <w:rPr>
          <w:rFonts w:ascii="Palatino Linotype" w:eastAsia="Palatino Linotype" w:hAnsi="Palatino Linotype" w:cs="Palatino Linotype"/>
          <w:i/>
          <w:sz w:val="22"/>
          <w:szCs w:val="22"/>
        </w:rPr>
        <w:t xml:space="preserve">“… mediante </w:t>
      </w:r>
      <w:r w:rsidR="005B4EE2" w:rsidRPr="00897E4A">
        <w:rPr>
          <w:rFonts w:ascii="Palatino Linotype" w:eastAsia="Palatino Linotype" w:hAnsi="Palatino Linotype" w:cs="Palatino Linotype"/>
          <w:b/>
          <w:i/>
          <w:sz w:val="22"/>
          <w:szCs w:val="22"/>
        </w:rPr>
        <w:t>oficio número 228C0101230102L/0662/2024,</w:t>
      </w:r>
      <w:r w:rsidR="005B4EE2" w:rsidRPr="00897E4A">
        <w:rPr>
          <w:rFonts w:ascii="Palatino Linotype" w:eastAsia="Palatino Linotype" w:hAnsi="Palatino Linotype" w:cs="Palatino Linotype"/>
          <w:i/>
          <w:sz w:val="22"/>
          <w:szCs w:val="22"/>
        </w:rPr>
        <w:t xml:space="preserve"> de fecha 24 de junio del año 2024, el Servidor Público Habilitado de la Dirección de Administración y Desarrollo de Personal, dio respuesta, a la misma. </w:t>
      </w:r>
      <w:r w:rsidR="005B4EE2" w:rsidRPr="00897E4A">
        <w:rPr>
          <w:rFonts w:ascii="Palatino Linotype" w:eastAsia="Palatino Linotype" w:hAnsi="Palatino Linotype" w:cs="Palatino Linotype"/>
          <w:b/>
          <w:i/>
          <w:sz w:val="22"/>
          <w:szCs w:val="22"/>
        </w:rPr>
        <w:t>Se anexa respuesta en formato PDF.</w:t>
      </w:r>
      <w:r w:rsidR="005B4EE2" w:rsidRPr="00897E4A">
        <w:rPr>
          <w:rFonts w:ascii="Palatino Linotype" w:eastAsia="Palatino Linotype" w:hAnsi="Palatino Linotype" w:cs="Palatino Linotype"/>
          <w:i/>
          <w:sz w:val="22"/>
          <w:szCs w:val="22"/>
        </w:rPr>
        <w:t>” (Sic)</w:t>
      </w:r>
    </w:p>
    <w:p w14:paraId="33266F78" w14:textId="77777777" w:rsidR="00AC3BB0" w:rsidRPr="00897E4A" w:rsidRDefault="00AC3BB0">
      <w:pPr>
        <w:spacing w:line="360" w:lineRule="auto"/>
        <w:rPr>
          <w:rFonts w:ascii="Palatino Linotype" w:eastAsia="Palatino Linotype" w:hAnsi="Palatino Linotype" w:cs="Palatino Linotype"/>
          <w:sz w:val="22"/>
          <w:szCs w:val="22"/>
        </w:rPr>
      </w:pPr>
    </w:p>
    <w:p w14:paraId="648F0D88"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sz w:val="22"/>
          <w:szCs w:val="22"/>
        </w:rPr>
        <w:lastRenderedPageBreak/>
        <w:t xml:space="preserve">Por su parte, el </w:t>
      </w:r>
      <w:r w:rsidRPr="00897E4A">
        <w:rPr>
          <w:rFonts w:ascii="Palatino Linotype" w:eastAsia="Palatino Linotype" w:hAnsi="Palatino Linotype" w:cs="Palatino Linotype"/>
          <w:b/>
          <w:sz w:val="22"/>
          <w:szCs w:val="22"/>
        </w:rPr>
        <w:t xml:space="preserve">RECURRENTE </w:t>
      </w:r>
      <w:r w:rsidRPr="00897E4A">
        <w:rPr>
          <w:rFonts w:ascii="Palatino Linotype" w:eastAsia="Palatino Linotype" w:hAnsi="Palatino Linotype" w:cs="Palatino Linotype"/>
          <w:sz w:val="22"/>
          <w:szCs w:val="22"/>
        </w:rPr>
        <w:t xml:space="preserve">no presentó alegatos ni ofreció medios de prueba, según constancias del Sistema de Acceso a la Información Mexiquense </w:t>
      </w:r>
      <w:r w:rsidRPr="00897E4A">
        <w:rPr>
          <w:rFonts w:ascii="Palatino Linotype" w:eastAsia="Palatino Linotype" w:hAnsi="Palatino Linotype" w:cs="Palatino Linotype"/>
          <w:b/>
          <w:sz w:val="22"/>
          <w:szCs w:val="22"/>
        </w:rPr>
        <w:t>SAIMEX.</w:t>
      </w:r>
    </w:p>
    <w:p w14:paraId="5F070A6C" w14:textId="77777777" w:rsidR="008D36C8" w:rsidRPr="00897E4A" w:rsidRDefault="008D36C8">
      <w:pPr>
        <w:spacing w:line="360" w:lineRule="auto"/>
        <w:rPr>
          <w:rFonts w:ascii="Palatino Linotype" w:eastAsia="Palatino Linotype" w:hAnsi="Palatino Linotype" w:cs="Palatino Linotype"/>
          <w:sz w:val="22"/>
          <w:szCs w:val="22"/>
        </w:rPr>
      </w:pPr>
    </w:p>
    <w:p w14:paraId="2C27C048"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sz w:val="22"/>
          <w:szCs w:val="22"/>
        </w:rPr>
        <w:t xml:space="preserve">El dos de febrero de dos mil veinticuatro, </w:t>
      </w:r>
      <w:r w:rsidRPr="00897E4A">
        <w:rPr>
          <w:rFonts w:ascii="Palatino Linotype" w:eastAsia="Palatino Linotype" w:hAnsi="Palatino Linotype" w:cs="Palatino Linotype"/>
          <w:color w:val="000000"/>
          <w:sz w:val="22"/>
          <w:szCs w:val="22"/>
        </w:rPr>
        <w:t>se notificó el acuerdo mediante el cual se amplió el plazo para emitir resolución por un término de 15 días adicionales.</w:t>
      </w:r>
    </w:p>
    <w:p w14:paraId="0C0844FA" w14:textId="77777777" w:rsidR="008D36C8" w:rsidRPr="00897E4A" w:rsidRDefault="008D36C8">
      <w:pPr>
        <w:spacing w:line="360" w:lineRule="auto"/>
        <w:jc w:val="both"/>
        <w:rPr>
          <w:rFonts w:ascii="Palatino Linotype" w:eastAsia="Palatino Linotype" w:hAnsi="Palatino Linotype" w:cs="Palatino Linotype"/>
          <w:b/>
          <w:sz w:val="22"/>
          <w:szCs w:val="22"/>
        </w:rPr>
      </w:pPr>
    </w:p>
    <w:p w14:paraId="344AF4DA"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t>Este organismo garante no pasa por alto justificar, que el plazo para emitir resolución en el presente asunto encuentra justificación en el alto número de recursos de revisión recibidos, se ha incrementado aproximadamente un 400%, circunstancia atípica que ha rebasado las capacidades técnicas y humanas del personal encargado de la proyección de las resoluciones a dichos medios de impugnación.</w:t>
      </w:r>
    </w:p>
    <w:p w14:paraId="3AA0145B" w14:textId="77777777" w:rsidR="008D36C8" w:rsidRPr="00897E4A" w:rsidRDefault="008D36C8">
      <w:pPr>
        <w:spacing w:line="360" w:lineRule="auto"/>
        <w:jc w:val="both"/>
        <w:rPr>
          <w:rFonts w:ascii="Palatino Linotype" w:eastAsia="Palatino Linotype" w:hAnsi="Palatino Linotype" w:cs="Palatino Linotype"/>
          <w:b/>
          <w:sz w:val="22"/>
          <w:szCs w:val="22"/>
        </w:rPr>
      </w:pPr>
    </w:p>
    <w:p w14:paraId="2A39B3A3"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2AD401F" w14:textId="77777777" w:rsidR="008D36C8" w:rsidRPr="00897E4A" w:rsidRDefault="008D36C8">
      <w:pPr>
        <w:spacing w:line="360" w:lineRule="auto"/>
        <w:jc w:val="both"/>
        <w:rPr>
          <w:rFonts w:ascii="Palatino Linotype" w:eastAsia="Palatino Linotype" w:hAnsi="Palatino Linotype" w:cs="Palatino Linotype"/>
          <w:b/>
          <w:sz w:val="22"/>
          <w:szCs w:val="22"/>
        </w:rPr>
      </w:pPr>
    </w:p>
    <w:p w14:paraId="4B8198D0"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D03C34" w14:textId="77777777" w:rsidR="008D36C8" w:rsidRPr="00897E4A" w:rsidRDefault="008D36C8">
      <w:pPr>
        <w:rPr>
          <w:rFonts w:ascii="Palatino Linotype" w:eastAsia="Palatino Linotype" w:hAnsi="Palatino Linotype" w:cs="Palatino Linotype"/>
          <w:color w:val="000000"/>
          <w:sz w:val="22"/>
          <w:szCs w:val="22"/>
        </w:rPr>
      </w:pPr>
    </w:p>
    <w:p w14:paraId="60A28329"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t xml:space="preserve">En ese sentido, el legislador fijó los términos procesales en las leyes, de manera general, sin que pudiera prever la variada gama de casos que son resueltos por los órganos </w:t>
      </w:r>
      <w:r w:rsidRPr="00897E4A">
        <w:rPr>
          <w:rFonts w:ascii="Palatino Linotype" w:eastAsia="Palatino Linotype" w:hAnsi="Palatino Linotype" w:cs="Palatino Linotype"/>
          <w:color w:val="000000"/>
          <w:sz w:val="22"/>
          <w:szCs w:val="22"/>
        </w:rPr>
        <w:lastRenderedPageBreak/>
        <w:t>jurisdiccionales o cuasi jurisdiccionales, tanto por la complejidad de los hechos, como por el número de casos que conocen.</w:t>
      </w:r>
    </w:p>
    <w:p w14:paraId="558EA7CA" w14:textId="77777777" w:rsidR="008D36C8" w:rsidRPr="00897E4A" w:rsidRDefault="008D36C8">
      <w:pPr>
        <w:rPr>
          <w:rFonts w:ascii="Palatino Linotype" w:eastAsia="Palatino Linotype" w:hAnsi="Palatino Linotype" w:cs="Palatino Linotype"/>
          <w:color w:val="000000"/>
          <w:sz w:val="22"/>
          <w:szCs w:val="22"/>
        </w:rPr>
      </w:pPr>
    </w:p>
    <w:p w14:paraId="5CC7DFCD"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AE19921" w14:textId="77777777" w:rsidR="00E23F53" w:rsidRPr="00897E4A" w:rsidRDefault="00E23F53" w:rsidP="00E23F53">
      <w:pPr>
        <w:spacing w:line="360" w:lineRule="auto"/>
        <w:jc w:val="both"/>
        <w:rPr>
          <w:rFonts w:ascii="Palatino Linotype" w:eastAsia="Palatino Linotype" w:hAnsi="Palatino Linotype" w:cs="Palatino Linotype"/>
          <w:b/>
          <w:sz w:val="22"/>
          <w:szCs w:val="22"/>
        </w:rPr>
      </w:pPr>
    </w:p>
    <w:p w14:paraId="3BBC8924" w14:textId="77777777" w:rsidR="008D36C8" w:rsidRPr="00897E4A"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4AE5F12F" w14:textId="77777777" w:rsidR="008D36C8" w:rsidRPr="00897E4A"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b) Actividad Procesal del interesado: Acciones u omisiones del interesado.</w:t>
      </w:r>
    </w:p>
    <w:p w14:paraId="7262805F" w14:textId="77777777" w:rsidR="008D36C8" w:rsidRPr="00897E4A"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47E3B6B8" w14:textId="77777777" w:rsidR="008D36C8" w:rsidRPr="00897E4A" w:rsidRDefault="00036B21">
      <w:pPr>
        <w:pBdr>
          <w:top w:val="nil"/>
          <w:left w:val="nil"/>
          <w:bottom w:val="nil"/>
          <w:right w:val="nil"/>
          <w:between w:val="nil"/>
        </w:pBdr>
        <w:tabs>
          <w:tab w:val="left" w:pos="426"/>
          <w:tab w:val="left" w:pos="567"/>
        </w:tabs>
        <w:ind w:left="540" w:right="507"/>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05E59494" w14:textId="77777777" w:rsidR="00E23F53" w:rsidRPr="00897E4A" w:rsidRDefault="00E23F53" w:rsidP="00E23F53">
      <w:pPr>
        <w:pBdr>
          <w:top w:val="nil"/>
          <w:left w:val="nil"/>
          <w:bottom w:val="nil"/>
          <w:right w:val="nil"/>
          <w:between w:val="nil"/>
        </w:pBdr>
        <w:tabs>
          <w:tab w:val="left" w:pos="426"/>
          <w:tab w:val="left" w:pos="567"/>
        </w:tabs>
        <w:ind w:right="507"/>
        <w:jc w:val="both"/>
        <w:rPr>
          <w:rFonts w:ascii="Palatino Linotype" w:eastAsia="Palatino Linotype" w:hAnsi="Palatino Linotype" w:cs="Palatino Linotype"/>
          <w:color w:val="000000"/>
          <w:sz w:val="22"/>
          <w:szCs w:val="22"/>
        </w:rPr>
      </w:pPr>
    </w:p>
    <w:p w14:paraId="53819C2D"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E513CD8" w14:textId="77777777" w:rsidR="008D36C8" w:rsidRPr="00897E4A" w:rsidRDefault="008D36C8">
      <w:pPr>
        <w:spacing w:line="360" w:lineRule="auto"/>
        <w:jc w:val="both"/>
        <w:rPr>
          <w:rFonts w:ascii="Palatino Linotype" w:eastAsia="Palatino Linotype" w:hAnsi="Palatino Linotype" w:cs="Palatino Linotype"/>
          <w:b/>
          <w:sz w:val="22"/>
          <w:szCs w:val="22"/>
        </w:rPr>
      </w:pPr>
    </w:p>
    <w:p w14:paraId="7D9803C8"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t xml:space="preserve">Argumento que encuentra sustento en la jurisprudencia P./J. 32/92 emitida por el Pleno de la Suprema Corte de Justicia de la Nación </w:t>
      </w:r>
      <w:r w:rsidRPr="00897E4A">
        <w:rPr>
          <w:rFonts w:ascii="Palatino Linotype" w:eastAsia="Palatino Linotype" w:hAnsi="Palatino Linotype" w:cs="Palatino Linotype"/>
          <w:sz w:val="22"/>
          <w:szCs w:val="22"/>
        </w:rPr>
        <w:t>del rubro</w:t>
      </w:r>
      <w:r w:rsidRPr="00897E4A">
        <w:rPr>
          <w:rFonts w:ascii="Palatino Linotype" w:eastAsia="Palatino Linotype" w:hAnsi="Palatino Linotype" w:cs="Palatino Linotype"/>
          <w:color w:val="000000"/>
          <w:sz w:val="22"/>
          <w:szCs w:val="22"/>
        </w:rPr>
        <w:t xml:space="preserve"> “TÉRMINOS PROCESALES. PARA DETERMINAR SI UN FUNCIONARIO JUDICIAL ACTUÓ INDEBIDAMENTE POR NO RESPETARLOS SE DEBE ATENDER AL PRESUPUESTO QUE CONSIDERÓ EL LEGISLADOR AL FIJARLOS Y LAS CARACTERÍSTICAS DEL CASO.”, visible en la Gaceta del </w:t>
      </w:r>
      <w:r w:rsidRPr="00897E4A">
        <w:rPr>
          <w:rFonts w:ascii="Palatino Linotype" w:eastAsia="Palatino Linotype" w:hAnsi="Palatino Linotype" w:cs="Palatino Linotype"/>
          <w:sz w:val="22"/>
          <w:szCs w:val="22"/>
        </w:rPr>
        <w:t>Semanario</w:t>
      </w:r>
      <w:r w:rsidRPr="00897E4A">
        <w:rPr>
          <w:rFonts w:ascii="Palatino Linotype" w:eastAsia="Palatino Linotype" w:hAnsi="Palatino Linotype" w:cs="Palatino Linotype"/>
          <w:color w:val="000000"/>
          <w:sz w:val="22"/>
          <w:szCs w:val="22"/>
        </w:rPr>
        <w:t xml:space="preserve"> Judicial de la Federación con el registro digital 205635.</w:t>
      </w:r>
    </w:p>
    <w:p w14:paraId="4BD5FD47" w14:textId="77777777" w:rsidR="008D36C8" w:rsidRPr="00897E4A" w:rsidRDefault="008D36C8">
      <w:pPr>
        <w:spacing w:line="360" w:lineRule="auto"/>
        <w:jc w:val="both"/>
        <w:rPr>
          <w:rFonts w:ascii="Palatino Linotype" w:eastAsia="Palatino Linotype" w:hAnsi="Palatino Linotype" w:cs="Palatino Linotype"/>
          <w:b/>
          <w:sz w:val="22"/>
          <w:szCs w:val="22"/>
        </w:rPr>
      </w:pPr>
    </w:p>
    <w:p w14:paraId="6B625CBD"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8CB798" w14:textId="77777777" w:rsidR="008D36C8" w:rsidRPr="00897E4A" w:rsidRDefault="008D36C8">
      <w:pPr>
        <w:spacing w:line="360" w:lineRule="auto"/>
        <w:jc w:val="both"/>
        <w:rPr>
          <w:rFonts w:ascii="Palatino Linotype" w:eastAsia="Palatino Linotype" w:hAnsi="Palatino Linotype" w:cs="Palatino Linotype"/>
          <w:b/>
          <w:sz w:val="22"/>
          <w:szCs w:val="22"/>
        </w:rPr>
      </w:pPr>
    </w:p>
    <w:p w14:paraId="2C6C22A7"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14:paraId="4B7A31BD" w14:textId="77777777" w:rsidR="00E23F53" w:rsidRPr="00897E4A" w:rsidRDefault="00E23F53" w:rsidP="00E23F53">
      <w:pPr>
        <w:spacing w:line="360" w:lineRule="auto"/>
        <w:jc w:val="both"/>
        <w:rPr>
          <w:rFonts w:ascii="Palatino Linotype" w:eastAsia="Palatino Linotype" w:hAnsi="Palatino Linotype" w:cs="Palatino Linotype"/>
          <w:b/>
          <w:sz w:val="22"/>
          <w:szCs w:val="22"/>
        </w:rPr>
      </w:pPr>
    </w:p>
    <w:p w14:paraId="29D30E08" w14:textId="77777777" w:rsidR="008D36C8" w:rsidRPr="00897E4A" w:rsidRDefault="00036B21">
      <w:pPr>
        <w:pBdr>
          <w:top w:val="nil"/>
          <w:left w:val="nil"/>
          <w:bottom w:val="nil"/>
          <w:right w:val="nil"/>
          <w:between w:val="nil"/>
        </w:pBdr>
        <w:tabs>
          <w:tab w:val="left" w:pos="426"/>
          <w:tab w:val="left" w:pos="567"/>
        </w:tabs>
        <w:ind w:left="540" w:right="687"/>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14:paraId="20CE11BD" w14:textId="77777777" w:rsidR="008D36C8" w:rsidRPr="00897E4A" w:rsidRDefault="008D36C8">
      <w:pPr>
        <w:pBdr>
          <w:top w:val="nil"/>
          <w:left w:val="nil"/>
          <w:bottom w:val="nil"/>
          <w:right w:val="nil"/>
          <w:between w:val="nil"/>
        </w:pBdr>
        <w:tabs>
          <w:tab w:val="left" w:pos="426"/>
          <w:tab w:val="left" w:pos="567"/>
        </w:tabs>
        <w:ind w:left="540" w:right="687"/>
        <w:jc w:val="both"/>
        <w:rPr>
          <w:rFonts w:ascii="Palatino Linotype" w:eastAsia="Palatino Linotype" w:hAnsi="Palatino Linotype" w:cs="Palatino Linotype"/>
          <w:color w:val="000000"/>
          <w:sz w:val="22"/>
          <w:szCs w:val="22"/>
        </w:rPr>
      </w:pPr>
    </w:p>
    <w:p w14:paraId="1C8B486B" w14:textId="77777777" w:rsidR="008D36C8" w:rsidRPr="00897E4A" w:rsidRDefault="00036B21">
      <w:pPr>
        <w:pBdr>
          <w:top w:val="nil"/>
          <w:left w:val="nil"/>
          <w:bottom w:val="nil"/>
          <w:right w:val="nil"/>
          <w:between w:val="nil"/>
        </w:pBdr>
        <w:tabs>
          <w:tab w:val="left" w:pos="426"/>
          <w:tab w:val="left" w:pos="567"/>
        </w:tabs>
        <w:ind w:left="540" w:right="687"/>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Seminario Judicial de la Federación y su gaceta, con el registro digital 2002350.</w:t>
      </w:r>
    </w:p>
    <w:p w14:paraId="2665F2A9" w14:textId="77777777" w:rsidR="008D36C8" w:rsidRPr="00897E4A" w:rsidRDefault="008D36C8">
      <w:pPr>
        <w:spacing w:line="360" w:lineRule="auto"/>
        <w:jc w:val="both"/>
        <w:rPr>
          <w:rFonts w:ascii="Palatino Linotype" w:eastAsia="Palatino Linotype" w:hAnsi="Palatino Linotype" w:cs="Palatino Linotype"/>
          <w:b/>
          <w:sz w:val="22"/>
          <w:szCs w:val="22"/>
        </w:rPr>
      </w:pPr>
    </w:p>
    <w:p w14:paraId="301B034E" w14:textId="77777777" w:rsidR="008D36C8" w:rsidRPr="00897E4A" w:rsidRDefault="00036B21">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color w:val="000000"/>
          <w:sz w:val="22"/>
          <w:szCs w:val="22"/>
        </w:rPr>
        <w:t>Por ello, este Organismo Garante comprometido con la tutela de los derechos humanos confiados, señala que este exceso del plazo legal para resolver el presente asunto, resulta de carácter excepcional.</w:t>
      </w:r>
    </w:p>
    <w:p w14:paraId="175A8CDF" w14:textId="77777777" w:rsidR="008D36C8" w:rsidRPr="00897E4A" w:rsidRDefault="008D36C8">
      <w:pPr>
        <w:spacing w:line="360" w:lineRule="auto"/>
        <w:jc w:val="both"/>
        <w:rPr>
          <w:rFonts w:ascii="Palatino Linotype" w:eastAsia="Palatino Linotype" w:hAnsi="Palatino Linotype" w:cs="Palatino Linotype"/>
          <w:b/>
          <w:sz w:val="22"/>
          <w:szCs w:val="22"/>
        </w:rPr>
      </w:pPr>
    </w:p>
    <w:p w14:paraId="07DB1012" w14:textId="77777777" w:rsidR="008D36C8" w:rsidRPr="00897E4A" w:rsidRDefault="00036B21" w:rsidP="00A308A5">
      <w:pPr>
        <w:numPr>
          <w:ilvl w:val="0"/>
          <w:numId w:val="2"/>
        </w:numPr>
        <w:spacing w:line="360" w:lineRule="auto"/>
        <w:ind w:left="0"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sz w:val="22"/>
          <w:szCs w:val="22"/>
        </w:rPr>
        <w:lastRenderedPageBreak/>
        <w:t xml:space="preserve">La Comisionada Ponente decretó el cierre de instrucción mediante acuerdo del </w:t>
      </w:r>
      <w:r w:rsidR="00612CB2" w:rsidRPr="00897E4A">
        <w:rPr>
          <w:rFonts w:ascii="Palatino Linotype" w:eastAsia="Palatino Linotype" w:hAnsi="Palatino Linotype" w:cs="Palatino Linotype"/>
          <w:sz w:val="22"/>
          <w:szCs w:val="22"/>
        </w:rPr>
        <w:t xml:space="preserve">once de septiembre </w:t>
      </w:r>
      <w:r w:rsidRPr="00897E4A">
        <w:rPr>
          <w:rFonts w:ascii="Palatino Linotype" w:eastAsia="Palatino Linotype" w:hAnsi="Palatino Linotype" w:cs="Palatino Linotype"/>
          <w:sz w:val="22"/>
          <w:szCs w:val="22"/>
        </w:rPr>
        <w:t>de dos mil veinticuatro, por lo que, ordenó turnar el expediente a resolución, misma que a continuación se pronuncia.------------------------------------------</w:t>
      </w:r>
      <w:r w:rsidR="00612CB2" w:rsidRPr="00897E4A">
        <w:rPr>
          <w:rFonts w:ascii="Palatino Linotype" w:eastAsia="Palatino Linotype" w:hAnsi="Palatino Linotype" w:cs="Palatino Linotype"/>
          <w:sz w:val="22"/>
          <w:szCs w:val="22"/>
        </w:rPr>
        <w:t>----------------------------</w:t>
      </w:r>
    </w:p>
    <w:p w14:paraId="7A0439D5" w14:textId="77777777" w:rsidR="008D36C8" w:rsidRPr="00897E4A" w:rsidRDefault="00036B21">
      <w:pPr>
        <w:keepNext/>
        <w:keepLines/>
        <w:spacing w:before="240" w:after="240" w:line="360" w:lineRule="auto"/>
        <w:jc w:val="center"/>
        <w:rPr>
          <w:rFonts w:ascii="Palatino Linotype" w:eastAsia="Palatino Linotype" w:hAnsi="Palatino Linotype" w:cs="Palatino Linotype"/>
          <w:b/>
          <w:sz w:val="22"/>
          <w:szCs w:val="22"/>
        </w:rPr>
      </w:pPr>
      <w:bookmarkStart w:id="3" w:name="_heading=h.3znysh7" w:colFirst="0" w:colLast="0"/>
      <w:bookmarkEnd w:id="3"/>
      <w:r w:rsidRPr="00897E4A">
        <w:rPr>
          <w:rFonts w:ascii="Palatino Linotype" w:eastAsia="Palatino Linotype" w:hAnsi="Palatino Linotype" w:cs="Palatino Linotype"/>
          <w:b/>
          <w:sz w:val="22"/>
          <w:szCs w:val="22"/>
        </w:rPr>
        <w:t>C O N S I D E R A N D O</w:t>
      </w:r>
    </w:p>
    <w:p w14:paraId="0F2BA288" w14:textId="77777777" w:rsidR="008D36C8" w:rsidRPr="00897E4A" w:rsidRDefault="00036B21">
      <w:pPr>
        <w:keepNext/>
        <w:keepLines/>
        <w:spacing w:before="240" w:after="240" w:line="360" w:lineRule="auto"/>
        <w:rPr>
          <w:rFonts w:ascii="Palatino Linotype" w:eastAsia="Palatino Linotype" w:hAnsi="Palatino Linotype" w:cs="Palatino Linotype"/>
          <w:b/>
          <w:sz w:val="22"/>
          <w:szCs w:val="22"/>
        </w:rPr>
      </w:pPr>
      <w:bookmarkStart w:id="4" w:name="_heading=h.2et92p0" w:colFirst="0" w:colLast="0"/>
      <w:bookmarkEnd w:id="4"/>
      <w:r w:rsidRPr="00897E4A">
        <w:rPr>
          <w:rFonts w:ascii="Palatino Linotype" w:eastAsia="Palatino Linotype" w:hAnsi="Palatino Linotype" w:cs="Palatino Linotype"/>
          <w:b/>
          <w:sz w:val="22"/>
          <w:szCs w:val="22"/>
        </w:rPr>
        <w:t>PRIMERO. De la competencia.</w:t>
      </w:r>
    </w:p>
    <w:p w14:paraId="18070284" w14:textId="77777777" w:rsidR="008D36C8" w:rsidRPr="00897E4A" w:rsidRDefault="00036B21">
      <w:pPr>
        <w:numPr>
          <w:ilvl w:val="0"/>
          <w:numId w:val="2"/>
        </w:numPr>
        <w:spacing w:before="240" w:line="360" w:lineRule="auto"/>
        <w:ind w:left="0" w:firstLine="0"/>
        <w:jc w:val="both"/>
        <w:rPr>
          <w:rFonts w:ascii="Palatino Linotype" w:eastAsia="Palatino Linotype" w:hAnsi="Palatino Linotype" w:cs="Palatino Linotype"/>
          <w:b/>
          <w:sz w:val="22"/>
          <w:szCs w:val="22"/>
        </w:rPr>
      </w:pPr>
      <w:bookmarkStart w:id="5" w:name="_heading=h.tyjcwt" w:colFirst="0" w:colLast="0"/>
      <w:bookmarkEnd w:id="5"/>
      <w:r w:rsidRPr="00897E4A">
        <w:rPr>
          <w:rFonts w:ascii="Palatino Linotype" w:eastAsia="Palatino Linotype" w:hAnsi="Palatino Linotype" w:cs="Palatino Linotype"/>
          <w:sz w:val="22"/>
          <w:szCs w:val="22"/>
        </w:rPr>
        <w:t xml:space="preserve">Este </w:t>
      </w:r>
      <w:r w:rsidRPr="00897E4A">
        <w:rPr>
          <w:rFonts w:ascii="Palatino Linotype" w:eastAsia="Palatino Linotype" w:hAnsi="Palatino Linotype" w:cs="Palatino Linotype"/>
          <w:color w:val="222222"/>
          <w:sz w:val="22"/>
          <w:szCs w:val="22"/>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FF843E3" w14:textId="77777777" w:rsidR="008D36C8" w:rsidRPr="00897E4A" w:rsidRDefault="008D36C8">
      <w:pPr>
        <w:spacing w:line="360" w:lineRule="auto"/>
        <w:jc w:val="both"/>
        <w:rPr>
          <w:rFonts w:ascii="Palatino Linotype" w:eastAsia="Palatino Linotype" w:hAnsi="Palatino Linotype" w:cs="Palatino Linotype"/>
          <w:b/>
          <w:sz w:val="22"/>
          <w:szCs w:val="22"/>
        </w:rPr>
      </w:pPr>
    </w:p>
    <w:p w14:paraId="525155AC" w14:textId="77777777" w:rsidR="008D36C8" w:rsidRPr="00897E4A" w:rsidRDefault="00036B21">
      <w:pPr>
        <w:keepNext/>
        <w:keepLines/>
        <w:spacing w:after="240" w:line="360" w:lineRule="auto"/>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b/>
          <w:sz w:val="22"/>
          <w:szCs w:val="22"/>
        </w:rPr>
        <w:t>SEGUNDO. De la oportunidad y procedencia.</w:t>
      </w:r>
    </w:p>
    <w:p w14:paraId="15508B24" w14:textId="77777777" w:rsidR="008D36C8" w:rsidRPr="00897E4A" w:rsidRDefault="00036B21">
      <w:pPr>
        <w:numPr>
          <w:ilvl w:val="0"/>
          <w:numId w:val="2"/>
        </w:numPr>
        <w:spacing w:before="240" w:line="360" w:lineRule="auto"/>
        <w:ind w:left="0" w:right="48" w:firstLine="0"/>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sz w:val="22"/>
          <w:szCs w:val="22"/>
        </w:rPr>
        <w:t xml:space="preserve">El medio de impugnación fue presentado a través del </w:t>
      </w:r>
      <w:r w:rsidRPr="00897E4A">
        <w:rPr>
          <w:rFonts w:ascii="Palatino Linotype" w:eastAsia="Palatino Linotype" w:hAnsi="Palatino Linotype" w:cs="Palatino Linotype"/>
          <w:b/>
          <w:sz w:val="22"/>
          <w:szCs w:val="22"/>
        </w:rPr>
        <w:t>SAIMEX,</w:t>
      </w:r>
      <w:r w:rsidRPr="00897E4A">
        <w:rPr>
          <w:rFonts w:ascii="Palatino Linotype" w:eastAsia="Palatino Linotype" w:hAnsi="Palatino Linotype" w:cs="Palatino Linotype"/>
          <w:sz w:val="22"/>
          <w:szCs w:val="22"/>
        </w:rPr>
        <w:t xml:space="preserve"> en el formato previamente aprobado para tal efecto y dentro del plazo legal de quince días hábiles otorgados; para el caso en particular es de señalar que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sz w:val="22"/>
          <w:szCs w:val="22"/>
        </w:rPr>
        <w:t xml:space="preserve"> entregó respuestas el </w:t>
      </w:r>
      <w:r w:rsidR="00612CB2" w:rsidRPr="00897E4A">
        <w:rPr>
          <w:rFonts w:ascii="Palatino Linotype" w:eastAsia="Palatino Linotype" w:hAnsi="Palatino Linotype" w:cs="Palatino Linotype"/>
          <w:sz w:val="22"/>
          <w:szCs w:val="22"/>
        </w:rPr>
        <w:t>trece de junio de dos mil veinticuatro</w:t>
      </w:r>
      <w:r w:rsidRPr="00897E4A">
        <w:rPr>
          <w:rFonts w:ascii="Palatino Linotype" w:eastAsia="Palatino Linotype" w:hAnsi="Palatino Linotype" w:cs="Palatino Linotype"/>
          <w:sz w:val="22"/>
          <w:szCs w:val="22"/>
        </w:rPr>
        <w:t xml:space="preserve">, de tal forma que el plazo para interponer el recurso transcurrió del </w:t>
      </w:r>
      <w:r w:rsidR="00612CB2" w:rsidRPr="00897E4A">
        <w:rPr>
          <w:rFonts w:ascii="Palatino Linotype" w:eastAsia="Palatino Linotype" w:hAnsi="Palatino Linotype" w:cs="Palatino Linotype"/>
          <w:sz w:val="22"/>
          <w:szCs w:val="22"/>
        </w:rPr>
        <w:t>catorce de junio</w:t>
      </w:r>
      <w:r w:rsidRPr="00897E4A">
        <w:rPr>
          <w:rFonts w:ascii="Palatino Linotype" w:eastAsia="Palatino Linotype" w:hAnsi="Palatino Linotype" w:cs="Palatino Linotype"/>
          <w:sz w:val="22"/>
          <w:szCs w:val="22"/>
        </w:rPr>
        <w:t xml:space="preserve"> al </w:t>
      </w:r>
      <w:r w:rsidR="00612CB2" w:rsidRPr="00897E4A">
        <w:rPr>
          <w:rFonts w:ascii="Palatino Linotype" w:eastAsia="Palatino Linotype" w:hAnsi="Palatino Linotype" w:cs="Palatino Linotype"/>
          <w:sz w:val="22"/>
          <w:szCs w:val="22"/>
        </w:rPr>
        <w:t>cinco de julio de dos mil veinticuatro</w:t>
      </w:r>
      <w:r w:rsidRPr="00897E4A">
        <w:rPr>
          <w:rFonts w:ascii="Palatino Linotype" w:eastAsia="Palatino Linotype" w:hAnsi="Palatino Linotype" w:cs="Palatino Linotype"/>
          <w:sz w:val="22"/>
          <w:szCs w:val="22"/>
        </w:rPr>
        <w:t xml:space="preserve">; en consecuencia, si el </w:t>
      </w:r>
      <w:r w:rsidRPr="00897E4A">
        <w:rPr>
          <w:rFonts w:ascii="Palatino Linotype" w:eastAsia="Palatino Linotype" w:hAnsi="Palatino Linotype" w:cs="Palatino Linotype"/>
          <w:b/>
          <w:sz w:val="22"/>
          <w:szCs w:val="22"/>
        </w:rPr>
        <w:t>RECURRENTE</w:t>
      </w:r>
      <w:r w:rsidRPr="00897E4A">
        <w:rPr>
          <w:rFonts w:ascii="Palatino Linotype" w:eastAsia="Palatino Linotype" w:hAnsi="Palatino Linotype" w:cs="Palatino Linotype"/>
          <w:sz w:val="22"/>
          <w:szCs w:val="22"/>
        </w:rPr>
        <w:t xml:space="preserve"> presentó su inconformidad el </w:t>
      </w:r>
      <w:r w:rsidR="00612CB2" w:rsidRPr="00897E4A">
        <w:rPr>
          <w:rFonts w:ascii="Palatino Linotype" w:eastAsia="Palatino Linotype" w:hAnsi="Palatino Linotype" w:cs="Palatino Linotype"/>
          <w:sz w:val="22"/>
          <w:szCs w:val="22"/>
        </w:rPr>
        <w:t xml:space="preserve">catorce de junio de dos mil </w:t>
      </w:r>
      <w:r w:rsidR="00612CB2" w:rsidRPr="00897E4A">
        <w:rPr>
          <w:rFonts w:ascii="Palatino Linotype" w:eastAsia="Palatino Linotype" w:hAnsi="Palatino Linotype" w:cs="Palatino Linotype"/>
          <w:sz w:val="22"/>
          <w:szCs w:val="22"/>
        </w:rPr>
        <w:lastRenderedPageBreak/>
        <w:t>veinticuatro</w:t>
      </w:r>
      <w:r w:rsidRPr="00897E4A">
        <w:rPr>
          <w:rFonts w:ascii="Palatino Linotype" w:eastAsia="Palatino Linotype" w:hAnsi="Palatino Linotype" w:cs="Palatino Linotype"/>
          <w:sz w:val="22"/>
          <w:szCs w:val="22"/>
        </w:rPr>
        <w:t xml:space="preserve">, se encuentra dentro de los márgenes temporales previstos en el artículo 178 de la </w:t>
      </w:r>
      <w:r w:rsidRPr="00897E4A">
        <w:rPr>
          <w:rFonts w:ascii="Palatino Linotype" w:eastAsia="Palatino Linotype" w:hAnsi="Palatino Linotype" w:cs="Palatino Linotype"/>
          <w:b/>
          <w:sz w:val="22"/>
          <w:szCs w:val="22"/>
        </w:rPr>
        <w:t xml:space="preserve">Ley de Transparencia y Acceso a la Información Pública del Estado de México y Municipios </w:t>
      </w:r>
      <w:r w:rsidRPr="00897E4A">
        <w:rPr>
          <w:rFonts w:ascii="Palatino Linotype" w:eastAsia="Palatino Linotype" w:hAnsi="Palatino Linotype" w:cs="Palatino Linotype"/>
          <w:sz w:val="22"/>
          <w:szCs w:val="22"/>
        </w:rPr>
        <w:t>vigente.</w:t>
      </w:r>
    </w:p>
    <w:p w14:paraId="4DF6ADE2" w14:textId="77777777" w:rsidR="008D36C8" w:rsidRPr="00897E4A" w:rsidRDefault="008D36C8">
      <w:pPr>
        <w:spacing w:line="360" w:lineRule="auto"/>
        <w:ind w:right="48"/>
        <w:jc w:val="both"/>
        <w:rPr>
          <w:rFonts w:ascii="Palatino Linotype" w:eastAsia="Palatino Linotype" w:hAnsi="Palatino Linotype" w:cs="Palatino Linotype"/>
          <w:sz w:val="22"/>
          <w:szCs w:val="22"/>
        </w:rPr>
      </w:pPr>
    </w:p>
    <w:p w14:paraId="0B798DB9" w14:textId="77777777" w:rsidR="008D36C8" w:rsidRPr="00897E4A" w:rsidRDefault="00036B21">
      <w:pPr>
        <w:numPr>
          <w:ilvl w:val="0"/>
          <w:numId w:val="2"/>
        </w:numPr>
        <w:spacing w:line="360" w:lineRule="auto"/>
        <w:ind w:left="0" w:right="49" w:firstLine="0"/>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sz w:val="22"/>
          <w:szCs w:val="22"/>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13EA4C8" w14:textId="77777777" w:rsidR="008D36C8" w:rsidRPr="00897E4A" w:rsidRDefault="008D36C8">
      <w:pPr>
        <w:spacing w:line="360" w:lineRule="auto"/>
        <w:ind w:right="49"/>
        <w:jc w:val="both"/>
        <w:rPr>
          <w:rFonts w:ascii="Palatino Linotype" w:eastAsia="Palatino Linotype" w:hAnsi="Palatino Linotype" w:cs="Palatino Linotype"/>
          <w:b/>
          <w:sz w:val="22"/>
          <w:szCs w:val="22"/>
        </w:rPr>
      </w:pPr>
    </w:p>
    <w:p w14:paraId="6B447DCC" w14:textId="77777777" w:rsidR="008D36C8" w:rsidRPr="00897E4A" w:rsidRDefault="00036B21">
      <w:pPr>
        <w:keepNext/>
        <w:keepLines/>
        <w:spacing w:after="240" w:line="360" w:lineRule="auto"/>
        <w:ind w:right="48"/>
        <w:rPr>
          <w:rFonts w:ascii="Palatino Linotype" w:eastAsia="Palatino Linotype" w:hAnsi="Palatino Linotype" w:cs="Palatino Linotype"/>
          <w:b/>
          <w:sz w:val="22"/>
          <w:szCs w:val="22"/>
        </w:rPr>
      </w:pPr>
      <w:bookmarkStart w:id="6" w:name="_heading=h.3dy6vkm" w:colFirst="0" w:colLast="0"/>
      <w:bookmarkEnd w:id="6"/>
      <w:r w:rsidRPr="00897E4A">
        <w:rPr>
          <w:rFonts w:ascii="Palatino Linotype" w:eastAsia="Palatino Linotype" w:hAnsi="Palatino Linotype" w:cs="Palatino Linotype"/>
          <w:b/>
          <w:sz w:val="22"/>
          <w:szCs w:val="22"/>
        </w:rPr>
        <w:t>TERCERO. De las causales de sobreseimiento.</w:t>
      </w:r>
    </w:p>
    <w:p w14:paraId="3D9ADF97" w14:textId="77777777" w:rsidR="008D36C8" w:rsidRPr="00897E4A" w:rsidRDefault="00036B21">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El recurso de revisión </w:t>
      </w:r>
      <w:r w:rsidRPr="00897E4A">
        <w:rPr>
          <w:rFonts w:ascii="Palatino Linotype" w:eastAsia="Palatino Linotype" w:hAnsi="Palatino Linotype" w:cs="Palatino Linotype"/>
          <w:sz w:val="22"/>
          <w:szCs w:val="22"/>
        </w:rPr>
        <w:t xml:space="preserve">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897E4A">
        <w:rPr>
          <w:rFonts w:ascii="Palatino Linotype" w:eastAsia="Palatino Linotype" w:hAnsi="Palatino Linotype" w:cs="Palatino Linotype"/>
          <w:b/>
          <w:sz w:val="22"/>
          <w:szCs w:val="22"/>
          <w:u w:val="single"/>
        </w:rPr>
        <w:t>sobreseimiento</w:t>
      </w:r>
      <w:r w:rsidRPr="00897E4A">
        <w:rPr>
          <w:rFonts w:ascii="Palatino Linotype" w:eastAsia="Palatino Linotype" w:hAnsi="Palatino Linotype" w:cs="Palatino Linotype"/>
          <w:sz w:val="22"/>
          <w:szCs w:val="22"/>
        </w:rPr>
        <w:t xml:space="preserve">; y en su caso ordenar la entrega de la información con respecto a la respuesta emitida por el </w:t>
      </w:r>
      <w:r w:rsidRPr="00897E4A">
        <w:rPr>
          <w:rFonts w:ascii="Palatino Linotype" w:eastAsia="Palatino Linotype" w:hAnsi="Palatino Linotype" w:cs="Palatino Linotype"/>
          <w:b/>
          <w:sz w:val="22"/>
          <w:szCs w:val="22"/>
        </w:rPr>
        <w:t>SUJETO</w:t>
      </w:r>
      <w:r w:rsidRPr="00897E4A">
        <w:rPr>
          <w:rFonts w:ascii="Palatino Linotype" w:eastAsia="Palatino Linotype" w:hAnsi="Palatino Linotype" w:cs="Palatino Linotype"/>
          <w:sz w:val="22"/>
          <w:szCs w:val="22"/>
        </w:rPr>
        <w:t xml:space="preserve"> </w:t>
      </w:r>
      <w:r w:rsidRPr="00897E4A">
        <w:rPr>
          <w:rFonts w:ascii="Palatino Linotype" w:eastAsia="Palatino Linotype" w:hAnsi="Palatino Linotype" w:cs="Palatino Linotype"/>
          <w:b/>
          <w:sz w:val="22"/>
          <w:szCs w:val="22"/>
        </w:rPr>
        <w:t>OBLIGADO</w:t>
      </w:r>
      <w:r w:rsidRPr="00897E4A">
        <w:rPr>
          <w:rFonts w:ascii="Palatino Linotype" w:eastAsia="Palatino Linotype" w:hAnsi="Palatino Linotype" w:cs="Palatino Linotype"/>
          <w:sz w:val="22"/>
          <w:szCs w:val="22"/>
        </w:rPr>
        <w:t>.</w:t>
      </w:r>
    </w:p>
    <w:p w14:paraId="79806DA8" w14:textId="77777777" w:rsidR="008D36C8" w:rsidRPr="00897E4A" w:rsidRDefault="008D36C8">
      <w:pPr>
        <w:pBdr>
          <w:top w:val="nil"/>
          <w:left w:val="nil"/>
          <w:bottom w:val="nil"/>
          <w:right w:val="nil"/>
          <w:between w:val="nil"/>
        </w:pBdr>
        <w:spacing w:before="240"/>
        <w:ind w:right="48"/>
        <w:jc w:val="both"/>
        <w:rPr>
          <w:rFonts w:ascii="Palatino Linotype" w:eastAsia="Palatino Linotype" w:hAnsi="Palatino Linotype" w:cs="Palatino Linotype"/>
          <w:color w:val="000000"/>
          <w:sz w:val="22"/>
          <w:szCs w:val="22"/>
        </w:rPr>
      </w:pPr>
    </w:p>
    <w:p w14:paraId="4EFBC303" w14:textId="77777777" w:rsidR="008D36C8" w:rsidRPr="00897E4A" w:rsidRDefault="00036B21">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De </w:t>
      </w:r>
      <w:r w:rsidRPr="00897E4A">
        <w:rPr>
          <w:rFonts w:ascii="Palatino Linotype" w:eastAsia="Palatino Linotype" w:hAnsi="Palatino Linotype" w:cs="Palatino Linotype"/>
          <w:sz w:val="22"/>
          <w:szCs w:val="22"/>
        </w:rPr>
        <w:t xml:space="preserve">acuerdo al precepto legal contenido en la fracción III del artículo 192 de la </w:t>
      </w:r>
      <w:r w:rsidRPr="00897E4A">
        <w:rPr>
          <w:rFonts w:ascii="Palatino Linotype" w:eastAsia="Palatino Linotype" w:hAnsi="Palatino Linotype" w:cs="Palatino Linotype"/>
          <w:b/>
          <w:sz w:val="22"/>
          <w:szCs w:val="22"/>
        </w:rPr>
        <w:t>Ley de Transparencia y Acceso a la Información Pública del Estado de México y Municipios</w:t>
      </w:r>
      <w:r w:rsidRPr="00897E4A">
        <w:rPr>
          <w:rFonts w:ascii="Palatino Linotype" w:eastAsia="Palatino Linotype" w:hAnsi="Palatino Linotype" w:cs="Palatino Linotype"/>
          <w:sz w:val="22"/>
          <w:szCs w:val="22"/>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2B752308" w14:textId="77777777" w:rsidR="008D36C8" w:rsidRPr="00897E4A" w:rsidRDefault="008D36C8">
      <w:pPr>
        <w:rPr>
          <w:rFonts w:ascii="Palatino Linotype" w:eastAsia="Palatino Linotype" w:hAnsi="Palatino Linotype" w:cs="Palatino Linotype"/>
          <w:color w:val="000000"/>
          <w:sz w:val="22"/>
          <w:szCs w:val="22"/>
        </w:rPr>
      </w:pPr>
    </w:p>
    <w:p w14:paraId="47CDB4AF" w14:textId="77777777" w:rsidR="008D36C8" w:rsidRPr="00897E4A" w:rsidRDefault="00036B21">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Para </w:t>
      </w:r>
      <w:r w:rsidRPr="00897E4A">
        <w:rPr>
          <w:rFonts w:ascii="Palatino Linotype" w:eastAsia="Palatino Linotype" w:hAnsi="Palatino Linotype" w:cs="Palatino Linotype"/>
          <w:sz w:val="22"/>
          <w:szCs w:val="22"/>
        </w:rPr>
        <w:t xml:space="preserve">los efectos de esta resolución, es oportuno precisar los alcances jurídicos de la fracción III de la disposición legal transcrita. Así, procede el sobreseimiento del recurso de revisión cuando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sz w:val="22"/>
          <w:szCs w:val="22"/>
        </w:rPr>
        <w:t>:</w:t>
      </w:r>
    </w:p>
    <w:p w14:paraId="3999820E" w14:textId="77777777" w:rsidR="008D36C8" w:rsidRPr="00897E4A" w:rsidRDefault="00036B21">
      <w:pPr>
        <w:numPr>
          <w:ilvl w:val="0"/>
          <w:numId w:val="1"/>
        </w:numPr>
        <w:ind w:left="567" w:right="616" w:firstLine="0"/>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b/>
          <w:sz w:val="22"/>
          <w:szCs w:val="22"/>
        </w:rPr>
        <w:t>Modifique el acto impugnado:</w:t>
      </w:r>
      <w:r w:rsidRPr="00897E4A">
        <w:rPr>
          <w:rFonts w:ascii="Palatino Linotype" w:eastAsia="Palatino Linotype" w:hAnsi="Palatino Linotype" w:cs="Palatino Linotype"/>
          <w:sz w:val="22"/>
          <w:szCs w:val="22"/>
        </w:rPr>
        <w:t xml:space="preserve"> Se actualiza cuando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sz w:val="22"/>
          <w:szCs w:val="22"/>
        </w:rPr>
        <w:t xml:space="preserve"> después de haber otorgado una respuesta y hasta antes de dictada la resolución del recurso de revisión, emite una diversa en la que subsane las deficiencias que hubiera tenido.</w:t>
      </w:r>
    </w:p>
    <w:p w14:paraId="511F1CD1" w14:textId="77777777" w:rsidR="008D36C8" w:rsidRPr="00897E4A" w:rsidRDefault="008D36C8">
      <w:pPr>
        <w:ind w:left="567" w:right="616"/>
        <w:jc w:val="both"/>
        <w:rPr>
          <w:rFonts w:ascii="Palatino Linotype" w:eastAsia="Palatino Linotype" w:hAnsi="Palatino Linotype" w:cs="Palatino Linotype"/>
          <w:sz w:val="22"/>
          <w:szCs w:val="22"/>
        </w:rPr>
      </w:pPr>
    </w:p>
    <w:p w14:paraId="31A14D93" w14:textId="77777777" w:rsidR="008D36C8" w:rsidRPr="00897E4A" w:rsidRDefault="00036B21">
      <w:pPr>
        <w:numPr>
          <w:ilvl w:val="0"/>
          <w:numId w:val="1"/>
        </w:numPr>
        <w:ind w:left="567" w:right="616" w:firstLine="0"/>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b/>
          <w:sz w:val="22"/>
          <w:szCs w:val="22"/>
        </w:rPr>
        <w:t>Revoque el acto impugnado:</w:t>
      </w:r>
      <w:r w:rsidRPr="00897E4A">
        <w:rPr>
          <w:rFonts w:ascii="Palatino Linotype" w:eastAsia="Palatino Linotype" w:hAnsi="Palatino Linotype" w:cs="Palatino Linotype"/>
          <w:sz w:val="22"/>
          <w:szCs w:val="22"/>
        </w:rPr>
        <w:t xml:space="preserve"> En este supuesto,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sz w:val="22"/>
          <w:szCs w:val="22"/>
        </w:rPr>
        <w:t xml:space="preserve"> deja sin efectos la primera respuesta y en su lugar emite otra que satisfaga lo solicitado por el Particular en un primer momento.</w:t>
      </w:r>
    </w:p>
    <w:p w14:paraId="1429DD77" w14:textId="77777777" w:rsidR="008D36C8" w:rsidRPr="00897E4A" w:rsidRDefault="008D36C8">
      <w:pPr>
        <w:ind w:right="616"/>
        <w:jc w:val="both"/>
        <w:rPr>
          <w:rFonts w:ascii="Palatino Linotype" w:eastAsia="Palatino Linotype" w:hAnsi="Palatino Linotype" w:cs="Palatino Linotype"/>
          <w:sz w:val="22"/>
          <w:szCs w:val="22"/>
        </w:rPr>
      </w:pPr>
    </w:p>
    <w:p w14:paraId="2521E8A3" w14:textId="77777777" w:rsidR="008D36C8" w:rsidRPr="00897E4A" w:rsidRDefault="00036B21">
      <w:pPr>
        <w:numPr>
          <w:ilvl w:val="0"/>
          <w:numId w:val="2"/>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Las </w:t>
      </w:r>
      <w:r w:rsidRPr="00897E4A">
        <w:rPr>
          <w:rFonts w:ascii="Palatino Linotype" w:eastAsia="Palatino Linotype" w:hAnsi="Palatino Linotype" w:cs="Palatino Linotype"/>
          <w:sz w:val="22"/>
          <w:szCs w:val="22"/>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20E676DB" w14:textId="77777777" w:rsidR="008D36C8" w:rsidRPr="00897E4A" w:rsidRDefault="008D36C8" w:rsidP="00E23F53">
      <w:pPr>
        <w:pBdr>
          <w:top w:val="nil"/>
          <w:left w:val="nil"/>
          <w:bottom w:val="nil"/>
          <w:right w:val="nil"/>
          <w:between w:val="nil"/>
        </w:pBdr>
        <w:spacing w:before="240"/>
        <w:ind w:right="48"/>
        <w:jc w:val="both"/>
        <w:rPr>
          <w:rFonts w:ascii="Palatino Linotype" w:eastAsia="Palatino Linotype" w:hAnsi="Palatino Linotype" w:cs="Palatino Linotype"/>
          <w:color w:val="000000"/>
          <w:sz w:val="22"/>
          <w:szCs w:val="22"/>
        </w:rPr>
      </w:pPr>
    </w:p>
    <w:p w14:paraId="446A6788" w14:textId="77777777" w:rsidR="00F76CF3" w:rsidRPr="00897E4A" w:rsidRDefault="00036B21" w:rsidP="00F76CF3">
      <w:pPr>
        <w:numPr>
          <w:ilvl w:val="0"/>
          <w:numId w:val="2"/>
        </w:numPr>
        <w:pBdr>
          <w:top w:val="nil"/>
          <w:left w:val="nil"/>
          <w:bottom w:val="nil"/>
          <w:right w:val="nil"/>
          <w:between w:val="nil"/>
        </w:pBdr>
        <w:spacing w:before="240" w:line="276"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El </w:t>
      </w:r>
      <w:r w:rsidRPr="00897E4A">
        <w:rPr>
          <w:rFonts w:ascii="Palatino Linotype" w:eastAsia="Palatino Linotype" w:hAnsi="Palatino Linotype" w:cs="Palatino Linotype"/>
          <w:b/>
          <w:color w:val="000000"/>
          <w:sz w:val="22"/>
          <w:szCs w:val="22"/>
        </w:rPr>
        <w:t>RECURRENTE</w:t>
      </w:r>
      <w:r w:rsidRPr="00897E4A">
        <w:rPr>
          <w:rFonts w:ascii="Palatino Linotype" w:eastAsia="Palatino Linotype" w:hAnsi="Palatino Linotype" w:cs="Palatino Linotype"/>
          <w:color w:val="000000"/>
          <w:sz w:val="22"/>
          <w:szCs w:val="22"/>
        </w:rPr>
        <w:t xml:space="preserve"> solicitó, lo siguiente:</w:t>
      </w:r>
      <w:r w:rsidRPr="00897E4A">
        <w:rPr>
          <w:rFonts w:ascii="Palatino Linotype" w:eastAsia="Palatino Linotype" w:hAnsi="Palatino Linotype" w:cs="Palatino Linotype"/>
          <w:i/>
          <w:color w:val="000000"/>
          <w:sz w:val="22"/>
          <w:szCs w:val="22"/>
        </w:rPr>
        <w:t xml:space="preserve"> </w:t>
      </w:r>
      <w:r w:rsidR="00F76CF3" w:rsidRPr="00897E4A">
        <w:rPr>
          <w:rFonts w:ascii="Palatino Linotype" w:eastAsia="Palatino Linotype" w:hAnsi="Palatino Linotype" w:cs="Palatino Linotype"/>
          <w:i/>
          <w:color w:val="000000"/>
          <w:sz w:val="22"/>
          <w:szCs w:val="22"/>
        </w:rPr>
        <w:t>“</w:t>
      </w:r>
      <w:r w:rsidR="00F76CF3" w:rsidRPr="00897E4A">
        <w:rPr>
          <w:rFonts w:ascii="Palatino Linotype" w:hAnsi="Palatino Linotype"/>
          <w:i/>
          <w:color w:val="000000"/>
          <w:sz w:val="22"/>
          <w:szCs w:val="22"/>
        </w:rPr>
        <w:t xml:space="preserve">Solicitamos por este medio al director general de SEIEM nos proporcione la siguiente información en su versión pública. EN EL CALENDARIO DEL GEM 2024 INDICA, SEÑALA, MARCA EL DÍA 6 DE MAYO COMO DIA NO LABORABLE. PREGUNTA. - </w:t>
      </w:r>
      <w:r w:rsidR="00F76CF3" w:rsidRPr="00897E4A">
        <w:rPr>
          <w:rFonts w:ascii="Palatino Linotype" w:hAnsi="Palatino Linotype"/>
          <w:b/>
          <w:i/>
          <w:color w:val="000000"/>
          <w:sz w:val="22"/>
          <w:szCs w:val="22"/>
        </w:rPr>
        <w:t>Nombre, clave y dirección de las unidades administrativas dependiente del SEIEM en las que el personal adscrito a dichas unidades administrativas en comento no laboró o no trabajaron y cumplieron, ejecutaron, formalizaron y acataron</w:t>
      </w:r>
      <w:r w:rsidR="00F76CF3" w:rsidRPr="00897E4A">
        <w:rPr>
          <w:rFonts w:ascii="Palatino Linotype" w:hAnsi="Palatino Linotype"/>
          <w:i/>
          <w:color w:val="000000"/>
          <w:sz w:val="22"/>
          <w:szCs w:val="22"/>
        </w:rPr>
        <w:t xml:space="preserve"> </w:t>
      </w:r>
      <w:r w:rsidR="00F76CF3" w:rsidRPr="00897E4A">
        <w:rPr>
          <w:rFonts w:ascii="Palatino Linotype" w:hAnsi="Palatino Linotype"/>
          <w:b/>
          <w:i/>
          <w:color w:val="000000"/>
          <w:sz w:val="22"/>
          <w:szCs w:val="22"/>
        </w:rPr>
        <w:t xml:space="preserve">EL CALENDARIO DEL GEM 2024 QUE INDICA, SEÑALA, que el DÍA 6 DE MAYO NO tendrían que asistir a su unidad administrativa de adscripción correspondiente. </w:t>
      </w:r>
      <w:r w:rsidR="00F76CF3" w:rsidRPr="00897E4A">
        <w:rPr>
          <w:rFonts w:ascii="Palatino Linotype" w:hAnsi="Palatino Linotype"/>
          <w:i/>
          <w:color w:val="000000"/>
          <w:sz w:val="22"/>
          <w:szCs w:val="22"/>
        </w:rPr>
        <w:t xml:space="preserve">Esto bajo la Ley General de Protección de Datos Personales en Posesión de Autoridades, Órganos y Organismos de Gobierno, en su artículo 15. El responsable deberá observar los principios de legalidad, lealtad, consentimiento, calidad, </w:t>
      </w:r>
      <w:r w:rsidR="00F76CF3" w:rsidRPr="00897E4A">
        <w:rPr>
          <w:rFonts w:ascii="Palatino Linotype" w:hAnsi="Palatino Linotype"/>
          <w:i/>
          <w:color w:val="000000"/>
          <w:sz w:val="22"/>
          <w:szCs w:val="22"/>
        </w:rPr>
        <w:lastRenderedPageBreak/>
        <w:t>proporcionalidad, información y responsabilidad en el tratamiento de los datos personales, testando los datos sensibles de los servidores públicos y por tratarse de una información pública. Sin más por el momento, le envío un cordial saludo.</w:t>
      </w:r>
      <w:r w:rsidR="00F76CF3" w:rsidRPr="00897E4A">
        <w:rPr>
          <w:rFonts w:ascii="Palatino Linotype" w:eastAsia="Palatino Linotype" w:hAnsi="Palatino Linotype" w:cs="Palatino Linotype"/>
          <w:i/>
          <w:color w:val="000000"/>
          <w:sz w:val="22"/>
          <w:szCs w:val="22"/>
        </w:rPr>
        <w:t xml:space="preserve"> " (Sic)</w:t>
      </w:r>
    </w:p>
    <w:p w14:paraId="41129A2F" w14:textId="77777777" w:rsidR="00F76CF3" w:rsidRPr="00897E4A" w:rsidRDefault="00F76CF3" w:rsidP="00F76CF3">
      <w:pPr>
        <w:pBdr>
          <w:top w:val="nil"/>
          <w:left w:val="nil"/>
          <w:bottom w:val="nil"/>
          <w:right w:val="nil"/>
          <w:between w:val="nil"/>
        </w:pBdr>
        <w:spacing w:before="240" w:line="276" w:lineRule="auto"/>
        <w:ind w:right="48"/>
        <w:jc w:val="both"/>
        <w:rPr>
          <w:rFonts w:ascii="Palatino Linotype" w:eastAsia="Palatino Linotype" w:hAnsi="Palatino Linotype" w:cs="Palatino Linotype"/>
          <w:color w:val="000000"/>
          <w:sz w:val="22"/>
          <w:szCs w:val="22"/>
        </w:rPr>
      </w:pPr>
    </w:p>
    <w:p w14:paraId="01B1C562" w14:textId="77777777" w:rsidR="008D36C8" w:rsidRPr="00897E4A" w:rsidRDefault="008D36C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14:paraId="1BEDFEF2" w14:textId="77777777" w:rsidR="00F76CF3" w:rsidRPr="00897E4A" w:rsidRDefault="00036B21" w:rsidP="00F76CF3">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b/>
          <w:color w:val="000000"/>
          <w:sz w:val="22"/>
          <w:szCs w:val="22"/>
        </w:rPr>
      </w:pPr>
      <w:r w:rsidRPr="00897E4A">
        <w:rPr>
          <w:rFonts w:ascii="Palatino Linotype" w:eastAsia="Palatino Linotype" w:hAnsi="Palatino Linotype" w:cs="Palatino Linotype"/>
          <w:color w:val="000000"/>
          <w:sz w:val="22"/>
          <w:szCs w:val="22"/>
        </w:rPr>
        <w:t xml:space="preserve">En respuesta, el </w:t>
      </w:r>
      <w:r w:rsidRPr="00897E4A">
        <w:rPr>
          <w:rFonts w:ascii="Palatino Linotype" w:eastAsia="Palatino Linotype" w:hAnsi="Palatino Linotype" w:cs="Palatino Linotype"/>
          <w:b/>
          <w:color w:val="000000"/>
          <w:sz w:val="22"/>
          <w:szCs w:val="22"/>
        </w:rPr>
        <w:t>SUJETO OBLIGADO</w:t>
      </w:r>
      <w:r w:rsidRPr="00897E4A">
        <w:rPr>
          <w:rFonts w:ascii="Palatino Linotype" w:eastAsia="Palatino Linotype" w:hAnsi="Palatino Linotype" w:cs="Palatino Linotype"/>
          <w:color w:val="000000"/>
          <w:sz w:val="22"/>
          <w:szCs w:val="22"/>
        </w:rPr>
        <w:t xml:space="preserve"> por medio d</w:t>
      </w:r>
      <w:r w:rsidR="00F76CF3" w:rsidRPr="00897E4A">
        <w:rPr>
          <w:rFonts w:ascii="Palatino Linotype" w:eastAsia="Palatino Linotype" w:hAnsi="Palatino Linotype" w:cs="Palatino Linotype"/>
          <w:color w:val="000000"/>
          <w:sz w:val="22"/>
          <w:szCs w:val="22"/>
        </w:rPr>
        <w:t xml:space="preserve">el </w:t>
      </w:r>
      <w:r w:rsidR="00F76CF3" w:rsidRPr="00897E4A">
        <w:rPr>
          <w:rFonts w:ascii="Palatino Linotype" w:hAnsi="Palatino Linotype"/>
          <w:sz w:val="22"/>
          <w:szCs w:val="22"/>
        </w:rPr>
        <w:t xml:space="preserve">Encargado del Despacho del Departamento de Registro y Archivo, informó que es responsabilidad de las Coordinaciones, Unidades y Direcciones de área, entregar el "Reporte mensual de puntualidad y asistencia" dentro de los 15 días hábiles posteriores al mes que se reporte, por lo tanto, </w:t>
      </w:r>
      <w:r w:rsidR="00F76CF3" w:rsidRPr="00897E4A">
        <w:rPr>
          <w:rFonts w:ascii="Palatino Linotype" w:hAnsi="Palatino Linotype"/>
          <w:b/>
          <w:sz w:val="22"/>
          <w:szCs w:val="22"/>
        </w:rPr>
        <w:t>no cuenta con los reportes emitidos por las Unidades Administrativas en mención correspondientes al mes de Mayo.</w:t>
      </w:r>
    </w:p>
    <w:p w14:paraId="145A4231" w14:textId="77777777" w:rsidR="008D36C8" w:rsidRPr="00897E4A" w:rsidRDefault="008D36C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14:paraId="65AA05B9" w14:textId="77777777" w:rsidR="00F76CF3" w:rsidRPr="00897E4A" w:rsidRDefault="00036B21" w:rsidP="00F76CF3">
      <w:pPr>
        <w:numPr>
          <w:ilvl w:val="0"/>
          <w:numId w:val="2"/>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Inconforme con la respuesta, el </w:t>
      </w:r>
      <w:r w:rsidRPr="00897E4A">
        <w:rPr>
          <w:rFonts w:ascii="Palatino Linotype" w:eastAsia="Palatino Linotype" w:hAnsi="Palatino Linotype" w:cs="Palatino Linotype"/>
          <w:b/>
          <w:color w:val="000000"/>
          <w:sz w:val="22"/>
          <w:szCs w:val="22"/>
        </w:rPr>
        <w:t xml:space="preserve">RECURRENTE </w:t>
      </w:r>
      <w:r w:rsidRPr="00897E4A">
        <w:rPr>
          <w:rFonts w:ascii="Palatino Linotype" w:eastAsia="Palatino Linotype" w:hAnsi="Palatino Linotype" w:cs="Palatino Linotype"/>
          <w:color w:val="000000"/>
          <w:sz w:val="22"/>
          <w:szCs w:val="22"/>
        </w:rPr>
        <w:t>interpuso el</w:t>
      </w:r>
      <w:r w:rsidRPr="00897E4A">
        <w:rPr>
          <w:rFonts w:ascii="Palatino Linotype" w:eastAsia="Palatino Linotype" w:hAnsi="Palatino Linotype" w:cs="Palatino Linotype"/>
          <w:b/>
          <w:color w:val="000000"/>
          <w:sz w:val="22"/>
          <w:szCs w:val="22"/>
        </w:rPr>
        <w:t xml:space="preserve"> </w:t>
      </w:r>
      <w:r w:rsidRPr="00897E4A">
        <w:rPr>
          <w:rFonts w:ascii="Palatino Linotype" w:eastAsia="Palatino Linotype" w:hAnsi="Palatino Linotype" w:cs="Palatino Linotype"/>
          <w:color w:val="000000"/>
          <w:sz w:val="22"/>
          <w:szCs w:val="22"/>
        </w:rPr>
        <w:t xml:space="preserve">recurso de revisión número </w:t>
      </w:r>
      <w:r w:rsidR="00F76CF3" w:rsidRPr="00897E4A">
        <w:rPr>
          <w:rFonts w:ascii="Palatino Linotype" w:eastAsia="Palatino Linotype" w:hAnsi="Palatino Linotype" w:cs="Palatino Linotype"/>
          <w:b/>
          <w:color w:val="000000"/>
          <w:sz w:val="22"/>
          <w:szCs w:val="22"/>
        </w:rPr>
        <w:t>03643/INFOEM/IP/RR/2024</w:t>
      </w:r>
      <w:r w:rsidRPr="00897E4A">
        <w:rPr>
          <w:rFonts w:ascii="Palatino Linotype" w:eastAsia="Palatino Linotype" w:hAnsi="Palatino Linotype" w:cs="Palatino Linotype"/>
          <w:color w:val="000000"/>
          <w:sz w:val="22"/>
          <w:szCs w:val="22"/>
        </w:rPr>
        <w:t xml:space="preserve">, donde </w:t>
      </w:r>
      <w:r w:rsidR="00F76CF3" w:rsidRPr="00897E4A">
        <w:rPr>
          <w:rFonts w:ascii="Palatino Linotype" w:eastAsia="Palatino Linotype" w:hAnsi="Palatino Linotype" w:cs="Palatino Linotype"/>
          <w:color w:val="000000"/>
          <w:sz w:val="22"/>
          <w:szCs w:val="22"/>
        </w:rPr>
        <w:t>manifestó</w:t>
      </w:r>
      <w:r w:rsidRPr="00897E4A">
        <w:rPr>
          <w:rFonts w:ascii="Palatino Linotype" w:eastAsia="Palatino Linotype" w:hAnsi="Palatino Linotype" w:cs="Palatino Linotype"/>
          <w:color w:val="000000"/>
          <w:sz w:val="22"/>
          <w:szCs w:val="22"/>
        </w:rPr>
        <w:t xml:space="preserve"> </w:t>
      </w:r>
      <w:r w:rsidR="00F76CF3" w:rsidRPr="00897E4A">
        <w:rPr>
          <w:rFonts w:ascii="Palatino Linotype" w:eastAsia="Palatino Linotype" w:hAnsi="Palatino Linotype" w:cs="Palatino Linotype"/>
          <w:color w:val="000000"/>
          <w:sz w:val="22"/>
          <w:szCs w:val="22"/>
        </w:rPr>
        <w:t xml:space="preserve">la negativa de la información solicitada, en los siguientes términos: </w:t>
      </w:r>
      <w:r w:rsidR="00F76CF3" w:rsidRPr="00897E4A">
        <w:rPr>
          <w:rFonts w:ascii="Palatino Linotype" w:eastAsia="Palatino Linotype" w:hAnsi="Palatino Linotype" w:cs="Palatino Linotype"/>
          <w:i/>
          <w:sz w:val="22"/>
          <w:szCs w:val="22"/>
        </w:rPr>
        <w:t>“</w:t>
      </w:r>
      <w:r w:rsidR="00F76CF3" w:rsidRPr="00897E4A">
        <w:rPr>
          <w:rFonts w:ascii="Palatino Linotype" w:hAnsi="Palatino Linotype"/>
          <w:i/>
          <w:color w:val="000000"/>
          <w:sz w:val="22"/>
          <w:szCs w:val="22"/>
        </w:rPr>
        <w:t>…solo requerimos saber que unidades administrativas dependiente del SEIEM cerraron y no dieron servicio el DÍA 6 DE MAYO de 2024 tal como lo establece EL CALENDARIO DEL GEM. 2024.</w:t>
      </w:r>
      <w:r w:rsidR="00F76CF3" w:rsidRPr="00897E4A">
        <w:rPr>
          <w:rFonts w:ascii="Palatino Linotype" w:eastAsia="Palatino Linotype" w:hAnsi="Palatino Linotype" w:cs="Palatino Linotype"/>
          <w:i/>
          <w:color w:val="000000"/>
          <w:sz w:val="22"/>
          <w:szCs w:val="22"/>
        </w:rPr>
        <w:t>” (Sic)</w:t>
      </w:r>
    </w:p>
    <w:p w14:paraId="46AA85B0" w14:textId="77777777" w:rsidR="008D36C8" w:rsidRPr="00897E4A" w:rsidRDefault="008D36C8">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p>
    <w:p w14:paraId="16D797F7" w14:textId="77777777" w:rsidR="00F76CF3" w:rsidRPr="00897E4A" w:rsidRDefault="00036B21" w:rsidP="00E23F53">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No obstante, </w:t>
      </w:r>
      <w:r w:rsidR="00226F34" w:rsidRPr="00897E4A">
        <w:rPr>
          <w:rFonts w:ascii="Palatino Linotype" w:eastAsia="Palatino Linotype" w:hAnsi="Palatino Linotype" w:cs="Palatino Linotype"/>
          <w:color w:val="000000"/>
          <w:sz w:val="22"/>
          <w:szCs w:val="22"/>
        </w:rPr>
        <w:t>a través</w:t>
      </w:r>
      <w:r w:rsidRPr="00897E4A">
        <w:rPr>
          <w:rFonts w:ascii="Palatino Linotype" w:eastAsia="Palatino Linotype" w:hAnsi="Palatino Linotype" w:cs="Palatino Linotype"/>
          <w:color w:val="000000"/>
          <w:sz w:val="22"/>
          <w:szCs w:val="22"/>
        </w:rPr>
        <w:t xml:space="preserve"> un acto </w:t>
      </w:r>
      <w:r w:rsidRPr="00897E4A">
        <w:rPr>
          <w:rFonts w:ascii="Palatino Linotype" w:eastAsia="Palatino Linotype" w:hAnsi="Palatino Linotype" w:cs="Palatino Linotype"/>
          <w:sz w:val="22"/>
          <w:szCs w:val="22"/>
        </w:rPr>
        <w:t xml:space="preserve">jurídico posterior como lo es el informe justificado,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color w:val="000000"/>
          <w:sz w:val="22"/>
          <w:szCs w:val="22"/>
        </w:rPr>
        <w:t xml:space="preserve"> por medio del </w:t>
      </w:r>
      <w:r w:rsidR="00F76CF3" w:rsidRPr="00897E4A">
        <w:rPr>
          <w:rFonts w:ascii="Palatino Linotype" w:eastAsia="Palatino Linotype" w:hAnsi="Palatino Linotype" w:cs="Palatino Linotype"/>
          <w:sz w:val="22"/>
          <w:szCs w:val="22"/>
        </w:rPr>
        <w:t>Servidor Público Habilitado del Despacho del Departamento de Registro y Archivo</w:t>
      </w:r>
      <w:r w:rsidRPr="00897E4A">
        <w:rPr>
          <w:rFonts w:ascii="Palatino Linotype" w:eastAsia="Palatino Linotype" w:hAnsi="Palatino Linotype" w:cs="Palatino Linotype"/>
          <w:sz w:val="22"/>
          <w:szCs w:val="22"/>
        </w:rPr>
        <w:t xml:space="preserve">, </w:t>
      </w:r>
      <w:r w:rsidR="005A467F" w:rsidRPr="00897E4A">
        <w:rPr>
          <w:rFonts w:ascii="Palatino Linotype" w:eastAsia="Palatino Linotype" w:hAnsi="Palatino Linotype" w:cs="Palatino Linotype"/>
          <w:sz w:val="22"/>
          <w:szCs w:val="22"/>
        </w:rPr>
        <w:t xml:space="preserve">informó </w:t>
      </w:r>
      <w:r w:rsidR="00F76CF3" w:rsidRPr="00897E4A">
        <w:rPr>
          <w:rFonts w:ascii="Palatino Linotype" w:eastAsia="Palatino Linotype" w:hAnsi="Palatino Linotype" w:cs="Palatino Linotype"/>
          <w:sz w:val="22"/>
          <w:szCs w:val="22"/>
        </w:rPr>
        <w:t>conforme a</w:t>
      </w:r>
      <w:r w:rsidR="00226F34" w:rsidRPr="00897E4A">
        <w:rPr>
          <w:rFonts w:ascii="Palatino Linotype" w:eastAsia="Palatino Linotype" w:hAnsi="Palatino Linotype" w:cs="Palatino Linotype"/>
          <w:sz w:val="22"/>
          <w:szCs w:val="22"/>
        </w:rPr>
        <w:t xml:space="preserve"> los “Reportes Mensuales de Incidencias de Puntualidad y Asistencia” del mes de mayo, de cada Unidad Administrativa </w:t>
      </w:r>
      <w:r w:rsidR="005A467F" w:rsidRPr="00897E4A">
        <w:rPr>
          <w:rFonts w:ascii="Palatino Linotype" w:eastAsia="Palatino Linotype" w:hAnsi="Palatino Linotype" w:cs="Palatino Linotype"/>
          <w:sz w:val="22"/>
          <w:szCs w:val="22"/>
        </w:rPr>
        <w:t>del</w:t>
      </w:r>
      <w:r w:rsidR="00226F34" w:rsidRPr="00897E4A">
        <w:rPr>
          <w:rFonts w:ascii="Palatino Linotype" w:eastAsia="Palatino Linotype" w:hAnsi="Palatino Linotype" w:cs="Palatino Linotype"/>
          <w:sz w:val="22"/>
          <w:szCs w:val="22"/>
        </w:rPr>
        <w:t xml:space="preserve"> Organismo: </w:t>
      </w:r>
      <w:r w:rsidR="00226F34" w:rsidRPr="00897E4A">
        <w:rPr>
          <w:rFonts w:ascii="Palatino Linotype" w:eastAsia="Palatino Linotype" w:hAnsi="Palatino Linotype" w:cs="Palatino Linotype"/>
          <w:b/>
          <w:sz w:val="22"/>
          <w:szCs w:val="22"/>
        </w:rPr>
        <w:t xml:space="preserve">el nombre, clave de centro de trabajo, dirección </w:t>
      </w:r>
      <w:r w:rsidR="00226F34" w:rsidRPr="00897E4A">
        <w:rPr>
          <w:rFonts w:ascii="Palatino Linotype" w:eastAsia="Palatino Linotype" w:hAnsi="Palatino Linotype" w:cs="Palatino Linotype"/>
          <w:b/>
          <w:sz w:val="22"/>
          <w:szCs w:val="22"/>
          <w:u w:val="single"/>
        </w:rPr>
        <w:t>y si laboró o no el 06 de mayo de 2024.</w:t>
      </w:r>
      <w:r w:rsidR="00226F34" w:rsidRPr="00897E4A">
        <w:rPr>
          <w:rFonts w:ascii="Palatino Linotype" w:eastAsia="Palatino Linotype" w:hAnsi="Palatino Linotype" w:cs="Palatino Linotype"/>
          <w:b/>
          <w:sz w:val="22"/>
          <w:szCs w:val="22"/>
        </w:rPr>
        <w:t xml:space="preserve"> Como se observa a continuación:</w:t>
      </w:r>
    </w:p>
    <w:p w14:paraId="67EDAF34" w14:textId="77777777" w:rsidR="00226F34" w:rsidRPr="00897E4A" w:rsidRDefault="00226F34" w:rsidP="00226F34">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noProof/>
          <w:color w:val="000000"/>
          <w:sz w:val="22"/>
          <w:szCs w:val="22"/>
        </w:rPr>
        <mc:AlternateContent>
          <mc:Choice Requires="wps">
            <w:drawing>
              <wp:anchor distT="0" distB="0" distL="114300" distR="114300" simplePos="0" relativeHeight="251659264" behindDoc="0" locked="0" layoutInCell="1" allowOverlap="1" wp14:anchorId="21EEE433" wp14:editId="64B52DA6">
                <wp:simplePos x="0" y="0"/>
                <wp:positionH relativeFrom="column">
                  <wp:posOffset>39370</wp:posOffset>
                </wp:positionH>
                <wp:positionV relativeFrom="paragraph">
                  <wp:posOffset>58419</wp:posOffset>
                </wp:positionV>
                <wp:extent cx="5715000" cy="14382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715000" cy="1438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6F8EE"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pt,4.6pt" to="453.1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" strokecolor="#5b9bd5 [3204]" strokeweight=".5pt">
                <v:stroke joinstyle="miter"/>
              </v:line>
            </w:pict>
          </mc:Fallback>
        </mc:AlternateContent>
      </w:r>
    </w:p>
    <w:p w14:paraId="24673AE1" w14:textId="77777777" w:rsidR="00226F34" w:rsidRPr="00897E4A" w:rsidRDefault="00226F34" w:rsidP="00226F34">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noProof/>
          <w:color w:val="000000"/>
          <w:sz w:val="22"/>
          <w:szCs w:val="22"/>
        </w:rPr>
        <w:lastRenderedPageBreak/>
        <w:drawing>
          <wp:inline distT="0" distB="0" distL="0" distR="0" wp14:anchorId="15A53131" wp14:editId="7D5CF040">
            <wp:extent cx="5742940" cy="2273300"/>
            <wp:effectExtent l="19050" t="19050" r="1016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2273300"/>
                    </a:xfrm>
                    <a:prstGeom prst="rect">
                      <a:avLst/>
                    </a:prstGeom>
                    <a:ln>
                      <a:solidFill>
                        <a:schemeClr val="tx1"/>
                      </a:solidFill>
                    </a:ln>
                  </pic:spPr>
                </pic:pic>
              </a:graphicData>
            </a:graphic>
          </wp:inline>
        </w:drawing>
      </w:r>
    </w:p>
    <w:p w14:paraId="274A8D2D" w14:textId="77777777" w:rsidR="00226F34" w:rsidRPr="00897E4A" w:rsidRDefault="00226F34" w:rsidP="00226F34">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noProof/>
          <w:color w:val="000000"/>
          <w:sz w:val="22"/>
          <w:szCs w:val="22"/>
        </w:rPr>
        <w:drawing>
          <wp:inline distT="0" distB="0" distL="0" distR="0" wp14:anchorId="7179C414" wp14:editId="676424C8">
            <wp:extent cx="5742940" cy="4289425"/>
            <wp:effectExtent l="19050" t="19050" r="1016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4289425"/>
                    </a:xfrm>
                    <a:prstGeom prst="rect">
                      <a:avLst/>
                    </a:prstGeom>
                    <a:ln>
                      <a:solidFill>
                        <a:schemeClr val="tx1"/>
                      </a:solidFill>
                    </a:ln>
                  </pic:spPr>
                </pic:pic>
              </a:graphicData>
            </a:graphic>
          </wp:inline>
        </w:drawing>
      </w:r>
    </w:p>
    <w:p w14:paraId="7216BD1A" w14:textId="77777777" w:rsidR="00226F34" w:rsidRPr="00897E4A" w:rsidRDefault="00226F34" w:rsidP="00226F34">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noProof/>
          <w:color w:val="000000"/>
          <w:sz w:val="22"/>
          <w:szCs w:val="22"/>
        </w:rPr>
        <w:lastRenderedPageBreak/>
        <w:drawing>
          <wp:inline distT="0" distB="0" distL="0" distR="0" wp14:anchorId="07E3EDB1" wp14:editId="4E225B65">
            <wp:extent cx="5742940" cy="3604895"/>
            <wp:effectExtent l="19050" t="19050" r="10160"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3604895"/>
                    </a:xfrm>
                    <a:prstGeom prst="rect">
                      <a:avLst/>
                    </a:prstGeom>
                    <a:ln>
                      <a:solidFill>
                        <a:schemeClr val="tx1"/>
                      </a:solidFill>
                    </a:ln>
                  </pic:spPr>
                </pic:pic>
              </a:graphicData>
            </a:graphic>
          </wp:inline>
        </w:drawing>
      </w:r>
    </w:p>
    <w:p w14:paraId="6D6192C4" w14:textId="77777777" w:rsidR="008D36C8" w:rsidRPr="00897E4A" w:rsidRDefault="008D36C8" w:rsidP="00E23F53">
      <w:pPr>
        <w:spacing w:line="360" w:lineRule="auto"/>
        <w:rPr>
          <w:rFonts w:ascii="Palatino Linotype" w:eastAsia="Palatino Linotype" w:hAnsi="Palatino Linotype" w:cs="Palatino Linotype"/>
          <w:color w:val="000000"/>
          <w:sz w:val="22"/>
          <w:szCs w:val="22"/>
        </w:rPr>
      </w:pPr>
    </w:p>
    <w:p w14:paraId="53486103"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sz w:val="22"/>
          <w:szCs w:val="22"/>
        </w:rPr>
        <w:t xml:space="preserve">Así, al haber existido un pronunciamiento por parte del </w:t>
      </w:r>
      <w:r w:rsidRPr="00897E4A">
        <w:rPr>
          <w:rFonts w:ascii="Palatino Linotype" w:eastAsia="Palatino Linotype" w:hAnsi="Palatino Linotype" w:cs="Palatino Linotype"/>
          <w:b/>
          <w:sz w:val="22"/>
          <w:szCs w:val="22"/>
        </w:rPr>
        <w:t xml:space="preserve">SUJETO OBLIGADO, </w:t>
      </w:r>
      <w:r w:rsidRPr="00897E4A">
        <w:rPr>
          <w:rFonts w:ascii="Palatino Linotype" w:eastAsia="Palatino Linotype" w:hAnsi="Palatino Linotype" w:cs="Palatino Linotype"/>
          <w:sz w:val="22"/>
          <w:szCs w:val="22"/>
        </w:rPr>
        <w:t xml:space="preserve">aún más del Servidor Público Habilitado correspondiente, este Instituto no está facultado para manifestarse sobre la veracidad de este, pues no existe precepto legal alguno en la Ley de la materia que lo faculte para que, vía recurso de revisión, pueda pronunciarse al respecto. </w:t>
      </w:r>
    </w:p>
    <w:p w14:paraId="1ABE9B04"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color w:val="000000"/>
          <w:sz w:val="22"/>
          <w:szCs w:val="22"/>
        </w:rPr>
        <w:t xml:space="preserve">En consecuencia, se advierte que mediante informe justificado, el </w:t>
      </w:r>
      <w:r w:rsidRPr="00897E4A">
        <w:rPr>
          <w:rFonts w:ascii="Palatino Linotype" w:eastAsia="Palatino Linotype" w:hAnsi="Palatino Linotype" w:cs="Palatino Linotype"/>
          <w:b/>
          <w:color w:val="000000"/>
          <w:sz w:val="22"/>
          <w:szCs w:val="22"/>
        </w:rPr>
        <w:t>SUJETO OBLIGADO</w:t>
      </w:r>
      <w:r w:rsidRPr="00897E4A">
        <w:rPr>
          <w:rFonts w:ascii="Palatino Linotype" w:eastAsia="Palatino Linotype" w:hAnsi="Palatino Linotype" w:cs="Palatino Linotype"/>
          <w:color w:val="000000"/>
          <w:sz w:val="22"/>
          <w:szCs w:val="22"/>
        </w:rPr>
        <w:t xml:space="preserve"> modificó la respuesta inicial y atendió el requerimiento del Particular con la información proporcionada.</w:t>
      </w:r>
    </w:p>
    <w:p w14:paraId="1D4DA3A6" w14:textId="77777777" w:rsidR="005A467F" w:rsidRPr="00897E4A" w:rsidRDefault="00036B21" w:rsidP="005A467F">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color w:val="000000"/>
          <w:sz w:val="22"/>
          <w:szCs w:val="22"/>
        </w:rPr>
        <w:t xml:space="preserve">Por lo tanto, </w:t>
      </w:r>
      <w:r w:rsidRPr="00897E4A">
        <w:rPr>
          <w:rFonts w:ascii="Palatino Linotype" w:eastAsia="Palatino Linotype" w:hAnsi="Palatino Linotype" w:cs="Palatino Linotype"/>
          <w:sz w:val="22"/>
          <w:szCs w:val="22"/>
        </w:rPr>
        <w:t xml:space="preserve">este Pleno advierte que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sz w:val="22"/>
          <w:szCs w:val="22"/>
        </w:rPr>
        <w:t xml:space="preserve"> </w:t>
      </w:r>
      <w:r w:rsidRPr="00897E4A">
        <w:rPr>
          <w:rFonts w:ascii="Palatino Linotype" w:eastAsia="Palatino Linotype" w:hAnsi="Palatino Linotype" w:cs="Palatino Linotype"/>
          <w:b/>
          <w:sz w:val="22"/>
          <w:szCs w:val="22"/>
        </w:rPr>
        <w:t xml:space="preserve">modificó </w:t>
      </w:r>
      <w:r w:rsidRPr="00897E4A">
        <w:rPr>
          <w:rFonts w:ascii="Palatino Linotype" w:eastAsia="Palatino Linotype" w:hAnsi="Palatino Linotype" w:cs="Palatino Linotype"/>
          <w:sz w:val="22"/>
          <w:szCs w:val="22"/>
        </w:rPr>
        <w:t xml:space="preserve">el acto que le dio origen al recurso de revisión, lo que trae como consecuencia que el mismo quede sin </w:t>
      </w:r>
      <w:r w:rsidRPr="00897E4A">
        <w:rPr>
          <w:rFonts w:ascii="Palatino Linotype" w:eastAsia="Palatino Linotype" w:hAnsi="Palatino Linotype" w:cs="Palatino Linotype"/>
          <w:sz w:val="22"/>
          <w:szCs w:val="22"/>
        </w:rPr>
        <w:lastRenderedPageBreak/>
        <w:t>materia, actualizándose de este modo, la hipótesis jurídica contenida en la fracción III del artículo 192 de la Ley de Transparencia Local.</w:t>
      </w:r>
    </w:p>
    <w:p w14:paraId="468BDDD0"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color w:val="000000"/>
          <w:sz w:val="22"/>
          <w:szCs w:val="22"/>
        </w:rPr>
        <w:t xml:space="preserve">Ahora bien, </w:t>
      </w:r>
      <w:r w:rsidRPr="00897E4A">
        <w:rPr>
          <w:rFonts w:ascii="Palatino Linotype" w:eastAsia="Palatino Linotype" w:hAnsi="Palatino Linotype" w:cs="Palatino Linotype"/>
          <w:sz w:val="22"/>
          <w:szCs w:val="22"/>
        </w:rPr>
        <w:t>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Sujetos Obligados o la negativa de entrega de esta, derivada de la solicitud de información pública.</w:t>
      </w:r>
    </w:p>
    <w:p w14:paraId="7EC94B7A"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De </w:t>
      </w:r>
      <w:r w:rsidRPr="00897E4A">
        <w:rPr>
          <w:rFonts w:ascii="Palatino Linotype" w:eastAsia="Palatino Linotype" w:hAnsi="Palatino Linotype" w:cs="Palatino Linotype"/>
          <w:sz w:val="22"/>
          <w:szCs w:val="22"/>
        </w:rPr>
        <w:t xml:space="preserve">este modo, cuando el </w:t>
      </w:r>
      <w:r w:rsidRPr="00897E4A">
        <w:rPr>
          <w:rFonts w:ascii="Palatino Linotype" w:eastAsia="Palatino Linotype" w:hAnsi="Palatino Linotype" w:cs="Palatino Linotype"/>
          <w:b/>
          <w:sz w:val="22"/>
          <w:szCs w:val="22"/>
        </w:rPr>
        <w:t xml:space="preserve">SUJETO OBLIGADO, </w:t>
      </w:r>
      <w:r w:rsidRPr="00897E4A">
        <w:rPr>
          <w:rFonts w:ascii="Palatino Linotype" w:eastAsia="Palatino Linotype" w:hAnsi="Palatino Linotype" w:cs="Palatino Linotype"/>
          <w:sz w:val="22"/>
          <w:szCs w:val="22"/>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897E4A">
        <w:rPr>
          <w:rFonts w:ascii="Palatino Linotype" w:eastAsia="Palatino Linotype" w:hAnsi="Palatino Linotype" w:cs="Palatino Linotype"/>
          <w:i/>
          <w:sz w:val="22"/>
          <w:szCs w:val="22"/>
        </w:rPr>
        <w:t>litis</w:t>
      </w:r>
      <w:r w:rsidRPr="00897E4A">
        <w:rPr>
          <w:rFonts w:ascii="Palatino Linotype" w:eastAsia="Palatino Linotype" w:hAnsi="Palatino Linotype" w:cs="Palatino Linotype"/>
          <w:sz w:val="22"/>
          <w:szCs w:val="22"/>
        </w:rPr>
        <w:t xml:space="preserve"> planteada, debido a que la afectación en su esfera de derechos fue restituida por la propia autoridad que emitió el acto motivo de impugnación.</w:t>
      </w:r>
    </w:p>
    <w:p w14:paraId="0B617C23" w14:textId="77777777" w:rsidR="008D36C8" w:rsidRPr="00897E4A" w:rsidRDefault="008D36C8">
      <w:pPr>
        <w:rPr>
          <w:rFonts w:ascii="Palatino Linotype" w:eastAsia="Palatino Linotype" w:hAnsi="Palatino Linotype" w:cs="Palatino Linotype"/>
          <w:color w:val="000000"/>
          <w:sz w:val="22"/>
          <w:szCs w:val="22"/>
        </w:rPr>
      </w:pPr>
    </w:p>
    <w:p w14:paraId="35E40516"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Sirve </w:t>
      </w:r>
      <w:r w:rsidRPr="00897E4A">
        <w:rPr>
          <w:rFonts w:ascii="Palatino Linotype" w:eastAsia="Palatino Linotype" w:hAnsi="Palatino Linotype" w:cs="Palatino Linotype"/>
          <w:sz w:val="22"/>
          <w:szCs w:val="22"/>
        </w:rPr>
        <w:t>de sustento a lo anterior la siguiente jurisprudencia por contradicción, cuyo rubro, texto y datos de identificación son los siguientes</w:t>
      </w:r>
      <w:r w:rsidRPr="00897E4A">
        <w:rPr>
          <w:rFonts w:ascii="Palatino Linotype" w:eastAsia="Palatino Linotype" w:hAnsi="Palatino Linotype" w:cs="Palatino Linotype"/>
          <w:color w:val="000000"/>
          <w:sz w:val="22"/>
          <w:szCs w:val="22"/>
        </w:rPr>
        <w:t>:</w:t>
      </w:r>
    </w:p>
    <w:p w14:paraId="07A3E394" w14:textId="77777777" w:rsidR="008D36C8" w:rsidRPr="00897E4A" w:rsidRDefault="00036B21">
      <w:pPr>
        <w:pBdr>
          <w:top w:val="nil"/>
          <w:left w:val="nil"/>
          <w:bottom w:val="nil"/>
          <w:right w:val="nil"/>
          <w:between w:val="nil"/>
        </w:pBdr>
        <w:spacing w:after="240"/>
        <w:ind w:left="567" w:right="539"/>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897E4A">
        <w:rPr>
          <w:rFonts w:ascii="Palatino Linotype" w:eastAsia="Palatino Linotype" w:hAnsi="Palatino Linotype" w:cs="Palatino Linotype"/>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w:t>
      </w:r>
      <w:r w:rsidRPr="00897E4A">
        <w:rPr>
          <w:rFonts w:ascii="Palatino Linotype" w:eastAsia="Palatino Linotype" w:hAnsi="Palatino Linotype" w:cs="Palatino Linotype"/>
          <w:i/>
          <w:sz w:val="22"/>
          <w:szCs w:val="22"/>
        </w:rPr>
        <w:lastRenderedPageBreak/>
        <w:t>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355E5C4A" w14:textId="77777777" w:rsidR="008D36C8" w:rsidRPr="00897E4A" w:rsidRDefault="008D36C8">
      <w:pPr>
        <w:rPr>
          <w:rFonts w:ascii="Palatino Linotype" w:eastAsia="Palatino Linotype" w:hAnsi="Palatino Linotype" w:cs="Palatino Linotype"/>
          <w:color w:val="000000"/>
          <w:sz w:val="22"/>
          <w:szCs w:val="22"/>
        </w:rPr>
      </w:pPr>
    </w:p>
    <w:p w14:paraId="00074D37"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La </w:t>
      </w:r>
      <w:r w:rsidRPr="00897E4A">
        <w:rPr>
          <w:rFonts w:ascii="Palatino Linotype" w:eastAsia="Palatino Linotype" w:hAnsi="Palatino Linotype" w:cs="Palatino Linotype"/>
          <w:sz w:val="22"/>
          <w:szCs w:val="22"/>
        </w:rPr>
        <w:t>anterior jurisprudencia resulta aplicable al presente asunto, en dos aspectos:</w:t>
      </w:r>
    </w:p>
    <w:p w14:paraId="3329F1A7" w14:textId="77777777" w:rsidR="008D36C8" w:rsidRPr="00897E4A" w:rsidRDefault="00036B21">
      <w:pPr>
        <w:numPr>
          <w:ilvl w:val="0"/>
          <w:numId w:val="3"/>
        </w:numPr>
        <w:ind w:left="567" w:right="616" w:firstLine="0"/>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b/>
          <w:sz w:val="22"/>
          <w:szCs w:val="22"/>
        </w:rPr>
        <w:t>La cesación de los efectos perniciosos del acto de autoridad:</w:t>
      </w:r>
      <w:r w:rsidRPr="00897E4A">
        <w:rPr>
          <w:rFonts w:ascii="Palatino Linotype" w:eastAsia="Palatino Linotype" w:hAnsi="Palatino Linotype" w:cs="Palatino Linotype"/>
          <w:sz w:val="22"/>
          <w:szCs w:val="22"/>
        </w:rPr>
        <w:t xml:space="preserve"> Al respecto, la Ley de Transparencia contempla la figura jurídica del sobreseimiento cuando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sz w:val="22"/>
          <w:szCs w:val="22"/>
        </w:rPr>
        <w:t xml:space="preserve"> de </w:t>
      </w:r>
      <w:r w:rsidRPr="00897E4A">
        <w:rPr>
          <w:rFonts w:ascii="Palatino Linotype" w:eastAsia="Palatino Linotype" w:hAnsi="Palatino Linotype" w:cs="Palatino Linotype"/>
          <w:i/>
          <w:sz w:val="22"/>
          <w:szCs w:val="22"/>
        </w:rPr>
        <w:t>motu proprio</w:t>
      </w:r>
      <w:r w:rsidRPr="00897E4A">
        <w:rPr>
          <w:rFonts w:ascii="Palatino Linotype" w:eastAsia="Palatino Linotype" w:hAnsi="Palatino Linotype" w:cs="Palatino Linotype"/>
          <w:sz w:val="22"/>
          <w:szCs w:val="22"/>
        </w:rPr>
        <w:t xml:space="preserve"> modifica o revoca de tal manera el acto motivo de la impugnación que lo deja sin materia; es decir, cesan los efectos de éste y el derecho de acceso a la información pública se encuentra satisfecho.</w:t>
      </w:r>
    </w:p>
    <w:p w14:paraId="6B284FC2" w14:textId="77777777" w:rsidR="008D36C8" w:rsidRPr="00897E4A" w:rsidRDefault="008D36C8">
      <w:pPr>
        <w:ind w:left="567" w:right="616"/>
        <w:rPr>
          <w:rFonts w:ascii="Palatino Linotype" w:eastAsia="Palatino Linotype" w:hAnsi="Palatino Linotype" w:cs="Palatino Linotype"/>
          <w:sz w:val="22"/>
          <w:szCs w:val="22"/>
        </w:rPr>
      </w:pPr>
    </w:p>
    <w:p w14:paraId="0488C6E2" w14:textId="77777777" w:rsidR="008D36C8" w:rsidRPr="00897E4A" w:rsidRDefault="00036B21">
      <w:pPr>
        <w:numPr>
          <w:ilvl w:val="0"/>
          <w:numId w:val="3"/>
        </w:numPr>
        <w:ind w:left="567" w:right="616" w:firstLine="0"/>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b/>
          <w:sz w:val="22"/>
          <w:szCs w:val="22"/>
        </w:rPr>
        <w:t>El momento procesal para modificar el acto impugnado:</w:t>
      </w:r>
      <w:r w:rsidRPr="00897E4A">
        <w:rPr>
          <w:rFonts w:ascii="Palatino Linotype" w:eastAsia="Palatino Linotype" w:hAnsi="Palatino Linotype" w:cs="Palatino Linotype"/>
          <w:sz w:val="22"/>
          <w:szCs w:val="22"/>
        </w:rPr>
        <w:t xml:space="preserve"> Para que se actualice el sobreseimiento de un recurso de revisión, el </w:t>
      </w:r>
      <w:r w:rsidRPr="00897E4A">
        <w:rPr>
          <w:rFonts w:ascii="Palatino Linotype" w:eastAsia="Palatino Linotype" w:hAnsi="Palatino Linotype" w:cs="Palatino Linotype"/>
          <w:b/>
          <w:sz w:val="22"/>
          <w:szCs w:val="22"/>
        </w:rPr>
        <w:t>SUJETO OBLIGADO</w:t>
      </w:r>
      <w:r w:rsidRPr="00897E4A">
        <w:rPr>
          <w:rFonts w:ascii="Palatino Linotype" w:eastAsia="Palatino Linotype" w:hAnsi="Palatino Linotype" w:cs="Palatino Linotype"/>
          <w:sz w:val="22"/>
          <w:szCs w:val="22"/>
        </w:rPr>
        <w:t xml:space="preserve"> puede entregar o completar la información al momento de rendir su informe de justificación o </w:t>
      </w:r>
      <w:r w:rsidRPr="00897E4A">
        <w:rPr>
          <w:rFonts w:ascii="Palatino Linotype" w:eastAsia="Palatino Linotype" w:hAnsi="Palatino Linotype" w:cs="Palatino Linotype"/>
          <w:b/>
          <w:sz w:val="22"/>
          <w:szCs w:val="22"/>
          <w:u w:val="single"/>
        </w:rPr>
        <w:t>posteriormente</w:t>
      </w:r>
      <w:r w:rsidRPr="00897E4A">
        <w:rPr>
          <w:rFonts w:ascii="Palatino Linotype" w:eastAsia="Palatino Linotype" w:hAnsi="Palatino Linotype" w:cs="Palatino Linotype"/>
          <w:sz w:val="22"/>
          <w:szCs w:val="22"/>
        </w:rPr>
        <w:t xml:space="preserve"> a éste, siempre y cuando el Pleno del Instituto no haya dictado resolución definitiva.</w:t>
      </w:r>
    </w:p>
    <w:p w14:paraId="0E4273E4" w14:textId="77777777" w:rsidR="008D36C8" w:rsidRPr="00897E4A" w:rsidRDefault="008D36C8">
      <w:pPr>
        <w:ind w:right="616"/>
        <w:jc w:val="both"/>
        <w:rPr>
          <w:rFonts w:ascii="Palatino Linotype" w:eastAsia="Palatino Linotype" w:hAnsi="Palatino Linotype" w:cs="Palatino Linotype"/>
          <w:sz w:val="22"/>
          <w:szCs w:val="22"/>
        </w:rPr>
      </w:pPr>
    </w:p>
    <w:p w14:paraId="2664B69D"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Eduardo Pallares, </w:t>
      </w:r>
      <w:r w:rsidRPr="00897E4A">
        <w:rPr>
          <w:rFonts w:ascii="Palatino Linotype" w:eastAsia="Palatino Linotype" w:hAnsi="Palatino Linotype" w:cs="Palatino Linotype"/>
          <w:sz w:val="22"/>
          <w:szCs w:val="22"/>
        </w:rPr>
        <w:t xml:space="preserve">en su artículo </w:t>
      </w:r>
      <w:r w:rsidRPr="00897E4A">
        <w:rPr>
          <w:rFonts w:ascii="Palatino Linotype" w:eastAsia="Palatino Linotype" w:hAnsi="Palatino Linotype" w:cs="Palatino Linotype"/>
          <w:i/>
          <w:sz w:val="22"/>
          <w:szCs w:val="22"/>
        </w:rPr>
        <w:t>“La caducidad y el sobreseimiento en el amparo”</w:t>
      </w:r>
      <w:r w:rsidRPr="00897E4A">
        <w:rPr>
          <w:rFonts w:ascii="Palatino Linotype" w:eastAsia="Palatino Linotype" w:hAnsi="Palatino Linotype" w:cs="Palatino Linotype"/>
          <w:sz w:val="22"/>
          <w:szCs w:val="22"/>
        </w:rPr>
        <w:t xml:space="preserve">, cita la definición de Aguilera Paz, aduciendo que se </w:t>
      </w:r>
      <w:r w:rsidRPr="00897E4A">
        <w:rPr>
          <w:rFonts w:ascii="Palatino Linotype" w:eastAsia="Palatino Linotype" w:hAnsi="Palatino Linotype" w:cs="Palatino Linotype"/>
          <w:i/>
          <w:sz w:val="22"/>
          <w:szCs w:val="22"/>
        </w:rPr>
        <w:t>“...entiende por sobreseimiento en el tecnicismo forense, el hecho de cesar en el procedimiento o curso de la causa, por no existir méritos bastantes para entrar en un juicio o para entablar la contienda judicial que debe ser objeto del mismo...”</w:t>
      </w:r>
      <w:r w:rsidRPr="00897E4A">
        <w:rPr>
          <w:rFonts w:ascii="Palatino Linotype" w:eastAsia="Palatino Linotype" w:hAnsi="Palatino Linotype" w:cs="Palatino Linotype"/>
          <w:sz w:val="22"/>
          <w:szCs w:val="22"/>
        </w:rPr>
        <w:t>. Asimismo, señala que existe el sobreseimiento provisional y el definitivo</w:t>
      </w:r>
      <w:r w:rsidRPr="00897E4A">
        <w:rPr>
          <w:rFonts w:ascii="Palatino Linotype" w:eastAsia="Palatino Linotype" w:hAnsi="Palatino Linotype" w:cs="Palatino Linotype"/>
          <w:i/>
          <w:sz w:val="22"/>
          <w:szCs w:val="22"/>
        </w:rPr>
        <w:t>: “...el definitivo es una verdadera sentencia que pone fin al juicio, y que una vez dictada, produce cosa juzgada, mientras que el provisorio tiene por efectos suspender la prosecución de la causa...”</w:t>
      </w:r>
    </w:p>
    <w:p w14:paraId="00BE7523"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lastRenderedPageBreak/>
        <w:t xml:space="preserve">Así, </w:t>
      </w:r>
      <w:r w:rsidRPr="00897E4A">
        <w:rPr>
          <w:rFonts w:ascii="Palatino Linotype" w:eastAsia="Palatino Linotype" w:hAnsi="Palatino Linotype" w:cs="Palatino Linotype"/>
          <w:sz w:val="22"/>
          <w:szCs w:val="22"/>
        </w:rPr>
        <w:t xml:space="preserve">para la doctrina el sobreseimiento provoca que un procedimiento se suspenda o se resuelva en definitiva </w:t>
      </w:r>
      <w:r w:rsidRPr="00897E4A">
        <w:rPr>
          <w:rFonts w:ascii="Palatino Linotype" w:eastAsia="Palatino Linotype" w:hAnsi="Palatino Linotype" w:cs="Palatino Linotype"/>
          <w:b/>
          <w:sz w:val="22"/>
          <w:szCs w:val="22"/>
        </w:rPr>
        <w:t xml:space="preserve">sin que se entre al estudio de los agravios o motivos de inconformidad. </w:t>
      </w:r>
      <w:r w:rsidRPr="00897E4A">
        <w:rPr>
          <w:rFonts w:ascii="Palatino Linotype" w:eastAsia="Palatino Linotype" w:hAnsi="Palatino Linotype" w:cs="Palatino Linotype"/>
          <w:sz w:val="22"/>
          <w:szCs w:val="22"/>
        </w:rPr>
        <w:t>Este mismo criterio es compartido por el más alto tribunal del país en múltiples jurisprudencias, por lo que a continuación se agrega una de ellas que sirve como orientador en esta resolución:</w:t>
      </w:r>
    </w:p>
    <w:p w14:paraId="25A079DC" w14:textId="77777777" w:rsidR="008D36C8" w:rsidRPr="00897E4A" w:rsidRDefault="00036B21">
      <w:pPr>
        <w:ind w:left="567" w:right="565"/>
        <w:jc w:val="both"/>
        <w:rPr>
          <w:rFonts w:ascii="Palatino Linotype" w:eastAsia="Palatino Linotype" w:hAnsi="Palatino Linotype" w:cs="Palatino Linotype"/>
          <w:i/>
          <w:sz w:val="22"/>
          <w:szCs w:val="22"/>
        </w:rPr>
      </w:pPr>
      <w:r w:rsidRPr="00897E4A">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 El sobreseimiento</w:t>
      </w:r>
      <w:r w:rsidRPr="00897E4A">
        <w:rPr>
          <w:rFonts w:ascii="Palatino Linotype" w:eastAsia="Palatino Linotype" w:hAnsi="Palatino Linotype" w:cs="Palatino Linotype"/>
          <w:i/>
          <w:sz w:val="22"/>
          <w:szCs w:val="22"/>
        </w:rPr>
        <w:t xml:space="preserve"> en el juicio de amparo directo </w:t>
      </w:r>
      <w:r w:rsidRPr="00897E4A">
        <w:rPr>
          <w:rFonts w:ascii="Palatino Linotype" w:eastAsia="Palatino Linotype" w:hAnsi="Palatino Linotype" w:cs="Palatino Linotype"/>
          <w:b/>
          <w:i/>
          <w:sz w:val="22"/>
          <w:szCs w:val="22"/>
        </w:rPr>
        <w:t>provoca la terminación de la controversia planteada</w:t>
      </w:r>
      <w:r w:rsidRPr="00897E4A">
        <w:rPr>
          <w:rFonts w:ascii="Palatino Linotype" w:eastAsia="Palatino Linotype" w:hAnsi="Palatino Linotype" w:cs="Palatino Linotype"/>
          <w:i/>
          <w:sz w:val="22"/>
          <w:szCs w:val="22"/>
        </w:rPr>
        <w:t xml:space="preserve"> por el quejoso en la demanda de amparo</w:t>
      </w:r>
      <w:r w:rsidRPr="00897E4A">
        <w:rPr>
          <w:rFonts w:ascii="Palatino Linotype" w:eastAsia="Palatino Linotype" w:hAnsi="Palatino Linotype" w:cs="Palatino Linotype"/>
          <w:b/>
          <w:i/>
          <w:sz w:val="22"/>
          <w:szCs w:val="22"/>
        </w:rPr>
        <w:t>, sin hacer un pronunciamiento de fondo sobre la legalidad o ilegalidad de la sentencia reclamada</w:t>
      </w:r>
      <w:r w:rsidRPr="00897E4A">
        <w:rPr>
          <w:rFonts w:ascii="Palatino Linotype" w:eastAsia="Palatino Linotype" w:hAnsi="Palatino Linotype" w:cs="Palatino Linotype"/>
          <w:i/>
          <w:sz w:val="22"/>
          <w:szCs w:val="22"/>
        </w:rPr>
        <w:t xml:space="preserve">. </w:t>
      </w:r>
      <w:r w:rsidRPr="00897E4A">
        <w:rPr>
          <w:rFonts w:ascii="Palatino Linotype" w:eastAsia="Palatino Linotype" w:hAnsi="Palatino Linotype" w:cs="Palatino Linotype"/>
          <w:b/>
          <w:i/>
          <w:sz w:val="22"/>
          <w:szCs w:val="22"/>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897E4A">
        <w:rPr>
          <w:rFonts w:ascii="Palatino Linotype" w:eastAsia="Palatino Linotype" w:hAnsi="Palatino Linotype" w:cs="Palatino Linotype"/>
          <w:i/>
          <w:sz w:val="22"/>
          <w:szCs w:val="22"/>
        </w:rPr>
        <w:t>.</w:t>
      </w:r>
    </w:p>
    <w:p w14:paraId="186FC4F7" w14:textId="77777777" w:rsidR="008D36C8" w:rsidRPr="00897E4A" w:rsidRDefault="00036B21">
      <w:pPr>
        <w:ind w:left="567" w:right="565"/>
        <w:jc w:val="both"/>
        <w:rPr>
          <w:rFonts w:ascii="Palatino Linotype" w:eastAsia="Palatino Linotype" w:hAnsi="Palatino Linotype" w:cs="Palatino Linotype"/>
          <w:i/>
          <w:sz w:val="22"/>
          <w:szCs w:val="22"/>
        </w:rPr>
      </w:pPr>
      <w:r w:rsidRPr="00897E4A">
        <w:rPr>
          <w:rFonts w:ascii="Palatino Linotype" w:eastAsia="Palatino Linotype" w:hAnsi="Palatino Linotype" w:cs="Palatino Linotype"/>
          <w:i/>
          <w:sz w:val="22"/>
          <w:szCs w:val="22"/>
        </w:rPr>
        <w:t>SÉPTIMO TRIBUNAL COLEGIADO EN MATERIA CIVIL DEL PRIMER CIRCUITO.</w:t>
      </w:r>
    </w:p>
    <w:p w14:paraId="12E4071F" w14:textId="77777777" w:rsidR="008D36C8" w:rsidRPr="00897E4A" w:rsidRDefault="00036B21">
      <w:pPr>
        <w:ind w:left="567" w:right="565"/>
        <w:jc w:val="both"/>
        <w:rPr>
          <w:rFonts w:ascii="Palatino Linotype" w:eastAsia="Palatino Linotype" w:hAnsi="Palatino Linotype" w:cs="Palatino Linotype"/>
          <w:b/>
          <w:i/>
          <w:sz w:val="22"/>
          <w:szCs w:val="22"/>
        </w:rPr>
      </w:pPr>
      <w:r w:rsidRPr="00897E4A">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w:t>
      </w:r>
    </w:p>
    <w:p w14:paraId="50F1E1C0" w14:textId="77777777" w:rsidR="008D36C8" w:rsidRPr="00897E4A" w:rsidRDefault="008D36C8">
      <w:pPr>
        <w:ind w:right="565"/>
        <w:jc w:val="both"/>
        <w:rPr>
          <w:rFonts w:ascii="Palatino Linotype" w:eastAsia="Palatino Linotype" w:hAnsi="Palatino Linotype" w:cs="Palatino Linotype"/>
          <w:b/>
          <w:i/>
          <w:sz w:val="22"/>
          <w:szCs w:val="22"/>
        </w:rPr>
      </w:pPr>
    </w:p>
    <w:p w14:paraId="6A6E6EC2"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Consecuentemente, </w:t>
      </w:r>
      <w:r w:rsidRPr="00897E4A">
        <w:rPr>
          <w:rFonts w:ascii="Palatino Linotype" w:eastAsia="Palatino Linotype" w:hAnsi="Palatino Linotype" w:cs="Palatino Linotype"/>
          <w:sz w:val="22"/>
          <w:szCs w:val="22"/>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299BEF21" w14:textId="77777777" w:rsidR="008D36C8" w:rsidRPr="00897E4A" w:rsidRDefault="00036B21">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t xml:space="preserve">Bajo </w:t>
      </w:r>
      <w:r w:rsidRPr="00897E4A">
        <w:rPr>
          <w:rFonts w:ascii="Palatino Linotype" w:eastAsia="Palatino Linotype" w:hAnsi="Palatino Linotype" w:cs="Palatino Linotype"/>
          <w:sz w:val="22"/>
          <w:szCs w:val="22"/>
        </w:rPr>
        <w:t xml:space="preserve">ese tenor y en términos del artículo 186 fracción I este Pleno determina el </w:t>
      </w:r>
      <w:r w:rsidRPr="00897E4A">
        <w:rPr>
          <w:rFonts w:ascii="Palatino Linotype" w:eastAsia="Palatino Linotype" w:hAnsi="Palatino Linotype" w:cs="Palatino Linotype"/>
          <w:b/>
          <w:sz w:val="22"/>
          <w:szCs w:val="22"/>
        </w:rPr>
        <w:t xml:space="preserve">SOBRESEIMIENTO </w:t>
      </w:r>
      <w:r w:rsidRPr="00897E4A">
        <w:rPr>
          <w:rFonts w:ascii="Palatino Linotype" w:eastAsia="Palatino Linotype" w:hAnsi="Palatino Linotype" w:cs="Palatino Linotype"/>
          <w:sz w:val="22"/>
          <w:szCs w:val="22"/>
        </w:rPr>
        <w:t>del presente recurso de revisión, toda vez que la afectación al derecho de acceso a la información pública establecido constitucionalmente a favor del Particular ha sido resarcida.</w:t>
      </w:r>
    </w:p>
    <w:p w14:paraId="5E3198FB" w14:textId="77777777" w:rsidR="00E23F53" w:rsidRPr="00897E4A" w:rsidRDefault="00036B21" w:rsidP="00E23F53">
      <w:pPr>
        <w:numPr>
          <w:ilvl w:val="0"/>
          <w:numId w:val="2"/>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color w:val="000000"/>
          <w:sz w:val="22"/>
          <w:szCs w:val="22"/>
        </w:rPr>
        <w:lastRenderedPageBreak/>
        <w:t xml:space="preserve">Por lo anteriormente expuesto y fundado, este </w:t>
      </w:r>
      <w:r w:rsidRPr="00897E4A">
        <w:rPr>
          <w:rFonts w:ascii="Palatino Linotype" w:eastAsia="Palatino Linotype" w:hAnsi="Palatino Linotype" w:cs="Palatino Linotype"/>
          <w:b/>
          <w:color w:val="000000"/>
          <w:sz w:val="22"/>
          <w:szCs w:val="22"/>
        </w:rPr>
        <w:t>ÓRGANO GARANTE</w:t>
      </w:r>
      <w:r w:rsidRPr="00897E4A">
        <w:rPr>
          <w:rFonts w:ascii="Palatino Linotype" w:eastAsia="Palatino Linotype" w:hAnsi="Palatino Linotype" w:cs="Palatino Linotype"/>
          <w:color w:val="000000"/>
          <w:sz w:val="22"/>
          <w:szCs w:val="22"/>
        </w:rPr>
        <w:t xml:space="preserve"> emite los siguientes:</w:t>
      </w:r>
    </w:p>
    <w:p w14:paraId="2FC6C6C7" w14:textId="77777777" w:rsidR="008D36C8" w:rsidRPr="00897E4A" w:rsidRDefault="00036B21">
      <w:pPr>
        <w:keepNext/>
        <w:keepLines/>
        <w:spacing w:before="240" w:after="240" w:line="360" w:lineRule="auto"/>
        <w:jc w:val="center"/>
        <w:rPr>
          <w:rFonts w:ascii="Palatino Linotype" w:eastAsia="Palatino Linotype" w:hAnsi="Palatino Linotype" w:cs="Palatino Linotype"/>
          <w:b/>
          <w:color w:val="000000"/>
          <w:sz w:val="22"/>
          <w:szCs w:val="22"/>
        </w:rPr>
      </w:pPr>
      <w:bookmarkStart w:id="7" w:name="_heading=h.26in1rg" w:colFirst="0" w:colLast="0"/>
      <w:bookmarkEnd w:id="7"/>
      <w:r w:rsidRPr="00897E4A">
        <w:rPr>
          <w:rFonts w:ascii="Palatino Linotype" w:eastAsia="Palatino Linotype" w:hAnsi="Palatino Linotype" w:cs="Palatino Linotype"/>
          <w:b/>
          <w:color w:val="000000"/>
          <w:sz w:val="22"/>
          <w:szCs w:val="22"/>
        </w:rPr>
        <w:t>R E S O L U T I V O S</w:t>
      </w:r>
    </w:p>
    <w:p w14:paraId="77C481DA" w14:textId="77777777" w:rsidR="008D36C8" w:rsidRPr="00897E4A" w:rsidRDefault="00036B21">
      <w:pPr>
        <w:spacing w:line="360" w:lineRule="auto"/>
        <w:jc w:val="both"/>
        <w:rPr>
          <w:rFonts w:ascii="Palatino Linotype" w:eastAsia="Palatino Linotype" w:hAnsi="Palatino Linotype" w:cs="Palatino Linotype"/>
          <w:sz w:val="22"/>
          <w:szCs w:val="22"/>
        </w:rPr>
      </w:pPr>
      <w:r w:rsidRPr="00897E4A">
        <w:rPr>
          <w:rFonts w:ascii="Palatino Linotype" w:eastAsia="Palatino Linotype" w:hAnsi="Palatino Linotype" w:cs="Palatino Linotype"/>
          <w:b/>
          <w:sz w:val="22"/>
          <w:szCs w:val="22"/>
        </w:rPr>
        <w:t xml:space="preserve">PRIMERO. </w:t>
      </w:r>
      <w:r w:rsidRPr="00897E4A">
        <w:rPr>
          <w:rFonts w:ascii="Palatino Linotype" w:eastAsia="Palatino Linotype" w:hAnsi="Palatino Linotype" w:cs="Palatino Linotype"/>
          <w:sz w:val="22"/>
          <w:szCs w:val="22"/>
        </w:rPr>
        <w:t xml:space="preserve">Se </w:t>
      </w:r>
      <w:r w:rsidRPr="00897E4A">
        <w:rPr>
          <w:rFonts w:ascii="Palatino Linotype" w:eastAsia="Palatino Linotype" w:hAnsi="Palatino Linotype" w:cs="Palatino Linotype"/>
          <w:b/>
          <w:sz w:val="22"/>
          <w:szCs w:val="22"/>
        </w:rPr>
        <w:t xml:space="preserve">SOBRESEE </w:t>
      </w:r>
      <w:r w:rsidRPr="00897E4A">
        <w:rPr>
          <w:rFonts w:ascii="Palatino Linotype" w:eastAsia="Palatino Linotype" w:hAnsi="Palatino Linotype" w:cs="Palatino Linotype"/>
          <w:sz w:val="22"/>
          <w:szCs w:val="22"/>
        </w:rPr>
        <w:t xml:space="preserve">el recurso de revisión número </w:t>
      </w:r>
      <w:r w:rsidR="005A467F" w:rsidRPr="00897E4A">
        <w:rPr>
          <w:rFonts w:ascii="Palatino Linotype" w:eastAsia="Palatino Linotype" w:hAnsi="Palatino Linotype" w:cs="Palatino Linotype"/>
          <w:b/>
          <w:sz w:val="22"/>
          <w:szCs w:val="22"/>
        </w:rPr>
        <w:t>03643/INFOEM/IP/RR/2024</w:t>
      </w:r>
      <w:r w:rsidRPr="00897E4A">
        <w:rPr>
          <w:rFonts w:ascii="Palatino Linotype" w:eastAsia="Palatino Linotype" w:hAnsi="Palatino Linotype" w:cs="Palatino Linotype"/>
          <w:b/>
          <w:sz w:val="22"/>
          <w:szCs w:val="22"/>
        </w:rPr>
        <w:t xml:space="preserve"> </w:t>
      </w:r>
      <w:r w:rsidRPr="00897E4A">
        <w:rPr>
          <w:rFonts w:ascii="Palatino Linotype" w:eastAsia="Palatino Linotype" w:hAnsi="Palatino Linotype" w:cs="Palatino Linotype"/>
          <w:sz w:val="22"/>
          <w:szCs w:val="22"/>
        </w:rPr>
        <w:t xml:space="preserve">de conformidad con el artículo 192, fracción III de la Ley de Transparencia y Acceso a la Información Pública del Estado de México y Municipios, en términos del Considerando </w:t>
      </w:r>
      <w:r w:rsidRPr="00897E4A">
        <w:rPr>
          <w:rFonts w:ascii="Palatino Linotype" w:eastAsia="Palatino Linotype" w:hAnsi="Palatino Linotype" w:cs="Palatino Linotype"/>
          <w:b/>
          <w:sz w:val="22"/>
          <w:szCs w:val="22"/>
        </w:rPr>
        <w:t>TERCERO</w:t>
      </w:r>
      <w:r w:rsidRPr="00897E4A">
        <w:rPr>
          <w:rFonts w:ascii="Palatino Linotype" w:eastAsia="Palatino Linotype" w:hAnsi="Palatino Linotype" w:cs="Palatino Linotype"/>
          <w:sz w:val="22"/>
          <w:szCs w:val="22"/>
        </w:rPr>
        <w:t xml:space="preserve"> de la presente resolución.</w:t>
      </w:r>
    </w:p>
    <w:p w14:paraId="48B685ED" w14:textId="77777777" w:rsidR="008D36C8" w:rsidRPr="00897E4A" w:rsidRDefault="008D36C8">
      <w:pPr>
        <w:spacing w:line="360" w:lineRule="auto"/>
        <w:jc w:val="both"/>
        <w:rPr>
          <w:rFonts w:ascii="Palatino Linotype" w:eastAsia="Palatino Linotype" w:hAnsi="Palatino Linotype" w:cs="Palatino Linotype"/>
          <w:sz w:val="22"/>
          <w:szCs w:val="22"/>
        </w:rPr>
      </w:pPr>
    </w:p>
    <w:p w14:paraId="1D3CA726" w14:textId="77777777" w:rsidR="008D36C8" w:rsidRPr="00897E4A" w:rsidRDefault="00036B21">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897E4A">
        <w:rPr>
          <w:rFonts w:ascii="Palatino Linotype" w:eastAsia="Palatino Linotype" w:hAnsi="Palatino Linotype" w:cs="Palatino Linotype"/>
          <w:b/>
          <w:color w:val="000000"/>
          <w:sz w:val="22"/>
          <w:szCs w:val="22"/>
        </w:rPr>
        <w:t xml:space="preserve">SEGUNDO. REMÍTASE </w:t>
      </w:r>
      <w:r w:rsidRPr="00897E4A">
        <w:rPr>
          <w:rFonts w:ascii="Palatino Linotype" w:eastAsia="Palatino Linotype" w:hAnsi="Palatino Linotype" w:cs="Palatino Linotype"/>
          <w:color w:val="000000"/>
          <w:sz w:val="22"/>
          <w:szCs w:val="22"/>
        </w:rPr>
        <w:t xml:space="preserve">a través del Sistema de Acceso a la Información Mexiquense </w:t>
      </w:r>
      <w:r w:rsidRPr="00897E4A">
        <w:rPr>
          <w:rFonts w:ascii="Palatino Linotype" w:eastAsia="Palatino Linotype" w:hAnsi="Palatino Linotype" w:cs="Palatino Linotype"/>
          <w:b/>
          <w:color w:val="000000"/>
          <w:sz w:val="22"/>
          <w:szCs w:val="22"/>
        </w:rPr>
        <w:t xml:space="preserve">(SAIMEX) </w:t>
      </w:r>
      <w:r w:rsidRPr="00897E4A">
        <w:rPr>
          <w:rFonts w:ascii="Palatino Linotype" w:eastAsia="Palatino Linotype" w:hAnsi="Palatino Linotype" w:cs="Palatino Linotype"/>
          <w:color w:val="000000"/>
          <w:sz w:val="22"/>
          <w:szCs w:val="22"/>
        </w:rPr>
        <w:t>la presente resolución al Titular de la Unidad de Transparencia del</w:t>
      </w:r>
      <w:r w:rsidRPr="00897E4A">
        <w:rPr>
          <w:rFonts w:ascii="Palatino Linotype" w:eastAsia="Palatino Linotype" w:hAnsi="Palatino Linotype" w:cs="Palatino Linotype"/>
          <w:b/>
          <w:color w:val="000000"/>
          <w:sz w:val="22"/>
          <w:szCs w:val="22"/>
        </w:rPr>
        <w:t xml:space="preserve"> SUJETO OBLIGADO.</w:t>
      </w:r>
    </w:p>
    <w:p w14:paraId="3AE50C4F" w14:textId="77777777" w:rsidR="008D36C8" w:rsidRPr="00897E4A" w:rsidRDefault="008D36C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01612B0" w14:textId="77777777" w:rsidR="008D36C8" w:rsidRPr="00897E4A" w:rsidRDefault="00036B21">
      <w:pPr>
        <w:tabs>
          <w:tab w:val="left" w:pos="8080"/>
        </w:tabs>
        <w:spacing w:line="360" w:lineRule="auto"/>
        <w:ind w:right="49"/>
        <w:jc w:val="both"/>
        <w:rPr>
          <w:rFonts w:ascii="Palatino Linotype" w:eastAsia="Palatino Linotype" w:hAnsi="Palatino Linotype" w:cs="Palatino Linotype"/>
          <w:b/>
          <w:sz w:val="22"/>
          <w:szCs w:val="22"/>
        </w:rPr>
      </w:pPr>
      <w:r w:rsidRPr="00897E4A">
        <w:rPr>
          <w:rFonts w:ascii="Palatino Linotype" w:eastAsia="Palatino Linotype" w:hAnsi="Palatino Linotype" w:cs="Palatino Linotype"/>
          <w:b/>
          <w:sz w:val="22"/>
          <w:szCs w:val="22"/>
        </w:rPr>
        <w:t xml:space="preserve">TERCERO. Notifíquese </w:t>
      </w:r>
      <w:r w:rsidR="00E814D9">
        <w:rPr>
          <w:rFonts w:ascii="Palatino Linotype" w:eastAsia="Palatino Linotype" w:hAnsi="Palatino Linotype" w:cs="Palatino Linotype"/>
          <w:sz w:val="22"/>
          <w:szCs w:val="22"/>
        </w:rPr>
        <w:t>a</w:t>
      </w:r>
      <w:r w:rsidRPr="00897E4A">
        <w:rPr>
          <w:rFonts w:ascii="Palatino Linotype" w:eastAsia="Palatino Linotype" w:hAnsi="Palatino Linotype" w:cs="Palatino Linotype"/>
          <w:sz w:val="22"/>
          <w:szCs w:val="22"/>
        </w:rPr>
        <w:t xml:space="preserve">l </w:t>
      </w:r>
      <w:r w:rsidRPr="00897E4A">
        <w:rPr>
          <w:rFonts w:ascii="Palatino Linotype" w:eastAsia="Palatino Linotype" w:hAnsi="Palatino Linotype" w:cs="Palatino Linotype"/>
          <w:b/>
          <w:sz w:val="22"/>
          <w:szCs w:val="22"/>
        </w:rPr>
        <w:t>RECURRENTE</w:t>
      </w:r>
      <w:r w:rsidRPr="00897E4A">
        <w:rPr>
          <w:rFonts w:ascii="Palatino Linotype" w:eastAsia="Palatino Linotype" w:hAnsi="Palatino Linotype" w:cs="Palatino Linotype"/>
          <w:sz w:val="22"/>
          <w:szCs w:val="22"/>
        </w:rPr>
        <w:t xml:space="preserve"> la presente resolución a través del Sistema de Acceso a la Información Mexiquense </w:t>
      </w:r>
      <w:r w:rsidRPr="00897E4A">
        <w:rPr>
          <w:rFonts w:ascii="Palatino Linotype" w:eastAsia="Palatino Linotype" w:hAnsi="Palatino Linotype" w:cs="Palatino Linotype"/>
          <w:b/>
          <w:sz w:val="22"/>
          <w:szCs w:val="22"/>
        </w:rPr>
        <w:t>(SAIMEX).</w:t>
      </w:r>
    </w:p>
    <w:p w14:paraId="69D79133" w14:textId="77777777" w:rsidR="008D36C8" w:rsidRPr="00897E4A" w:rsidRDefault="008D36C8">
      <w:pPr>
        <w:tabs>
          <w:tab w:val="left" w:pos="8080"/>
        </w:tabs>
        <w:spacing w:line="360" w:lineRule="auto"/>
        <w:ind w:right="49"/>
        <w:jc w:val="both"/>
        <w:rPr>
          <w:rFonts w:ascii="Palatino Linotype" w:eastAsia="Palatino Linotype" w:hAnsi="Palatino Linotype" w:cs="Palatino Linotype"/>
          <w:b/>
          <w:sz w:val="22"/>
          <w:szCs w:val="22"/>
        </w:rPr>
      </w:pPr>
    </w:p>
    <w:p w14:paraId="0DEA3244" w14:textId="77777777" w:rsidR="008D36C8" w:rsidRPr="00897E4A" w:rsidRDefault="00036B2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897E4A">
        <w:rPr>
          <w:rFonts w:ascii="Palatino Linotype" w:eastAsia="Palatino Linotype" w:hAnsi="Palatino Linotype" w:cs="Palatino Linotype"/>
          <w:b/>
          <w:color w:val="000000"/>
          <w:sz w:val="22"/>
          <w:szCs w:val="22"/>
        </w:rPr>
        <w:t xml:space="preserve">CUARTO. </w:t>
      </w:r>
      <w:r w:rsidRPr="00897E4A">
        <w:rPr>
          <w:rFonts w:ascii="Palatino Linotype" w:eastAsia="Palatino Linotype" w:hAnsi="Palatino Linotype" w:cs="Palatino Linotype"/>
          <w:color w:val="000000"/>
          <w:sz w:val="22"/>
          <w:szCs w:val="22"/>
        </w:rPr>
        <w:t xml:space="preserve">Se hace del conocimiento del </w:t>
      </w:r>
      <w:r w:rsidRPr="00897E4A">
        <w:rPr>
          <w:rFonts w:ascii="Palatino Linotype" w:eastAsia="Palatino Linotype" w:hAnsi="Palatino Linotype" w:cs="Palatino Linotype"/>
          <w:b/>
          <w:color w:val="000000"/>
          <w:sz w:val="22"/>
          <w:szCs w:val="22"/>
        </w:rPr>
        <w:t>RECURRENTE</w:t>
      </w:r>
      <w:r w:rsidRPr="00897E4A">
        <w:rPr>
          <w:rFonts w:ascii="Palatino Linotype" w:eastAsia="Palatino Linotype" w:hAnsi="Palatino Linotype" w:cs="Palatino Linotype"/>
          <w:color w:val="000000"/>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w:t>
      </w:r>
      <w:r w:rsidRPr="00897E4A">
        <w:rPr>
          <w:rFonts w:ascii="Palatino Linotype" w:eastAsia="Palatino Linotype" w:hAnsi="Palatino Linotype" w:cs="Palatino Linotype"/>
          <w:sz w:val="22"/>
          <w:szCs w:val="22"/>
        </w:rPr>
        <w:t>impugnar vía</w:t>
      </w:r>
      <w:r w:rsidRPr="00897E4A">
        <w:rPr>
          <w:rFonts w:ascii="Palatino Linotype" w:eastAsia="Palatino Linotype" w:hAnsi="Palatino Linotype" w:cs="Palatino Linotype"/>
          <w:color w:val="000000"/>
          <w:sz w:val="22"/>
          <w:szCs w:val="22"/>
        </w:rPr>
        <w:t xml:space="preserve"> juicio de amparo en los términos de las leyes aplicables.</w:t>
      </w:r>
    </w:p>
    <w:p w14:paraId="6C97088F" w14:textId="77777777" w:rsidR="008D36C8" w:rsidRPr="00897E4A" w:rsidRDefault="008D36C8">
      <w:pPr>
        <w:pBdr>
          <w:top w:val="nil"/>
          <w:left w:val="nil"/>
          <w:bottom w:val="nil"/>
          <w:right w:val="nil"/>
          <w:between w:val="nil"/>
        </w:pBdr>
        <w:spacing w:line="360" w:lineRule="auto"/>
        <w:jc w:val="both"/>
        <w:rPr>
          <w:rFonts w:ascii="Palatino Linotype" w:eastAsia="Palatino Linotype" w:hAnsi="Palatino Linotype" w:cs="Palatino Linotype"/>
          <w:color w:val="222222"/>
          <w:sz w:val="22"/>
          <w:szCs w:val="22"/>
        </w:rPr>
      </w:pPr>
    </w:p>
    <w:p w14:paraId="79303614" w14:textId="77777777" w:rsidR="00E814D9" w:rsidRPr="003C7186" w:rsidRDefault="00E814D9" w:rsidP="00E814D9">
      <w:pPr>
        <w:spacing w:line="360" w:lineRule="auto"/>
        <w:ind w:firstLine="1"/>
        <w:jc w:val="both"/>
        <w:rPr>
          <w:rFonts w:ascii="Palatino Linotype" w:hAnsi="Palatino Linotype"/>
        </w:rPr>
      </w:pPr>
      <w:r w:rsidRPr="003C718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w:t>
      </w:r>
      <w:r w:rsidRPr="003C7186">
        <w:rPr>
          <w:rFonts w:ascii="Palatino Linotype" w:hAnsi="Palatino Linotype"/>
        </w:rPr>
        <w:lastRenderedPageBreak/>
        <w:t>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SEGUNDA </w:t>
      </w:r>
      <w:r w:rsidRPr="003C7186">
        <w:rPr>
          <w:rFonts w:ascii="Palatino Linotype" w:hAnsi="Palatino Linotype"/>
        </w:rPr>
        <w:t xml:space="preserve">SESIÓN ORDINARIA CELEBRADA EL </w:t>
      </w:r>
      <w:r>
        <w:rPr>
          <w:rFonts w:ascii="Palatino Linotype" w:hAnsi="Palatino Linotype"/>
        </w:rPr>
        <w:t>ONCE</w:t>
      </w:r>
      <w:r w:rsidRPr="003C7186">
        <w:rPr>
          <w:rFonts w:ascii="Palatino Linotype" w:hAnsi="Palatino Linotype"/>
        </w:rPr>
        <w:t xml:space="preserve"> </w:t>
      </w:r>
      <w:r>
        <w:rPr>
          <w:rFonts w:ascii="Palatino Linotype" w:hAnsi="Palatino Linotype"/>
        </w:rPr>
        <w:t>(11) DE SEPTIEMBRE</w:t>
      </w:r>
      <w:r w:rsidRPr="003C7186">
        <w:rPr>
          <w:rFonts w:ascii="Palatino Linotype" w:hAnsi="Palatino Linotype"/>
        </w:rPr>
        <w:t xml:space="preserve"> DE DOS MIL VEINTICUATRO, ANTE EL SECRETARIO TÉCNICO DEL PLENO ALEXIS TAPIA RAMÍREZ. </w:t>
      </w:r>
    </w:p>
    <w:p w14:paraId="49979F44" w14:textId="77777777" w:rsidR="008D36C8" w:rsidRPr="00897E4A" w:rsidRDefault="008D36C8">
      <w:pPr>
        <w:spacing w:before="240" w:after="240" w:line="360" w:lineRule="auto"/>
        <w:jc w:val="both"/>
        <w:rPr>
          <w:rFonts w:ascii="Palatino Linotype" w:eastAsia="Palatino Linotype" w:hAnsi="Palatino Linotype" w:cs="Palatino Linotype"/>
          <w:sz w:val="22"/>
          <w:szCs w:val="22"/>
        </w:rPr>
      </w:pPr>
    </w:p>
    <w:p w14:paraId="58C5D33C"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38459557"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607EFDB3"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02D7A6BB"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2623FA39"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4D432F94"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25852D90"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0131BD44"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6C3685E9"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02BC1BEF"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05884837"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584715C9"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3A1BAC82" w14:textId="77777777" w:rsidR="008D36C8" w:rsidRPr="00897E4A" w:rsidRDefault="008D36C8">
      <w:pPr>
        <w:spacing w:before="240" w:after="240" w:line="360" w:lineRule="auto"/>
        <w:rPr>
          <w:rFonts w:ascii="Palatino Linotype" w:eastAsia="Palatino Linotype" w:hAnsi="Palatino Linotype" w:cs="Palatino Linotype"/>
          <w:sz w:val="22"/>
          <w:szCs w:val="22"/>
        </w:rPr>
      </w:pPr>
    </w:p>
    <w:p w14:paraId="52B5C261" w14:textId="77777777" w:rsidR="008D36C8" w:rsidRPr="00897E4A" w:rsidRDefault="008D36C8">
      <w:pPr>
        <w:rPr>
          <w:rFonts w:ascii="Palatino Linotype" w:eastAsia="Palatino Linotype" w:hAnsi="Palatino Linotype" w:cs="Palatino Linotype"/>
          <w:sz w:val="22"/>
          <w:szCs w:val="22"/>
        </w:rPr>
      </w:pPr>
    </w:p>
    <w:sectPr w:rsidR="008D36C8" w:rsidRPr="00897E4A">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DC6AC" w14:textId="77777777" w:rsidR="000D77E9" w:rsidRDefault="000D77E9">
      <w:r>
        <w:separator/>
      </w:r>
    </w:p>
  </w:endnote>
  <w:endnote w:type="continuationSeparator" w:id="0">
    <w:p w14:paraId="10A1C958" w14:textId="77777777" w:rsidR="000D77E9" w:rsidRDefault="000D7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819D" w14:textId="77777777" w:rsidR="00A308A5" w:rsidRDefault="00A308A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007DD">
      <w:rPr>
        <w:b/>
        <w:noProof/>
        <w:color w:val="000000"/>
      </w:rPr>
      <w:t>19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007DD">
      <w:rPr>
        <w:b/>
        <w:noProof/>
        <w:color w:val="000000"/>
      </w:rPr>
      <w:t>19</w:t>
    </w:r>
    <w:r>
      <w:rPr>
        <w:b/>
        <w:color w:val="000000"/>
      </w:rPr>
      <w:fldChar w:fldCharType="end"/>
    </w:r>
  </w:p>
  <w:p w14:paraId="3A4E4179" w14:textId="77777777" w:rsidR="00A308A5" w:rsidRDefault="00A308A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BEB7" w14:textId="77777777" w:rsidR="00A308A5" w:rsidRDefault="00A308A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B007DD">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B007DD">
      <w:rPr>
        <w:b/>
        <w:noProof/>
        <w:color w:val="000000"/>
      </w:rPr>
      <w:t>19</w:t>
    </w:r>
    <w:r>
      <w:rPr>
        <w:b/>
        <w:color w:val="000000"/>
      </w:rPr>
      <w:fldChar w:fldCharType="end"/>
    </w:r>
  </w:p>
  <w:p w14:paraId="6DF255D5" w14:textId="77777777" w:rsidR="00A308A5" w:rsidRDefault="00A308A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211EB" w14:textId="77777777" w:rsidR="000D77E9" w:rsidRDefault="000D77E9">
      <w:r>
        <w:separator/>
      </w:r>
    </w:p>
  </w:footnote>
  <w:footnote w:type="continuationSeparator" w:id="0">
    <w:p w14:paraId="007DD29E" w14:textId="77777777" w:rsidR="000D77E9" w:rsidRDefault="000D7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C284" w14:textId="77777777" w:rsidR="00A308A5" w:rsidRDefault="000D77E9">
    <w:pPr>
      <w:pBdr>
        <w:top w:val="nil"/>
        <w:left w:val="nil"/>
        <w:bottom w:val="nil"/>
        <w:right w:val="nil"/>
        <w:between w:val="nil"/>
      </w:pBdr>
      <w:tabs>
        <w:tab w:val="center" w:pos="4419"/>
        <w:tab w:val="right" w:pos="8838"/>
      </w:tabs>
      <w:rPr>
        <w:color w:val="000000"/>
      </w:rPr>
    </w:pPr>
    <w:r>
      <w:rPr>
        <w:color w:val="000000"/>
      </w:rPr>
      <w:pict w14:anchorId="29FD7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6699" w14:textId="77777777" w:rsidR="00A308A5" w:rsidRDefault="00A308A5">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Style w:val="a"/>
      <w:tblW w:w="9214" w:type="dxa"/>
      <w:tblInd w:w="0" w:type="dxa"/>
      <w:tblLayout w:type="fixed"/>
      <w:tblLook w:val="0400" w:firstRow="0" w:lastRow="0" w:firstColumn="0" w:lastColumn="0" w:noHBand="0" w:noVBand="1"/>
    </w:tblPr>
    <w:tblGrid>
      <w:gridCol w:w="2268"/>
      <w:gridCol w:w="6946"/>
    </w:tblGrid>
    <w:tr w:rsidR="00A308A5" w14:paraId="5CE98C3B" w14:textId="77777777">
      <w:trPr>
        <w:trHeight w:val="1435"/>
      </w:trPr>
      <w:tc>
        <w:tcPr>
          <w:tcW w:w="2268" w:type="dxa"/>
          <w:shd w:val="clear" w:color="auto" w:fill="auto"/>
        </w:tcPr>
        <w:p w14:paraId="1E1FDB58" w14:textId="77777777" w:rsidR="00A308A5" w:rsidRDefault="00A308A5">
          <w:pPr>
            <w:tabs>
              <w:tab w:val="right" w:pos="4273"/>
            </w:tabs>
            <w:rPr>
              <w:rFonts w:ascii="Garamond" w:eastAsia="Garamond" w:hAnsi="Garamond" w:cs="Garamond"/>
              <w:sz w:val="16"/>
              <w:szCs w:val="16"/>
            </w:rPr>
          </w:pPr>
        </w:p>
      </w:tc>
      <w:tc>
        <w:tcPr>
          <w:tcW w:w="6946" w:type="dxa"/>
          <w:shd w:val="clear" w:color="auto" w:fill="auto"/>
        </w:tcPr>
        <w:p w14:paraId="472E8327" w14:textId="77777777" w:rsidR="00A308A5" w:rsidRDefault="00A308A5"/>
        <w:tbl>
          <w:tblPr>
            <w:tblStyle w:val="a0"/>
            <w:tblW w:w="6662" w:type="dxa"/>
            <w:tblInd w:w="40" w:type="dxa"/>
            <w:tblLayout w:type="fixed"/>
            <w:tblLook w:val="0400" w:firstRow="0" w:lastRow="0" w:firstColumn="0" w:lastColumn="0" w:noHBand="0" w:noVBand="1"/>
          </w:tblPr>
          <w:tblGrid>
            <w:gridCol w:w="2551"/>
            <w:gridCol w:w="4111"/>
          </w:tblGrid>
          <w:tr w:rsidR="00A308A5" w:rsidRPr="00AC3BB0" w14:paraId="0EEE650C" w14:textId="77777777">
            <w:trPr>
              <w:trHeight w:val="150"/>
            </w:trPr>
            <w:tc>
              <w:tcPr>
                <w:tcW w:w="2551" w:type="dxa"/>
                <w:shd w:val="clear" w:color="auto" w:fill="auto"/>
              </w:tcPr>
              <w:p w14:paraId="5E6A543F" w14:textId="77777777" w:rsidR="00A308A5" w:rsidRPr="00AC3BB0" w:rsidRDefault="00A308A5">
                <w:pPr>
                  <w:tabs>
                    <w:tab w:val="right" w:pos="8838"/>
                  </w:tabs>
                  <w:ind w:right="-105"/>
                  <w:rPr>
                    <w:rFonts w:ascii="Palatino Linotype" w:eastAsia="Palatino Linotype" w:hAnsi="Palatino Linotype" w:cs="Palatino Linotype"/>
                    <w:b/>
                    <w:sz w:val="22"/>
                    <w:szCs w:val="22"/>
                  </w:rPr>
                </w:pPr>
                <w:r w:rsidRPr="00AC3BB0">
                  <w:rPr>
                    <w:rFonts w:ascii="Palatino Linotype" w:eastAsia="Palatino Linotype" w:hAnsi="Palatino Linotype" w:cs="Palatino Linotype"/>
                    <w:b/>
                    <w:sz w:val="22"/>
                    <w:szCs w:val="22"/>
                  </w:rPr>
                  <w:t>Recurso de Revisión:</w:t>
                </w:r>
              </w:p>
            </w:tc>
            <w:tc>
              <w:tcPr>
                <w:tcW w:w="4111" w:type="dxa"/>
                <w:shd w:val="clear" w:color="auto" w:fill="auto"/>
              </w:tcPr>
              <w:p w14:paraId="302ED000" w14:textId="77777777" w:rsidR="00A308A5" w:rsidRPr="00AC3BB0" w:rsidRDefault="00A308A5" w:rsidP="00AC3BB0">
                <w:pPr>
                  <w:tabs>
                    <w:tab w:val="right" w:pos="8838"/>
                  </w:tabs>
                  <w:ind w:left="-108" w:right="-102"/>
                  <w:jc w:val="both"/>
                  <w:rPr>
                    <w:rFonts w:ascii="Palatino Linotype" w:eastAsia="Palatino Linotype" w:hAnsi="Palatino Linotype" w:cs="Palatino Linotype"/>
                    <w:sz w:val="22"/>
                    <w:szCs w:val="22"/>
                  </w:rPr>
                </w:pPr>
                <w:r w:rsidRPr="00AC3BB0">
                  <w:rPr>
                    <w:rFonts w:ascii="Palatino Linotype" w:eastAsia="Palatino Linotype" w:hAnsi="Palatino Linotype" w:cs="Palatino Linotype"/>
                    <w:sz w:val="22"/>
                    <w:szCs w:val="22"/>
                  </w:rPr>
                  <w:t>03643/INFOEM/IP/RR/2024</w:t>
                </w:r>
              </w:p>
            </w:tc>
          </w:tr>
          <w:tr w:rsidR="00A308A5" w:rsidRPr="00AC3BB0" w14:paraId="60A637D2" w14:textId="77777777">
            <w:trPr>
              <w:trHeight w:val="295"/>
            </w:trPr>
            <w:tc>
              <w:tcPr>
                <w:tcW w:w="2551" w:type="dxa"/>
                <w:shd w:val="clear" w:color="auto" w:fill="auto"/>
              </w:tcPr>
              <w:p w14:paraId="6AA7370D" w14:textId="77777777" w:rsidR="00A308A5" w:rsidRPr="00AC3BB0" w:rsidRDefault="00A308A5">
                <w:pPr>
                  <w:tabs>
                    <w:tab w:val="right" w:pos="8838"/>
                  </w:tabs>
                  <w:ind w:right="-105"/>
                  <w:rPr>
                    <w:rFonts w:ascii="Palatino Linotype" w:eastAsia="Palatino Linotype" w:hAnsi="Palatino Linotype" w:cs="Palatino Linotype"/>
                    <w:b/>
                    <w:sz w:val="22"/>
                    <w:szCs w:val="22"/>
                  </w:rPr>
                </w:pPr>
                <w:r w:rsidRPr="00AC3BB0">
                  <w:rPr>
                    <w:rFonts w:ascii="Palatino Linotype" w:eastAsia="Palatino Linotype" w:hAnsi="Palatino Linotype" w:cs="Palatino Linotype"/>
                    <w:b/>
                    <w:sz w:val="22"/>
                    <w:szCs w:val="22"/>
                  </w:rPr>
                  <w:t>Sujeto Obligado:</w:t>
                </w:r>
              </w:p>
            </w:tc>
            <w:tc>
              <w:tcPr>
                <w:tcW w:w="4111" w:type="dxa"/>
                <w:shd w:val="clear" w:color="auto" w:fill="auto"/>
              </w:tcPr>
              <w:p w14:paraId="2BF7E8AE" w14:textId="77777777" w:rsidR="00A308A5" w:rsidRPr="00AC3BB0" w:rsidRDefault="00A308A5">
                <w:pPr>
                  <w:tabs>
                    <w:tab w:val="left" w:pos="2834"/>
                    <w:tab w:val="right" w:pos="8838"/>
                  </w:tabs>
                  <w:ind w:left="-108" w:right="-102"/>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Servicios Educativos Integrados al Estado de México</w:t>
                </w:r>
              </w:p>
            </w:tc>
          </w:tr>
          <w:tr w:rsidR="00A308A5" w14:paraId="3CBCF9F7" w14:textId="77777777">
            <w:trPr>
              <w:trHeight w:val="295"/>
            </w:trPr>
            <w:tc>
              <w:tcPr>
                <w:tcW w:w="2551" w:type="dxa"/>
                <w:shd w:val="clear" w:color="auto" w:fill="auto"/>
              </w:tcPr>
              <w:p w14:paraId="63B8609C" w14:textId="77777777" w:rsidR="00A308A5" w:rsidRPr="00AC3BB0" w:rsidRDefault="00A308A5">
                <w:pPr>
                  <w:tabs>
                    <w:tab w:val="right" w:pos="8838"/>
                  </w:tabs>
                  <w:ind w:right="-105"/>
                  <w:rPr>
                    <w:rFonts w:ascii="Palatino Linotype" w:eastAsia="Palatino Linotype" w:hAnsi="Palatino Linotype" w:cs="Palatino Linotype"/>
                    <w:b/>
                    <w:sz w:val="22"/>
                    <w:szCs w:val="22"/>
                  </w:rPr>
                </w:pPr>
                <w:r w:rsidRPr="00AC3BB0">
                  <w:rPr>
                    <w:rFonts w:ascii="Palatino Linotype" w:eastAsia="Palatino Linotype" w:hAnsi="Palatino Linotype" w:cs="Palatino Linotype"/>
                    <w:b/>
                    <w:sz w:val="22"/>
                    <w:szCs w:val="22"/>
                  </w:rPr>
                  <w:t>Comisionada ponente:</w:t>
                </w:r>
              </w:p>
            </w:tc>
            <w:tc>
              <w:tcPr>
                <w:tcW w:w="4111" w:type="dxa"/>
                <w:shd w:val="clear" w:color="auto" w:fill="auto"/>
              </w:tcPr>
              <w:p w14:paraId="335F1B09" w14:textId="77777777" w:rsidR="00A308A5" w:rsidRDefault="00A308A5">
                <w:pPr>
                  <w:tabs>
                    <w:tab w:val="right" w:pos="8838"/>
                  </w:tabs>
                  <w:ind w:left="-108" w:right="171"/>
                  <w:jc w:val="both"/>
                  <w:rPr>
                    <w:rFonts w:ascii="Palatino Linotype" w:eastAsia="Palatino Linotype" w:hAnsi="Palatino Linotype" w:cs="Palatino Linotype"/>
                    <w:sz w:val="22"/>
                    <w:szCs w:val="22"/>
                  </w:rPr>
                </w:pPr>
                <w:r w:rsidRPr="00AC3BB0">
                  <w:rPr>
                    <w:rFonts w:ascii="Palatino Linotype" w:eastAsia="Palatino Linotype" w:hAnsi="Palatino Linotype" w:cs="Palatino Linotype"/>
                    <w:sz w:val="22"/>
                    <w:szCs w:val="22"/>
                  </w:rPr>
                  <w:t>María del Rosario Mejía Ayala</w:t>
                </w:r>
              </w:p>
              <w:p w14:paraId="629D045B" w14:textId="77777777" w:rsidR="00A308A5" w:rsidRDefault="00A308A5">
                <w:pPr>
                  <w:tabs>
                    <w:tab w:val="right" w:pos="8838"/>
                  </w:tabs>
                  <w:ind w:left="-108" w:right="171"/>
                  <w:jc w:val="both"/>
                  <w:rPr>
                    <w:rFonts w:ascii="Palatino Linotype" w:eastAsia="Palatino Linotype" w:hAnsi="Palatino Linotype" w:cs="Palatino Linotype"/>
                    <w:b/>
                    <w:sz w:val="22"/>
                    <w:szCs w:val="22"/>
                  </w:rPr>
                </w:pPr>
              </w:p>
            </w:tc>
          </w:tr>
        </w:tbl>
        <w:p w14:paraId="38CE4994" w14:textId="77777777" w:rsidR="00A308A5" w:rsidRDefault="00A308A5">
          <w:pPr>
            <w:tabs>
              <w:tab w:val="right" w:pos="8838"/>
            </w:tabs>
            <w:ind w:left="-28"/>
            <w:jc w:val="both"/>
            <w:rPr>
              <w:rFonts w:ascii="Arial" w:eastAsia="Arial" w:hAnsi="Arial" w:cs="Arial"/>
              <w:b/>
              <w:sz w:val="22"/>
              <w:szCs w:val="22"/>
            </w:rPr>
          </w:pPr>
        </w:p>
      </w:tc>
    </w:tr>
  </w:tbl>
  <w:p w14:paraId="06B588A2" w14:textId="77777777" w:rsidR="00A308A5" w:rsidRDefault="000D77E9">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7B2AD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5C81" w14:textId="77777777" w:rsidR="00A308A5" w:rsidRDefault="00A308A5">
    <w:pPr>
      <w:widowControl w:val="0"/>
      <w:pBdr>
        <w:top w:val="nil"/>
        <w:left w:val="nil"/>
        <w:bottom w:val="nil"/>
        <w:right w:val="nil"/>
        <w:between w:val="nil"/>
      </w:pBdr>
      <w:spacing w:line="276" w:lineRule="auto"/>
      <w:rPr>
        <w:color w:val="000000"/>
      </w:rPr>
    </w:pPr>
  </w:p>
  <w:tbl>
    <w:tblPr>
      <w:tblStyle w:val="a1"/>
      <w:tblW w:w="9072" w:type="dxa"/>
      <w:tblInd w:w="0" w:type="dxa"/>
      <w:tblLayout w:type="fixed"/>
      <w:tblLook w:val="0400" w:firstRow="0" w:lastRow="0" w:firstColumn="0" w:lastColumn="0" w:noHBand="0" w:noVBand="1"/>
    </w:tblPr>
    <w:tblGrid>
      <w:gridCol w:w="2268"/>
      <w:gridCol w:w="6804"/>
    </w:tblGrid>
    <w:tr w:rsidR="00A308A5" w14:paraId="1FA2A8CE" w14:textId="77777777">
      <w:trPr>
        <w:trHeight w:val="1435"/>
      </w:trPr>
      <w:tc>
        <w:tcPr>
          <w:tcW w:w="2268" w:type="dxa"/>
          <w:shd w:val="clear" w:color="auto" w:fill="auto"/>
        </w:tcPr>
        <w:p w14:paraId="37FA7AB5" w14:textId="77777777" w:rsidR="00A308A5" w:rsidRDefault="00A308A5">
          <w:pPr>
            <w:tabs>
              <w:tab w:val="right" w:pos="4273"/>
            </w:tabs>
            <w:rPr>
              <w:rFonts w:ascii="Garamond" w:eastAsia="Garamond" w:hAnsi="Garamond" w:cs="Garamond"/>
              <w:sz w:val="22"/>
              <w:szCs w:val="22"/>
            </w:rPr>
          </w:pPr>
        </w:p>
      </w:tc>
      <w:tc>
        <w:tcPr>
          <w:tcW w:w="6804" w:type="dxa"/>
          <w:shd w:val="clear" w:color="auto" w:fill="auto"/>
        </w:tcPr>
        <w:p w14:paraId="1F425449" w14:textId="77777777" w:rsidR="00A308A5" w:rsidRDefault="00A308A5">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6662" w:type="dxa"/>
            <w:tblInd w:w="40" w:type="dxa"/>
            <w:tblLayout w:type="fixed"/>
            <w:tblLook w:val="0400" w:firstRow="0" w:lastRow="0" w:firstColumn="0" w:lastColumn="0" w:noHBand="0" w:noVBand="1"/>
          </w:tblPr>
          <w:tblGrid>
            <w:gridCol w:w="2444"/>
            <w:gridCol w:w="4218"/>
          </w:tblGrid>
          <w:tr w:rsidR="00A308A5" w14:paraId="2A63CD17" w14:textId="77777777">
            <w:trPr>
              <w:trHeight w:val="144"/>
            </w:trPr>
            <w:tc>
              <w:tcPr>
                <w:tcW w:w="2444" w:type="dxa"/>
                <w:shd w:val="clear" w:color="auto" w:fill="auto"/>
              </w:tcPr>
              <w:p w14:paraId="4EA848E3" w14:textId="77777777" w:rsidR="00A308A5" w:rsidRDefault="00A308A5">
                <w:pPr>
                  <w:tabs>
                    <w:tab w:val="right" w:pos="8838"/>
                  </w:tabs>
                  <w:ind w:left="-264" w:right="-105" w:firstLine="122"/>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4218" w:type="dxa"/>
                <w:shd w:val="clear" w:color="auto" w:fill="auto"/>
              </w:tcPr>
              <w:p w14:paraId="29011A89" w14:textId="77777777" w:rsidR="00A308A5" w:rsidRDefault="00A308A5">
                <w:pPr>
                  <w:tabs>
                    <w:tab w:val="right" w:pos="8838"/>
                  </w:tabs>
                  <w:ind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03643/INFOEM/IP/RR/2024</w:t>
                </w:r>
              </w:p>
            </w:tc>
          </w:tr>
          <w:tr w:rsidR="00A308A5" w14:paraId="4216FC02" w14:textId="77777777">
            <w:trPr>
              <w:trHeight w:val="144"/>
            </w:trPr>
            <w:tc>
              <w:tcPr>
                <w:tcW w:w="2444" w:type="dxa"/>
                <w:shd w:val="clear" w:color="auto" w:fill="auto"/>
              </w:tcPr>
              <w:p w14:paraId="51BFC498" w14:textId="77777777" w:rsidR="00A308A5" w:rsidRDefault="00A308A5">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14:paraId="44E5E1DF" w14:textId="2FB788FE" w:rsidR="00A308A5" w:rsidRDefault="00BF3261">
                <w:pPr>
                  <w:tabs>
                    <w:tab w:val="left" w:pos="3122"/>
                    <w:tab w:val="right" w:pos="8838"/>
                  </w:tabs>
                  <w:ind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 XXX</w:t>
                </w:r>
              </w:p>
            </w:tc>
          </w:tr>
          <w:tr w:rsidR="00A308A5" w14:paraId="5780250B" w14:textId="77777777">
            <w:trPr>
              <w:trHeight w:val="283"/>
            </w:trPr>
            <w:tc>
              <w:tcPr>
                <w:tcW w:w="2444" w:type="dxa"/>
                <w:shd w:val="clear" w:color="auto" w:fill="auto"/>
              </w:tcPr>
              <w:p w14:paraId="06CEA3F5" w14:textId="77777777" w:rsidR="00A308A5" w:rsidRDefault="00A308A5">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14:paraId="4074AF91" w14:textId="77777777" w:rsidR="00A308A5" w:rsidRDefault="00A308A5">
                <w:pPr>
                  <w:tabs>
                    <w:tab w:val="left" w:pos="2834"/>
                    <w:tab w:val="right" w:pos="8838"/>
                  </w:tabs>
                  <w:ind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Servicios Educativos Integrados al Estado de México</w:t>
                </w:r>
              </w:p>
            </w:tc>
          </w:tr>
          <w:tr w:rsidR="00A308A5" w14:paraId="579EEA5C" w14:textId="77777777">
            <w:trPr>
              <w:trHeight w:val="283"/>
            </w:trPr>
            <w:tc>
              <w:tcPr>
                <w:tcW w:w="2444" w:type="dxa"/>
                <w:shd w:val="clear" w:color="auto" w:fill="auto"/>
              </w:tcPr>
              <w:p w14:paraId="6A19E8E4" w14:textId="77777777" w:rsidR="00A308A5" w:rsidRDefault="00A308A5">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14:paraId="7F08611E" w14:textId="77777777" w:rsidR="00A308A5" w:rsidRDefault="00A308A5">
                <w:pPr>
                  <w:tabs>
                    <w:tab w:val="right" w:pos="8838"/>
                  </w:tabs>
                  <w:ind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7F82CA7C" w14:textId="77777777" w:rsidR="00A308A5" w:rsidRDefault="00A308A5">
                <w:pPr>
                  <w:tabs>
                    <w:tab w:val="right" w:pos="8838"/>
                  </w:tabs>
                  <w:ind w:right="-105"/>
                  <w:jc w:val="both"/>
                  <w:rPr>
                    <w:rFonts w:ascii="Palatino Linotype" w:eastAsia="Palatino Linotype" w:hAnsi="Palatino Linotype" w:cs="Palatino Linotype"/>
                    <w:b/>
                    <w:sz w:val="22"/>
                    <w:szCs w:val="22"/>
                  </w:rPr>
                </w:pPr>
              </w:p>
            </w:tc>
          </w:tr>
        </w:tbl>
        <w:p w14:paraId="0691BA3F" w14:textId="77777777" w:rsidR="00A308A5" w:rsidRDefault="00A308A5">
          <w:pPr>
            <w:tabs>
              <w:tab w:val="right" w:pos="8838"/>
            </w:tabs>
            <w:ind w:left="-28"/>
            <w:jc w:val="both"/>
            <w:rPr>
              <w:rFonts w:ascii="Arial" w:eastAsia="Arial" w:hAnsi="Arial" w:cs="Arial"/>
              <w:b/>
              <w:sz w:val="22"/>
              <w:szCs w:val="22"/>
            </w:rPr>
          </w:pPr>
        </w:p>
      </w:tc>
    </w:tr>
  </w:tbl>
  <w:p w14:paraId="3E3296DE" w14:textId="77777777" w:rsidR="00A308A5" w:rsidRDefault="000D77E9">
    <w:pPr>
      <w:pBdr>
        <w:top w:val="nil"/>
        <w:left w:val="nil"/>
        <w:bottom w:val="nil"/>
        <w:right w:val="nil"/>
        <w:between w:val="nil"/>
      </w:pBdr>
      <w:tabs>
        <w:tab w:val="center" w:pos="4419"/>
        <w:tab w:val="right" w:pos="8838"/>
      </w:tabs>
      <w:rPr>
        <w:color w:val="000000"/>
        <w:sz w:val="2"/>
        <w:szCs w:val="2"/>
      </w:rPr>
    </w:pPr>
    <w:r>
      <w:rPr>
        <w:color w:val="000000"/>
        <w:sz w:val="2"/>
        <w:szCs w:val="2"/>
      </w:rPr>
      <w:pict w14:anchorId="367C5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862A9"/>
    <w:multiLevelType w:val="multilevel"/>
    <w:tmpl w:val="4C7ED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355015"/>
    <w:multiLevelType w:val="multilevel"/>
    <w:tmpl w:val="FF96B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8A078C"/>
    <w:multiLevelType w:val="multilevel"/>
    <w:tmpl w:val="72E8A60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4C709D"/>
    <w:multiLevelType w:val="multilevel"/>
    <w:tmpl w:val="02688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7FF40BEB"/>
    <w:multiLevelType w:val="multilevel"/>
    <w:tmpl w:val="AC20F2FA"/>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num w:numId="1" w16cid:durableId="1668051936">
    <w:abstractNumId w:val="4"/>
  </w:num>
  <w:num w:numId="2" w16cid:durableId="1172724606">
    <w:abstractNumId w:val="2"/>
  </w:num>
  <w:num w:numId="3" w16cid:durableId="830369865">
    <w:abstractNumId w:val="3"/>
  </w:num>
  <w:num w:numId="4" w16cid:durableId="1127120538">
    <w:abstractNumId w:val="1"/>
  </w:num>
  <w:num w:numId="5" w16cid:durableId="662659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6C8"/>
    <w:rsid w:val="00036B21"/>
    <w:rsid w:val="000D77E9"/>
    <w:rsid w:val="001D69A1"/>
    <w:rsid w:val="00226F34"/>
    <w:rsid w:val="005A467F"/>
    <w:rsid w:val="005B4EE2"/>
    <w:rsid w:val="00612CB2"/>
    <w:rsid w:val="006C695C"/>
    <w:rsid w:val="00897E4A"/>
    <w:rsid w:val="008D36C8"/>
    <w:rsid w:val="009232B6"/>
    <w:rsid w:val="00A308A5"/>
    <w:rsid w:val="00AC3BB0"/>
    <w:rsid w:val="00B007DD"/>
    <w:rsid w:val="00BF3261"/>
    <w:rsid w:val="00D83122"/>
    <w:rsid w:val="00E23F53"/>
    <w:rsid w:val="00E814D9"/>
    <w:rsid w:val="00F76CF3"/>
    <w:rsid w:val="00FA7B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08A03"/>
  <w15:docId w15:val="{FF9D78DF-EDA9-473B-BA63-4953F64BD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B8"/>
  </w:style>
  <w:style w:type="paragraph" w:styleId="Ttulo1">
    <w:name w:val="heading 1"/>
    <w:basedOn w:val="Normal"/>
    <w:next w:val="Normal"/>
    <w:link w:val="Ttulo1Car"/>
    <w:uiPriority w:val="9"/>
    <w:qFormat/>
    <w:rsid w:val="005164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164B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rsid w:val="005164B8"/>
    <w:pPr>
      <w:keepNext/>
      <w:keepLines/>
      <w:spacing w:before="280" w:after="80"/>
      <w:outlineLvl w:val="2"/>
    </w:pPr>
    <w:rPr>
      <w:b/>
      <w:sz w:val="28"/>
      <w:szCs w:val="28"/>
    </w:rPr>
  </w:style>
  <w:style w:type="paragraph" w:styleId="Ttulo4">
    <w:name w:val="heading 4"/>
    <w:basedOn w:val="Normal"/>
    <w:next w:val="Normal"/>
    <w:link w:val="Ttulo4Car"/>
    <w:rsid w:val="005164B8"/>
    <w:pPr>
      <w:keepNext/>
      <w:keepLines/>
      <w:spacing w:before="240" w:after="40"/>
      <w:outlineLvl w:val="3"/>
    </w:pPr>
    <w:rPr>
      <w:b/>
    </w:rPr>
  </w:style>
  <w:style w:type="paragraph" w:styleId="Ttulo5">
    <w:name w:val="heading 5"/>
    <w:basedOn w:val="Normal"/>
    <w:next w:val="Normal"/>
    <w:link w:val="Ttulo5Car"/>
    <w:rsid w:val="005164B8"/>
    <w:pPr>
      <w:keepNext/>
      <w:keepLines/>
      <w:spacing w:before="220" w:after="40"/>
      <w:outlineLvl w:val="4"/>
    </w:pPr>
    <w:rPr>
      <w:b/>
      <w:sz w:val="22"/>
      <w:szCs w:val="22"/>
    </w:rPr>
  </w:style>
  <w:style w:type="paragraph" w:styleId="Ttulo6">
    <w:name w:val="heading 6"/>
    <w:basedOn w:val="Normal"/>
    <w:next w:val="Normal"/>
    <w:link w:val="Ttulo6Car"/>
    <w:rsid w:val="005164B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5164B8"/>
    <w:pPr>
      <w:keepNext/>
      <w:keepLines/>
      <w:spacing w:before="480" w:after="120"/>
    </w:pPr>
    <w:rPr>
      <w:b/>
      <w:sz w:val="72"/>
      <w:szCs w:val="72"/>
    </w:rPr>
  </w:style>
  <w:style w:type="character" w:customStyle="1" w:styleId="Ttulo1Car">
    <w:name w:val="Título 1 Car"/>
    <w:basedOn w:val="Fuentedeprrafopredeter"/>
    <w:link w:val="Ttulo1"/>
    <w:uiPriority w:val="9"/>
    <w:rsid w:val="005164B8"/>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5164B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5164B8"/>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rsid w:val="005164B8"/>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5164B8"/>
    <w:rPr>
      <w:rFonts w:ascii="Times New Roman" w:eastAsia="Times New Roman" w:hAnsi="Times New Roman" w:cs="Times New Roman"/>
      <w:b/>
      <w:lang w:eastAsia="es-MX"/>
    </w:rPr>
  </w:style>
  <w:style w:type="character" w:customStyle="1" w:styleId="Ttulo6Car">
    <w:name w:val="Título 6 Car"/>
    <w:basedOn w:val="Fuentedeprrafopredeter"/>
    <w:link w:val="Ttulo6"/>
    <w:rsid w:val="005164B8"/>
    <w:rPr>
      <w:rFonts w:ascii="Times New Roman" w:eastAsia="Times New Roman" w:hAnsi="Times New Roman" w:cs="Times New Roman"/>
      <w:b/>
      <w:sz w:val="20"/>
      <w:szCs w:val="20"/>
      <w:lang w:eastAsia="es-MX"/>
    </w:rPr>
  </w:style>
  <w:style w:type="table" w:customStyle="1" w:styleId="TableNormal0">
    <w:name w:val="Table Normal"/>
    <w:rsid w:val="005164B8"/>
    <w:tblPr>
      <w:tblCellMar>
        <w:top w:w="0" w:type="dxa"/>
        <w:left w:w="0" w:type="dxa"/>
        <w:bottom w:w="0" w:type="dxa"/>
        <w:right w:w="0" w:type="dxa"/>
      </w:tblCellMar>
    </w:tblPr>
  </w:style>
  <w:style w:type="character" w:customStyle="1" w:styleId="TtuloCar">
    <w:name w:val="Título Car"/>
    <w:basedOn w:val="Fuentedeprrafopredeter"/>
    <w:link w:val="Ttulo"/>
    <w:rsid w:val="005164B8"/>
    <w:rPr>
      <w:rFonts w:ascii="Times New Roman" w:eastAsia="Times New Roman" w:hAnsi="Times New Roman" w:cs="Times New Roman"/>
      <w:b/>
      <w:sz w:val="72"/>
      <w:szCs w:val="72"/>
      <w:lang w:eastAsia="es-MX"/>
    </w:rPr>
  </w:style>
  <w:style w:type="paragraph" w:styleId="Encabezado">
    <w:name w:val="header"/>
    <w:basedOn w:val="Normal"/>
    <w:link w:val="EncabezadoCar"/>
    <w:uiPriority w:val="99"/>
    <w:unhideWhenUsed/>
    <w:rsid w:val="005164B8"/>
    <w:pPr>
      <w:tabs>
        <w:tab w:val="center" w:pos="4419"/>
        <w:tab w:val="right" w:pos="8838"/>
      </w:tabs>
    </w:pPr>
  </w:style>
  <w:style w:type="character" w:customStyle="1" w:styleId="EncabezadoCar">
    <w:name w:val="Encabezado Car"/>
    <w:basedOn w:val="Fuentedeprrafopredeter"/>
    <w:link w:val="Encabezado"/>
    <w:uiPriority w:val="99"/>
    <w:rsid w:val="005164B8"/>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5164B8"/>
    <w:pPr>
      <w:tabs>
        <w:tab w:val="center" w:pos="4419"/>
        <w:tab w:val="right" w:pos="8838"/>
      </w:tabs>
    </w:pPr>
  </w:style>
  <w:style w:type="character" w:customStyle="1" w:styleId="PiedepginaCar">
    <w:name w:val="Pie de página Car"/>
    <w:basedOn w:val="Fuentedeprrafopredeter"/>
    <w:link w:val="Piedepgina"/>
    <w:uiPriority w:val="99"/>
    <w:rsid w:val="005164B8"/>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164B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164B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5164B8"/>
    <w:rPr>
      <w:color w:val="0563C1"/>
      <w:u w:val="single"/>
    </w:rPr>
  </w:style>
  <w:style w:type="paragraph" w:styleId="TDC1">
    <w:name w:val="toc 1"/>
    <w:basedOn w:val="Normal"/>
    <w:next w:val="Normal"/>
    <w:autoRedefine/>
    <w:uiPriority w:val="39"/>
    <w:unhideWhenUsed/>
    <w:rsid w:val="005164B8"/>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5164B8"/>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164B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164B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164B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164B8"/>
    <w:rPr>
      <w:rFonts w:ascii="Times New Roman" w:eastAsia="Times New Roman" w:hAnsi="Times New Roman" w:cs="Times New Roman"/>
      <w:sz w:val="20"/>
      <w:szCs w:val="20"/>
      <w:lang w:eastAsia="es-MX"/>
    </w:rPr>
  </w:style>
  <w:style w:type="paragraph" w:styleId="TtuloTDC">
    <w:name w:val="TOC Heading"/>
    <w:basedOn w:val="Ttulo1"/>
    <w:next w:val="Normal"/>
    <w:uiPriority w:val="39"/>
    <w:semiHidden/>
    <w:unhideWhenUsed/>
    <w:qFormat/>
    <w:rsid w:val="005164B8"/>
    <w:pPr>
      <w:outlineLvl w:val="9"/>
    </w:pPr>
  </w:style>
  <w:style w:type="character" w:customStyle="1" w:styleId="apple-converted-space">
    <w:name w:val="apple-converted-space"/>
    <w:basedOn w:val="Fuentedeprrafopredeter"/>
    <w:qFormat/>
    <w:rsid w:val="005164B8"/>
  </w:style>
  <w:style w:type="table" w:styleId="Tablaconcuadrcula">
    <w:name w:val="Table Grid"/>
    <w:basedOn w:val="Tablanormal"/>
    <w:uiPriority w:val="59"/>
    <w:rsid w:val="0051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5164B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INAI"/>
    <w:link w:val="SinespaciadoCar"/>
    <w:uiPriority w:val="1"/>
    <w:qFormat/>
    <w:rsid w:val="005164B8"/>
  </w:style>
  <w:style w:type="paragraph" w:styleId="TDC3">
    <w:name w:val="toc 3"/>
    <w:basedOn w:val="Normal"/>
    <w:next w:val="Normal"/>
    <w:autoRedefine/>
    <w:uiPriority w:val="39"/>
    <w:unhideWhenUsed/>
    <w:rsid w:val="005164B8"/>
    <w:pPr>
      <w:spacing w:after="100"/>
      <w:ind w:left="480"/>
    </w:pPr>
  </w:style>
  <w:style w:type="table" w:customStyle="1" w:styleId="Tablaconcuadrcula1">
    <w:name w:val="Tabla con cuadrícula1"/>
    <w:basedOn w:val="Tablanormal"/>
    <w:next w:val="Tablaconcuadrcula"/>
    <w:uiPriority w:val="59"/>
    <w:rsid w:val="005164B8"/>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164B8"/>
    <w:rPr>
      <w:color w:val="605E5C"/>
      <w:shd w:val="clear" w:color="auto" w:fill="E1DFDD"/>
    </w:rPr>
  </w:style>
  <w:style w:type="character" w:styleId="Hipervnculovisitado">
    <w:name w:val="FollowedHyperlink"/>
    <w:basedOn w:val="Fuentedeprrafopredeter"/>
    <w:uiPriority w:val="99"/>
    <w:semiHidden/>
    <w:unhideWhenUsed/>
    <w:rsid w:val="005164B8"/>
    <w:rPr>
      <w:color w:val="954F72" w:themeColor="followedHyperlink"/>
      <w:u w:val="single"/>
    </w:rPr>
  </w:style>
  <w:style w:type="paragraph" w:customStyle="1" w:styleId="Default">
    <w:name w:val="Default"/>
    <w:rsid w:val="005164B8"/>
    <w:pPr>
      <w:autoSpaceDE w:val="0"/>
      <w:autoSpaceDN w:val="0"/>
      <w:adjustRightInd w:val="0"/>
    </w:pPr>
    <w:rPr>
      <w:rFonts w:ascii="Palatino Linotype" w:hAnsi="Palatino Linotype" w:cs="Palatino Linotype"/>
      <w:color w:val="000000"/>
    </w:rPr>
  </w:style>
  <w:style w:type="character" w:customStyle="1" w:styleId="Mencinsinresolver2">
    <w:name w:val="Mención sin resolver2"/>
    <w:basedOn w:val="Fuentedeprrafopredeter"/>
    <w:uiPriority w:val="99"/>
    <w:semiHidden/>
    <w:unhideWhenUsed/>
    <w:rsid w:val="005164B8"/>
    <w:rPr>
      <w:color w:val="605E5C"/>
      <w:shd w:val="clear" w:color="auto" w:fill="E1DFDD"/>
    </w:rPr>
  </w:style>
  <w:style w:type="paragraph" w:styleId="Textodeglobo">
    <w:name w:val="Balloon Text"/>
    <w:basedOn w:val="Normal"/>
    <w:link w:val="TextodegloboCar"/>
    <w:uiPriority w:val="99"/>
    <w:semiHidden/>
    <w:unhideWhenUsed/>
    <w:rsid w:val="005164B8"/>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164B8"/>
    <w:rPr>
      <w:rFonts w:ascii="Lucida Grande" w:eastAsiaTheme="minorEastAsia" w:hAnsi="Lucida Grande" w:cs="Lucida Grande"/>
      <w:sz w:val="18"/>
      <w:szCs w:val="18"/>
      <w:lang w:val="es-ES_tradnl" w:eastAsia="es-ES"/>
    </w:rPr>
  </w:style>
  <w:style w:type="table" w:customStyle="1" w:styleId="Tablanormal13">
    <w:name w:val="Tabla normal 13"/>
    <w:basedOn w:val="Tablanormal"/>
    <w:next w:val="Tablanormal1"/>
    <w:uiPriority w:val="41"/>
    <w:rsid w:val="005164B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5164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FOEM">
    <w:name w:val="INFOEM"/>
    <w:basedOn w:val="Normal"/>
    <w:qFormat/>
    <w:rsid w:val="005164B8"/>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5164B8"/>
    <w:rPr>
      <w:rFonts w:ascii="Georgia" w:eastAsia="Georgia" w:hAnsi="Georgia" w:cs="Georgia"/>
      <w:i/>
      <w:color w:val="666666"/>
      <w:sz w:val="48"/>
      <w:szCs w:val="48"/>
      <w:lang w:eastAsia="es-MX"/>
    </w:rPr>
  </w:style>
  <w:style w:type="table" w:customStyle="1" w:styleId="6">
    <w:name w:val="6"/>
    <w:basedOn w:val="TableNormal0"/>
    <w:rsid w:val="005164B8"/>
    <w:rPr>
      <w:color w:val="000000"/>
    </w:rPr>
    <w:tblPr>
      <w:tblStyleRowBandSize w:val="1"/>
      <w:tblStyleColBandSize w:val="1"/>
      <w:tblCellMar>
        <w:left w:w="108" w:type="dxa"/>
        <w:right w:w="108" w:type="dxa"/>
      </w:tblCellMar>
    </w:tblPr>
  </w:style>
  <w:style w:type="table" w:customStyle="1" w:styleId="5">
    <w:name w:val="5"/>
    <w:basedOn w:val="TableNormal0"/>
    <w:rsid w:val="005164B8"/>
    <w:rPr>
      <w:color w:val="000000"/>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
    <w:name w:val="4"/>
    <w:basedOn w:val="TableNormal0"/>
    <w:rsid w:val="005164B8"/>
    <w:tblPr>
      <w:tblStyleRowBandSize w:val="1"/>
      <w:tblStyleColBandSize w:val="1"/>
      <w:tblCellMar>
        <w:left w:w="115" w:type="dxa"/>
        <w:right w:w="115" w:type="dxa"/>
      </w:tblCellMar>
    </w:tblPr>
  </w:style>
  <w:style w:type="table" w:customStyle="1" w:styleId="3">
    <w:name w:val="3"/>
    <w:basedOn w:val="TableNormal0"/>
    <w:rsid w:val="005164B8"/>
    <w:tblPr>
      <w:tblStyleRowBandSize w:val="1"/>
      <w:tblStyleColBandSize w:val="1"/>
      <w:tblCellMar>
        <w:left w:w="115" w:type="dxa"/>
        <w:right w:w="115" w:type="dxa"/>
      </w:tblCellMar>
    </w:tblPr>
  </w:style>
  <w:style w:type="table" w:customStyle="1" w:styleId="2">
    <w:name w:val="2"/>
    <w:basedOn w:val="TableNormal0"/>
    <w:rsid w:val="005164B8"/>
    <w:tblPr>
      <w:tblStyleRowBandSize w:val="1"/>
      <w:tblStyleColBandSize w:val="1"/>
      <w:tblCellMar>
        <w:left w:w="115" w:type="dxa"/>
        <w:right w:w="115" w:type="dxa"/>
      </w:tblCellMar>
    </w:tblPr>
  </w:style>
  <w:style w:type="table" w:customStyle="1" w:styleId="1">
    <w:name w:val="1"/>
    <w:basedOn w:val="TableNormal0"/>
    <w:rsid w:val="005164B8"/>
    <w:tblPr>
      <w:tblStyleRowBandSize w:val="1"/>
      <w:tblStyleColBandSize w:val="1"/>
      <w:tblCellMar>
        <w:left w:w="115" w:type="dxa"/>
        <w:right w:w="115" w:type="dxa"/>
      </w:tblCellMar>
    </w:tblPr>
  </w:style>
  <w:style w:type="character" w:customStyle="1" w:styleId="SinespaciadoCar">
    <w:name w:val="Sin espaciado Car"/>
    <w:aliases w:val="Francesa Car,INAI Car"/>
    <w:link w:val="Sinespaciado"/>
    <w:uiPriority w:val="1"/>
    <w:locked/>
    <w:rsid w:val="005164B8"/>
    <w:rPr>
      <w:rFonts w:ascii="Times New Roman" w:eastAsia="Times New Roman" w:hAnsi="Times New Roman" w:cs="Times New Roman"/>
      <w:sz w:val="24"/>
      <w:szCs w:val="24"/>
      <w:lang w:eastAsia="es-MX"/>
    </w:rPr>
  </w:style>
  <w:style w:type="table" w:customStyle="1" w:styleId="a">
    <w:basedOn w:val="TableNormal0"/>
    <w:rPr>
      <w:color w:val="000000"/>
    </w:rPr>
    <w:tblPr>
      <w:tblStyleRowBandSize w:val="1"/>
      <w:tblStyleColBandSize w:val="1"/>
      <w:tblCellMar>
        <w:left w:w="115" w:type="dxa"/>
        <w:right w:w="115" w:type="dxa"/>
      </w:tblCellMar>
    </w:tblPr>
  </w:style>
  <w:style w:type="table" w:customStyle="1" w:styleId="a0">
    <w:basedOn w:val="TableNormal0"/>
    <w:rPr>
      <w:color w:val="000000"/>
    </w:rPr>
    <w:tblPr>
      <w:tblStyleRowBandSize w:val="1"/>
      <w:tblStyleColBandSize w:val="1"/>
      <w:tblCellMar>
        <w:left w:w="115" w:type="dxa"/>
        <w:right w:w="115" w:type="dxa"/>
      </w:tblCellMar>
    </w:tblPr>
  </w:style>
  <w:style w:type="table" w:customStyle="1" w:styleId="a1">
    <w:basedOn w:val="TableNormal0"/>
    <w:rPr>
      <w:color w:val="000000"/>
    </w:rPr>
    <w:tblPr>
      <w:tblStyleRowBandSize w:val="1"/>
      <w:tblStyleColBandSize w:val="1"/>
      <w:tblCellMar>
        <w:left w:w="115" w:type="dxa"/>
        <w:right w:w="115" w:type="dxa"/>
      </w:tblCellMar>
    </w:tblPr>
  </w:style>
  <w:style w:type="table" w:customStyle="1" w:styleId="a2">
    <w:basedOn w:val="TableNormal0"/>
    <w:rPr>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38521.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2138522.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F+DIgeaY1cKUzrvqBhnYq54how==">CgMxLjAyCGguZ2pkZ3hzMgloLjMwajB6bGwyCWguMWZvYjl0ZTIJaC4zem55c2g3MgloLjJldDkycDAyCGgudHlqY3d0MgloLjNkeTZ2a20yCWguMjZpbjFyZzgAciExQmJwQ0dxMWEwZ01qa3VCRURvMWNnTlVEX2NOVEV3QVg=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4286</Words>
  <Characters>23577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inf03m612@outlook.com</cp:lastModifiedBy>
  <cp:revision>5</cp:revision>
  <cp:lastPrinted>2024-09-12T20:53:00Z</cp:lastPrinted>
  <dcterms:created xsi:type="dcterms:W3CDTF">2024-09-05T17:25:00Z</dcterms:created>
  <dcterms:modified xsi:type="dcterms:W3CDTF">2024-09-18T22:22:00Z</dcterms:modified>
</cp:coreProperties>
</file>