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F88C1" w14:textId="3B6B6EDA" w:rsidR="00511260" w:rsidRPr="00875B7E" w:rsidRDefault="00511260" w:rsidP="00511260">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Pr="006F000C">
        <w:rPr>
          <w:rFonts w:eastAsia="Palatino Linotype" w:cs="Palatino Linotype"/>
          <w:color w:val="000000"/>
          <w:szCs w:val="24"/>
        </w:rPr>
        <w:t>México, a</w:t>
      </w:r>
      <w:r w:rsidR="005F6C6D">
        <w:rPr>
          <w:rFonts w:eastAsia="Palatino Linotype" w:cs="Palatino Linotype"/>
          <w:color w:val="000000"/>
          <w:szCs w:val="24"/>
        </w:rPr>
        <w:t xml:space="preserve"> </w:t>
      </w:r>
      <w:r w:rsidR="004F4D02">
        <w:rPr>
          <w:rFonts w:eastAsia="Palatino Linotype" w:cs="Palatino Linotype"/>
          <w:color w:val="000000"/>
          <w:szCs w:val="24"/>
        </w:rPr>
        <w:t>cuatro de diciembre</w:t>
      </w:r>
      <w:r w:rsidR="00D321D8">
        <w:rPr>
          <w:rFonts w:eastAsia="Palatino Linotype" w:cs="Palatino Linotype"/>
          <w:color w:val="000000"/>
          <w:szCs w:val="24"/>
        </w:rPr>
        <w:t xml:space="preserve"> de dos mil </w:t>
      </w:r>
      <w:r w:rsidR="00B426F3">
        <w:rPr>
          <w:rFonts w:eastAsia="Palatino Linotype" w:cs="Palatino Linotype"/>
          <w:color w:val="000000"/>
          <w:szCs w:val="24"/>
        </w:rPr>
        <w:t>veinticuatro</w:t>
      </w:r>
      <w:r w:rsidRPr="00875B7E">
        <w:rPr>
          <w:rFonts w:eastAsia="Palatino Linotype" w:cs="Palatino Linotype"/>
          <w:color w:val="000000"/>
          <w:szCs w:val="24"/>
        </w:rPr>
        <w:t>.</w:t>
      </w:r>
    </w:p>
    <w:p w14:paraId="48DE4E79" w14:textId="77777777" w:rsidR="00511260" w:rsidRPr="00875B7E" w:rsidRDefault="00511260" w:rsidP="00511260">
      <w:pPr>
        <w:pBdr>
          <w:top w:val="nil"/>
          <w:left w:val="nil"/>
          <w:bottom w:val="nil"/>
          <w:right w:val="nil"/>
          <w:between w:val="nil"/>
        </w:pBdr>
        <w:contextualSpacing/>
        <w:rPr>
          <w:rFonts w:eastAsia="Palatino Linotype" w:cs="Palatino Linotype"/>
          <w:color w:val="000000"/>
          <w:szCs w:val="24"/>
        </w:rPr>
      </w:pPr>
    </w:p>
    <w:p w14:paraId="13754330" w14:textId="52FE1566" w:rsidR="00511260" w:rsidRPr="00875B7E" w:rsidRDefault="00511260" w:rsidP="00511260">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b/>
          <w:color w:val="000000"/>
          <w:szCs w:val="24"/>
        </w:rPr>
        <w:t>VISTO</w:t>
      </w:r>
      <w:r w:rsidRPr="00875B7E">
        <w:rPr>
          <w:rFonts w:eastAsia="Palatino Linotype" w:cs="Palatino Linotype"/>
          <w:color w:val="000000"/>
          <w:szCs w:val="24"/>
        </w:rPr>
        <w:t xml:space="preserve"> el expediente electrónico formado con motivo del recurso de revisión número </w:t>
      </w:r>
      <w:r>
        <w:rPr>
          <w:rFonts w:eastAsia="Palatino Linotype" w:cs="Palatino Linotype"/>
          <w:b/>
          <w:color w:val="000000"/>
          <w:szCs w:val="24"/>
        </w:rPr>
        <w:t>0</w:t>
      </w:r>
      <w:r w:rsidR="0055178F">
        <w:rPr>
          <w:rFonts w:eastAsia="Palatino Linotype" w:cs="Palatino Linotype"/>
          <w:b/>
          <w:color w:val="000000"/>
          <w:szCs w:val="24"/>
        </w:rPr>
        <w:t>7060</w:t>
      </w:r>
      <w:r>
        <w:rPr>
          <w:rFonts w:eastAsia="Palatino Linotype" w:cs="Palatino Linotype"/>
          <w:b/>
          <w:color w:val="000000"/>
          <w:szCs w:val="24"/>
        </w:rPr>
        <w:t>/</w:t>
      </w:r>
      <w:proofErr w:type="spellStart"/>
      <w:r w:rsidRPr="00875B7E">
        <w:rPr>
          <w:rFonts w:eastAsia="Palatino Linotype" w:cs="Palatino Linotype"/>
          <w:b/>
          <w:color w:val="000000"/>
          <w:szCs w:val="24"/>
        </w:rPr>
        <w:t>INFOEM</w:t>
      </w:r>
      <w:proofErr w:type="spellEnd"/>
      <w:r w:rsidRPr="00875B7E">
        <w:rPr>
          <w:rFonts w:eastAsia="Palatino Linotype" w:cs="Palatino Linotype"/>
          <w:b/>
          <w:color w:val="000000"/>
          <w:szCs w:val="24"/>
        </w:rPr>
        <w:t>/IP/</w:t>
      </w:r>
      <w:proofErr w:type="spellStart"/>
      <w:r w:rsidRPr="00875B7E">
        <w:rPr>
          <w:rFonts w:eastAsia="Palatino Linotype" w:cs="Palatino Linotype"/>
          <w:b/>
          <w:color w:val="000000"/>
          <w:szCs w:val="24"/>
        </w:rPr>
        <w:t>RR</w:t>
      </w:r>
      <w:proofErr w:type="spellEnd"/>
      <w:r w:rsidRPr="00875B7E">
        <w:rPr>
          <w:rFonts w:eastAsia="Palatino Linotype" w:cs="Palatino Linotype"/>
          <w:b/>
          <w:color w:val="000000"/>
          <w:szCs w:val="24"/>
        </w:rPr>
        <w:t>/202</w:t>
      </w:r>
      <w:r w:rsidR="009C7E85">
        <w:rPr>
          <w:rFonts w:eastAsia="Palatino Linotype" w:cs="Palatino Linotype"/>
          <w:b/>
          <w:color w:val="000000"/>
          <w:szCs w:val="24"/>
        </w:rPr>
        <w:t>4</w:t>
      </w:r>
      <w:r w:rsidRPr="00875B7E">
        <w:rPr>
          <w:rFonts w:eastAsia="Palatino Linotype" w:cs="Palatino Linotype"/>
          <w:color w:val="000000"/>
          <w:szCs w:val="24"/>
        </w:rPr>
        <w:t>, interpuesto por</w:t>
      </w:r>
      <w:r w:rsidR="00944789">
        <w:rPr>
          <w:rFonts w:eastAsia="Palatino Linotype" w:cs="Palatino Linotype"/>
          <w:b/>
          <w:bCs/>
          <w:color w:val="000000"/>
          <w:szCs w:val="24"/>
        </w:rPr>
        <w:t xml:space="preserve"> </w:t>
      </w:r>
      <w:proofErr w:type="spellStart"/>
      <w:r w:rsidR="000722EE">
        <w:rPr>
          <w:rFonts w:cs="Arial"/>
          <w:b/>
          <w:szCs w:val="24"/>
        </w:rPr>
        <w:t>XXXXXXXXXXXXXXXXXX</w:t>
      </w:r>
      <w:proofErr w:type="spellEnd"/>
      <w:r>
        <w:rPr>
          <w:rFonts w:cs="Arial"/>
          <w:szCs w:val="24"/>
        </w:rPr>
        <w:t xml:space="preserve">, </w:t>
      </w:r>
      <w:r w:rsidRPr="00875B7E">
        <w:rPr>
          <w:rFonts w:eastAsia="Palatino Linotype" w:cs="Palatino Linotype"/>
          <w:color w:val="000000"/>
          <w:szCs w:val="24"/>
        </w:rPr>
        <w:t xml:space="preserve">en lo sucesivo el </w:t>
      </w:r>
      <w:r w:rsidRPr="00875B7E">
        <w:rPr>
          <w:rFonts w:eastAsia="Palatino Linotype" w:cs="Palatino Linotype"/>
          <w:b/>
          <w:color w:val="000000"/>
          <w:szCs w:val="24"/>
        </w:rPr>
        <w:t>Recurrente</w:t>
      </w:r>
      <w:r w:rsidR="009C7E85">
        <w:rPr>
          <w:rFonts w:eastAsia="Palatino Linotype" w:cs="Palatino Linotype"/>
          <w:color w:val="000000"/>
          <w:szCs w:val="24"/>
        </w:rPr>
        <w:t xml:space="preserve">, </w:t>
      </w:r>
      <w:r w:rsidR="0055178F">
        <w:rPr>
          <w:rFonts w:eastAsia="Palatino Linotype" w:cs="Palatino Linotype"/>
          <w:color w:val="000000"/>
          <w:szCs w:val="24"/>
        </w:rPr>
        <w:t xml:space="preserve">en contra de la respuesta del </w:t>
      </w:r>
      <w:r w:rsidR="0055178F">
        <w:rPr>
          <w:rFonts w:eastAsia="Palatino Linotype" w:cs="Palatino Linotype"/>
          <w:b/>
          <w:color w:val="000000"/>
          <w:szCs w:val="24"/>
        </w:rPr>
        <w:t xml:space="preserve">Poder Judicial </w:t>
      </w:r>
      <w:r w:rsidRPr="00875B7E">
        <w:rPr>
          <w:rFonts w:eastAsia="Palatino Linotype" w:cs="Palatino Linotype"/>
          <w:color w:val="000000"/>
          <w:szCs w:val="24"/>
        </w:rPr>
        <w:t>en lo subsecuente</w:t>
      </w:r>
      <w:r w:rsidRPr="00875B7E">
        <w:rPr>
          <w:rFonts w:eastAsia="Palatino Linotype" w:cs="Palatino Linotype"/>
          <w:b/>
          <w:color w:val="000000"/>
          <w:szCs w:val="24"/>
        </w:rPr>
        <w:t xml:space="preserve"> </w:t>
      </w:r>
      <w:r w:rsidRPr="00875B7E">
        <w:rPr>
          <w:rFonts w:eastAsia="Palatino Linotype" w:cs="Palatino Linotype"/>
          <w:color w:val="000000"/>
          <w:szCs w:val="24"/>
        </w:rPr>
        <w:t>el</w:t>
      </w:r>
      <w:r w:rsidRPr="00875B7E">
        <w:rPr>
          <w:rFonts w:eastAsia="Palatino Linotype" w:cs="Palatino Linotype"/>
          <w:b/>
          <w:color w:val="000000"/>
          <w:szCs w:val="24"/>
        </w:rPr>
        <w:t xml:space="preserve"> Sujeto Obligado, </w:t>
      </w:r>
      <w:r w:rsidRPr="00875B7E">
        <w:rPr>
          <w:rFonts w:eastAsia="Palatino Linotype" w:cs="Palatino Linotype"/>
          <w:color w:val="000000"/>
          <w:szCs w:val="24"/>
        </w:rPr>
        <w:t>se procede a dictar la presente resolución.</w:t>
      </w:r>
    </w:p>
    <w:p w14:paraId="149F4A01" w14:textId="77777777" w:rsidR="00511260" w:rsidRPr="00875B7E" w:rsidRDefault="00511260" w:rsidP="00511260">
      <w:pPr>
        <w:pBdr>
          <w:top w:val="nil"/>
          <w:left w:val="nil"/>
          <w:bottom w:val="nil"/>
          <w:right w:val="nil"/>
          <w:between w:val="nil"/>
        </w:pBdr>
        <w:contextualSpacing/>
        <w:rPr>
          <w:rFonts w:eastAsia="Palatino Linotype" w:cs="Palatino Linotype"/>
          <w:color w:val="000000"/>
          <w:szCs w:val="24"/>
        </w:rPr>
      </w:pPr>
    </w:p>
    <w:p w14:paraId="3DE6B95E" w14:textId="77777777" w:rsidR="00511260" w:rsidRPr="00511260" w:rsidRDefault="00511260" w:rsidP="00D321D8">
      <w:pPr>
        <w:jc w:val="center"/>
        <w:rPr>
          <w:b/>
          <w:bCs/>
          <w:sz w:val="28"/>
          <w:szCs w:val="28"/>
        </w:rPr>
      </w:pPr>
      <w:r w:rsidRPr="00511260">
        <w:rPr>
          <w:b/>
          <w:bCs/>
          <w:sz w:val="28"/>
          <w:szCs w:val="28"/>
        </w:rPr>
        <w:t>A N T E C E D E N T E S</w:t>
      </w:r>
    </w:p>
    <w:p w14:paraId="57621D0B" w14:textId="77777777" w:rsidR="00511260" w:rsidRPr="00875B7E" w:rsidRDefault="00511260" w:rsidP="00511260">
      <w:pPr>
        <w:pBdr>
          <w:top w:val="nil"/>
          <w:left w:val="nil"/>
          <w:bottom w:val="nil"/>
          <w:right w:val="nil"/>
          <w:between w:val="nil"/>
        </w:pBdr>
        <w:contextualSpacing/>
        <w:rPr>
          <w:rFonts w:eastAsia="Palatino Linotype" w:cs="Palatino Linotype"/>
          <w:color w:val="000000"/>
          <w:szCs w:val="24"/>
        </w:rPr>
      </w:pPr>
    </w:p>
    <w:p w14:paraId="6A011D4A" w14:textId="77777777" w:rsidR="00511260" w:rsidRPr="00511260" w:rsidRDefault="00511260" w:rsidP="00511260">
      <w:pPr>
        <w:rPr>
          <w:b/>
          <w:bCs/>
          <w:sz w:val="28"/>
          <w:szCs w:val="24"/>
        </w:rPr>
      </w:pPr>
      <w:r w:rsidRPr="00511260">
        <w:rPr>
          <w:b/>
          <w:bCs/>
          <w:sz w:val="28"/>
          <w:szCs w:val="24"/>
        </w:rPr>
        <w:t>PRIMERO. De la Solicitud de Información.</w:t>
      </w:r>
    </w:p>
    <w:p w14:paraId="14026B80" w14:textId="4AB12D99" w:rsidR="00D321D8" w:rsidRDefault="00511260" w:rsidP="00511260">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Pr>
          <w:rFonts w:eastAsia="Palatino Linotype" w:cs="Palatino Linotype"/>
          <w:color w:val="000000"/>
          <w:szCs w:val="24"/>
        </w:rPr>
        <w:t xml:space="preserve"> </w:t>
      </w:r>
      <w:r w:rsidR="0055178F">
        <w:rPr>
          <w:rFonts w:eastAsia="Palatino Linotype" w:cs="Palatino Linotype"/>
          <w:color w:val="000000"/>
          <w:szCs w:val="24"/>
        </w:rPr>
        <w:t xml:space="preserve">veintiséis de septiembre </w:t>
      </w:r>
      <w:r w:rsidR="00D321D8">
        <w:rPr>
          <w:rFonts w:eastAsia="Palatino Linotype" w:cs="Palatino Linotype"/>
          <w:color w:val="000000"/>
          <w:szCs w:val="24"/>
        </w:rPr>
        <w:t>de dos mil veinticuatro</w:t>
      </w:r>
      <w:r w:rsidRPr="006922F5">
        <w:rPr>
          <w:rFonts w:eastAsia="Palatino Linotype" w:cs="Palatino Linotype"/>
          <w:color w:val="000000"/>
          <w:szCs w:val="24"/>
        </w:rPr>
        <w:t xml:space="preserve">, </w:t>
      </w:r>
      <w:r>
        <w:rPr>
          <w:rFonts w:eastAsia="Palatino Linotype" w:cs="Palatino Linotype"/>
          <w:color w:val="000000"/>
          <w:szCs w:val="24"/>
        </w:rPr>
        <w:t>el</w:t>
      </w:r>
      <w:r w:rsidRPr="006922F5">
        <w:rPr>
          <w:rFonts w:eastAsia="Palatino Linotype" w:cs="Palatino Linotype"/>
          <w:color w:val="000000"/>
          <w:szCs w:val="24"/>
        </w:rPr>
        <w:t xml:space="preserve"> Recurrente presentó mediante el Sistema de Acceso a la Información Mexiquense (</w:t>
      </w:r>
      <w:proofErr w:type="spellStart"/>
      <w:r w:rsidRPr="00944789">
        <w:rPr>
          <w:rFonts w:eastAsia="Palatino Linotype" w:cs="Palatino Linotype"/>
          <w:b/>
          <w:color w:val="000000"/>
          <w:szCs w:val="24"/>
        </w:rPr>
        <w:t>SAIMEX</w:t>
      </w:r>
      <w:proofErr w:type="spellEnd"/>
      <w:r w:rsidRPr="006922F5">
        <w:rPr>
          <w:rFonts w:eastAsia="Palatino Linotype" w:cs="Palatino Linotype"/>
          <w:color w:val="000000"/>
          <w:szCs w:val="24"/>
        </w:rPr>
        <w:t xml:space="preserve">), solicitud de información registrada con el número de </w:t>
      </w:r>
      <w:r w:rsidRPr="000147D3">
        <w:rPr>
          <w:rFonts w:eastAsia="Palatino Linotype" w:cs="Palatino Linotype"/>
          <w:szCs w:val="24"/>
        </w:rPr>
        <w:t>expediente</w:t>
      </w:r>
      <w:r w:rsidR="00D321D8" w:rsidRPr="00D321D8">
        <w:rPr>
          <w:b/>
          <w:bCs/>
        </w:rPr>
        <w:t> </w:t>
      </w:r>
      <w:r w:rsidR="0055178F" w:rsidRPr="0055178F">
        <w:rPr>
          <w:b/>
          <w:bCs/>
          <w:szCs w:val="24"/>
        </w:rPr>
        <w:t>00793/</w:t>
      </w:r>
      <w:proofErr w:type="spellStart"/>
      <w:r w:rsidR="0055178F" w:rsidRPr="0055178F">
        <w:rPr>
          <w:b/>
          <w:bCs/>
          <w:szCs w:val="24"/>
        </w:rPr>
        <w:t>PJUDICI</w:t>
      </w:r>
      <w:proofErr w:type="spellEnd"/>
      <w:r w:rsidR="0055178F" w:rsidRPr="0055178F">
        <w:rPr>
          <w:b/>
          <w:bCs/>
          <w:szCs w:val="24"/>
        </w:rPr>
        <w:t>/IP/2024</w:t>
      </w:r>
      <w:r w:rsidRPr="00802B59">
        <w:rPr>
          <w:rFonts w:eastAsia="Palatino Linotype" w:cs="Palatino Linotype"/>
          <w:szCs w:val="24"/>
        </w:rPr>
        <w:t>,</w:t>
      </w:r>
      <w:r w:rsidRPr="00802B59">
        <w:rPr>
          <w:rFonts w:eastAsia="Palatino Linotype" w:cs="Palatino Linotype"/>
          <w:b/>
          <w:szCs w:val="24"/>
        </w:rPr>
        <w:t xml:space="preserve"> </w:t>
      </w:r>
      <w:r w:rsidRPr="006922F5">
        <w:rPr>
          <w:rFonts w:eastAsia="Palatino Linotype" w:cs="Palatino Linotype"/>
          <w:color w:val="000000"/>
          <w:szCs w:val="24"/>
        </w:rPr>
        <w:t>mediante la cual solicitó información en el tenor siguiente:</w:t>
      </w:r>
    </w:p>
    <w:p w14:paraId="265836B1" w14:textId="7A184546" w:rsidR="009C7E85" w:rsidRPr="00915016" w:rsidRDefault="009C7E85" w:rsidP="00915016">
      <w:pPr>
        <w:pBdr>
          <w:top w:val="nil"/>
          <w:left w:val="nil"/>
          <w:bottom w:val="nil"/>
          <w:right w:val="nil"/>
          <w:between w:val="nil"/>
        </w:pBdr>
        <w:ind w:left="708"/>
        <w:contextualSpacing/>
        <w:rPr>
          <w:i/>
          <w:color w:val="000000"/>
          <w:szCs w:val="24"/>
        </w:rPr>
      </w:pPr>
      <w:r w:rsidRPr="00944789">
        <w:rPr>
          <w:i/>
          <w:color w:val="000000"/>
          <w:szCs w:val="24"/>
        </w:rPr>
        <w:t>“</w:t>
      </w:r>
      <w:r w:rsidR="0055178F" w:rsidRPr="0055178F">
        <w:rPr>
          <w:i/>
          <w:color w:val="000000"/>
          <w:sz w:val="22"/>
        </w:rPr>
        <w:t xml:space="preserve">REQUIERO COPIA DE: LA DEMANDA Y DE LA CONTESTACIÓN A LA DEMANDA; Y DE LOS ESCRITOS DE OFRECIMIENTO DE PRUEBAS CONTENIDOS EN EL ORDINARIO CIVIL 1094/2015, DEL </w:t>
      </w:r>
      <w:proofErr w:type="spellStart"/>
      <w:r w:rsidR="0055178F" w:rsidRPr="0055178F">
        <w:rPr>
          <w:i/>
          <w:color w:val="000000"/>
          <w:sz w:val="22"/>
        </w:rPr>
        <w:t>INDICE</w:t>
      </w:r>
      <w:proofErr w:type="spellEnd"/>
      <w:r w:rsidR="0055178F" w:rsidRPr="0055178F">
        <w:rPr>
          <w:i/>
          <w:color w:val="000000"/>
          <w:sz w:val="22"/>
        </w:rPr>
        <w:t xml:space="preserve"> DEL JUEZ CUARTO CIVIL DE PRIMERA INSTANCIA DEL DISTRITO JUDICIAL DE CUAUTITLÁN, ESTADO DE MÉXICO; ASÍ COMO DE LA SENTENCIA DEFINITIVA DICTADA EN ESE ASUNTO. REQUIERO COPIA DE LA APELACIÓN CONTENIDA EN EL TOCA 590/2016 DE LA SEGUNDA SALA CIVIL DE TLALNEPANTLA DEL TRIBUNAL SUPERIOR DE JUSTICIA DEL ESTADO DE MÉXICO</w:t>
      </w:r>
      <w:r w:rsidR="0055178F">
        <w:rPr>
          <w:rFonts w:ascii="Verdana" w:hAnsi="Verdana"/>
          <w:color w:val="000000"/>
          <w:sz w:val="14"/>
          <w:szCs w:val="14"/>
        </w:rPr>
        <w:t>.</w:t>
      </w:r>
      <w:r w:rsidR="00944789" w:rsidRPr="00944789">
        <w:rPr>
          <w:i/>
          <w:color w:val="000000"/>
          <w:szCs w:val="24"/>
        </w:rPr>
        <w:t>”</w:t>
      </w:r>
      <w:r w:rsidR="00944789" w:rsidRPr="009C7E85">
        <w:rPr>
          <w:i/>
          <w:color w:val="000000"/>
          <w:szCs w:val="24"/>
        </w:rPr>
        <w:t xml:space="preserve"> </w:t>
      </w:r>
      <w:r w:rsidRPr="009C7E85">
        <w:rPr>
          <w:i/>
          <w:color w:val="000000"/>
          <w:szCs w:val="24"/>
        </w:rPr>
        <w:t>(SIC)</w:t>
      </w:r>
    </w:p>
    <w:p w14:paraId="4F4FA494" w14:textId="2BF40310" w:rsidR="00511260" w:rsidRPr="006922F5" w:rsidRDefault="00511260" w:rsidP="00511260">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lastRenderedPageBreak/>
        <w:t xml:space="preserve">Modalidad de entrega: </w:t>
      </w:r>
      <w:r w:rsidR="0055178F">
        <w:rPr>
          <w:rFonts w:eastAsia="Palatino Linotype" w:cs="Palatino Linotype"/>
          <w:b/>
          <w:color w:val="000000"/>
          <w:szCs w:val="24"/>
        </w:rPr>
        <w:t>No señalo sin embargo se realizará a</w:t>
      </w:r>
      <w:r w:rsidRPr="006922F5">
        <w:rPr>
          <w:rFonts w:eastAsia="Palatino Linotype" w:cs="Palatino Linotype"/>
          <w:b/>
          <w:color w:val="000000"/>
          <w:szCs w:val="24"/>
        </w:rPr>
        <w:t xml:space="preserve"> través del </w:t>
      </w:r>
      <w:proofErr w:type="spellStart"/>
      <w:r w:rsidRPr="006922F5">
        <w:rPr>
          <w:rFonts w:eastAsia="Palatino Linotype" w:cs="Palatino Linotype"/>
          <w:b/>
          <w:color w:val="000000"/>
          <w:szCs w:val="24"/>
        </w:rPr>
        <w:t>SAIMEX</w:t>
      </w:r>
      <w:proofErr w:type="spellEnd"/>
      <w:r w:rsidRPr="006922F5">
        <w:rPr>
          <w:rFonts w:eastAsia="Palatino Linotype" w:cs="Palatino Linotype"/>
          <w:color w:val="000000"/>
          <w:szCs w:val="24"/>
        </w:rPr>
        <w:t>.</w:t>
      </w:r>
    </w:p>
    <w:p w14:paraId="3D69AF50" w14:textId="77777777" w:rsidR="00511260" w:rsidRDefault="00511260" w:rsidP="00511260">
      <w:pPr>
        <w:pBdr>
          <w:top w:val="nil"/>
          <w:left w:val="nil"/>
          <w:bottom w:val="nil"/>
          <w:right w:val="nil"/>
          <w:between w:val="nil"/>
        </w:pBdr>
        <w:contextualSpacing/>
        <w:rPr>
          <w:rFonts w:eastAsia="Palatino Linotype" w:cs="Palatino Linotype"/>
          <w:color w:val="000000"/>
          <w:szCs w:val="24"/>
        </w:rPr>
      </w:pPr>
    </w:p>
    <w:p w14:paraId="1A7758F8" w14:textId="77777777" w:rsidR="00511260" w:rsidRPr="00511260" w:rsidRDefault="00511260" w:rsidP="00511260">
      <w:pPr>
        <w:rPr>
          <w:b/>
          <w:bCs/>
          <w:sz w:val="28"/>
          <w:szCs w:val="28"/>
        </w:rPr>
      </w:pPr>
      <w:r w:rsidRPr="00511260">
        <w:rPr>
          <w:b/>
          <w:bCs/>
          <w:sz w:val="28"/>
          <w:szCs w:val="28"/>
        </w:rPr>
        <w:t>SEGUNDO. De la respuesta del Sujeto Obligado.</w:t>
      </w:r>
    </w:p>
    <w:p w14:paraId="4CD7110D" w14:textId="47746592" w:rsidR="00D321D8" w:rsidRDefault="00511260" w:rsidP="00511260">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De las constancias que obran en el expediente electrónico, se observa que el </w:t>
      </w:r>
      <w:r>
        <w:rPr>
          <w:rFonts w:eastAsia="Palatino Linotype" w:cs="Palatino Linotype"/>
          <w:color w:val="000000"/>
          <w:szCs w:val="24"/>
        </w:rPr>
        <w:t xml:space="preserve">día </w:t>
      </w:r>
      <w:r w:rsidR="0055178F">
        <w:rPr>
          <w:rFonts w:eastAsia="Palatino Linotype" w:cs="Palatino Linotype"/>
          <w:color w:val="000000"/>
          <w:szCs w:val="24"/>
        </w:rPr>
        <w:t>dieciocho</w:t>
      </w:r>
      <w:r w:rsidR="00944789">
        <w:rPr>
          <w:rFonts w:eastAsia="Palatino Linotype" w:cs="Palatino Linotype"/>
          <w:color w:val="000000"/>
          <w:szCs w:val="24"/>
        </w:rPr>
        <w:t xml:space="preserve"> de octubre</w:t>
      </w:r>
      <w:r w:rsidR="00D321D8">
        <w:rPr>
          <w:rFonts w:eastAsia="Palatino Linotype" w:cs="Palatino Linotype"/>
          <w:color w:val="000000"/>
          <w:szCs w:val="24"/>
        </w:rPr>
        <w:t xml:space="preserve"> de dos mil veinticuatro</w:t>
      </w:r>
      <w:r w:rsidRPr="006922F5">
        <w:rPr>
          <w:rFonts w:eastAsia="Palatino Linotype" w:cs="Palatino Linotype"/>
          <w:color w:val="000000"/>
          <w:szCs w:val="24"/>
        </w:rPr>
        <w:t>, el Sujeto Obligado dio respuesta a la solicitud de información</w:t>
      </w:r>
      <w:r w:rsidR="009C7E85">
        <w:rPr>
          <w:rFonts w:eastAsia="Palatino Linotype" w:cs="Palatino Linotype"/>
          <w:color w:val="000000"/>
          <w:szCs w:val="24"/>
        </w:rPr>
        <w:t xml:space="preserve"> en los términos siguientes; </w:t>
      </w:r>
    </w:p>
    <w:tbl>
      <w:tblPr>
        <w:tblW w:w="8517" w:type="dxa"/>
        <w:jc w:val="center"/>
        <w:tblCellSpacing w:w="0" w:type="dxa"/>
        <w:tblCellMar>
          <w:left w:w="0" w:type="dxa"/>
          <w:right w:w="0" w:type="dxa"/>
        </w:tblCellMar>
        <w:tblLook w:val="04A0" w:firstRow="1" w:lastRow="0" w:firstColumn="1" w:lastColumn="0" w:noHBand="0" w:noVBand="1"/>
      </w:tblPr>
      <w:tblGrid>
        <w:gridCol w:w="8517"/>
      </w:tblGrid>
      <w:tr w:rsidR="0055178F" w:rsidRPr="0055178F" w14:paraId="0571123C" w14:textId="77777777" w:rsidTr="0055178F">
        <w:trPr>
          <w:trHeight w:val="300"/>
          <w:tblCellSpacing w:w="0" w:type="dxa"/>
          <w:jc w:val="center"/>
        </w:trPr>
        <w:tc>
          <w:tcPr>
            <w:tcW w:w="0" w:type="auto"/>
            <w:vAlign w:val="center"/>
            <w:hideMark/>
          </w:tcPr>
          <w:p w14:paraId="7DC83A4A" w14:textId="77777777" w:rsidR="0055178F" w:rsidRPr="0055178F" w:rsidRDefault="0055178F" w:rsidP="0055178F">
            <w:pPr>
              <w:spacing w:line="240" w:lineRule="auto"/>
              <w:jc w:val="right"/>
              <w:rPr>
                <w:rFonts w:eastAsia="Times New Roman" w:cs="Times New Roman"/>
                <w:i/>
                <w:sz w:val="22"/>
                <w:lang w:val="es-MX"/>
              </w:rPr>
            </w:pPr>
            <w:r w:rsidRPr="0055178F">
              <w:rPr>
                <w:rFonts w:eastAsia="Times New Roman" w:cs="Times New Roman"/>
                <w:i/>
                <w:sz w:val="22"/>
                <w:lang w:val="es-MX"/>
              </w:rPr>
              <w:t xml:space="preserve">Metepec, México a 18 de </w:t>
            </w:r>
            <w:proofErr w:type="gramStart"/>
            <w:r w:rsidRPr="0055178F">
              <w:rPr>
                <w:rFonts w:eastAsia="Times New Roman" w:cs="Times New Roman"/>
                <w:i/>
                <w:sz w:val="22"/>
                <w:lang w:val="es-MX"/>
              </w:rPr>
              <w:t>Octubre</w:t>
            </w:r>
            <w:proofErr w:type="gramEnd"/>
            <w:r w:rsidRPr="0055178F">
              <w:rPr>
                <w:rFonts w:eastAsia="Times New Roman" w:cs="Times New Roman"/>
                <w:i/>
                <w:sz w:val="22"/>
                <w:lang w:val="es-MX"/>
              </w:rPr>
              <w:t xml:space="preserve"> de 2024</w:t>
            </w:r>
          </w:p>
        </w:tc>
      </w:tr>
      <w:tr w:rsidR="0055178F" w:rsidRPr="0055178F" w14:paraId="5A8EA43C" w14:textId="77777777" w:rsidTr="0055178F">
        <w:trPr>
          <w:trHeight w:val="300"/>
          <w:tblCellSpacing w:w="0" w:type="dxa"/>
          <w:jc w:val="center"/>
        </w:trPr>
        <w:tc>
          <w:tcPr>
            <w:tcW w:w="0" w:type="auto"/>
            <w:vAlign w:val="center"/>
            <w:hideMark/>
          </w:tcPr>
          <w:p w14:paraId="5DD54A42" w14:textId="77777777" w:rsidR="0055178F" w:rsidRPr="0055178F" w:rsidRDefault="0055178F" w:rsidP="0055178F">
            <w:pPr>
              <w:spacing w:line="240" w:lineRule="auto"/>
              <w:jc w:val="right"/>
              <w:rPr>
                <w:rFonts w:eastAsia="Times New Roman" w:cs="Times New Roman"/>
                <w:i/>
                <w:sz w:val="22"/>
                <w:lang w:val="es-MX"/>
              </w:rPr>
            </w:pPr>
            <w:r w:rsidRPr="0055178F">
              <w:rPr>
                <w:rFonts w:eastAsia="Times New Roman" w:cs="Times New Roman"/>
                <w:i/>
                <w:sz w:val="22"/>
                <w:lang w:val="es-MX"/>
              </w:rPr>
              <w:t>Nombre del solicitante: C. Solicitante</w:t>
            </w:r>
          </w:p>
        </w:tc>
      </w:tr>
      <w:tr w:rsidR="0055178F" w:rsidRPr="0055178F" w14:paraId="77F6BC84" w14:textId="77777777" w:rsidTr="0055178F">
        <w:trPr>
          <w:trHeight w:val="300"/>
          <w:tblCellSpacing w:w="0" w:type="dxa"/>
          <w:jc w:val="center"/>
        </w:trPr>
        <w:tc>
          <w:tcPr>
            <w:tcW w:w="0" w:type="auto"/>
            <w:vAlign w:val="center"/>
            <w:hideMark/>
          </w:tcPr>
          <w:p w14:paraId="2D3F7EF8" w14:textId="77777777" w:rsidR="0055178F" w:rsidRPr="0055178F" w:rsidRDefault="0055178F" w:rsidP="0055178F">
            <w:pPr>
              <w:spacing w:line="240" w:lineRule="auto"/>
              <w:jc w:val="right"/>
              <w:rPr>
                <w:rFonts w:eastAsia="Times New Roman" w:cs="Times New Roman"/>
                <w:i/>
                <w:sz w:val="22"/>
                <w:lang w:val="es-MX"/>
              </w:rPr>
            </w:pPr>
            <w:r w:rsidRPr="0055178F">
              <w:rPr>
                <w:rFonts w:eastAsia="Times New Roman" w:cs="Times New Roman"/>
                <w:i/>
                <w:sz w:val="22"/>
                <w:lang w:val="es-MX"/>
              </w:rPr>
              <w:t>Folio de la solicitud: 00793/</w:t>
            </w:r>
            <w:proofErr w:type="spellStart"/>
            <w:r w:rsidRPr="0055178F">
              <w:rPr>
                <w:rFonts w:eastAsia="Times New Roman" w:cs="Times New Roman"/>
                <w:i/>
                <w:sz w:val="22"/>
                <w:lang w:val="es-MX"/>
              </w:rPr>
              <w:t>PJUDICI</w:t>
            </w:r>
            <w:proofErr w:type="spellEnd"/>
            <w:r w:rsidRPr="0055178F">
              <w:rPr>
                <w:rFonts w:eastAsia="Times New Roman" w:cs="Times New Roman"/>
                <w:i/>
                <w:sz w:val="22"/>
                <w:lang w:val="es-MX"/>
              </w:rPr>
              <w:t>/IP/2024</w:t>
            </w:r>
          </w:p>
        </w:tc>
      </w:tr>
      <w:tr w:rsidR="0055178F" w:rsidRPr="0055178F" w14:paraId="3F1D0CAF" w14:textId="77777777" w:rsidTr="0055178F">
        <w:trPr>
          <w:trHeight w:val="150"/>
          <w:tblCellSpacing w:w="0" w:type="dxa"/>
          <w:jc w:val="center"/>
        </w:trPr>
        <w:tc>
          <w:tcPr>
            <w:tcW w:w="0" w:type="auto"/>
            <w:vAlign w:val="center"/>
            <w:hideMark/>
          </w:tcPr>
          <w:p w14:paraId="6B087929" w14:textId="77777777" w:rsidR="0055178F" w:rsidRPr="0055178F" w:rsidRDefault="0055178F" w:rsidP="0055178F">
            <w:pPr>
              <w:spacing w:line="240" w:lineRule="auto"/>
              <w:rPr>
                <w:rFonts w:eastAsia="Times New Roman" w:cs="Times New Roman"/>
                <w:i/>
                <w:sz w:val="22"/>
                <w:lang w:val="es-MX"/>
              </w:rPr>
            </w:pPr>
            <w:r w:rsidRPr="0055178F">
              <w:rPr>
                <w:rFonts w:eastAsia="Times New Roman" w:cs="Times New Roman"/>
                <w:i/>
                <w:sz w:val="22"/>
                <w:lang w:val="es-MX"/>
              </w:rPr>
              <w:t>Se hace de su conocimiento que de conformidad con el artículo 178 de la Ley de Transparencia y Acceso a la Información Pública del Estado de México y Municipios cuenta con un plazo de 15 días hábiles posteriores a la notificación de la respuesta para interponer recurso de revisión.</w:t>
            </w:r>
          </w:p>
        </w:tc>
      </w:tr>
    </w:tbl>
    <w:p w14:paraId="7B0504CE" w14:textId="77777777" w:rsidR="009C7E85" w:rsidRDefault="009C7E85" w:rsidP="00511260">
      <w:pPr>
        <w:pBdr>
          <w:top w:val="nil"/>
          <w:left w:val="nil"/>
          <w:bottom w:val="nil"/>
          <w:right w:val="nil"/>
          <w:between w:val="nil"/>
        </w:pBdr>
        <w:contextualSpacing/>
        <w:rPr>
          <w:rFonts w:eastAsia="Palatino Linotype" w:cs="Palatino Linotype"/>
          <w:color w:val="000000"/>
          <w:szCs w:val="24"/>
        </w:rPr>
      </w:pPr>
    </w:p>
    <w:p w14:paraId="16B16B0A" w14:textId="4AF26133" w:rsidR="00511260" w:rsidRPr="009C7E85" w:rsidRDefault="0055178F" w:rsidP="00511260">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A través del archivo electrónico</w:t>
      </w:r>
      <w:r w:rsidR="009C7E85">
        <w:rPr>
          <w:rFonts w:eastAsia="Palatino Linotype" w:cs="Palatino Linotype"/>
          <w:color w:val="000000"/>
          <w:szCs w:val="24"/>
        </w:rPr>
        <w:t xml:space="preserve"> “</w:t>
      </w:r>
      <w:r w:rsidRPr="0055178F">
        <w:rPr>
          <w:rFonts w:cs="Arial"/>
          <w:b/>
          <w:bCs/>
          <w:i/>
          <w:szCs w:val="24"/>
        </w:rPr>
        <w:t>RESPUESTA 793-2024.pdf</w:t>
      </w:r>
      <w:r>
        <w:rPr>
          <w:rFonts w:eastAsia="Palatino Linotype" w:cs="Palatino Linotype"/>
          <w:color w:val="000000"/>
          <w:szCs w:val="24"/>
        </w:rPr>
        <w:t xml:space="preserve">” el </w:t>
      </w:r>
      <w:r w:rsidR="00511260" w:rsidRPr="00944789">
        <w:rPr>
          <w:rFonts w:eastAsia="Palatino Linotype" w:cs="Palatino Linotype"/>
          <w:color w:val="000000"/>
          <w:szCs w:val="24"/>
        </w:rPr>
        <w:t>cual</w:t>
      </w:r>
      <w:r>
        <w:rPr>
          <w:rFonts w:eastAsia="Palatino Linotype" w:cs="Palatino Linotype"/>
          <w:color w:val="000000"/>
          <w:szCs w:val="24"/>
        </w:rPr>
        <w:t xml:space="preserve"> </w:t>
      </w:r>
      <w:r w:rsidR="00511260" w:rsidRPr="00944789">
        <w:rPr>
          <w:rFonts w:eastAsia="Palatino Linotype" w:cs="Palatino Linotype"/>
          <w:color w:val="000000"/>
          <w:szCs w:val="24"/>
        </w:rPr>
        <w:t>no se reproduce</w:t>
      </w:r>
      <w:r>
        <w:rPr>
          <w:rFonts w:eastAsia="Palatino Linotype" w:cs="Palatino Linotype"/>
          <w:color w:val="000000"/>
          <w:szCs w:val="24"/>
        </w:rPr>
        <w:t xml:space="preserve"> </w:t>
      </w:r>
      <w:r w:rsidR="00511260">
        <w:rPr>
          <w:rFonts w:eastAsia="Palatino Linotype" w:cs="Palatino Linotype"/>
          <w:color w:val="000000"/>
          <w:szCs w:val="24"/>
        </w:rPr>
        <w:t>por ser del conocimiento de las partes; no obstante, su contenido será motivo de análisis en el estudio correspondiente.</w:t>
      </w:r>
    </w:p>
    <w:p w14:paraId="2F641781" w14:textId="77777777" w:rsidR="00511260" w:rsidRPr="0037112D" w:rsidRDefault="00511260" w:rsidP="00511260">
      <w:pPr>
        <w:pBdr>
          <w:top w:val="nil"/>
          <w:left w:val="nil"/>
          <w:bottom w:val="nil"/>
          <w:right w:val="nil"/>
          <w:between w:val="nil"/>
        </w:pBdr>
        <w:contextualSpacing/>
        <w:rPr>
          <w:rFonts w:eastAsia="Palatino Linotype" w:cs="Palatino Linotype"/>
          <w:color w:val="000000"/>
          <w:szCs w:val="24"/>
        </w:rPr>
      </w:pPr>
    </w:p>
    <w:p w14:paraId="2DE68489" w14:textId="77777777" w:rsidR="00511260" w:rsidRPr="00511260" w:rsidRDefault="00511260" w:rsidP="00511260">
      <w:pPr>
        <w:rPr>
          <w:b/>
          <w:bCs/>
          <w:sz w:val="28"/>
          <w:szCs w:val="28"/>
        </w:rPr>
      </w:pPr>
      <w:r w:rsidRPr="00511260">
        <w:rPr>
          <w:b/>
          <w:bCs/>
          <w:sz w:val="28"/>
          <w:szCs w:val="28"/>
        </w:rPr>
        <w:t>TERCERO. Del recurso de revisión.</w:t>
      </w:r>
    </w:p>
    <w:p w14:paraId="13B91035" w14:textId="0B4DE1F0" w:rsidR="009C7E85" w:rsidRPr="00513AA6" w:rsidRDefault="00511260" w:rsidP="00513AA6">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Inconforme con la respuesta emitida por el Sujeto Obligado, </w:t>
      </w:r>
      <w:r>
        <w:rPr>
          <w:rFonts w:eastAsia="Palatino Linotype" w:cs="Palatino Linotype"/>
          <w:color w:val="000000"/>
          <w:szCs w:val="24"/>
        </w:rPr>
        <w:t>el</w:t>
      </w:r>
      <w:r w:rsidRPr="006922F5">
        <w:rPr>
          <w:rFonts w:eastAsia="Palatino Linotype" w:cs="Palatino Linotype"/>
          <w:color w:val="000000"/>
          <w:szCs w:val="24"/>
        </w:rPr>
        <w:t xml:space="preserve"> Recurrente interpuso el presente recurso de revisión </w:t>
      </w:r>
      <w:r w:rsidR="001963C1">
        <w:rPr>
          <w:rFonts w:eastAsia="Palatino Linotype" w:cs="Palatino Linotype"/>
          <w:color w:val="000000"/>
          <w:szCs w:val="24"/>
        </w:rPr>
        <w:t xml:space="preserve">el día </w:t>
      </w:r>
      <w:r w:rsidR="0055178F">
        <w:rPr>
          <w:rFonts w:eastAsia="Palatino Linotype" w:cs="Palatino Linotype"/>
          <w:b/>
          <w:bCs/>
          <w:color w:val="000000"/>
          <w:szCs w:val="24"/>
        </w:rPr>
        <w:t>cinco de noviembre</w:t>
      </w:r>
      <w:r w:rsidR="001963C1">
        <w:rPr>
          <w:rFonts w:eastAsia="Palatino Linotype" w:cs="Palatino Linotype"/>
          <w:b/>
          <w:bCs/>
          <w:color w:val="000000"/>
          <w:szCs w:val="24"/>
        </w:rPr>
        <w:t xml:space="preserve"> de dos mil veinticuatro</w:t>
      </w:r>
      <w:r w:rsidRPr="006922F5">
        <w:rPr>
          <w:rFonts w:eastAsia="Palatino Linotype" w:cs="Palatino Linotype"/>
          <w:color w:val="000000"/>
          <w:szCs w:val="24"/>
        </w:rPr>
        <w:t xml:space="preserve">, el cual se registró con el expediente número </w:t>
      </w:r>
      <w:r>
        <w:rPr>
          <w:rFonts w:eastAsia="Palatino Linotype" w:cs="Palatino Linotype"/>
          <w:b/>
          <w:color w:val="000000"/>
          <w:szCs w:val="24"/>
        </w:rPr>
        <w:t>0</w:t>
      </w:r>
      <w:r w:rsidR="0055178F">
        <w:rPr>
          <w:rFonts w:eastAsia="Palatino Linotype" w:cs="Palatino Linotype"/>
          <w:b/>
          <w:color w:val="000000"/>
          <w:szCs w:val="24"/>
        </w:rPr>
        <w:t>7060</w:t>
      </w:r>
      <w:r>
        <w:rPr>
          <w:rFonts w:eastAsia="Palatino Linotype" w:cs="Palatino Linotype"/>
          <w:b/>
          <w:color w:val="000000"/>
          <w:szCs w:val="24"/>
        </w:rPr>
        <w:t>/</w:t>
      </w:r>
      <w:proofErr w:type="spellStart"/>
      <w:r>
        <w:rPr>
          <w:rFonts w:eastAsia="Palatino Linotype" w:cs="Palatino Linotype"/>
          <w:b/>
          <w:color w:val="000000"/>
          <w:szCs w:val="24"/>
        </w:rPr>
        <w:t>INFOEM</w:t>
      </w:r>
      <w:proofErr w:type="spellEnd"/>
      <w:r>
        <w:rPr>
          <w:rFonts w:eastAsia="Palatino Linotype" w:cs="Palatino Linotype"/>
          <w:b/>
          <w:color w:val="000000"/>
          <w:szCs w:val="24"/>
        </w:rPr>
        <w:t>/IP/</w:t>
      </w:r>
      <w:proofErr w:type="spellStart"/>
      <w:r>
        <w:rPr>
          <w:rFonts w:eastAsia="Palatino Linotype" w:cs="Palatino Linotype"/>
          <w:b/>
          <w:color w:val="000000"/>
          <w:szCs w:val="24"/>
        </w:rPr>
        <w:t>RR</w:t>
      </w:r>
      <w:proofErr w:type="spellEnd"/>
      <w:r>
        <w:rPr>
          <w:rFonts w:eastAsia="Palatino Linotype" w:cs="Palatino Linotype"/>
          <w:b/>
          <w:color w:val="000000"/>
          <w:szCs w:val="24"/>
        </w:rPr>
        <w:t>/202</w:t>
      </w:r>
      <w:r w:rsidR="009C7E85">
        <w:rPr>
          <w:rFonts w:eastAsia="Palatino Linotype" w:cs="Palatino Linotype"/>
          <w:b/>
          <w:color w:val="000000"/>
          <w:szCs w:val="24"/>
        </w:rPr>
        <w:t>4</w:t>
      </w:r>
      <w:r w:rsidRPr="006922F5">
        <w:rPr>
          <w:rFonts w:eastAsia="Palatino Linotype" w:cs="Palatino Linotype"/>
          <w:color w:val="000000"/>
          <w:szCs w:val="24"/>
        </w:rPr>
        <w:t>, manifestando lo siguiente:</w:t>
      </w:r>
    </w:p>
    <w:p w14:paraId="39AF1691" w14:textId="77777777" w:rsidR="00915016" w:rsidRDefault="00915016" w:rsidP="00511260">
      <w:pPr>
        <w:contextualSpacing/>
        <w:rPr>
          <w:rFonts w:eastAsia="Palatino Linotype" w:cs="Palatino Linotype"/>
          <w:b/>
        </w:rPr>
      </w:pPr>
      <w:r>
        <w:rPr>
          <w:rFonts w:eastAsia="Palatino Linotype" w:cs="Palatino Linotype"/>
          <w:b/>
        </w:rPr>
        <w:t xml:space="preserve">Acto Impugnado </w:t>
      </w:r>
    </w:p>
    <w:p w14:paraId="72F38A98" w14:textId="66CE6456" w:rsidR="00915016" w:rsidRPr="00915016" w:rsidRDefault="00915016" w:rsidP="00511260">
      <w:pPr>
        <w:contextualSpacing/>
        <w:rPr>
          <w:rFonts w:eastAsia="Palatino Linotype" w:cs="Palatino Linotype"/>
          <w:b/>
          <w:i/>
          <w:szCs w:val="24"/>
        </w:rPr>
      </w:pPr>
      <w:r w:rsidRPr="00915016">
        <w:rPr>
          <w:rFonts w:eastAsia="Palatino Linotype" w:cs="Palatino Linotype"/>
          <w:b/>
          <w:i/>
          <w:szCs w:val="24"/>
        </w:rPr>
        <w:t>“</w:t>
      </w:r>
      <w:r w:rsidRPr="00915016">
        <w:rPr>
          <w:i/>
          <w:color w:val="000000"/>
          <w:szCs w:val="24"/>
        </w:rPr>
        <w:t xml:space="preserve">CAMBIO DE LA MODALIDAD DE ENTREGA DE </w:t>
      </w:r>
      <w:proofErr w:type="gramStart"/>
      <w:r w:rsidRPr="00915016">
        <w:rPr>
          <w:i/>
          <w:color w:val="000000"/>
          <w:szCs w:val="24"/>
        </w:rPr>
        <w:t>INFORMACIÓN”(</w:t>
      </w:r>
      <w:proofErr w:type="gramEnd"/>
      <w:r w:rsidRPr="00915016">
        <w:rPr>
          <w:i/>
          <w:color w:val="000000"/>
          <w:szCs w:val="24"/>
        </w:rPr>
        <w:t>sic)</w:t>
      </w:r>
    </w:p>
    <w:p w14:paraId="0CAA0E4E" w14:textId="77777777" w:rsidR="00915016" w:rsidRDefault="00915016" w:rsidP="00511260">
      <w:pPr>
        <w:contextualSpacing/>
        <w:rPr>
          <w:rFonts w:eastAsia="Palatino Linotype" w:cs="Palatino Linotype"/>
          <w:b/>
        </w:rPr>
      </w:pPr>
    </w:p>
    <w:p w14:paraId="630CEE20" w14:textId="0D0179CB" w:rsidR="00511260" w:rsidRPr="00944789" w:rsidRDefault="00944789" w:rsidP="00511260">
      <w:pPr>
        <w:contextualSpacing/>
        <w:rPr>
          <w:rFonts w:eastAsia="Palatino Linotype" w:cs="Palatino Linotype"/>
        </w:rPr>
      </w:pPr>
      <w:r>
        <w:rPr>
          <w:rFonts w:eastAsia="Palatino Linotype" w:cs="Palatino Linotype"/>
          <w:b/>
        </w:rPr>
        <w:t xml:space="preserve"> </w:t>
      </w:r>
      <w:r w:rsidRPr="006922F5">
        <w:rPr>
          <w:rFonts w:eastAsia="Palatino Linotype" w:cs="Palatino Linotype"/>
          <w:b/>
        </w:rPr>
        <w:t>Razones o Motivos de Inconformidad</w:t>
      </w:r>
      <w:r w:rsidRPr="006922F5">
        <w:rPr>
          <w:rFonts w:eastAsia="Palatino Linotype" w:cs="Palatino Linotype"/>
        </w:rPr>
        <w:t>:</w:t>
      </w:r>
    </w:p>
    <w:p w14:paraId="02181A32" w14:textId="0BAAA067" w:rsidR="00511260" w:rsidRPr="009C7E85" w:rsidRDefault="00511260" w:rsidP="00511260">
      <w:pPr>
        <w:pStyle w:val="Fundamentos"/>
        <w:rPr>
          <w:b/>
          <w:sz w:val="24"/>
        </w:rPr>
      </w:pPr>
      <w:r w:rsidRPr="0055178F">
        <w:rPr>
          <w:szCs w:val="22"/>
        </w:rPr>
        <w:lastRenderedPageBreak/>
        <w:t>“</w:t>
      </w:r>
      <w:r w:rsidR="0055178F" w:rsidRPr="0055178F">
        <w:rPr>
          <w:szCs w:val="22"/>
        </w:rPr>
        <w:t xml:space="preserve">La Ley de transparencia de la Entidad establece mi derecho fundamental a elegir el medio por el cual deseo se me entregue la información que solicito, a saber, los artículos que se invocan a continuación: Artículo 155. Para presentar una solicitud por escrito, no se podrán exigir mayores requisitos que los siguientes: V.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 Artículo 164. El acceso se dará en la modalidad de entrega y, en su caso, de envío elegidos por el solicitante. Cuando la información no pueda entregarse o enviarse en la modalidad solicitada, el sujeto obligado deberá ofrecer otra u otras modalidades de entrega. En cualquier caso, se deberá fundar y motivar la necesidad de ofrecer otras modalidades. Por otra parte, se establece la facultad del sujeto obligado para cambiar la modalidad de entrega, debiendo FUNDAR Y MOTIVAR TAL SITUACIÓN, solamente, en aquellos casos cuando la información implique: • Análisis. • Estudio; o • Procesamiento de documentos. Lo anterior, tal y como lo establece el artículo 158: Artículo 158.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 En todo caso, se facilitará su copia simple o certificada, así como su reproducción por cualquier medio disponible en las instalaciones del sujeto obligado o que, en su caso, aporte el solicitante. En el caso, el sujeto obligado no fundó el cambio en la modalidad de entrega de información, además, de la respuesta otorgada y del informe rendido no se advierte que acredite los elementos o requisitos para justificar el cambio en la modalidad de entrega, es decir, no justificó que la entrega de los documentos implicaba: • Análisis. • Estudio; o • Procesamiento de documentos. De ahí la falta de fundamentación y motivación del cambio en la modalidad de entrega, y por consecuencia, la atención negligente a mi solicitud de información. En el caso, el derecho de acceso a la información no se satisface con el otorgamiento de una respuesta dentro del plazo legal, sino que ésta, debe cumplir con los parámetros legales y constitucionales, en el caso, el de certeza jurídica, lo que se traduce en el deber de fundar y motivar, de ahí que el sujeto obligado no haya atendido cabalmente a mi solicitud. Por otra parte, dentro de su informe justificado el sujeto obligado no justificó o acreditó que la entrega de la información en la modalidad elegida por el recurrente sobrepasara sus capacidades técnicas y humanas para tal efecto. En el caso no debe pasar desapercibido que el suscrito solicité que la entrega de la información fuera mediante USB, es decir un medio magnético. Ahora bien, el artículo 73 del código financiero del Estado de México señala que, en caso de que el particular solicite la información por medios magnéticos, el solicitante podrá, en ejercicio del derecho a la información pública, aportar el medio en el que se requiera le sea proporcionada la información, </w:t>
      </w:r>
      <w:r w:rsidR="0055178F" w:rsidRPr="0055178F">
        <w:rPr>
          <w:szCs w:val="22"/>
        </w:rPr>
        <w:lastRenderedPageBreak/>
        <w:t xml:space="preserve">en cuyo caso no habrá costo que cubrir. </w:t>
      </w:r>
      <w:r w:rsidR="0055178F" w:rsidRPr="00915016">
        <w:rPr>
          <w:b/>
          <w:szCs w:val="22"/>
        </w:rPr>
        <w:t>ES DECIR, QUE LA INFORMACIÓN ME DEBE SER ENTREGADA DE FORMA COMPLETA Y GRATUITA</w:t>
      </w:r>
      <w:r w:rsidR="0055178F" w:rsidRPr="0055178F">
        <w:rPr>
          <w:szCs w:val="22"/>
        </w:rPr>
        <w:t xml:space="preserve">, </w:t>
      </w:r>
      <w:r w:rsidR="0055178F" w:rsidRPr="00915016">
        <w:rPr>
          <w:b/>
          <w:szCs w:val="22"/>
        </w:rPr>
        <w:t xml:space="preserve">PUES EL SUSCRITO PROPORCIONARÉ EL MEDIO </w:t>
      </w:r>
      <w:proofErr w:type="spellStart"/>
      <w:r w:rsidR="0055178F" w:rsidRPr="00915016">
        <w:rPr>
          <w:b/>
          <w:szCs w:val="22"/>
        </w:rPr>
        <w:t>MAGNETICO</w:t>
      </w:r>
      <w:proofErr w:type="spellEnd"/>
      <w:r w:rsidR="0055178F" w:rsidRPr="00915016">
        <w:rPr>
          <w:b/>
          <w:szCs w:val="22"/>
        </w:rPr>
        <w:t>, ES DECIR, EL USB.</w:t>
      </w:r>
      <w:r w:rsidR="0055178F" w:rsidRPr="0055178F">
        <w:rPr>
          <w:szCs w:val="22"/>
        </w:rPr>
        <w:t xml:space="preserve"> Aunado a ello, se hace referencia en que el sujeto obligado </w:t>
      </w:r>
      <w:r w:rsidR="0055178F" w:rsidRPr="00915016">
        <w:rPr>
          <w:b/>
          <w:szCs w:val="22"/>
        </w:rPr>
        <w:t xml:space="preserve">remitió la información de forma </w:t>
      </w:r>
      <w:proofErr w:type="gramStart"/>
      <w:r w:rsidR="0055178F" w:rsidRPr="00915016">
        <w:rPr>
          <w:b/>
          <w:szCs w:val="22"/>
        </w:rPr>
        <w:t>electrónica</w:t>
      </w:r>
      <w:proofErr w:type="gramEnd"/>
      <w:r w:rsidR="0055178F" w:rsidRPr="00915016">
        <w:rPr>
          <w:b/>
          <w:szCs w:val="22"/>
        </w:rPr>
        <w:t xml:space="preserve"> pero de forma incompleta</w:t>
      </w:r>
      <w:r w:rsidR="0055178F" w:rsidRPr="0055178F">
        <w:rPr>
          <w:szCs w:val="22"/>
        </w:rPr>
        <w:t xml:space="preserve">, por lo que se solicita se analice el link que remitió el sujeto obligado y se analice si realmente son todos los documentos solicitados, pues se niega que así lo sea. En esa idea, el sujeto obligado, al remitir un link con información, acredita que está en posibilidad de enviar la información de forma electrónica, por lo que se pide que lo realice por ese medio, </w:t>
      </w:r>
      <w:r w:rsidR="0055178F" w:rsidRPr="00915016">
        <w:rPr>
          <w:b/>
          <w:szCs w:val="22"/>
        </w:rPr>
        <w:t>pero de forma completa</w:t>
      </w:r>
      <w:r w:rsidR="0055178F" w:rsidRPr="0055178F">
        <w:rPr>
          <w:szCs w:val="22"/>
        </w:rPr>
        <w:t xml:space="preserve">, es decir, debiendo entregar lo siguiente: • REQUIERO COPIA DE: LA DEMANDA Y DE LA CONTESTACIÓN A LA DEMANDA; • Y DE LOS ESCRITOS DE OFRECIMIENTO DE PRUEBAS CONTENIDOS EN EL ORDINARIO CIVIL 1094/2015, DEL </w:t>
      </w:r>
      <w:proofErr w:type="spellStart"/>
      <w:r w:rsidR="0055178F" w:rsidRPr="0055178F">
        <w:rPr>
          <w:szCs w:val="22"/>
        </w:rPr>
        <w:t>INDICE</w:t>
      </w:r>
      <w:proofErr w:type="spellEnd"/>
      <w:r w:rsidR="0055178F" w:rsidRPr="0055178F">
        <w:rPr>
          <w:szCs w:val="22"/>
        </w:rPr>
        <w:t xml:space="preserve"> DEL JUEZ CUARTO CIVIL DE PRIMERA INSTANCIA DEL DISTRITO JUDICIAL DE CUAUTITLÁN, ESTADO DE MÉXICO; • ASÍ COMO DE LA SENTENCIA DEFINITIVA DICTADA EN ESE ASUNTO. • REQUIERO COPIA DE LA APELACIÓN CONTENIDA EN EL TOCA 590/2016 DE LA SEGUNDA SALA CIVIL DE TLALNEPANTLA DEL TRIBUNAL SUPERIOR DE JUSTICIA DEL ESTADO DE </w:t>
      </w:r>
      <w:proofErr w:type="gramStart"/>
      <w:r w:rsidR="0055178F" w:rsidRPr="0055178F">
        <w:rPr>
          <w:szCs w:val="22"/>
        </w:rPr>
        <w:t>MÉXICO.“</w:t>
      </w:r>
      <w:proofErr w:type="gramEnd"/>
      <w:r w:rsidR="0055178F">
        <w:rPr>
          <w:sz w:val="24"/>
        </w:rPr>
        <w:t xml:space="preserve"> </w:t>
      </w:r>
      <w:r w:rsidR="0056219A">
        <w:rPr>
          <w:sz w:val="24"/>
        </w:rPr>
        <w:t>(</w:t>
      </w:r>
      <w:r w:rsidRPr="009C7E85">
        <w:rPr>
          <w:sz w:val="24"/>
        </w:rPr>
        <w:t>Sic)</w:t>
      </w:r>
    </w:p>
    <w:p w14:paraId="71B19819" w14:textId="77777777" w:rsidR="00511260" w:rsidRPr="006922F5" w:rsidRDefault="00511260" w:rsidP="00511260">
      <w:pPr>
        <w:contextualSpacing/>
        <w:rPr>
          <w:rFonts w:eastAsia="Palatino Linotype" w:cs="Palatino Linotype"/>
          <w:iCs/>
          <w:szCs w:val="24"/>
        </w:rPr>
      </w:pPr>
    </w:p>
    <w:p w14:paraId="1E0770D3" w14:textId="2CB0902C" w:rsidR="00E513F1" w:rsidRPr="0055610A" w:rsidRDefault="00E513F1" w:rsidP="00E513F1">
      <w:pPr>
        <w:rPr>
          <w:rFonts w:cs="Arial"/>
          <w:szCs w:val="24"/>
        </w:rPr>
      </w:pPr>
      <w:r>
        <w:rPr>
          <w:rFonts w:cs="Arial"/>
          <w:b/>
          <w:sz w:val="28"/>
          <w:szCs w:val="28"/>
        </w:rPr>
        <w:t>Cuarto</w:t>
      </w:r>
      <w:r w:rsidRPr="00B34266">
        <w:rPr>
          <w:rFonts w:cs="Arial"/>
          <w:b/>
          <w:sz w:val="28"/>
          <w:szCs w:val="28"/>
        </w:rPr>
        <w:t xml:space="preserve">. Del turno </w:t>
      </w:r>
      <w:r w:rsidR="009C7E85">
        <w:rPr>
          <w:rFonts w:cs="Arial"/>
          <w:b/>
          <w:sz w:val="28"/>
          <w:szCs w:val="28"/>
        </w:rPr>
        <w:t xml:space="preserve">y admisión </w:t>
      </w:r>
      <w:r w:rsidRPr="00B34266">
        <w:rPr>
          <w:rFonts w:cs="Arial"/>
          <w:b/>
          <w:sz w:val="28"/>
          <w:szCs w:val="28"/>
        </w:rPr>
        <w:t>del recurso de revisión.</w:t>
      </w:r>
      <w:r w:rsidRPr="00B34266">
        <w:rPr>
          <w:rFonts w:cs="Arial"/>
          <w:sz w:val="28"/>
          <w:szCs w:val="28"/>
        </w:rPr>
        <w:t xml:space="preserve"> </w:t>
      </w:r>
    </w:p>
    <w:p w14:paraId="1E8006ED" w14:textId="6AF72E5B" w:rsidR="00E513F1" w:rsidRPr="0055610A" w:rsidRDefault="00E513F1" w:rsidP="00E513F1">
      <w:pPr>
        <w:rPr>
          <w:szCs w:val="24"/>
        </w:rPr>
      </w:pPr>
      <w:r w:rsidRPr="0055610A">
        <w:rPr>
          <w:rFonts w:cs="Arial"/>
          <w:szCs w:val="24"/>
        </w:rPr>
        <w:t xml:space="preserve">De conformidad con el artículo 185 fracción I de la Ley de Transparencia y Acceso a la información Pública del Estado de México y Municipios vigente, </w:t>
      </w:r>
      <w:r w:rsidRPr="0055610A">
        <w:rPr>
          <w:szCs w:val="24"/>
        </w:rPr>
        <w:t>el presente recurso de revisión se envió electrónicamente al Instituto de Transparencia, Acceso a la Información Pública y Protección de Datos Personales del Estado de México y Municipios, que por razón de turno fue asignado a los comisionados Co</w:t>
      </w:r>
      <w:r>
        <w:rPr>
          <w:szCs w:val="24"/>
        </w:rPr>
        <w:t xml:space="preserve">misionado </w:t>
      </w:r>
      <w:r w:rsidRPr="005559E2">
        <w:rPr>
          <w:b/>
          <w:bCs/>
          <w:szCs w:val="24"/>
        </w:rPr>
        <w:t>José Martínez Vilchis</w:t>
      </w:r>
      <w:r w:rsidR="009C7E85">
        <w:rPr>
          <w:szCs w:val="24"/>
        </w:rPr>
        <w:t xml:space="preserve"> </w:t>
      </w:r>
      <w:r w:rsidRPr="0055610A">
        <w:rPr>
          <w:szCs w:val="24"/>
        </w:rPr>
        <w:t>para su análisis, estudio, elaboración del proyecto y presentación ante el Pleno de este Instituto</w:t>
      </w:r>
      <w:r>
        <w:rPr>
          <w:szCs w:val="24"/>
        </w:rPr>
        <w:t>.</w:t>
      </w:r>
    </w:p>
    <w:p w14:paraId="11A95262" w14:textId="77777777" w:rsidR="009C7E85" w:rsidRDefault="009C7E85" w:rsidP="009C7E85">
      <w:pPr>
        <w:rPr>
          <w:rFonts w:cs="Arial"/>
          <w:b/>
          <w:sz w:val="28"/>
          <w:szCs w:val="28"/>
        </w:rPr>
      </w:pPr>
    </w:p>
    <w:p w14:paraId="3DC5FE08" w14:textId="3A7DE209" w:rsidR="009C7E85" w:rsidRDefault="009C7E85" w:rsidP="009C7E85">
      <w:pPr>
        <w:rPr>
          <w:szCs w:val="24"/>
        </w:rPr>
      </w:pPr>
      <w:r>
        <w:rPr>
          <w:szCs w:val="24"/>
        </w:rPr>
        <w:t>Mediante acuerdos de fecha</w:t>
      </w:r>
      <w:r w:rsidRPr="0055610A">
        <w:rPr>
          <w:szCs w:val="24"/>
        </w:rPr>
        <w:t xml:space="preserve"> </w:t>
      </w:r>
      <w:r w:rsidR="0055178F">
        <w:rPr>
          <w:b/>
          <w:szCs w:val="24"/>
        </w:rPr>
        <w:t>ocho</w:t>
      </w:r>
      <w:r w:rsidR="00944789">
        <w:rPr>
          <w:b/>
          <w:szCs w:val="24"/>
        </w:rPr>
        <w:t xml:space="preserve"> de noviembre </w:t>
      </w:r>
      <w:r>
        <w:rPr>
          <w:rFonts w:eastAsia="Palatino Linotype" w:cs="Palatino Linotype"/>
          <w:b/>
          <w:color w:val="000000"/>
          <w:szCs w:val="24"/>
        </w:rPr>
        <w:t xml:space="preserve">de </w:t>
      </w:r>
      <w:r w:rsidRPr="00B72EBA">
        <w:rPr>
          <w:rFonts w:eastAsia="Palatino Linotype" w:cs="Palatino Linotype"/>
          <w:b/>
          <w:color w:val="000000"/>
          <w:szCs w:val="24"/>
        </w:rPr>
        <w:t>dos mil veinticuatro</w:t>
      </w:r>
      <w:r w:rsidRPr="0055610A">
        <w:rPr>
          <w:szCs w:val="24"/>
        </w:rPr>
        <w:t>, este Organism</w:t>
      </w:r>
      <w:r>
        <w:rPr>
          <w:szCs w:val="24"/>
        </w:rPr>
        <w:t>o Garante, admitió a trámite el</w:t>
      </w:r>
      <w:r w:rsidRPr="0055610A">
        <w:rPr>
          <w:szCs w:val="24"/>
        </w:rPr>
        <w:t xml:space="preserve"> recursos de </w:t>
      </w:r>
      <w:r>
        <w:rPr>
          <w:szCs w:val="24"/>
        </w:rPr>
        <w:t>revisión respectivo</w:t>
      </w:r>
      <w:r w:rsidRPr="0055610A">
        <w:rPr>
          <w:szCs w:val="24"/>
        </w:rPr>
        <w:t xml:space="preserve">, poniéndose a disposición de las partes, para que un plazo no mayor a siete días hábiles manifestase lo que a su </w:t>
      </w:r>
      <w:r w:rsidRPr="0055610A">
        <w:rPr>
          <w:szCs w:val="24"/>
        </w:rPr>
        <w:lastRenderedPageBreak/>
        <w:t>derecho corresponda, a efecto de ofrecer pruebas, informe justificado y alegatos, lo anterior con fundamento en el artículo 185 fracciones I, II y IV de la Ley de Transparencia y Acceso a la Información Pública del Estado de México y Municipios.</w:t>
      </w:r>
    </w:p>
    <w:p w14:paraId="0C97B28B" w14:textId="77777777" w:rsidR="00944789" w:rsidRPr="00FB72E2" w:rsidRDefault="00944789" w:rsidP="009C7E85">
      <w:pPr>
        <w:rPr>
          <w:b/>
          <w:szCs w:val="24"/>
        </w:rPr>
      </w:pPr>
    </w:p>
    <w:p w14:paraId="1A37BCA9" w14:textId="4E487E89" w:rsidR="00E513F1" w:rsidRPr="0055610A" w:rsidRDefault="009C7E85" w:rsidP="00E513F1">
      <w:pPr>
        <w:rPr>
          <w:rFonts w:cs="Arial"/>
          <w:b/>
          <w:szCs w:val="24"/>
        </w:rPr>
      </w:pPr>
      <w:r w:rsidRPr="009C7E85">
        <w:rPr>
          <w:rFonts w:eastAsiaTheme="minorHAnsi" w:cs="Arial"/>
          <w:b/>
          <w:color w:val="000000"/>
          <w:sz w:val="28"/>
          <w:szCs w:val="28"/>
          <w:lang w:val="es-MX" w:eastAsia="en-US"/>
        </w:rPr>
        <w:t>QUINTO.</w:t>
      </w:r>
      <w:r>
        <w:rPr>
          <w:rFonts w:eastAsiaTheme="minorHAnsi" w:cs="Arial"/>
          <w:color w:val="000000"/>
          <w:szCs w:val="24"/>
          <w:lang w:val="es-MX" w:eastAsia="en-US"/>
        </w:rPr>
        <w:t xml:space="preserve"> </w:t>
      </w:r>
      <w:r w:rsidR="00E513F1" w:rsidRPr="00B34266">
        <w:rPr>
          <w:rFonts w:cs="Arial"/>
          <w:b/>
          <w:sz w:val="28"/>
          <w:szCs w:val="28"/>
        </w:rPr>
        <w:t>De la etapa de manifestaciones y/o alegatos</w:t>
      </w:r>
      <w:r w:rsidR="00E513F1" w:rsidRPr="0055610A">
        <w:rPr>
          <w:rFonts w:cs="Arial"/>
          <w:b/>
          <w:szCs w:val="24"/>
        </w:rPr>
        <w:t xml:space="preserve">. </w:t>
      </w:r>
    </w:p>
    <w:p w14:paraId="674D50C5" w14:textId="645325CC" w:rsidR="00E513F1" w:rsidRPr="009417F8" w:rsidRDefault="00E513F1" w:rsidP="009417F8">
      <w:pPr>
        <w:pBdr>
          <w:top w:val="nil"/>
          <w:left w:val="nil"/>
          <w:bottom w:val="nil"/>
          <w:right w:val="nil"/>
          <w:between w:val="nil"/>
        </w:pBdr>
        <w:contextualSpacing/>
        <w:rPr>
          <w:szCs w:val="24"/>
        </w:rPr>
      </w:pPr>
      <w:r w:rsidRPr="0055610A">
        <w:rPr>
          <w:rFonts w:cs="Arial"/>
          <w:szCs w:val="24"/>
        </w:rPr>
        <w:t xml:space="preserve">Una vez abierta la etapa de instrucción, se advierte que el </w:t>
      </w:r>
      <w:r w:rsidRPr="0055610A">
        <w:rPr>
          <w:rFonts w:cs="Arial"/>
          <w:b/>
          <w:szCs w:val="24"/>
        </w:rPr>
        <w:t>Sujeto Obligado</w:t>
      </w:r>
      <w:r>
        <w:rPr>
          <w:rFonts w:cs="Arial"/>
          <w:szCs w:val="24"/>
        </w:rPr>
        <w:t xml:space="preserve"> </w:t>
      </w:r>
      <w:r w:rsidR="00A316C2">
        <w:rPr>
          <w:rFonts w:cs="Arial"/>
          <w:b/>
          <w:szCs w:val="24"/>
        </w:rPr>
        <w:t>fue omiso para presentar su informe justificado</w:t>
      </w:r>
      <w:r w:rsidR="009417F8">
        <w:rPr>
          <w:rFonts w:eastAsia="Palatino Linotype" w:cs="Palatino Linotype"/>
          <w:color w:val="000000"/>
          <w:szCs w:val="24"/>
        </w:rPr>
        <w:t>.</w:t>
      </w:r>
      <w:r>
        <w:rPr>
          <w:rFonts w:cs="Arial"/>
          <w:szCs w:val="24"/>
        </w:rPr>
        <w:t xml:space="preserve"> Por su parte, el Recurrente </w:t>
      </w:r>
      <w:r w:rsidRPr="0055610A">
        <w:rPr>
          <w:rFonts w:cs="Arial"/>
          <w:szCs w:val="24"/>
        </w:rPr>
        <w:t>omitió rendir sus manifestaciones que a sus intereses conviniera dentro del término de Ley.</w:t>
      </w:r>
    </w:p>
    <w:p w14:paraId="1C208A4F" w14:textId="77777777" w:rsidR="00E513F1" w:rsidRPr="0055610A" w:rsidRDefault="00E513F1" w:rsidP="00E513F1">
      <w:pPr>
        <w:rPr>
          <w:rFonts w:cs="Arial"/>
          <w:szCs w:val="24"/>
        </w:rPr>
      </w:pPr>
    </w:p>
    <w:p w14:paraId="28E24C48" w14:textId="2A3263E9" w:rsidR="00E513F1" w:rsidRDefault="00E513F1" w:rsidP="00E513F1">
      <w:pPr>
        <w:rPr>
          <w:rFonts w:cs="Arial"/>
          <w:szCs w:val="24"/>
        </w:rPr>
      </w:pPr>
      <w:r w:rsidRPr="0055610A">
        <w:rPr>
          <w:rFonts w:cs="Arial"/>
          <w:szCs w:val="24"/>
        </w:rPr>
        <w:t>Así mismo, se aprecia que no se llevaron a cabo audiencias durante la sustanciación del recurso de revisión, ni se ofrecieron pruebas por parte del Recurrente; todo lo anterior en términos de los artículos 185 fracciones II y IV, y 195 de la Ley de Transparencia y Acceso a la Información Pública del Estado de México y Municipios.</w:t>
      </w:r>
    </w:p>
    <w:p w14:paraId="0A38A255" w14:textId="77777777" w:rsidR="009C7E85" w:rsidRDefault="009C7E85" w:rsidP="00E513F1">
      <w:pPr>
        <w:rPr>
          <w:rFonts w:cs="Arial"/>
          <w:szCs w:val="24"/>
        </w:rPr>
      </w:pPr>
    </w:p>
    <w:p w14:paraId="0C95216E" w14:textId="34FE3783" w:rsidR="00E513F1" w:rsidRDefault="009C7E85" w:rsidP="00E513F1">
      <w:pPr>
        <w:rPr>
          <w:rFonts w:cs="Arial"/>
          <w:b/>
          <w:szCs w:val="24"/>
        </w:rPr>
      </w:pPr>
      <w:r w:rsidRPr="009C7E85">
        <w:rPr>
          <w:rFonts w:cs="Arial"/>
          <w:b/>
          <w:sz w:val="28"/>
          <w:szCs w:val="28"/>
        </w:rPr>
        <w:t>SEXTO</w:t>
      </w:r>
      <w:r w:rsidR="00E513F1" w:rsidRPr="0055610A">
        <w:rPr>
          <w:rFonts w:cs="Arial"/>
          <w:b/>
          <w:sz w:val="28"/>
          <w:szCs w:val="28"/>
        </w:rPr>
        <w:t>.</w:t>
      </w:r>
      <w:r w:rsidR="00E513F1" w:rsidRPr="0018543E">
        <w:rPr>
          <w:rFonts w:cs="Arial"/>
          <w:b/>
          <w:sz w:val="28"/>
        </w:rPr>
        <w:t xml:space="preserve"> </w:t>
      </w:r>
      <w:r w:rsidR="00E513F1" w:rsidRPr="00B0277A">
        <w:rPr>
          <w:rFonts w:cs="Arial"/>
          <w:b/>
          <w:sz w:val="28"/>
          <w:szCs w:val="28"/>
        </w:rPr>
        <w:t>Del cierre de instrucción.</w:t>
      </w:r>
      <w:r w:rsidR="00E513F1" w:rsidRPr="0055610A">
        <w:rPr>
          <w:rFonts w:cs="Arial"/>
          <w:b/>
          <w:szCs w:val="24"/>
        </w:rPr>
        <w:t xml:space="preserve"> </w:t>
      </w:r>
    </w:p>
    <w:p w14:paraId="2BEED988" w14:textId="2471F725" w:rsidR="00E513F1" w:rsidRDefault="00E513F1" w:rsidP="00E513F1">
      <w:pPr>
        <w:rPr>
          <w:rFonts w:cs="Arial"/>
          <w:b/>
          <w:sz w:val="28"/>
        </w:rPr>
      </w:pPr>
      <w:r w:rsidRPr="0055610A">
        <w:rPr>
          <w:rFonts w:cs="Arial"/>
          <w:szCs w:val="24"/>
        </w:rPr>
        <w:t xml:space="preserve">Así, una vez transcurrido el término legal, se decretó el cierre de instrucción de los recursos de revisión ya referidos en </w:t>
      </w:r>
      <w:r w:rsidRPr="0057505E">
        <w:rPr>
          <w:rFonts w:cs="Arial"/>
          <w:b/>
          <w:bCs/>
          <w:szCs w:val="24"/>
        </w:rPr>
        <w:t>fecha</w:t>
      </w:r>
      <w:r>
        <w:rPr>
          <w:rFonts w:cs="Arial"/>
          <w:b/>
          <w:bCs/>
          <w:szCs w:val="24"/>
        </w:rPr>
        <w:t xml:space="preserve"> </w:t>
      </w:r>
      <w:r w:rsidR="0055178F">
        <w:rPr>
          <w:rFonts w:cs="Arial"/>
          <w:b/>
          <w:bCs/>
          <w:szCs w:val="24"/>
        </w:rPr>
        <w:t>v</w:t>
      </w:r>
      <w:r w:rsidR="0058390D">
        <w:rPr>
          <w:rFonts w:cs="Arial"/>
          <w:b/>
          <w:bCs/>
          <w:szCs w:val="24"/>
        </w:rPr>
        <w:t>eintidós</w:t>
      </w:r>
      <w:r w:rsidR="00944789">
        <w:rPr>
          <w:rFonts w:cs="Arial"/>
          <w:b/>
          <w:bCs/>
          <w:szCs w:val="24"/>
        </w:rPr>
        <w:t xml:space="preserve"> de noviembre</w:t>
      </w:r>
      <w:r w:rsidRPr="0057505E">
        <w:rPr>
          <w:rFonts w:cs="Arial"/>
          <w:b/>
          <w:bCs/>
          <w:szCs w:val="24"/>
        </w:rPr>
        <w:t xml:space="preserve"> dos mil veinticuatro</w:t>
      </w:r>
      <w:r w:rsidRPr="0055610A">
        <w:rPr>
          <w:rFonts w:cs="Arial"/>
          <w:szCs w:val="24"/>
        </w:rPr>
        <w:t>, en términos del artículo 185 Fracción VI de la Ley de Transparencia y Acceso a la Información Pública del Estado de México y Municipios, iniciando el término legal para dictar resolución definitiva del asunto</w:t>
      </w:r>
      <w:r>
        <w:rPr>
          <w:rFonts w:cs="Arial"/>
          <w:b/>
          <w:sz w:val="28"/>
        </w:rPr>
        <w:t>.</w:t>
      </w:r>
    </w:p>
    <w:p w14:paraId="0E68F00E" w14:textId="77777777" w:rsidR="0006629B" w:rsidRDefault="0006629B" w:rsidP="00E513F1">
      <w:pPr>
        <w:rPr>
          <w:rFonts w:cs="Arial"/>
          <w:b/>
          <w:sz w:val="28"/>
        </w:rPr>
      </w:pPr>
    </w:p>
    <w:p w14:paraId="3E5ADBBD" w14:textId="485D36AB" w:rsidR="0058390D" w:rsidRDefault="0058390D" w:rsidP="0058390D">
      <w:pPr>
        <w:rPr>
          <w:rFonts w:cs="Arial"/>
          <w:b/>
          <w:sz w:val="28"/>
          <w:szCs w:val="28"/>
        </w:rPr>
      </w:pPr>
      <w:r>
        <w:rPr>
          <w:rFonts w:cs="Arial"/>
          <w:b/>
          <w:sz w:val="28"/>
        </w:rPr>
        <w:t>SEXTO</w:t>
      </w:r>
      <w:r w:rsidRPr="00B07D6D">
        <w:rPr>
          <w:rFonts w:cs="Arial"/>
          <w:b/>
        </w:rPr>
        <w:t xml:space="preserve">. </w:t>
      </w:r>
      <w:r>
        <w:rPr>
          <w:rFonts w:cs="Arial"/>
          <w:b/>
          <w:sz w:val="28"/>
          <w:szCs w:val="28"/>
        </w:rPr>
        <w:t>De la apertura y regularización del expediente electrónico.</w:t>
      </w:r>
    </w:p>
    <w:p w14:paraId="3EACC534" w14:textId="77777777" w:rsidR="0058390D" w:rsidRDefault="0058390D" w:rsidP="0058390D">
      <w:r w:rsidRPr="004848C2">
        <w:lastRenderedPageBreak/>
        <w:t>De conformidad con el artículo 15 del Código de Procedimientos Administrativos del Estado de México aplicado de manera supletoria de acuerdo con el artículo 195, de la Ley de Transparencia, Acceso a la Información Pública del Estado de México y Municipios las autoridades podrán ordenar de oficio o a petición de parte, subsanar las irregularidades u omisiones que observen en la tramitación del procedimiento y proceso administrativo para el solo efecto de regularizar el mismo, sin que ello implique que puedan revocar sus propias resoluciones, hipótesis que se actualiza en el caso concreto</w:t>
      </w:r>
      <w:r>
        <w:t>.</w:t>
      </w:r>
    </w:p>
    <w:p w14:paraId="05162E77" w14:textId="77777777" w:rsidR="0058390D" w:rsidRDefault="0058390D" w:rsidP="0058390D"/>
    <w:p w14:paraId="3F014527" w14:textId="2337A707" w:rsidR="0058390D" w:rsidRDefault="0058390D" w:rsidP="0058390D">
      <w:r w:rsidRPr="004848C2">
        <w:t xml:space="preserve">Por lo anterior, en fecha </w:t>
      </w:r>
      <w:r w:rsidR="0006629B">
        <w:rPr>
          <w:b/>
        </w:rPr>
        <w:t xml:space="preserve">veintiséis </w:t>
      </w:r>
      <w:r>
        <w:rPr>
          <w:b/>
        </w:rPr>
        <w:t>de noviembre</w:t>
      </w:r>
      <w:r w:rsidRPr="004848C2">
        <w:rPr>
          <w:b/>
        </w:rPr>
        <w:t xml:space="preserve"> de dos mil veinticuatro</w:t>
      </w:r>
      <w:r w:rsidRPr="004848C2">
        <w:t xml:space="preserve"> este Instituto </w:t>
      </w:r>
      <w:r>
        <w:t>e</w:t>
      </w:r>
      <w:r w:rsidRPr="004848C2">
        <w:t xml:space="preserve">n aras de garantizar el derecho del Recurrente, en observancia del debido proceso y del principio </w:t>
      </w:r>
      <w:proofErr w:type="spellStart"/>
      <w:r w:rsidRPr="004848C2">
        <w:t>pro-persona</w:t>
      </w:r>
      <w:proofErr w:type="spellEnd"/>
      <w:r w:rsidRPr="004848C2">
        <w:t xml:space="preserve">, </w:t>
      </w:r>
      <w:r>
        <w:t>determinó</w:t>
      </w:r>
      <w:r w:rsidRPr="004848C2">
        <w:t xml:space="preserve"> revocar </w:t>
      </w:r>
      <w:r w:rsidR="00A316C2">
        <w:t xml:space="preserve">el acuerdo de </w:t>
      </w:r>
      <w:r w:rsidRPr="004848C2">
        <w:t>cierre de instrucción para r</w:t>
      </w:r>
      <w:r>
        <w:t xml:space="preserve">esolver el recurso de revisión; ordenando </w:t>
      </w:r>
      <w:r w:rsidRPr="004848C2">
        <w:t xml:space="preserve"> se </w:t>
      </w:r>
      <w:r>
        <w:t>abriera</w:t>
      </w:r>
      <w:r w:rsidRPr="004848C2">
        <w:t xml:space="preserve"> de nueva cuenta el periodo de manifestaciones, por el término de 7 (siete) días hábiles, a efecto que el Sujeto Obligado y el Recurrente se encuentren en posibilidades de rendir sus manifestaciones que a sus derechos convengan.</w:t>
      </w:r>
    </w:p>
    <w:p w14:paraId="2EC6AC4E" w14:textId="77777777" w:rsidR="0058390D" w:rsidRDefault="0058390D" w:rsidP="0058390D">
      <w:pPr>
        <w:rPr>
          <w:rFonts w:cs="Arial"/>
          <w:b/>
          <w:sz w:val="28"/>
          <w:szCs w:val="28"/>
        </w:rPr>
      </w:pPr>
    </w:p>
    <w:p w14:paraId="16CCFC96" w14:textId="6620EDA6" w:rsidR="0058390D" w:rsidRPr="00A316C2" w:rsidRDefault="0058390D" w:rsidP="0058390D">
      <w:pPr>
        <w:rPr>
          <w:rFonts w:eastAsiaTheme="minorHAnsi" w:cs="Arial"/>
          <w:lang w:val="es-MX" w:eastAsia="en-US"/>
        </w:rPr>
      </w:pPr>
      <w:r w:rsidRPr="00037B15">
        <w:rPr>
          <w:rFonts w:eastAsiaTheme="minorHAnsi" w:cs="Arial"/>
          <w:lang w:val="es-MX" w:eastAsia="en-US"/>
        </w:rPr>
        <w:t xml:space="preserve">Una vez transcurrido el término legal referido </w:t>
      </w:r>
      <w:r>
        <w:rPr>
          <w:rFonts w:eastAsiaTheme="minorHAnsi" w:cs="Arial"/>
          <w:b/>
          <w:lang w:val="es-MX" w:eastAsia="en-US"/>
        </w:rPr>
        <w:t>e</w:t>
      </w:r>
      <w:r w:rsidRPr="00037B15">
        <w:rPr>
          <w:rFonts w:eastAsiaTheme="minorHAnsi" w:cs="Arial"/>
          <w:b/>
          <w:lang w:val="es-MX" w:eastAsia="en-US"/>
        </w:rPr>
        <w:t>l Sujeto Obligado</w:t>
      </w:r>
      <w:r w:rsidRPr="00037B15">
        <w:rPr>
          <w:rFonts w:eastAsiaTheme="minorHAnsi" w:cs="Arial"/>
          <w:lang w:val="es-MX" w:eastAsia="en-US"/>
        </w:rPr>
        <w:t xml:space="preserve"> </w:t>
      </w:r>
      <w:r w:rsidR="00A316C2">
        <w:rPr>
          <w:rFonts w:cs="Arial"/>
          <w:b/>
          <w:szCs w:val="24"/>
        </w:rPr>
        <w:t xml:space="preserve">rindió </w:t>
      </w:r>
      <w:r w:rsidR="00A316C2" w:rsidRPr="00F12945">
        <w:rPr>
          <w:rFonts w:cs="Arial"/>
          <w:b/>
          <w:szCs w:val="24"/>
        </w:rPr>
        <w:t>su informe justificado</w:t>
      </w:r>
      <w:r w:rsidR="00A316C2">
        <w:rPr>
          <w:rFonts w:cs="Arial"/>
          <w:szCs w:val="24"/>
        </w:rPr>
        <w:t xml:space="preserve"> en fecha veinte de noviembre de dos mil veinticuatro el cual fue puesto a la vista del recurrente en fecha </w:t>
      </w:r>
      <w:r w:rsidR="0006629B">
        <w:rPr>
          <w:rFonts w:cs="Arial"/>
          <w:szCs w:val="24"/>
        </w:rPr>
        <w:t>veintiséis</w:t>
      </w:r>
      <w:r w:rsidR="00A316C2">
        <w:rPr>
          <w:rFonts w:cs="Arial"/>
          <w:szCs w:val="24"/>
        </w:rPr>
        <w:t xml:space="preserve"> de noviembre para que se manifestara conforme a su derecho corresponda</w:t>
      </w:r>
      <w:r>
        <w:rPr>
          <w:rFonts w:eastAsiaTheme="minorHAnsi" w:cs="Arial"/>
          <w:lang w:val="es-MX" w:eastAsia="en-US"/>
        </w:rPr>
        <w:t>.</w:t>
      </w:r>
      <w:r w:rsidRPr="00037B15">
        <w:rPr>
          <w:rFonts w:eastAsiaTheme="minorHAnsi" w:cs="Arial"/>
          <w:lang w:val="es-MX" w:eastAsia="en-US"/>
        </w:rPr>
        <w:t xml:space="preserve"> </w:t>
      </w:r>
      <w:r w:rsidRPr="00B9472B">
        <w:rPr>
          <w:rFonts w:cs="Arial"/>
        </w:rPr>
        <w:t xml:space="preserve">Asimismo, se advierte que </w:t>
      </w:r>
      <w:r>
        <w:rPr>
          <w:rFonts w:cs="Arial"/>
        </w:rPr>
        <w:t>la</w:t>
      </w:r>
      <w:r w:rsidRPr="00B9472B">
        <w:rPr>
          <w:rFonts w:cs="Arial"/>
        </w:rPr>
        <w:t xml:space="preserve"> </w:t>
      </w:r>
      <w:r>
        <w:rPr>
          <w:rFonts w:cs="Arial"/>
        </w:rPr>
        <w:t>R</w:t>
      </w:r>
      <w:r w:rsidRPr="00B9472B">
        <w:rPr>
          <w:rFonts w:cs="Arial"/>
        </w:rPr>
        <w:t>ecurrente no realizó sus manifestaciones.</w:t>
      </w:r>
    </w:p>
    <w:p w14:paraId="5102CE93" w14:textId="77777777" w:rsidR="0058390D" w:rsidRDefault="0058390D" w:rsidP="0058390D">
      <w:pPr>
        <w:rPr>
          <w:rFonts w:eastAsiaTheme="minorHAnsi" w:cs="Arial"/>
          <w:b/>
          <w:sz w:val="28"/>
          <w:lang w:val="es-MX" w:eastAsia="en-US"/>
        </w:rPr>
      </w:pPr>
    </w:p>
    <w:p w14:paraId="73BBAD33" w14:textId="43D1A940" w:rsidR="0058390D" w:rsidRDefault="0058390D" w:rsidP="0058390D">
      <w:pPr>
        <w:pStyle w:val="Sinespaciado"/>
        <w:spacing w:line="360" w:lineRule="auto"/>
        <w:jc w:val="both"/>
        <w:rPr>
          <w:rFonts w:ascii="Palatino Linotype" w:hAnsi="Palatino Linotype"/>
        </w:rPr>
      </w:pPr>
      <w:r w:rsidRPr="0094651B">
        <w:rPr>
          <w:rFonts w:ascii="Palatino Linotype" w:hAnsi="Palatino Linotype"/>
        </w:rPr>
        <w:lastRenderedPageBreak/>
        <w:t xml:space="preserve">Por lo anterior, en </w:t>
      </w:r>
      <w:r w:rsidRPr="00643944">
        <w:rPr>
          <w:rFonts w:ascii="Palatino Linotype" w:hAnsi="Palatino Linotype"/>
        </w:rPr>
        <w:t xml:space="preserve">fecha </w:t>
      </w:r>
      <w:r w:rsidR="0006629B">
        <w:rPr>
          <w:rFonts w:ascii="Palatino Linotype" w:hAnsi="Palatino Linotype"/>
          <w:b/>
          <w:bCs/>
        </w:rPr>
        <w:t xml:space="preserve">dos de diciembre </w:t>
      </w:r>
      <w:r>
        <w:rPr>
          <w:rFonts w:ascii="Palatino Linotype" w:hAnsi="Palatino Linotype"/>
          <w:b/>
          <w:bCs/>
        </w:rPr>
        <w:t xml:space="preserve">de dos mil veinticuatro, </w:t>
      </w:r>
      <w:r w:rsidRPr="0094651B">
        <w:rPr>
          <w:rFonts w:ascii="Palatino Linotype" w:hAnsi="Palatino Linotype"/>
        </w:rPr>
        <w:t>se decretó el cierre de instrucción, en términos del artículo 185, Fracción VI, de la Ley de Transparencia y Acceso a la Información Pública del Estado de México y Municipios.</w:t>
      </w:r>
    </w:p>
    <w:p w14:paraId="61249A5B" w14:textId="481A2A78" w:rsidR="00C934EB" w:rsidRPr="00576D4E" w:rsidRDefault="00C934EB" w:rsidP="00C934EB">
      <w:pPr>
        <w:pBdr>
          <w:top w:val="nil"/>
          <w:left w:val="nil"/>
          <w:bottom w:val="nil"/>
          <w:right w:val="nil"/>
          <w:between w:val="nil"/>
        </w:pBdr>
        <w:tabs>
          <w:tab w:val="left" w:pos="5490"/>
        </w:tabs>
        <w:contextualSpacing/>
        <w:rPr>
          <w:rFonts w:eastAsia="Palatino Linotype" w:cs="Palatino Linotype"/>
          <w:color w:val="000000"/>
          <w:szCs w:val="24"/>
        </w:rPr>
      </w:pPr>
    </w:p>
    <w:p w14:paraId="7A6A1E20" w14:textId="77777777" w:rsidR="00511260" w:rsidRPr="00511260" w:rsidRDefault="00511260" w:rsidP="00E513F1">
      <w:pPr>
        <w:jc w:val="center"/>
        <w:rPr>
          <w:b/>
          <w:bCs/>
          <w:sz w:val="28"/>
          <w:szCs w:val="28"/>
        </w:rPr>
      </w:pPr>
      <w:r w:rsidRPr="00511260">
        <w:rPr>
          <w:b/>
          <w:bCs/>
          <w:sz w:val="28"/>
          <w:szCs w:val="28"/>
        </w:rPr>
        <w:t>C O N S I D E R A N D O</w:t>
      </w:r>
    </w:p>
    <w:p w14:paraId="5412B9B2" w14:textId="77777777" w:rsidR="00511260" w:rsidRPr="00511260" w:rsidRDefault="00511260" w:rsidP="00511260">
      <w:pPr>
        <w:rPr>
          <w:b/>
          <w:bCs/>
          <w:sz w:val="28"/>
          <w:szCs w:val="28"/>
        </w:rPr>
      </w:pPr>
    </w:p>
    <w:p w14:paraId="6D6AB61B" w14:textId="77777777" w:rsidR="00511260" w:rsidRPr="00511260" w:rsidRDefault="00511260" w:rsidP="00511260">
      <w:pPr>
        <w:rPr>
          <w:b/>
          <w:bCs/>
          <w:sz w:val="28"/>
          <w:szCs w:val="28"/>
        </w:rPr>
      </w:pPr>
      <w:r w:rsidRPr="00511260">
        <w:rPr>
          <w:b/>
          <w:bCs/>
          <w:sz w:val="28"/>
          <w:szCs w:val="28"/>
        </w:rPr>
        <w:t>PRIMERO. De la competencia.</w:t>
      </w:r>
    </w:p>
    <w:p w14:paraId="31D91ED9" w14:textId="77777777" w:rsidR="00511260" w:rsidRPr="006922F5" w:rsidRDefault="00511260" w:rsidP="00511260">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71813A2E" w14:textId="77777777" w:rsidR="00511260" w:rsidRPr="006922F5" w:rsidRDefault="00511260" w:rsidP="00511260">
      <w:pPr>
        <w:pBdr>
          <w:top w:val="nil"/>
          <w:left w:val="nil"/>
          <w:bottom w:val="nil"/>
          <w:right w:val="nil"/>
          <w:between w:val="nil"/>
        </w:pBdr>
        <w:contextualSpacing/>
        <w:rPr>
          <w:rFonts w:eastAsia="Palatino Linotype" w:cs="Palatino Linotype"/>
          <w:color w:val="000000"/>
          <w:szCs w:val="24"/>
        </w:rPr>
      </w:pPr>
    </w:p>
    <w:p w14:paraId="05A1DE44" w14:textId="77777777" w:rsidR="00511260" w:rsidRPr="00511260" w:rsidRDefault="00511260" w:rsidP="00511260">
      <w:pPr>
        <w:rPr>
          <w:b/>
          <w:bCs/>
          <w:sz w:val="28"/>
          <w:szCs w:val="28"/>
        </w:rPr>
      </w:pPr>
      <w:r w:rsidRPr="00511260">
        <w:rPr>
          <w:b/>
          <w:bCs/>
          <w:sz w:val="28"/>
          <w:szCs w:val="28"/>
        </w:rPr>
        <w:t xml:space="preserve">SEGUNDO. Sobre los alcances del recurso de revisión. </w:t>
      </w:r>
    </w:p>
    <w:p w14:paraId="6767D650" w14:textId="5442750A" w:rsidR="00511260" w:rsidRDefault="00511260" w:rsidP="00511260">
      <w:r w:rsidRPr="006922F5">
        <w:t xml:space="preserve">Derivado de la impugnación realizada, es menester señalar que el recurso de revisión inmerso en la Ley de Transparencia vigente en la entidad, tiene el fin y alcance que señalan los numerales 176, 179, 181 párrafo cuarto, 194 y 195 y demás aplicables de la Ley </w:t>
      </w:r>
      <w:r w:rsidRPr="006922F5">
        <w:lastRenderedPageBreak/>
        <w:t>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358E0A9" w14:textId="77777777" w:rsidR="00572727" w:rsidRDefault="00572727" w:rsidP="00511260"/>
    <w:p w14:paraId="15959F3F" w14:textId="77777777" w:rsidR="00511260" w:rsidRPr="00CA1D2B" w:rsidRDefault="00511260" w:rsidP="00511260">
      <w:pPr>
        <w:pStyle w:val="Prrafodelista"/>
        <w:autoSpaceDE w:val="0"/>
        <w:autoSpaceDN w:val="0"/>
        <w:adjustRightInd w:val="0"/>
        <w:spacing w:before="240" w:after="160"/>
        <w:ind w:left="0"/>
        <w:rPr>
          <w:rFonts w:cs="Arial"/>
          <w:b/>
          <w:sz w:val="28"/>
        </w:rPr>
      </w:pPr>
      <w:r>
        <w:rPr>
          <w:rFonts w:cs="Arial"/>
          <w:b/>
          <w:sz w:val="28"/>
        </w:rPr>
        <w:t xml:space="preserve">TERCERO. </w:t>
      </w:r>
      <w:r w:rsidRPr="00CA1D2B">
        <w:rPr>
          <w:rFonts w:cs="Arial"/>
          <w:b/>
          <w:sz w:val="28"/>
        </w:rPr>
        <w:t>De las causas de improcedencia.</w:t>
      </w:r>
    </w:p>
    <w:p w14:paraId="280AE1BF" w14:textId="77777777" w:rsidR="00511260" w:rsidRDefault="00511260" w:rsidP="00511260">
      <w:pPr>
        <w:pStyle w:val="Prrafodelista"/>
        <w:autoSpaceDE w:val="0"/>
        <w:autoSpaceDN w:val="0"/>
        <w:adjustRightInd w:val="0"/>
        <w:ind w:left="0"/>
        <w:rPr>
          <w:rFonts w:cs="Arial"/>
        </w:rPr>
      </w:pPr>
      <w:r w:rsidRPr="00CA1D2B">
        <w:rPr>
          <w:rFonts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4831628" w14:textId="77777777" w:rsidR="00511260" w:rsidRPr="00CA1D2B" w:rsidRDefault="00511260" w:rsidP="00511260">
      <w:pPr>
        <w:pStyle w:val="Prrafodelista"/>
        <w:autoSpaceDE w:val="0"/>
        <w:autoSpaceDN w:val="0"/>
        <w:adjustRightInd w:val="0"/>
        <w:ind w:left="0"/>
        <w:rPr>
          <w:rFonts w:cs="Arial"/>
        </w:rPr>
      </w:pPr>
    </w:p>
    <w:p w14:paraId="396FE936" w14:textId="1A467565" w:rsidR="00511260" w:rsidRDefault="00511260" w:rsidP="00511260">
      <w:pPr>
        <w:pStyle w:val="Prrafodelista"/>
        <w:autoSpaceDE w:val="0"/>
        <w:autoSpaceDN w:val="0"/>
        <w:adjustRightInd w:val="0"/>
        <w:ind w:left="0"/>
        <w:rPr>
          <w:rFonts w:cs="Arial"/>
        </w:rPr>
      </w:pPr>
      <w:r w:rsidRPr="00CA1D2B">
        <w:rPr>
          <w:rFonts w:cs="Arial"/>
        </w:rPr>
        <w:t xml:space="preserve">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w:t>
      </w:r>
      <w:r w:rsidRPr="00CA1D2B">
        <w:rPr>
          <w:rFonts w:cs="Arial"/>
        </w:rPr>
        <w:lastRenderedPageBreak/>
        <w:t>justicia, ya que éste no se coarta por regular causas de improcedencia y sobreseimiento con tales fines</w:t>
      </w:r>
      <w:r w:rsidRPr="00CA1D2B">
        <w:rPr>
          <w:rStyle w:val="Refdenotaalpie"/>
          <w:rFonts w:cs="Arial"/>
        </w:rPr>
        <w:footnoteReference w:id="1"/>
      </w:r>
      <w:r w:rsidRPr="00CA1D2B">
        <w:rPr>
          <w:rFonts w:cs="Arial"/>
        </w:rPr>
        <w:t>.</w:t>
      </w:r>
    </w:p>
    <w:p w14:paraId="6FD132D7" w14:textId="77777777" w:rsidR="000C7AD1" w:rsidRPr="00CA1D2B" w:rsidRDefault="000C7AD1" w:rsidP="00511260">
      <w:pPr>
        <w:pStyle w:val="Prrafodelista"/>
        <w:autoSpaceDE w:val="0"/>
        <w:autoSpaceDN w:val="0"/>
        <w:adjustRightInd w:val="0"/>
        <w:ind w:left="0"/>
        <w:rPr>
          <w:rFonts w:cs="Arial"/>
        </w:rPr>
      </w:pPr>
    </w:p>
    <w:p w14:paraId="199FB7FE" w14:textId="5B2B47C4" w:rsidR="00511260" w:rsidRDefault="00511260" w:rsidP="00511260">
      <w:pPr>
        <w:pStyle w:val="Prrafodelista"/>
        <w:autoSpaceDE w:val="0"/>
        <w:autoSpaceDN w:val="0"/>
        <w:adjustRightInd w:val="0"/>
        <w:ind w:left="0"/>
        <w:rPr>
          <w:rFonts w:cs="Arial"/>
        </w:rPr>
      </w:pPr>
      <w:r w:rsidRPr="00CA1D2B">
        <w:rPr>
          <w:rFonts w:cs="Arial"/>
        </w:rPr>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4FBE1828" w14:textId="77777777" w:rsidR="00B156C7" w:rsidRPr="00231378" w:rsidRDefault="00B156C7" w:rsidP="00511260">
      <w:pPr>
        <w:pStyle w:val="Prrafodelista"/>
        <w:autoSpaceDE w:val="0"/>
        <w:autoSpaceDN w:val="0"/>
        <w:adjustRightInd w:val="0"/>
        <w:ind w:left="0"/>
        <w:rPr>
          <w:rFonts w:cs="Arial"/>
        </w:rPr>
      </w:pPr>
    </w:p>
    <w:p w14:paraId="196F8202" w14:textId="236D86EC" w:rsidR="00511260" w:rsidRPr="00E513F1" w:rsidRDefault="00511260" w:rsidP="00511260">
      <w:pPr>
        <w:rPr>
          <w:b/>
          <w:bCs/>
          <w:sz w:val="28"/>
          <w:szCs w:val="28"/>
        </w:rPr>
      </w:pPr>
      <w:r w:rsidRPr="00511260">
        <w:rPr>
          <w:b/>
          <w:bCs/>
          <w:sz w:val="28"/>
          <w:szCs w:val="28"/>
        </w:rPr>
        <w:t>CUARTO. Estudio y resolución del asunto.</w:t>
      </w:r>
    </w:p>
    <w:p w14:paraId="65DB4271" w14:textId="77777777" w:rsidR="00511260" w:rsidRPr="006922F5" w:rsidRDefault="00511260" w:rsidP="00511260">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w:t>
      </w:r>
      <w:r w:rsidRPr="006922F5">
        <w:rPr>
          <w:rFonts w:eastAsia="Palatino Linotype" w:cs="Palatino Linotype"/>
          <w:color w:val="000000"/>
          <w:szCs w:val="24"/>
        </w:rPr>
        <w:lastRenderedPageBreak/>
        <w:t>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790E057" w14:textId="77777777" w:rsidR="00511260" w:rsidRPr="006922F5" w:rsidRDefault="00511260" w:rsidP="00511260">
      <w:pPr>
        <w:pBdr>
          <w:top w:val="nil"/>
          <w:left w:val="nil"/>
          <w:bottom w:val="nil"/>
          <w:right w:val="nil"/>
          <w:between w:val="nil"/>
        </w:pBdr>
        <w:contextualSpacing/>
        <w:rPr>
          <w:rFonts w:eastAsia="Palatino Linotype" w:cs="Palatino Linotype"/>
          <w:color w:val="000000"/>
          <w:szCs w:val="24"/>
        </w:rPr>
      </w:pPr>
    </w:p>
    <w:p w14:paraId="6C9474EB" w14:textId="37001C32" w:rsidR="00511260" w:rsidRDefault="00511260" w:rsidP="00511260">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tanto, es conveniente recordar que </w:t>
      </w:r>
      <w:r>
        <w:rPr>
          <w:rFonts w:eastAsia="Palatino Linotype" w:cs="Palatino Linotype"/>
          <w:color w:val="000000"/>
          <w:szCs w:val="24"/>
        </w:rPr>
        <w:t>el</w:t>
      </w:r>
      <w:r w:rsidRPr="006922F5">
        <w:rPr>
          <w:rFonts w:eastAsia="Palatino Linotype" w:cs="Palatino Linotype"/>
          <w:color w:val="000000"/>
          <w:szCs w:val="24"/>
        </w:rPr>
        <w:t xml:space="preserve"> hoy Recurrente requirió </w:t>
      </w:r>
      <w:r>
        <w:rPr>
          <w:rFonts w:eastAsia="Palatino Linotype" w:cs="Palatino Linotype"/>
          <w:color w:val="000000"/>
          <w:szCs w:val="24"/>
        </w:rPr>
        <w:t>del Sujeto Obligado, de la actual administración, lo siguiente:</w:t>
      </w:r>
    </w:p>
    <w:p w14:paraId="56A1005E" w14:textId="3E52D551" w:rsidR="005142FA" w:rsidRDefault="0055178F" w:rsidP="0055178F">
      <w:pPr>
        <w:pStyle w:val="Prrafodelista"/>
        <w:numPr>
          <w:ilvl w:val="0"/>
          <w:numId w:val="25"/>
        </w:num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 xml:space="preserve">Del expediente Ordinario Civil señalado en solicitud </w:t>
      </w:r>
    </w:p>
    <w:p w14:paraId="70DD3DAA" w14:textId="764CBE8F" w:rsidR="0055178F" w:rsidRDefault="0055178F" w:rsidP="0055178F">
      <w:pPr>
        <w:pStyle w:val="Prrafodelista"/>
        <w:numPr>
          <w:ilvl w:val="2"/>
          <w:numId w:val="25"/>
        </w:num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Copia de la demanda y contestación de la demanda</w:t>
      </w:r>
    </w:p>
    <w:p w14:paraId="793779B1" w14:textId="5543B4A7" w:rsidR="0055178F" w:rsidRDefault="0055178F" w:rsidP="0055178F">
      <w:pPr>
        <w:pStyle w:val="Prrafodelista"/>
        <w:numPr>
          <w:ilvl w:val="2"/>
          <w:numId w:val="25"/>
        </w:num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Escritos de ofrecimiento de pruebas</w:t>
      </w:r>
    </w:p>
    <w:p w14:paraId="0ACE4817" w14:textId="2B6C3295" w:rsidR="0055178F" w:rsidRDefault="0055178F" w:rsidP="0055178F">
      <w:pPr>
        <w:pStyle w:val="Prrafodelista"/>
        <w:numPr>
          <w:ilvl w:val="0"/>
          <w:numId w:val="25"/>
        </w:num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De la apelación señalada en solicitud</w:t>
      </w:r>
    </w:p>
    <w:p w14:paraId="21765DC3" w14:textId="078DFF95" w:rsidR="0055178F" w:rsidRPr="0055178F" w:rsidRDefault="0055178F" w:rsidP="0055178F">
      <w:pPr>
        <w:pStyle w:val="Prrafodelista"/>
        <w:numPr>
          <w:ilvl w:val="2"/>
          <w:numId w:val="25"/>
        </w:num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Copia de la apelación</w:t>
      </w:r>
    </w:p>
    <w:p w14:paraId="3EEDCEE4" w14:textId="77777777" w:rsidR="0055178F" w:rsidRDefault="0055178F" w:rsidP="00511260">
      <w:pPr>
        <w:pBdr>
          <w:top w:val="nil"/>
          <w:left w:val="nil"/>
          <w:bottom w:val="nil"/>
          <w:right w:val="nil"/>
          <w:between w:val="nil"/>
        </w:pBdr>
        <w:contextualSpacing/>
        <w:rPr>
          <w:rFonts w:eastAsia="Palatino Linotype" w:cs="Palatino Linotype"/>
          <w:color w:val="000000"/>
          <w:szCs w:val="24"/>
        </w:rPr>
      </w:pPr>
    </w:p>
    <w:p w14:paraId="2A043BF8" w14:textId="20A5C3FD" w:rsidR="00511260" w:rsidRDefault="00511260" w:rsidP="00511260">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Por lo que atento a la solicitud de información el Sujeto Obligado hizo entrega de los siguientes archivos electrónicos:</w:t>
      </w:r>
    </w:p>
    <w:p w14:paraId="328B01BD" w14:textId="04A9B30B" w:rsidR="005142FA" w:rsidRPr="00307FB0" w:rsidRDefault="0055178F" w:rsidP="0055178F">
      <w:pPr>
        <w:pStyle w:val="Prrafodelista"/>
        <w:numPr>
          <w:ilvl w:val="0"/>
          <w:numId w:val="26"/>
        </w:numPr>
        <w:rPr>
          <w:rFonts w:cs="Arial"/>
          <w:b/>
          <w:bCs/>
          <w:i/>
          <w:szCs w:val="24"/>
        </w:rPr>
      </w:pPr>
      <w:r w:rsidRPr="0055178F">
        <w:rPr>
          <w:rFonts w:cs="Arial"/>
          <w:b/>
          <w:bCs/>
          <w:szCs w:val="24"/>
        </w:rPr>
        <w:t xml:space="preserve"> </w:t>
      </w:r>
      <w:r w:rsidRPr="0055178F">
        <w:rPr>
          <w:rFonts w:cs="Arial"/>
          <w:b/>
          <w:bCs/>
          <w:i/>
          <w:szCs w:val="24"/>
        </w:rPr>
        <w:t>RESPUESTA 793-2024.pdf</w:t>
      </w:r>
      <w:r>
        <w:rPr>
          <w:rFonts w:cs="Arial"/>
          <w:b/>
          <w:bCs/>
          <w:i/>
          <w:szCs w:val="24"/>
        </w:rPr>
        <w:t xml:space="preserve">; </w:t>
      </w:r>
      <w:r>
        <w:rPr>
          <w:rFonts w:cs="Arial"/>
          <w:bCs/>
          <w:szCs w:val="24"/>
        </w:rPr>
        <w:t>Documento que consta de seis fojas en formato PDF de fecha dieciocho de octubre de dos mil veinticuatro por medio del cual el Titular de la Unidad de Transparencia da cuenta de una liga electrónica</w:t>
      </w:r>
      <w:r w:rsidR="00134424">
        <w:rPr>
          <w:rFonts w:cs="Arial"/>
          <w:bCs/>
          <w:szCs w:val="24"/>
        </w:rPr>
        <w:t xml:space="preserve"> en datos abiertos</w:t>
      </w:r>
      <w:r>
        <w:rPr>
          <w:rFonts w:cs="Arial"/>
          <w:bCs/>
          <w:szCs w:val="24"/>
        </w:rPr>
        <w:t xml:space="preserve"> en la que se advierten parcialmente</w:t>
      </w:r>
      <w:r w:rsidR="006E1F0B">
        <w:t xml:space="preserve"> el expediente número 11</w:t>
      </w:r>
      <w:r>
        <w:t>94/2015</w:t>
      </w:r>
      <w:r w:rsidR="006E1F0B">
        <w:t xml:space="preserve"> y </w:t>
      </w:r>
      <w:r w:rsidR="00CE47F3">
        <w:t>el expediente 1094/2015</w:t>
      </w:r>
      <w:r>
        <w:t xml:space="preserve"> manifestando que sobrepasa las veinte hojas simples que se entregan de manera gratuita, por lo cual es necesario cubrir de previamente el pago por la reproducción del expediente solicitado en los términos siguientes; </w:t>
      </w:r>
    </w:p>
    <w:p w14:paraId="4C4412FB" w14:textId="77777777" w:rsidR="00307FB0" w:rsidRPr="00307FB0" w:rsidRDefault="00307FB0" w:rsidP="00307FB0">
      <w:pPr>
        <w:pStyle w:val="Prrafodelista"/>
        <w:rPr>
          <w:rFonts w:cs="Arial"/>
          <w:b/>
          <w:bCs/>
          <w:i/>
          <w:szCs w:val="24"/>
        </w:rPr>
      </w:pPr>
    </w:p>
    <w:p w14:paraId="62AFB600" w14:textId="7D4735DD" w:rsidR="00307FB0" w:rsidRPr="0055178F" w:rsidRDefault="00307FB0" w:rsidP="00307FB0">
      <w:pPr>
        <w:pStyle w:val="Prrafodelista"/>
        <w:rPr>
          <w:rFonts w:cs="Arial"/>
          <w:b/>
          <w:bCs/>
          <w:i/>
          <w:szCs w:val="24"/>
        </w:rPr>
      </w:pPr>
      <w:r w:rsidRPr="00307FB0">
        <w:rPr>
          <w:rFonts w:cs="Arial"/>
          <w:b/>
          <w:bCs/>
          <w:i/>
          <w:noProof/>
          <w:szCs w:val="24"/>
          <w:lang w:val="es-ES" w:eastAsia="es-ES"/>
        </w:rPr>
        <w:lastRenderedPageBreak/>
        <w:drawing>
          <wp:inline distT="0" distB="0" distL="0" distR="0" wp14:anchorId="2FEA59F2" wp14:editId="4C8959BA">
            <wp:extent cx="5782482" cy="2057687"/>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82482" cy="2057687"/>
                    </a:xfrm>
                    <a:prstGeom prst="rect">
                      <a:avLst/>
                    </a:prstGeom>
                  </pic:spPr>
                </pic:pic>
              </a:graphicData>
            </a:graphic>
          </wp:inline>
        </w:drawing>
      </w:r>
    </w:p>
    <w:p w14:paraId="125DAC12" w14:textId="77777777" w:rsidR="00AD6C7B" w:rsidRDefault="00AD6C7B" w:rsidP="00AD6C7B">
      <w:pPr>
        <w:pStyle w:val="Prrafodelista"/>
        <w:ind w:left="2149"/>
        <w:rPr>
          <w:rFonts w:cs="Arial"/>
          <w:b/>
          <w:bCs/>
          <w:szCs w:val="24"/>
        </w:rPr>
      </w:pPr>
    </w:p>
    <w:p w14:paraId="74BAF357" w14:textId="669BC647" w:rsidR="00134424" w:rsidRPr="00134424" w:rsidRDefault="00134424" w:rsidP="00307FB0">
      <w:pPr>
        <w:pStyle w:val="Prrafodelista"/>
        <w:numPr>
          <w:ilvl w:val="0"/>
          <w:numId w:val="26"/>
        </w:numPr>
        <w:rPr>
          <w:rFonts w:cs="Arial"/>
          <w:bCs/>
          <w:szCs w:val="24"/>
        </w:rPr>
      </w:pPr>
      <w:r>
        <w:rPr>
          <w:rFonts w:cs="Arial"/>
          <w:bCs/>
          <w:szCs w:val="24"/>
        </w:rPr>
        <w:t xml:space="preserve">En este sentido respecto la </w:t>
      </w:r>
      <w:r>
        <w:t xml:space="preserve">Toca 590/2016 manifiesta que puede ser consultada en la página de transparencia del Poder Judicial manifestando también que los datos personales contenidos en el expediente y en el toca, fueron clasificados como confidenciales por el Comité de Transparencia, Acceso a la Información Pública y Protección de Datos Personales del Poder Judicial del Estado de México mediante Sesión Ordinaria 10/2024, la cual podrá ser consultada en el link: </w:t>
      </w:r>
      <w:hyperlink r:id="rId9" w:history="1">
        <w:r w:rsidRPr="00781816">
          <w:rPr>
            <w:rStyle w:val="Hipervnculo"/>
          </w:rPr>
          <w:t>https://www.pjedomex.gob.mx/transparencia/8_actas_comite</w:t>
        </w:r>
      </w:hyperlink>
      <w:r>
        <w:t>.</w:t>
      </w:r>
    </w:p>
    <w:p w14:paraId="471BE9EB" w14:textId="77777777" w:rsidR="00134424" w:rsidRPr="00134424" w:rsidRDefault="00134424" w:rsidP="00134424">
      <w:pPr>
        <w:pStyle w:val="Prrafodelista"/>
        <w:rPr>
          <w:rFonts w:cs="Arial"/>
          <w:bCs/>
          <w:szCs w:val="24"/>
        </w:rPr>
      </w:pPr>
    </w:p>
    <w:p w14:paraId="6D92B82A" w14:textId="567B2306" w:rsidR="0055178F" w:rsidRPr="00134424" w:rsidRDefault="00134424" w:rsidP="00134424">
      <w:pPr>
        <w:pStyle w:val="Prrafodelista"/>
        <w:rPr>
          <w:rFonts w:cs="Arial"/>
          <w:bCs/>
          <w:szCs w:val="24"/>
        </w:rPr>
      </w:pPr>
      <w:r>
        <w:t xml:space="preserve">Respecto el procedimiento para acceder a la toca 590/2016 estableció el siguiente; </w:t>
      </w:r>
    </w:p>
    <w:p w14:paraId="38E518DF" w14:textId="77777777" w:rsidR="00134424" w:rsidRPr="00134424" w:rsidRDefault="00134424" w:rsidP="00134424">
      <w:pPr>
        <w:pStyle w:val="Prrafodelista"/>
        <w:numPr>
          <w:ilvl w:val="0"/>
          <w:numId w:val="27"/>
        </w:numPr>
        <w:rPr>
          <w:rFonts w:cs="Arial"/>
          <w:bCs/>
          <w:i/>
          <w:sz w:val="22"/>
        </w:rPr>
      </w:pPr>
      <w:r w:rsidRPr="00134424">
        <w:rPr>
          <w:i/>
          <w:sz w:val="22"/>
        </w:rPr>
        <w:t xml:space="preserve">Ingresar en su navegador a la página oficial del Poder Judicial del Estado de México en la liga electrónica liga </w:t>
      </w:r>
      <w:hyperlink r:id="rId10" w:history="1">
        <w:r w:rsidRPr="00134424">
          <w:rPr>
            <w:rStyle w:val="Hipervnculo"/>
            <w:i/>
            <w:sz w:val="22"/>
          </w:rPr>
          <w:t>https://www.pjedomex.gob.mx/vista/1_inicio</w:t>
        </w:r>
      </w:hyperlink>
      <w:r w:rsidRPr="00134424">
        <w:rPr>
          <w:i/>
          <w:sz w:val="22"/>
        </w:rPr>
        <w:t xml:space="preserve"> </w:t>
      </w:r>
    </w:p>
    <w:p w14:paraId="2F7AC1D8" w14:textId="63A7BD31" w:rsidR="00134424" w:rsidRPr="00134424" w:rsidRDefault="00134424" w:rsidP="00134424">
      <w:pPr>
        <w:pStyle w:val="Prrafodelista"/>
        <w:numPr>
          <w:ilvl w:val="0"/>
          <w:numId w:val="27"/>
        </w:numPr>
        <w:rPr>
          <w:rFonts w:cs="Arial"/>
          <w:bCs/>
          <w:i/>
          <w:sz w:val="22"/>
        </w:rPr>
      </w:pPr>
      <w:r w:rsidRPr="00134424">
        <w:rPr>
          <w:i/>
          <w:sz w:val="22"/>
        </w:rPr>
        <w:t>Deberá de deslizarse en dicha página, hasta el apartado de Transparencia, donde seleccionará dicho apartado</w:t>
      </w:r>
      <w:r>
        <w:rPr>
          <w:i/>
          <w:sz w:val="22"/>
        </w:rPr>
        <w:t>.</w:t>
      </w:r>
    </w:p>
    <w:p w14:paraId="78CA4A47" w14:textId="136B5550" w:rsidR="00134424" w:rsidRPr="00134424" w:rsidRDefault="00134424" w:rsidP="00134424">
      <w:pPr>
        <w:pStyle w:val="Prrafodelista"/>
        <w:numPr>
          <w:ilvl w:val="0"/>
          <w:numId w:val="27"/>
        </w:numPr>
        <w:rPr>
          <w:rFonts w:cs="Arial"/>
          <w:bCs/>
          <w:i/>
          <w:sz w:val="22"/>
        </w:rPr>
      </w:pPr>
      <w:r w:rsidRPr="00134424">
        <w:rPr>
          <w:i/>
          <w:sz w:val="22"/>
        </w:rPr>
        <w:t>Una vez seleccionado el apartado señalado en la imagen que antecede, se desplegará la página siguiente, donde tendrá que seleccionar el apartado de consulta.</w:t>
      </w:r>
    </w:p>
    <w:p w14:paraId="10FC1CC8" w14:textId="77777777" w:rsidR="00134424" w:rsidRPr="00134424" w:rsidRDefault="00134424" w:rsidP="00134424">
      <w:pPr>
        <w:pStyle w:val="Prrafodelista"/>
        <w:numPr>
          <w:ilvl w:val="0"/>
          <w:numId w:val="27"/>
        </w:numPr>
        <w:rPr>
          <w:rFonts w:cs="Arial"/>
          <w:bCs/>
          <w:i/>
          <w:sz w:val="22"/>
        </w:rPr>
      </w:pPr>
      <w:r w:rsidRPr="00134424">
        <w:rPr>
          <w:i/>
          <w:sz w:val="22"/>
        </w:rPr>
        <w:lastRenderedPageBreak/>
        <w:t>Posterior a seleccionar el apartado de consulta, se desplegará el menú siguiente, donde seleccionará el apartado de “sentencias en versión pública”</w:t>
      </w:r>
    </w:p>
    <w:p w14:paraId="6E5ECDDB" w14:textId="32E8E5C5" w:rsidR="0055178F" w:rsidRPr="00134424" w:rsidRDefault="00134424" w:rsidP="00134424">
      <w:pPr>
        <w:pStyle w:val="Prrafodelista"/>
        <w:numPr>
          <w:ilvl w:val="0"/>
          <w:numId w:val="27"/>
        </w:numPr>
        <w:rPr>
          <w:rFonts w:cs="Arial"/>
          <w:bCs/>
          <w:i/>
          <w:sz w:val="22"/>
        </w:rPr>
      </w:pPr>
      <w:r w:rsidRPr="00134424">
        <w:rPr>
          <w:i/>
          <w:sz w:val="22"/>
        </w:rPr>
        <w:t>Una vez desplegado el listado de sentencias en versión pública, deberá seleccionar la “590/2016”, deslizar el cursor a su derecha y dar clic en el ícono ver archivo.</w:t>
      </w:r>
    </w:p>
    <w:p w14:paraId="5B768198" w14:textId="77777777" w:rsidR="00134424" w:rsidRPr="00134424" w:rsidRDefault="00134424" w:rsidP="00134424">
      <w:pPr>
        <w:rPr>
          <w:rFonts w:cs="Arial"/>
          <w:bCs/>
          <w:szCs w:val="24"/>
        </w:rPr>
      </w:pPr>
    </w:p>
    <w:p w14:paraId="171F3249" w14:textId="155AD886" w:rsidR="00CE47F3" w:rsidRPr="00347F55" w:rsidRDefault="00511260" w:rsidP="00AD6C7B">
      <w:pPr>
        <w:rPr>
          <w:szCs w:val="24"/>
        </w:rPr>
      </w:pPr>
      <w:r w:rsidRPr="00031639">
        <w:rPr>
          <w:rFonts w:eastAsia="Palatino Linotype" w:cs="Palatino Linotype"/>
          <w:color w:val="000000"/>
        </w:rPr>
        <w:t xml:space="preserve">Ante la respuesta emitida por el Sujeto Obligado, el Recurrente consideró que su derecho a la información pública había sido conculcado, por lo que interpuso el recurso de revisión al rubro citado, señalando como acto impugnado </w:t>
      </w:r>
      <w:r w:rsidR="00134424" w:rsidRPr="00134424">
        <w:rPr>
          <w:rFonts w:eastAsia="Palatino Linotype" w:cs="Palatino Linotype"/>
          <w:i/>
          <w:color w:val="000000"/>
          <w:szCs w:val="24"/>
        </w:rPr>
        <w:t>“</w:t>
      </w:r>
      <w:r w:rsidR="00134424" w:rsidRPr="00134424">
        <w:rPr>
          <w:i/>
          <w:color w:val="000000"/>
          <w:szCs w:val="24"/>
        </w:rPr>
        <w:t>CAMBIO DE LA MODALIDAD DE ENTREGA DE INFORMACIÓN.”</w:t>
      </w:r>
      <w:r w:rsidR="00134424">
        <w:rPr>
          <w:rFonts w:eastAsia="Palatino Linotype" w:cs="Palatino Linotype"/>
          <w:i/>
          <w:color w:val="000000"/>
          <w:szCs w:val="24"/>
        </w:rPr>
        <w:t xml:space="preserve"> </w:t>
      </w:r>
      <w:r w:rsidR="00B40A7A">
        <w:rPr>
          <w:sz w:val="22"/>
        </w:rPr>
        <w:t>y como razo</w:t>
      </w:r>
      <w:r w:rsidR="00AD6C7B">
        <w:rPr>
          <w:sz w:val="22"/>
        </w:rPr>
        <w:t xml:space="preserve">nes o motivos de inconformidad </w:t>
      </w:r>
      <w:r w:rsidR="00B40A7A" w:rsidRPr="00134424">
        <w:rPr>
          <w:i/>
          <w:iCs/>
          <w:color w:val="000000"/>
          <w:szCs w:val="24"/>
        </w:rPr>
        <w:t>“</w:t>
      </w:r>
      <w:r w:rsidR="00134424" w:rsidRPr="00134424">
        <w:rPr>
          <w:i/>
          <w:color w:val="000000"/>
          <w:szCs w:val="24"/>
        </w:rPr>
        <w:t xml:space="preserve">La Ley de transparencia de la Entidad establece mi derecho fundamental a elegir el medio por el cual deseo se me entregue la información que solicito, a saber, los artículos que se invocan a continuación: Artículo 155. Para presentar una solicitud por escrito, no se podrán exigir mayores requisitos que los siguientes: V.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 Artículo 164. El acceso se dará en la modalidad de entrega y, en su caso, de envío elegidos por el solicitante. Cuando la información no pueda entregarse o enviarse en la modalidad solicitada, el sujeto obligado deberá ofrecer otra u otras modalidades de entrega. En cualquier caso, se deberá fundar y motivar la necesidad de ofrecer otras modalidades. Por otra parte, se establece la facultad del sujeto obligado para cambiar la modalidad de entrega, debiendo FUNDAR Y MOTIVAR TAL SITUACIÓN, solamente, en aquellos casos cuando la información implique: • Análisis. • Estudio; o • Procesamiento de documentos. Lo anterior, tal y como lo establece el artículo 158: Artículo 158. De manera excepcional, cuando de forma fundada y motivada así lo determine el sujeto obligado, en aquellos casos en que la </w:t>
      </w:r>
      <w:r w:rsidR="00134424" w:rsidRPr="00134424">
        <w:rPr>
          <w:i/>
          <w:color w:val="000000"/>
          <w:szCs w:val="24"/>
        </w:rPr>
        <w:lastRenderedPageBreak/>
        <w:t xml:space="preserve">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 En todo caso, se facilitará su copia simple o certificada, así como su reproducción por cualquier medio disponible en las instalaciones del sujeto obligado o que, en su caso, aporte el solicitante. En el caso, el sujeto obligado no fundó el cambio en la modalidad de entrega de información, además, de la respuesta otorgada y del informe rendido no se advierte que acredite los elementos o requisitos para justificar el cambio en la modalidad de entrega, es decir, no justificó que la entrega de los documentos implicaba: • Análisis. • Estudio; o • Procesamiento de documentos. De ahí la falta de fundamentación y motivación del cambio en la modalidad de entrega, y por consecuencia, la atención negligente a mi solicitud de información. En el caso, el derecho de acceso a la información no se satisface con el otorgamiento de una respuesta dentro del plazo legal, sino que ésta, debe cumplir con los parámetros legales y constitucionales, en el caso, el de certeza jurídica, lo que se traduce en el deber de fundar y motivar, de ahí que el sujeto obligado no haya atendido cabalmente a mi solicitud. Por otra parte, dentro de su informe justificado el sujeto obligado no justificó o acreditó que la entrega de la información en la modalidad elegida por el recurrente sobrepasara sus capacidades técnicas y humanas para tal efecto. En el caso no debe pasar desapercibido que el suscrito solicité que la entrega de la información fuera mediante USB, es decir un medio magnético. Ahora bien, el artículo 73 del código financiero del Estado de México señala que, en caso de que el particular solicite la información por medios magnéticos, el solicitante podrá, en ejercicio del derecho a la información pública, aportar el medio en el que se requiera le sea proporcionada la información, en cuyo caso no habrá costo que cubrir. </w:t>
      </w:r>
      <w:r w:rsidR="00134424" w:rsidRPr="000C05AB">
        <w:rPr>
          <w:b/>
          <w:i/>
          <w:color w:val="000000"/>
          <w:szCs w:val="24"/>
        </w:rPr>
        <w:t xml:space="preserve">ES DECIR, QUE LA INFORMACIÓN ME DEBE SER ENTREGADA DE FORMA COMPLETA Y </w:t>
      </w:r>
      <w:r w:rsidR="00134424" w:rsidRPr="000C05AB">
        <w:rPr>
          <w:b/>
          <w:i/>
          <w:color w:val="000000"/>
          <w:szCs w:val="24"/>
        </w:rPr>
        <w:lastRenderedPageBreak/>
        <w:t xml:space="preserve">GRATUITA, PUES EL SUSCRITO PROPORCIONARÉ EL MEDIO </w:t>
      </w:r>
      <w:proofErr w:type="spellStart"/>
      <w:r w:rsidR="00134424" w:rsidRPr="000C05AB">
        <w:rPr>
          <w:b/>
          <w:i/>
          <w:color w:val="000000"/>
          <w:szCs w:val="24"/>
        </w:rPr>
        <w:t>MAGNETICO</w:t>
      </w:r>
      <w:proofErr w:type="spellEnd"/>
      <w:r w:rsidR="00134424" w:rsidRPr="000C05AB">
        <w:rPr>
          <w:b/>
          <w:i/>
          <w:color w:val="000000"/>
          <w:szCs w:val="24"/>
        </w:rPr>
        <w:t>, ES DECIR, EL USB</w:t>
      </w:r>
      <w:r w:rsidR="00134424" w:rsidRPr="00134424">
        <w:rPr>
          <w:i/>
          <w:color w:val="000000"/>
          <w:szCs w:val="24"/>
        </w:rPr>
        <w:t xml:space="preserve">. Aunado a ello, se hace referencia en que el sujeto obligado remitió la información de forma </w:t>
      </w:r>
      <w:proofErr w:type="gramStart"/>
      <w:r w:rsidR="00134424" w:rsidRPr="00134424">
        <w:rPr>
          <w:i/>
          <w:color w:val="000000"/>
          <w:szCs w:val="24"/>
        </w:rPr>
        <w:t>electrónica</w:t>
      </w:r>
      <w:proofErr w:type="gramEnd"/>
      <w:r w:rsidR="00134424" w:rsidRPr="00134424">
        <w:rPr>
          <w:i/>
          <w:color w:val="000000"/>
          <w:szCs w:val="24"/>
        </w:rPr>
        <w:t xml:space="preserve"> pero de forma incompleta, por lo que </w:t>
      </w:r>
      <w:r w:rsidR="00134424" w:rsidRPr="000C05AB">
        <w:rPr>
          <w:b/>
          <w:i/>
          <w:color w:val="000000"/>
          <w:szCs w:val="24"/>
        </w:rPr>
        <w:t>se solicita se analice el link que remitió el sujeto obligado y se analice si realmente son todos los documentos solicitados</w:t>
      </w:r>
      <w:r w:rsidR="00134424" w:rsidRPr="00134424">
        <w:rPr>
          <w:i/>
          <w:color w:val="000000"/>
          <w:szCs w:val="24"/>
        </w:rPr>
        <w:t xml:space="preserve">, pues se niega que así lo sea. En esa idea, el sujeto obligado, al remitir un link con información, acredita que está en posibilidad de enviar la información de forma electrónica, por lo que </w:t>
      </w:r>
      <w:r w:rsidR="00134424" w:rsidRPr="000C05AB">
        <w:rPr>
          <w:b/>
          <w:i/>
          <w:color w:val="000000"/>
          <w:szCs w:val="24"/>
        </w:rPr>
        <w:t>se pide que lo realice por ese medio, pero de forma completa,</w:t>
      </w:r>
      <w:r w:rsidR="00134424" w:rsidRPr="00134424">
        <w:rPr>
          <w:i/>
          <w:color w:val="000000"/>
          <w:szCs w:val="24"/>
        </w:rPr>
        <w:t xml:space="preserve"> es decir, debiendo entregar lo siguiente: • REQUIERO COPIA DE: LA DEMANDA Y DE LA CONTESTACIÓN A LA DEMANDA; • Y DE LOS ESCRITOS DE OFRECIMIENTO DE PRUEBAS CONTENIDOS EN EL ORDINARIO CIVIL 1094/2015, DEL </w:t>
      </w:r>
      <w:proofErr w:type="spellStart"/>
      <w:r w:rsidR="00134424" w:rsidRPr="00134424">
        <w:rPr>
          <w:i/>
          <w:color w:val="000000"/>
          <w:szCs w:val="24"/>
        </w:rPr>
        <w:t>INDICE</w:t>
      </w:r>
      <w:proofErr w:type="spellEnd"/>
      <w:r w:rsidR="00134424" w:rsidRPr="00134424">
        <w:rPr>
          <w:i/>
          <w:color w:val="000000"/>
          <w:szCs w:val="24"/>
        </w:rPr>
        <w:t xml:space="preserve"> DEL JUEZ CUARTO CIVIL DE PRIMERA INSTANCIA DEL DISTRITO JUDICIAL DE CUAUTITLÁN, ESTADO DE MÉXICO; • ASÍ COMO DE LA SENTENCIA DEFINITIVA DICTADA EN ESE ASUNTO. • REQUIERO COPIA DE LA APELACIÓN CONTENIDA EN EL TOCA 590/2016 DE LA SEGUNDA SALA CIVIL DE TLALNEPANTLA DEL TRIBUNAL SUPERIOR DE JUSTICIA DEL ESTADO DE MÉXICO.</w:t>
      </w:r>
      <w:r w:rsidR="00B40A7A">
        <w:rPr>
          <w:i/>
          <w:sz w:val="22"/>
        </w:rPr>
        <w:t>”</w:t>
      </w:r>
      <w:r w:rsidRPr="00031639">
        <w:rPr>
          <w:rFonts w:eastAsia="Palatino Linotype" w:cs="Palatino Linotype"/>
          <w:i/>
          <w:color w:val="000000"/>
        </w:rPr>
        <w:t>,</w:t>
      </w:r>
      <w:r w:rsidRPr="00031639">
        <w:rPr>
          <w:rFonts w:eastAsia="Palatino Linotype" w:cs="Palatino Linotype"/>
          <w:i/>
          <w:color w:val="000000"/>
          <w:sz w:val="22"/>
        </w:rPr>
        <w:t xml:space="preserve"> </w:t>
      </w:r>
      <w:r w:rsidR="00347F55">
        <w:rPr>
          <w:color w:val="000000"/>
          <w:szCs w:val="24"/>
        </w:rPr>
        <w:t>s</w:t>
      </w:r>
      <w:r w:rsidR="00CE47F3" w:rsidRPr="0004731B">
        <w:rPr>
          <w:color w:val="000000"/>
          <w:szCs w:val="24"/>
        </w:rPr>
        <w:t xml:space="preserve">in pasar por desapercibido por este Instituto que del  </w:t>
      </w:r>
      <w:r w:rsidR="00CE47F3" w:rsidRPr="0004731B">
        <w:rPr>
          <w:rFonts w:eastAsia="Palatino Linotype" w:cs="Palatino Linotype"/>
          <w:color w:val="000000"/>
          <w:szCs w:val="24"/>
        </w:rPr>
        <w:t xml:space="preserve">acto impugnado </w:t>
      </w:r>
      <w:r w:rsidR="00CE47F3" w:rsidRPr="0004731B">
        <w:rPr>
          <w:szCs w:val="24"/>
        </w:rPr>
        <w:t xml:space="preserve">y las razones o motivos de inconformidad se desprende que </w:t>
      </w:r>
      <w:r w:rsidR="0040773D">
        <w:rPr>
          <w:szCs w:val="24"/>
        </w:rPr>
        <w:t xml:space="preserve">en atención a </w:t>
      </w:r>
      <w:r w:rsidR="00CE47F3" w:rsidRPr="0004731B">
        <w:rPr>
          <w:szCs w:val="24"/>
        </w:rPr>
        <w:t xml:space="preserve">los principios de certeza, eficacia, independencia y objetividad consagrados en el artículo 9 de la Ley de Transparencia </w:t>
      </w:r>
      <w:r w:rsidR="0040773D">
        <w:rPr>
          <w:szCs w:val="24"/>
        </w:rPr>
        <w:t xml:space="preserve">Local </w:t>
      </w:r>
      <w:r w:rsidR="00CE47F3" w:rsidRPr="0004731B">
        <w:rPr>
          <w:szCs w:val="24"/>
        </w:rPr>
        <w:t xml:space="preserve">el Recurrente </w:t>
      </w:r>
      <w:r w:rsidR="00CE47F3" w:rsidRPr="00347F55">
        <w:rPr>
          <w:b/>
          <w:szCs w:val="24"/>
        </w:rPr>
        <w:t>manifestó inconformidad respecto el cambio de modalidad de la entrega</w:t>
      </w:r>
      <w:r w:rsidR="000C05AB">
        <w:rPr>
          <w:b/>
          <w:szCs w:val="24"/>
        </w:rPr>
        <w:t xml:space="preserve"> </w:t>
      </w:r>
      <w:r w:rsidR="00CE47F3" w:rsidRPr="00347F55">
        <w:rPr>
          <w:b/>
          <w:szCs w:val="24"/>
        </w:rPr>
        <w:t>de la información</w:t>
      </w:r>
      <w:r w:rsidR="00347F55">
        <w:rPr>
          <w:szCs w:val="24"/>
        </w:rPr>
        <w:t xml:space="preserve"> </w:t>
      </w:r>
      <w:r w:rsidR="000C05AB">
        <w:rPr>
          <w:b/>
          <w:szCs w:val="24"/>
        </w:rPr>
        <w:t>estableciendo además que proporcionaría una unidad  USB</w:t>
      </w:r>
      <w:r w:rsidR="00347F55">
        <w:rPr>
          <w:szCs w:val="24"/>
        </w:rPr>
        <w:t xml:space="preserve">, </w:t>
      </w:r>
      <w:r w:rsidR="00CE47F3" w:rsidRPr="0004731B">
        <w:rPr>
          <w:szCs w:val="24"/>
        </w:rPr>
        <w:t>es decir</w:t>
      </w:r>
      <w:r w:rsidR="000C05AB">
        <w:rPr>
          <w:szCs w:val="24"/>
        </w:rPr>
        <w:t xml:space="preserve"> este Instituto advierte en primer momento que la entrega de la información</w:t>
      </w:r>
      <w:r w:rsidR="00CE47F3" w:rsidRPr="0004731B">
        <w:rPr>
          <w:szCs w:val="24"/>
        </w:rPr>
        <w:t xml:space="preserve"> </w:t>
      </w:r>
      <w:r w:rsidR="0040773D">
        <w:rPr>
          <w:szCs w:val="24"/>
        </w:rPr>
        <w:t>por</w:t>
      </w:r>
      <w:r w:rsidR="0004731B" w:rsidRPr="0004731B">
        <w:rPr>
          <w:szCs w:val="24"/>
        </w:rPr>
        <w:t xml:space="preserve"> el pago previo para que se envié la información propuesto</w:t>
      </w:r>
      <w:r w:rsidR="0040773D">
        <w:rPr>
          <w:szCs w:val="24"/>
        </w:rPr>
        <w:t xml:space="preserve"> </w:t>
      </w:r>
      <w:r w:rsidR="0004731B" w:rsidRPr="0004731B">
        <w:rPr>
          <w:szCs w:val="24"/>
        </w:rPr>
        <w:t xml:space="preserve">por el Sujeto Obligado </w:t>
      </w:r>
      <w:r w:rsidR="0004731B" w:rsidRPr="0040773D">
        <w:rPr>
          <w:szCs w:val="24"/>
          <w:u w:val="single"/>
        </w:rPr>
        <w:t>podría generar vulneración al Recurrente</w:t>
      </w:r>
      <w:r w:rsidR="0004731B" w:rsidRPr="0004731B">
        <w:rPr>
          <w:szCs w:val="24"/>
        </w:rPr>
        <w:t xml:space="preserve"> pues es de recordarse que</w:t>
      </w:r>
      <w:r w:rsidR="0004731B">
        <w:rPr>
          <w:szCs w:val="24"/>
        </w:rPr>
        <w:t xml:space="preserve"> en términos del artículo 150 de la Ley de Transparencia Local </w:t>
      </w:r>
      <w:r w:rsidR="0004731B" w:rsidRPr="0040773D">
        <w:rPr>
          <w:b/>
          <w:szCs w:val="24"/>
        </w:rPr>
        <w:t xml:space="preserve">el procedimiento de acceso a la información es la garantía primaria del derecho en </w:t>
      </w:r>
      <w:r w:rsidR="0004731B" w:rsidRPr="0040773D">
        <w:rPr>
          <w:b/>
          <w:szCs w:val="24"/>
        </w:rPr>
        <w:lastRenderedPageBreak/>
        <w:t xml:space="preserve">cuestión y se rige por los principios de simplicidad, rapidez </w:t>
      </w:r>
      <w:r w:rsidR="0004731B" w:rsidRPr="0004731B">
        <w:rPr>
          <w:b/>
          <w:szCs w:val="24"/>
        </w:rPr>
        <w:t>gratuidad</w:t>
      </w:r>
      <w:r w:rsidR="0004731B" w:rsidRPr="0004731B">
        <w:rPr>
          <w:szCs w:val="24"/>
        </w:rPr>
        <w:t xml:space="preserve"> del procedimiento, auxilio y orientación a los particulares, así como atención adecuada a las personas con discapacidad y a los hablantes de lengua indígena con el objeto de otorgar la protección más amplia del derecho de las personas.</w:t>
      </w:r>
    </w:p>
    <w:p w14:paraId="747F4DC9" w14:textId="77777777" w:rsidR="0004731B" w:rsidRDefault="0004731B" w:rsidP="00AD6C7B">
      <w:pPr>
        <w:rPr>
          <w:color w:val="000000"/>
          <w:szCs w:val="24"/>
        </w:rPr>
      </w:pPr>
    </w:p>
    <w:p w14:paraId="725E126D" w14:textId="5290C387" w:rsidR="0040773D" w:rsidRDefault="00CE47F3" w:rsidP="000C05AB">
      <w:pPr>
        <w:rPr>
          <w:color w:val="000000"/>
          <w:szCs w:val="24"/>
        </w:rPr>
      </w:pPr>
      <w:r>
        <w:rPr>
          <w:color w:val="000000"/>
          <w:szCs w:val="24"/>
        </w:rPr>
        <w:t>A</w:t>
      </w:r>
      <w:r w:rsidRPr="00CE47F3">
        <w:rPr>
          <w:color w:val="000000"/>
          <w:szCs w:val="24"/>
        </w:rPr>
        <w:t xml:space="preserve">hora bien, no pasa desapercibido para este Instituto que el Particular por una parte señaló que requería la información en copias </w:t>
      </w:r>
      <w:r>
        <w:rPr>
          <w:color w:val="000000"/>
          <w:szCs w:val="24"/>
        </w:rPr>
        <w:t>sin señalar el método de notificación de las mismas</w:t>
      </w:r>
      <w:r w:rsidR="0040773D">
        <w:rPr>
          <w:color w:val="000000"/>
          <w:szCs w:val="24"/>
        </w:rPr>
        <w:t xml:space="preserve">, sirva de sustento la siguiente imagen ilustrativa; </w:t>
      </w:r>
    </w:p>
    <w:p w14:paraId="448B1F67" w14:textId="77777777" w:rsidR="0040773D" w:rsidRDefault="0040773D" w:rsidP="000C05AB">
      <w:pPr>
        <w:tabs>
          <w:tab w:val="left" w:pos="6687"/>
        </w:tabs>
        <w:jc w:val="center"/>
        <w:rPr>
          <w:color w:val="000000"/>
          <w:szCs w:val="24"/>
        </w:rPr>
      </w:pPr>
      <w:r w:rsidRPr="0040773D">
        <w:rPr>
          <w:noProof/>
          <w:color w:val="000000"/>
          <w:szCs w:val="24"/>
          <w:lang w:val="es-ES" w:eastAsia="es-ES"/>
        </w:rPr>
        <w:drawing>
          <wp:inline distT="0" distB="0" distL="0" distR="0" wp14:anchorId="3B685A02" wp14:editId="6DDCE43F">
            <wp:extent cx="5663745" cy="589746"/>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47863" cy="598505"/>
                    </a:xfrm>
                    <a:prstGeom prst="rect">
                      <a:avLst/>
                    </a:prstGeom>
                  </pic:spPr>
                </pic:pic>
              </a:graphicData>
            </a:graphic>
          </wp:inline>
        </w:drawing>
      </w:r>
    </w:p>
    <w:p w14:paraId="5931477F" w14:textId="77777777" w:rsidR="000C05AB" w:rsidRDefault="000C05AB" w:rsidP="0040773D">
      <w:pPr>
        <w:tabs>
          <w:tab w:val="left" w:pos="6687"/>
        </w:tabs>
        <w:rPr>
          <w:color w:val="000000"/>
          <w:szCs w:val="24"/>
        </w:rPr>
      </w:pPr>
    </w:p>
    <w:p w14:paraId="380D916C" w14:textId="7CD0E43F" w:rsidR="00CE47F3" w:rsidRPr="00CE47F3" w:rsidRDefault="0040773D" w:rsidP="0040773D">
      <w:pPr>
        <w:tabs>
          <w:tab w:val="left" w:pos="6687"/>
        </w:tabs>
        <w:rPr>
          <w:color w:val="000000"/>
          <w:szCs w:val="24"/>
        </w:rPr>
      </w:pPr>
      <w:r>
        <w:rPr>
          <w:color w:val="000000"/>
          <w:szCs w:val="24"/>
        </w:rPr>
        <w:t>De lo anterior</w:t>
      </w:r>
      <w:r w:rsidR="00CE47F3">
        <w:rPr>
          <w:color w:val="000000"/>
          <w:szCs w:val="24"/>
        </w:rPr>
        <w:t xml:space="preserve"> el Sujeto Obligado argumento que para el caso del</w:t>
      </w:r>
      <w:r w:rsidR="00CE47F3">
        <w:t xml:space="preserve"> expediente 1094/2015 constaba de 150 fojas por lo que previo a la entrega de la información faltante debía de realizar un pago por la digitalización de la información.</w:t>
      </w:r>
    </w:p>
    <w:p w14:paraId="7B90C01C" w14:textId="77777777" w:rsidR="00CE47F3" w:rsidRPr="00CE47F3" w:rsidRDefault="00CE47F3" w:rsidP="00CE47F3">
      <w:pPr>
        <w:rPr>
          <w:color w:val="000000"/>
          <w:szCs w:val="24"/>
        </w:rPr>
      </w:pPr>
    </w:p>
    <w:p w14:paraId="2E18C757" w14:textId="77777777" w:rsidR="007B2FCB" w:rsidRDefault="00CE47F3" w:rsidP="00CE47F3">
      <w:pPr>
        <w:rPr>
          <w:color w:val="000000"/>
          <w:szCs w:val="24"/>
        </w:rPr>
      </w:pPr>
      <w:r w:rsidRPr="00CE47F3">
        <w:rPr>
          <w:color w:val="000000"/>
          <w:szCs w:val="24"/>
        </w:rPr>
        <w:t xml:space="preserve">Al respecto, este Instituto considera, </w:t>
      </w:r>
      <w:r>
        <w:rPr>
          <w:color w:val="000000"/>
          <w:szCs w:val="24"/>
        </w:rPr>
        <w:t xml:space="preserve"> si bien el Recurrente no señalo el medio por el que se le entregaría la información, señalando únicamente que requería</w:t>
      </w:r>
      <w:r w:rsidRPr="00CE47F3">
        <w:rPr>
          <w:b/>
          <w:color w:val="000000"/>
          <w:szCs w:val="24"/>
        </w:rPr>
        <w:t xml:space="preserve"> </w:t>
      </w:r>
      <w:r w:rsidRPr="00CE47F3">
        <w:rPr>
          <w:b/>
        </w:rPr>
        <w:t>copias</w:t>
      </w:r>
      <w:r>
        <w:t xml:space="preserve"> lo procedente es que la </w:t>
      </w:r>
      <w:r>
        <w:rPr>
          <w:color w:val="000000"/>
          <w:szCs w:val="24"/>
        </w:rPr>
        <w:t xml:space="preserve">entrega de </w:t>
      </w:r>
      <w:r w:rsidRPr="00CE47F3">
        <w:rPr>
          <w:color w:val="000000"/>
          <w:szCs w:val="24"/>
        </w:rPr>
        <w:t xml:space="preserve">dicha información </w:t>
      </w:r>
      <w:r w:rsidRPr="00CE47F3">
        <w:rPr>
          <w:b/>
          <w:color w:val="000000"/>
          <w:szCs w:val="24"/>
        </w:rPr>
        <w:t>en copia simple</w:t>
      </w:r>
      <w:r w:rsidRPr="00CE47F3">
        <w:rPr>
          <w:color w:val="000000"/>
          <w:szCs w:val="24"/>
        </w:rPr>
        <w:t xml:space="preserve">, </w:t>
      </w:r>
      <w:r w:rsidRPr="00E179C6">
        <w:rPr>
          <w:color w:val="000000"/>
          <w:szCs w:val="24"/>
          <w:u w:val="single"/>
        </w:rPr>
        <w:t>sea realizada por medio del Sistema de Acceso a la Información Mexiquense (</w:t>
      </w:r>
      <w:proofErr w:type="spellStart"/>
      <w:r w:rsidRPr="00E179C6">
        <w:rPr>
          <w:color w:val="000000"/>
          <w:szCs w:val="24"/>
          <w:u w:val="single"/>
        </w:rPr>
        <w:t>SAIMEX</w:t>
      </w:r>
      <w:proofErr w:type="spellEnd"/>
      <w:r w:rsidRPr="00E179C6">
        <w:rPr>
          <w:color w:val="000000"/>
          <w:szCs w:val="24"/>
          <w:u w:val="single"/>
        </w:rPr>
        <w:t>),</w:t>
      </w:r>
      <w:r w:rsidRPr="00CE47F3">
        <w:rPr>
          <w:color w:val="000000"/>
          <w:szCs w:val="24"/>
        </w:rPr>
        <w:t xml:space="preserve"> </w:t>
      </w:r>
      <w:r>
        <w:rPr>
          <w:color w:val="000000"/>
          <w:szCs w:val="24"/>
        </w:rPr>
        <w:t>lo anterior sin que se cause</w:t>
      </w:r>
      <w:r w:rsidRPr="00CE47F3">
        <w:rPr>
          <w:color w:val="000000"/>
          <w:szCs w:val="24"/>
        </w:rPr>
        <w:t xml:space="preserve"> un perjuicio al derecho de acceso a la información del Solicitante, </w:t>
      </w:r>
      <w:r w:rsidRPr="00327CDB">
        <w:rPr>
          <w:b/>
          <w:bCs/>
          <w:color w:val="000000"/>
          <w:szCs w:val="24"/>
        </w:rPr>
        <w:t>abonando a</w:t>
      </w:r>
      <w:r>
        <w:rPr>
          <w:color w:val="000000"/>
          <w:szCs w:val="24"/>
        </w:rPr>
        <w:t xml:space="preserve"> </w:t>
      </w:r>
      <w:r w:rsidRPr="00CE47F3">
        <w:rPr>
          <w:b/>
          <w:color w:val="000000"/>
          <w:szCs w:val="24"/>
        </w:rPr>
        <w:t xml:space="preserve">los principios de sencillez, rapidez y gratuidad </w:t>
      </w:r>
      <w:r w:rsidRPr="00CE47F3">
        <w:rPr>
          <w:color w:val="000000"/>
          <w:szCs w:val="24"/>
        </w:rPr>
        <w:t xml:space="preserve">establecidos por la Ley de Transparencia y Acceso a la Información Pública del Estado de México y Municipios, toda vez que </w:t>
      </w:r>
      <w:r>
        <w:rPr>
          <w:color w:val="000000"/>
          <w:szCs w:val="24"/>
        </w:rPr>
        <w:t>no se demoraría</w:t>
      </w:r>
      <w:r w:rsidRPr="00CE47F3">
        <w:rPr>
          <w:color w:val="000000"/>
          <w:szCs w:val="24"/>
        </w:rPr>
        <w:t xml:space="preserve"> los plazos del procedimiento y </w:t>
      </w:r>
      <w:r>
        <w:rPr>
          <w:color w:val="000000"/>
          <w:szCs w:val="24"/>
        </w:rPr>
        <w:t xml:space="preserve"> por tanto no se </w:t>
      </w:r>
      <w:r w:rsidRPr="00CE47F3">
        <w:rPr>
          <w:color w:val="000000"/>
          <w:szCs w:val="24"/>
        </w:rPr>
        <w:t>generaría una carga adicional al Sujeto Obligado.</w:t>
      </w:r>
      <w:r w:rsidR="000C05AB">
        <w:rPr>
          <w:color w:val="000000"/>
          <w:szCs w:val="24"/>
        </w:rPr>
        <w:t xml:space="preserve"> </w:t>
      </w:r>
    </w:p>
    <w:p w14:paraId="7B26F73E" w14:textId="36A7D95C" w:rsidR="00CE47F3" w:rsidRPr="00CE47F3" w:rsidRDefault="000C05AB" w:rsidP="00CE47F3">
      <w:pPr>
        <w:rPr>
          <w:color w:val="000000"/>
          <w:szCs w:val="24"/>
        </w:rPr>
      </w:pPr>
      <w:r>
        <w:rPr>
          <w:color w:val="000000"/>
          <w:szCs w:val="24"/>
        </w:rPr>
        <w:lastRenderedPageBreak/>
        <w:t>Sin pasar por desapercibido que si bien el Recurrente manifestó que proporcionaría una unidad USB para que se le facilitaría la información en comento</w:t>
      </w:r>
      <w:r w:rsidR="007B2FCB">
        <w:rPr>
          <w:color w:val="000000"/>
          <w:szCs w:val="24"/>
        </w:rPr>
        <w:t xml:space="preserve"> también lo es que para un mejor proveer la información </w:t>
      </w:r>
      <w:r w:rsidR="007B2FCB" w:rsidRPr="007B2FCB">
        <w:rPr>
          <w:color w:val="000000"/>
          <w:szCs w:val="24"/>
        </w:rPr>
        <w:t>será entregada por medio del Sistema de Acceso a la Información Mexiquense (</w:t>
      </w:r>
      <w:proofErr w:type="spellStart"/>
      <w:r w:rsidR="007B2FCB" w:rsidRPr="007B2FCB">
        <w:rPr>
          <w:color w:val="000000"/>
          <w:szCs w:val="24"/>
        </w:rPr>
        <w:t>SAIMEX</w:t>
      </w:r>
      <w:proofErr w:type="spellEnd"/>
      <w:r w:rsidR="007B2FCB" w:rsidRPr="007B2FCB">
        <w:rPr>
          <w:color w:val="000000"/>
          <w:szCs w:val="24"/>
        </w:rPr>
        <w:t>)</w:t>
      </w:r>
      <w:r w:rsidR="007B2FCB">
        <w:rPr>
          <w:color w:val="000000"/>
          <w:szCs w:val="24"/>
        </w:rPr>
        <w:t xml:space="preserve">, pues el Recurrente podrá descargar la información y almacenarla en la unidad extraíble referida. </w:t>
      </w:r>
    </w:p>
    <w:p w14:paraId="20E7F625" w14:textId="77777777" w:rsidR="00CE47F3" w:rsidRPr="00CE47F3" w:rsidRDefault="00CE47F3" w:rsidP="00CE47F3">
      <w:pPr>
        <w:rPr>
          <w:color w:val="000000"/>
          <w:szCs w:val="24"/>
        </w:rPr>
      </w:pPr>
    </w:p>
    <w:p w14:paraId="46CE3487" w14:textId="52D81C0B" w:rsidR="00CE47F3" w:rsidRDefault="00CE47F3" w:rsidP="00CE47F3">
      <w:pPr>
        <w:rPr>
          <w:color w:val="000000"/>
          <w:szCs w:val="24"/>
        </w:rPr>
      </w:pPr>
      <w:r w:rsidRPr="00CE47F3">
        <w:rPr>
          <w:color w:val="000000"/>
          <w:szCs w:val="24"/>
        </w:rPr>
        <w:t xml:space="preserve"> Asimismo, cabe precisar que </w:t>
      </w:r>
      <w:r w:rsidRPr="00CE47F3">
        <w:rPr>
          <w:b/>
          <w:color w:val="000000"/>
          <w:szCs w:val="24"/>
        </w:rPr>
        <w:t>la copia simple, equivale a la reproducción literal de un documento,</w:t>
      </w:r>
      <w:r w:rsidRPr="00CE47F3">
        <w:rPr>
          <w:color w:val="000000"/>
          <w:szCs w:val="24"/>
        </w:rPr>
        <w:t xml:space="preserve"> situación que de la misma manera sería la digitalización de este, por lo que, al obtener la información requerida través Sistema de Acceso a la Información Mexiquense (</w:t>
      </w:r>
      <w:proofErr w:type="spellStart"/>
      <w:r w:rsidRPr="00CE47F3">
        <w:rPr>
          <w:color w:val="000000"/>
          <w:szCs w:val="24"/>
        </w:rPr>
        <w:t>SAIMEX</w:t>
      </w:r>
      <w:proofErr w:type="spellEnd"/>
      <w:r w:rsidRPr="00CE47F3">
        <w:rPr>
          <w:color w:val="000000"/>
          <w:szCs w:val="24"/>
        </w:rPr>
        <w:t>), el Recurrente puede imprimir dicha documentación para tenerla en el formato requerido.</w:t>
      </w:r>
    </w:p>
    <w:p w14:paraId="47B8ADEF" w14:textId="77777777" w:rsidR="0004731B" w:rsidRDefault="0004731B" w:rsidP="00CE47F3">
      <w:pPr>
        <w:rPr>
          <w:color w:val="000000"/>
          <w:szCs w:val="24"/>
        </w:rPr>
      </w:pPr>
    </w:p>
    <w:p w14:paraId="1A9C8141" w14:textId="467AC930" w:rsidR="00A316C2" w:rsidRDefault="00A316C2" w:rsidP="00CE47F3">
      <w:pPr>
        <w:rPr>
          <w:rFonts w:cs="Arial"/>
          <w:bCs/>
          <w:szCs w:val="24"/>
        </w:rPr>
      </w:pPr>
      <w:r>
        <w:rPr>
          <w:color w:val="000000"/>
          <w:szCs w:val="24"/>
        </w:rPr>
        <w:t xml:space="preserve">De lo anterior no pasa desapercibido por este Instituto que el Sujeto Obligado rindió su informe justificado mediante el archivo electrónico </w:t>
      </w:r>
      <w:r w:rsidRPr="00A316C2">
        <w:rPr>
          <w:rFonts w:cs="Arial"/>
          <w:b/>
          <w:bCs/>
          <w:i/>
          <w:szCs w:val="24"/>
        </w:rPr>
        <w:t>Informe Justificado RR07060-2024.pdf</w:t>
      </w:r>
      <w:r>
        <w:rPr>
          <w:rFonts w:cs="Arial"/>
          <w:b/>
          <w:bCs/>
          <w:i/>
          <w:szCs w:val="24"/>
        </w:rPr>
        <w:t xml:space="preserve"> </w:t>
      </w:r>
      <w:r>
        <w:rPr>
          <w:rFonts w:cs="Arial"/>
          <w:bCs/>
          <w:szCs w:val="24"/>
        </w:rPr>
        <w:t xml:space="preserve">del cual se advierte ratifica su respuesta primigenia. </w:t>
      </w:r>
    </w:p>
    <w:p w14:paraId="6F8502A3" w14:textId="77777777" w:rsidR="00A316C2" w:rsidRPr="00A316C2" w:rsidRDefault="00A316C2" w:rsidP="00CE47F3">
      <w:pPr>
        <w:rPr>
          <w:color w:val="000000"/>
          <w:szCs w:val="24"/>
        </w:rPr>
      </w:pPr>
    </w:p>
    <w:p w14:paraId="00E40574" w14:textId="5D77E3D8" w:rsidR="00511260" w:rsidRPr="006537E2" w:rsidRDefault="00511260" w:rsidP="006537E2">
      <w:pPr>
        <w:tabs>
          <w:tab w:val="left" w:pos="709"/>
        </w:tabs>
        <w:contextualSpacing/>
        <w:rPr>
          <w:rFonts w:cs="Arial"/>
        </w:rPr>
      </w:pPr>
      <w:r>
        <w:rPr>
          <w:rFonts w:cs="Arial"/>
        </w:rPr>
        <w:t xml:space="preserve">De lo anterior se debe </w:t>
      </w:r>
      <w:r w:rsidRPr="00B7320F">
        <w:rPr>
          <w:rFonts w:cs="Arial"/>
        </w:rPr>
        <w:t>señalar que el artículo 4, párrafo segundo de la Ley de Transparencia y Acceso a la Información Pública del Estado de México y Municipios, dispone:</w:t>
      </w:r>
    </w:p>
    <w:p w14:paraId="46B1EB7D" w14:textId="77777777" w:rsidR="00511260" w:rsidRPr="00B7320F" w:rsidRDefault="00511260" w:rsidP="00511260">
      <w:pPr>
        <w:ind w:left="567" w:right="616"/>
        <w:rPr>
          <w:rFonts w:cs="Arial"/>
          <w:i/>
          <w:sz w:val="22"/>
        </w:rPr>
      </w:pPr>
      <w:r w:rsidRPr="00B7320F">
        <w:rPr>
          <w:rFonts w:cs="Arial"/>
          <w:i/>
          <w:sz w:val="22"/>
        </w:rPr>
        <w:t>“</w:t>
      </w:r>
      <w:r w:rsidRPr="00B7320F">
        <w:rPr>
          <w:rFonts w:cs="Arial"/>
          <w:b/>
          <w:i/>
          <w:sz w:val="22"/>
        </w:rPr>
        <w:t xml:space="preserve">Artículo 4. </w:t>
      </w:r>
      <w:r w:rsidRPr="00B7320F">
        <w:rPr>
          <w:rFonts w:cs="Arial"/>
          <w:i/>
          <w:sz w:val="22"/>
        </w:rPr>
        <w:t xml:space="preserve">… </w:t>
      </w:r>
    </w:p>
    <w:p w14:paraId="32A3E4AB" w14:textId="77777777" w:rsidR="00511260" w:rsidRPr="00B7320F" w:rsidRDefault="00511260" w:rsidP="00511260">
      <w:pPr>
        <w:ind w:left="567" w:right="616"/>
        <w:rPr>
          <w:rFonts w:cs="Arial"/>
          <w:i/>
          <w:sz w:val="22"/>
        </w:rPr>
      </w:pPr>
      <w:r w:rsidRPr="00B7320F">
        <w:rPr>
          <w:rFonts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w:t>
      </w:r>
      <w:r w:rsidRPr="00B7320F">
        <w:rPr>
          <w:rFonts w:cs="Arial"/>
          <w:i/>
          <w:sz w:val="22"/>
        </w:rPr>
        <w:lastRenderedPageBreak/>
        <w:t>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4883349" w14:textId="77777777" w:rsidR="00511260" w:rsidRPr="00B7320F" w:rsidRDefault="00511260" w:rsidP="00511260">
      <w:pPr>
        <w:tabs>
          <w:tab w:val="left" w:pos="709"/>
        </w:tabs>
        <w:contextualSpacing/>
        <w:rPr>
          <w:rFonts w:cs="Arial"/>
        </w:rPr>
      </w:pPr>
    </w:p>
    <w:p w14:paraId="08245615" w14:textId="77777777" w:rsidR="00511260" w:rsidRDefault="00511260" w:rsidP="00511260">
      <w:pPr>
        <w:tabs>
          <w:tab w:val="left" w:pos="709"/>
        </w:tabs>
        <w:contextualSpacing/>
        <w:rPr>
          <w:rFonts w:cs="Arial"/>
        </w:rPr>
      </w:pPr>
      <w:r w:rsidRPr="00B7320F">
        <w:rPr>
          <w:rFonts w:cs="Aria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75071FF1" w14:textId="77777777" w:rsidR="00511260" w:rsidRPr="00B7320F" w:rsidRDefault="00511260" w:rsidP="00511260">
      <w:pPr>
        <w:tabs>
          <w:tab w:val="left" w:pos="709"/>
        </w:tabs>
        <w:contextualSpacing/>
        <w:rPr>
          <w:rFonts w:cs="Arial"/>
        </w:rPr>
      </w:pPr>
    </w:p>
    <w:p w14:paraId="0D0E6F2D" w14:textId="55098777" w:rsidR="00511260" w:rsidRPr="00CE4896" w:rsidRDefault="00511260" w:rsidP="00CE4896">
      <w:pPr>
        <w:tabs>
          <w:tab w:val="left" w:pos="709"/>
        </w:tabs>
        <w:contextualSpacing/>
        <w:rPr>
          <w:rFonts w:cs="Arial"/>
        </w:rPr>
      </w:pPr>
      <w:r w:rsidRPr="00B7320F">
        <w:rPr>
          <w:rFonts w:cs="Arial"/>
        </w:rPr>
        <w:t xml:space="preserve">En esta misma tesitura, el derecho de acceso a la información pública, consiste en que la información solicitada conste en un soporte documental en cualquiera de sus formas, a saber: </w:t>
      </w:r>
      <w:r w:rsidRPr="00B7320F">
        <w:rPr>
          <w:rFonts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B7320F">
        <w:rPr>
          <w:rFonts w:cs="Arial"/>
        </w:rPr>
        <w:t xml:space="preserve"> de los Sujetos Obligados; los que, podrán estar en cualquier medio, sea escrito, impreso, sonoro, visual, electrónico, informático u holográfico, de conformidad con el artículo 3, fracción XI, de la Ley de la materia,</w:t>
      </w:r>
      <w:r w:rsidR="00CE4896">
        <w:rPr>
          <w:rFonts w:cs="Arial"/>
        </w:rPr>
        <w:t xml:space="preserve"> el cual dispone lo siguiente: </w:t>
      </w:r>
    </w:p>
    <w:p w14:paraId="7DCBBF0D" w14:textId="77777777" w:rsidR="00511260" w:rsidRPr="00B7320F" w:rsidRDefault="00511260" w:rsidP="00511260">
      <w:pPr>
        <w:ind w:left="567" w:right="616"/>
        <w:rPr>
          <w:rFonts w:cs="Arial"/>
          <w:i/>
          <w:sz w:val="22"/>
        </w:rPr>
      </w:pPr>
      <w:r w:rsidRPr="00B7320F">
        <w:rPr>
          <w:rFonts w:cs="Arial"/>
          <w:i/>
          <w:sz w:val="22"/>
        </w:rPr>
        <w:t>“</w:t>
      </w:r>
      <w:r w:rsidRPr="00B7320F">
        <w:rPr>
          <w:rFonts w:cs="Arial"/>
          <w:b/>
          <w:i/>
          <w:sz w:val="22"/>
        </w:rPr>
        <w:t xml:space="preserve">Artículo 3. </w:t>
      </w:r>
      <w:r w:rsidRPr="00B7320F">
        <w:rPr>
          <w:rFonts w:cs="Arial"/>
          <w:i/>
          <w:sz w:val="22"/>
        </w:rPr>
        <w:t>Para los efectos de la presente Ley se entenderá por:</w:t>
      </w:r>
    </w:p>
    <w:p w14:paraId="0C6D4E49" w14:textId="77777777" w:rsidR="00511260" w:rsidRPr="00B7320F" w:rsidRDefault="00511260" w:rsidP="00511260">
      <w:pPr>
        <w:ind w:left="567" w:right="616"/>
        <w:rPr>
          <w:rFonts w:cs="Arial"/>
          <w:i/>
          <w:sz w:val="22"/>
        </w:rPr>
      </w:pPr>
      <w:r w:rsidRPr="00B7320F">
        <w:rPr>
          <w:rFonts w:cs="Arial"/>
          <w:i/>
          <w:sz w:val="22"/>
        </w:rPr>
        <w:t>(…)</w:t>
      </w:r>
    </w:p>
    <w:p w14:paraId="58610409" w14:textId="77777777" w:rsidR="00511260" w:rsidRPr="00B7320F" w:rsidRDefault="00511260" w:rsidP="00511260">
      <w:pPr>
        <w:ind w:left="567" w:right="616"/>
        <w:rPr>
          <w:rFonts w:cs="Arial"/>
          <w:i/>
          <w:sz w:val="22"/>
        </w:rPr>
      </w:pPr>
      <w:r w:rsidRPr="00B7320F">
        <w:rPr>
          <w:rFonts w:cs="Arial"/>
          <w:b/>
          <w:i/>
          <w:sz w:val="22"/>
        </w:rPr>
        <w:t>XI. Documento:</w:t>
      </w:r>
      <w:r w:rsidRPr="00B7320F">
        <w:rPr>
          <w:rFonts w:cs="Arial"/>
          <w:i/>
          <w:sz w:val="22"/>
        </w:rPr>
        <w:t xml:space="preserve"> Los expedientes, reportes, estudios, actas, resoluciones, oficios, correspondencia, acuerdos, directivas, directrices, circulares, contratos, convenios, instructivos, notas, memorandos, estadísticas o bien, cualquier otro </w:t>
      </w:r>
      <w:r w:rsidRPr="00B7320F">
        <w:rPr>
          <w:rFonts w:cs="Arial"/>
          <w:b/>
          <w:i/>
          <w:sz w:val="22"/>
          <w:u w:val="single"/>
        </w:rPr>
        <w:t>registro que documente el ejercicio de las facultades, funciones y competencias de los sujetos obligados</w:t>
      </w:r>
      <w:r w:rsidRPr="00B7320F">
        <w:rPr>
          <w:rFonts w:cs="Arial"/>
          <w:i/>
          <w:sz w:val="22"/>
          <w:u w:val="single"/>
        </w:rPr>
        <w:t>,</w:t>
      </w:r>
      <w:r w:rsidRPr="00B7320F">
        <w:rPr>
          <w:rFonts w:cs="Arial"/>
          <w:i/>
          <w:sz w:val="22"/>
        </w:rPr>
        <w:t xml:space="preserve"> sus servidores públicos e integrantes, </w:t>
      </w:r>
      <w:r w:rsidRPr="00B7320F">
        <w:rPr>
          <w:rFonts w:cs="Arial"/>
          <w:b/>
          <w:i/>
          <w:sz w:val="22"/>
          <w:u w:val="single"/>
        </w:rPr>
        <w:t>sin importar su fuente o fecha de elaboración.</w:t>
      </w:r>
      <w:r w:rsidRPr="00B7320F">
        <w:rPr>
          <w:rFonts w:cs="Arial"/>
          <w:i/>
          <w:sz w:val="22"/>
        </w:rPr>
        <w:t xml:space="preserve"> Los </w:t>
      </w:r>
      <w:r w:rsidRPr="00B7320F">
        <w:rPr>
          <w:rFonts w:cs="Arial"/>
          <w:i/>
          <w:sz w:val="22"/>
        </w:rPr>
        <w:lastRenderedPageBreak/>
        <w:t>documentos podrán estar en cualquier medio, sea escrito, impreso, sonoro, visual, electrónico, informático u holográfico;</w:t>
      </w:r>
    </w:p>
    <w:p w14:paraId="0BA68671" w14:textId="5D033DD3" w:rsidR="00511260" w:rsidRPr="00CF7459" w:rsidRDefault="00511260" w:rsidP="00CF7459">
      <w:pPr>
        <w:ind w:left="567" w:right="616"/>
        <w:rPr>
          <w:rFonts w:cs="Arial"/>
          <w:i/>
          <w:sz w:val="22"/>
        </w:rPr>
      </w:pPr>
      <w:r w:rsidRPr="00B7320F">
        <w:rPr>
          <w:rFonts w:cs="Arial"/>
          <w:i/>
          <w:sz w:val="22"/>
        </w:rPr>
        <w:t>(…)”</w:t>
      </w:r>
    </w:p>
    <w:p w14:paraId="46E094D8" w14:textId="77777777" w:rsidR="00FE13EF" w:rsidRDefault="00FE13EF" w:rsidP="00511260">
      <w:pPr>
        <w:spacing w:before="240" w:after="240"/>
        <w:ind w:right="49"/>
        <w:contextualSpacing/>
        <w:rPr>
          <w:rFonts w:cs="Arial"/>
        </w:rPr>
      </w:pPr>
    </w:p>
    <w:p w14:paraId="6BA6BC53" w14:textId="12F57ECC" w:rsidR="00511260" w:rsidRDefault="00511260" w:rsidP="00511260">
      <w:pPr>
        <w:spacing w:before="240" w:after="240"/>
        <w:ind w:right="49"/>
        <w:contextualSpacing/>
        <w:rPr>
          <w:rFonts w:eastAsia="MS Mincho"/>
        </w:rPr>
      </w:pPr>
      <w:r w:rsidRPr="00B7320F">
        <w:rPr>
          <w:rFonts w:cs="Arial"/>
        </w:rPr>
        <w:t xml:space="preserve">Además, </w:t>
      </w:r>
      <w:r w:rsidRPr="00B7320F">
        <w:rPr>
          <w:rFonts w:eastAsia="MS Mincho"/>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699EC083" w14:textId="77777777" w:rsidR="00CE4896" w:rsidRPr="006A187E" w:rsidRDefault="00CE4896" w:rsidP="00511260">
      <w:pPr>
        <w:spacing w:before="240" w:after="240"/>
        <w:ind w:right="49"/>
        <w:contextualSpacing/>
        <w:rPr>
          <w:rFonts w:eastAsia="MS Mincho"/>
        </w:rPr>
      </w:pPr>
    </w:p>
    <w:p w14:paraId="7693AF8A" w14:textId="77777777" w:rsidR="00511260" w:rsidRPr="006A187E" w:rsidRDefault="00511260" w:rsidP="00511260">
      <w:pPr>
        <w:spacing w:before="240" w:after="240"/>
        <w:ind w:right="49"/>
        <w:contextualSpacing/>
        <w:rPr>
          <w:rFonts w:eastAsia="MS Mincho" w:cs="Tahoma"/>
        </w:rPr>
      </w:pPr>
      <w:r w:rsidRPr="00B7320F">
        <w:rPr>
          <w:rFonts w:cs="Arial"/>
        </w:rPr>
        <w:t xml:space="preserve">De la misma forma, </w:t>
      </w:r>
      <w:r w:rsidRPr="00B7320F">
        <w:rPr>
          <w:rFonts w:eastAsia="MS Mincho"/>
        </w:rPr>
        <w:t>de acuerdo al contenido del artículo 160,</w:t>
      </w:r>
      <w:r w:rsidRPr="00B7320F">
        <w:rPr>
          <w:rFonts w:cs="Arial"/>
        </w:rPr>
        <w:t xml:space="preserve"> de la Ley </w:t>
      </w:r>
      <w:r w:rsidRPr="00B7320F">
        <w:rPr>
          <w:rFonts w:eastAsia="MS Mincho" w:cs="Tahoma"/>
        </w:rPr>
        <w:t>General de Transparencia y Acceso a la Información Pública que a la letra dispone:</w:t>
      </w:r>
    </w:p>
    <w:p w14:paraId="1AC236D9" w14:textId="77777777" w:rsidR="00511260" w:rsidRPr="00B7320F" w:rsidRDefault="00511260" w:rsidP="00511260">
      <w:pPr>
        <w:ind w:left="567" w:right="616"/>
        <w:contextualSpacing/>
        <w:rPr>
          <w:rFonts w:cs="Arial"/>
          <w:i/>
          <w:sz w:val="22"/>
          <w:lang w:eastAsia="gl-ES"/>
        </w:rPr>
      </w:pPr>
      <w:r w:rsidRPr="00B7320F">
        <w:rPr>
          <w:rFonts w:cs="Arial"/>
          <w:b/>
          <w:i/>
          <w:sz w:val="22"/>
          <w:lang w:eastAsia="gl-ES"/>
        </w:rPr>
        <w:t>Artículo 160</w:t>
      </w:r>
      <w:r w:rsidRPr="00B7320F">
        <w:rPr>
          <w:rFonts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6F0E0AD5" w14:textId="77777777" w:rsidR="0004731B" w:rsidRDefault="0004731B" w:rsidP="00511260">
      <w:pPr>
        <w:rPr>
          <w:rFonts w:eastAsiaTheme="minorHAnsi" w:cs="Arial"/>
          <w:lang w:val="es-MX" w:eastAsia="en-US"/>
        </w:rPr>
      </w:pPr>
    </w:p>
    <w:p w14:paraId="48E89308" w14:textId="7DB3FD68" w:rsidR="006625FA" w:rsidRDefault="006625FA" w:rsidP="006625FA">
      <w:pPr>
        <w:pBdr>
          <w:top w:val="nil"/>
          <w:left w:val="nil"/>
          <w:bottom w:val="nil"/>
          <w:right w:val="nil"/>
          <w:between w:val="nil"/>
        </w:pBdr>
        <w:ind w:right="-150"/>
        <w:rPr>
          <w:rFonts w:eastAsia="Palatino Linotype" w:cs="Palatino Linotype"/>
        </w:rPr>
      </w:pPr>
      <w:r>
        <w:rPr>
          <w:rFonts w:eastAsia="Palatino Linotype" w:cs="Palatino Linotype"/>
        </w:rPr>
        <w:lastRenderedPageBreak/>
        <w:t xml:space="preserve">De lo anterior, en principio se advierte que el </w:t>
      </w:r>
      <w:r>
        <w:rPr>
          <w:rFonts w:eastAsia="Palatino Linotype" w:cs="Palatino Linotype"/>
          <w:b/>
        </w:rPr>
        <w:t>Sujeto Obligado</w:t>
      </w:r>
      <w:r>
        <w:rPr>
          <w:rFonts w:eastAsia="Palatino Linotype" w:cs="Palatino Linotype"/>
        </w:rPr>
        <w:t xml:space="preserve"> asume contar con la información requerida, al requerir al particular efectuar el cobro de la información requerida por el escaneo y digitalización,</w:t>
      </w:r>
      <w:r w:rsidR="00CE4896">
        <w:rPr>
          <w:rFonts w:eastAsia="Palatino Linotype" w:cs="Palatino Linotype"/>
        </w:rPr>
        <w:t xml:space="preserve"> por lo que el estudio se obvia al aceptar que genera posee y administra la información requerida por el Recurrente</w:t>
      </w:r>
      <w:r>
        <w:rPr>
          <w:rFonts w:eastAsia="Palatino Linotype" w:cs="Palatino Linotype"/>
        </w:rPr>
        <w:t xml:space="preserve"> para proceder a su entrega; situación de la que resulta procedente hacer valer las siguientes consideraciones:</w:t>
      </w:r>
    </w:p>
    <w:p w14:paraId="1D5D88CD" w14:textId="77777777" w:rsidR="006625FA" w:rsidRDefault="006625FA" w:rsidP="006625FA">
      <w:pPr>
        <w:pBdr>
          <w:top w:val="nil"/>
          <w:left w:val="nil"/>
          <w:bottom w:val="nil"/>
          <w:right w:val="nil"/>
          <w:between w:val="nil"/>
        </w:pBdr>
        <w:ind w:right="-150"/>
        <w:rPr>
          <w:rFonts w:eastAsia="Palatino Linotype" w:cs="Palatino Linotype"/>
        </w:rPr>
      </w:pPr>
    </w:p>
    <w:p w14:paraId="2855F3B8" w14:textId="77777777" w:rsidR="006625FA" w:rsidRDefault="006625FA" w:rsidP="006625FA">
      <w:pPr>
        <w:ind w:right="51"/>
        <w:rPr>
          <w:rFonts w:eastAsia="Palatino Linotype" w:cs="Palatino Linotype"/>
        </w:rPr>
      </w:pPr>
      <w:r>
        <w:rPr>
          <w:rFonts w:eastAsia="Palatino Linotype" w:cs="Palatino Linotype"/>
        </w:rPr>
        <w:t xml:space="preserve">Ahora bien, respecto al cobro pretendido por el </w:t>
      </w:r>
      <w:r>
        <w:rPr>
          <w:rFonts w:eastAsia="Palatino Linotype" w:cs="Palatino Linotype"/>
          <w:b/>
        </w:rPr>
        <w:t xml:space="preserve">Sujeto Obligado, </w:t>
      </w:r>
      <w:r>
        <w:rPr>
          <w:rFonts w:eastAsia="Palatino Linotype" w:cs="Palatino Linotype"/>
        </w:rPr>
        <w:t xml:space="preserve">para la entrega de la información, es de suma importancia mencionar que el ejercicio del derecho de acceso a la información, conlleva la observación de principios rectores que consisten en las bases, fundamentos o los parámetros  fundamentales que permitan el ejercicio de la garantía que posee toda persona para atraerse de información, informar y ser informada, estableciéndose de manera genérica, los principios de acceso universal, de máxima publicidad,  de </w:t>
      </w:r>
      <w:r>
        <w:rPr>
          <w:rFonts w:eastAsia="Palatino Linotype" w:cs="Palatino Linotype"/>
          <w:b/>
        </w:rPr>
        <w:t>gratuidad</w:t>
      </w:r>
      <w:r>
        <w:rPr>
          <w:rFonts w:eastAsia="Palatino Linotype" w:cs="Palatino Linotype"/>
        </w:rPr>
        <w:t>, de certeza, de celeridad, de objetividad, entre otros.</w:t>
      </w:r>
    </w:p>
    <w:p w14:paraId="0473AC1E" w14:textId="77777777" w:rsidR="006625FA" w:rsidRDefault="006625FA" w:rsidP="006625FA">
      <w:pPr>
        <w:ind w:right="51"/>
      </w:pPr>
    </w:p>
    <w:p w14:paraId="649EBF4E" w14:textId="77777777" w:rsidR="006625FA" w:rsidRDefault="006625FA" w:rsidP="006625FA">
      <w:pPr>
        <w:pBdr>
          <w:top w:val="nil"/>
          <w:left w:val="nil"/>
          <w:bottom w:val="nil"/>
          <w:right w:val="nil"/>
          <w:between w:val="nil"/>
        </w:pBdr>
        <w:rPr>
          <w:rFonts w:eastAsia="Palatino Linotype" w:cs="Palatino Linotype"/>
        </w:rPr>
      </w:pPr>
      <w:r>
        <w:rPr>
          <w:rFonts w:eastAsia="Palatino Linotype" w:cs="Palatino Linotype"/>
        </w:rPr>
        <w:t>Así, a través del principio de gratuidad del acceso a la información pública, se busca que el mayor número posible de personas pueda ejercer el derecho fundamental de acceso a la información, con la finalidad de que la condición económica de las personas, no constituya un obstáculo para el ejercicio de acceso a la información, o bien y en virtud de la modalidad de acceso a la información solicitada, su costo represente una barrera fácilmente franqueable. </w:t>
      </w:r>
    </w:p>
    <w:p w14:paraId="391E0D52" w14:textId="77777777" w:rsidR="006625FA" w:rsidRDefault="006625FA" w:rsidP="006625FA">
      <w:pPr>
        <w:pBdr>
          <w:top w:val="nil"/>
          <w:left w:val="nil"/>
          <w:bottom w:val="nil"/>
          <w:right w:val="nil"/>
          <w:between w:val="nil"/>
        </w:pBdr>
        <w:rPr>
          <w:rFonts w:eastAsia="Palatino Linotype" w:cs="Palatino Linotype"/>
        </w:rPr>
      </w:pPr>
    </w:p>
    <w:p w14:paraId="6800714C" w14:textId="604A6BD2" w:rsidR="006625FA" w:rsidRDefault="006625FA" w:rsidP="006625FA">
      <w:pPr>
        <w:pBdr>
          <w:top w:val="nil"/>
          <w:left w:val="nil"/>
          <w:bottom w:val="nil"/>
          <w:right w:val="nil"/>
          <w:between w:val="nil"/>
        </w:pBdr>
        <w:rPr>
          <w:rFonts w:eastAsia="Palatino Linotype" w:cs="Palatino Linotype"/>
        </w:rPr>
      </w:pPr>
      <w:r>
        <w:rPr>
          <w:rFonts w:eastAsia="Palatino Linotype" w:cs="Palatino Linotype"/>
        </w:rPr>
        <w:t xml:space="preserve">En razón de este principio, se instituye que la consulta de documentos o información en el sitio donde se encontrare no tendrá costo alguno; asimismo, los costos por obtener información no podrán ser superiores a la suma del costo de los materiales utilizados </w:t>
      </w:r>
      <w:r>
        <w:rPr>
          <w:rFonts w:eastAsia="Palatino Linotype" w:cs="Palatino Linotype"/>
        </w:rPr>
        <w:lastRenderedPageBreak/>
        <w:t xml:space="preserve">para la </w:t>
      </w:r>
      <w:r>
        <w:rPr>
          <w:rFonts w:eastAsia="Palatino Linotype" w:cs="Palatino Linotype"/>
          <w:b/>
        </w:rPr>
        <w:t>reproducción</w:t>
      </w:r>
      <w:r>
        <w:rPr>
          <w:rFonts w:eastAsia="Palatino Linotype" w:cs="Palatino Linotype"/>
        </w:rPr>
        <w:t xml:space="preserve"> de la información, y en su caso del costo de </w:t>
      </w:r>
      <w:r>
        <w:rPr>
          <w:rFonts w:eastAsia="Palatino Linotype" w:cs="Palatino Linotype"/>
          <w:b/>
        </w:rPr>
        <w:t>envío</w:t>
      </w:r>
      <w:r>
        <w:rPr>
          <w:rFonts w:eastAsia="Palatino Linotype" w:cs="Palatino Linotype"/>
        </w:rPr>
        <w:t>, finalmente, conlleva implícitamente un esfuerzo por parte de los Sujetos Obligados para reducir los costos de entrega de la información.</w:t>
      </w:r>
    </w:p>
    <w:p w14:paraId="7E7B1EA2" w14:textId="77777777" w:rsidR="002E43C4" w:rsidRDefault="002E43C4" w:rsidP="006625FA">
      <w:pPr>
        <w:pBdr>
          <w:top w:val="nil"/>
          <w:left w:val="nil"/>
          <w:bottom w:val="nil"/>
          <w:right w:val="nil"/>
          <w:between w:val="nil"/>
        </w:pBdr>
        <w:rPr>
          <w:rFonts w:eastAsia="Palatino Linotype" w:cs="Palatino Linotype"/>
        </w:rPr>
      </w:pPr>
    </w:p>
    <w:p w14:paraId="74076C77" w14:textId="77777777" w:rsidR="006625FA" w:rsidRDefault="006625FA" w:rsidP="006625FA">
      <w:pPr>
        <w:pBdr>
          <w:top w:val="nil"/>
          <w:left w:val="nil"/>
          <w:bottom w:val="nil"/>
          <w:right w:val="nil"/>
          <w:between w:val="nil"/>
        </w:pBdr>
        <w:rPr>
          <w:rFonts w:eastAsia="Palatino Linotype" w:cs="Palatino Linotype"/>
        </w:rPr>
      </w:pPr>
      <w:r>
        <w:rPr>
          <w:rFonts w:eastAsia="Palatino Linotype" w:cs="Palatino Linotype"/>
        </w:rPr>
        <w:t xml:space="preserve">Atento a lo anterior, nuestra Carta Magna, así como la Constitución Política de nuestro Estado, </w:t>
      </w:r>
      <w:r w:rsidRPr="00253F4B">
        <w:rPr>
          <w:rFonts w:eastAsia="Palatino Linotype" w:cs="Palatino Linotype"/>
          <w:b/>
        </w:rPr>
        <w:t>contemplan el ejercicio del derecho de acceso a la información bajo el principio de gratuidad</w:t>
      </w:r>
      <w:r>
        <w:rPr>
          <w:rFonts w:eastAsia="Palatino Linotype" w:cs="Palatino Linotype"/>
        </w:rPr>
        <w:t>, garantizando la protección a un derecho fundamental que tienen dimensión social, al ser un condicionante necesario para el funcionamiento de una sociedad democrática, por lo que cualquier afectación a éste exige una justificación y jamás puede tener efectos recaudatorios, al menos que la reproducción de la información sea en fotocopias, respaldos informativos, entre otros.</w:t>
      </w:r>
    </w:p>
    <w:p w14:paraId="5BD8F4BC" w14:textId="77777777" w:rsidR="006625FA" w:rsidRDefault="006625FA" w:rsidP="006625FA">
      <w:pPr>
        <w:pBdr>
          <w:top w:val="nil"/>
          <w:left w:val="nil"/>
          <w:bottom w:val="nil"/>
          <w:right w:val="nil"/>
          <w:between w:val="nil"/>
        </w:pBdr>
        <w:rPr>
          <w:rFonts w:eastAsia="Palatino Linotype" w:cs="Palatino Linotype"/>
        </w:rPr>
      </w:pPr>
    </w:p>
    <w:p w14:paraId="2D31B288" w14:textId="77777777" w:rsidR="006625FA" w:rsidRDefault="006625FA" w:rsidP="006625FA">
      <w:pPr>
        <w:pBdr>
          <w:top w:val="nil"/>
          <w:left w:val="nil"/>
          <w:bottom w:val="nil"/>
          <w:right w:val="nil"/>
          <w:between w:val="nil"/>
        </w:pBdr>
        <w:rPr>
          <w:rFonts w:eastAsia="Palatino Linotype" w:cs="Palatino Linotype"/>
        </w:rPr>
      </w:pPr>
      <w:r>
        <w:rPr>
          <w:rFonts w:eastAsia="Palatino Linotype" w:cs="Palatino Linotype"/>
        </w:rPr>
        <w:t xml:space="preserve">Por otra parte, la Ley de Transparencia y Acceso a la Información Pública del Estado de México y Municipios, que tiene entre sus objetivos el de proveer lo necesario para garantizar a toda persona el derecho de acceso a la información pública, a través de procedimientos sencillos, expeditos, oportunos y </w:t>
      </w:r>
      <w:r>
        <w:rPr>
          <w:rFonts w:eastAsia="Palatino Linotype" w:cs="Palatino Linotype"/>
          <w:b/>
        </w:rPr>
        <w:t>gratuitos</w:t>
      </w:r>
      <w:r>
        <w:rPr>
          <w:rFonts w:eastAsia="Palatino Linotype" w:cs="Palatino Linotype"/>
        </w:rPr>
        <w:t xml:space="preserve">, refiere en los artículos 17 y 150, que la búsqueda y acceso a la información es gratuita y </w:t>
      </w:r>
      <w:r>
        <w:rPr>
          <w:rFonts w:eastAsia="Palatino Linotype" w:cs="Palatino Linotype"/>
          <w:b/>
        </w:rPr>
        <w:t xml:space="preserve">sólo se cubrirá en su caso, los gastos de reproducción, </w:t>
      </w:r>
      <w:r w:rsidRPr="00253F4B">
        <w:rPr>
          <w:rFonts w:eastAsia="Palatino Linotype" w:cs="Palatino Linotype"/>
          <w:b/>
          <w:i/>
          <w:u w:val="single"/>
        </w:rPr>
        <w:t>por la modalidad de entrega solicitada, o por el envío</w:t>
      </w:r>
      <w:r>
        <w:rPr>
          <w:rFonts w:eastAsia="Palatino Linotype" w:cs="Palatino Linotype"/>
        </w:rPr>
        <w:t xml:space="preserve"> de conformidad con los derechos, productos y aprovechamientos establecidos en la legislación aplicable, en razón de que el procedimiento de acceso a la información es la garantía primaria del derecho en cuestión y se rige por los principios de simplicidad, rapidez, gratuidad, auxilio y orientación a los particulares, en virtud de que constituye el primer paso para integrar activamente a la ciudadanía en la acción gubernamental, toda vez que con la información proporcionada por medio de las políticas de transparencia, </w:t>
      </w:r>
      <w:r>
        <w:rPr>
          <w:rFonts w:eastAsia="Palatino Linotype" w:cs="Palatino Linotype"/>
        </w:rPr>
        <w:lastRenderedPageBreak/>
        <w:t>los ciudadanos son partícipes de las acciones realizadas por los entes públicos, lo que favorece la rendición de cuentas.</w:t>
      </w:r>
    </w:p>
    <w:p w14:paraId="669AC3E6" w14:textId="77777777" w:rsidR="006625FA" w:rsidRDefault="006625FA" w:rsidP="006625FA">
      <w:pPr>
        <w:pBdr>
          <w:top w:val="nil"/>
          <w:left w:val="nil"/>
          <w:bottom w:val="nil"/>
          <w:right w:val="nil"/>
          <w:between w:val="nil"/>
        </w:pBdr>
        <w:rPr>
          <w:rFonts w:eastAsia="Palatino Linotype" w:cs="Palatino Linotype"/>
        </w:rPr>
      </w:pPr>
    </w:p>
    <w:p w14:paraId="5A5A4D1B" w14:textId="6B190BAE" w:rsidR="006625FA" w:rsidRDefault="006625FA" w:rsidP="006625FA">
      <w:pPr>
        <w:pBdr>
          <w:top w:val="nil"/>
          <w:left w:val="nil"/>
          <w:bottom w:val="nil"/>
          <w:right w:val="nil"/>
          <w:between w:val="nil"/>
        </w:pBdr>
        <w:rPr>
          <w:rFonts w:eastAsia="Palatino Linotype" w:cs="Palatino Linotype"/>
        </w:rPr>
      </w:pPr>
      <w:r>
        <w:rPr>
          <w:rFonts w:eastAsia="Palatino Linotype" w:cs="Palatino Linotype"/>
        </w:rPr>
        <w:t xml:space="preserve">En este tenor, por regla general la entrega de la información que se solicite en ejercicio del derecho de acceso a la información pública, deberá ser en congruencia con el principio de gratuidad y solamente en casos excepcionales se procederá al cobro para la entrega de la información, lo cual ocurrirá </w:t>
      </w:r>
      <w:r>
        <w:rPr>
          <w:rFonts w:eastAsia="Palatino Linotype" w:cs="Palatino Linotype"/>
          <w:b/>
        </w:rPr>
        <w:t>en caso de que se tenga que generar un gasto por la reproducción, por el envío, o por la modalidad de entrega solicitada</w:t>
      </w:r>
      <w:r>
        <w:rPr>
          <w:rFonts w:eastAsia="Palatino Linotype" w:cs="Palatino Linotype"/>
        </w:rPr>
        <w:t>, supuestos que encuadran con lo establecido en los artículos 9, fracción III, 17, 165, 174, 175 de la Ley de Acceso a la Información Pública del Es</w:t>
      </w:r>
      <w:r w:rsidR="00253F4B">
        <w:rPr>
          <w:rFonts w:eastAsia="Palatino Linotype" w:cs="Palatino Linotype"/>
        </w:rPr>
        <w:t>tado de México y Municipios.</w:t>
      </w:r>
    </w:p>
    <w:p w14:paraId="3AE2030E" w14:textId="77777777" w:rsidR="00253F4B" w:rsidRDefault="00253F4B" w:rsidP="006625FA">
      <w:pPr>
        <w:pBdr>
          <w:top w:val="nil"/>
          <w:left w:val="nil"/>
          <w:bottom w:val="nil"/>
          <w:right w:val="nil"/>
          <w:between w:val="nil"/>
        </w:pBdr>
        <w:rPr>
          <w:rFonts w:eastAsia="Palatino Linotype" w:cs="Palatino Linotype"/>
        </w:rPr>
      </w:pPr>
    </w:p>
    <w:p w14:paraId="5D75095B" w14:textId="38026774" w:rsidR="00253F4B" w:rsidRDefault="00253F4B" w:rsidP="006625FA">
      <w:pPr>
        <w:pBdr>
          <w:top w:val="nil"/>
          <w:left w:val="nil"/>
          <w:bottom w:val="nil"/>
          <w:right w:val="nil"/>
          <w:between w:val="nil"/>
        </w:pBdr>
        <w:rPr>
          <w:rFonts w:eastAsia="Palatino Linotype" w:cs="Palatino Linotype"/>
        </w:rPr>
      </w:pPr>
      <w:r>
        <w:rPr>
          <w:rFonts w:eastAsia="Palatino Linotype" w:cs="Palatino Linotype"/>
        </w:rPr>
        <w:t>Sin pasar por desapercibido que en términos del artículo 96 fracción II de la Ley de Transparencia Local el Poder Judicial como Sujeto Obligado</w:t>
      </w:r>
      <w:r w:rsidR="007E1324">
        <w:rPr>
          <w:rFonts w:eastAsia="Palatino Linotype" w:cs="Palatino Linotype"/>
        </w:rPr>
        <w:t xml:space="preserve"> deberá poner a disposición del público y actualizar las versiones públicas de las sentencias que sean de interés público conforme lo siguiente; </w:t>
      </w:r>
    </w:p>
    <w:p w14:paraId="4F479AD7" w14:textId="77777777" w:rsidR="007E1324" w:rsidRDefault="007E1324" w:rsidP="006625FA">
      <w:pPr>
        <w:pBdr>
          <w:top w:val="nil"/>
          <w:left w:val="nil"/>
          <w:bottom w:val="nil"/>
          <w:right w:val="nil"/>
          <w:between w:val="nil"/>
        </w:pBdr>
        <w:rPr>
          <w:rFonts w:eastAsia="Palatino Linotype" w:cs="Palatino Linotype"/>
        </w:rPr>
      </w:pPr>
    </w:p>
    <w:p w14:paraId="5169996C" w14:textId="77010422" w:rsidR="00253F4B" w:rsidRDefault="00253F4B" w:rsidP="00253F4B">
      <w:pPr>
        <w:pBdr>
          <w:top w:val="nil"/>
          <w:left w:val="nil"/>
          <w:bottom w:val="nil"/>
          <w:right w:val="nil"/>
          <w:between w:val="nil"/>
        </w:pBdr>
        <w:ind w:left="708"/>
        <w:rPr>
          <w:i/>
          <w:sz w:val="22"/>
        </w:rPr>
      </w:pPr>
      <w:r w:rsidRPr="00253F4B">
        <w:rPr>
          <w:i/>
          <w:sz w:val="22"/>
        </w:rPr>
        <w:t>Artículo 96. Además de las obligaciones de transparencia común a que se refiere el Capítulo II de este Título, el Poder Judicial Local y el Tribunal de Justicia Administrativa del Estado de México, deberán poner a disposición del público y actualizar la siguiente información:</w:t>
      </w:r>
    </w:p>
    <w:p w14:paraId="7D0887AE" w14:textId="2A9F1E4E" w:rsidR="00253F4B" w:rsidRPr="00253F4B" w:rsidRDefault="00253F4B" w:rsidP="00253F4B">
      <w:pPr>
        <w:pBdr>
          <w:top w:val="nil"/>
          <w:left w:val="nil"/>
          <w:bottom w:val="nil"/>
          <w:right w:val="nil"/>
          <w:between w:val="nil"/>
        </w:pBdr>
        <w:ind w:left="708"/>
        <w:rPr>
          <w:i/>
          <w:sz w:val="22"/>
        </w:rPr>
      </w:pPr>
      <w:r>
        <w:rPr>
          <w:i/>
          <w:sz w:val="22"/>
        </w:rPr>
        <w:t>…</w:t>
      </w:r>
    </w:p>
    <w:p w14:paraId="6DF4DAEC" w14:textId="1E4DAB98" w:rsidR="00253F4B" w:rsidRPr="007E1324" w:rsidRDefault="00253F4B" w:rsidP="00253F4B">
      <w:pPr>
        <w:pBdr>
          <w:top w:val="nil"/>
          <w:left w:val="nil"/>
          <w:bottom w:val="nil"/>
          <w:right w:val="nil"/>
          <w:between w:val="nil"/>
        </w:pBdr>
        <w:ind w:left="708"/>
        <w:rPr>
          <w:rFonts w:eastAsia="Palatino Linotype" w:cs="Palatino Linotype"/>
          <w:i/>
          <w:sz w:val="22"/>
          <w:u w:val="single"/>
        </w:rPr>
      </w:pPr>
      <w:r w:rsidRPr="007E1324">
        <w:rPr>
          <w:i/>
          <w:sz w:val="22"/>
          <w:u w:val="single"/>
        </w:rPr>
        <w:t>II. Las versiones públicas de las sentencias que sean de interés público;</w:t>
      </w:r>
    </w:p>
    <w:p w14:paraId="554CFCFE" w14:textId="77777777" w:rsidR="006625FA" w:rsidRDefault="006625FA" w:rsidP="006625FA">
      <w:pPr>
        <w:pBdr>
          <w:top w:val="nil"/>
          <w:left w:val="nil"/>
          <w:bottom w:val="nil"/>
          <w:right w:val="nil"/>
          <w:between w:val="nil"/>
        </w:pBdr>
        <w:rPr>
          <w:rFonts w:eastAsia="Palatino Linotype" w:cs="Palatino Linotype"/>
        </w:rPr>
      </w:pPr>
    </w:p>
    <w:p w14:paraId="0592839A" w14:textId="77777777" w:rsidR="006625FA" w:rsidRDefault="006625FA" w:rsidP="006625FA">
      <w:pPr>
        <w:rPr>
          <w:rFonts w:eastAsia="Palatino Linotype" w:cs="Palatino Linotype"/>
        </w:rPr>
      </w:pPr>
      <w:r>
        <w:rPr>
          <w:rFonts w:eastAsia="Palatino Linotype" w:cs="Palatino Linotype"/>
        </w:rPr>
        <w:lastRenderedPageBreak/>
        <w:t xml:space="preserve">No obstante, en el caso concreto, dichos preceptos son interpretados en perjuicio de la persona solicitante, como se explica enseguida, para lo cual es necesario hacer referencia a los mismos en su parte conducente: </w:t>
      </w:r>
    </w:p>
    <w:p w14:paraId="60CF70ED" w14:textId="77777777" w:rsidR="006625FA" w:rsidRPr="006625FA" w:rsidRDefault="006625FA" w:rsidP="006625FA">
      <w:pPr>
        <w:pBdr>
          <w:top w:val="nil"/>
          <w:left w:val="nil"/>
          <w:bottom w:val="nil"/>
          <w:right w:val="nil"/>
          <w:between w:val="nil"/>
        </w:pBdr>
        <w:ind w:left="851" w:right="902"/>
        <w:rPr>
          <w:sz w:val="22"/>
        </w:rPr>
      </w:pPr>
      <w:r>
        <w:rPr>
          <w:rFonts w:eastAsia="Palatino Linotype" w:cs="Palatino Linotype"/>
        </w:rPr>
        <w:t>“</w:t>
      </w:r>
      <w:r w:rsidRPr="006625FA">
        <w:rPr>
          <w:rFonts w:eastAsia="Palatino Linotype" w:cs="Palatino Linotype"/>
          <w:b/>
          <w:i/>
          <w:sz w:val="22"/>
        </w:rPr>
        <w:t xml:space="preserve">Artículo 9. </w:t>
      </w:r>
      <w:r w:rsidRPr="006625FA">
        <w:rPr>
          <w:rFonts w:eastAsia="Palatino Linotype" w:cs="Palatino Linotype"/>
          <w:i/>
          <w:sz w:val="22"/>
        </w:rPr>
        <w:t>El Instituto deberá regir su funcionamiento de acuerdo a los siguientes principios:</w:t>
      </w:r>
    </w:p>
    <w:p w14:paraId="112C26F7" w14:textId="77777777" w:rsidR="006625FA" w:rsidRPr="006625FA" w:rsidRDefault="006625FA" w:rsidP="006625FA">
      <w:pPr>
        <w:pBdr>
          <w:top w:val="nil"/>
          <w:left w:val="nil"/>
          <w:bottom w:val="nil"/>
          <w:right w:val="nil"/>
          <w:between w:val="nil"/>
        </w:pBdr>
        <w:ind w:left="1134" w:right="902"/>
        <w:rPr>
          <w:sz w:val="22"/>
        </w:rPr>
      </w:pPr>
      <w:r w:rsidRPr="006625FA">
        <w:rPr>
          <w:rFonts w:eastAsia="Palatino Linotype" w:cs="Palatino Linotype"/>
          <w:sz w:val="22"/>
        </w:rPr>
        <w:t>...</w:t>
      </w:r>
    </w:p>
    <w:p w14:paraId="65DF96AA" w14:textId="77777777" w:rsidR="006625FA" w:rsidRPr="006625FA" w:rsidRDefault="006625FA" w:rsidP="006625FA">
      <w:pPr>
        <w:pBdr>
          <w:top w:val="nil"/>
          <w:left w:val="nil"/>
          <w:bottom w:val="nil"/>
          <w:right w:val="nil"/>
          <w:between w:val="nil"/>
        </w:pBdr>
        <w:ind w:left="1134" w:right="902"/>
        <w:rPr>
          <w:sz w:val="22"/>
        </w:rPr>
      </w:pPr>
      <w:r w:rsidRPr="006625FA">
        <w:rPr>
          <w:rFonts w:eastAsia="Palatino Linotype" w:cs="Palatino Linotype"/>
          <w:b/>
          <w:i/>
          <w:sz w:val="22"/>
        </w:rPr>
        <w:t>III. Gratuidad:</w:t>
      </w:r>
      <w:r w:rsidRPr="006625FA">
        <w:rPr>
          <w:rFonts w:eastAsia="Palatino Linotype" w:cs="Palatino Linotype"/>
          <w:i/>
          <w:sz w:val="22"/>
        </w:rPr>
        <w:t xml:space="preserve"> Consiste en que el acceso a la información pública no genera costo alguno para los solicitantes, </w:t>
      </w:r>
      <w:r w:rsidRPr="006625FA">
        <w:rPr>
          <w:rFonts w:eastAsia="Palatino Linotype" w:cs="Palatino Linotype"/>
          <w:b/>
          <w:i/>
          <w:sz w:val="22"/>
        </w:rPr>
        <w:t>sólo podrá requerirse el cobro correspondiente a la modalidad de reproducción y</w:t>
      </w:r>
      <w:r w:rsidRPr="006625FA">
        <w:rPr>
          <w:rFonts w:eastAsia="Palatino Linotype" w:cs="Palatino Linotype"/>
          <w:i/>
          <w:sz w:val="22"/>
        </w:rPr>
        <w:t xml:space="preserve"> </w:t>
      </w:r>
      <w:r w:rsidRPr="006625FA">
        <w:rPr>
          <w:rFonts w:eastAsia="Palatino Linotype" w:cs="Palatino Linotype"/>
          <w:b/>
          <w:i/>
          <w:sz w:val="22"/>
        </w:rPr>
        <w:t>entrega solicitada</w:t>
      </w:r>
      <w:r w:rsidRPr="006625FA">
        <w:rPr>
          <w:rFonts w:eastAsia="Palatino Linotype" w:cs="Palatino Linotype"/>
          <w:i/>
          <w:sz w:val="22"/>
        </w:rPr>
        <w:t xml:space="preserve"> conforme a lo establecido en la presente Ley y demás disposiciones jurídicas aplicables;</w:t>
      </w:r>
    </w:p>
    <w:p w14:paraId="4DA3D5CB" w14:textId="77777777" w:rsidR="006625FA" w:rsidRPr="006625FA" w:rsidRDefault="006625FA" w:rsidP="006625FA">
      <w:pPr>
        <w:pBdr>
          <w:top w:val="nil"/>
          <w:left w:val="nil"/>
          <w:bottom w:val="nil"/>
          <w:right w:val="nil"/>
          <w:between w:val="nil"/>
        </w:pBdr>
        <w:ind w:left="851" w:right="902"/>
        <w:rPr>
          <w:sz w:val="22"/>
        </w:rPr>
      </w:pPr>
      <w:r w:rsidRPr="006625FA">
        <w:rPr>
          <w:rFonts w:eastAsia="Palatino Linotype" w:cs="Palatino Linotype"/>
          <w:i/>
          <w:sz w:val="22"/>
        </w:rPr>
        <w:t>(…)</w:t>
      </w:r>
    </w:p>
    <w:p w14:paraId="214DA504" w14:textId="77777777" w:rsidR="006625FA" w:rsidRPr="006625FA" w:rsidRDefault="006625FA" w:rsidP="006625FA">
      <w:pPr>
        <w:pBdr>
          <w:top w:val="nil"/>
          <w:left w:val="nil"/>
          <w:bottom w:val="nil"/>
          <w:right w:val="nil"/>
          <w:between w:val="nil"/>
        </w:pBdr>
        <w:ind w:left="851" w:right="902"/>
        <w:rPr>
          <w:sz w:val="22"/>
        </w:rPr>
      </w:pPr>
      <w:r w:rsidRPr="006625FA">
        <w:rPr>
          <w:rFonts w:eastAsia="Palatino Linotype" w:cs="Palatino Linotype"/>
          <w:b/>
          <w:i/>
          <w:sz w:val="22"/>
        </w:rPr>
        <w:t>Artículo 17.</w:t>
      </w:r>
      <w:r w:rsidRPr="006625FA">
        <w:rPr>
          <w:rFonts w:eastAsia="Palatino Linotype" w:cs="Palatino Linotype"/>
          <w:i/>
          <w:sz w:val="22"/>
        </w:rPr>
        <w:t xml:space="preserve"> La búsqueda y acceso a la información es gratuita y </w:t>
      </w:r>
      <w:r w:rsidRPr="006625FA">
        <w:rPr>
          <w:rFonts w:eastAsia="Palatino Linotype" w:cs="Palatino Linotype"/>
          <w:b/>
          <w:i/>
          <w:sz w:val="22"/>
        </w:rPr>
        <w:t>solo se cubrirán los gastos de reproducción, o por la modalidad de entrega solicitada, así como por el envío,</w:t>
      </w:r>
      <w:r w:rsidRPr="006625FA">
        <w:rPr>
          <w:rFonts w:eastAsia="Palatino Linotype" w:cs="Palatino Linotype"/>
          <w:i/>
          <w:sz w:val="22"/>
        </w:rPr>
        <w:t xml:space="preserve"> que en su caso se genere, de conformidad con los derechos, productos y aprovechamientos establecidos en la legislación aplicable, sin que exceda de los límites establecidos en la presente Ley.</w:t>
      </w:r>
    </w:p>
    <w:p w14:paraId="3AC03CE1" w14:textId="77777777" w:rsidR="006625FA" w:rsidRPr="006625FA" w:rsidRDefault="006625FA" w:rsidP="006625FA">
      <w:pPr>
        <w:pBdr>
          <w:top w:val="nil"/>
          <w:left w:val="nil"/>
          <w:bottom w:val="nil"/>
          <w:right w:val="nil"/>
          <w:between w:val="nil"/>
        </w:pBdr>
        <w:ind w:left="851" w:right="902"/>
        <w:rPr>
          <w:sz w:val="22"/>
        </w:rPr>
      </w:pPr>
      <w:r w:rsidRPr="006625FA">
        <w:rPr>
          <w:rFonts w:eastAsia="Palatino Linotype" w:cs="Palatino Linotype"/>
          <w:i/>
          <w:sz w:val="22"/>
        </w:rPr>
        <w:t>(…)</w:t>
      </w:r>
    </w:p>
    <w:p w14:paraId="7BEC66F1" w14:textId="77777777" w:rsidR="006625FA" w:rsidRPr="006625FA" w:rsidRDefault="006625FA" w:rsidP="006625FA">
      <w:pPr>
        <w:pBdr>
          <w:top w:val="nil"/>
          <w:left w:val="nil"/>
          <w:bottom w:val="nil"/>
          <w:right w:val="nil"/>
          <w:between w:val="nil"/>
        </w:pBdr>
        <w:ind w:left="851" w:right="902"/>
        <w:rPr>
          <w:sz w:val="22"/>
        </w:rPr>
      </w:pPr>
      <w:r w:rsidRPr="006625FA">
        <w:rPr>
          <w:rFonts w:eastAsia="Palatino Linotype" w:cs="Palatino Linotype"/>
          <w:b/>
          <w:i/>
          <w:sz w:val="22"/>
        </w:rPr>
        <w:t>Artículo 165. …</w:t>
      </w:r>
    </w:p>
    <w:p w14:paraId="37361846" w14:textId="77777777" w:rsidR="006625FA" w:rsidRPr="006625FA" w:rsidRDefault="006625FA" w:rsidP="006625FA">
      <w:pPr>
        <w:pBdr>
          <w:top w:val="nil"/>
          <w:left w:val="nil"/>
          <w:bottom w:val="nil"/>
          <w:right w:val="nil"/>
          <w:between w:val="nil"/>
        </w:pBdr>
        <w:ind w:left="851" w:right="902"/>
        <w:rPr>
          <w:sz w:val="22"/>
        </w:rPr>
      </w:pPr>
      <w:r w:rsidRPr="006625FA">
        <w:rPr>
          <w:rFonts w:eastAsia="Palatino Linotype" w:cs="Palatino Linotype"/>
          <w:i/>
          <w:sz w:val="22"/>
        </w:rPr>
        <w:t xml:space="preserve">La información que se entregue en versión pública, </w:t>
      </w:r>
      <w:r w:rsidRPr="006625FA">
        <w:rPr>
          <w:rFonts w:eastAsia="Palatino Linotype" w:cs="Palatino Linotype"/>
          <w:b/>
          <w:i/>
          <w:sz w:val="22"/>
        </w:rPr>
        <w:t>cuya modalidad de reproducción o envío tenga un costo,</w:t>
      </w:r>
      <w:r w:rsidRPr="006625FA">
        <w:rPr>
          <w:rFonts w:eastAsia="Palatino Linotype" w:cs="Palatino Linotype"/>
          <w:i/>
          <w:sz w:val="22"/>
        </w:rPr>
        <w:t xml:space="preserve"> procederá una vez que se acredite el pago respectivo. No puede entenderse como reproducción la elaboración de la misma.</w:t>
      </w:r>
    </w:p>
    <w:p w14:paraId="314DFE7C" w14:textId="77777777" w:rsidR="006625FA" w:rsidRPr="006625FA" w:rsidRDefault="006625FA" w:rsidP="006625FA">
      <w:pPr>
        <w:pBdr>
          <w:top w:val="nil"/>
          <w:left w:val="nil"/>
          <w:bottom w:val="nil"/>
          <w:right w:val="nil"/>
          <w:between w:val="nil"/>
        </w:pBdr>
        <w:ind w:left="851" w:right="902"/>
        <w:rPr>
          <w:sz w:val="22"/>
        </w:rPr>
      </w:pPr>
      <w:r w:rsidRPr="006625FA">
        <w:rPr>
          <w:rFonts w:eastAsia="Palatino Linotype" w:cs="Palatino Linotype"/>
          <w:i/>
          <w:sz w:val="22"/>
        </w:rPr>
        <w:t>(…)</w:t>
      </w:r>
    </w:p>
    <w:p w14:paraId="1828B8B6" w14:textId="77777777" w:rsidR="006625FA" w:rsidRPr="006625FA" w:rsidRDefault="006625FA" w:rsidP="006625FA">
      <w:pPr>
        <w:pBdr>
          <w:top w:val="nil"/>
          <w:left w:val="nil"/>
          <w:bottom w:val="nil"/>
          <w:right w:val="nil"/>
          <w:between w:val="nil"/>
        </w:pBdr>
        <w:ind w:left="851" w:right="902"/>
        <w:rPr>
          <w:sz w:val="22"/>
        </w:rPr>
      </w:pPr>
      <w:r w:rsidRPr="006625FA">
        <w:rPr>
          <w:rFonts w:eastAsia="Palatino Linotype" w:cs="Palatino Linotype"/>
          <w:b/>
          <w:i/>
          <w:sz w:val="22"/>
        </w:rPr>
        <w:t xml:space="preserve">Artículo 174. En caso de existir costos para obtener la información </w:t>
      </w:r>
      <w:r w:rsidRPr="006625FA">
        <w:rPr>
          <w:rFonts w:eastAsia="Palatino Linotype" w:cs="Palatino Linotype"/>
          <w:i/>
          <w:sz w:val="22"/>
        </w:rPr>
        <w:t xml:space="preserve">deberán cubrirse de manera previa a la entrega y </w:t>
      </w:r>
      <w:r w:rsidRPr="006625FA">
        <w:rPr>
          <w:rFonts w:eastAsia="Palatino Linotype" w:cs="Palatino Linotype"/>
          <w:b/>
          <w:i/>
          <w:sz w:val="22"/>
        </w:rPr>
        <w:t>no podrán ser superiores a la suma de: </w:t>
      </w:r>
    </w:p>
    <w:p w14:paraId="6D42D38A" w14:textId="77777777" w:rsidR="006625FA" w:rsidRPr="006625FA" w:rsidRDefault="006625FA" w:rsidP="006625FA">
      <w:pPr>
        <w:pBdr>
          <w:top w:val="nil"/>
          <w:left w:val="nil"/>
          <w:bottom w:val="nil"/>
          <w:right w:val="nil"/>
          <w:between w:val="nil"/>
        </w:pBdr>
        <w:ind w:left="1134" w:right="902"/>
        <w:rPr>
          <w:sz w:val="22"/>
        </w:rPr>
      </w:pPr>
      <w:r w:rsidRPr="006625FA">
        <w:rPr>
          <w:rFonts w:eastAsia="Palatino Linotype" w:cs="Palatino Linotype"/>
          <w:b/>
          <w:i/>
          <w:sz w:val="22"/>
        </w:rPr>
        <w:t>I. El costo de los materiales utilizados en la reproducción</w:t>
      </w:r>
      <w:r w:rsidRPr="006625FA">
        <w:rPr>
          <w:rFonts w:eastAsia="Palatino Linotype" w:cs="Palatino Linotype"/>
          <w:i/>
          <w:sz w:val="22"/>
        </w:rPr>
        <w:t xml:space="preserve"> de la información;</w:t>
      </w:r>
    </w:p>
    <w:p w14:paraId="37BA4287" w14:textId="77777777" w:rsidR="006625FA" w:rsidRPr="006625FA" w:rsidRDefault="006625FA" w:rsidP="006625FA">
      <w:pPr>
        <w:pBdr>
          <w:top w:val="nil"/>
          <w:left w:val="nil"/>
          <w:bottom w:val="nil"/>
          <w:right w:val="nil"/>
          <w:between w:val="nil"/>
        </w:pBdr>
        <w:ind w:left="1134" w:right="902"/>
        <w:rPr>
          <w:sz w:val="22"/>
        </w:rPr>
      </w:pPr>
      <w:r w:rsidRPr="006625FA">
        <w:rPr>
          <w:rFonts w:eastAsia="Palatino Linotype" w:cs="Palatino Linotype"/>
          <w:b/>
          <w:i/>
          <w:sz w:val="22"/>
        </w:rPr>
        <w:t>II. El costo de envío,</w:t>
      </w:r>
      <w:r w:rsidRPr="006625FA">
        <w:rPr>
          <w:rFonts w:eastAsia="Palatino Linotype" w:cs="Palatino Linotype"/>
          <w:i/>
          <w:sz w:val="22"/>
        </w:rPr>
        <w:t xml:space="preserve"> en su caso; y</w:t>
      </w:r>
    </w:p>
    <w:p w14:paraId="7F97165F" w14:textId="77777777" w:rsidR="006625FA" w:rsidRPr="006625FA" w:rsidRDefault="006625FA" w:rsidP="006625FA">
      <w:pPr>
        <w:pBdr>
          <w:top w:val="nil"/>
          <w:left w:val="nil"/>
          <w:bottom w:val="nil"/>
          <w:right w:val="nil"/>
          <w:between w:val="nil"/>
        </w:pBdr>
        <w:ind w:left="1134" w:right="902"/>
        <w:rPr>
          <w:sz w:val="22"/>
        </w:rPr>
      </w:pPr>
      <w:r w:rsidRPr="006625FA">
        <w:rPr>
          <w:rFonts w:eastAsia="Palatino Linotype" w:cs="Palatino Linotype"/>
          <w:b/>
          <w:i/>
          <w:sz w:val="22"/>
        </w:rPr>
        <w:lastRenderedPageBreak/>
        <w:t>III. El pago de la certificación de los documentos,</w:t>
      </w:r>
      <w:r w:rsidRPr="006625FA">
        <w:rPr>
          <w:rFonts w:eastAsia="Palatino Linotype" w:cs="Palatino Linotype"/>
          <w:i/>
          <w:sz w:val="22"/>
        </w:rPr>
        <w:t xml:space="preserve"> cuando proceda.</w:t>
      </w:r>
    </w:p>
    <w:p w14:paraId="624238D7" w14:textId="77777777" w:rsidR="006625FA" w:rsidRPr="006625FA" w:rsidRDefault="006625FA" w:rsidP="006625FA">
      <w:pPr>
        <w:pBdr>
          <w:top w:val="nil"/>
          <w:left w:val="nil"/>
          <w:bottom w:val="nil"/>
          <w:right w:val="nil"/>
          <w:between w:val="nil"/>
        </w:pBdr>
        <w:ind w:left="1134" w:right="902"/>
        <w:rPr>
          <w:sz w:val="22"/>
        </w:rPr>
      </w:pPr>
      <w:r w:rsidRPr="006625FA">
        <w:rPr>
          <w:rFonts w:eastAsia="Palatino Linotype" w:cs="Palatino Linotype"/>
          <w:i/>
          <w:sz w:val="22"/>
        </w:rPr>
        <w:t xml:space="preserve">Las cuotas de los derechos aplicables deberán establecerse, en su caso, en el </w:t>
      </w:r>
      <w:r w:rsidRPr="006625FA">
        <w:rPr>
          <w:rFonts w:eastAsia="Palatino Linotype" w:cs="Palatino Linotype"/>
          <w:b/>
          <w:i/>
          <w:sz w:val="22"/>
        </w:rPr>
        <w:t xml:space="preserve">Código Financiero del Estado de México y Municipios </w:t>
      </w:r>
      <w:r w:rsidRPr="006625FA">
        <w:rPr>
          <w:rFonts w:eastAsia="Palatino Linotype" w:cs="Palatino Linotype"/>
          <w:i/>
          <w:sz w:val="22"/>
        </w:rPr>
        <w:t>y demás disposiciones jurídicas aplicables, las cuales se publicarán en los sitios de internet de los sujetos obligados…”</w:t>
      </w:r>
    </w:p>
    <w:p w14:paraId="218B738A" w14:textId="77777777" w:rsidR="006625FA" w:rsidRPr="006625FA" w:rsidRDefault="006625FA" w:rsidP="006625FA">
      <w:pPr>
        <w:pBdr>
          <w:top w:val="nil"/>
          <w:left w:val="nil"/>
          <w:bottom w:val="nil"/>
          <w:right w:val="nil"/>
          <w:between w:val="nil"/>
        </w:pBdr>
        <w:ind w:left="851" w:right="902"/>
        <w:rPr>
          <w:sz w:val="22"/>
        </w:rPr>
      </w:pPr>
      <w:r w:rsidRPr="006625FA">
        <w:rPr>
          <w:rFonts w:eastAsia="Palatino Linotype" w:cs="Palatino Linotype"/>
          <w:i/>
          <w:sz w:val="22"/>
        </w:rPr>
        <w:t>(...)</w:t>
      </w:r>
    </w:p>
    <w:p w14:paraId="7DDC2A07" w14:textId="77777777" w:rsidR="006625FA" w:rsidRPr="006625FA" w:rsidRDefault="006625FA" w:rsidP="006625FA">
      <w:pPr>
        <w:pBdr>
          <w:top w:val="nil"/>
          <w:left w:val="nil"/>
          <w:bottom w:val="nil"/>
          <w:right w:val="nil"/>
          <w:between w:val="nil"/>
        </w:pBdr>
        <w:ind w:left="851" w:right="902"/>
        <w:rPr>
          <w:sz w:val="22"/>
        </w:rPr>
      </w:pPr>
      <w:r w:rsidRPr="006625FA">
        <w:rPr>
          <w:rFonts w:eastAsia="Palatino Linotype" w:cs="Palatino Linotype"/>
          <w:b/>
          <w:i/>
          <w:sz w:val="22"/>
        </w:rPr>
        <w:t>Artículo 175. …</w:t>
      </w:r>
    </w:p>
    <w:p w14:paraId="024557E4" w14:textId="77777777" w:rsidR="006625FA" w:rsidRPr="006625FA" w:rsidRDefault="006625FA" w:rsidP="006625FA">
      <w:pPr>
        <w:pBdr>
          <w:top w:val="nil"/>
          <w:left w:val="nil"/>
          <w:bottom w:val="nil"/>
          <w:right w:val="nil"/>
          <w:between w:val="nil"/>
        </w:pBdr>
        <w:ind w:left="851" w:right="902"/>
        <w:rPr>
          <w:sz w:val="22"/>
        </w:rPr>
      </w:pPr>
      <w:r w:rsidRPr="006625FA">
        <w:rPr>
          <w:rFonts w:eastAsia="Palatino Linotype" w:cs="Palatino Linotype"/>
          <w:i/>
          <w:sz w:val="22"/>
        </w:rPr>
        <w:t xml:space="preserve">En ningún caso, el pago de derechos deberá exceder el </w:t>
      </w:r>
      <w:r w:rsidRPr="006625FA">
        <w:rPr>
          <w:rFonts w:eastAsia="Palatino Linotype" w:cs="Palatino Linotype"/>
          <w:b/>
          <w:i/>
          <w:sz w:val="22"/>
        </w:rPr>
        <w:t>costo de reproducción de la información en el material solicitado.”</w:t>
      </w:r>
    </w:p>
    <w:p w14:paraId="3949775B" w14:textId="77777777" w:rsidR="006625FA" w:rsidRPr="006625FA" w:rsidRDefault="006625FA" w:rsidP="006625FA">
      <w:pPr>
        <w:pBdr>
          <w:top w:val="nil"/>
          <w:left w:val="nil"/>
          <w:bottom w:val="nil"/>
          <w:right w:val="nil"/>
          <w:between w:val="nil"/>
        </w:pBdr>
        <w:ind w:left="851" w:right="902"/>
        <w:rPr>
          <w:rFonts w:eastAsia="Palatino Linotype" w:cs="Palatino Linotype"/>
          <w:i/>
          <w:sz w:val="22"/>
        </w:rPr>
      </w:pPr>
      <w:r w:rsidRPr="006625FA">
        <w:rPr>
          <w:rFonts w:eastAsia="Palatino Linotype" w:cs="Palatino Linotype"/>
          <w:i/>
          <w:sz w:val="22"/>
        </w:rPr>
        <w:t>“</w:t>
      </w:r>
      <w:r w:rsidRPr="006625FA">
        <w:rPr>
          <w:rFonts w:eastAsia="Palatino Linotype" w:cs="Palatino Linotype"/>
          <w:b/>
          <w:i/>
          <w:sz w:val="22"/>
        </w:rPr>
        <w:t xml:space="preserve">Artículo 4.22.- </w:t>
      </w:r>
      <w:r w:rsidRPr="006625FA">
        <w:rPr>
          <w:rFonts w:eastAsia="Palatino Linotype" w:cs="Palatino Linotype"/>
          <w:i/>
          <w:sz w:val="22"/>
        </w:rPr>
        <w:t>Cuando los solicitantes requieran de los sujetos obligados la expedición de copias simples, certificadas o en cualquier otro medio físico que contenga la información solicitada, y que pueda ser reproducida por tener los elementos necesarios para ello, o bien, que por disposiciones legales aplicables puedan ser materia de su reproducción, deberán acreditar previamente el pago por concepto de derechos, productos o aprovechamientos establecidos en el Código Financiero del Estado de México y Municipios, y demás normatividad aplicable. Los términos y plazos para que los sujetos obligados cumplan con las obligaciones correspondientes, se contarán a partir del día en que se acredite debidamente el pago, ante las unidades de información.”</w:t>
      </w:r>
    </w:p>
    <w:p w14:paraId="08C28C76" w14:textId="77777777" w:rsidR="0004731B" w:rsidRDefault="0004731B" w:rsidP="00511260">
      <w:pPr>
        <w:rPr>
          <w:rFonts w:eastAsiaTheme="minorHAnsi" w:cs="Arial"/>
          <w:lang w:val="es-MX" w:eastAsia="en-US"/>
        </w:rPr>
      </w:pPr>
    </w:p>
    <w:p w14:paraId="16DC0322" w14:textId="4098EBE2" w:rsidR="006625FA" w:rsidRDefault="006625FA" w:rsidP="006625FA">
      <w:pPr>
        <w:rPr>
          <w:rFonts w:eastAsia="Palatino Linotype" w:cs="Palatino Linotype"/>
        </w:rPr>
      </w:pPr>
      <w:r>
        <w:rPr>
          <w:rFonts w:eastAsia="Palatino Linotype" w:cs="Palatino Linotype"/>
        </w:rPr>
        <w:t xml:space="preserve">En efecto, de los preceptos citados se desprende que Ley de </w:t>
      </w:r>
      <w:r w:rsidR="007E1324">
        <w:rPr>
          <w:rFonts w:eastAsia="Palatino Linotype" w:cs="Palatino Linotype"/>
        </w:rPr>
        <w:t>Transparencia Local</w:t>
      </w:r>
      <w:r>
        <w:rPr>
          <w:rFonts w:eastAsia="Palatino Linotype" w:cs="Palatino Linotype"/>
        </w:rPr>
        <w:t xml:space="preserve"> estableció el cobró de derechos para la entrega de la información, con el objeto de que se cubran los costos de los materiales utilizados en la reproducción de la información, el costo por él envió de la misma o el pago por la certificación, sin embargo, </w:t>
      </w:r>
      <w:r w:rsidRPr="007E1324">
        <w:rPr>
          <w:rFonts w:eastAsia="Palatino Linotype" w:cs="Palatino Linotype"/>
          <w:b/>
        </w:rPr>
        <w:t>en el caso que nos ocupa, no se estima que se actualice alguno de los supuestos previstos en la norma</w:t>
      </w:r>
      <w:r>
        <w:rPr>
          <w:rFonts w:eastAsia="Palatino Linotype" w:cs="Palatino Linotype"/>
        </w:rPr>
        <w:t xml:space="preserve">, toda vez que la persona solicitante requirió la información a través del sistema </w:t>
      </w:r>
      <w:proofErr w:type="spellStart"/>
      <w:r>
        <w:rPr>
          <w:rFonts w:eastAsia="Palatino Linotype" w:cs="Palatino Linotype"/>
        </w:rPr>
        <w:t>SAIMEX</w:t>
      </w:r>
      <w:proofErr w:type="spellEnd"/>
      <w:r>
        <w:rPr>
          <w:rFonts w:eastAsia="Palatino Linotype" w:cs="Palatino Linotype"/>
        </w:rPr>
        <w:t xml:space="preserve">, </w:t>
      </w:r>
      <w:r>
        <w:rPr>
          <w:rFonts w:eastAsia="Palatino Linotype" w:cs="Palatino Linotype"/>
        </w:rPr>
        <w:lastRenderedPageBreak/>
        <w:t xml:space="preserve">por lo tanto no se le está requiriendo al </w:t>
      </w:r>
      <w:r>
        <w:rPr>
          <w:rFonts w:eastAsia="Palatino Linotype" w:cs="Palatino Linotype"/>
          <w:b/>
        </w:rPr>
        <w:t>Sujeto Obligado</w:t>
      </w:r>
      <w:r>
        <w:rPr>
          <w:rFonts w:eastAsia="Palatino Linotype" w:cs="Palatino Linotype"/>
        </w:rPr>
        <w:t xml:space="preserve"> que expida copias simples o certificadas, o que reproduzca la información que ya asumió poseer, en cualquier otro medio físico, sino que proporcione la información de manera electrónica, en otras palabras, con la finalidad de satisfacer la solicitud, </w:t>
      </w:r>
      <w:r>
        <w:rPr>
          <w:rFonts w:eastAsia="Palatino Linotype" w:cs="Palatino Linotype"/>
          <w:b/>
        </w:rPr>
        <w:t>no es necesario que el Sujeto Obligado realice una reproducción física de la información que conserva en sus archivos,</w:t>
      </w:r>
      <w:r>
        <w:rPr>
          <w:rFonts w:eastAsia="Palatino Linotype" w:cs="Palatino Linotype"/>
        </w:rPr>
        <w:t xml:space="preserve"> más bien implicaría realizar una digitalización o escaneo de aquellos documentos que por su naturaleza se encuentran en un medio físico.</w:t>
      </w:r>
    </w:p>
    <w:p w14:paraId="1170DF16" w14:textId="77777777" w:rsidR="006625FA" w:rsidRDefault="006625FA" w:rsidP="006625FA">
      <w:pPr>
        <w:rPr>
          <w:rFonts w:eastAsia="Palatino Linotype" w:cs="Palatino Linotype"/>
        </w:rPr>
      </w:pPr>
    </w:p>
    <w:p w14:paraId="322AF728" w14:textId="77777777" w:rsidR="006625FA" w:rsidRDefault="006625FA" w:rsidP="006625FA">
      <w:pPr>
        <w:pBdr>
          <w:top w:val="nil"/>
          <w:left w:val="nil"/>
          <w:bottom w:val="nil"/>
          <w:right w:val="nil"/>
          <w:between w:val="nil"/>
        </w:pBdr>
        <w:rPr>
          <w:rFonts w:eastAsia="Palatino Linotype" w:cs="Palatino Linotype"/>
        </w:rPr>
      </w:pPr>
      <w:r>
        <w:rPr>
          <w:rFonts w:eastAsia="Palatino Linotype" w:cs="Palatino Linotype"/>
        </w:rPr>
        <w:t xml:space="preserve">Es necesario resaltar que </w:t>
      </w:r>
      <w:r>
        <w:rPr>
          <w:rFonts w:eastAsia="Palatino Linotype" w:cs="Palatino Linotype"/>
          <w:b/>
          <w:u w:val="single"/>
        </w:rPr>
        <w:t>la digitalización o escaneo de la información, no conlleva la utilización de materiales que generen un costo</w:t>
      </w:r>
      <w:r>
        <w:rPr>
          <w:rFonts w:eastAsia="Palatino Linotype" w:cs="Palatino Linotype"/>
        </w:rPr>
        <w:t xml:space="preserve">, como podría serlo por ejemplo hojas de papel para la emisión de copias; de igual manera, tampoco se actualiza el cobro por certificación, ya que la persona solicitante no requirió la entrega en dicha modalidad, así tampoco se genera un gasto por él envió de la información, ya que </w:t>
      </w:r>
      <w:r w:rsidRPr="00D45D5D">
        <w:rPr>
          <w:rFonts w:eastAsia="Palatino Linotype" w:cs="Palatino Linotype"/>
          <w:u w:val="single"/>
        </w:rPr>
        <w:t xml:space="preserve">una de la finalidades de la utilización del sistema </w:t>
      </w:r>
      <w:proofErr w:type="spellStart"/>
      <w:r w:rsidRPr="00D45D5D">
        <w:rPr>
          <w:rFonts w:eastAsia="Palatino Linotype" w:cs="Palatino Linotype"/>
          <w:u w:val="single"/>
        </w:rPr>
        <w:t>SAIMEX</w:t>
      </w:r>
      <w:proofErr w:type="spellEnd"/>
      <w:r w:rsidRPr="00D45D5D">
        <w:rPr>
          <w:rFonts w:eastAsia="Palatino Linotype" w:cs="Palatino Linotype"/>
          <w:u w:val="single"/>
        </w:rPr>
        <w:t xml:space="preserve"> es evitar la generación de gastos tanto para los solicitantes como para los Sujetos Obligados</w:t>
      </w:r>
      <w:r>
        <w:rPr>
          <w:rFonts w:eastAsia="Palatino Linotype" w:cs="Palatino Linotype"/>
        </w:rPr>
        <w:t xml:space="preserve">, pues se trata de un sistema electrónico que para acceder al mismo no necesita recurso alguno, sino solamente la conexión a un sistema de internet, por ello, </w:t>
      </w:r>
      <w:r w:rsidRPr="00D45D5D">
        <w:rPr>
          <w:rFonts w:eastAsia="Palatino Linotype" w:cs="Palatino Linotype"/>
          <w:b/>
        </w:rPr>
        <w:t>en materia de transparencia no es procedente el pago de derechos por concepto de escaneo o digitalización</w:t>
      </w:r>
      <w:r>
        <w:rPr>
          <w:rFonts w:eastAsia="Palatino Linotype" w:cs="Palatino Linotype"/>
        </w:rPr>
        <w:t>, pues se asume que los Sujetos Obligados cuenten con los medios para realizar dichas acciones sin costo alguno.</w:t>
      </w:r>
    </w:p>
    <w:p w14:paraId="35587ACB" w14:textId="77777777" w:rsidR="006625FA" w:rsidRDefault="006625FA" w:rsidP="006625FA">
      <w:pPr>
        <w:pBdr>
          <w:top w:val="nil"/>
          <w:left w:val="nil"/>
          <w:bottom w:val="nil"/>
          <w:right w:val="nil"/>
          <w:between w:val="nil"/>
        </w:pBdr>
        <w:rPr>
          <w:rFonts w:eastAsia="Palatino Linotype" w:cs="Palatino Linotype"/>
        </w:rPr>
      </w:pPr>
    </w:p>
    <w:p w14:paraId="1E6B9F9B" w14:textId="77777777" w:rsidR="006625FA" w:rsidRDefault="006625FA" w:rsidP="006625FA">
      <w:pPr>
        <w:pBdr>
          <w:top w:val="nil"/>
          <w:left w:val="nil"/>
          <w:bottom w:val="nil"/>
          <w:right w:val="nil"/>
          <w:between w:val="nil"/>
        </w:pBdr>
        <w:ind w:right="-150"/>
        <w:rPr>
          <w:rFonts w:eastAsia="Palatino Linotype" w:cs="Palatino Linotype"/>
        </w:rPr>
      </w:pPr>
      <w:r>
        <w:rPr>
          <w:rFonts w:eastAsia="Palatino Linotype" w:cs="Palatino Linotype"/>
        </w:rPr>
        <w:t xml:space="preserve">Bajo tales argumentos, en el presente caso, dado que no se está solicitando la reproducción de la información a través de copias simples, como pretende hacer valer el </w:t>
      </w:r>
      <w:r>
        <w:rPr>
          <w:rFonts w:eastAsia="Palatino Linotype" w:cs="Palatino Linotype"/>
          <w:b/>
        </w:rPr>
        <w:t xml:space="preserve">Sujeto Obligado, </w:t>
      </w:r>
      <w:r>
        <w:rPr>
          <w:rFonts w:eastAsia="Palatino Linotype" w:cs="Palatino Linotype"/>
        </w:rPr>
        <w:t xml:space="preserve">o el envío a través de una modalidad que genere gastos, sino que se solicita la información de manera digital, a través del </w:t>
      </w:r>
      <w:proofErr w:type="spellStart"/>
      <w:r>
        <w:rPr>
          <w:rFonts w:eastAsia="Palatino Linotype" w:cs="Palatino Linotype"/>
        </w:rPr>
        <w:t>SAIMEX</w:t>
      </w:r>
      <w:proofErr w:type="spellEnd"/>
      <w:r>
        <w:rPr>
          <w:rFonts w:eastAsia="Palatino Linotype" w:cs="Palatino Linotype"/>
        </w:rPr>
        <w:t xml:space="preserve">, se estima que </w:t>
      </w:r>
      <w:r>
        <w:rPr>
          <w:rFonts w:eastAsia="Palatino Linotype" w:cs="Palatino Linotype"/>
          <w:b/>
          <w:u w:val="single"/>
        </w:rPr>
        <w:t xml:space="preserve">no es procedente el </w:t>
      </w:r>
      <w:r>
        <w:rPr>
          <w:rFonts w:eastAsia="Palatino Linotype" w:cs="Palatino Linotype"/>
          <w:b/>
          <w:u w:val="single"/>
        </w:rPr>
        <w:lastRenderedPageBreak/>
        <w:t>cobro requerido</w:t>
      </w:r>
      <w:r>
        <w:rPr>
          <w:rFonts w:eastAsia="Palatino Linotype" w:cs="Palatino Linotype"/>
        </w:rPr>
        <w:t>, pues se insiste, la entrega de información a través de referido sistema no conlleva el uso de materiales, como pudieran ser hojas para expedir copias simples o certificadas, así como tampoco gastos de envío.</w:t>
      </w:r>
    </w:p>
    <w:p w14:paraId="4003A45C" w14:textId="77777777" w:rsidR="000C05AB" w:rsidRDefault="000C05AB" w:rsidP="006625FA">
      <w:pPr>
        <w:pBdr>
          <w:top w:val="nil"/>
          <w:left w:val="nil"/>
          <w:bottom w:val="nil"/>
          <w:right w:val="nil"/>
          <w:between w:val="nil"/>
        </w:pBdr>
        <w:ind w:right="-150"/>
        <w:rPr>
          <w:rFonts w:eastAsia="Palatino Linotype" w:cs="Palatino Linotype"/>
        </w:rPr>
      </w:pPr>
    </w:p>
    <w:p w14:paraId="3E9CFD44" w14:textId="2A2CDB7E" w:rsidR="000C05AB" w:rsidRDefault="000C05AB" w:rsidP="000C05AB">
      <w:pPr>
        <w:rPr>
          <w:rFonts w:cs="Arial"/>
          <w:szCs w:val="24"/>
        </w:rPr>
      </w:pPr>
      <w:r w:rsidRPr="007B2FCB">
        <w:rPr>
          <w:rFonts w:cs="Arial"/>
          <w:szCs w:val="24"/>
        </w:rPr>
        <w:t xml:space="preserve">En este sentido </w:t>
      </w:r>
      <w:r w:rsidR="007B2FCB">
        <w:rPr>
          <w:rFonts w:cs="Arial"/>
          <w:szCs w:val="24"/>
        </w:rPr>
        <w:t xml:space="preserve">puntualizado lo anterior es de destacar que </w:t>
      </w:r>
      <w:r w:rsidRPr="007B2FCB">
        <w:rPr>
          <w:rFonts w:cs="Arial"/>
          <w:szCs w:val="24"/>
        </w:rPr>
        <w:t xml:space="preserve">el </w:t>
      </w:r>
      <w:r w:rsidRPr="007B2FCB">
        <w:rPr>
          <w:rFonts w:cs="Arial"/>
          <w:b/>
          <w:bCs/>
          <w:szCs w:val="24"/>
        </w:rPr>
        <w:t>Sujeto Obligado</w:t>
      </w:r>
      <w:r w:rsidRPr="007B2FCB">
        <w:rPr>
          <w:rFonts w:cs="Arial"/>
          <w:szCs w:val="24"/>
        </w:rPr>
        <w:t>, reconoce que genera, posee y administra la información peticionada por el Sujeto Obligado pues es de recordarse que brinda</w:t>
      </w:r>
      <w:r>
        <w:rPr>
          <w:rFonts w:cs="Arial"/>
          <w:szCs w:val="24"/>
        </w:rPr>
        <w:t xml:space="preserve"> </w:t>
      </w:r>
      <w:r w:rsidR="007B2FCB">
        <w:rPr>
          <w:rFonts w:cs="Arial"/>
          <w:szCs w:val="24"/>
        </w:rPr>
        <w:t xml:space="preserve">dos ligas electrónicas en los términos siguientes; </w:t>
      </w:r>
    </w:p>
    <w:p w14:paraId="4E8EB53B" w14:textId="77777777" w:rsidR="007B2FCB" w:rsidRDefault="007B2FCB" w:rsidP="000C05AB">
      <w:pPr>
        <w:rPr>
          <w:rFonts w:cs="Arial"/>
          <w:szCs w:val="24"/>
        </w:rPr>
      </w:pPr>
    </w:p>
    <w:p w14:paraId="4F4A8E57" w14:textId="26C54CFD" w:rsidR="007B2FCB" w:rsidRPr="007B2FCB" w:rsidRDefault="007B2FCB" w:rsidP="007B2FCB">
      <w:pPr>
        <w:pStyle w:val="Prrafodelista"/>
        <w:numPr>
          <w:ilvl w:val="0"/>
          <w:numId w:val="31"/>
        </w:numPr>
        <w:rPr>
          <w:rFonts w:cs="Arial"/>
          <w:szCs w:val="24"/>
        </w:rPr>
      </w:pPr>
      <w:hyperlink r:id="rId12" w:history="1">
        <w:r w:rsidRPr="00BC7184">
          <w:rPr>
            <w:rStyle w:val="Hipervnculo"/>
          </w:rPr>
          <w:t>https://cloud2.pjedomex.gob.mx/index.php/s/zTKb4kFtZDBpMdY</w:t>
        </w:r>
      </w:hyperlink>
      <w:r>
        <w:t xml:space="preserve"> de la cual se advierte lo siguiente;</w:t>
      </w:r>
    </w:p>
    <w:p w14:paraId="7A274A04" w14:textId="77777777" w:rsidR="007B2FCB" w:rsidRPr="007B2FCB" w:rsidRDefault="007B2FCB" w:rsidP="007B2FCB">
      <w:pPr>
        <w:rPr>
          <w:rFonts w:cs="Arial"/>
          <w:szCs w:val="24"/>
        </w:rPr>
      </w:pPr>
    </w:p>
    <w:p w14:paraId="7DFEE184" w14:textId="7C1FCA09" w:rsidR="007B2FCB" w:rsidRDefault="007B2FCB" w:rsidP="00FF5D9D">
      <w:r>
        <w:rPr>
          <w:rFonts w:cs="Arial"/>
          <w:bCs/>
          <w:szCs w:val="24"/>
        </w:rPr>
        <w:t>Se advierte</w:t>
      </w:r>
      <w:r>
        <w:t xml:space="preserve"> el expediente número 1194/</w:t>
      </w:r>
      <w:r w:rsidR="00B357EE">
        <w:t>2015 con</w:t>
      </w:r>
      <w:r>
        <w:t xml:space="preserve"> 50 fojas en versión pública, sin embargo en la respuesta proporcionada por el Sujeto Obligado </w:t>
      </w:r>
      <w:r w:rsidRPr="007B2FCB">
        <w:rPr>
          <w:u w:val="single"/>
        </w:rPr>
        <w:t xml:space="preserve">manifestó que el expediente en comento tenía una extensión de 150 </w:t>
      </w:r>
      <w:proofErr w:type="gramStart"/>
      <w:r w:rsidRPr="007B2FCB">
        <w:rPr>
          <w:u w:val="single"/>
        </w:rPr>
        <w:t>hojas</w:t>
      </w:r>
      <w:r>
        <w:rPr>
          <w:u w:val="single"/>
        </w:rPr>
        <w:t xml:space="preserve">, </w:t>
      </w:r>
      <w:r>
        <w:t xml:space="preserve"> por</w:t>
      </w:r>
      <w:proofErr w:type="gramEnd"/>
      <w:r>
        <w:t xml:space="preserve"> lo que no se puede tener por atendido el derecho al acceso a la información</w:t>
      </w:r>
      <w:r w:rsidR="00FF5D9D">
        <w:t xml:space="preserve"> del Recurrente al faltar 100 fojas del expediente 1194/2015. </w:t>
      </w:r>
    </w:p>
    <w:p w14:paraId="3944F90C" w14:textId="77777777" w:rsidR="00FF5D9D" w:rsidRDefault="00FF5D9D" w:rsidP="00FF5D9D"/>
    <w:p w14:paraId="5573099F" w14:textId="315E3CD4" w:rsidR="00FF5D9D" w:rsidRDefault="00FF5D9D" w:rsidP="00FF5D9D">
      <w:r>
        <w:rPr>
          <w:rFonts w:cs="Arial"/>
          <w:bCs/>
          <w:szCs w:val="24"/>
        </w:rPr>
        <w:t>Se advierte</w:t>
      </w:r>
      <w:r>
        <w:t xml:space="preserve"> el expediente número 1094/</w:t>
      </w:r>
      <w:r w:rsidR="00B357EE">
        <w:t>2015 correspondiente</w:t>
      </w:r>
      <w:r>
        <w:t xml:space="preserve"> a la apelación 590/2016 con 20 fojas en versión pública, sin embargo en la respuesta proporcionada por el Sujeto Obligado </w:t>
      </w:r>
      <w:r w:rsidRPr="007B2FCB">
        <w:rPr>
          <w:u w:val="single"/>
        </w:rPr>
        <w:t>manifestó que el expediente en co</w:t>
      </w:r>
      <w:r>
        <w:rPr>
          <w:u w:val="single"/>
        </w:rPr>
        <w:t>mento tenía una extensión de 238</w:t>
      </w:r>
      <w:r w:rsidRPr="007B2FCB">
        <w:rPr>
          <w:u w:val="single"/>
        </w:rPr>
        <w:t xml:space="preserve"> </w:t>
      </w:r>
      <w:proofErr w:type="gramStart"/>
      <w:r w:rsidRPr="007B2FCB">
        <w:rPr>
          <w:u w:val="single"/>
        </w:rPr>
        <w:t>hojas</w:t>
      </w:r>
      <w:r>
        <w:rPr>
          <w:u w:val="single"/>
        </w:rPr>
        <w:t xml:space="preserve">, </w:t>
      </w:r>
      <w:r>
        <w:t xml:space="preserve"> por</w:t>
      </w:r>
      <w:proofErr w:type="gramEnd"/>
      <w:r>
        <w:t xml:space="preserve"> lo que no se puede tener por atendido el derecho al acceso a la información del Recurrente al faltar más 100 fojas.</w:t>
      </w:r>
    </w:p>
    <w:p w14:paraId="3AC5E871" w14:textId="77777777" w:rsidR="00FF5D9D" w:rsidRDefault="00FF5D9D" w:rsidP="00FF5D9D"/>
    <w:p w14:paraId="44A3F4A0" w14:textId="5C6B81C8" w:rsidR="00FF5D9D" w:rsidRDefault="00FF5D9D" w:rsidP="00FF5D9D">
      <w:r>
        <w:lastRenderedPageBreak/>
        <w:t xml:space="preserve">De lo anterior sirva de sustento la tabla entregada por el Sujeto Obligado en la que se advierte el número total de fojas que integran los expedientes en </w:t>
      </w:r>
      <w:proofErr w:type="gramStart"/>
      <w:r>
        <w:t>comento</w:t>
      </w:r>
      <w:proofErr w:type="gramEnd"/>
      <w:r>
        <w:t xml:space="preserve"> así como la cantidad a pagar previo la entrega de la información; </w:t>
      </w:r>
    </w:p>
    <w:p w14:paraId="03E0FCE8" w14:textId="77777777" w:rsidR="00FF5D9D" w:rsidRDefault="00FF5D9D" w:rsidP="00FF5D9D"/>
    <w:p w14:paraId="361E707A" w14:textId="1C78F674" w:rsidR="007B2FCB" w:rsidRDefault="00FF5D9D" w:rsidP="00FF5D9D">
      <w:pPr>
        <w:pStyle w:val="Prrafodelista"/>
        <w:jc w:val="center"/>
        <w:rPr>
          <w:rFonts w:cs="Arial"/>
          <w:szCs w:val="24"/>
        </w:rPr>
      </w:pPr>
      <w:r w:rsidRPr="00307FB0">
        <w:rPr>
          <w:rFonts w:cs="Arial"/>
          <w:b/>
          <w:bCs/>
          <w:i/>
          <w:noProof/>
          <w:szCs w:val="24"/>
          <w:lang w:val="es-ES" w:eastAsia="es-ES"/>
        </w:rPr>
        <w:drawing>
          <wp:inline distT="0" distB="0" distL="0" distR="0" wp14:anchorId="67938E70" wp14:editId="4F554283">
            <wp:extent cx="4901193" cy="1744082"/>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08699" cy="1782338"/>
                    </a:xfrm>
                    <a:prstGeom prst="rect">
                      <a:avLst/>
                    </a:prstGeom>
                  </pic:spPr>
                </pic:pic>
              </a:graphicData>
            </a:graphic>
          </wp:inline>
        </w:drawing>
      </w:r>
    </w:p>
    <w:p w14:paraId="2F4469F9" w14:textId="77777777" w:rsidR="00FF5D9D" w:rsidRPr="007B2FCB" w:rsidRDefault="00FF5D9D" w:rsidP="007B2FCB">
      <w:pPr>
        <w:pStyle w:val="Prrafodelista"/>
        <w:rPr>
          <w:rFonts w:cs="Arial"/>
          <w:szCs w:val="24"/>
        </w:rPr>
      </w:pPr>
    </w:p>
    <w:p w14:paraId="144D2725" w14:textId="1895E962" w:rsidR="00FF5D9D" w:rsidRPr="00FF5D9D" w:rsidRDefault="007B2FCB" w:rsidP="00FF5D9D">
      <w:pPr>
        <w:pStyle w:val="Prrafodelista"/>
        <w:numPr>
          <w:ilvl w:val="0"/>
          <w:numId w:val="31"/>
        </w:numPr>
        <w:rPr>
          <w:rFonts w:cs="Arial"/>
          <w:szCs w:val="24"/>
        </w:rPr>
      </w:pPr>
      <w:hyperlink r:id="rId13" w:history="1">
        <w:r w:rsidRPr="00BC7184">
          <w:rPr>
            <w:rStyle w:val="Hipervnculo"/>
          </w:rPr>
          <w:t>https://www.pjedomex.gob.mx/vista/1_inicio</w:t>
        </w:r>
      </w:hyperlink>
      <w:r>
        <w:t xml:space="preserve"> </w:t>
      </w:r>
      <w:r w:rsidR="00FF5D9D">
        <w:t xml:space="preserve"> de la cual se advierte que el Sujeto Obligado establece el procedimiento para el acceso a la información por lo que este Instituto procedió a realizar el seguimiento de lo descrito por el Sujeto Obligado; </w:t>
      </w:r>
    </w:p>
    <w:p w14:paraId="4A27024F" w14:textId="77777777" w:rsidR="00FF5D9D" w:rsidRPr="00FF5D9D" w:rsidRDefault="00FF5D9D" w:rsidP="00FF5D9D">
      <w:pPr>
        <w:ind w:left="360"/>
        <w:rPr>
          <w:rFonts w:cs="Arial"/>
          <w:szCs w:val="24"/>
        </w:rPr>
      </w:pPr>
    </w:p>
    <w:p w14:paraId="4F431B23" w14:textId="77777777" w:rsidR="00FF5D9D" w:rsidRPr="00134424" w:rsidRDefault="00FF5D9D" w:rsidP="00FF5D9D">
      <w:pPr>
        <w:pStyle w:val="Prrafodelista"/>
        <w:numPr>
          <w:ilvl w:val="0"/>
          <w:numId w:val="32"/>
        </w:numPr>
        <w:rPr>
          <w:rFonts w:cs="Arial"/>
          <w:bCs/>
          <w:i/>
          <w:sz w:val="22"/>
        </w:rPr>
      </w:pPr>
      <w:r w:rsidRPr="00134424">
        <w:rPr>
          <w:i/>
          <w:sz w:val="22"/>
        </w:rPr>
        <w:t xml:space="preserve">Ingresar en su navegador a la página oficial del Poder Judicial del Estado de México en la liga electrónica liga </w:t>
      </w:r>
      <w:hyperlink r:id="rId14" w:history="1">
        <w:r w:rsidRPr="00134424">
          <w:rPr>
            <w:rStyle w:val="Hipervnculo"/>
            <w:i/>
            <w:sz w:val="22"/>
          </w:rPr>
          <w:t>https://www.pjedomex.gob.mx/vista/1_inicio</w:t>
        </w:r>
      </w:hyperlink>
      <w:r w:rsidRPr="00134424">
        <w:rPr>
          <w:i/>
          <w:sz w:val="22"/>
        </w:rPr>
        <w:t xml:space="preserve"> </w:t>
      </w:r>
    </w:p>
    <w:p w14:paraId="5C74DAF7" w14:textId="77777777" w:rsidR="00FF5D9D" w:rsidRPr="00134424" w:rsidRDefault="00FF5D9D" w:rsidP="00FF5D9D">
      <w:pPr>
        <w:pStyle w:val="Prrafodelista"/>
        <w:numPr>
          <w:ilvl w:val="0"/>
          <w:numId w:val="32"/>
        </w:numPr>
        <w:rPr>
          <w:rFonts w:cs="Arial"/>
          <w:bCs/>
          <w:i/>
          <w:sz w:val="22"/>
        </w:rPr>
      </w:pPr>
      <w:r w:rsidRPr="00134424">
        <w:rPr>
          <w:i/>
          <w:sz w:val="22"/>
        </w:rPr>
        <w:t>Deberá de deslizarse en dicha página, hasta el apartado de Transparencia, donde seleccionará dicho apartado</w:t>
      </w:r>
      <w:r>
        <w:rPr>
          <w:i/>
          <w:sz w:val="22"/>
        </w:rPr>
        <w:t>.</w:t>
      </w:r>
    </w:p>
    <w:p w14:paraId="0A0119FD" w14:textId="77777777" w:rsidR="00FF5D9D" w:rsidRPr="00134424" w:rsidRDefault="00FF5D9D" w:rsidP="00FF5D9D">
      <w:pPr>
        <w:pStyle w:val="Prrafodelista"/>
        <w:numPr>
          <w:ilvl w:val="0"/>
          <w:numId w:val="32"/>
        </w:numPr>
        <w:rPr>
          <w:rFonts w:cs="Arial"/>
          <w:bCs/>
          <w:i/>
          <w:sz w:val="22"/>
        </w:rPr>
      </w:pPr>
      <w:r w:rsidRPr="00134424">
        <w:rPr>
          <w:i/>
          <w:sz w:val="22"/>
        </w:rPr>
        <w:t>Una vez seleccionado el apartado señalado en la imagen que antecede, se desplegará la página siguiente, donde tendrá que seleccionar el apartado de consulta.</w:t>
      </w:r>
    </w:p>
    <w:p w14:paraId="674EB3BC" w14:textId="77777777" w:rsidR="00FF5D9D" w:rsidRPr="00134424" w:rsidRDefault="00FF5D9D" w:rsidP="00FF5D9D">
      <w:pPr>
        <w:pStyle w:val="Prrafodelista"/>
        <w:numPr>
          <w:ilvl w:val="0"/>
          <w:numId w:val="32"/>
        </w:numPr>
        <w:rPr>
          <w:rFonts w:cs="Arial"/>
          <w:bCs/>
          <w:i/>
          <w:sz w:val="22"/>
        </w:rPr>
      </w:pPr>
      <w:r w:rsidRPr="00134424">
        <w:rPr>
          <w:i/>
          <w:sz w:val="22"/>
        </w:rPr>
        <w:t>Posterior a seleccionar el apartado de consulta, se desplegará el menú siguiente, donde seleccionará el apartado de “sentencias en versión pública”</w:t>
      </w:r>
    </w:p>
    <w:p w14:paraId="54E10D5A" w14:textId="753D54A7" w:rsidR="00FF5D9D" w:rsidRPr="00B357EE" w:rsidRDefault="00FF5D9D" w:rsidP="00FF5D9D">
      <w:pPr>
        <w:pStyle w:val="Prrafodelista"/>
        <w:numPr>
          <w:ilvl w:val="0"/>
          <w:numId w:val="32"/>
        </w:numPr>
        <w:rPr>
          <w:rFonts w:cs="Arial"/>
          <w:bCs/>
          <w:i/>
          <w:sz w:val="22"/>
        </w:rPr>
      </w:pPr>
      <w:r w:rsidRPr="00134424">
        <w:rPr>
          <w:i/>
          <w:sz w:val="22"/>
        </w:rPr>
        <w:t>Una vez desplegado el listado de sentencias en versión pública, deberá seleccionar la “590/2016”, deslizar el cursor a su derecha y dar clic en el ícono ver archivo.</w:t>
      </w:r>
    </w:p>
    <w:p w14:paraId="1DC5498B" w14:textId="2415383B" w:rsidR="00FF5D9D" w:rsidRDefault="00FF5D9D" w:rsidP="000C05AB">
      <w:pPr>
        <w:rPr>
          <w:rFonts w:cs="Arial"/>
          <w:szCs w:val="24"/>
        </w:rPr>
      </w:pPr>
      <w:r>
        <w:rPr>
          <w:rFonts w:cs="Arial"/>
          <w:szCs w:val="24"/>
        </w:rPr>
        <w:lastRenderedPageBreak/>
        <w:t xml:space="preserve">De lo anterior se advierte que la liga electrónica y el proceso descrito por el Sujeto Obligado remiten a lo siguiente; </w:t>
      </w:r>
    </w:p>
    <w:p w14:paraId="67779D70" w14:textId="634DD288" w:rsidR="00FF5D9D" w:rsidRDefault="00FF5D9D" w:rsidP="00B357EE">
      <w:pPr>
        <w:jc w:val="center"/>
        <w:rPr>
          <w:rFonts w:cs="Arial"/>
          <w:szCs w:val="24"/>
        </w:rPr>
      </w:pPr>
      <w:r w:rsidRPr="00FF5D9D">
        <w:rPr>
          <w:rFonts w:cs="Arial"/>
          <w:noProof/>
          <w:szCs w:val="24"/>
          <w:lang w:val="es-ES" w:eastAsia="es-ES"/>
        </w:rPr>
        <w:drawing>
          <wp:inline distT="0" distB="0" distL="0" distR="0" wp14:anchorId="151B5329" wp14:editId="3E49DAE5">
            <wp:extent cx="4970754" cy="2359966"/>
            <wp:effectExtent l="0" t="0" r="1905"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92839" cy="2370451"/>
                    </a:xfrm>
                    <a:prstGeom prst="rect">
                      <a:avLst/>
                    </a:prstGeom>
                  </pic:spPr>
                </pic:pic>
              </a:graphicData>
            </a:graphic>
          </wp:inline>
        </w:drawing>
      </w:r>
    </w:p>
    <w:p w14:paraId="056C2481" w14:textId="563E3B5B" w:rsidR="00FF5D9D" w:rsidRDefault="00464C0F" w:rsidP="00FF5D9D">
      <w:pPr>
        <w:jc w:val="center"/>
        <w:rPr>
          <w:rFonts w:cs="Arial"/>
          <w:szCs w:val="24"/>
        </w:rPr>
      </w:pPr>
      <w:r w:rsidRPr="00464C0F">
        <w:rPr>
          <w:rFonts w:cs="Arial"/>
          <w:noProof/>
          <w:szCs w:val="24"/>
          <w:lang w:val="es-ES" w:eastAsia="es-ES"/>
        </w:rPr>
        <w:drawing>
          <wp:inline distT="0" distB="0" distL="0" distR="0" wp14:anchorId="2C77E322" wp14:editId="6D0D5B0D">
            <wp:extent cx="3835400" cy="3555475"/>
            <wp:effectExtent l="0" t="0" r="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60555" cy="3578794"/>
                    </a:xfrm>
                    <a:prstGeom prst="rect">
                      <a:avLst/>
                    </a:prstGeom>
                  </pic:spPr>
                </pic:pic>
              </a:graphicData>
            </a:graphic>
          </wp:inline>
        </w:drawing>
      </w:r>
    </w:p>
    <w:p w14:paraId="2CAC4321" w14:textId="2E15B324" w:rsidR="00464C0F" w:rsidRDefault="00464C0F" w:rsidP="00FF5D9D">
      <w:pPr>
        <w:jc w:val="center"/>
        <w:rPr>
          <w:rFonts w:cs="Arial"/>
          <w:szCs w:val="24"/>
        </w:rPr>
      </w:pPr>
      <w:r w:rsidRPr="00464C0F">
        <w:rPr>
          <w:rFonts w:cs="Arial"/>
          <w:noProof/>
          <w:szCs w:val="24"/>
          <w:lang w:val="es-ES" w:eastAsia="es-ES"/>
        </w:rPr>
        <w:lastRenderedPageBreak/>
        <w:drawing>
          <wp:inline distT="0" distB="0" distL="0" distR="0" wp14:anchorId="1186459F" wp14:editId="1F8AA89C">
            <wp:extent cx="3669221" cy="4036695"/>
            <wp:effectExtent l="0" t="0" r="762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06687" cy="4077913"/>
                    </a:xfrm>
                    <a:prstGeom prst="rect">
                      <a:avLst/>
                    </a:prstGeom>
                  </pic:spPr>
                </pic:pic>
              </a:graphicData>
            </a:graphic>
          </wp:inline>
        </w:drawing>
      </w:r>
    </w:p>
    <w:p w14:paraId="614CF7D5" w14:textId="251943FD" w:rsidR="000C05AB" w:rsidRDefault="000C05AB" w:rsidP="000C05AB">
      <w:pPr>
        <w:rPr>
          <w:rFonts w:cs="Arial"/>
          <w:szCs w:val="24"/>
        </w:rPr>
      </w:pPr>
      <w:r>
        <w:rPr>
          <w:rFonts w:cs="Arial"/>
          <w:szCs w:val="24"/>
        </w:rPr>
        <w:t>Proporcionó ligas electrónicas para su consulta, en las cuales</w:t>
      </w:r>
      <w:r w:rsidR="00464C0F">
        <w:rPr>
          <w:rFonts w:cs="Arial"/>
          <w:szCs w:val="24"/>
        </w:rPr>
        <w:t xml:space="preserve"> consta el expediente 590/2016</w:t>
      </w:r>
      <w:r>
        <w:rPr>
          <w:rFonts w:cs="Arial"/>
          <w:szCs w:val="24"/>
        </w:rPr>
        <w:t xml:space="preserve">, sin embargo, </w:t>
      </w:r>
      <w:r>
        <w:rPr>
          <w:rFonts w:eastAsia="Times New Roman" w:cs="Arial"/>
          <w:szCs w:val="24"/>
          <w:lang w:val="es-ES" w:eastAsia="es-ES"/>
        </w:rPr>
        <w:t xml:space="preserve">se advierte que, </w:t>
      </w:r>
      <w:r w:rsidRPr="00E75C0C">
        <w:rPr>
          <w:rFonts w:cs="Arial"/>
          <w:b/>
          <w:bCs/>
          <w:szCs w:val="24"/>
        </w:rPr>
        <w:t>se encuentran</w:t>
      </w:r>
      <w:r w:rsidR="00464C0F">
        <w:rPr>
          <w:rFonts w:cs="Arial"/>
          <w:b/>
          <w:bCs/>
          <w:szCs w:val="24"/>
        </w:rPr>
        <w:t xml:space="preserve"> en formato abierto</w:t>
      </w:r>
      <w:r w:rsidRPr="00F00937">
        <w:rPr>
          <w:rFonts w:cs="Arial"/>
          <w:szCs w:val="24"/>
        </w:rPr>
        <w:t xml:space="preserve">; es decir, </w:t>
      </w:r>
      <w:r w:rsidR="00464C0F">
        <w:rPr>
          <w:rFonts w:cs="Arial"/>
          <w:szCs w:val="24"/>
        </w:rPr>
        <w:t>ya no implica que el Recurrente transcriba la dirección electrónica así mismo se advierte que se la información se encuentra en versión pública y disponible para su descarga.</w:t>
      </w:r>
    </w:p>
    <w:p w14:paraId="5551FE93" w14:textId="77777777" w:rsidR="00464C0F" w:rsidRDefault="00464C0F" w:rsidP="000C05AB">
      <w:pPr>
        <w:rPr>
          <w:rFonts w:cs="Arial"/>
          <w:szCs w:val="24"/>
        </w:rPr>
      </w:pPr>
    </w:p>
    <w:p w14:paraId="5FD2FDFF" w14:textId="728B9BB8" w:rsidR="007E5188" w:rsidRPr="00F00937" w:rsidRDefault="000C05AB" w:rsidP="000C05AB">
      <w:pPr>
        <w:rPr>
          <w:rFonts w:cs="Arial"/>
          <w:szCs w:val="24"/>
        </w:rPr>
      </w:pPr>
      <w:r w:rsidRPr="00F00937">
        <w:rPr>
          <w:rFonts w:cs="Arial"/>
          <w:szCs w:val="24"/>
        </w:rPr>
        <w:t>Asimismo, se debe establecer que al proporcionar información pública es necesario que sea en un formato que no tenga ninguna restricción en el acceso o reutilización, por lo que, es necesario que los datos digitales (como ligas electrónicas), se proporcionen en un formato abierto</w:t>
      </w:r>
      <w:r w:rsidR="007E5188">
        <w:rPr>
          <w:rFonts w:cs="Arial"/>
          <w:szCs w:val="24"/>
        </w:rPr>
        <w:t xml:space="preserve"> situación que aconteció en la respuesta del Sujeto Obligado en ambas ligas electrónicas</w:t>
      </w:r>
      <w:r w:rsidRPr="00F00937">
        <w:rPr>
          <w:rFonts w:cs="Arial"/>
          <w:szCs w:val="24"/>
        </w:rPr>
        <w:t>.</w:t>
      </w:r>
    </w:p>
    <w:p w14:paraId="55B0E6F0" w14:textId="77777777" w:rsidR="000C05AB" w:rsidRPr="00F00937" w:rsidRDefault="000C05AB" w:rsidP="000C05AB">
      <w:pPr>
        <w:rPr>
          <w:rFonts w:cs="Arial"/>
          <w:szCs w:val="24"/>
        </w:rPr>
      </w:pPr>
      <w:r w:rsidRPr="00F00937">
        <w:rPr>
          <w:rFonts w:cs="Arial"/>
          <w:szCs w:val="24"/>
        </w:rPr>
        <w:lastRenderedPageBreak/>
        <w:t>Se considera necesario precisar que datos abiertos, conforme a la Carta Internacional de Datos Abiertos</w:t>
      </w:r>
      <w:r w:rsidRPr="00F00937">
        <w:rPr>
          <w:rStyle w:val="Refdenotaalpie"/>
          <w:rFonts w:cs="Tahoma"/>
          <w:bCs/>
        </w:rPr>
        <w:footnoteReference w:id="2"/>
      </w:r>
      <w:r w:rsidRPr="00F00937">
        <w:rPr>
          <w:rFonts w:cs="Arial"/>
          <w:szCs w:val="24"/>
        </w:rPr>
        <w:t xml:space="preserve"> son datos digitales que son puestos a disposición con las características técnicas y jurídicas necesarias para que </w:t>
      </w:r>
      <w:r w:rsidRPr="00F00937">
        <w:rPr>
          <w:rFonts w:cs="Arial"/>
          <w:b/>
          <w:szCs w:val="24"/>
        </w:rPr>
        <w:t>puedan ser usados, reutilizados y redistribuidos libremente por cualquier persona, en cualquier momento y en cualquier lugar</w:t>
      </w:r>
      <w:r w:rsidRPr="00F00937">
        <w:rPr>
          <w:rFonts w:cs="Arial"/>
          <w:szCs w:val="24"/>
        </w:rPr>
        <w:t>.</w:t>
      </w:r>
    </w:p>
    <w:p w14:paraId="7E9867A4" w14:textId="77777777" w:rsidR="000C05AB" w:rsidRPr="00F00937" w:rsidRDefault="000C05AB" w:rsidP="000C05AB">
      <w:pPr>
        <w:rPr>
          <w:rFonts w:cs="Arial"/>
          <w:szCs w:val="24"/>
        </w:rPr>
      </w:pPr>
    </w:p>
    <w:p w14:paraId="4C79E5DF" w14:textId="7D27CCF6" w:rsidR="000C05AB" w:rsidRDefault="000C05AB" w:rsidP="000C05AB">
      <w:pPr>
        <w:rPr>
          <w:rFonts w:cs="Arial"/>
          <w:szCs w:val="24"/>
        </w:rPr>
      </w:pPr>
      <w:r w:rsidRPr="00F00937">
        <w:rPr>
          <w:rFonts w:cs="Arial"/>
          <w:szCs w:val="24"/>
        </w:rPr>
        <w:t>En ese contexto, el artículo 3°, fracción VI y X, de la Ley General de Transparencia y Acceso a la Información Pública, con relación, al diverso 3°, fracciones VIII y XVI de la Ley de Transparencia y Acceso a la Información Pública del Estado de México y Mun</w:t>
      </w:r>
      <w:r w:rsidR="007E5188">
        <w:rPr>
          <w:rFonts w:cs="Arial"/>
          <w:szCs w:val="24"/>
        </w:rPr>
        <w:t>icipios, precisan lo siguiente:</w:t>
      </w:r>
    </w:p>
    <w:p w14:paraId="7AEEEB54" w14:textId="77777777" w:rsidR="007E5188" w:rsidRPr="00F00937" w:rsidRDefault="007E5188" w:rsidP="000C05AB">
      <w:pPr>
        <w:rPr>
          <w:rFonts w:cs="Arial"/>
          <w:szCs w:val="24"/>
        </w:rPr>
      </w:pPr>
    </w:p>
    <w:p w14:paraId="7B7475EC" w14:textId="77777777" w:rsidR="000C05AB" w:rsidRPr="00F00937" w:rsidRDefault="000C05AB" w:rsidP="000C05AB">
      <w:pPr>
        <w:pStyle w:val="Prrafodelista"/>
        <w:numPr>
          <w:ilvl w:val="0"/>
          <w:numId w:val="30"/>
        </w:numPr>
        <w:contextualSpacing w:val="0"/>
        <w:rPr>
          <w:rFonts w:cs="Arial"/>
        </w:rPr>
      </w:pPr>
      <w:r w:rsidRPr="00F00937">
        <w:rPr>
          <w:rFonts w:cs="Arial"/>
          <w:b/>
        </w:rPr>
        <w:t>Dato abierto:</w:t>
      </w:r>
      <w:r w:rsidRPr="00F00937">
        <w:rPr>
          <w:rFonts w:cs="Arial"/>
        </w:rPr>
        <w:t xml:space="preserve"> 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3DDCDDBD" w14:textId="77777777" w:rsidR="000C05AB" w:rsidRPr="00F00937" w:rsidRDefault="000C05AB" w:rsidP="000C05AB">
      <w:pPr>
        <w:rPr>
          <w:rFonts w:cs="Arial"/>
          <w:szCs w:val="24"/>
        </w:rPr>
      </w:pPr>
    </w:p>
    <w:p w14:paraId="5D337101" w14:textId="77777777" w:rsidR="000C05AB" w:rsidRPr="00F00937" w:rsidRDefault="000C05AB" w:rsidP="000C05AB">
      <w:pPr>
        <w:pStyle w:val="Prrafodelista"/>
        <w:numPr>
          <w:ilvl w:val="0"/>
          <w:numId w:val="30"/>
        </w:numPr>
        <w:contextualSpacing w:val="0"/>
        <w:rPr>
          <w:rFonts w:cs="Arial"/>
        </w:rPr>
      </w:pPr>
      <w:r w:rsidRPr="00F00937">
        <w:rPr>
          <w:rFonts w:cs="Arial"/>
          <w:b/>
        </w:rPr>
        <w:t>Formato accesible:</w:t>
      </w:r>
      <w:r w:rsidRPr="00F00937">
        <w:rPr>
          <w:rFonts w:cs="Arial"/>
        </w:rPr>
        <w:t xml:space="preserve"> 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198308EF" w14:textId="77777777" w:rsidR="000C05AB" w:rsidRPr="00F00937" w:rsidRDefault="000C05AB" w:rsidP="000C05AB">
      <w:pPr>
        <w:rPr>
          <w:rFonts w:cs="Arial"/>
          <w:szCs w:val="24"/>
        </w:rPr>
      </w:pPr>
    </w:p>
    <w:p w14:paraId="52FA7CEF" w14:textId="7BA1B573" w:rsidR="000C05AB" w:rsidRPr="00F00937" w:rsidRDefault="000C05AB" w:rsidP="000C05AB">
      <w:pPr>
        <w:rPr>
          <w:rFonts w:cs="Arial"/>
          <w:szCs w:val="24"/>
        </w:rPr>
      </w:pPr>
      <w:r w:rsidRPr="00F00937">
        <w:rPr>
          <w:rFonts w:cs="Arial"/>
          <w:szCs w:val="24"/>
        </w:rPr>
        <w:lastRenderedPageBreak/>
        <w:t xml:space="preserve">En este sentido, los datos abiertos cumplen con la finalidad de poder ser utilizados, </w:t>
      </w:r>
      <w:r w:rsidRPr="00F00937">
        <w:rPr>
          <w:rFonts w:cs="Arial"/>
          <w:b/>
          <w:szCs w:val="24"/>
        </w:rPr>
        <w:t>reutilizados</w:t>
      </w:r>
      <w:r w:rsidRPr="00F00937">
        <w:rPr>
          <w:rFonts w:cs="Arial"/>
          <w:szCs w:val="24"/>
        </w:rPr>
        <w:t xml:space="preserve"> y redistribuidos; y que el formato de datos abiertos, </w:t>
      </w:r>
      <w:r w:rsidRPr="00F00937">
        <w:rPr>
          <w:rFonts w:cs="Arial"/>
          <w:b/>
          <w:szCs w:val="24"/>
        </w:rPr>
        <w:t>debe permitir la aplicación y reproducción</w:t>
      </w:r>
      <w:r w:rsidRPr="00F00937">
        <w:rPr>
          <w:rFonts w:cs="Arial"/>
          <w:szCs w:val="24"/>
        </w:rPr>
        <w:t xml:space="preserve"> de la información sin estar condicionados a contraprestaciones; lo anterior no debe traducirse en la posibilidad de alteración, edición o modificación del original; entonces, podemos advertir que el documento entregado en formato </w:t>
      </w:r>
      <w:proofErr w:type="spellStart"/>
      <w:r w:rsidRPr="00F00937">
        <w:rPr>
          <w:rFonts w:cs="Arial"/>
          <w:szCs w:val="24"/>
        </w:rPr>
        <w:t>pdf</w:t>
      </w:r>
      <w:proofErr w:type="spellEnd"/>
      <w:r w:rsidRPr="00F00937">
        <w:rPr>
          <w:rFonts w:cs="Arial"/>
          <w:szCs w:val="24"/>
        </w:rPr>
        <w:t>, permite seleccionar texto, copiarlo y pegarlo; por tanto</w:t>
      </w:r>
      <w:r w:rsidR="007E5188">
        <w:rPr>
          <w:rFonts w:cs="Arial"/>
          <w:szCs w:val="24"/>
        </w:rPr>
        <w:t>,</w:t>
      </w:r>
      <w:r w:rsidRPr="00F00937">
        <w:rPr>
          <w:rFonts w:cs="Arial"/>
          <w:szCs w:val="24"/>
        </w:rPr>
        <w:t xml:space="preserve"> permite que la información pueda ser utilizada, reutilizada o redistribuida</w:t>
      </w:r>
      <w:r w:rsidR="007E5188">
        <w:rPr>
          <w:rFonts w:cs="Arial"/>
          <w:szCs w:val="24"/>
        </w:rPr>
        <w:t xml:space="preserve"> teniendo por colmada</w:t>
      </w:r>
      <w:r w:rsidR="00342355">
        <w:rPr>
          <w:rFonts w:cs="Arial"/>
          <w:szCs w:val="24"/>
        </w:rPr>
        <w:t xml:space="preserve"> parcialmente</w:t>
      </w:r>
      <w:r w:rsidR="007E5188">
        <w:rPr>
          <w:rFonts w:cs="Arial"/>
          <w:szCs w:val="24"/>
        </w:rPr>
        <w:t xml:space="preserve"> la liga electrónica que da cuenta de lo requerido respecto la toca 590/2016</w:t>
      </w:r>
      <w:r w:rsidR="00342355">
        <w:rPr>
          <w:rFonts w:cs="Arial"/>
          <w:szCs w:val="24"/>
        </w:rPr>
        <w:t>, pues no pasa por desapercibido por este Instituto que el Recurrente también requirió la copia de la apelación correspondiente a la toca 590/2016</w:t>
      </w:r>
      <w:r w:rsidRPr="00F00937">
        <w:rPr>
          <w:rFonts w:cs="Arial"/>
          <w:szCs w:val="24"/>
        </w:rPr>
        <w:t>.</w:t>
      </w:r>
    </w:p>
    <w:p w14:paraId="1C02B465" w14:textId="77777777" w:rsidR="007E5188" w:rsidRDefault="007E5188" w:rsidP="007E5188">
      <w:pPr>
        <w:rPr>
          <w:i/>
        </w:rPr>
      </w:pPr>
    </w:p>
    <w:p w14:paraId="69EF06D0" w14:textId="3EF7242A" w:rsidR="007E5188" w:rsidRPr="007E5188" w:rsidRDefault="007E5188" w:rsidP="007E5188">
      <w:r>
        <w:t xml:space="preserve">Por lo que se debe puntualizar hasta el momento lo siguiente; </w:t>
      </w:r>
    </w:p>
    <w:p w14:paraId="2ECF49D4" w14:textId="77777777" w:rsidR="007E5188" w:rsidRPr="007E5188" w:rsidRDefault="007E5188" w:rsidP="007E5188">
      <w:pPr>
        <w:pStyle w:val="Sinespaciado"/>
        <w:numPr>
          <w:ilvl w:val="0"/>
          <w:numId w:val="16"/>
        </w:numPr>
        <w:spacing w:line="360" w:lineRule="auto"/>
        <w:jc w:val="both"/>
        <w:rPr>
          <w:rFonts w:ascii="Palatino Linotype" w:hAnsi="Palatino Linotype"/>
        </w:rPr>
      </w:pPr>
      <w:r w:rsidRPr="007E5188">
        <w:rPr>
          <w:rFonts w:ascii="Palatino Linotype" w:hAnsi="Palatino Linotype"/>
        </w:rPr>
        <w:t xml:space="preserve">El derecho de acceso a la información versa esencialmente en acceder a información registrada en cualquier soporte documental que en ejercicio de las atribuciones conferidas sea generada, poseída o administrada por los </w:t>
      </w:r>
      <w:r w:rsidRPr="007E5188">
        <w:rPr>
          <w:rFonts w:ascii="Palatino Linotype" w:hAnsi="Palatino Linotype"/>
          <w:b/>
          <w:bCs/>
        </w:rPr>
        <w:t xml:space="preserve">Sujetos Obligados. </w:t>
      </w:r>
    </w:p>
    <w:p w14:paraId="61501A43" w14:textId="77777777" w:rsidR="007E5188" w:rsidRPr="00077924" w:rsidRDefault="007E5188" w:rsidP="007E5188">
      <w:pPr>
        <w:pStyle w:val="Sinespaciado"/>
        <w:spacing w:line="360" w:lineRule="auto"/>
        <w:ind w:left="720"/>
        <w:jc w:val="both"/>
        <w:rPr>
          <w:rFonts w:ascii="Palatino Linotype" w:hAnsi="Palatino Linotype"/>
        </w:rPr>
      </w:pPr>
    </w:p>
    <w:p w14:paraId="4C6970D1" w14:textId="337459EE" w:rsidR="007E5188" w:rsidRDefault="007E5188" w:rsidP="007E5188">
      <w:pPr>
        <w:pStyle w:val="Sinespaciado"/>
        <w:numPr>
          <w:ilvl w:val="0"/>
          <w:numId w:val="16"/>
        </w:numPr>
        <w:spacing w:line="360" w:lineRule="auto"/>
        <w:jc w:val="both"/>
        <w:rPr>
          <w:rFonts w:ascii="Palatino Linotype" w:hAnsi="Palatino Linotype"/>
        </w:rPr>
      </w:pPr>
      <w:r w:rsidRPr="00077924">
        <w:rPr>
          <w:rFonts w:ascii="Palatino Linotype" w:hAnsi="Palatino Linotype"/>
        </w:rPr>
        <w:t>En términos del numeral 162 de la Ley de Transparencia local, las unidades de transparencia deberán de garantizar que las solicitudes de información formuladas por la ciudadanía sean turnadas a todas las áreas administrativas en razón de las facultades, competencias y funciones reservadas.</w:t>
      </w:r>
    </w:p>
    <w:p w14:paraId="74A2B19D" w14:textId="77777777" w:rsidR="00F04E3C" w:rsidRDefault="00F04E3C" w:rsidP="00F04E3C">
      <w:pPr>
        <w:pStyle w:val="Prrafodelista"/>
      </w:pPr>
    </w:p>
    <w:p w14:paraId="24EEB501" w14:textId="77777777" w:rsidR="00F04E3C" w:rsidRPr="00FE1711" w:rsidRDefault="00F04E3C" w:rsidP="00F04E3C">
      <w:pPr>
        <w:pStyle w:val="Sinespaciado"/>
        <w:spacing w:line="360" w:lineRule="auto"/>
        <w:ind w:left="720"/>
        <w:jc w:val="both"/>
        <w:rPr>
          <w:rFonts w:ascii="Palatino Linotype" w:hAnsi="Palatino Linotype"/>
        </w:rPr>
      </w:pPr>
    </w:p>
    <w:p w14:paraId="11B7E2BF" w14:textId="71BC0F5F" w:rsidR="00320A3C" w:rsidRPr="00320A3C" w:rsidRDefault="007E5188" w:rsidP="00320A3C">
      <w:pPr>
        <w:pStyle w:val="Prrafodelista"/>
        <w:numPr>
          <w:ilvl w:val="0"/>
          <w:numId w:val="16"/>
        </w:numPr>
        <w:contextualSpacing w:val="0"/>
        <w:rPr>
          <w:rFonts w:eastAsiaTheme="majorEastAsia" w:cs="Arial"/>
          <w:bCs/>
        </w:rPr>
      </w:pPr>
      <w:r w:rsidRPr="00077924">
        <w:rPr>
          <w:rFonts w:cs="Arial"/>
        </w:rPr>
        <w:lastRenderedPageBreak/>
        <w:t xml:space="preserve">Resulta evidente para </w:t>
      </w:r>
      <w:r w:rsidR="00A71F61">
        <w:rPr>
          <w:rFonts w:cs="Arial"/>
        </w:rPr>
        <w:t>este Órgano Garante</w:t>
      </w:r>
      <w:r w:rsidRPr="00077924">
        <w:rPr>
          <w:rFonts w:cs="Arial"/>
        </w:rPr>
        <w:t xml:space="preserve"> que la Unidad de Transparencia del </w:t>
      </w:r>
      <w:r w:rsidRPr="00077924">
        <w:rPr>
          <w:rFonts w:cs="Arial"/>
          <w:b/>
        </w:rPr>
        <w:t>Sujeto Obligado</w:t>
      </w:r>
      <w:r w:rsidRPr="00077924">
        <w:rPr>
          <w:rFonts w:cs="Arial"/>
        </w:rPr>
        <w:t xml:space="preserve"> le </w:t>
      </w:r>
      <w:r w:rsidR="00320A3C">
        <w:rPr>
          <w:rFonts w:cs="Arial"/>
        </w:rPr>
        <w:t xml:space="preserve">dio </w:t>
      </w:r>
      <w:r w:rsidRPr="00077924">
        <w:rPr>
          <w:rFonts w:cs="Arial"/>
        </w:rPr>
        <w:t xml:space="preserve">trámite correspondiente a la solicitud de acceso a la información pues turno la solicitud de información a la unidad administrativa que posee, genera o administrar la información requerida. </w:t>
      </w:r>
    </w:p>
    <w:p w14:paraId="63AE566E" w14:textId="77777777" w:rsidR="00320A3C" w:rsidRPr="00320A3C" w:rsidRDefault="00320A3C" w:rsidP="00320A3C">
      <w:pPr>
        <w:pStyle w:val="Prrafodelista"/>
        <w:rPr>
          <w:rFonts w:eastAsiaTheme="majorEastAsia" w:cs="Arial"/>
          <w:bCs/>
        </w:rPr>
      </w:pPr>
    </w:p>
    <w:p w14:paraId="63BB0574" w14:textId="51444D3A" w:rsidR="00555D9B" w:rsidRPr="00A01975" w:rsidRDefault="007E5188" w:rsidP="00A01975">
      <w:pPr>
        <w:pStyle w:val="Prrafodelista"/>
        <w:numPr>
          <w:ilvl w:val="0"/>
          <w:numId w:val="16"/>
        </w:numPr>
        <w:contextualSpacing w:val="0"/>
        <w:rPr>
          <w:rFonts w:eastAsiaTheme="majorEastAsia" w:cs="Arial"/>
          <w:bCs/>
        </w:rPr>
      </w:pPr>
      <w:r w:rsidRPr="00320A3C">
        <w:rPr>
          <w:rFonts w:eastAsiaTheme="majorEastAsia" w:cs="Arial"/>
          <w:bCs/>
        </w:rPr>
        <w:t xml:space="preserve">Del estudio realizado resulta viable establecer que el Sujeto Obligado colmo </w:t>
      </w:r>
      <w:r w:rsidR="00320A3C" w:rsidRPr="00320A3C">
        <w:rPr>
          <w:rFonts w:eastAsiaTheme="majorEastAsia" w:cs="Arial"/>
          <w:bCs/>
        </w:rPr>
        <w:t xml:space="preserve">parcialmente lo requerido por el Recurrente al entregarle en formato abierto </w:t>
      </w:r>
      <w:r w:rsidR="00320A3C" w:rsidRPr="00320A3C">
        <w:rPr>
          <w:rFonts w:cs="Arial"/>
          <w:szCs w:val="24"/>
        </w:rPr>
        <w:t>la liga electrónica que da cuenta de lo requerido respecto la toca 590/2016</w:t>
      </w:r>
      <w:r w:rsidR="00342355">
        <w:rPr>
          <w:rFonts w:cs="Arial"/>
          <w:szCs w:val="24"/>
        </w:rPr>
        <w:t xml:space="preserve"> reiterando  que el R</w:t>
      </w:r>
      <w:r w:rsidR="00342355" w:rsidRPr="00342355">
        <w:rPr>
          <w:rFonts w:cs="Arial"/>
          <w:szCs w:val="24"/>
        </w:rPr>
        <w:t>ecurrente también requirió la copia de la apelación correspondiente a la toca 590/</w:t>
      </w:r>
      <w:proofErr w:type="spellStart"/>
      <w:r w:rsidR="00342355" w:rsidRPr="00342355">
        <w:rPr>
          <w:rFonts w:cs="Arial"/>
          <w:szCs w:val="24"/>
        </w:rPr>
        <w:t>2016</w:t>
      </w:r>
      <w:r w:rsidR="00320A3C" w:rsidRPr="00A01975">
        <w:rPr>
          <w:rFonts w:cs="Arial"/>
          <w:szCs w:val="24"/>
        </w:rPr>
        <w:t>por</w:t>
      </w:r>
      <w:proofErr w:type="spellEnd"/>
      <w:r w:rsidR="00320A3C" w:rsidRPr="00A01975">
        <w:rPr>
          <w:rFonts w:cs="Arial"/>
          <w:szCs w:val="24"/>
        </w:rPr>
        <w:t xml:space="preserve"> lo que </w:t>
      </w:r>
      <w:r w:rsidR="006625FA" w:rsidRPr="00A01975">
        <w:rPr>
          <w:rFonts w:eastAsia="Palatino Linotype" w:cs="Palatino Linotype"/>
          <w:color w:val="000000"/>
        </w:rPr>
        <w:t xml:space="preserve">se consideran </w:t>
      </w:r>
      <w:r w:rsidRPr="00A01975">
        <w:rPr>
          <w:rFonts w:eastAsia="Palatino Linotype" w:cs="Palatino Linotype"/>
          <w:color w:val="000000"/>
        </w:rPr>
        <w:t xml:space="preserve">parcialmente </w:t>
      </w:r>
      <w:r w:rsidR="006625FA" w:rsidRPr="00A01975">
        <w:rPr>
          <w:rFonts w:eastAsia="Palatino Linotype" w:cs="Palatino Linotype"/>
          <w:color w:val="000000"/>
        </w:rPr>
        <w:t xml:space="preserve">fundados los motivos de inconformidad hechos valer por el particular, siendo procedente ordenar se entregue, de ser procedente en versión pública </w:t>
      </w:r>
      <w:r w:rsidRPr="00A01975">
        <w:rPr>
          <w:rFonts w:eastAsia="Palatino Linotype" w:cs="Palatino Linotype"/>
          <w:color w:val="000000"/>
        </w:rPr>
        <w:t xml:space="preserve">el soporte documental que </w:t>
      </w:r>
      <w:r w:rsidR="00320A3C" w:rsidRPr="00A01975">
        <w:rPr>
          <w:rFonts w:eastAsia="Palatino Linotype" w:cs="Palatino Linotype"/>
          <w:color w:val="000000"/>
        </w:rPr>
        <w:t>dé</w:t>
      </w:r>
      <w:r w:rsidRPr="00A01975">
        <w:rPr>
          <w:rFonts w:eastAsia="Palatino Linotype" w:cs="Palatino Linotype"/>
          <w:color w:val="000000"/>
        </w:rPr>
        <w:t xml:space="preserve"> cuenta de </w:t>
      </w:r>
      <w:r w:rsidR="00320A3C" w:rsidRPr="00A01975">
        <w:rPr>
          <w:color w:val="000000"/>
          <w:szCs w:val="24"/>
        </w:rPr>
        <w:t>la demanda, la contestación a la demanda</w:t>
      </w:r>
      <w:r w:rsidRPr="00A01975">
        <w:rPr>
          <w:color w:val="000000"/>
          <w:szCs w:val="24"/>
        </w:rPr>
        <w:t xml:space="preserve"> y de los escritos de ofrecimiento de pruebas contenidos en el ordinario c</w:t>
      </w:r>
      <w:r w:rsidR="00320A3C" w:rsidRPr="00A01975">
        <w:rPr>
          <w:color w:val="000000"/>
          <w:szCs w:val="24"/>
        </w:rPr>
        <w:t>ivil 1094/2015, del índice del Juez Cuarto Civil de Primera instancia del Distrito J</w:t>
      </w:r>
      <w:r w:rsidRPr="00A01975">
        <w:rPr>
          <w:color w:val="000000"/>
          <w:szCs w:val="24"/>
        </w:rPr>
        <w:t>ud</w:t>
      </w:r>
      <w:r w:rsidR="00320A3C" w:rsidRPr="00A01975">
        <w:rPr>
          <w:color w:val="000000"/>
          <w:szCs w:val="24"/>
        </w:rPr>
        <w:t>icial de Cuautitlán, Estado de M</w:t>
      </w:r>
      <w:r w:rsidRPr="00A01975">
        <w:rPr>
          <w:color w:val="000000"/>
          <w:szCs w:val="24"/>
        </w:rPr>
        <w:t>éxic</w:t>
      </w:r>
      <w:r w:rsidR="00A01975">
        <w:rPr>
          <w:color w:val="000000"/>
          <w:szCs w:val="24"/>
        </w:rPr>
        <w:t xml:space="preserve">o así como el soporte documental que </w:t>
      </w:r>
      <w:proofErr w:type="spellStart"/>
      <w:r w:rsidR="00A01975">
        <w:rPr>
          <w:color w:val="000000"/>
          <w:szCs w:val="24"/>
        </w:rPr>
        <w:t>de</w:t>
      </w:r>
      <w:proofErr w:type="spellEnd"/>
      <w:r w:rsidR="00A01975">
        <w:rPr>
          <w:color w:val="000000"/>
          <w:szCs w:val="24"/>
        </w:rPr>
        <w:t xml:space="preserve"> cuenta de </w:t>
      </w:r>
      <w:r w:rsidR="00A01975" w:rsidRPr="00A01975">
        <w:rPr>
          <w:rFonts w:eastAsia="Palatino Linotype" w:cs="Palatino Linotype"/>
          <w:color w:val="000000"/>
          <w:szCs w:val="24"/>
        </w:rPr>
        <w:t xml:space="preserve">la apelación contenida en el toca 590/2016 de la segunda </w:t>
      </w:r>
      <w:r w:rsidR="00A01975">
        <w:rPr>
          <w:rFonts w:eastAsia="Palatino Linotype" w:cs="Palatino Linotype"/>
          <w:color w:val="000000"/>
          <w:szCs w:val="24"/>
        </w:rPr>
        <w:t>S</w:t>
      </w:r>
      <w:r w:rsidR="00A01975" w:rsidRPr="00A01975">
        <w:rPr>
          <w:rFonts w:eastAsia="Palatino Linotype" w:cs="Palatino Linotype"/>
          <w:color w:val="000000"/>
          <w:szCs w:val="24"/>
        </w:rPr>
        <w:t xml:space="preserve">ala </w:t>
      </w:r>
      <w:r w:rsidR="00A01975">
        <w:rPr>
          <w:rFonts w:eastAsia="Palatino Linotype" w:cs="Palatino Linotype"/>
          <w:color w:val="000000"/>
          <w:szCs w:val="24"/>
        </w:rPr>
        <w:t>C</w:t>
      </w:r>
      <w:r w:rsidR="00A01975" w:rsidRPr="00A01975">
        <w:rPr>
          <w:rFonts w:eastAsia="Palatino Linotype" w:cs="Palatino Linotype"/>
          <w:color w:val="000000"/>
          <w:szCs w:val="24"/>
        </w:rPr>
        <w:t xml:space="preserve">ivil de </w:t>
      </w:r>
      <w:r w:rsidR="00A01975">
        <w:rPr>
          <w:rFonts w:eastAsia="Palatino Linotype" w:cs="Palatino Linotype"/>
          <w:color w:val="000000"/>
          <w:szCs w:val="24"/>
        </w:rPr>
        <w:t>T</w:t>
      </w:r>
      <w:r w:rsidR="00A01975" w:rsidRPr="00A01975">
        <w:rPr>
          <w:rFonts w:eastAsia="Palatino Linotype" w:cs="Palatino Linotype"/>
          <w:color w:val="000000"/>
          <w:szCs w:val="24"/>
        </w:rPr>
        <w:t xml:space="preserve">lalnepantla del </w:t>
      </w:r>
      <w:r w:rsidR="00A01975">
        <w:rPr>
          <w:rFonts w:eastAsia="Palatino Linotype" w:cs="Palatino Linotype"/>
          <w:color w:val="000000"/>
          <w:szCs w:val="24"/>
        </w:rPr>
        <w:t>T</w:t>
      </w:r>
      <w:r w:rsidR="00A01975" w:rsidRPr="00A01975">
        <w:rPr>
          <w:rFonts w:eastAsia="Palatino Linotype" w:cs="Palatino Linotype"/>
          <w:color w:val="000000"/>
          <w:szCs w:val="24"/>
        </w:rPr>
        <w:t xml:space="preserve">ribunal </w:t>
      </w:r>
      <w:r w:rsidR="00A01975">
        <w:rPr>
          <w:rFonts w:eastAsia="Palatino Linotype" w:cs="Palatino Linotype"/>
          <w:color w:val="000000"/>
          <w:szCs w:val="24"/>
        </w:rPr>
        <w:t>S</w:t>
      </w:r>
      <w:r w:rsidR="00A01975" w:rsidRPr="00A01975">
        <w:rPr>
          <w:rFonts w:eastAsia="Palatino Linotype" w:cs="Palatino Linotype"/>
          <w:color w:val="000000"/>
          <w:szCs w:val="24"/>
        </w:rPr>
        <w:t xml:space="preserve">uperior de </w:t>
      </w:r>
      <w:r w:rsidR="00A01975">
        <w:rPr>
          <w:rFonts w:eastAsia="Palatino Linotype" w:cs="Palatino Linotype"/>
          <w:color w:val="000000"/>
          <w:szCs w:val="24"/>
        </w:rPr>
        <w:t>J</w:t>
      </w:r>
      <w:r w:rsidR="00A01975" w:rsidRPr="00A01975">
        <w:rPr>
          <w:rFonts w:eastAsia="Palatino Linotype" w:cs="Palatino Linotype"/>
          <w:color w:val="000000"/>
          <w:szCs w:val="24"/>
        </w:rPr>
        <w:t xml:space="preserve">usticia del </w:t>
      </w:r>
      <w:r w:rsidR="00A01975">
        <w:rPr>
          <w:rFonts w:eastAsia="Palatino Linotype" w:cs="Palatino Linotype"/>
          <w:color w:val="000000"/>
          <w:szCs w:val="24"/>
        </w:rPr>
        <w:t>E</w:t>
      </w:r>
      <w:r w:rsidR="00A01975" w:rsidRPr="00A01975">
        <w:rPr>
          <w:rFonts w:eastAsia="Palatino Linotype" w:cs="Palatino Linotype"/>
          <w:color w:val="000000"/>
          <w:szCs w:val="24"/>
        </w:rPr>
        <w:t xml:space="preserve">stado de </w:t>
      </w:r>
      <w:r w:rsidR="00A01975">
        <w:rPr>
          <w:rFonts w:eastAsia="Palatino Linotype" w:cs="Palatino Linotype"/>
          <w:color w:val="000000"/>
          <w:szCs w:val="24"/>
        </w:rPr>
        <w:t>M</w:t>
      </w:r>
      <w:r w:rsidR="00A01975" w:rsidRPr="00A01975">
        <w:rPr>
          <w:rFonts w:eastAsia="Palatino Linotype" w:cs="Palatino Linotype"/>
          <w:color w:val="000000"/>
          <w:szCs w:val="24"/>
        </w:rPr>
        <w:t>éxico.</w:t>
      </w:r>
    </w:p>
    <w:p w14:paraId="33BBEC6F" w14:textId="77777777" w:rsidR="00320A3C" w:rsidRDefault="00320A3C" w:rsidP="00511260">
      <w:pPr>
        <w:rPr>
          <w:szCs w:val="24"/>
        </w:rPr>
      </w:pPr>
    </w:p>
    <w:p w14:paraId="438238FA" w14:textId="77777777" w:rsidR="00320A3C" w:rsidRPr="00694C9D" w:rsidRDefault="00320A3C" w:rsidP="00320A3C">
      <w:pPr>
        <w:pStyle w:val="Prrafodelista"/>
        <w:widowControl w:val="0"/>
        <w:numPr>
          <w:ilvl w:val="0"/>
          <w:numId w:val="33"/>
        </w:numPr>
        <w:tabs>
          <w:tab w:val="left" w:pos="1276"/>
        </w:tabs>
        <w:contextualSpacing w:val="0"/>
        <w:rPr>
          <w:b/>
          <w:i/>
          <w:lang w:val="es-419"/>
        </w:rPr>
      </w:pPr>
      <w:r w:rsidRPr="00694C9D">
        <w:rPr>
          <w:b/>
          <w:i/>
          <w:lang w:val="es-419"/>
        </w:rPr>
        <w:t>DE LA VERSIÓN PÚBLICA</w:t>
      </w:r>
    </w:p>
    <w:p w14:paraId="75D0A19D" w14:textId="47076E18" w:rsidR="00320A3C" w:rsidRPr="004578B2" w:rsidRDefault="00320A3C" w:rsidP="00320A3C">
      <w:pPr>
        <w:widowControl w:val="0"/>
        <w:tabs>
          <w:tab w:val="left" w:pos="1276"/>
        </w:tabs>
        <w:rPr>
          <w:rFonts w:eastAsia="Arial Unicode MS"/>
        </w:rPr>
      </w:pPr>
      <w:r w:rsidRPr="004578B2">
        <w:rPr>
          <w:lang w:val="es-419"/>
        </w:rPr>
        <w:t>Tomando en consideración la naturaleza de los documentos que se está ordenado entregar al particular, este Órgano Garante</w:t>
      </w:r>
      <w:r w:rsidRPr="004578B2">
        <w:rPr>
          <w:rFonts w:eastAsia="Arial Unicode MS"/>
        </w:rPr>
        <w:t xml:space="preserve"> determina ordenar que la entrega de la información al Recurrente se haga en versión pública, esto es, omitiendo, </w:t>
      </w:r>
      <w:r w:rsidRPr="001A406F">
        <w:rPr>
          <w:rFonts w:eastAsia="Arial Unicode MS"/>
        </w:rPr>
        <w:t xml:space="preserve">eliminando o suprimiendo la </w:t>
      </w:r>
      <w:r w:rsidR="00B4346F" w:rsidRPr="001A406F">
        <w:rPr>
          <w:rFonts w:eastAsia="Arial Unicode MS"/>
        </w:rPr>
        <w:t>información</w:t>
      </w:r>
      <w:r w:rsidR="00B4346F">
        <w:rPr>
          <w:rFonts w:eastAsia="Arial Unicode MS"/>
        </w:rPr>
        <w:t xml:space="preserve"> </w:t>
      </w:r>
      <w:r w:rsidR="00B4346F" w:rsidRPr="004578B2">
        <w:rPr>
          <w:rFonts w:eastAsia="Arial Unicode MS"/>
        </w:rPr>
        <w:t>susceptible</w:t>
      </w:r>
      <w:r w:rsidRPr="004578B2">
        <w:rPr>
          <w:rFonts w:eastAsia="Arial Unicode MS"/>
        </w:rPr>
        <w:t xml:space="preserve"> de ser clasificadas como confidencial o cualquier </w:t>
      </w:r>
      <w:r w:rsidRPr="004578B2">
        <w:rPr>
          <w:rFonts w:eastAsia="Arial Unicode MS"/>
        </w:rPr>
        <w:lastRenderedPageBreak/>
        <w:t>otro dato que ponga en riesgo la vida, seguridad o salud de dicha persona.</w:t>
      </w:r>
    </w:p>
    <w:p w14:paraId="5FD4F939" w14:textId="77777777" w:rsidR="00320A3C" w:rsidRPr="004578B2" w:rsidRDefault="00320A3C" w:rsidP="00320A3C">
      <w:pPr>
        <w:rPr>
          <w:bCs/>
        </w:rPr>
      </w:pPr>
    </w:p>
    <w:p w14:paraId="604A1BD7" w14:textId="07F595CB" w:rsidR="00320A3C" w:rsidRPr="004578B2" w:rsidRDefault="00320A3C" w:rsidP="00320A3C">
      <w:r w:rsidRPr="004578B2">
        <w:rPr>
          <w:bCs/>
        </w:rPr>
        <w:t>A este respecto, los</w:t>
      </w:r>
      <w:r w:rsidRPr="004578B2">
        <w:t xml:space="preserve"> artículos 3, fracciones IX, XX, XXI y XLV; 51 y </w:t>
      </w:r>
      <w:proofErr w:type="spellStart"/>
      <w:r w:rsidRPr="004578B2">
        <w:t>52de</w:t>
      </w:r>
      <w:proofErr w:type="spellEnd"/>
      <w:r w:rsidRPr="004578B2">
        <w:t xml:space="preserve"> la Ley de Transparencia y Acceso a la Información Pública del Estado de México y Municipios establecen:</w:t>
      </w:r>
    </w:p>
    <w:p w14:paraId="161AEAFD" w14:textId="77777777" w:rsidR="00320A3C" w:rsidRPr="00414522" w:rsidRDefault="00320A3C" w:rsidP="00320A3C">
      <w:pPr>
        <w:ind w:left="567" w:right="616"/>
        <w:rPr>
          <w:i/>
          <w:sz w:val="22"/>
        </w:rPr>
      </w:pPr>
      <w:r w:rsidRPr="00414522">
        <w:rPr>
          <w:rFonts w:cs="Arial"/>
          <w:b/>
          <w:bCs/>
          <w:i/>
          <w:sz w:val="22"/>
        </w:rPr>
        <w:t xml:space="preserve">Artículo 3. </w:t>
      </w:r>
      <w:r w:rsidRPr="00414522">
        <w:rPr>
          <w:i/>
          <w:sz w:val="22"/>
        </w:rPr>
        <w:t xml:space="preserve">Para los efectos de la presente Ley se entenderá por: </w:t>
      </w:r>
    </w:p>
    <w:p w14:paraId="21B5A442" w14:textId="77777777" w:rsidR="00320A3C" w:rsidRPr="00414522" w:rsidRDefault="00320A3C" w:rsidP="00320A3C">
      <w:pPr>
        <w:ind w:left="567" w:right="616"/>
        <w:rPr>
          <w:i/>
          <w:sz w:val="22"/>
        </w:rPr>
      </w:pPr>
      <w:r w:rsidRPr="00414522">
        <w:rPr>
          <w:rFonts w:cs="Arial"/>
          <w:i/>
          <w:sz w:val="22"/>
        </w:rPr>
        <w:t>(…</w:t>
      </w:r>
      <w:r w:rsidRPr="00414522">
        <w:rPr>
          <w:i/>
          <w:sz w:val="22"/>
        </w:rPr>
        <w:t>)</w:t>
      </w:r>
    </w:p>
    <w:p w14:paraId="506B423B" w14:textId="77777777" w:rsidR="00320A3C" w:rsidRPr="00414522" w:rsidRDefault="00320A3C" w:rsidP="00320A3C">
      <w:pPr>
        <w:ind w:left="567" w:right="616"/>
        <w:rPr>
          <w:rFonts w:cs="Arial"/>
          <w:i/>
          <w:sz w:val="22"/>
        </w:rPr>
      </w:pPr>
      <w:r w:rsidRPr="00414522">
        <w:rPr>
          <w:rFonts w:cs="Arial"/>
          <w:b/>
          <w:i/>
          <w:sz w:val="22"/>
        </w:rPr>
        <w:t>IX.</w:t>
      </w:r>
      <w:r w:rsidRPr="00414522">
        <w:rPr>
          <w:rFonts w:cs="Arial"/>
          <w:i/>
          <w:sz w:val="22"/>
        </w:rPr>
        <w:t xml:space="preserve"> </w:t>
      </w:r>
      <w:r w:rsidRPr="00414522">
        <w:rPr>
          <w:rFonts w:cs="Arial"/>
          <w:b/>
          <w:i/>
          <w:sz w:val="22"/>
        </w:rPr>
        <w:t xml:space="preserve">Datos personales: </w:t>
      </w:r>
      <w:r w:rsidRPr="00414522">
        <w:rPr>
          <w:rFonts w:cs="Arial"/>
          <w:i/>
          <w:sz w:val="22"/>
        </w:rPr>
        <w:t xml:space="preserve">La información concerniente a una persona, identificada o identificable según lo dispuesto por la Ley de Protección de Datos Personales del Estado de México; </w:t>
      </w:r>
    </w:p>
    <w:p w14:paraId="3DD8AB7F" w14:textId="77777777" w:rsidR="00320A3C" w:rsidRPr="00414522" w:rsidRDefault="00320A3C" w:rsidP="00320A3C">
      <w:pPr>
        <w:ind w:left="567" w:right="616"/>
        <w:rPr>
          <w:rFonts w:cs="Arial"/>
          <w:i/>
          <w:sz w:val="22"/>
        </w:rPr>
      </w:pPr>
      <w:r w:rsidRPr="00414522">
        <w:rPr>
          <w:rFonts w:cs="Arial"/>
          <w:i/>
          <w:sz w:val="22"/>
        </w:rPr>
        <w:t>(…)</w:t>
      </w:r>
    </w:p>
    <w:p w14:paraId="3C380DB7" w14:textId="77777777" w:rsidR="00320A3C" w:rsidRPr="00414522" w:rsidRDefault="00320A3C" w:rsidP="00320A3C">
      <w:pPr>
        <w:ind w:left="567" w:right="616"/>
        <w:rPr>
          <w:rFonts w:cs="Arial"/>
          <w:i/>
          <w:sz w:val="22"/>
        </w:rPr>
      </w:pPr>
      <w:r w:rsidRPr="00414522">
        <w:rPr>
          <w:rFonts w:cs="Arial"/>
          <w:b/>
          <w:i/>
          <w:sz w:val="22"/>
        </w:rPr>
        <w:t>XX.</w:t>
      </w:r>
      <w:r w:rsidRPr="00414522">
        <w:rPr>
          <w:rFonts w:cs="Arial"/>
          <w:i/>
          <w:sz w:val="22"/>
        </w:rPr>
        <w:t xml:space="preserve"> </w:t>
      </w:r>
      <w:r w:rsidRPr="00414522">
        <w:rPr>
          <w:rFonts w:cs="Arial"/>
          <w:b/>
          <w:i/>
          <w:sz w:val="22"/>
        </w:rPr>
        <w:t>Información clasificada:</w:t>
      </w:r>
      <w:r w:rsidRPr="00414522">
        <w:rPr>
          <w:rFonts w:cs="Arial"/>
          <w:i/>
          <w:sz w:val="22"/>
        </w:rPr>
        <w:t xml:space="preserve"> Aquella considerada por la presente Ley como reservada o confidencial; </w:t>
      </w:r>
    </w:p>
    <w:p w14:paraId="4D72F282" w14:textId="77777777" w:rsidR="00320A3C" w:rsidRPr="00414522" w:rsidRDefault="00320A3C" w:rsidP="00320A3C">
      <w:pPr>
        <w:ind w:left="567" w:right="616"/>
        <w:rPr>
          <w:rFonts w:cs="Arial"/>
          <w:i/>
          <w:sz w:val="22"/>
        </w:rPr>
      </w:pPr>
      <w:r w:rsidRPr="00414522">
        <w:rPr>
          <w:rFonts w:cs="Arial"/>
          <w:b/>
          <w:i/>
          <w:sz w:val="22"/>
        </w:rPr>
        <w:t>XXI.</w:t>
      </w:r>
      <w:r w:rsidRPr="00414522">
        <w:rPr>
          <w:rFonts w:cs="Arial"/>
          <w:i/>
          <w:sz w:val="22"/>
        </w:rPr>
        <w:t xml:space="preserve"> </w:t>
      </w:r>
      <w:r w:rsidRPr="00414522">
        <w:rPr>
          <w:rFonts w:cs="Arial"/>
          <w:b/>
          <w:i/>
          <w:sz w:val="22"/>
        </w:rPr>
        <w:t>Información confidencial</w:t>
      </w:r>
      <w:r w:rsidRPr="00414522">
        <w:rPr>
          <w:rFonts w:cs="Arial"/>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DCE3493" w14:textId="77777777" w:rsidR="00320A3C" w:rsidRPr="00414522" w:rsidRDefault="00320A3C" w:rsidP="00320A3C">
      <w:pPr>
        <w:ind w:left="567" w:right="616"/>
        <w:rPr>
          <w:rFonts w:cs="Arial"/>
          <w:i/>
          <w:sz w:val="22"/>
        </w:rPr>
      </w:pPr>
      <w:r w:rsidRPr="00414522">
        <w:rPr>
          <w:rFonts w:cs="Arial"/>
          <w:i/>
          <w:sz w:val="22"/>
        </w:rPr>
        <w:t>(…)</w:t>
      </w:r>
    </w:p>
    <w:p w14:paraId="7AC3D2F3" w14:textId="77777777" w:rsidR="00320A3C" w:rsidRPr="00414522" w:rsidRDefault="00320A3C" w:rsidP="00320A3C">
      <w:pPr>
        <w:ind w:left="567" w:right="616"/>
        <w:rPr>
          <w:rFonts w:cs="Arial"/>
          <w:i/>
          <w:sz w:val="22"/>
        </w:rPr>
      </w:pPr>
      <w:r w:rsidRPr="00414522">
        <w:rPr>
          <w:rFonts w:cs="Arial"/>
          <w:b/>
          <w:i/>
          <w:sz w:val="22"/>
        </w:rPr>
        <w:t>XLV. Versión pública:</w:t>
      </w:r>
      <w:r w:rsidRPr="00414522">
        <w:rPr>
          <w:rFonts w:cs="Arial"/>
          <w:i/>
          <w:sz w:val="22"/>
        </w:rPr>
        <w:t xml:space="preserve"> Documento en el que se elimine, suprime o borra la información clasificada como reservada o confidencial para permitir su acceso. </w:t>
      </w:r>
    </w:p>
    <w:p w14:paraId="4580B587" w14:textId="77777777" w:rsidR="00320A3C" w:rsidRPr="00414522" w:rsidRDefault="00320A3C" w:rsidP="00320A3C">
      <w:pPr>
        <w:ind w:left="567" w:right="616"/>
        <w:rPr>
          <w:rFonts w:cs="Arial"/>
          <w:i/>
          <w:sz w:val="22"/>
        </w:rPr>
      </w:pPr>
    </w:p>
    <w:p w14:paraId="03C2BACB" w14:textId="2939A0A2" w:rsidR="00320A3C" w:rsidRPr="00414522" w:rsidRDefault="00320A3C" w:rsidP="00320A3C">
      <w:pPr>
        <w:ind w:left="567" w:right="616"/>
        <w:rPr>
          <w:rFonts w:cs="Arial"/>
          <w:i/>
          <w:sz w:val="22"/>
        </w:rPr>
      </w:pPr>
      <w:r w:rsidRPr="00414522">
        <w:rPr>
          <w:rFonts w:cs="Arial"/>
          <w:b/>
          <w:i/>
          <w:sz w:val="22"/>
        </w:rPr>
        <w:t>Artículo 51.</w:t>
      </w:r>
      <w:r w:rsidRPr="00414522">
        <w:rPr>
          <w:rFonts w:cs="Arial"/>
          <w:i/>
          <w:sz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414522">
        <w:rPr>
          <w:rFonts w:cs="Arial"/>
          <w:b/>
          <w:i/>
          <w:sz w:val="22"/>
        </w:rPr>
        <w:t xml:space="preserve">y tendrá la responsabilidad de verificar en cada caso que la misma no sea confidencial o </w:t>
      </w:r>
      <w:r w:rsidRPr="00414522">
        <w:rPr>
          <w:rFonts w:cs="Arial"/>
          <w:b/>
          <w:i/>
          <w:sz w:val="22"/>
        </w:rPr>
        <w:lastRenderedPageBreak/>
        <w:t xml:space="preserve">reservada. </w:t>
      </w:r>
      <w:r w:rsidRPr="00414522">
        <w:rPr>
          <w:rFonts w:cs="Arial"/>
          <w:i/>
          <w:sz w:val="22"/>
        </w:rPr>
        <w:t xml:space="preserve">Dicha Unidad contará con las facultades internas necesarias para gestionar la atención a las solicitudes de información en los términos de la Ley General y la presente Ley. </w:t>
      </w:r>
    </w:p>
    <w:p w14:paraId="6084A6BB" w14:textId="77777777" w:rsidR="00320A3C" w:rsidRPr="00414522" w:rsidRDefault="00320A3C" w:rsidP="00320A3C">
      <w:pPr>
        <w:ind w:left="567" w:right="616"/>
        <w:rPr>
          <w:rFonts w:cs="Arial"/>
          <w:bCs/>
          <w:i/>
          <w:noProof/>
          <w:sz w:val="22"/>
        </w:rPr>
      </w:pPr>
      <w:r w:rsidRPr="00414522">
        <w:rPr>
          <w:rFonts w:cs="Arial"/>
          <w:b/>
          <w:i/>
          <w:sz w:val="22"/>
        </w:rPr>
        <w:t>Artículo 52.</w:t>
      </w:r>
      <w:r w:rsidRPr="00414522">
        <w:rPr>
          <w:rFonts w:cs="Arial"/>
          <w:i/>
          <w:sz w:val="22"/>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5BFD3B7C" w14:textId="77777777" w:rsidR="00320A3C" w:rsidRDefault="00320A3C" w:rsidP="00320A3C">
      <w:pPr>
        <w:rPr>
          <w:noProof/>
        </w:rPr>
      </w:pPr>
    </w:p>
    <w:p w14:paraId="602D2C57" w14:textId="77777777" w:rsidR="004905A7" w:rsidRPr="00495767" w:rsidRDefault="004905A7" w:rsidP="004905A7">
      <w:pPr>
        <w:numPr>
          <w:ilvl w:val="0"/>
          <w:numId w:val="37"/>
        </w:numPr>
        <w:rPr>
          <w:rFonts w:cs="Tahoma"/>
          <w:b/>
          <w:highlight w:val="yellow"/>
        </w:rPr>
      </w:pPr>
      <w:r w:rsidRPr="00007716">
        <w:rPr>
          <w:rFonts w:cs="Tahoma"/>
          <w:b/>
          <w:highlight w:val="yellow"/>
        </w:rPr>
        <w:t xml:space="preserve">Nombre de particulares </w:t>
      </w:r>
    </w:p>
    <w:p w14:paraId="400AF001" w14:textId="77777777" w:rsidR="004905A7" w:rsidRDefault="004905A7" w:rsidP="004905A7">
      <w:pPr>
        <w:rPr>
          <w:rFonts w:cs="Tahoma"/>
          <w:lang w:val="es-419"/>
        </w:rPr>
      </w:pPr>
      <w:r w:rsidRPr="00007716">
        <w:rPr>
          <w:rFonts w:cs="Tahoma"/>
          <w:highlight w:val="yellow"/>
          <w:lang w:val="es-419"/>
        </w:rPr>
        <w:t>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per se es un elemento que hace a una persona física identificada o identificable, por lo que, se considera un dato personal. Por lo que el nombre de personas físicas que no tienen nada que ver con el servicio público y que no realizan actos de autoridad o reciben recursos públicos, es un dato confidencial, en términos del artículo 143, fracción I de la Ley de Transparencia y Acceso a la Información.</w:t>
      </w:r>
    </w:p>
    <w:p w14:paraId="7EA62D80" w14:textId="77777777" w:rsidR="004905A7" w:rsidRPr="00007716" w:rsidRDefault="004905A7" w:rsidP="004905A7">
      <w:pPr>
        <w:rPr>
          <w:rFonts w:cs="Tahoma"/>
          <w:lang w:val="es-419"/>
        </w:rPr>
      </w:pPr>
    </w:p>
    <w:p w14:paraId="482C9138" w14:textId="77777777" w:rsidR="004905A7" w:rsidRPr="00495767" w:rsidRDefault="004905A7" w:rsidP="004905A7">
      <w:pPr>
        <w:numPr>
          <w:ilvl w:val="0"/>
          <w:numId w:val="37"/>
        </w:numPr>
        <w:contextualSpacing/>
        <w:jc w:val="left"/>
        <w:rPr>
          <w:rFonts w:cs="Tahoma"/>
          <w:b/>
          <w:bCs/>
          <w:highlight w:val="yellow"/>
          <w:lang w:eastAsia="es-ES"/>
        </w:rPr>
      </w:pPr>
      <w:r w:rsidRPr="00007716">
        <w:rPr>
          <w:rFonts w:cs="Tahoma"/>
          <w:b/>
          <w:bCs/>
          <w:highlight w:val="yellow"/>
          <w:lang w:eastAsia="es-ES"/>
        </w:rPr>
        <w:t xml:space="preserve">Domicilio particular </w:t>
      </w:r>
    </w:p>
    <w:p w14:paraId="593B450E" w14:textId="66B6D86A" w:rsidR="004905A7" w:rsidRPr="00007716" w:rsidRDefault="004905A7" w:rsidP="004905A7">
      <w:pPr>
        <w:ind w:right="-93"/>
        <w:rPr>
          <w:rFonts w:eastAsia="Times New Roman" w:cs="Tahoma"/>
          <w:highlight w:val="yellow"/>
          <w:lang w:val="es-ES" w:eastAsia="es-ES"/>
        </w:rPr>
      </w:pPr>
      <w:r w:rsidRPr="00007716">
        <w:rPr>
          <w:rFonts w:eastAsia="Times New Roman" w:cs="Tahoma"/>
          <w:highlight w:val="yellow"/>
          <w:lang w:val="es-ES" w:eastAsia="es-ES"/>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51D51FCC" w14:textId="77777777" w:rsidR="004905A7" w:rsidRPr="00007716" w:rsidRDefault="004905A7" w:rsidP="004905A7">
      <w:pPr>
        <w:ind w:right="-93"/>
        <w:rPr>
          <w:rFonts w:eastAsia="Times New Roman" w:cs="Tahoma"/>
          <w:b/>
          <w:highlight w:val="yellow"/>
          <w:lang w:val="es-ES" w:eastAsia="es-ES"/>
        </w:rPr>
      </w:pPr>
      <w:r w:rsidRPr="00007716">
        <w:rPr>
          <w:rFonts w:eastAsia="Times New Roman" w:cs="Tahoma"/>
          <w:highlight w:val="yellow"/>
          <w:lang w:val="es-ES" w:eastAsia="es-ES"/>
        </w:rPr>
        <w:lastRenderedPageBreak/>
        <w:t>De la misma manera, lo establece el artículo 29 del Código Civil Federal, al precisar que el domicilio de personas físicas</w:t>
      </w:r>
      <w:r w:rsidRPr="00007716">
        <w:rPr>
          <w:rFonts w:eastAsia="Times New Roman" w:cs="Tahoma"/>
          <w:b/>
          <w:highlight w:val="yellow"/>
          <w:lang w:val="es-ES" w:eastAsia="es-ES"/>
        </w:rPr>
        <w:t>, es el lugar donde residen habitualmente, el lugar del centro principal de sus negocios, donde residan o el lugar donde se encuentren.</w:t>
      </w:r>
    </w:p>
    <w:p w14:paraId="7831BCA8" w14:textId="77777777" w:rsidR="004905A7" w:rsidRPr="00007716" w:rsidRDefault="004905A7" w:rsidP="004905A7">
      <w:pPr>
        <w:rPr>
          <w:rFonts w:cs="Tahoma"/>
          <w:b/>
          <w:bCs/>
          <w:highlight w:val="yellow"/>
          <w:lang w:eastAsia="es-ES"/>
        </w:rPr>
      </w:pPr>
    </w:p>
    <w:p w14:paraId="271F7A49" w14:textId="77777777" w:rsidR="004905A7" w:rsidRPr="00007716" w:rsidRDefault="004905A7" w:rsidP="004905A7">
      <w:pPr>
        <w:ind w:right="-93"/>
        <w:rPr>
          <w:rFonts w:eastAsia="Times New Roman" w:cs="Tahoma"/>
          <w:highlight w:val="yellow"/>
          <w:lang w:val="es-ES" w:eastAsia="es-ES"/>
        </w:rPr>
      </w:pPr>
      <w:r w:rsidRPr="00007716">
        <w:rPr>
          <w:rFonts w:eastAsia="Times New Roman" w:cs="Tahoma"/>
          <w:highlight w:val="yellow"/>
          <w:lang w:val="es-ES" w:eastAsia="es-ES"/>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7DA302BB" w14:textId="77777777" w:rsidR="004905A7" w:rsidRPr="00007716" w:rsidRDefault="004905A7" w:rsidP="004905A7">
      <w:pPr>
        <w:ind w:right="-93"/>
        <w:rPr>
          <w:rFonts w:eastAsia="Times New Roman" w:cs="Tahoma"/>
          <w:highlight w:val="yellow"/>
          <w:lang w:val="es-ES" w:eastAsia="es-ES"/>
        </w:rPr>
      </w:pPr>
    </w:p>
    <w:p w14:paraId="71ACB352" w14:textId="77777777" w:rsidR="004905A7" w:rsidRDefault="004905A7" w:rsidP="004905A7">
      <w:pPr>
        <w:rPr>
          <w:rFonts w:eastAsia="Times New Roman" w:cs="Tahoma"/>
          <w:lang w:val="es-ES" w:eastAsia="es-ES"/>
        </w:rPr>
      </w:pPr>
      <w:r w:rsidRPr="00007716">
        <w:rPr>
          <w:rFonts w:eastAsia="Times New Roman" w:cs="Tahoma"/>
          <w:highlight w:val="yellow"/>
          <w:lang w:val="es-ES" w:eastAsia="es-ES"/>
        </w:rPr>
        <w:t>Por lo tanto, se actualiza la clasificación del domicilio, de conformidad con la fracción I, del artículo 143 de la Ley de Transparencia y Acceso a la Información Pública del Estado de México y Municipios.</w:t>
      </w:r>
    </w:p>
    <w:p w14:paraId="65B8088E" w14:textId="77777777" w:rsidR="004905A7" w:rsidRPr="004578B2" w:rsidRDefault="004905A7" w:rsidP="00320A3C">
      <w:pPr>
        <w:rPr>
          <w:noProof/>
        </w:rPr>
      </w:pPr>
    </w:p>
    <w:p w14:paraId="53785D53" w14:textId="22D43348" w:rsidR="00320A3C" w:rsidRDefault="00320A3C" w:rsidP="00320A3C">
      <w:r w:rsidRPr="004578B2">
        <w:t>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w:t>
      </w:r>
      <w:r>
        <w:t xml:space="preserve">scriben para mayor referencia: </w:t>
      </w:r>
    </w:p>
    <w:p w14:paraId="698A4228" w14:textId="77777777" w:rsidR="00431D41" w:rsidRPr="004578B2" w:rsidRDefault="00431D41" w:rsidP="00320A3C"/>
    <w:p w14:paraId="4BA12593" w14:textId="77777777" w:rsidR="00320A3C" w:rsidRPr="00414522" w:rsidRDefault="00320A3C" w:rsidP="00320A3C">
      <w:pPr>
        <w:ind w:left="567" w:right="616"/>
        <w:rPr>
          <w:rFonts w:eastAsia="Arial Unicode MS" w:cs="Arial"/>
          <w:i/>
          <w:sz w:val="22"/>
        </w:rPr>
      </w:pPr>
      <w:r w:rsidRPr="00414522">
        <w:rPr>
          <w:rFonts w:eastAsia="Arial Unicode MS" w:cs="Arial"/>
          <w:b/>
          <w:i/>
          <w:sz w:val="22"/>
        </w:rPr>
        <w:lastRenderedPageBreak/>
        <w:t>Artículo</w:t>
      </w:r>
      <w:r w:rsidRPr="00414522">
        <w:rPr>
          <w:rFonts w:eastAsia="Arial Unicode MS" w:cs="Arial"/>
          <w:i/>
          <w:sz w:val="22"/>
        </w:rPr>
        <w:t xml:space="preserve"> </w:t>
      </w:r>
      <w:r w:rsidRPr="00414522">
        <w:rPr>
          <w:rFonts w:eastAsia="Arial Unicode MS" w:cs="Arial"/>
          <w:b/>
          <w:i/>
          <w:sz w:val="22"/>
        </w:rPr>
        <w:t>22</w:t>
      </w:r>
      <w:r w:rsidRPr="00414522">
        <w:rPr>
          <w:rFonts w:eastAsia="Arial Unicode MS" w:cs="Arial"/>
          <w:i/>
          <w:sz w:val="22"/>
        </w:rPr>
        <w:t>. Todo tratamiento de datos personales que efectúe el responsable deberá estar justificado por finalidades concretas, lícitas, explícitas y legítimas, relacionadas con las atribuciones que la normatividad aplicable les confiera.</w:t>
      </w:r>
    </w:p>
    <w:p w14:paraId="002B4BE0" w14:textId="77777777" w:rsidR="00320A3C" w:rsidRPr="00414522" w:rsidRDefault="00320A3C" w:rsidP="00320A3C">
      <w:pPr>
        <w:ind w:right="616"/>
        <w:rPr>
          <w:rFonts w:eastAsia="Arial Unicode MS" w:cs="Arial"/>
          <w:i/>
          <w:sz w:val="22"/>
        </w:rPr>
      </w:pPr>
    </w:p>
    <w:p w14:paraId="180A9131" w14:textId="77777777" w:rsidR="00320A3C" w:rsidRPr="00414522" w:rsidRDefault="00320A3C" w:rsidP="00320A3C">
      <w:pPr>
        <w:ind w:left="567" w:right="616"/>
        <w:rPr>
          <w:rFonts w:eastAsia="Arial Unicode MS" w:cs="Arial"/>
          <w:i/>
          <w:sz w:val="22"/>
        </w:rPr>
      </w:pPr>
      <w:r w:rsidRPr="00414522">
        <w:rPr>
          <w:rFonts w:eastAsia="Arial Unicode MS" w:cs="Arial"/>
          <w:i/>
          <w:sz w:val="22"/>
        </w:rPr>
        <w:t>El responsable podrá tratar datos personales para finalidades distintas a aquéllas establecidas en el aviso de privacidad, en los casos siguientes:</w:t>
      </w:r>
    </w:p>
    <w:p w14:paraId="6870BCD9" w14:textId="77777777" w:rsidR="00320A3C" w:rsidRPr="00414522" w:rsidRDefault="00320A3C" w:rsidP="00320A3C">
      <w:pPr>
        <w:ind w:left="567" w:right="616"/>
        <w:rPr>
          <w:rFonts w:eastAsia="Arial Unicode MS" w:cs="Arial"/>
          <w:i/>
          <w:sz w:val="22"/>
        </w:rPr>
      </w:pPr>
    </w:p>
    <w:p w14:paraId="4809B3F1" w14:textId="77777777" w:rsidR="00320A3C" w:rsidRPr="00414522" w:rsidRDefault="00320A3C" w:rsidP="00320A3C">
      <w:pPr>
        <w:ind w:left="567" w:right="616"/>
        <w:rPr>
          <w:rFonts w:eastAsia="Arial Unicode MS" w:cs="Arial"/>
          <w:i/>
          <w:sz w:val="22"/>
        </w:rPr>
      </w:pPr>
      <w:r w:rsidRPr="00414522">
        <w:rPr>
          <w:rFonts w:eastAsia="Arial Unicode MS" w:cs="Arial"/>
          <w:i/>
          <w:sz w:val="22"/>
        </w:rPr>
        <w:t>I. Cuente con atribuciones conferidas en ley y medie el consentimiento del titular.</w:t>
      </w:r>
    </w:p>
    <w:p w14:paraId="094AF1DD" w14:textId="41C00F1F" w:rsidR="00320A3C" w:rsidRPr="00414522" w:rsidRDefault="00320A3C" w:rsidP="00320A3C">
      <w:pPr>
        <w:ind w:left="567" w:right="616"/>
        <w:rPr>
          <w:rFonts w:eastAsia="Arial Unicode MS" w:cs="Arial"/>
          <w:i/>
          <w:sz w:val="22"/>
        </w:rPr>
      </w:pPr>
      <w:r w:rsidRPr="00414522">
        <w:rPr>
          <w:rFonts w:eastAsia="Arial Unicode MS" w:cs="Arial"/>
          <w:i/>
          <w:sz w:val="22"/>
        </w:rPr>
        <w:t>II. Se trate de una persona reportada como desaparecida, en los términos previstos en la presente Ley y demás disposiciones legales aplicables...</w:t>
      </w:r>
    </w:p>
    <w:p w14:paraId="1B2D5087" w14:textId="77777777" w:rsidR="00320A3C" w:rsidRPr="00414522" w:rsidRDefault="00320A3C" w:rsidP="00320A3C">
      <w:pPr>
        <w:ind w:left="567" w:right="616"/>
        <w:rPr>
          <w:rFonts w:eastAsia="Arial Unicode MS" w:cs="Arial"/>
          <w:i/>
          <w:sz w:val="22"/>
        </w:rPr>
      </w:pPr>
      <w:r w:rsidRPr="00414522">
        <w:rPr>
          <w:rFonts w:eastAsia="Arial Unicode MS" w:cs="Arial"/>
          <w:b/>
          <w:i/>
          <w:sz w:val="22"/>
        </w:rPr>
        <w:t>Artículo</w:t>
      </w:r>
      <w:r w:rsidRPr="00414522">
        <w:rPr>
          <w:rFonts w:eastAsia="Arial Unicode MS" w:cs="Arial"/>
          <w:i/>
          <w:sz w:val="22"/>
        </w:rPr>
        <w:t xml:space="preserve"> </w:t>
      </w:r>
      <w:r w:rsidRPr="00414522">
        <w:rPr>
          <w:rFonts w:eastAsia="Arial Unicode MS" w:cs="Arial"/>
          <w:b/>
          <w:i/>
          <w:sz w:val="22"/>
        </w:rPr>
        <w:t>38</w:t>
      </w:r>
      <w:r w:rsidRPr="00414522">
        <w:rPr>
          <w:rFonts w:eastAsia="Arial Unicode MS" w:cs="Arial"/>
          <w:i/>
          <w:sz w:val="22"/>
        </w:rPr>
        <w:t>.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14:paraId="34770916" w14:textId="77777777" w:rsidR="00320A3C" w:rsidRPr="004578B2" w:rsidRDefault="00320A3C" w:rsidP="00320A3C">
      <w:pPr>
        <w:ind w:left="567" w:right="616"/>
        <w:rPr>
          <w:rFonts w:eastAsia="Arial Unicode MS" w:cs="Arial"/>
          <w:i/>
        </w:rPr>
      </w:pPr>
    </w:p>
    <w:p w14:paraId="55A453C1" w14:textId="77777777" w:rsidR="00320A3C" w:rsidRPr="004578B2" w:rsidRDefault="00320A3C" w:rsidP="00320A3C">
      <w:r w:rsidRPr="004578B2">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1C2DE6E3" w14:textId="77777777" w:rsidR="00320A3C" w:rsidRPr="004578B2" w:rsidRDefault="00320A3C" w:rsidP="00320A3C"/>
    <w:p w14:paraId="27FF48CA" w14:textId="77777777" w:rsidR="00320A3C" w:rsidRPr="004578B2" w:rsidRDefault="00320A3C" w:rsidP="00320A3C">
      <w:pPr>
        <w:rPr>
          <w:rFonts w:eastAsia="Arial Unicode MS"/>
        </w:rPr>
      </w:pPr>
      <w:r w:rsidRPr="004578B2">
        <w:rPr>
          <w:rFonts w:eastAsia="Arial Unicode MS"/>
        </w:rPr>
        <w:lastRenderedPageBreak/>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4578B2">
        <w:rPr>
          <w:rFonts w:eastAsia="Arial Unicode MS"/>
          <w:color w:val="000000"/>
        </w:rPr>
        <w:t>el Sujeto Obligado</w:t>
      </w:r>
      <w:r w:rsidRPr="004578B2">
        <w:rPr>
          <w:rFonts w:eastAsia="Arial Unicode MS"/>
        </w:rPr>
        <w:t xml:space="preserve">, en ese contexto, todo dato personal susceptible de clasificación debe ser protegido. </w:t>
      </w:r>
    </w:p>
    <w:p w14:paraId="07983B50" w14:textId="77777777" w:rsidR="00320A3C" w:rsidRPr="004578B2" w:rsidRDefault="00320A3C" w:rsidP="00320A3C"/>
    <w:p w14:paraId="76281BF0" w14:textId="77777777" w:rsidR="00320A3C" w:rsidRDefault="00320A3C" w:rsidP="00320A3C">
      <w:r w:rsidRPr="004578B2">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4578B2">
        <w:rPr>
          <w:b/>
        </w:rPr>
        <w:t>Lineamientos Generales en Materia de Clasificación y Desclasificación de la Información, así como para la Elaboración de Versiones Públicas</w:t>
      </w:r>
      <w:r w:rsidRPr="004578B2">
        <w:t xml:space="preserve">, publicados en el Diario Oficial de la Federación en fecha quince de abril del año dos mil dieciséis, mediante Acuerdo del Consejo Nacional del Sistema Nacional de Transparencia, Acceso a la </w:t>
      </w:r>
      <w:r w:rsidRPr="00EF2EA1">
        <w:t>Información Pública y Protección de Datos Personales.</w:t>
      </w:r>
    </w:p>
    <w:p w14:paraId="7BC4C902" w14:textId="77777777" w:rsidR="00320A3C" w:rsidRPr="00EF2EA1" w:rsidRDefault="00320A3C" w:rsidP="00320A3C"/>
    <w:p w14:paraId="476057A0" w14:textId="77777777" w:rsidR="00320A3C" w:rsidRPr="00EF2EA1" w:rsidRDefault="00320A3C" w:rsidP="00320A3C">
      <w:pPr>
        <w:tabs>
          <w:tab w:val="left" w:pos="7770"/>
          <w:tab w:val="right" w:pos="8838"/>
        </w:tabs>
        <w:spacing w:after="160"/>
        <w:rPr>
          <w:bCs/>
          <w:lang w:val="es-ES"/>
        </w:rPr>
      </w:pPr>
      <w:r w:rsidRPr="00EF2EA1">
        <w:rPr>
          <w:b/>
          <w:bCs/>
          <w:lang w:val="es-ES"/>
        </w:rPr>
        <w:t xml:space="preserve">Firma del titular: </w:t>
      </w:r>
      <w:r w:rsidRPr="00EF2EA1">
        <w:rPr>
          <w:bCs/>
          <w:lang w:val="es-ES"/>
        </w:rPr>
        <w:t xml:space="preserve">Tratándose de personas físicas en el rol de ciudadanos, es </w:t>
      </w:r>
      <w:r w:rsidRPr="00EF2EA1">
        <w:rPr>
          <w:lang w:val="es-ES"/>
        </w:rPr>
        <w:t xml:space="preserve">considerada como un atributo de la personalidad, en virtud de que a través de esta se puede identificar a una persona, por lo que se considera un dato personal y, dado que para otorgar su </w:t>
      </w:r>
      <w:r w:rsidRPr="00EF2EA1">
        <w:rPr>
          <w:lang w:val="es-ES"/>
        </w:rPr>
        <w:lastRenderedPageBreak/>
        <w:t xml:space="preserve">acceso se necesita el consentimiento de su titular, es información clasificada como confidencial. </w:t>
      </w:r>
    </w:p>
    <w:p w14:paraId="560E5F61" w14:textId="77777777" w:rsidR="00320A3C" w:rsidRPr="00EF2EA1" w:rsidRDefault="00320A3C" w:rsidP="00320A3C">
      <w:pPr>
        <w:ind w:left="708"/>
        <w:rPr>
          <w:bCs/>
          <w:lang w:val="es-ES"/>
        </w:rPr>
      </w:pPr>
    </w:p>
    <w:p w14:paraId="1328FE8D" w14:textId="0010FA6C" w:rsidR="00320A3C" w:rsidRDefault="00320A3C" w:rsidP="00320A3C">
      <w:pPr>
        <w:tabs>
          <w:tab w:val="left" w:pos="7770"/>
          <w:tab w:val="right" w:pos="8838"/>
        </w:tabs>
        <w:rPr>
          <w:bCs/>
          <w:lang w:val="es-ES"/>
        </w:rPr>
      </w:pPr>
      <w:r w:rsidRPr="00EF2EA1">
        <w:rPr>
          <w:bCs/>
          <w:lang w:val="es-ES"/>
        </w:rPr>
        <w:t xml:space="preserve">En contraste, </w:t>
      </w:r>
      <w:r w:rsidRPr="00320A3C">
        <w:rPr>
          <w:b/>
          <w:bCs/>
          <w:lang w:val="es-ES"/>
        </w:rPr>
        <w:t>tratándose de servidores públicos cuando se emite un acto de autoridad en ejercicio de las atribuciones que tiene conferidas, la firma mediante la cual valida dicho acto jurídico es públic</w:t>
      </w:r>
      <w:r w:rsidRPr="00EF2EA1">
        <w:rPr>
          <w:bCs/>
          <w:lang w:val="es-ES"/>
        </w:rPr>
        <w:t>a. Lo anterior, en virtud de que la firma se plasmó en cumplimiento de las obligaciones que le corresponden en términos de las disposiciones jurídicas aplicables, estribando entonces en un requisito de validez. Por tanto, la firma de los servidores públicos vinculada al ejercicio de la función pública es información pública, dado que documenta y rinde cuentas sobre el debido ejercicio de sus atribuciones con motivo del empleo, cargo o comisión que le han sido encomendados.</w:t>
      </w:r>
      <w:r w:rsidRPr="00645961">
        <w:rPr>
          <w:bCs/>
          <w:lang w:val="es-ES"/>
        </w:rPr>
        <w:t xml:space="preserve"> </w:t>
      </w:r>
    </w:p>
    <w:p w14:paraId="6DCF3B36" w14:textId="77777777" w:rsidR="00431D41" w:rsidRPr="00694C9D" w:rsidRDefault="00431D41" w:rsidP="00320A3C">
      <w:pPr>
        <w:tabs>
          <w:tab w:val="left" w:pos="7770"/>
          <w:tab w:val="right" w:pos="8838"/>
        </w:tabs>
        <w:rPr>
          <w:bCs/>
          <w:lang w:val="es-ES"/>
        </w:rPr>
      </w:pPr>
    </w:p>
    <w:p w14:paraId="26BA3441" w14:textId="77777777" w:rsidR="00320A3C" w:rsidRPr="004578B2" w:rsidRDefault="00320A3C" w:rsidP="00320A3C">
      <w:pPr>
        <w:rPr>
          <w:rFonts w:cs="Arial"/>
        </w:rPr>
      </w:pPr>
      <w:r w:rsidRPr="004578B2">
        <w:t xml:space="preserve">Cabe señalar que también deberá considerarse lo dispuesto por </w:t>
      </w:r>
      <w:r w:rsidRPr="004578B2">
        <w:rPr>
          <w:rFonts w:cs="Arial"/>
        </w:rPr>
        <w:t xml:space="preserve">el artículo 91 de la Ley de la Materia, en el que se dispone que el acceso a la información pública será restringido excepcionalmente, cuando ésta sea clasificada como reservada o confidencial. </w:t>
      </w:r>
    </w:p>
    <w:p w14:paraId="5073561A" w14:textId="77777777" w:rsidR="00320A3C" w:rsidRPr="004578B2" w:rsidRDefault="00320A3C" w:rsidP="00320A3C"/>
    <w:p w14:paraId="73BAF347" w14:textId="77777777" w:rsidR="00320A3C" w:rsidRPr="004578B2" w:rsidRDefault="00320A3C" w:rsidP="00320A3C">
      <w:r w:rsidRPr="004578B2">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literalmente establecen lo siguiente:</w:t>
      </w:r>
    </w:p>
    <w:p w14:paraId="6613EC6B" w14:textId="77777777" w:rsidR="00320A3C" w:rsidRPr="00414522" w:rsidRDefault="00320A3C" w:rsidP="00320A3C">
      <w:pPr>
        <w:rPr>
          <w:sz w:val="22"/>
        </w:rPr>
      </w:pPr>
    </w:p>
    <w:p w14:paraId="2561A801" w14:textId="77777777" w:rsidR="00320A3C" w:rsidRPr="00414522" w:rsidRDefault="00320A3C" w:rsidP="00320A3C">
      <w:pPr>
        <w:ind w:left="567" w:right="616"/>
        <w:rPr>
          <w:i/>
          <w:sz w:val="22"/>
        </w:rPr>
      </w:pPr>
      <w:r w:rsidRPr="00414522">
        <w:rPr>
          <w:b/>
          <w:i/>
          <w:sz w:val="22"/>
        </w:rPr>
        <w:lastRenderedPageBreak/>
        <w:t xml:space="preserve">Artículo 49. </w:t>
      </w:r>
      <w:r w:rsidRPr="00414522">
        <w:rPr>
          <w:i/>
          <w:sz w:val="22"/>
        </w:rPr>
        <w:t>Los Comités de Transparencia tendrán las siguientes atribuciones:</w:t>
      </w:r>
    </w:p>
    <w:p w14:paraId="2E76EDC1" w14:textId="77777777" w:rsidR="00320A3C" w:rsidRPr="00414522" w:rsidRDefault="00320A3C" w:rsidP="00320A3C">
      <w:pPr>
        <w:ind w:left="567" w:right="616"/>
        <w:rPr>
          <w:bCs/>
          <w:i/>
          <w:sz w:val="22"/>
        </w:rPr>
      </w:pPr>
      <w:r w:rsidRPr="00414522">
        <w:rPr>
          <w:bCs/>
          <w:i/>
          <w:sz w:val="22"/>
        </w:rPr>
        <w:t>(…)</w:t>
      </w:r>
    </w:p>
    <w:p w14:paraId="238BD237" w14:textId="77777777" w:rsidR="00320A3C" w:rsidRPr="00414522" w:rsidRDefault="00320A3C" w:rsidP="00320A3C">
      <w:pPr>
        <w:ind w:left="567" w:right="616"/>
        <w:rPr>
          <w:i/>
          <w:sz w:val="22"/>
        </w:rPr>
      </w:pPr>
      <w:r w:rsidRPr="00414522">
        <w:rPr>
          <w:b/>
          <w:i/>
          <w:sz w:val="22"/>
        </w:rPr>
        <w:t>VIII.</w:t>
      </w:r>
      <w:r w:rsidRPr="00414522">
        <w:rPr>
          <w:i/>
          <w:sz w:val="22"/>
        </w:rPr>
        <w:t xml:space="preserve"> Aprobar, modificar o revocar la clasificación de la información;</w:t>
      </w:r>
    </w:p>
    <w:p w14:paraId="460C5E4C" w14:textId="77777777" w:rsidR="00320A3C" w:rsidRPr="00414522" w:rsidRDefault="00320A3C" w:rsidP="00320A3C">
      <w:pPr>
        <w:ind w:left="567" w:right="616"/>
        <w:rPr>
          <w:bCs/>
          <w:i/>
          <w:sz w:val="22"/>
        </w:rPr>
      </w:pPr>
      <w:r w:rsidRPr="00414522">
        <w:rPr>
          <w:bCs/>
          <w:i/>
          <w:sz w:val="22"/>
        </w:rPr>
        <w:t>(…)</w:t>
      </w:r>
    </w:p>
    <w:p w14:paraId="638A6D0A" w14:textId="77777777" w:rsidR="00320A3C" w:rsidRPr="00414522" w:rsidRDefault="00320A3C" w:rsidP="00320A3C">
      <w:pPr>
        <w:ind w:left="567" w:right="616"/>
        <w:rPr>
          <w:i/>
          <w:sz w:val="22"/>
        </w:rPr>
      </w:pPr>
    </w:p>
    <w:p w14:paraId="5085F3E5" w14:textId="77777777" w:rsidR="00320A3C" w:rsidRPr="00414522" w:rsidRDefault="00320A3C" w:rsidP="00320A3C">
      <w:pPr>
        <w:ind w:left="567" w:right="616"/>
        <w:rPr>
          <w:i/>
          <w:sz w:val="22"/>
        </w:rPr>
      </w:pPr>
      <w:r w:rsidRPr="00414522">
        <w:rPr>
          <w:b/>
          <w:i/>
          <w:sz w:val="22"/>
        </w:rPr>
        <w:t>Artículo 132.</w:t>
      </w:r>
      <w:r w:rsidRPr="00414522">
        <w:rPr>
          <w:i/>
          <w:sz w:val="22"/>
        </w:rPr>
        <w:t xml:space="preserve"> La clasificación de la información se llevará a cabo en el momento en que:</w:t>
      </w:r>
    </w:p>
    <w:p w14:paraId="3DEA7B2C" w14:textId="77777777" w:rsidR="00320A3C" w:rsidRPr="00414522" w:rsidRDefault="00320A3C" w:rsidP="00320A3C">
      <w:pPr>
        <w:ind w:left="567" w:right="616"/>
        <w:rPr>
          <w:b/>
          <w:i/>
          <w:sz w:val="22"/>
        </w:rPr>
      </w:pPr>
    </w:p>
    <w:p w14:paraId="67841ECC" w14:textId="77777777" w:rsidR="00320A3C" w:rsidRPr="00414522" w:rsidRDefault="00320A3C" w:rsidP="00320A3C">
      <w:pPr>
        <w:ind w:left="567" w:right="616"/>
        <w:rPr>
          <w:i/>
          <w:sz w:val="22"/>
        </w:rPr>
      </w:pPr>
      <w:r w:rsidRPr="00414522">
        <w:rPr>
          <w:b/>
          <w:i/>
          <w:sz w:val="22"/>
        </w:rPr>
        <w:t>I.</w:t>
      </w:r>
      <w:r w:rsidRPr="00414522">
        <w:rPr>
          <w:i/>
          <w:sz w:val="22"/>
        </w:rPr>
        <w:t xml:space="preserve"> Se reciba una solicitud de acceso a la información;</w:t>
      </w:r>
    </w:p>
    <w:p w14:paraId="529E73D1" w14:textId="77777777" w:rsidR="00320A3C" w:rsidRPr="00414522" w:rsidRDefault="00320A3C" w:rsidP="00320A3C">
      <w:pPr>
        <w:ind w:left="567" w:right="616"/>
        <w:rPr>
          <w:i/>
          <w:sz w:val="22"/>
        </w:rPr>
      </w:pPr>
      <w:r w:rsidRPr="00414522">
        <w:rPr>
          <w:b/>
          <w:i/>
          <w:sz w:val="22"/>
        </w:rPr>
        <w:t>II.</w:t>
      </w:r>
      <w:r w:rsidRPr="00414522">
        <w:rPr>
          <w:i/>
          <w:sz w:val="22"/>
        </w:rPr>
        <w:t xml:space="preserve"> Se determine mediante resolución de autoridad competente; o</w:t>
      </w:r>
    </w:p>
    <w:p w14:paraId="23CDEE7F" w14:textId="77777777" w:rsidR="00320A3C" w:rsidRPr="00414522" w:rsidRDefault="00320A3C" w:rsidP="00320A3C">
      <w:pPr>
        <w:ind w:left="567" w:right="616"/>
        <w:rPr>
          <w:b/>
          <w:i/>
          <w:sz w:val="22"/>
        </w:rPr>
      </w:pPr>
      <w:r w:rsidRPr="00414522">
        <w:rPr>
          <w:b/>
          <w:bCs/>
          <w:i/>
          <w:sz w:val="22"/>
        </w:rPr>
        <w:t>III.</w:t>
      </w:r>
      <w:r w:rsidRPr="00414522">
        <w:rPr>
          <w:i/>
          <w:sz w:val="22"/>
        </w:rPr>
        <w:t xml:space="preserve"> Se generen versiones públicas para dar cumplimiento a las obligaciones de transparencia previstas en esta Ley.</w:t>
      </w:r>
      <w:r w:rsidRPr="00414522">
        <w:rPr>
          <w:b/>
          <w:i/>
          <w:sz w:val="22"/>
        </w:rPr>
        <w:t>”</w:t>
      </w:r>
    </w:p>
    <w:p w14:paraId="2E43423F" w14:textId="77777777" w:rsidR="00320A3C" w:rsidRPr="00414522" w:rsidRDefault="00320A3C" w:rsidP="00320A3C">
      <w:pPr>
        <w:ind w:left="567" w:right="616"/>
        <w:rPr>
          <w:b/>
          <w:i/>
          <w:sz w:val="22"/>
        </w:rPr>
      </w:pPr>
    </w:p>
    <w:p w14:paraId="655148FF" w14:textId="77777777" w:rsidR="00320A3C" w:rsidRPr="00414522" w:rsidRDefault="00320A3C" w:rsidP="00320A3C">
      <w:pPr>
        <w:ind w:left="567" w:right="616"/>
        <w:rPr>
          <w:i/>
          <w:sz w:val="22"/>
        </w:rPr>
      </w:pPr>
      <w:proofErr w:type="gramStart"/>
      <w:r w:rsidRPr="00414522">
        <w:rPr>
          <w:b/>
          <w:i/>
          <w:sz w:val="22"/>
        </w:rPr>
        <w:t>Segundo.-</w:t>
      </w:r>
      <w:proofErr w:type="gramEnd"/>
      <w:r w:rsidRPr="00414522">
        <w:rPr>
          <w:i/>
          <w:sz w:val="22"/>
        </w:rPr>
        <w:t xml:space="preserve"> Para efectos de los presentes Lineamientos Generales, se entenderá por:</w:t>
      </w:r>
    </w:p>
    <w:p w14:paraId="7A6A3DDE" w14:textId="77777777" w:rsidR="00320A3C" w:rsidRPr="00414522" w:rsidRDefault="00320A3C" w:rsidP="00320A3C">
      <w:pPr>
        <w:ind w:left="567" w:right="616"/>
        <w:rPr>
          <w:i/>
          <w:sz w:val="22"/>
        </w:rPr>
      </w:pPr>
      <w:r w:rsidRPr="00414522">
        <w:rPr>
          <w:i/>
          <w:sz w:val="22"/>
        </w:rPr>
        <w:t>(…)</w:t>
      </w:r>
    </w:p>
    <w:p w14:paraId="58D468AE" w14:textId="77777777" w:rsidR="00320A3C" w:rsidRPr="00414522" w:rsidRDefault="00320A3C" w:rsidP="00320A3C">
      <w:pPr>
        <w:ind w:left="567" w:right="616"/>
        <w:rPr>
          <w:i/>
          <w:sz w:val="22"/>
        </w:rPr>
      </w:pPr>
      <w:r w:rsidRPr="00414522">
        <w:rPr>
          <w:b/>
          <w:i/>
          <w:sz w:val="22"/>
        </w:rPr>
        <w:t>XVIII.</w:t>
      </w:r>
      <w:r w:rsidRPr="00414522">
        <w:rPr>
          <w:i/>
          <w:sz w:val="22"/>
        </w:rPr>
        <w:t xml:space="preserve"> </w:t>
      </w:r>
      <w:r w:rsidRPr="00414522">
        <w:rPr>
          <w:b/>
          <w:i/>
          <w:sz w:val="22"/>
        </w:rPr>
        <w:t>Versión pública:</w:t>
      </w:r>
      <w:r w:rsidRPr="00414522">
        <w:rPr>
          <w:i/>
          <w:sz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7C0BEF0" w14:textId="77777777" w:rsidR="00320A3C" w:rsidRPr="00414522" w:rsidRDefault="00320A3C" w:rsidP="00320A3C">
      <w:pPr>
        <w:ind w:left="567" w:right="616"/>
        <w:rPr>
          <w:b/>
          <w:i/>
          <w:sz w:val="22"/>
        </w:rPr>
      </w:pPr>
    </w:p>
    <w:p w14:paraId="6869F452" w14:textId="77777777" w:rsidR="00320A3C" w:rsidRPr="00414522" w:rsidRDefault="00320A3C" w:rsidP="00320A3C">
      <w:pPr>
        <w:ind w:left="567" w:right="616"/>
        <w:rPr>
          <w:i/>
          <w:sz w:val="22"/>
        </w:rPr>
      </w:pPr>
      <w:r w:rsidRPr="00414522">
        <w:rPr>
          <w:b/>
          <w:i/>
          <w:sz w:val="22"/>
        </w:rPr>
        <w:t>Cuarto.</w:t>
      </w:r>
      <w:r w:rsidRPr="00414522">
        <w:rPr>
          <w:i/>
          <w:sz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3CEE6A6" w14:textId="77777777" w:rsidR="00320A3C" w:rsidRPr="00414522" w:rsidRDefault="00320A3C" w:rsidP="00320A3C">
      <w:pPr>
        <w:ind w:left="567" w:right="616"/>
        <w:rPr>
          <w:i/>
          <w:sz w:val="22"/>
        </w:rPr>
      </w:pPr>
    </w:p>
    <w:p w14:paraId="7373479E" w14:textId="77777777" w:rsidR="00320A3C" w:rsidRPr="00414522" w:rsidRDefault="00320A3C" w:rsidP="00320A3C">
      <w:pPr>
        <w:ind w:left="567" w:right="616"/>
        <w:rPr>
          <w:i/>
          <w:sz w:val="22"/>
        </w:rPr>
      </w:pPr>
      <w:r w:rsidRPr="00414522">
        <w:rPr>
          <w:i/>
          <w:sz w:val="22"/>
        </w:rPr>
        <w:lastRenderedPageBreak/>
        <w:t>Los sujetos obligados deberán aplicar, de manera estricta, las excepciones al derecho de acceso a la información y sólo podrán invocarlas cuando acrediten su procedencia.</w:t>
      </w:r>
    </w:p>
    <w:p w14:paraId="288F6605" w14:textId="77777777" w:rsidR="00320A3C" w:rsidRPr="00414522" w:rsidRDefault="00320A3C" w:rsidP="00320A3C">
      <w:pPr>
        <w:ind w:left="567" w:right="616"/>
        <w:rPr>
          <w:b/>
          <w:i/>
          <w:sz w:val="22"/>
        </w:rPr>
      </w:pPr>
    </w:p>
    <w:p w14:paraId="20499DC4" w14:textId="77777777" w:rsidR="00320A3C" w:rsidRPr="00414522" w:rsidRDefault="00320A3C" w:rsidP="00320A3C">
      <w:pPr>
        <w:ind w:left="567" w:right="616"/>
        <w:rPr>
          <w:i/>
          <w:sz w:val="22"/>
        </w:rPr>
      </w:pPr>
      <w:r w:rsidRPr="00414522">
        <w:rPr>
          <w:b/>
          <w:i/>
          <w:sz w:val="22"/>
        </w:rPr>
        <w:t>Quinto.</w:t>
      </w:r>
      <w:r w:rsidRPr="00414522">
        <w:rPr>
          <w:i/>
          <w:sz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3363AC6" w14:textId="77777777" w:rsidR="00320A3C" w:rsidRPr="00414522" w:rsidRDefault="00320A3C" w:rsidP="00320A3C">
      <w:pPr>
        <w:ind w:left="567" w:right="616"/>
        <w:rPr>
          <w:b/>
          <w:i/>
          <w:sz w:val="22"/>
        </w:rPr>
      </w:pPr>
    </w:p>
    <w:p w14:paraId="12799E37" w14:textId="77777777" w:rsidR="00320A3C" w:rsidRPr="00414522" w:rsidRDefault="00320A3C" w:rsidP="00320A3C">
      <w:pPr>
        <w:ind w:left="567" w:right="616"/>
        <w:rPr>
          <w:i/>
          <w:sz w:val="22"/>
        </w:rPr>
      </w:pPr>
      <w:r w:rsidRPr="00414522">
        <w:rPr>
          <w:b/>
          <w:i/>
          <w:sz w:val="22"/>
        </w:rPr>
        <w:t>Séptimo.</w:t>
      </w:r>
      <w:r w:rsidRPr="00414522">
        <w:rPr>
          <w:i/>
          <w:sz w:val="22"/>
        </w:rPr>
        <w:t xml:space="preserve"> La clasificación de la información se llevará a cabo en el momento en que:</w:t>
      </w:r>
    </w:p>
    <w:p w14:paraId="5EB7671D" w14:textId="77777777" w:rsidR="00320A3C" w:rsidRPr="00414522" w:rsidRDefault="00320A3C" w:rsidP="00320A3C">
      <w:pPr>
        <w:ind w:left="567" w:right="616"/>
        <w:rPr>
          <w:i/>
          <w:sz w:val="22"/>
        </w:rPr>
      </w:pPr>
      <w:r w:rsidRPr="00414522">
        <w:rPr>
          <w:b/>
          <w:i/>
          <w:sz w:val="22"/>
        </w:rPr>
        <w:t>I.</w:t>
      </w:r>
      <w:r w:rsidRPr="00414522">
        <w:rPr>
          <w:i/>
          <w:sz w:val="22"/>
        </w:rPr>
        <w:t xml:space="preserve"> Se reciba una solicitud de acceso a la información;</w:t>
      </w:r>
    </w:p>
    <w:p w14:paraId="3CFBBA26" w14:textId="77777777" w:rsidR="00320A3C" w:rsidRPr="00414522" w:rsidRDefault="00320A3C" w:rsidP="00320A3C">
      <w:pPr>
        <w:ind w:left="567" w:right="616"/>
        <w:rPr>
          <w:i/>
          <w:sz w:val="22"/>
        </w:rPr>
      </w:pPr>
      <w:r w:rsidRPr="00414522">
        <w:rPr>
          <w:b/>
          <w:i/>
          <w:sz w:val="22"/>
        </w:rPr>
        <w:t>II.</w:t>
      </w:r>
      <w:r w:rsidRPr="00414522">
        <w:rPr>
          <w:i/>
          <w:sz w:val="22"/>
        </w:rPr>
        <w:t xml:space="preserve"> Se determine mediante resolución del Comité de </w:t>
      </w:r>
      <w:proofErr w:type="spellStart"/>
      <w:r w:rsidRPr="00414522">
        <w:rPr>
          <w:i/>
          <w:sz w:val="22"/>
        </w:rPr>
        <w:t>Transparnecia</w:t>
      </w:r>
      <w:proofErr w:type="spellEnd"/>
      <w:r w:rsidRPr="00414522">
        <w:rPr>
          <w:i/>
          <w:sz w:val="22"/>
        </w:rPr>
        <w:t>, el órgano garante competente, o en cumplimiento a una sentencia del Poder Judicial; o</w:t>
      </w:r>
    </w:p>
    <w:p w14:paraId="20210BE3" w14:textId="77777777" w:rsidR="00320A3C" w:rsidRPr="00414522" w:rsidRDefault="00320A3C" w:rsidP="00320A3C">
      <w:pPr>
        <w:ind w:left="567" w:right="616"/>
        <w:rPr>
          <w:i/>
          <w:sz w:val="22"/>
        </w:rPr>
      </w:pPr>
      <w:r w:rsidRPr="00414522">
        <w:rPr>
          <w:b/>
          <w:i/>
          <w:sz w:val="22"/>
        </w:rPr>
        <w:t>III.</w:t>
      </w:r>
      <w:r w:rsidRPr="00414522">
        <w:rPr>
          <w:i/>
          <w:sz w:val="22"/>
        </w:rPr>
        <w:t xml:space="preserve"> Se generen versiones públicas para dar cumplimiento a las obligaciones de transparencia previstas en la Ley General, la Ley Federal y las correspondientes de las entidades federativas.</w:t>
      </w:r>
    </w:p>
    <w:p w14:paraId="2ED1D344" w14:textId="77777777" w:rsidR="00320A3C" w:rsidRPr="00414522" w:rsidRDefault="00320A3C" w:rsidP="00320A3C">
      <w:pPr>
        <w:ind w:left="567" w:right="616"/>
        <w:rPr>
          <w:i/>
          <w:sz w:val="22"/>
        </w:rPr>
      </w:pPr>
    </w:p>
    <w:p w14:paraId="42A29C56" w14:textId="77777777" w:rsidR="00320A3C" w:rsidRPr="00414522" w:rsidRDefault="00320A3C" w:rsidP="00320A3C">
      <w:pPr>
        <w:ind w:left="567" w:right="616"/>
        <w:rPr>
          <w:i/>
          <w:sz w:val="22"/>
        </w:rPr>
      </w:pPr>
      <w:r w:rsidRPr="00414522">
        <w:rPr>
          <w:i/>
          <w:sz w:val="22"/>
        </w:rPr>
        <w:t>Los titulares de las áreas deberán revisar la información requerida al momento de la recepción de una solicitud de acceso, para verificar si encuadra en una causal de reserva o de confidencialidad.</w:t>
      </w:r>
    </w:p>
    <w:p w14:paraId="735477C4" w14:textId="77777777" w:rsidR="00320A3C" w:rsidRPr="00414522" w:rsidRDefault="00320A3C" w:rsidP="00320A3C">
      <w:pPr>
        <w:ind w:left="567" w:right="616"/>
        <w:rPr>
          <w:b/>
          <w:i/>
          <w:sz w:val="22"/>
        </w:rPr>
      </w:pPr>
    </w:p>
    <w:p w14:paraId="0A8382F5" w14:textId="77777777" w:rsidR="00320A3C" w:rsidRPr="00414522" w:rsidRDefault="00320A3C" w:rsidP="00320A3C">
      <w:pPr>
        <w:ind w:left="567" w:right="616"/>
        <w:rPr>
          <w:i/>
          <w:sz w:val="22"/>
        </w:rPr>
      </w:pPr>
      <w:r w:rsidRPr="00414522">
        <w:rPr>
          <w:b/>
          <w:i/>
          <w:sz w:val="22"/>
        </w:rPr>
        <w:t>Octavo.</w:t>
      </w:r>
      <w:r w:rsidRPr="00414522">
        <w:rPr>
          <w:i/>
          <w:sz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243A214" w14:textId="77777777" w:rsidR="00320A3C" w:rsidRPr="00414522" w:rsidRDefault="00320A3C" w:rsidP="00320A3C">
      <w:pPr>
        <w:ind w:left="567" w:right="616"/>
        <w:rPr>
          <w:i/>
          <w:sz w:val="22"/>
        </w:rPr>
      </w:pPr>
    </w:p>
    <w:p w14:paraId="27ADD87F" w14:textId="77777777" w:rsidR="00320A3C" w:rsidRPr="00414522" w:rsidRDefault="00320A3C" w:rsidP="00320A3C">
      <w:pPr>
        <w:ind w:left="567" w:right="616"/>
        <w:rPr>
          <w:i/>
          <w:sz w:val="22"/>
        </w:rPr>
      </w:pPr>
      <w:r w:rsidRPr="00414522">
        <w:rPr>
          <w:i/>
          <w:sz w:val="22"/>
        </w:rPr>
        <w:lastRenderedPageBreak/>
        <w:t>Para motivar la clasificación se deberán señalar las razones o circunstancias especiales que lo llevaron a concluir que el caso particular se ajusta al supuesto previsto por la norma legal invocada como fundamento.</w:t>
      </w:r>
    </w:p>
    <w:p w14:paraId="53574419" w14:textId="77777777" w:rsidR="00320A3C" w:rsidRPr="00414522" w:rsidRDefault="00320A3C" w:rsidP="00320A3C">
      <w:pPr>
        <w:ind w:left="567" w:right="616"/>
        <w:rPr>
          <w:i/>
          <w:sz w:val="22"/>
        </w:rPr>
      </w:pPr>
    </w:p>
    <w:p w14:paraId="55DC4341" w14:textId="77777777" w:rsidR="00320A3C" w:rsidRPr="00414522" w:rsidRDefault="00320A3C" w:rsidP="00320A3C">
      <w:pPr>
        <w:ind w:left="567" w:right="616"/>
        <w:rPr>
          <w:i/>
          <w:sz w:val="22"/>
        </w:rPr>
      </w:pPr>
      <w:r w:rsidRPr="00414522">
        <w:rPr>
          <w:i/>
          <w:sz w:val="22"/>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7E0CFC16" w14:textId="77777777" w:rsidR="00320A3C" w:rsidRPr="00414522" w:rsidRDefault="00320A3C" w:rsidP="00320A3C">
      <w:pPr>
        <w:ind w:left="567" w:right="616"/>
        <w:rPr>
          <w:b/>
          <w:i/>
          <w:sz w:val="22"/>
        </w:rPr>
      </w:pPr>
    </w:p>
    <w:p w14:paraId="532FD246" w14:textId="77777777" w:rsidR="00320A3C" w:rsidRPr="00F04F19" w:rsidRDefault="00320A3C" w:rsidP="00320A3C">
      <w:pPr>
        <w:ind w:left="567" w:right="616"/>
        <w:rPr>
          <w:i/>
          <w:sz w:val="22"/>
        </w:rPr>
      </w:pPr>
      <w:r w:rsidRPr="00414522">
        <w:rPr>
          <w:b/>
          <w:i/>
          <w:sz w:val="22"/>
        </w:rPr>
        <w:t>Noveno.</w:t>
      </w:r>
      <w:r w:rsidRPr="00414522">
        <w:rPr>
          <w:i/>
          <w:sz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CA2B20D" w14:textId="77777777" w:rsidR="00320A3C" w:rsidRPr="00414522" w:rsidRDefault="00320A3C" w:rsidP="00320A3C">
      <w:pPr>
        <w:ind w:left="567" w:right="616"/>
        <w:rPr>
          <w:i/>
          <w:sz w:val="22"/>
        </w:rPr>
      </w:pPr>
      <w:r w:rsidRPr="00414522">
        <w:rPr>
          <w:b/>
          <w:i/>
          <w:sz w:val="22"/>
        </w:rPr>
        <w:t>Décimo.</w:t>
      </w:r>
      <w:r w:rsidRPr="00414522">
        <w:rPr>
          <w:i/>
          <w:sz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389588C5" w14:textId="77777777" w:rsidR="00320A3C" w:rsidRPr="00414522" w:rsidRDefault="00320A3C" w:rsidP="00320A3C">
      <w:pPr>
        <w:ind w:left="567" w:right="616"/>
        <w:rPr>
          <w:i/>
          <w:sz w:val="22"/>
        </w:rPr>
      </w:pPr>
    </w:p>
    <w:p w14:paraId="5BACC4B5" w14:textId="77777777" w:rsidR="00320A3C" w:rsidRPr="00C6458A" w:rsidRDefault="00320A3C" w:rsidP="00320A3C">
      <w:pPr>
        <w:ind w:left="567" w:right="616"/>
        <w:rPr>
          <w:i/>
          <w:sz w:val="22"/>
        </w:rPr>
      </w:pPr>
      <w:r w:rsidRPr="00414522">
        <w:rPr>
          <w:i/>
          <w:sz w:val="22"/>
        </w:rPr>
        <w:t>En ausencia de los titulares de las áreas, la información será clasificada o desclasificada por la persona que lo supla, en términos de la normativa que rija la actuación del sujeto obligado.</w:t>
      </w:r>
    </w:p>
    <w:p w14:paraId="2C660178" w14:textId="74347919" w:rsidR="00320A3C" w:rsidRPr="00FF0D18" w:rsidRDefault="00320A3C" w:rsidP="00FF0D18">
      <w:pPr>
        <w:ind w:left="567" w:right="616"/>
        <w:rPr>
          <w:b/>
          <w:sz w:val="22"/>
        </w:rPr>
      </w:pPr>
      <w:r w:rsidRPr="00414522">
        <w:rPr>
          <w:b/>
          <w:i/>
          <w:sz w:val="22"/>
        </w:rPr>
        <w:t>Décimo primero.</w:t>
      </w:r>
      <w:r w:rsidRPr="00414522">
        <w:rPr>
          <w:i/>
          <w:sz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60531955" w14:textId="77777777" w:rsidR="00320A3C" w:rsidRDefault="00320A3C" w:rsidP="00320A3C">
      <w:r w:rsidRPr="004578B2">
        <w:lastRenderedPageBreak/>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6EFFA951" w14:textId="77777777" w:rsidR="00320A3C" w:rsidRPr="004578B2" w:rsidRDefault="00320A3C" w:rsidP="00320A3C"/>
    <w:p w14:paraId="610F87A7" w14:textId="77777777" w:rsidR="00320A3C" w:rsidRPr="004578B2" w:rsidRDefault="00320A3C" w:rsidP="00320A3C">
      <w:r w:rsidRPr="004578B2">
        <w:t>Por tanto, la fundamentación y motivación consiste en la obligación que tiene todo ente público de expresar los preceptos jurídicos aplicables al asunto motivo del acto y las razones o argumentos de su actuar.</w:t>
      </w:r>
    </w:p>
    <w:p w14:paraId="2BD3FBFE" w14:textId="77777777" w:rsidR="00320A3C" w:rsidRPr="004578B2" w:rsidRDefault="00320A3C" w:rsidP="00320A3C"/>
    <w:p w14:paraId="7E770F71" w14:textId="77777777" w:rsidR="00320A3C" w:rsidRPr="004578B2" w:rsidRDefault="00320A3C" w:rsidP="00320A3C">
      <w:r w:rsidRPr="004578B2">
        <w:t>Al respecto, el máximo tribunal del país ha establecido jurisprudencia respecto a qué debe entenderse por fundamentación y motivaci</w:t>
      </w:r>
      <w:r>
        <w:t>ón, en los siguientes términos:</w:t>
      </w:r>
    </w:p>
    <w:p w14:paraId="38986FE4" w14:textId="77777777" w:rsidR="00320A3C" w:rsidRPr="00414522" w:rsidRDefault="00320A3C" w:rsidP="00320A3C">
      <w:pPr>
        <w:ind w:left="567" w:right="616"/>
        <w:rPr>
          <w:b/>
          <w:i/>
          <w:sz w:val="22"/>
        </w:rPr>
      </w:pPr>
      <w:r w:rsidRPr="00414522">
        <w:rPr>
          <w:b/>
          <w:i/>
          <w:sz w:val="22"/>
        </w:rPr>
        <w:t xml:space="preserve">FUNDAMENTACIÓN Y MOTIVACIÓN. </w:t>
      </w:r>
    </w:p>
    <w:p w14:paraId="4B0951D3" w14:textId="77777777" w:rsidR="00320A3C" w:rsidRPr="00414522" w:rsidRDefault="00320A3C" w:rsidP="00320A3C">
      <w:pPr>
        <w:ind w:left="567" w:right="616"/>
        <w:rPr>
          <w:i/>
          <w:sz w:val="22"/>
        </w:rPr>
      </w:pPr>
      <w:r w:rsidRPr="00414522">
        <w:rPr>
          <w:i/>
          <w:sz w:val="22"/>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3F94D6E1" w14:textId="77777777" w:rsidR="00320A3C" w:rsidRPr="004578B2" w:rsidRDefault="00320A3C" w:rsidP="00320A3C"/>
    <w:p w14:paraId="5E8A1A1F" w14:textId="33D9AD25" w:rsidR="00320A3C" w:rsidRDefault="00320A3C" w:rsidP="00320A3C">
      <w:r w:rsidRPr="004578B2">
        <w:lastRenderedPageBreak/>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1C16BA35" w14:textId="77777777" w:rsidR="00FF0D18" w:rsidRPr="004578B2" w:rsidRDefault="00FF0D18" w:rsidP="00320A3C"/>
    <w:p w14:paraId="73190F85" w14:textId="77777777" w:rsidR="00320A3C" w:rsidRPr="004578B2" w:rsidRDefault="00320A3C" w:rsidP="00320A3C">
      <w:r w:rsidRPr="004578B2">
        <w:t>Más aún, a través de diversa jurisprudencia dictada por el Poder Judicial de la Federación se sostiene que la finalidad de la fundamentación o motivación es la de explicar, justificar, posibilitar la defensa y comunic</w:t>
      </w:r>
      <w:r>
        <w:t>ar la decisión de la autoridad:</w:t>
      </w:r>
    </w:p>
    <w:p w14:paraId="23754F9D" w14:textId="77777777" w:rsidR="00320A3C" w:rsidRPr="00414522" w:rsidRDefault="00320A3C" w:rsidP="00320A3C">
      <w:pPr>
        <w:ind w:left="567" w:right="616"/>
        <w:rPr>
          <w:i/>
          <w:sz w:val="22"/>
        </w:rPr>
      </w:pPr>
      <w:r w:rsidRPr="00414522">
        <w:rPr>
          <w:b/>
          <w:i/>
          <w:sz w:val="22"/>
        </w:rPr>
        <w:t>FUNDAMENTACIÓN Y MOTIVACIÓN. EL ASPECTO FORMAL DE LA GARANTÍA Y SU FINALIDAD SE TRADUCEN EN EXPLICAR, JUSTIFICAR, POSIBILITAR LA DEFENSA Y COMUNICAR LA DECISIÓN</w:t>
      </w:r>
      <w:r w:rsidRPr="00414522">
        <w:rPr>
          <w:i/>
          <w:sz w:val="22"/>
        </w:rPr>
        <w:t xml:space="preserve">. </w:t>
      </w:r>
    </w:p>
    <w:p w14:paraId="667BFBE5" w14:textId="77777777" w:rsidR="00320A3C" w:rsidRPr="00414522" w:rsidRDefault="00320A3C" w:rsidP="00320A3C">
      <w:pPr>
        <w:ind w:left="567" w:right="616"/>
        <w:rPr>
          <w:i/>
          <w:sz w:val="22"/>
        </w:rPr>
      </w:pPr>
      <w:r w:rsidRPr="00414522">
        <w:rPr>
          <w:i/>
          <w:sz w:val="22"/>
        </w:rPr>
        <w:t xml:space="preserve">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w:t>
      </w:r>
      <w:r w:rsidRPr="00414522">
        <w:rPr>
          <w:i/>
          <w:sz w:val="22"/>
        </w:rPr>
        <w:lastRenderedPageBreak/>
        <w:t>razonamiento del que se deduzca la relación de pertenencia lógica de los hechos al derecho invocado, que es la subsunción.</w:t>
      </w:r>
    </w:p>
    <w:p w14:paraId="3D7B736E" w14:textId="77777777" w:rsidR="00320A3C" w:rsidRPr="004578B2" w:rsidRDefault="00320A3C" w:rsidP="00320A3C"/>
    <w:p w14:paraId="44082ABD" w14:textId="77777777" w:rsidR="00320A3C" w:rsidRDefault="00320A3C" w:rsidP="00320A3C">
      <w:r w:rsidRPr="004578B2">
        <w:t xml:space="preserve">En consecuencia, la fundamentación y motivación implica </w:t>
      </w:r>
      <w:proofErr w:type="gramStart"/>
      <w:r w:rsidRPr="004578B2">
        <w:t>que</w:t>
      </w:r>
      <w:proofErr w:type="gramEnd"/>
      <w:r w:rsidRPr="004578B2">
        <w:t xml:space="preserv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085C5E18" w14:textId="77777777" w:rsidR="00320A3C" w:rsidRPr="004578B2" w:rsidRDefault="00320A3C" w:rsidP="00320A3C"/>
    <w:p w14:paraId="5A92727E" w14:textId="77777777" w:rsidR="00320A3C" w:rsidRPr="00487F6C" w:rsidRDefault="00320A3C" w:rsidP="00320A3C">
      <w:r w:rsidRPr="004578B2">
        <w:t>Por lo tanto, la entrega de documentos en su versión pública debe acompañarse necesariamente del Acuerdo del Comité de Transparencia del Sujeto Obligado</w:t>
      </w:r>
      <w:r w:rsidRPr="004578B2">
        <w:rPr>
          <w:b/>
        </w:rPr>
        <w:t xml:space="preserve"> </w:t>
      </w:r>
      <w:r w:rsidRPr="004578B2">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r>
        <w:t>.</w:t>
      </w:r>
    </w:p>
    <w:p w14:paraId="3F3F3952" w14:textId="421F841F" w:rsidR="00320A3C" w:rsidRPr="00BD10AF" w:rsidRDefault="00320A3C" w:rsidP="00320A3C">
      <w:pPr>
        <w:tabs>
          <w:tab w:val="left" w:pos="709"/>
        </w:tabs>
        <w:spacing w:before="240"/>
        <w:ind w:right="51"/>
      </w:pPr>
      <w:r w:rsidRPr="00BD10AF">
        <w:rPr>
          <w:iCs/>
        </w:rPr>
        <w:t xml:space="preserve">En mérito de lo expuesto </w:t>
      </w:r>
      <w:r w:rsidRPr="00BD10AF">
        <w:t xml:space="preserve">en líneas anteriores, resultan parcialmente fundados los motivos de inconformidad vertidos por </w:t>
      </w:r>
      <w:r>
        <w:rPr>
          <w:b/>
        </w:rPr>
        <w:t>el</w:t>
      </w:r>
      <w:r w:rsidRPr="00BD10AF">
        <w:rPr>
          <w:b/>
        </w:rPr>
        <w:t xml:space="preserve"> Recurrente, </w:t>
      </w:r>
      <w:r w:rsidRPr="00BD10AF">
        <w:t xml:space="preserve">por ello con fundamento en </w:t>
      </w:r>
      <w:r>
        <w:t xml:space="preserve">la </w:t>
      </w:r>
      <w:r>
        <w:rPr>
          <w:i/>
        </w:rPr>
        <w:t xml:space="preserve">segunda hipótesis </w:t>
      </w:r>
      <w:r>
        <w:t>d</w:t>
      </w:r>
      <w:r w:rsidRPr="00BD10AF">
        <w:t xml:space="preserve">el artículo 186 fracción III de la Ley de Transparencia y Acceso a la Información Pública del Estado de México y Municipios, se </w:t>
      </w:r>
      <w:r w:rsidRPr="00BD10AF">
        <w:rPr>
          <w:b/>
        </w:rPr>
        <w:t xml:space="preserve">MODIFICA </w:t>
      </w:r>
      <w:r w:rsidRPr="00BD10AF">
        <w:t xml:space="preserve">la respuesta a </w:t>
      </w:r>
      <w:r w:rsidRPr="00BD10AF">
        <w:lastRenderedPageBreak/>
        <w:t>la solicitud de información</w:t>
      </w:r>
      <w:r>
        <w:t xml:space="preserve"> </w:t>
      </w:r>
      <w:r w:rsidRPr="00320A3C">
        <w:rPr>
          <w:b/>
          <w:bCs/>
        </w:rPr>
        <w:t>00793/</w:t>
      </w:r>
      <w:proofErr w:type="spellStart"/>
      <w:r w:rsidRPr="00320A3C">
        <w:rPr>
          <w:b/>
          <w:bCs/>
        </w:rPr>
        <w:t>PJUDICI</w:t>
      </w:r>
      <w:proofErr w:type="spellEnd"/>
      <w:r w:rsidRPr="00320A3C">
        <w:rPr>
          <w:b/>
          <w:bCs/>
        </w:rPr>
        <w:t>/IP/2024</w:t>
      </w:r>
      <w:r w:rsidRPr="00BD10AF">
        <w:rPr>
          <w:b/>
          <w:bCs/>
        </w:rPr>
        <w:t xml:space="preserve">, </w:t>
      </w:r>
      <w:r w:rsidRPr="00BD10AF">
        <w:t xml:space="preserve">que ha sido materia del presente fallo. </w:t>
      </w:r>
    </w:p>
    <w:p w14:paraId="7786C7B1" w14:textId="77777777" w:rsidR="00320A3C" w:rsidRDefault="00320A3C" w:rsidP="00320A3C">
      <w:pPr>
        <w:pStyle w:val="Prrafodelista"/>
        <w:spacing w:before="240" w:after="240"/>
        <w:ind w:left="0"/>
      </w:pPr>
      <w:r w:rsidRPr="00BD10AF">
        <w:t>Por lo antes expuesto y fundado es de resolverse y,</w:t>
      </w:r>
      <w:r w:rsidRPr="00F458CF">
        <w:t xml:space="preserve"> </w:t>
      </w:r>
    </w:p>
    <w:p w14:paraId="1A99D778" w14:textId="77777777" w:rsidR="00A71F61" w:rsidRPr="00F44B7D" w:rsidRDefault="00A71F61" w:rsidP="00320A3C">
      <w:pPr>
        <w:pStyle w:val="Prrafodelista"/>
        <w:spacing w:before="240" w:after="240"/>
        <w:ind w:left="0"/>
      </w:pPr>
    </w:p>
    <w:p w14:paraId="08A7C764" w14:textId="77777777" w:rsidR="00320A3C" w:rsidRDefault="00320A3C" w:rsidP="00320A3C">
      <w:pPr>
        <w:spacing w:before="240"/>
        <w:jc w:val="center"/>
        <w:rPr>
          <w:b/>
          <w:bCs/>
          <w:spacing w:val="60"/>
          <w:sz w:val="28"/>
          <w:szCs w:val="28"/>
        </w:rPr>
      </w:pPr>
      <w:r w:rsidRPr="00F04F19">
        <w:rPr>
          <w:b/>
          <w:bCs/>
          <w:spacing w:val="60"/>
          <w:sz w:val="28"/>
          <w:szCs w:val="28"/>
        </w:rPr>
        <w:t>SE    RESUELVE</w:t>
      </w:r>
    </w:p>
    <w:p w14:paraId="2EF23C20" w14:textId="77777777" w:rsidR="00FF0D18" w:rsidRPr="00F04F19" w:rsidRDefault="00FF0D18" w:rsidP="00320A3C">
      <w:pPr>
        <w:spacing w:before="240"/>
        <w:jc w:val="center"/>
        <w:rPr>
          <w:b/>
          <w:bCs/>
          <w:spacing w:val="60"/>
          <w:sz w:val="28"/>
          <w:szCs w:val="28"/>
        </w:rPr>
      </w:pPr>
    </w:p>
    <w:p w14:paraId="279904FF" w14:textId="3F7A2516" w:rsidR="00320A3C" w:rsidRDefault="00320A3C" w:rsidP="00320A3C">
      <w:pPr>
        <w:spacing w:before="240"/>
        <w:rPr>
          <w:rFonts w:cs="Arial"/>
        </w:rPr>
      </w:pPr>
      <w:r w:rsidRPr="00D05C83">
        <w:rPr>
          <w:rFonts w:cs="Arial"/>
          <w:b/>
        </w:rPr>
        <w:t>PRIMERO.</w:t>
      </w:r>
      <w:r w:rsidRPr="00D05C83">
        <w:rPr>
          <w:rFonts w:cs="Arial"/>
        </w:rPr>
        <w:t xml:space="preserve"> </w:t>
      </w:r>
      <w:r w:rsidRPr="00A05065">
        <w:rPr>
          <w:rFonts w:cs="Arial"/>
        </w:rPr>
        <w:t xml:space="preserve">Se </w:t>
      </w:r>
      <w:r>
        <w:rPr>
          <w:rFonts w:cs="Arial"/>
          <w:b/>
        </w:rPr>
        <w:t xml:space="preserve">MODIFICA </w:t>
      </w:r>
      <w:r>
        <w:rPr>
          <w:rFonts w:cs="Arial"/>
        </w:rPr>
        <w:t xml:space="preserve">la respuesta entregada por </w:t>
      </w:r>
      <w:r>
        <w:rPr>
          <w:rFonts w:cs="Arial"/>
          <w:b/>
        </w:rPr>
        <w:t xml:space="preserve">EL SUJETO OBLIGADO, </w:t>
      </w:r>
      <w:r>
        <w:rPr>
          <w:rFonts w:cs="Arial"/>
        </w:rPr>
        <w:t xml:space="preserve">a la solicitud de información con número </w:t>
      </w:r>
      <w:r w:rsidRPr="00320A3C">
        <w:rPr>
          <w:b/>
          <w:bCs/>
        </w:rPr>
        <w:t>00793/</w:t>
      </w:r>
      <w:proofErr w:type="spellStart"/>
      <w:r w:rsidRPr="00320A3C">
        <w:rPr>
          <w:b/>
          <w:bCs/>
        </w:rPr>
        <w:t>PJUDICI</w:t>
      </w:r>
      <w:proofErr w:type="spellEnd"/>
      <w:r w:rsidRPr="00320A3C">
        <w:rPr>
          <w:b/>
          <w:bCs/>
        </w:rPr>
        <w:t>/IP/</w:t>
      </w:r>
      <w:proofErr w:type="spellStart"/>
      <w:r w:rsidRPr="00320A3C">
        <w:rPr>
          <w:b/>
          <w:bCs/>
        </w:rPr>
        <w:t>2024</w:t>
      </w:r>
      <w:r>
        <w:rPr>
          <w:b/>
          <w:bCs/>
        </w:rPr>
        <w:t>por</w:t>
      </w:r>
      <w:proofErr w:type="spellEnd"/>
      <w:r>
        <w:rPr>
          <w:b/>
          <w:bCs/>
        </w:rPr>
        <w:t xml:space="preserve"> </w:t>
      </w:r>
      <w:r>
        <w:rPr>
          <w:rFonts w:cs="Arial"/>
        </w:rPr>
        <w:t xml:space="preserve">resultar parcialmente fundados los motivos de inconformidad que arguye </w:t>
      </w:r>
      <w:r>
        <w:rPr>
          <w:rFonts w:cs="Arial"/>
          <w:b/>
        </w:rPr>
        <w:t xml:space="preserve">EL RECURRENTE, </w:t>
      </w:r>
      <w:r>
        <w:rPr>
          <w:rFonts w:cs="Arial"/>
        </w:rPr>
        <w:t xml:space="preserve">en términos del </w:t>
      </w:r>
      <w:r w:rsidRPr="0012305B">
        <w:rPr>
          <w:rFonts w:cs="Arial"/>
          <w:b/>
        </w:rPr>
        <w:t xml:space="preserve">Considerando </w:t>
      </w:r>
      <w:r>
        <w:rPr>
          <w:rFonts w:cs="Arial"/>
          <w:b/>
        </w:rPr>
        <w:t xml:space="preserve">CUARTO </w:t>
      </w:r>
      <w:r>
        <w:rPr>
          <w:rFonts w:cs="Arial"/>
        </w:rPr>
        <w:t xml:space="preserve">de la presente resolución. </w:t>
      </w:r>
    </w:p>
    <w:p w14:paraId="346170EC" w14:textId="77777777" w:rsidR="00320A3C" w:rsidRDefault="00320A3C" w:rsidP="00320A3C">
      <w:pPr>
        <w:spacing w:before="240"/>
        <w:rPr>
          <w:rFonts w:cs="Arial"/>
        </w:rPr>
      </w:pPr>
    </w:p>
    <w:p w14:paraId="1935CFC0" w14:textId="4E1C7CB1" w:rsidR="00320A3C" w:rsidRDefault="00320A3C" w:rsidP="00320A3C">
      <w:pPr>
        <w:autoSpaceDE w:val="0"/>
        <w:autoSpaceDN w:val="0"/>
        <w:adjustRightInd w:val="0"/>
        <w:rPr>
          <w:rFonts w:cs="Arial"/>
        </w:rPr>
      </w:pPr>
      <w:r w:rsidRPr="004C5CF4">
        <w:rPr>
          <w:rFonts w:cs="Arial"/>
          <w:b/>
          <w:sz w:val="28"/>
          <w:szCs w:val="28"/>
        </w:rPr>
        <w:t>SEGUNDO.</w:t>
      </w:r>
      <w:r w:rsidRPr="004C5CF4">
        <w:rPr>
          <w:rFonts w:cs="Arial"/>
        </w:rPr>
        <w:t xml:space="preserve"> Se </w:t>
      </w:r>
      <w:r w:rsidRPr="004C5CF4">
        <w:rPr>
          <w:rFonts w:cs="Arial"/>
          <w:b/>
        </w:rPr>
        <w:t>ORDENA</w:t>
      </w:r>
      <w:r w:rsidRPr="004C5CF4">
        <w:rPr>
          <w:rFonts w:cs="Arial"/>
        </w:rPr>
        <w:t xml:space="preserve"> al </w:t>
      </w:r>
      <w:r w:rsidRPr="004C5CF4">
        <w:rPr>
          <w:rFonts w:cs="Arial"/>
          <w:b/>
        </w:rPr>
        <w:t>SUJETO OBLIGADO</w:t>
      </w:r>
      <w:r w:rsidRPr="004C5CF4">
        <w:rPr>
          <w:rFonts w:cs="Arial"/>
        </w:rPr>
        <w:t xml:space="preserve"> haga entrega al</w:t>
      </w:r>
      <w:r w:rsidRPr="004C5CF4">
        <w:rPr>
          <w:rFonts w:cs="Arial"/>
          <w:b/>
        </w:rPr>
        <w:t xml:space="preserve"> RECURRENTE </w:t>
      </w:r>
      <w:r w:rsidRPr="004C5CF4">
        <w:rPr>
          <w:rFonts w:cs="Arial"/>
        </w:rPr>
        <w:t xml:space="preserve">en términos del Considerando </w:t>
      </w:r>
      <w:r w:rsidRPr="004C5CF4">
        <w:rPr>
          <w:rFonts w:cs="Arial"/>
          <w:b/>
        </w:rPr>
        <w:t xml:space="preserve">CUARTO </w:t>
      </w:r>
      <w:r w:rsidRPr="004C5CF4">
        <w:rPr>
          <w:rFonts w:cs="Arial"/>
        </w:rPr>
        <w:t>de esta resolución</w:t>
      </w:r>
      <w:r>
        <w:rPr>
          <w:rFonts w:cs="Arial"/>
          <w:b/>
        </w:rPr>
        <w:t xml:space="preserve"> </w:t>
      </w:r>
      <w:r w:rsidRPr="004C5CF4">
        <w:rPr>
          <w:rFonts w:cs="Arial"/>
        </w:rPr>
        <w:t xml:space="preserve">a través del Sistema de Acceso a la Información Mexiquense </w:t>
      </w:r>
      <w:r w:rsidRPr="004C5CF4">
        <w:rPr>
          <w:rFonts w:cs="Arial"/>
          <w:b/>
        </w:rPr>
        <w:t>(</w:t>
      </w:r>
      <w:proofErr w:type="spellStart"/>
      <w:r w:rsidRPr="004C5CF4">
        <w:rPr>
          <w:rFonts w:cs="Arial"/>
          <w:b/>
        </w:rPr>
        <w:t>SAIMEX</w:t>
      </w:r>
      <w:proofErr w:type="spellEnd"/>
      <w:r w:rsidRPr="004C5CF4">
        <w:rPr>
          <w:rFonts w:cs="Arial"/>
          <w:b/>
        </w:rPr>
        <w:t xml:space="preserve">), en versión pública </w:t>
      </w:r>
      <w:r>
        <w:rPr>
          <w:rFonts w:cs="Arial"/>
        </w:rPr>
        <w:t xml:space="preserve">el soporte documental que dé cuenta de lo siguiente;  </w:t>
      </w:r>
    </w:p>
    <w:p w14:paraId="4FB26E2C" w14:textId="77777777" w:rsidR="00320A3C" w:rsidRPr="004C5CF4" w:rsidRDefault="00320A3C" w:rsidP="00320A3C">
      <w:pPr>
        <w:autoSpaceDE w:val="0"/>
        <w:autoSpaceDN w:val="0"/>
        <w:adjustRightInd w:val="0"/>
        <w:rPr>
          <w:rFonts w:cs="Tahoma"/>
        </w:rPr>
      </w:pPr>
    </w:p>
    <w:p w14:paraId="02785382" w14:textId="3D7FFB39" w:rsidR="00320A3C" w:rsidRPr="00320A3C" w:rsidRDefault="00320A3C" w:rsidP="00320A3C">
      <w:pPr>
        <w:pStyle w:val="Prrafodelista"/>
        <w:numPr>
          <w:ilvl w:val="0"/>
          <w:numId w:val="36"/>
        </w:numPr>
        <w:rPr>
          <w:rFonts w:cs="Arial"/>
        </w:rPr>
      </w:pPr>
      <w:r>
        <w:rPr>
          <w:color w:val="000000"/>
          <w:szCs w:val="24"/>
        </w:rPr>
        <w:t xml:space="preserve">Del expediente </w:t>
      </w:r>
      <w:r w:rsidRPr="00320A3C">
        <w:rPr>
          <w:color w:val="000000"/>
          <w:szCs w:val="24"/>
        </w:rPr>
        <w:t>ordinario c</w:t>
      </w:r>
      <w:r>
        <w:rPr>
          <w:color w:val="000000"/>
          <w:szCs w:val="24"/>
        </w:rPr>
        <w:t>ivil 1094/2015 correspondiente al Juez Cuarto Civil de Primera instancia del Distrito J</w:t>
      </w:r>
      <w:r w:rsidRPr="00320A3C">
        <w:rPr>
          <w:color w:val="000000"/>
          <w:szCs w:val="24"/>
        </w:rPr>
        <w:t>ud</w:t>
      </w:r>
      <w:r>
        <w:rPr>
          <w:color w:val="000000"/>
          <w:szCs w:val="24"/>
        </w:rPr>
        <w:t>icial de Cuautitlán, Estado de M</w:t>
      </w:r>
      <w:r w:rsidRPr="00320A3C">
        <w:rPr>
          <w:color w:val="000000"/>
          <w:szCs w:val="24"/>
        </w:rPr>
        <w:t>éxico</w:t>
      </w:r>
      <w:r>
        <w:rPr>
          <w:rFonts w:eastAsia="Palatino Linotype" w:cs="Palatino Linotype"/>
          <w:color w:val="000000"/>
          <w:szCs w:val="24"/>
        </w:rPr>
        <w:t>;</w:t>
      </w:r>
    </w:p>
    <w:p w14:paraId="3B46660E" w14:textId="77777777" w:rsidR="00320A3C" w:rsidRPr="00320A3C" w:rsidRDefault="00320A3C" w:rsidP="00320A3C">
      <w:pPr>
        <w:pStyle w:val="Prrafodelista"/>
        <w:numPr>
          <w:ilvl w:val="1"/>
          <w:numId w:val="36"/>
        </w:numPr>
        <w:rPr>
          <w:rFonts w:cs="Arial"/>
        </w:rPr>
      </w:pPr>
      <w:r>
        <w:rPr>
          <w:color w:val="000000"/>
          <w:szCs w:val="24"/>
        </w:rPr>
        <w:t>Demanda</w:t>
      </w:r>
    </w:p>
    <w:p w14:paraId="36F31C02" w14:textId="77777777" w:rsidR="00320A3C" w:rsidRPr="00320A3C" w:rsidRDefault="00320A3C" w:rsidP="00320A3C">
      <w:pPr>
        <w:pStyle w:val="Prrafodelista"/>
        <w:numPr>
          <w:ilvl w:val="1"/>
          <w:numId w:val="36"/>
        </w:numPr>
        <w:rPr>
          <w:rFonts w:cs="Arial"/>
        </w:rPr>
      </w:pPr>
      <w:r>
        <w:rPr>
          <w:color w:val="000000"/>
          <w:szCs w:val="24"/>
        </w:rPr>
        <w:t>Contestación a la demanda</w:t>
      </w:r>
      <w:r w:rsidRPr="00320A3C">
        <w:rPr>
          <w:color w:val="000000"/>
          <w:szCs w:val="24"/>
        </w:rPr>
        <w:t xml:space="preserve"> </w:t>
      </w:r>
    </w:p>
    <w:p w14:paraId="7DD6647B" w14:textId="792D08AB" w:rsidR="00320A3C" w:rsidRPr="00D426BC" w:rsidRDefault="00320A3C" w:rsidP="00320A3C">
      <w:pPr>
        <w:pStyle w:val="Prrafodelista"/>
        <w:numPr>
          <w:ilvl w:val="1"/>
          <w:numId w:val="36"/>
        </w:numPr>
        <w:rPr>
          <w:rFonts w:cs="Arial"/>
        </w:rPr>
      </w:pPr>
      <w:r>
        <w:rPr>
          <w:color w:val="000000"/>
          <w:szCs w:val="24"/>
        </w:rPr>
        <w:t>E</w:t>
      </w:r>
      <w:r w:rsidRPr="00320A3C">
        <w:rPr>
          <w:color w:val="000000"/>
          <w:szCs w:val="24"/>
        </w:rPr>
        <w:t>scrito</w:t>
      </w:r>
      <w:r>
        <w:rPr>
          <w:color w:val="000000"/>
          <w:szCs w:val="24"/>
        </w:rPr>
        <w:t xml:space="preserve">s de ofrecimiento de pruebas </w:t>
      </w:r>
      <w:r w:rsidRPr="00320A3C">
        <w:rPr>
          <w:color w:val="000000"/>
          <w:szCs w:val="24"/>
        </w:rPr>
        <w:t xml:space="preserve"> </w:t>
      </w:r>
    </w:p>
    <w:p w14:paraId="793BCA65" w14:textId="77777777" w:rsidR="00D426BC" w:rsidRDefault="00D426BC" w:rsidP="00D426BC">
      <w:pPr>
        <w:pStyle w:val="Prrafodelista"/>
        <w:ind w:left="1800"/>
        <w:rPr>
          <w:rFonts w:cs="Arial"/>
        </w:rPr>
      </w:pPr>
    </w:p>
    <w:p w14:paraId="393CBA21" w14:textId="20138493" w:rsidR="00A01975" w:rsidRPr="00A01975" w:rsidRDefault="00A01975" w:rsidP="00A01975">
      <w:pPr>
        <w:pStyle w:val="Prrafodelista"/>
        <w:numPr>
          <w:ilvl w:val="0"/>
          <w:numId w:val="36"/>
        </w:numPr>
      </w:pPr>
      <w:r>
        <w:t xml:space="preserve">Del expediente contenido </w:t>
      </w:r>
      <w:r w:rsidRPr="005F4AC4">
        <w:rPr>
          <w:rFonts w:eastAsia="Palatino Linotype" w:cs="Palatino Linotype"/>
          <w:color w:val="000000"/>
          <w:szCs w:val="24"/>
        </w:rPr>
        <w:t xml:space="preserve">en </w:t>
      </w:r>
      <w:r>
        <w:rPr>
          <w:rFonts w:eastAsia="Palatino Linotype" w:cs="Palatino Linotype"/>
          <w:color w:val="000000"/>
          <w:szCs w:val="24"/>
        </w:rPr>
        <w:t xml:space="preserve">la </w:t>
      </w:r>
      <w:r w:rsidRPr="005F4AC4">
        <w:rPr>
          <w:rFonts w:eastAsia="Palatino Linotype" w:cs="Palatino Linotype"/>
          <w:color w:val="000000"/>
          <w:szCs w:val="24"/>
        </w:rPr>
        <w:t xml:space="preserve">toca 590/2016 de la </w:t>
      </w:r>
      <w:r>
        <w:rPr>
          <w:rFonts w:eastAsia="Palatino Linotype" w:cs="Palatino Linotype"/>
          <w:color w:val="000000"/>
          <w:szCs w:val="24"/>
        </w:rPr>
        <w:t>S</w:t>
      </w:r>
      <w:r w:rsidRPr="005F4AC4">
        <w:rPr>
          <w:rFonts w:eastAsia="Palatino Linotype" w:cs="Palatino Linotype"/>
          <w:color w:val="000000"/>
          <w:szCs w:val="24"/>
        </w:rPr>
        <w:t xml:space="preserve">egunda </w:t>
      </w:r>
      <w:r>
        <w:rPr>
          <w:rFonts w:eastAsia="Palatino Linotype" w:cs="Palatino Linotype"/>
          <w:color w:val="000000"/>
          <w:szCs w:val="24"/>
        </w:rPr>
        <w:t>S</w:t>
      </w:r>
      <w:r w:rsidRPr="005F4AC4">
        <w:rPr>
          <w:rFonts w:eastAsia="Palatino Linotype" w:cs="Palatino Linotype"/>
          <w:color w:val="000000"/>
          <w:szCs w:val="24"/>
        </w:rPr>
        <w:t xml:space="preserve">ala </w:t>
      </w:r>
      <w:r>
        <w:rPr>
          <w:rFonts w:eastAsia="Palatino Linotype" w:cs="Palatino Linotype"/>
          <w:color w:val="000000"/>
          <w:szCs w:val="24"/>
        </w:rPr>
        <w:t>C</w:t>
      </w:r>
      <w:r w:rsidRPr="005F4AC4">
        <w:rPr>
          <w:rFonts w:eastAsia="Palatino Linotype" w:cs="Palatino Linotype"/>
          <w:color w:val="000000"/>
          <w:szCs w:val="24"/>
        </w:rPr>
        <w:t xml:space="preserve">ivil de </w:t>
      </w:r>
      <w:r>
        <w:rPr>
          <w:rFonts w:eastAsia="Palatino Linotype" w:cs="Palatino Linotype"/>
          <w:color w:val="000000"/>
          <w:szCs w:val="24"/>
        </w:rPr>
        <w:t>T</w:t>
      </w:r>
      <w:r w:rsidRPr="005F4AC4">
        <w:rPr>
          <w:rFonts w:eastAsia="Palatino Linotype" w:cs="Palatino Linotype"/>
          <w:color w:val="000000"/>
          <w:szCs w:val="24"/>
        </w:rPr>
        <w:t xml:space="preserve">lalnepantla del </w:t>
      </w:r>
      <w:r>
        <w:rPr>
          <w:rFonts w:eastAsia="Palatino Linotype" w:cs="Palatino Linotype"/>
          <w:color w:val="000000"/>
          <w:szCs w:val="24"/>
        </w:rPr>
        <w:t>T</w:t>
      </w:r>
      <w:r w:rsidRPr="005F4AC4">
        <w:rPr>
          <w:rFonts w:eastAsia="Palatino Linotype" w:cs="Palatino Linotype"/>
          <w:color w:val="000000"/>
          <w:szCs w:val="24"/>
        </w:rPr>
        <w:t xml:space="preserve">ribunal </w:t>
      </w:r>
      <w:r>
        <w:rPr>
          <w:rFonts w:eastAsia="Palatino Linotype" w:cs="Palatino Linotype"/>
          <w:color w:val="000000"/>
          <w:szCs w:val="24"/>
        </w:rPr>
        <w:t>S</w:t>
      </w:r>
      <w:r w:rsidRPr="005F4AC4">
        <w:rPr>
          <w:rFonts w:eastAsia="Palatino Linotype" w:cs="Palatino Linotype"/>
          <w:color w:val="000000"/>
          <w:szCs w:val="24"/>
        </w:rPr>
        <w:t xml:space="preserve">uperior de </w:t>
      </w:r>
      <w:r>
        <w:rPr>
          <w:rFonts w:eastAsia="Palatino Linotype" w:cs="Palatino Linotype"/>
          <w:color w:val="000000"/>
          <w:szCs w:val="24"/>
        </w:rPr>
        <w:t>J</w:t>
      </w:r>
      <w:r w:rsidRPr="005F4AC4">
        <w:rPr>
          <w:rFonts w:eastAsia="Palatino Linotype" w:cs="Palatino Linotype"/>
          <w:color w:val="000000"/>
          <w:szCs w:val="24"/>
        </w:rPr>
        <w:t xml:space="preserve">usticia del </w:t>
      </w:r>
      <w:r>
        <w:rPr>
          <w:rFonts w:eastAsia="Palatino Linotype" w:cs="Palatino Linotype"/>
          <w:color w:val="000000"/>
          <w:szCs w:val="24"/>
        </w:rPr>
        <w:t>E</w:t>
      </w:r>
      <w:r w:rsidRPr="005F4AC4">
        <w:rPr>
          <w:rFonts w:eastAsia="Palatino Linotype" w:cs="Palatino Linotype"/>
          <w:color w:val="000000"/>
          <w:szCs w:val="24"/>
        </w:rPr>
        <w:t xml:space="preserve">stado de </w:t>
      </w:r>
      <w:r>
        <w:rPr>
          <w:rFonts w:eastAsia="Palatino Linotype" w:cs="Palatino Linotype"/>
          <w:color w:val="000000"/>
          <w:szCs w:val="24"/>
        </w:rPr>
        <w:t>M</w:t>
      </w:r>
      <w:r w:rsidRPr="005F4AC4">
        <w:rPr>
          <w:rFonts w:eastAsia="Palatino Linotype" w:cs="Palatino Linotype"/>
          <w:color w:val="000000"/>
          <w:szCs w:val="24"/>
        </w:rPr>
        <w:t>éxico</w:t>
      </w:r>
    </w:p>
    <w:p w14:paraId="22FDB7F4" w14:textId="19404702" w:rsidR="00A01975" w:rsidRPr="00A01975" w:rsidRDefault="00A01975" w:rsidP="00A01975">
      <w:pPr>
        <w:pStyle w:val="Prrafodelista"/>
        <w:numPr>
          <w:ilvl w:val="1"/>
          <w:numId w:val="36"/>
        </w:numPr>
      </w:pPr>
      <w:r>
        <w:rPr>
          <w:rFonts w:eastAsia="Palatino Linotype" w:cs="Palatino Linotype"/>
          <w:color w:val="000000"/>
          <w:szCs w:val="24"/>
        </w:rPr>
        <w:t>Copia de la apelación</w:t>
      </w:r>
    </w:p>
    <w:p w14:paraId="505AF218" w14:textId="77777777" w:rsidR="00A01975" w:rsidRPr="00A658FE" w:rsidRDefault="00A01975" w:rsidP="00A01975">
      <w:pPr>
        <w:pStyle w:val="Prrafodelista"/>
        <w:ind w:left="1080"/>
      </w:pPr>
    </w:p>
    <w:p w14:paraId="51B8BBD5" w14:textId="406F3597" w:rsidR="00320A3C" w:rsidRDefault="00320A3C" w:rsidP="00D6504B">
      <w:pPr>
        <w:pStyle w:val="Prrafodelista"/>
        <w:autoSpaceDE w:val="0"/>
        <w:autoSpaceDN w:val="0"/>
        <w:adjustRightInd w:val="0"/>
        <w:ind w:left="782"/>
        <w:rPr>
          <w:rFonts w:cs="Arial"/>
          <w:i/>
          <w:sz w:val="22"/>
        </w:rPr>
      </w:pPr>
      <w:r w:rsidRPr="009632B1">
        <w:rPr>
          <w:rFonts w:cs="Arial"/>
          <w:i/>
          <w:sz w:val="22"/>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w:t>
      </w:r>
      <w:proofErr w:type="gramStart"/>
      <w:r w:rsidRPr="009632B1">
        <w:rPr>
          <w:rFonts w:cs="Arial"/>
          <w:i/>
          <w:sz w:val="22"/>
        </w:rPr>
        <w:t>eliminen</w:t>
      </w:r>
      <w:r w:rsidR="00431D41">
        <w:rPr>
          <w:rFonts w:cs="Arial"/>
          <w:i/>
          <w:sz w:val="22"/>
        </w:rPr>
        <w:t xml:space="preserve"> </w:t>
      </w:r>
      <w:r w:rsidRPr="009632B1">
        <w:rPr>
          <w:rFonts w:cs="Arial"/>
          <w:i/>
          <w:sz w:val="22"/>
        </w:rPr>
        <w:t xml:space="preserve"> y</w:t>
      </w:r>
      <w:proofErr w:type="gramEnd"/>
      <w:r w:rsidRPr="009632B1">
        <w:rPr>
          <w:rFonts w:cs="Arial"/>
          <w:i/>
          <w:sz w:val="22"/>
        </w:rPr>
        <w:t xml:space="preserve"> se ponga a disposición de la recurrente.</w:t>
      </w:r>
    </w:p>
    <w:p w14:paraId="04BC5CD4" w14:textId="77777777" w:rsidR="00FF0D18" w:rsidRPr="00A658FE" w:rsidRDefault="00FF0D18" w:rsidP="00D6504B">
      <w:pPr>
        <w:pStyle w:val="Prrafodelista"/>
        <w:autoSpaceDE w:val="0"/>
        <w:autoSpaceDN w:val="0"/>
        <w:adjustRightInd w:val="0"/>
        <w:ind w:left="782"/>
        <w:rPr>
          <w:rFonts w:cs="Arial"/>
          <w:i/>
          <w:sz w:val="22"/>
        </w:rPr>
      </w:pPr>
    </w:p>
    <w:p w14:paraId="33C9F653" w14:textId="71D59ABD" w:rsidR="00320A3C" w:rsidRDefault="00320A3C" w:rsidP="00320A3C">
      <w:pPr>
        <w:rPr>
          <w:rFonts w:cstheme="minorHAnsi"/>
        </w:rPr>
      </w:pPr>
      <w:r w:rsidRPr="00593F5D">
        <w:rPr>
          <w:rFonts w:cs="Arial"/>
          <w:b/>
          <w:sz w:val="28"/>
          <w:lang w:eastAsia="es-ES"/>
        </w:rPr>
        <w:t>TERCERO</w:t>
      </w:r>
      <w:r w:rsidRPr="00593F5D">
        <w:rPr>
          <w:rFonts w:cs="Arial"/>
          <w:b/>
          <w:lang w:eastAsia="es-ES"/>
        </w:rPr>
        <w:t>.</w:t>
      </w:r>
      <w:r w:rsidRPr="00593F5D">
        <w:rPr>
          <w:rFonts w:cs="Arial"/>
          <w:lang w:eastAsia="es-ES"/>
        </w:rPr>
        <w:t xml:space="preserve"> </w:t>
      </w:r>
      <w:r w:rsidRPr="006F36F4">
        <w:rPr>
          <w:rFonts w:cstheme="minorHAnsi"/>
          <w:b/>
        </w:rPr>
        <w:t>NOTIFÍQUESE</w:t>
      </w:r>
      <w:r w:rsidRPr="006F36F4">
        <w:rPr>
          <w:rFonts w:cstheme="minorHAnsi"/>
          <w:i/>
        </w:rPr>
        <w:t xml:space="preserve"> </w:t>
      </w:r>
      <w:r w:rsidRPr="006F36F4">
        <w:rPr>
          <w:rFonts w:cstheme="minorHAnsi"/>
        </w:rPr>
        <w:t xml:space="preserve">la presente resolución al Titular de la Unidad de Transparencia del Sujeto Obligado, </w:t>
      </w:r>
      <w:r w:rsidRPr="00320A3C">
        <w:rPr>
          <w:rFonts w:cs="Arial"/>
          <w:b/>
          <w:lang w:eastAsia="es-ES"/>
        </w:rPr>
        <w:t xml:space="preserve">vía </w:t>
      </w:r>
      <w:r w:rsidRPr="00320A3C">
        <w:rPr>
          <w:rFonts w:cs="Arial"/>
        </w:rPr>
        <w:t xml:space="preserve">Sistema de Acceso a la Información Mexiquense </w:t>
      </w:r>
      <w:r w:rsidRPr="00320A3C">
        <w:rPr>
          <w:rFonts w:cs="Arial"/>
          <w:b/>
        </w:rPr>
        <w:t>(</w:t>
      </w:r>
      <w:proofErr w:type="spellStart"/>
      <w:r w:rsidRPr="00320A3C">
        <w:rPr>
          <w:rFonts w:cs="Arial"/>
          <w:b/>
        </w:rPr>
        <w:t>SAIMEX</w:t>
      </w:r>
      <w:proofErr w:type="spellEnd"/>
      <w:r w:rsidRPr="00320A3C">
        <w:rPr>
          <w:rFonts w:cs="Arial"/>
          <w:b/>
        </w:rPr>
        <w:t>)</w:t>
      </w:r>
      <w:r>
        <w:rPr>
          <w:rFonts w:cs="Arial"/>
          <w:b/>
        </w:rPr>
        <w:t xml:space="preserve"> </w:t>
      </w:r>
      <w:r w:rsidRPr="006F36F4">
        <w:rPr>
          <w:rFonts w:cstheme="minorHAnsi"/>
        </w:rPr>
        <w:t>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8BD3701" w14:textId="77777777" w:rsidR="00431D41" w:rsidRPr="00320A3C" w:rsidRDefault="00431D41" w:rsidP="00320A3C">
      <w:pPr>
        <w:rPr>
          <w:rFonts w:cs="Tahoma"/>
          <w:lang w:eastAsia="es-ES"/>
        </w:rPr>
      </w:pPr>
    </w:p>
    <w:p w14:paraId="66FC2A42" w14:textId="1DF96C4C" w:rsidR="00320A3C" w:rsidRPr="00FF0D18" w:rsidRDefault="00320A3C" w:rsidP="00320A3C">
      <w:pPr>
        <w:autoSpaceDE w:val="0"/>
        <w:autoSpaceDN w:val="0"/>
        <w:adjustRightInd w:val="0"/>
        <w:rPr>
          <w:rFonts w:cs="Arial"/>
          <w:lang w:val="es-ES" w:eastAsia="es-ES"/>
        </w:rPr>
      </w:pPr>
      <w:r w:rsidRPr="000F5B7E">
        <w:rPr>
          <w:rFonts w:cs="Arial"/>
          <w:b/>
          <w:sz w:val="26"/>
          <w:szCs w:val="26"/>
          <w:lang w:eastAsia="es-ES"/>
        </w:rPr>
        <w:t>CUARTO.</w:t>
      </w:r>
      <w:r w:rsidRPr="000F5B7E">
        <w:rPr>
          <w:rFonts w:cs="Arial"/>
          <w:b/>
          <w:lang w:eastAsia="es-ES"/>
        </w:rPr>
        <w:t xml:space="preserve"> </w:t>
      </w:r>
      <w:r w:rsidRPr="005751B7">
        <w:rPr>
          <w:rFonts w:cs="Arial"/>
          <w:lang w:val="es-ES" w:eastAsia="es-ES"/>
        </w:rPr>
        <w:t xml:space="preserve">De conformidad con el artículo 198 de la Ley de Transparencia y Acceso a la Información Pública del Estado de México y Municipios, de considerarlo procedente, el </w:t>
      </w:r>
      <w:r w:rsidRPr="005751B7">
        <w:rPr>
          <w:rFonts w:cs="Arial"/>
          <w:lang w:val="es-ES" w:eastAsia="es-ES"/>
        </w:rPr>
        <w:lastRenderedPageBreak/>
        <w:t>Sujeto Obligado de manera fundada y motivada, podrá solicitar una ampliación de plazo para el cumplimiento de la presente resolución.</w:t>
      </w:r>
    </w:p>
    <w:p w14:paraId="72EE0F19" w14:textId="77777777" w:rsidR="00320A3C" w:rsidRPr="00507EB2" w:rsidRDefault="00320A3C" w:rsidP="00320A3C">
      <w:pPr>
        <w:autoSpaceDE w:val="0"/>
        <w:autoSpaceDN w:val="0"/>
        <w:adjustRightInd w:val="0"/>
        <w:rPr>
          <w:rFonts w:cs="Arial"/>
        </w:rPr>
      </w:pPr>
      <w:r>
        <w:rPr>
          <w:rFonts w:cs="Arial"/>
          <w:b/>
          <w:sz w:val="28"/>
          <w:szCs w:val="28"/>
        </w:rPr>
        <w:t xml:space="preserve">QUINTO. </w:t>
      </w:r>
      <w:r w:rsidRPr="00DB757B">
        <w:rPr>
          <w:rFonts w:cs="Arial"/>
          <w:b/>
          <w:lang w:eastAsia="es-ES"/>
        </w:rPr>
        <w:t xml:space="preserve">NOTIFÍQUESE </w:t>
      </w:r>
      <w:r>
        <w:rPr>
          <w:rFonts w:cs="Arial"/>
          <w:lang w:eastAsia="es-ES"/>
        </w:rPr>
        <w:t>la presente resolución al</w:t>
      </w:r>
      <w:r w:rsidRPr="00DB757B">
        <w:rPr>
          <w:rFonts w:cs="Arial"/>
          <w:lang w:eastAsia="es-ES"/>
        </w:rPr>
        <w:t xml:space="preserve"> </w:t>
      </w:r>
      <w:r w:rsidRPr="00DB757B">
        <w:rPr>
          <w:rFonts w:cs="Arial"/>
          <w:b/>
          <w:lang w:eastAsia="es-ES"/>
        </w:rPr>
        <w:t xml:space="preserve">RECURRENTE vía </w:t>
      </w:r>
      <w:r>
        <w:rPr>
          <w:rFonts w:cs="Arial"/>
        </w:rPr>
        <w:t xml:space="preserve">Sistema de Acceso a la Información Mexiquense </w:t>
      </w:r>
      <w:r>
        <w:rPr>
          <w:rFonts w:cs="Arial"/>
          <w:b/>
        </w:rPr>
        <w:t>(</w:t>
      </w:r>
      <w:proofErr w:type="spellStart"/>
      <w:r>
        <w:rPr>
          <w:rFonts w:cs="Arial"/>
          <w:b/>
        </w:rPr>
        <w:t>SAIMEX</w:t>
      </w:r>
      <w:proofErr w:type="spellEnd"/>
      <w:r>
        <w:rPr>
          <w:rFonts w:cs="Arial"/>
          <w:b/>
        </w:rPr>
        <w:t xml:space="preserve">) </w:t>
      </w:r>
      <w:r w:rsidRPr="00DB757B">
        <w:rPr>
          <w:rFonts w:cs="Arial"/>
          <w:lang w:eastAsia="es-ES"/>
        </w:rPr>
        <w:t xml:space="preserve">y hágase de su conocimiento que, </w:t>
      </w:r>
      <w:r w:rsidRPr="00DB757B">
        <w:rPr>
          <w:color w:val="222222"/>
          <w:shd w:val="clear" w:color="auto" w:fill="FFFFFF"/>
          <w:lang w:eastAsia="es-ES"/>
        </w:rPr>
        <w:t xml:space="preserve">de conformidad con lo </w:t>
      </w:r>
      <w:r w:rsidRPr="00AA3F48">
        <w:rPr>
          <w:color w:val="222222"/>
          <w:lang w:eastAsia="es-ES"/>
        </w:rPr>
        <w:t xml:space="preserve">establecido en el artículo 196, de la Ley de Transparencia y Acceso a la Información Pública del Estado de México y Municipios, podrá promover el Juicio de Amparo en los términos de las </w:t>
      </w:r>
      <w:r w:rsidRPr="00DB757B">
        <w:rPr>
          <w:color w:val="222222"/>
          <w:shd w:val="clear" w:color="auto" w:fill="FFFFFF"/>
          <w:lang w:eastAsia="es-ES"/>
        </w:rPr>
        <w:t>leyes aplicables</w:t>
      </w:r>
      <w:r>
        <w:rPr>
          <w:color w:val="222222"/>
          <w:shd w:val="clear" w:color="auto" w:fill="FFFFFF"/>
          <w:lang w:eastAsia="es-ES"/>
        </w:rPr>
        <w:t>.</w:t>
      </w:r>
    </w:p>
    <w:p w14:paraId="47071B1F" w14:textId="77777777" w:rsidR="00320A3C" w:rsidRDefault="00320A3C" w:rsidP="00511260">
      <w:pPr>
        <w:rPr>
          <w:szCs w:val="24"/>
        </w:rPr>
      </w:pPr>
    </w:p>
    <w:p w14:paraId="447A58D6" w14:textId="384CAA1D" w:rsidR="00511260" w:rsidRPr="00F7034C" w:rsidRDefault="00511260" w:rsidP="00511260">
      <w:pPr>
        <w:rPr>
          <w:rFonts w:cs="Arial"/>
          <w:szCs w:val="24"/>
          <w:lang w:val="es-MX"/>
        </w:rPr>
      </w:pPr>
      <w:r>
        <w:rPr>
          <w:rFonts w:cs="Arial"/>
          <w:szCs w:val="24"/>
        </w:rPr>
        <w:t xml:space="preserve">ASÍ LO RESUELVE, POR </w:t>
      </w:r>
      <w:r w:rsidRPr="005F5C5C">
        <w:rPr>
          <w:rFonts w:cs="Arial"/>
          <w:b/>
          <w:bCs/>
          <w:szCs w:val="24"/>
        </w:rPr>
        <w:t>UNANIMIDAD DE VOTOS</w:t>
      </w:r>
      <w:r>
        <w:rPr>
          <w:rFonts w:cs="Arial"/>
          <w:szCs w:val="24"/>
        </w:rPr>
        <w:t xml:space="preserve"> EL PLENO DEL</w:t>
      </w:r>
      <w:r>
        <w:rPr>
          <w:rFonts w:eastAsia="Arial Unicode MS" w:cs="Arial"/>
          <w:szCs w:val="24"/>
        </w:rPr>
        <w:t xml:space="preserve"> INSTITUTO DE TRANSPARENCIA, ACCESO A LA INFORMACIÓN PÚBLICA Y PROTECCIÓN DE DATOS PERSONALES DEL ESTADO DE MÉXICO Y MUNICIPIOS</w:t>
      </w:r>
      <w:r>
        <w:rPr>
          <w:rFonts w:cs="Arial"/>
          <w:szCs w:val="24"/>
        </w:rPr>
        <w:t>, CONFORMADO POR LOS COMISIONADOS JOSÉ MARTÍNEZ VILCHIS, MARÍA DEL ROSARIO MEJÍA AYALA, SHARON CRISTINA MORALES MARTÍNEZ, LUIS GUSTAVO PARRA NORIEGA Y GUADALUPE RAMÍREZ PEÑA, E</w:t>
      </w:r>
      <w:r w:rsidR="005F5C5C">
        <w:rPr>
          <w:rFonts w:cs="Arial"/>
          <w:szCs w:val="24"/>
        </w:rPr>
        <w:t xml:space="preserve">N </w:t>
      </w:r>
      <w:r w:rsidR="005F5C5C" w:rsidRPr="005F5C5C">
        <w:rPr>
          <w:rFonts w:cs="Arial"/>
          <w:b/>
          <w:bCs/>
          <w:szCs w:val="24"/>
        </w:rPr>
        <w:t xml:space="preserve">LA </w:t>
      </w:r>
      <w:r w:rsidR="00431D41">
        <w:rPr>
          <w:rFonts w:cs="Arial"/>
          <w:b/>
          <w:bCs/>
          <w:szCs w:val="24"/>
        </w:rPr>
        <w:t>CUADRAGÉSIMA SEGUNDA</w:t>
      </w:r>
      <w:r w:rsidRPr="005F5C5C">
        <w:rPr>
          <w:rFonts w:cs="Arial"/>
          <w:b/>
          <w:bCs/>
          <w:szCs w:val="24"/>
          <w:lang w:val="es-419"/>
        </w:rPr>
        <w:t xml:space="preserve"> </w:t>
      </w:r>
      <w:r w:rsidRPr="005F5C5C">
        <w:rPr>
          <w:rFonts w:cs="Arial"/>
          <w:b/>
          <w:bCs/>
          <w:szCs w:val="24"/>
        </w:rPr>
        <w:t>SESIÓN ORDINARIA CELEBRADA</w:t>
      </w:r>
      <w:r w:rsidR="005F5C5C">
        <w:rPr>
          <w:rFonts w:cs="Arial"/>
          <w:b/>
          <w:bCs/>
          <w:szCs w:val="24"/>
        </w:rPr>
        <w:t xml:space="preserve"> EL</w:t>
      </w:r>
      <w:r w:rsidR="00431D41">
        <w:rPr>
          <w:rFonts w:cs="Arial"/>
          <w:b/>
          <w:bCs/>
          <w:szCs w:val="24"/>
        </w:rPr>
        <w:t xml:space="preserve"> CUATRO DE DICIEMBRE</w:t>
      </w:r>
      <w:r w:rsidR="005F5C5C">
        <w:rPr>
          <w:rFonts w:cs="Arial"/>
          <w:b/>
          <w:bCs/>
          <w:szCs w:val="24"/>
        </w:rPr>
        <w:t xml:space="preserve"> DE DOS MIL VEINTICUATRO</w:t>
      </w:r>
      <w:r>
        <w:rPr>
          <w:rFonts w:cs="Arial"/>
          <w:szCs w:val="24"/>
        </w:rPr>
        <w:t>, ANTE EL SECRETARIO TÉCNICO DEL PLENO, ALEXIS TAPIA RAMÍREZ. -----------------------------------------------------------------------------------------------------</w:t>
      </w:r>
      <w:r w:rsidR="00E972EB">
        <w:rPr>
          <w:rFonts w:cs="Arial"/>
          <w:szCs w:val="24"/>
        </w:rPr>
        <w:t>------------------------------------------------------------------------------------------------------------------------------------------------------------------------------------------------------------------------------------------------------------------------------------------------------------------------------------------------------------------------------------------------------------------------------------------------------------------------------------------------------------------------------------------------------------------------------------------------------------------------------------------------------------------------------------------------------------------------</w:t>
      </w:r>
      <w:r>
        <w:rPr>
          <w:rFonts w:cs="Arial"/>
          <w:szCs w:val="24"/>
        </w:rPr>
        <w:t>-</w:t>
      </w:r>
    </w:p>
    <w:p w14:paraId="4AAAEFDA" w14:textId="77777777" w:rsidR="00511260" w:rsidRDefault="00511260" w:rsidP="00511260">
      <w:pPr>
        <w:rPr>
          <w:rFonts w:cs="Arial"/>
          <w:sz w:val="20"/>
        </w:rPr>
      </w:pPr>
      <w:proofErr w:type="spellStart"/>
      <w:r>
        <w:rPr>
          <w:rFonts w:cs="Arial"/>
          <w:sz w:val="20"/>
        </w:rPr>
        <w:t>JMV</w:t>
      </w:r>
      <w:proofErr w:type="spellEnd"/>
      <w:r>
        <w:rPr>
          <w:rFonts w:cs="Arial"/>
          <w:sz w:val="20"/>
        </w:rPr>
        <w:t>/</w:t>
      </w:r>
      <w:proofErr w:type="spellStart"/>
      <w:r>
        <w:rPr>
          <w:rFonts w:cs="Arial"/>
          <w:sz w:val="20"/>
        </w:rPr>
        <w:t>CCR</w:t>
      </w:r>
      <w:proofErr w:type="spellEnd"/>
      <w:r>
        <w:rPr>
          <w:rFonts w:cs="Arial"/>
          <w:sz w:val="20"/>
        </w:rPr>
        <w:t>/</w:t>
      </w:r>
      <w:proofErr w:type="spellStart"/>
      <w:r>
        <w:rPr>
          <w:rFonts w:cs="Arial"/>
          <w:sz w:val="20"/>
        </w:rPr>
        <w:t>NJMB</w:t>
      </w:r>
      <w:proofErr w:type="spellEnd"/>
    </w:p>
    <w:p w14:paraId="1AC06A9F" w14:textId="77777777" w:rsidR="00511260" w:rsidRDefault="00511260" w:rsidP="00511260">
      <w:pPr>
        <w:rPr>
          <w:rFonts w:cs="Arial"/>
          <w:sz w:val="20"/>
        </w:rPr>
      </w:pPr>
    </w:p>
    <w:p w14:paraId="62C702DE" w14:textId="77777777" w:rsidR="00511260" w:rsidRDefault="00511260" w:rsidP="00511260">
      <w:pPr>
        <w:rPr>
          <w:rFonts w:cs="Arial"/>
          <w:sz w:val="20"/>
        </w:rPr>
      </w:pPr>
    </w:p>
    <w:p w14:paraId="07C5E5D4"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4E0EAE10"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2438708F"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2442E223"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34EA176E"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1391B214"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576957F2"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7F5FBEF8"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172E2B0E" w14:textId="77777777" w:rsidR="00511260" w:rsidRPr="004B7011" w:rsidRDefault="00511260" w:rsidP="00511260">
      <w:pPr>
        <w:pBdr>
          <w:top w:val="nil"/>
          <w:left w:val="nil"/>
          <w:bottom w:val="nil"/>
          <w:right w:val="nil"/>
          <w:between w:val="nil"/>
        </w:pBdr>
        <w:contextualSpacing/>
        <w:rPr>
          <w:rFonts w:eastAsia="Palatino Linotype" w:cs="Palatino Linotype"/>
          <w:color w:val="000000"/>
          <w:sz w:val="20"/>
          <w:szCs w:val="20"/>
        </w:rPr>
      </w:pPr>
    </w:p>
    <w:p w14:paraId="61366E68" w14:textId="77777777" w:rsidR="00511260" w:rsidRPr="004B7011" w:rsidRDefault="00511260" w:rsidP="00511260"/>
    <w:p w14:paraId="00368013" w14:textId="77777777" w:rsidR="00511260" w:rsidRDefault="00511260" w:rsidP="00511260"/>
    <w:p w14:paraId="45DC08C8" w14:textId="77777777" w:rsidR="00511260" w:rsidRDefault="00511260" w:rsidP="00511260"/>
    <w:p w14:paraId="1A6A0019" w14:textId="77777777" w:rsidR="00511260" w:rsidRDefault="00511260"/>
    <w:sectPr w:rsidR="00511260" w:rsidSect="00511260">
      <w:headerReference w:type="even" r:id="rId18"/>
      <w:headerReference w:type="default" r:id="rId19"/>
      <w:footerReference w:type="default" r:id="rId20"/>
      <w:headerReference w:type="first" r:id="rId21"/>
      <w:footerReference w:type="first" r:id="rId2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E5232" w14:textId="77777777" w:rsidR="009A5C22" w:rsidRDefault="009A5C22" w:rsidP="00511260">
      <w:pPr>
        <w:spacing w:line="240" w:lineRule="auto"/>
      </w:pPr>
      <w:r>
        <w:separator/>
      </w:r>
    </w:p>
  </w:endnote>
  <w:endnote w:type="continuationSeparator" w:id="0">
    <w:p w14:paraId="758CCF64" w14:textId="77777777" w:rsidR="009A5C22" w:rsidRDefault="009A5C22" w:rsidP="005112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AE979" w14:textId="5F37EA22" w:rsidR="007E5188" w:rsidRPr="00871A91" w:rsidRDefault="007E5188" w:rsidP="00F34B8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E972EB">
      <w:rPr>
        <w:rFonts w:ascii="Palatino Linotype" w:hAnsi="Palatino Linotype"/>
        <w:b/>
        <w:bCs/>
        <w:noProof/>
        <w:sz w:val="20"/>
      </w:rPr>
      <w:t>47</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E972EB">
      <w:rPr>
        <w:rFonts w:ascii="Palatino Linotype" w:hAnsi="Palatino Linotype"/>
        <w:b/>
        <w:bCs/>
        <w:noProof/>
        <w:sz w:val="20"/>
      </w:rPr>
      <w:t>47</w:t>
    </w:r>
    <w:r w:rsidRPr="00713DD5">
      <w:rPr>
        <w:rFonts w:ascii="Palatino Linotype" w:hAnsi="Palatino Linotype"/>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808D4" w14:textId="306F7FA4" w:rsidR="007E5188" w:rsidRPr="00871A91" w:rsidRDefault="007E5188" w:rsidP="00F34B8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E972EB">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E972EB">
      <w:rPr>
        <w:rFonts w:ascii="Palatino Linotype" w:hAnsi="Palatino Linotype"/>
        <w:b/>
        <w:bCs/>
        <w:noProof/>
        <w:sz w:val="20"/>
      </w:rPr>
      <w:t>6</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D94A6" w14:textId="77777777" w:rsidR="009A5C22" w:rsidRDefault="009A5C22" w:rsidP="00511260">
      <w:pPr>
        <w:spacing w:line="240" w:lineRule="auto"/>
      </w:pPr>
      <w:r>
        <w:separator/>
      </w:r>
    </w:p>
  </w:footnote>
  <w:footnote w:type="continuationSeparator" w:id="0">
    <w:p w14:paraId="405A1281" w14:textId="77777777" w:rsidR="009A5C22" w:rsidRDefault="009A5C22" w:rsidP="00511260">
      <w:pPr>
        <w:spacing w:line="240" w:lineRule="auto"/>
      </w:pPr>
      <w:r>
        <w:continuationSeparator/>
      </w:r>
    </w:p>
  </w:footnote>
  <w:footnote w:id="1">
    <w:p w14:paraId="2549BD1F" w14:textId="77777777" w:rsidR="007E5188" w:rsidRPr="00481AAF" w:rsidRDefault="007E5188" w:rsidP="00511260">
      <w:pPr>
        <w:spacing w:line="240" w:lineRule="auto"/>
        <w:rPr>
          <w:rFonts w:eastAsia="Times New Roman"/>
          <w:b/>
          <w:bCs/>
          <w:i/>
          <w:sz w:val="20"/>
          <w:szCs w:val="20"/>
        </w:rPr>
      </w:pPr>
      <w:r>
        <w:rPr>
          <w:rStyle w:val="Refdenotaalpie"/>
        </w:rPr>
        <w:footnoteRef/>
      </w:r>
      <w:r>
        <w:t xml:space="preserve"> </w:t>
      </w:r>
      <w:r w:rsidRPr="00946E1F">
        <w:rPr>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b/>
          <w:bCs/>
          <w:i/>
          <w:sz w:val="20"/>
          <w:szCs w:val="20"/>
        </w:rPr>
        <w:t>DERECHOS HUMANOS.</w:t>
      </w:r>
    </w:p>
    <w:p w14:paraId="18E915AC" w14:textId="77777777" w:rsidR="007E5188" w:rsidRPr="00946E1F" w:rsidRDefault="007E5188" w:rsidP="00511260">
      <w:pPr>
        <w:spacing w:line="240" w:lineRule="auto"/>
        <w:rPr>
          <w:i/>
          <w:sz w:val="20"/>
          <w:szCs w:val="20"/>
        </w:rPr>
      </w:pPr>
      <w:r w:rsidRPr="00481AAF">
        <w:rPr>
          <w:i/>
          <w:sz w:val="20"/>
          <w:szCs w:val="20"/>
        </w:rPr>
        <w:t>Del examen de compatibilidad de los artículos</w:t>
      </w:r>
      <w:r w:rsidRPr="00481AAF">
        <w:rPr>
          <w:rStyle w:val="apple-converted-space"/>
          <w:i/>
          <w:sz w:val="20"/>
          <w:szCs w:val="20"/>
        </w:rPr>
        <w:t> </w:t>
      </w:r>
      <w:hyperlink r:id="rId1" w:history="1">
        <w:r w:rsidRPr="00481AAF">
          <w:rPr>
            <w:rStyle w:val="Hipervnculo"/>
            <w:i/>
          </w:rPr>
          <w:t>73 y 74 de la Ley de Amparo</w:t>
        </w:r>
      </w:hyperlink>
      <w:r w:rsidRPr="00481AAF">
        <w:rPr>
          <w:rStyle w:val="apple-converted-space"/>
          <w:i/>
          <w:sz w:val="20"/>
          <w:szCs w:val="20"/>
        </w:rPr>
        <w:t> </w:t>
      </w:r>
      <w:r w:rsidRPr="00481AAF">
        <w:rPr>
          <w:i/>
          <w:sz w:val="20"/>
          <w:szCs w:val="20"/>
        </w:rPr>
        <w:t>con el artículo</w:t>
      </w:r>
      <w:r w:rsidRPr="00481AAF">
        <w:rPr>
          <w:rStyle w:val="apple-converted-space"/>
          <w:i/>
          <w:sz w:val="20"/>
          <w:szCs w:val="20"/>
        </w:rPr>
        <w:t> </w:t>
      </w:r>
      <w:hyperlink r:id="rId2" w:history="1">
        <w:r w:rsidRPr="00481AAF">
          <w:rPr>
            <w:rStyle w:val="Hipervnculo"/>
            <w:i/>
          </w:rPr>
          <w:t>25.1 de la Convención Americana sobre Derechos Humanos</w:t>
        </w:r>
      </w:hyperlink>
      <w:r w:rsidRPr="00481AAF">
        <w:rPr>
          <w:rStyle w:val="apple-converted-space"/>
          <w:i/>
          <w:sz w:val="20"/>
          <w:szCs w:val="20"/>
        </w:rPr>
        <w:t> </w:t>
      </w:r>
      <w:r w:rsidRPr="00481AAF">
        <w:rPr>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b/>
          <w:i/>
          <w:sz w:val="20"/>
          <w:szCs w:val="20"/>
          <w:u w:val="single"/>
        </w:rPr>
        <w:t>de amparo,</w:t>
      </w:r>
      <w:r w:rsidRPr="00946E1F">
        <w:rPr>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6E97BAEE" w14:textId="77777777" w:rsidR="007E5188" w:rsidRPr="00BA61D0" w:rsidRDefault="007E5188" w:rsidP="000C05AB">
      <w:pPr>
        <w:pStyle w:val="Textonotapie"/>
        <w:rPr>
          <w:i/>
          <w:iCs/>
          <w:sz w:val="18"/>
          <w:szCs w:val="18"/>
        </w:rPr>
      </w:pPr>
      <w:r>
        <w:rPr>
          <w:rStyle w:val="Refdenotaalpie"/>
        </w:rPr>
        <w:footnoteRef/>
      </w:r>
      <w:r>
        <w:t xml:space="preserve"> </w:t>
      </w:r>
      <w:hyperlink r:id="rId3" w:history="1">
        <w:r w:rsidRPr="00BA61D0">
          <w:rPr>
            <w:rStyle w:val="Hipervnculo"/>
            <w:rFonts w:cs="Tahoma"/>
            <w:bCs/>
            <w:i/>
            <w:iCs/>
            <w:sz w:val="18"/>
            <w:szCs w:val="18"/>
          </w:rPr>
          <w:t>https://opendatacharter.net/principles-es/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8423B" w14:textId="77777777" w:rsidR="007E5188" w:rsidRDefault="000722EE">
    <w:pPr>
      <w:pStyle w:val="Encabezado"/>
    </w:pPr>
    <w:r>
      <w:rPr>
        <w:noProof/>
        <w:lang w:val="es-MX" w:eastAsia="es-MX"/>
      </w:rPr>
      <w:pict w14:anchorId="40F11E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7E5188" w:rsidRPr="00B17577" w14:paraId="74F8F2EF" w14:textId="77777777" w:rsidTr="00F34B81">
      <w:trPr>
        <w:trHeight w:val="227"/>
      </w:trPr>
      <w:tc>
        <w:tcPr>
          <w:tcW w:w="5103" w:type="dxa"/>
          <w:hideMark/>
        </w:tcPr>
        <w:p w14:paraId="7016A1D4" w14:textId="77777777" w:rsidR="007E5188" w:rsidRPr="00096248" w:rsidRDefault="007E5188" w:rsidP="00F34B81">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2F4B4092" w14:textId="4E764C8D" w:rsidR="007E5188" w:rsidRPr="00096248" w:rsidRDefault="007E5188" w:rsidP="00F34B81">
          <w:pPr>
            <w:spacing w:after="120" w:line="240" w:lineRule="auto"/>
            <w:ind w:right="71"/>
            <w:jc w:val="right"/>
            <w:rPr>
              <w:rFonts w:cs="Arial"/>
              <w:b/>
              <w:szCs w:val="24"/>
            </w:rPr>
          </w:pPr>
          <w:r>
            <w:rPr>
              <w:rFonts w:cs="Arial"/>
              <w:b/>
              <w:bCs/>
              <w:szCs w:val="24"/>
            </w:rPr>
            <w:t>07060</w:t>
          </w:r>
          <w:r w:rsidRPr="00096248">
            <w:rPr>
              <w:rFonts w:cs="Arial"/>
              <w:b/>
              <w:bCs/>
              <w:szCs w:val="24"/>
            </w:rPr>
            <w:t>/</w:t>
          </w:r>
          <w:proofErr w:type="spellStart"/>
          <w:r w:rsidRPr="00096248">
            <w:rPr>
              <w:rFonts w:cs="Arial"/>
              <w:b/>
              <w:bCs/>
              <w:szCs w:val="24"/>
            </w:rPr>
            <w:t>INFOEM</w:t>
          </w:r>
          <w:proofErr w:type="spellEnd"/>
          <w:r w:rsidRPr="00096248">
            <w:rPr>
              <w:rFonts w:cs="Arial"/>
              <w:b/>
              <w:bCs/>
              <w:szCs w:val="24"/>
            </w:rPr>
            <w:t>/IP/</w:t>
          </w:r>
          <w:proofErr w:type="spellStart"/>
          <w:r w:rsidRPr="00096248">
            <w:rPr>
              <w:rFonts w:cs="Arial"/>
              <w:b/>
              <w:bCs/>
              <w:szCs w:val="24"/>
            </w:rPr>
            <w:t>RR</w:t>
          </w:r>
          <w:proofErr w:type="spellEnd"/>
          <w:r w:rsidRPr="00096248">
            <w:rPr>
              <w:rFonts w:cs="Arial"/>
              <w:b/>
              <w:bCs/>
              <w:szCs w:val="24"/>
            </w:rPr>
            <w:t>/202</w:t>
          </w:r>
          <w:r>
            <w:rPr>
              <w:rFonts w:cs="Arial"/>
              <w:b/>
              <w:bCs/>
              <w:szCs w:val="24"/>
            </w:rPr>
            <w:t>4</w:t>
          </w:r>
        </w:p>
      </w:tc>
    </w:tr>
    <w:tr w:rsidR="007E5188" w14:paraId="18E3B481" w14:textId="77777777" w:rsidTr="00F34B81">
      <w:trPr>
        <w:trHeight w:val="242"/>
      </w:trPr>
      <w:tc>
        <w:tcPr>
          <w:tcW w:w="5103" w:type="dxa"/>
          <w:hideMark/>
        </w:tcPr>
        <w:p w14:paraId="0D8CA91F" w14:textId="77777777" w:rsidR="007E5188" w:rsidRPr="00096248" w:rsidRDefault="007E5188" w:rsidP="00F34B81">
          <w:pPr>
            <w:spacing w:after="120" w:line="240" w:lineRule="auto"/>
            <w:ind w:right="69"/>
            <w:jc w:val="right"/>
            <w:rPr>
              <w:rFonts w:cs="Arial"/>
              <w:b/>
              <w:szCs w:val="24"/>
            </w:rPr>
          </w:pPr>
          <w:r w:rsidRPr="00096248">
            <w:rPr>
              <w:rFonts w:cs="Arial"/>
              <w:b/>
              <w:szCs w:val="24"/>
            </w:rPr>
            <w:t>Sujeto Obligado:</w:t>
          </w:r>
        </w:p>
      </w:tc>
      <w:tc>
        <w:tcPr>
          <w:tcW w:w="4395" w:type="dxa"/>
          <w:hideMark/>
        </w:tcPr>
        <w:p w14:paraId="6840CC1F" w14:textId="6DE16112" w:rsidR="007E5188" w:rsidRPr="00096248" w:rsidRDefault="007E5188" w:rsidP="0055178F">
          <w:pPr>
            <w:spacing w:after="120" w:line="240" w:lineRule="auto"/>
            <w:ind w:left="-81" w:right="71"/>
            <w:jc w:val="right"/>
            <w:rPr>
              <w:rFonts w:cs="Arial"/>
              <w:szCs w:val="24"/>
            </w:rPr>
          </w:pPr>
          <w:r>
            <w:rPr>
              <w:b/>
              <w:bCs/>
              <w:color w:val="000000"/>
              <w:szCs w:val="24"/>
            </w:rPr>
            <w:t>Poder Judicial</w:t>
          </w:r>
        </w:p>
      </w:tc>
    </w:tr>
    <w:tr w:rsidR="007E5188" w:rsidRPr="00F63239" w14:paraId="2CCA9704" w14:textId="77777777" w:rsidTr="00F34B81">
      <w:trPr>
        <w:trHeight w:val="342"/>
      </w:trPr>
      <w:tc>
        <w:tcPr>
          <w:tcW w:w="5103" w:type="dxa"/>
          <w:hideMark/>
        </w:tcPr>
        <w:p w14:paraId="72907A46" w14:textId="77777777" w:rsidR="007E5188" w:rsidRPr="00096248" w:rsidRDefault="007E5188" w:rsidP="00F34B81">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2BAFBF39" w14:textId="77777777" w:rsidR="007E5188" w:rsidRDefault="007E5188" w:rsidP="00F34B81">
          <w:pPr>
            <w:spacing w:after="120" w:line="240" w:lineRule="auto"/>
            <w:ind w:left="-486" w:right="71" w:firstLine="567"/>
            <w:jc w:val="right"/>
            <w:rPr>
              <w:rFonts w:cs="Arial"/>
              <w:szCs w:val="24"/>
            </w:rPr>
          </w:pPr>
          <w:r w:rsidRPr="00096248">
            <w:rPr>
              <w:rFonts w:cs="Arial"/>
              <w:szCs w:val="24"/>
            </w:rPr>
            <w:t>José Martínez Vilchis</w:t>
          </w:r>
        </w:p>
        <w:p w14:paraId="1047C7D9" w14:textId="77777777" w:rsidR="007E5188" w:rsidRPr="00711916" w:rsidRDefault="007E5188" w:rsidP="00F34B81">
          <w:pPr>
            <w:spacing w:after="120" w:line="240" w:lineRule="auto"/>
            <w:ind w:left="-486" w:right="71" w:firstLine="567"/>
            <w:jc w:val="right"/>
            <w:rPr>
              <w:rFonts w:cs="Arial"/>
              <w:sz w:val="2"/>
              <w:szCs w:val="2"/>
            </w:rPr>
          </w:pPr>
        </w:p>
      </w:tc>
    </w:tr>
  </w:tbl>
  <w:p w14:paraId="73103D5B" w14:textId="77777777" w:rsidR="007E5188" w:rsidRPr="00871A91" w:rsidRDefault="000722EE">
    <w:pPr>
      <w:pStyle w:val="Encabezado"/>
      <w:rPr>
        <w:sz w:val="2"/>
      </w:rPr>
    </w:pPr>
    <w:r>
      <w:rPr>
        <w:noProof/>
        <w:lang w:val="es-MX" w:eastAsia="es-MX"/>
      </w:rPr>
      <w:pict w14:anchorId="7D3C7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1.55pt;margin-top:-142.95pt;width:609.4pt;height:793.75pt;z-index:-251656192;mso-wrap-edited:f;mso-width-percent:0;mso-height-percent:0;mso-position-horizontal-relative:margin;mso-position-vertical-relative:margin;mso-width-percent:0;mso-height-percent:0" o:allowincell="f">
          <v:imagedata r:id="rId1" o:title="infoem"/>
          <w10:wrap anchorx="margin" anchory="margin"/>
        </v:shape>
      </w:pict>
    </w:r>
    <w:r w:rsidR="007E518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7E5188" w14:paraId="70AFDA88" w14:textId="77777777" w:rsidTr="00F34B81">
      <w:trPr>
        <w:trHeight w:val="227"/>
      </w:trPr>
      <w:tc>
        <w:tcPr>
          <w:tcW w:w="5103" w:type="dxa"/>
          <w:hideMark/>
        </w:tcPr>
        <w:p w14:paraId="3D064589" w14:textId="77777777" w:rsidR="007E5188" w:rsidRPr="00663A37" w:rsidRDefault="007E5188" w:rsidP="00F34B81">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34A673A9" w14:textId="35128F71" w:rsidR="007E5188" w:rsidRPr="001776EC" w:rsidRDefault="007E5188" w:rsidP="009C7E85">
          <w:pPr>
            <w:spacing w:after="120" w:line="240" w:lineRule="auto"/>
            <w:ind w:left="-486" w:right="68" w:firstLine="558"/>
            <w:jc w:val="right"/>
            <w:rPr>
              <w:rFonts w:cs="Arial"/>
              <w:b/>
              <w:bCs/>
              <w:szCs w:val="24"/>
            </w:rPr>
          </w:pPr>
          <w:r>
            <w:rPr>
              <w:rFonts w:cs="Arial"/>
              <w:b/>
              <w:bCs/>
              <w:szCs w:val="24"/>
            </w:rPr>
            <w:t>07060/</w:t>
          </w:r>
          <w:proofErr w:type="spellStart"/>
          <w:r>
            <w:rPr>
              <w:rFonts w:cs="Arial"/>
              <w:b/>
              <w:bCs/>
              <w:szCs w:val="24"/>
            </w:rPr>
            <w:t>INFOEM</w:t>
          </w:r>
          <w:proofErr w:type="spellEnd"/>
          <w:r>
            <w:rPr>
              <w:rFonts w:cs="Arial"/>
              <w:b/>
              <w:bCs/>
              <w:szCs w:val="24"/>
            </w:rPr>
            <w:t>/IP/</w:t>
          </w:r>
          <w:proofErr w:type="spellStart"/>
          <w:r>
            <w:rPr>
              <w:rFonts w:cs="Arial"/>
              <w:b/>
              <w:bCs/>
              <w:szCs w:val="24"/>
            </w:rPr>
            <w:t>RR</w:t>
          </w:r>
          <w:proofErr w:type="spellEnd"/>
          <w:r>
            <w:rPr>
              <w:rFonts w:cs="Arial"/>
              <w:b/>
              <w:bCs/>
              <w:szCs w:val="24"/>
            </w:rPr>
            <w:t xml:space="preserve">/2024 </w:t>
          </w:r>
        </w:p>
      </w:tc>
    </w:tr>
    <w:tr w:rsidR="007E5188" w:rsidRPr="001F57CD" w14:paraId="32A34B18" w14:textId="77777777" w:rsidTr="00F34B81">
      <w:trPr>
        <w:trHeight w:val="196"/>
      </w:trPr>
      <w:tc>
        <w:tcPr>
          <w:tcW w:w="5103" w:type="dxa"/>
          <w:hideMark/>
        </w:tcPr>
        <w:p w14:paraId="255F7FD4" w14:textId="77777777" w:rsidR="007E5188" w:rsidRPr="00663A37" w:rsidRDefault="007E5188" w:rsidP="00F34B81">
          <w:pPr>
            <w:spacing w:after="120" w:line="240" w:lineRule="auto"/>
            <w:ind w:right="68"/>
            <w:jc w:val="right"/>
            <w:rPr>
              <w:rFonts w:cs="Arial"/>
              <w:b/>
              <w:szCs w:val="24"/>
            </w:rPr>
          </w:pPr>
          <w:r w:rsidRPr="00663A37">
            <w:rPr>
              <w:rFonts w:cs="Arial"/>
              <w:b/>
              <w:szCs w:val="24"/>
            </w:rPr>
            <w:t>Recurrente:</w:t>
          </w:r>
          <w:r>
            <w:rPr>
              <w:rFonts w:cs="Arial"/>
              <w:b/>
              <w:szCs w:val="24"/>
            </w:rPr>
            <w:t xml:space="preserve">     </w:t>
          </w:r>
        </w:p>
      </w:tc>
      <w:tc>
        <w:tcPr>
          <w:tcW w:w="4395" w:type="dxa"/>
          <w:hideMark/>
        </w:tcPr>
        <w:p w14:paraId="5BB7BB8F" w14:textId="05B9A775" w:rsidR="007E5188" w:rsidRPr="00663A37" w:rsidRDefault="000722EE" w:rsidP="009C7E85">
          <w:pPr>
            <w:spacing w:after="120" w:line="240" w:lineRule="auto"/>
            <w:ind w:right="68"/>
            <w:jc w:val="right"/>
            <w:rPr>
              <w:rFonts w:cs="Arial"/>
              <w:szCs w:val="24"/>
            </w:rPr>
          </w:pPr>
          <w:proofErr w:type="spellStart"/>
          <w:r>
            <w:rPr>
              <w:rFonts w:cs="Arial"/>
              <w:szCs w:val="24"/>
            </w:rPr>
            <w:t>XXXXXXXXXXXXXXXXX</w:t>
          </w:r>
          <w:proofErr w:type="spellEnd"/>
        </w:p>
      </w:tc>
    </w:tr>
    <w:tr w:rsidR="007E5188" w14:paraId="7472047E" w14:textId="77777777" w:rsidTr="00F34B81">
      <w:trPr>
        <w:trHeight w:val="242"/>
      </w:trPr>
      <w:tc>
        <w:tcPr>
          <w:tcW w:w="5103" w:type="dxa"/>
          <w:hideMark/>
        </w:tcPr>
        <w:p w14:paraId="3D84B202" w14:textId="77777777" w:rsidR="007E5188" w:rsidRPr="00663A37" w:rsidRDefault="007E5188" w:rsidP="00F34B81">
          <w:pPr>
            <w:spacing w:after="120" w:line="240" w:lineRule="auto"/>
            <w:ind w:right="68"/>
            <w:jc w:val="right"/>
            <w:rPr>
              <w:rFonts w:cs="Arial"/>
              <w:b/>
              <w:szCs w:val="24"/>
            </w:rPr>
          </w:pPr>
          <w:r w:rsidRPr="00663A37">
            <w:rPr>
              <w:rFonts w:cs="Arial"/>
              <w:b/>
              <w:szCs w:val="24"/>
            </w:rPr>
            <w:t>Sujeto Obligado:</w:t>
          </w:r>
        </w:p>
      </w:tc>
      <w:tc>
        <w:tcPr>
          <w:tcW w:w="4395" w:type="dxa"/>
          <w:hideMark/>
        </w:tcPr>
        <w:p w14:paraId="26ADCBD9" w14:textId="5F0410E7" w:rsidR="007E5188" w:rsidRPr="00944789" w:rsidRDefault="007E5188" w:rsidP="009C7E85">
          <w:pPr>
            <w:spacing w:after="120" w:line="240" w:lineRule="auto"/>
            <w:ind w:left="-70" w:right="68"/>
            <w:jc w:val="right"/>
            <w:rPr>
              <w:rFonts w:cs="Arial"/>
              <w:szCs w:val="24"/>
            </w:rPr>
          </w:pPr>
          <w:r>
            <w:rPr>
              <w:b/>
              <w:bCs/>
              <w:color w:val="000000"/>
              <w:szCs w:val="24"/>
            </w:rPr>
            <w:t>Poder Judicial</w:t>
          </w:r>
        </w:p>
      </w:tc>
    </w:tr>
    <w:tr w:rsidR="007E5188" w14:paraId="7436AB92" w14:textId="77777777" w:rsidTr="00F34B81">
      <w:trPr>
        <w:trHeight w:val="342"/>
      </w:trPr>
      <w:tc>
        <w:tcPr>
          <w:tcW w:w="5103" w:type="dxa"/>
          <w:hideMark/>
        </w:tcPr>
        <w:p w14:paraId="55234C9C" w14:textId="77777777" w:rsidR="007E5188" w:rsidRPr="00663A37" w:rsidRDefault="007E5188" w:rsidP="00F34B81">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463ED9CF" w14:textId="77777777" w:rsidR="007E5188" w:rsidRPr="00663A37" w:rsidRDefault="007E5188" w:rsidP="00F34B81">
          <w:pPr>
            <w:spacing w:after="120" w:line="240" w:lineRule="auto"/>
            <w:ind w:left="-486" w:right="68" w:firstLine="567"/>
            <w:jc w:val="right"/>
            <w:rPr>
              <w:rFonts w:cs="Arial"/>
              <w:szCs w:val="24"/>
            </w:rPr>
          </w:pPr>
          <w:r w:rsidRPr="00663A37">
            <w:rPr>
              <w:rFonts w:cs="Arial"/>
              <w:szCs w:val="24"/>
            </w:rPr>
            <w:t>José Martínez Vilchis</w:t>
          </w:r>
        </w:p>
      </w:tc>
    </w:tr>
  </w:tbl>
  <w:p w14:paraId="7060E3EA" w14:textId="77777777" w:rsidR="007E5188" w:rsidRPr="00871A91" w:rsidRDefault="007E5188">
    <w:pPr>
      <w:pStyle w:val="Encabezado"/>
      <w:rPr>
        <w:sz w:val="2"/>
      </w:rPr>
    </w:pPr>
    <w:r>
      <w:rPr>
        <w:noProof/>
      </w:rPr>
      <w:drawing>
        <wp:anchor distT="0" distB="0" distL="114300" distR="114300" simplePos="0" relativeHeight="251661312" behindDoc="1" locked="0" layoutInCell="0" allowOverlap="1" wp14:anchorId="05732BEF" wp14:editId="2E69136B">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2DAE"/>
    <w:multiLevelType w:val="hybridMultilevel"/>
    <w:tmpl w:val="D714B6F6"/>
    <w:lvl w:ilvl="0" w:tplc="7D2452E6">
      <w:start w:val="1"/>
      <w:numFmt w:val="upp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5CE68D5"/>
    <w:multiLevelType w:val="hybridMultilevel"/>
    <w:tmpl w:val="37507930"/>
    <w:lvl w:ilvl="0" w:tplc="080A000F">
      <w:start w:val="1"/>
      <w:numFmt w:val="decimal"/>
      <w:lvlText w:val="%1."/>
      <w:lvlJc w:val="left"/>
      <w:pPr>
        <w:ind w:left="720" w:hanging="360"/>
      </w:pPr>
      <w:rPr>
        <w:rFonts w:hint="default"/>
      </w:rPr>
    </w:lvl>
    <w:lvl w:ilvl="1" w:tplc="C258333E">
      <w:start w:val="1"/>
      <w:numFmt w:val="decimal"/>
      <w:lvlText w:val="%2."/>
      <w:lvlJc w:val="left"/>
      <w:pPr>
        <w:ind w:left="1440" w:hanging="360"/>
      </w:pPr>
      <w:rPr>
        <w:rFonts w:cs="Calibri" w:hint="default"/>
      </w:rPr>
    </w:lvl>
    <w:lvl w:ilvl="2" w:tplc="080A001B">
      <w:start w:val="1"/>
      <w:numFmt w:val="lowerRoman"/>
      <w:lvlText w:val="%3."/>
      <w:lvlJc w:val="right"/>
      <w:pPr>
        <w:ind w:left="2160" w:hanging="180"/>
      </w:pPr>
    </w:lvl>
    <w:lvl w:ilvl="3" w:tplc="B038CD5E">
      <w:start w:val="1"/>
      <w:numFmt w:val="lowerLetter"/>
      <w:lvlText w:val="%4)"/>
      <w:lvlJc w:val="left"/>
      <w:pPr>
        <w:ind w:left="2880" w:hanging="360"/>
      </w:pPr>
      <w:rPr>
        <w:rFonts w:eastAsia="Palatino Linotype" w:cs="Palatino Linotype" w:hint="default"/>
        <w:color w:val="000000"/>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100A31"/>
    <w:multiLevelType w:val="hybridMultilevel"/>
    <w:tmpl w:val="29284322"/>
    <w:lvl w:ilvl="0" w:tplc="1C2892CC">
      <w:start w:val="1"/>
      <w:numFmt w:val="decimal"/>
      <w:lvlText w:val="%1."/>
      <w:lvlJc w:val="left"/>
      <w:pPr>
        <w:ind w:left="1800" w:hanging="360"/>
      </w:pPr>
      <w:rPr>
        <w:rFonts w:cs="Calibri"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 w15:restartNumberingAfterBreak="0">
    <w:nsid w:val="14122E0B"/>
    <w:multiLevelType w:val="multilevel"/>
    <w:tmpl w:val="72F6A312"/>
    <w:lvl w:ilvl="0">
      <w:start w:val="1"/>
      <w:numFmt w:val="decimal"/>
      <w:lvlText w:val="%1."/>
      <w:lvlJc w:val="left"/>
      <w:pPr>
        <w:ind w:left="1133" w:hanging="425"/>
      </w:pPr>
      <w:rPr>
        <w:rFonts w:hint="default"/>
        <w:i/>
        <w:iCs/>
      </w:rPr>
    </w:lvl>
    <w:lvl w:ilvl="1">
      <w:start w:val="1"/>
      <w:numFmt w:val="decimal"/>
      <w:lvlText w:val="%1.%2."/>
      <w:lvlJc w:val="left"/>
      <w:pPr>
        <w:ind w:left="1700" w:hanging="567"/>
      </w:pPr>
      <w:rPr>
        <w:rFonts w:hint="default"/>
        <w:i/>
        <w:iCs/>
      </w:rPr>
    </w:lvl>
    <w:lvl w:ilvl="2">
      <w:start w:val="1"/>
      <w:numFmt w:val="decimal"/>
      <w:lvlText w:val="%1.%2.%3."/>
      <w:lvlJc w:val="left"/>
      <w:pPr>
        <w:ind w:left="1648" w:hanging="504"/>
      </w:pPr>
      <w:rPr>
        <w:rFonts w:hint="default"/>
      </w:rPr>
    </w:lvl>
    <w:lvl w:ilvl="3">
      <w:start w:val="1"/>
      <w:numFmt w:val="decimal"/>
      <w:lvlText w:val="%1.%2.%3.%4."/>
      <w:lvlJc w:val="left"/>
      <w:pPr>
        <w:ind w:left="2152" w:hanging="648"/>
      </w:pPr>
      <w:rPr>
        <w:rFonts w:hint="default"/>
      </w:rPr>
    </w:lvl>
    <w:lvl w:ilvl="4">
      <w:start w:val="1"/>
      <w:numFmt w:val="decimal"/>
      <w:lvlText w:val="%1.%2.%3.%4.%5."/>
      <w:lvlJc w:val="left"/>
      <w:pPr>
        <w:ind w:left="2656" w:hanging="792"/>
      </w:pPr>
      <w:rPr>
        <w:rFonts w:hint="default"/>
      </w:rPr>
    </w:lvl>
    <w:lvl w:ilvl="5">
      <w:start w:val="1"/>
      <w:numFmt w:val="decimal"/>
      <w:lvlText w:val="%1.%2.%3.%4.%5.%6."/>
      <w:lvlJc w:val="left"/>
      <w:pPr>
        <w:ind w:left="3160" w:hanging="936"/>
      </w:pPr>
      <w:rPr>
        <w:rFonts w:hint="default"/>
      </w:rPr>
    </w:lvl>
    <w:lvl w:ilvl="6">
      <w:start w:val="1"/>
      <w:numFmt w:val="decimal"/>
      <w:lvlText w:val="%1.%2.%3.%4.%5.%6.%7."/>
      <w:lvlJc w:val="left"/>
      <w:pPr>
        <w:ind w:left="3664" w:hanging="1080"/>
      </w:pPr>
      <w:rPr>
        <w:rFonts w:hint="default"/>
      </w:rPr>
    </w:lvl>
    <w:lvl w:ilvl="7">
      <w:start w:val="1"/>
      <w:numFmt w:val="decimal"/>
      <w:lvlText w:val="%1.%2.%3.%4.%5.%6.%7.%8."/>
      <w:lvlJc w:val="left"/>
      <w:pPr>
        <w:ind w:left="4168" w:hanging="1224"/>
      </w:pPr>
      <w:rPr>
        <w:rFonts w:hint="default"/>
      </w:rPr>
    </w:lvl>
    <w:lvl w:ilvl="8">
      <w:start w:val="1"/>
      <w:numFmt w:val="decimal"/>
      <w:lvlText w:val="%1.%2.%3.%4.%5.%6.%7.%8.%9."/>
      <w:lvlJc w:val="left"/>
      <w:pPr>
        <w:ind w:left="4744" w:hanging="1440"/>
      </w:pPr>
      <w:rPr>
        <w:rFonts w:hint="default"/>
      </w:rPr>
    </w:lvl>
  </w:abstractNum>
  <w:abstractNum w:abstractNumId="5" w15:restartNumberingAfterBreak="0">
    <w:nsid w:val="14B75C02"/>
    <w:multiLevelType w:val="hybridMultilevel"/>
    <w:tmpl w:val="0A269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D50347"/>
    <w:multiLevelType w:val="hybridMultilevel"/>
    <w:tmpl w:val="741A9054"/>
    <w:lvl w:ilvl="0" w:tplc="247C098A">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7" w15:restartNumberingAfterBreak="0">
    <w:nsid w:val="1D8C4DE0"/>
    <w:multiLevelType w:val="hybridMultilevel"/>
    <w:tmpl w:val="7F4291C0"/>
    <w:lvl w:ilvl="0" w:tplc="A3D6F8CC">
      <w:start w:val="1"/>
      <w:numFmt w:val="decimal"/>
      <w:lvlText w:val="%1."/>
      <w:lvlJc w:val="left"/>
      <w:pPr>
        <w:ind w:left="1429" w:hanging="360"/>
      </w:pPr>
      <w:rPr>
        <w:rFonts w:eastAsia="Calibri" w:cs="Calibri" w:hint="default"/>
        <w:i/>
      </w:rPr>
    </w:lvl>
    <w:lvl w:ilvl="1" w:tplc="0DFE4C1E">
      <w:numFmt w:val="bullet"/>
      <w:lvlText w:val="-"/>
      <w:lvlJc w:val="left"/>
      <w:pPr>
        <w:ind w:left="2149" w:hanging="360"/>
      </w:pPr>
      <w:rPr>
        <w:rFonts w:ascii="Palatino Linotype" w:eastAsia="Calibri" w:hAnsi="Palatino Linotype" w:cs="Arial" w:hint="default"/>
      </w:r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1FBA60E1"/>
    <w:multiLevelType w:val="hybridMultilevel"/>
    <w:tmpl w:val="145203D0"/>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EC2304"/>
    <w:multiLevelType w:val="hybridMultilevel"/>
    <w:tmpl w:val="3C4CB088"/>
    <w:lvl w:ilvl="0" w:tplc="0DDCFDC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0" w15:restartNumberingAfterBreak="0">
    <w:nsid w:val="21E059B0"/>
    <w:multiLevelType w:val="hybridMultilevel"/>
    <w:tmpl w:val="C5E8F32C"/>
    <w:lvl w:ilvl="0" w:tplc="94E45FCE">
      <w:start w:val="1"/>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0C3675"/>
    <w:multiLevelType w:val="hybridMultilevel"/>
    <w:tmpl w:val="5D74B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6C1891"/>
    <w:multiLevelType w:val="hybridMultilevel"/>
    <w:tmpl w:val="4EEE8504"/>
    <w:lvl w:ilvl="0" w:tplc="BBE6EA32">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DE3D71"/>
    <w:multiLevelType w:val="hybridMultilevel"/>
    <w:tmpl w:val="D8EED7FA"/>
    <w:lvl w:ilvl="0" w:tplc="6A384D38">
      <w:start w:val="1"/>
      <w:numFmt w:val="decimal"/>
      <w:lvlText w:val="%1."/>
      <w:lvlJc w:val="left"/>
      <w:pPr>
        <w:ind w:left="720" w:hanging="360"/>
      </w:pPr>
      <w:rPr>
        <w:rFonts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7B1BB9"/>
    <w:multiLevelType w:val="hybridMultilevel"/>
    <w:tmpl w:val="04AA509A"/>
    <w:lvl w:ilvl="0" w:tplc="08A4B584">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2B0EA3"/>
    <w:multiLevelType w:val="hybridMultilevel"/>
    <w:tmpl w:val="26D638C4"/>
    <w:lvl w:ilvl="0" w:tplc="D72EACE4">
      <w:start w:val="1"/>
      <w:numFmt w:val="decimal"/>
      <w:lvlText w:val="%1."/>
      <w:lvlJc w:val="left"/>
      <w:pPr>
        <w:ind w:left="1069" w:hanging="360"/>
      </w:pPr>
      <w:rPr>
        <w:rFonts w:eastAsia="Times New Roman" w:cs="Times New Roman"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11618C9"/>
    <w:multiLevelType w:val="hybridMultilevel"/>
    <w:tmpl w:val="CC58FFEA"/>
    <w:lvl w:ilvl="0" w:tplc="A7421166">
      <w:start w:val="580"/>
      <w:numFmt w:val="bullet"/>
      <w:lvlText w:val=""/>
      <w:lvlJc w:val="left"/>
      <w:pPr>
        <w:ind w:left="720" w:hanging="360"/>
      </w:pPr>
      <w:rPr>
        <w:rFonts w:ascii="Symbol" w:eastAsia="Calibr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2A32513"/>
    <w:multiLevelType w:val="hybridMultilevel"/>
    <w:tmpl w:val="B9E642F2"/>
    <w:lvl w:ilvl="0" w:tplc="42A668D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48E3DDC"/>
    <w:multiLevelType w:val="hybridMultilevel"/>
    <w:tmpl w:val="41D4B814"/>
    <w:lvl w:ilvl="0" w:tplc="CE2889C2">
      <w:start w:val="1"/>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1DC3C40"/>
    <w:multiLevelType w:val="hybridMultilevel"/>
    <w:tmpl w:val="138C69A8"/>
    <w:lvl w:ilvl="0" w:tplc="AFFE295C">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3" w15:restartNumberingAfterBreak="0">
    <w:nsid w:val="53180F32"/>
    <w:multiLevelType w:val="hybridMultilevel"/>
    <w:tmpl w:val="547CB2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5FE2F3A"/>
    <w:multiLevelType w:val="hybridMultilevel"/>
    <w:tmpl w:val="B1F461C6"/>
    <w:lvl w:ilvl="0" w:tplc="891EC9D6">
      <w:start w:val="1"/>
      <w:numFmt w:val="bullet"/>
      <w:lvlText w:val=""/>
      <w:lvlJc w:val="left"/>
      <w:pPr>
        <w:ind w:left="720" w:hanging="360"/>
      </w:pPr>
      <w:rPr>
        <w:rFonts w:ascii="Symbol" w:eastAsia="Palatino Linotype" w:hAnsi="Symbol" w:cs="Palatino Linotype" w:hint="default"/>
        <w:b w:val="0"/>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60839D1"/>
    <w:multiLevelType w:val="hybridMultilevel"/>
    <w:tmpl w:val="5D169F9C"/>
    <w:lvl w:ilvl="0" w:tplc="C302A056">
      <w:start w:val="1"/>
      <w:numFmt w:val="decimal"/>
      <w:lvlText w:val="%1."/>
      <w:lvlJc w:val="left"/>
      <w:pPr>
        <w:ind w:left="502"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8487A11"/>
    <w:multiLevelType w:val="hybridMultilevel"/>
    <w:tmpl w:val="4E72F752"/>
    <w:lvl w:ilvl="0" w:tplc="080A000F">
      <w:start w:val="1"/>
      <w:numFmt w:val="decimal"/>
      <w:lvlText w:val="%1."/>
      <w:lvlJc w:val="left"/>
      <w:pPr>
        <w:ind w:left="720" w:hanging="360"/>
      </w:pPr>
      <w:rPr>
        <w:rFonts w:hint="default"/>
      </w:rPr>
    </w:lvl>
    <w:lvl w:ilvl="1" w:tplc="C258333E">
      <w:start w:val="1"/>
      <w:numFmt w:val="decimal"/>
      <w:lvlText w:val="%2."/>
      <w:lvlJc w:val="left"/>
      <w:pPr>
        <w:ind w:left="1440" w:hanging="360"/>
      </w:pPr>
      <w:rPr>
        <w:rFonts w:cs="Calibri"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97D5FFF"/>
    <w:multiLevelType w:val="hybridMultilevel"/>
    <w:tmpl w:val="4E72F752"/>
    <w:lvl w:ilvl="0" w:tplc="080A000F">
      <w:start w:val="1"/>
      <w:numFmt w:val="decimal"/>
      <w:lvlText w:val="%1."/>
      <w:lvlJc w:val="left"/>
      <w:pPr>
        <w:ind w:left="720" w:hanging="360"/>
      </w:pPr>
      <w:rPr>
        <w:rFonts w:hint="default"/>
      </w:rPr>
    </w:lvl>
    <w:lvl w:ilvl="1" w:tplc="C258333E">
      <w:start w:val="1"/>
      <w:numFmt w:val="decimal"/>
      <w:lvlText w:val="%2."/>
      <w:lvlJc w:val="left"/>
      <w:pPr>
        <w:ind w:left="1440" w:hanging="360"/>
      </w:pPr>
      <w:rPr>
        <w:rFonts w:cs="Calibri"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BF054E3"/>
    <w:multiLevelType w:val="hybridMultilevel"/>
    <w:tmpl w:val="04E64BBC"/>
    <w:lvl w:ilvl="0" w:tplc="BDD4E55E">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9" w15:restartNumberingAfterBreak="0">
    <w:nsid w:val="5D2E09D3"/>
    <w:multiLevelType w:val="hybridMultilevel"/>
    <w:tmpl w:val="439E5F3E"/>
    <w:lvl w:ilvl="0" w:tplc="6D9800DC">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0" w15:restartNumberingAfterBreak="0">
    <w:nsid w:val="5E8845B1"/>
    <w:multiLevelType w:val="hybridMultilevel"/>
    <w:tmpl w:val="29284322"/>
    <w:lvl w:ilvl="0" w:tplc="1C2892CC">
      <w:start w:val="1"/>
      <w:numFmt w:val="decimal"/>
      <w:lvlText w:val="%1."/>
      <w:lvlJc w:val="left"/>
      <w:pPr>
        <w:ind w:left="1800" w:hanging="360"/>
      </w:pPr>
      <w:rPr>
        <w:rFonts w:cs="Calibri"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1" w15:restartNumberingAfterBreak="0">
    <w:nsid w:val="6125084A"/>
    <w:multiLevelType w:val="hybridMultilevel"/>
    <w:tmpl w:val="0ED0BEBE"/>
    <w:lvl w:ilvl="0" w:tplc="2FB6D926">
      <w:start w:val="1"/>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39F25CE"/>
    <w:multiLevelType w:val="hybridMultilevel"/>
    <w:tmpl w:val="84C4DA46"/>
    <w:lvl w:ilvl="0" w:tplc="F726131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96D48DA"/>
    <w:multiLevelType w:val="hybridMultilevel"/>
    <w:tmpl w:val="E9420D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984205"/>
    <w:multiLevelType w:val="hybridMultilevel"/>
    <w:tmpl w:val="11DA4158"/>
    <w:lvl w:ilvl="0" w:tplc="364C5A56">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6B0AFC"/>
    <w:multiLevelType w:val="hybridMultilevel"/>
    <w:tmpl w:val="41AE4552"/>
    <w:lvl w:ilvl="0" w:tplc="52A0369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B33329"/>
    <w:multiLevelType w:val="hybridMultilevel"/>
    <w:tmpl w:val="E0D4E3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9059429">
    <w:abstractNumId w:val="18"/>
  </w:num>
  <w:num w:numId="2" w16cid:durableId="2087338971">
    <w:abstractNumId w:val="22"/>
  </w:num>
  <w:num w:numId="3" w16cid:durableId="479807325">
    <w:abstractNumId w:val="31"/>
  </w:num>
  <w:num w:numId="4" w16cid:durableId="391735751">
    <w:abstractNumId w:val="6"/>
  </w:num>
  <w:num w:numId="5" w16cid:durableId="1708412605">
    <w:abstractNumId w:val="20"/>
  </w:num>
  <w:num w:numId="6" w16cid:durableId="1929465327">
    <w:abstractNumId w:val="7"/>
  </w:num>
  <w:num w:numId="7" w16cid:durableId="1483354364">
    <w:abstractNumId w:val="34"/>
  </w:num>
  <w:num w:numId="8" w16cid:durableId="902759438">
    <w:abstractNumId w:val="0"/>
  </w:num>
  <w:num w:numId="9" w16cid:durableId="1477452991">
    <w:abstractNumId w:val="25"/>
  </w:num>
  <w:num w:numId="10" w16cid:durableId="1719086177">
    <w:abstractNumId w:val="23"/>
  </w:num>
  <w:num w:numId="11" w16cid:durableId="2048136432">
    <w:abstractNumId w:val="5"/>
  </w:num>
  <w:num w:numId="12" w16cid:durableId="1170634021">
    <w:abstractNumId w:val="4"/>
  </w:num>
  <w:num w:numId="13" w16cid:durableId="556665285">
    <w:abstractNumId w:val="32"/>
  </w:num>
  <w:num w:numId="14" w16cid:durableId="1313754320">
    <w:abstractNumId w:val="2"/>
  </w:num>
  <w:num w:numId="15" w16cid:durableId="1367561667">
    <w:abstractNumId w:val="19"/>
  </w:num>
  <w:num w:numId="16" w16cid:durableId="1407456424">
    <w:abstractNumId w:val="15"/>
  </w:num>
  <w:num w:numId="17" w16cid:durableId="513962990">
    <w:abstractNumId w:val="17"/>
  </w:num>
  <w:num w:numId="18" w16cid:durableId="451359561">
    <w:abstractNumId w:val="28"/>
  </w:num>
  <w:num w:numId="19" w16cid:durableId="616914005">
    <w:abstractNumId w:val="29"/>
  </w:num>
  <w:num w:numId="20" w16cid:durableId="1259872747">
    <w:abstractNumId w:val="9"/>
  </w:num>
  <w:num w:numId="21" w16cid:durableId="484012066">
    <w:abstractNumId w:val="14"/>
  </w:num>
  <w:num w:numId="22" w16cid:durableId="323632377">
    <w:abstractNumId w:val="33"/>
  </w:num>
  <w:num w:numId="23" w16cid:durableId="23026476">
    <w:abstractNumId w:val="10"/>
  </w:num>
  <w:num w:numId="24" w16cid:durableId="889682215">
    <w:abstractNumId w:val="24"/>
  </w:num>
  <w:num w:numId="25" w16cid:durableId="1488596176">
    <w:abstractNumId w:val="1"/>
  </w:num>
  <w:num w:numId="26" w16cid:durableId="862477590">
    <w:abstractNumId w:val="21"/>
  </w:num>
  <w:num w:numId="27" w16cid:durableId="314648223">
    <w:abstractNumId w:val="3"/>
  </w:num>
  <w:num w:numId="28" w16cid:durableId="133573648">
    <w:abstractNumId w:val="26"/>
  </w:num>
  <w:num w:numId="29" w16cid:durableId="1135488723">
    <w:abstractNumId w:val="27"/>
  </w:num>
  <w:num w:numId="30" w16cid:durableId="1153184782">
    <w:abstractNumId w:val="36"/>
  </w:num>
  <w:num w:numId="31" w16cid:durableId="1251309389">
    <w:abstractNumId w:val="11"/>
  </w:num>
  <w:num w:numId="32" w16cid:durableId="557325288">
    <w:abstractNumId w:val="30"/>
  </w:num>
  <w:num w:numId="33" w16cid:durableId="649293020">
    <w:abstractNumId w:val="35"/>
  </w:num>
  <w:num w:numId="34" w16cid:durableId="75564908">
    <w:abstractNumId w:val="13"/>
  </w:num>
  <w:num w:numId="35" w16cid:durableId="1137187629">
    <w:abstractNumId w:val="12"/>
  </w:num>
  <w:num w:numId="36" w16cid:durableId="1142312932">
    <w:abstractNumId w:val="16"/>
  </w:num>
  <w:num w:numId="37" w16cid:durableId="18860649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260"/>
    <w:rsid w:val="000076C9"/>
    <w:rsid w:val="0004731B"/>
    <w:rsid w:val="0006629B"/>
    <w:rsid w:val="000722EE"/>
    <w:rsid w:val="00077924"/>
    <w:rsid w:val="00090A5D"/>
    <w:rsid w:val="000C05AB"/>
    <w:rsid w:val="000C7AD1"/>
    <w:rsid w:val="0010537C"/>
    <w:rsid w:val="00133F65"/>
    <w:rsid w:val="00134424"/>
    <w:rsid w:val="00160494"/>
    <w:rsid w:val="00181225"/>
    <w:rsid w:val="001963C1"/>
    <w:rsid w:val="001A0AE4"/>
    <w:rsid w:val="001A406F"/>
    <w:rsid w:val="001C6BDD"/>
    <w:rsid w:val="00240E23"/>
    <w:rsid w:val="00246D6E"/>
    <w:rsid w:val="00253F4B"/>
    <w:rsid w:val="00263593"/>
    <w:rsid w:val="0027504B"/>
    <w:rsid w:val="00284DAC"/>
    <w:rsid w:val="002C6981"/>
    <w:rsid w:val="002E43C4"/>
    <w:rsid w:val="002E63E8"/>
    <w:rsid w:val="003067BA"/>
    <w:rsid w:val="00307FB0"/>
    <w:rsid w:val="00320A3C"/>
    <w:rsid w:val="0032623B"/>
    <w:rsid w:val="00327CDB"/>
    <w:rsid w:val="00334E6C"/>
    <w:rsid w:val="00342355"/>
    <w:rsid w:val="00347F55"/>
    <w:rsid w:val="00350334"/>
    <w:rsid w:val="00362D0C"/>
    <w:rsid w:val="00366FF2"/>
    <w:rsid w:val="003918C4"/>
    <w:rsid w:val="003F1692"/>
    <w:rsid w:val="0040773D"/>
    <w:rsid w:val="00407F9E"/>
    <w:rsid w:val="00431D41"/>
    <w:rsid w:val="004342BB"/>
    <w:rsid w:val="0044416C"/>
    <w:rsid w:val="004551AD"/>
    <w:rsid w:val="004643B1"/>
    <w:rsid w:val="0046458F"/>
    <w:rsid w:val="00464C0F"/>
    <w:rsid w:val="00471F4D"/>
    <w:rsid w:val="00474647"/>
    <w:rsid w:val="004905A7"/>
    <w:rsid w:val="004C1EAB"/>
    <w:rsid w:val="004F4D02"/>
    <w:rsid w:val="00511260"/>
    <w:rsid w:val="00513AA6"/>
    <w:rsid w:val="005142FA"/>
    <w:rsid w:val="00514E9D"/>
    <w:rsid w:val="00514EB8"/>
    <w:rsid w:val="00525C38"/>
    <w:rsid w:val="00532256"/>
    <w:rsid w:val="0055178F"/>
    <w:rsid w:val="005549BF"/>
    <w:rsid w:val="00555D9B"/>
    <w:rsid w:val="0056219A"/>
    <w:rsid w:val="00572727"/>
    <w:rsid w:val="0058390D"/>
    <w:rsid w:val="005B5B86"/>
    <w:rsid w:val="005D3B64"/>
    <w:rsid w:val="005F5C5C"/>
    <w:rsid w:val="005F6C6D"/>
    <w:rsid w:val="0060582D"/>
    <w:rsid w:val="0062671A"/>
    <w:rsid w:val="00646E4F"/>
    <w:rsid w:val="006537E2"/>
    <w:rsid w:val="006625FA"/>
    <w:rsid w:val="00664BC2"/>
    <w:rsid w:val="006757F8"/>
    <w:rsid w:val="00686AA3"/>
    <w:rsid w:val="00690C9E"/>
    <w:rsid w:val="00693CB7"/>
    <w:rsid w:val="006970FB"/>
    <w:rsid w:val="006C7C42"/>
    <w:rsid w:val="006D61E2"/>
    <w:rsid w:val="006E15E3"/>
    <w:rsid w:val="006E1F0B"/>
    <w:rsid w:val="007460DF"/>
    <w:rsid w:val="007464C3"/>
    <w:rsid w:val="00753BB6"/>
    <w:rsid w:val="0079595B"/>
    <w:rsid w:val="00796422"/>
    <w:rsid w:val="007B1488"/>
    <w:rsid w:val="007B2FCB"/>
    <w:rsid w:val="007B4B43"/>
    <w:rsid w:val="007D237D"/>
    <w:rsid w:val="007D7892"/>
    <w:rsid w:val="007E1324"/>
    <w:rsid w:val="007E5188"/>
    <w:rsid w:val="008030AF"/>
    <w:rsid w:val="008156CA"/>
    <w:rsid w:val="0082399A"/>
    <w:rsid w:val="00832271"/>
    <w:rsid w:val="0088777B"/>
    <w:rsid w:val="00891EB5"/>
    <w:rsid w:val="00893E55"/>
    <w:rsid w:val="00897555"/>
    <w:rsid w:val="008A1C85"/>
    <w:rsid w:val="008A512A"/>
    <w:rsid w:val="008D2BAF"/>
    <w:rsid w:val="008E4499"/>
    <w:rsid w:val="008F7EEB"/>
    <w:rsid w:val="00915016"/>
    <w:rsid w:val="009275AE"/>
    <w:rsid w:val="00931B6C"/>
    <w:rsid w:val="0093331B"/>
    <w:rsid w:val="009417F8"/>
    <w:rsid w:val="00944789"/>
    <w:rsid w:val="00950A34"/>
    <w:rsid w:val="00963ABA"/>
    <w:rsid w:val="00976E22"/>
    <w:rsid w:val="0097766C"/>
    <w:rsid w:val="009A5C22"/>
    <w:rsid w:val="009C5C83"/>
    <w:rsid w:val="009C7E85"/>
    <w:rsid w:val="00A01975"/>
    <w:rsid w:val="00A316C2"/>
    <w:rsid w:val="00A336A2"/>
    <w:rsid w:val="00A35E71"/>
    <w:rsid w:val="00A45A88"/>
    <w:rsid w:val="00A71F61"/>
    <w:rsid w:val="00A929C8"/>
    <w:rsid w:val="00A96F1B"/>
    <w:rsid w:val="00AA0380"/>
    <w:rsid w:val="00AD6C7B"/>
    <w:rsid w:val="00B06067"/>
    <w:rsid w:val="00B156C7"/>
    <w:rsid w:val="00B201FA"/>
    <w:rsid w:val="00B357EE"/>
    <w:rsid w:val="00B40A7A"/>
    <w:rsid w:val="00B41B79"/>
    <w:rsid w:val="00B426F3"/>
    <w:rsid w:val="00B4346F"/>
    <w:rsid w:val="00B52B00"/>
    <w:rsid w:val="00B671D7"/>
    <w:rsid w:val="00BB1B59"/>
    <w:rsid w:val="00BC7542"/>
    <w:rsid w:val="00BD1867"/>
    <w:rsid w:val="00BF610E"/>
    <w:rsid w:val="00C324F0"/>
    <w:rsid w:val="00C610DD"/>
    <w:rsid w:val="00C934EB"/>
    <w:rsid w:val="00C96F02"/>
    <w:rsid w:val="00CA454B"/>
    <w:rsid w:val="00CB17C5"/>
    <w:rsid w:val="00CB6916"/>
    <w:rsid w:val="00CC2A1C"/>
    <w:rsid w:val="00CE47F3"/>
    <w:rsid w:val="00CE4896"/>
    <w:rsid w:val="00CF6235"/>
    <w:rsid w:val="00CF7459"/>
    <w:rsid w:val="00D321D8"/>
    <w:rsid w:val="00D41B9A"/>
    <w:rsid w:val="00D426BC"/>
    <w:rsid w:val="00D45D5D"/>
    <w:rsid w:val="00D6504B"/>
    <w:rsid w:val="00DA406E"/>
    <w:rsid w:val="00DA5FB4"/>
    <w:rsid w:val="00DD6D44"/>
    <w:rsid w:val="00E179C6"/>
    <w:rsid w:val="00E37B9A"/>
    <w:rsid w:val="00E513F1"/>
    <w:rsid w:val="00E718F8"/>
    <w:rsid w:val="00E8444D"/>
    <w:rsid w:val="00E902A3"/>
    <w:rsid w:val="00E972EB"/>
    <w:rsid w:val="00EA216B"/>
    <w:rsid w:val="00EB36C6"/>
    <w:rsid w:val="00EC0C9E"/>
    <w:rsid w:val="00ED3B2F"/>
    <w:rsid w:val="00EE0923"/>
    <w:rsid w:val="00F04E3C"/>
    <w:rsid w:val="00F12945"/>
    <w:rsid w:val="00F3202D"/>
    <w:rsid w:val="00F34B81"/>
    <w:rsid w:val="00F44E85"/>
    <w:rsid w:val="00F52C70"/>
    <w:rsid w:val="00F7034C"/>
    <w:rsid w:val="00FA7AA6"/>
    <w:rsid w:val="00FD12E0"/>
    <w:rsid w:val="00FD3EB2"/>
    <w:rsid w:val="00FE13EF"/>
    <w:rsid w:val="00FE1711"/>
    <w:rsid w:val="00FF0D18"/>
    <w:rsid w:val="00FF5D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7500566"/>
  <w15:chartTrackingRefBased/>
  <w15:docId w15:val="{4650A120-658D-49D8-A205-3B2DFAB0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260"/>
    <w:pPr>
      <w:spacing w:after="0" w:line="360" w:lineRule="auto"/>
      <w:jc w:val="both"/>
    </w:pPr>
    <w:rPr>
      <w:rFonts w:ascii="Palatino Linotype" w:eastAsia="Calibri" w:hAnsi="Palatino Linotype" w:cs="Calibri"/>
      <w:kern w:val="0"/>
      <w:szCs w:val="22"/>
      <w:lang w:val="es-ES_tradnl" w:eastAsia="es-MX"/>
      <w14:ligatures w14:val="none"/>
    </w:rPr>
  </w:style>
  <w:style w:type="paragraph" w:styleId="Ttulo1">
    <w:name w:val="heading 1"/>
    <w:aliases w:val="Título Res"/>
    <w:basedOn w:val="Normal"/>
    <w:next w:val="Normal"/>
    <w:link w:val="Ttulo1Car"/>
    <w:uiPriority w:val="9"/>
    <w:qFormat/>
    <w:rsid w:val="005112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aliases w:val="Subtítulos"/>
    <w:basedOn w:val="Normal"/>
    <w:next w:val="Normal"/>
    <w:link w:val="Ttulo2Car"/>
    <w:uiPriority w:val="9"/>
    <w:unhideWhenUsed/>
    <w:qFormat/>
    <w:rsid w:val="005112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1126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1126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1126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1126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1126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1126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1126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Res Car"/>
    <w:basedOn w:val="Fuentedeprrafopredeter"/>
    <w:link w:val="Ttulo1"/>
    <w:uiPriority w:val="9"/>
    <w:rsid w:val="00511260"/>
    <w:rPr>
      <w:rFonts w:asciiTheme="majorHAnsi" w:eastAsiaTheme="majorEastAsia" w:hAnsiTheme="majorHAnsi" w:cstheme="majorBidi"/>
      <w:color w:val="0F4761" w:themeColor="accent1" w:themeShade="BF"/>
      <w:sz w:val="40"/>
      <w:szCs w:val="40"/>
    </w:rPr>
  </w:style>
  <w:style w:type="character" w:customStyle="1" w:styleId="Ttulo2Car">
    <w:name w:val="Título 2 Car"/>
    <w:aliases w:val="Subtítulos Car"/>
    <w:basedOn w:val="Fuentedeprrafopredeter"/>
    <w:link w:val="Ttulo2"/>
    <w:uiPriority w:val="9"/>
    <w:rsid w:val="0051126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1126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1126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1126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1126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1126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1126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11260"/>
    <w:rPr>
      <w:rFonts w:eastAsiaTheme="majorEastAsia" w:cstheme="majorBidi"/>
      <w:color w:val="272727" w:themeColor="text1" w:themeTint="D8"/>
    </w:rPr>
  </w:style>
  <w:style w:type="paragraph" w:styleId="Ttulo">
    <w:name w:val="Title"/>
    <w:basedOn w:val="Normal"/>
    <w:next w:val="Normal"/>
    <w:link w:val="TtuloCar"/>
    <w:uiPriority w:val="10"/>
    <w:qFormat/>
    <w:rsid w:val="005112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1126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1126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1126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11260"/>
    <w:pPr>
      <w:spacing w:before="160"/>
      <w:jc w:val="center"/>
    </w:pPr>
    <w:rPr>
      <w:i/>
      <w:iCs/>
      <w:color w:val="404040" w:themeColor="text1" w:themeTint="BF"/>
    </w:rPr>
  </w:style>
  <w:style w:type="character" w:customStyle="1" w:styleId="CitaCar">
    <w:name w:val="Cita Car"/>
    <w:basedOn w:val="Fuentedeprrafopredeter"/>
    <w:link w:val="Cita"/>
    <w:uiPriority w:val="29"/>
    <w:rsid w:val="0051126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11260"/>
    <w:pPr>
      <w:ind w:left="720"/>
      <w:contextualSpacing/>
    </w:pPr>
  </w:style>
  <w:style w:type="character" w:styleId="nfasisintenso">
    <w:name w:val="Intense Emphasis"/>
    <w:basedOn w:val="Fuentedeprrafopredeter"/>
    <w:uiPriority w:val="21"/>
    <w:qFormat/>
    <w:rsid w:val="00511260"/>
    <w:rPr>
      <w:i/>
      <w:iCs/>
      <w:color w:val="0F4761" w:themeColor="accent1" w:themeShade="BF"/>
    </w:rPr>
  </w:style>
  <w:style w:type="paragraph" w:styleId="Citadestacada">
    <w:name w:val="Intense Quote"/>
    <w:basedOn w:val="Normal"/>
    <w:next w:val="Normal"/>
    <w:link w:val="CitadestacadaCar"/>
    <w:uiPriority w:val="30"/>
    <w:qFormat/>
    <w:rsid w:val="005112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11260"/>
    <w:rPr>
      <w:i/>
      <w:iCs/>
      <w:color w:val="0F4761" w:themeColor="accent1" w:themeShade="BF"/>
    </w:rPr>
  </w:style>
  <w:style w:type="character" w:styleId="Referenciaintensa">
    <w:name w:val="Intense Reference"/>
    <w:basedOn w:val="Fuentedeprrafopredeter"/>
    <w:uiPriority w:val="32"/>
    <w:qFormat/>
    <w:rsid w:val="00511260"/>
    <w:rPr>
      <w:b/>
      <w:bCs/>
      <w:smallCaps/>
      <w:color w:val="0F4761" w:themeColor="accent1" w:themeShade="BF"/>
      <w:spacing w:val="5"/>
    </w:rPr>
  </w:style>
  <w:style w:type="paragraph" w:styleId="Encabezado">
    <w:name w:val="header"/>
    <w:basedOn w:val="Normal"/>
    <w:link w:val="EncabezadoCar"/>
    <w:uiPriority w:val="99"/>
    <w:unhideWhenUsed/>
    <w:rsid w:val="00511260"/>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511260"/>
    <w:rPr>
      <w:rFonts w:ascii="Times New Roman" w:eastAsia="Calibri" w:hAnsi="Times New Roman" w:cs="Times New Roman"/>
      <w:kern w:val="0"/>
      <w:lang w:val="es-ES" w:eastAsia="es-ES"/>
      <w14:ligatures w14:val="none"/>
    </w:rPr>
  </w:style>
  <w:style w:type="paragraph" w:styleId="Piedepgina">
    <w:name w:val="footer"/>
    <w:basedOn w:val="Normal"/>
    <w:link w:val="PiedepginaCar"/>
    <w:uiPriority w:val="99"/>
    <w:unhideWhenUsed/>
    <w:rsid w:val="00511260"/>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511260"/>
    <w:rPr>
      <w:rFonts w:ascii="Times New Roman" w:eastAsia="Calibri" w:hAnsi="Times New Roman" w:cs="Times New Roman"/>
      <w:kern w:val="0"/>
      <w:lang w:val="es-ES"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11260"/>
  </w:style>
  <w:style w:type="character" w:customStyle="1" w:styleId="apple-converted-space">
    <w:name w:val="apple-converted-space"/>
    <w:basedOn w:val="Fuentedeprrafopredeter"/>
    <w:rsid w:val="00511260"/>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511260"/>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511260"/>
    <w:rPr>
      <w:color w:val="467886" w:themeColor="hyperlink"/>
      <w:u w:val="single"/>
    </w:rPr>
  </w:style>
  <w:style w:type="paragraph" w:customStyle="1" w:styleId="Fundamentos">
    <w:name w:val="Fundamentos"/>
    <w:basedOn w:val="Normal"/>
    <w:qFormat/>
    <w:rsid w:val="00511260"/>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styleId="Sinespaciado">
    <w:name w:val="No Spacing"/>
    <w:aliases w:val="Francesa,INAI"/>
    <w:link w:val="SinespaciadoCar"/>
    <w:uiPriority w:val="1"/>
    <w:qFormat/>
    <w:rsid w:val="00511260"/>
    <w:pPr>
      <w:spacing w:after="0" w:line="240" w:lineRule="auto"/>
    </w:pPr>
    <w:rPr>
      <w:rFonts w:ascii="Times New Roman" w:eastAsia="Times New Roman" w:hAnsi="Times New Roman" w:cs="Times New Roman"/>
      <w:kern w:val="0"/>
      <w:lang w:eastAsia="es-ES"/>
      <w14:ligatures w14:val="none"/>
    </w:rPr>
  </w:style>
  <w:style w:type="character" w:customStyle="1" w:styleId="SinespaciadoCar">
    <w:name w:val="Sin espaciado Car"/>
    <w:aliases w:val="Francesa Car,INAI Car"/>
    <w:link w:val="Sinespaciado"/>
    <w:uiPriority w:val="1"/>
    <w:locked/>
    <w:rsid w:val="00511260"/>
    <w:rPr>
      <w:rFonts w:ascii="Times New Roman" w:eastAsia="Times New Roman" w:hAnsi="Times New Roman" w:cs="Times New Roman"/>
      <w:kern w:val="0"/>
      <w:lang w:eastAsia="es-ES"/>
      <w14:ligatures w14:val="none"/>
    </w:rPr>
  </w:style>
  <w:style w:type="table" w:styleId="Tablaconcuadrcula">
    <w:name w:val="Table Grid"/>
    <w:basedOn w:val="Tablanormal"/>
    <w:uiPriority w:val="39"/>
    <w:rsid w:val="00D3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D321D8"/>
    <w:rPr>
      <w:color w:val="605E5C"/>
      <w:shd w:val="clear" w:color="auto" w:fill="E1DFDD"/>
    </w:rPr>
  </w:style>
  <w:style w:type="paragraph" w:customStyle="1" w:styleId="Default">
    <w:name w:val="Default"/>
    <w:rsid w:val="00E513F1"/>
    <w:pPr>
      <w:autoSpaceDE w:val="0"/>
      <w:autoSpaceDN w:val="0"/>
      <w:adjustRightInd w:val="0"/>
      <w:spacing w:after="0" w:line="240" w:lineRule="auto"/>
    </w:pPr>
    <w:rPr>
      <w:rFonts w:ascii="Palatino Linotype" w:hAnsi="Palatino Linotype" w:cs="Palatino Linotype"/>
      <w:color w:val="000000"/>
      <w:kern w:val="0"/>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B5B86"/>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5B5B86"/>
    <w:rPr>
      <w:rFonts w:ascii="Palatino Linotype" w:eastAsia="Calibri" w:hAnsi="Palatino Linotype" w:cs="Calibri"/>
      <w:kern w:val="0"/>
      <w:sz w:val="20"/>
      <w:szCs w:val="20"/>
      <w:lang w:val="es-ES_tradnl" w:eastAsia="es-MX"/>
      <w14:ligatures w14:val="none"/>
    </w:rPr>
  </w:style>
  <w:style w:type="paragraph" w:customStyle="1" w:styleId="Citas">
    <w:name w:val="Citas"/>
    <w:basedOn w:val="Normal"/>
    <w:qFormat/>
    <w:rsid w:val="00897555"/>
    <w:pPr>
      <w:spacing w:before="240" w:after="160"/>
      <w:ind w:left="851" w:right="851"/>
    </w:pPr>
    <w:rPr>
      <w:rFonts w:eastAsiaTheme="minorHAnsi" w:cs="Arial"/>
      <w:i/>
      <w:sz w:val="22"/>
      <w:lang w:val="es-MX" w:eastAsia="en-US"/>
    </w:rPr>
  </w:style>
  <w:style w:type="paragraph" w:styleId="Revisin">
    <w:name w:val="Revision"/>
    <w:hidden/>
    <w:uiPriority w:val="99"/>
    <w:semiHidden/>
    <w:rsid w:val="00BC7542"/>
    <w:pPr>
      <w:spacing w:after="0" w:line="240" w:lineRule="auto"/>
    </w:pPr>
    <w:rPr>
      <w:rFonts w:ascii="Palatino Linotype" w:eastAsia="Calibri" w:hAnsi="Palatino Linotype" w:cs="Calibri"/>
      <w:kern w:val="0"/>
      <w:szCs w:val="22"/>
      <w:lang w:val="es-ES_tradnl" w:eastAsia="es-MX"/>
      <w14:ligatures w14:val="none"/>
    </w:rPr>
  </w:style>
  <w:style w:type="paragraph" w:styleId="Textodeglobo">
    <w:name w:val="Balloon Text"/>
    <w:basedOn w:val="Normal"/>
    <w:link w:val="TextodegloboCar"/>
    <w:uiPriority w:val="99"/>
    <w:semiHidden/>
    <w:unhideWhenUsed/>
    <w:rsid w:val="00AA038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0380"/>
    <w:rPr>
      <w:rFonts w:ascii="Segoe UI" w:eastAsia="Calibri" w:hAnsi="Segoe UI" w:cs="Segoe UI"/>
      <w:kern w:val="0"/>
      <w:sz w:val="18"/>
      <w:szCs w:val="18"/>
      <w:lang w:val="es-ES_tradnl" w:eastAsia="es-MX"/>
      <w14:ligatures w14:val="none"/>
    </w:rPr>
  </w:style>
  <w:style w:type="paragraph" w:styleId="Textoindependiente">
    <w:name w:val="Body Text"/>
    <w:basedOn w:val="Normal"/>
    <w:link w:val="TextoindependienteCar"/>
    <w:uiPriority w:val="1"/>
    <w:qFormat/>
    <w:rsid w:val="006E15E3"/>
    <w:pPr>
      <w:widowControl w:val="0"/>
      <w:spacing w:line="240" w:lineRule="auto"/>
      <w:ind w:left="112"/>
      <w:jc w:val="left"/>
    </w:pPr>
    <w:rPr>
      <w:rFonts w:ascii="Arial" w:eastAsia="Arial" w:hAnsi="Arial" w:cstheme="minorBidi"/>
      <w:sz w:val="20"/>
      <w:szCs w:val="20"/>
      <w:lang w:val="en-US" w:eastAsia="en-US"/>
    </w:rPr>
  </w:style>
  <w:style w:type="character" w:customStyle="1" w:styleId="TextoindependienteCar">
    <w:name w:val="Texto independiente Car"/>
    <w:basedOn w:val="Fuentedeprrafopredeter"/>
    <w:link w:val="Textoindependiente"/>
    <w:uiPriority w:val="1"/>
    <w:rsid w:val="006E15E3"/>
    <w:rPr>
      <w:rFonts w:ascii="Arial" w:eastAsia="Arial" w:hAnsi="Arial"/>
      <w:kern w:val="0"/>
      <w:sz w:val="20"/>
      <w:szCs w:val="20"/>
      <w:lang w:val="en-US"/>
      <w14:ligatures w14:val="none"/>
    </w:rPr>
  </w:style>
  <w:style w:type="character" w:styleId="Refdecomentario">
    <w:name w:val="annotation reference"/>
    <w:basedOn w:val="Fuentedeprrafopredeter"/>
    <w:uiPriority w:val="99"/>
    <w:semiHidden/>
    <w:unhideWhenUsed/>
    <w:rsid w:val="007B4B43"/>
    <w:rPr>
      <w:sz w:val="16"/>
      <w:szCs w:val="16"/>
    </w:rPr>
  </w:style>
  <w:style w:type="paragraph" w:styleId="Textocomentario">
    <w:name w:val="annotation text"/>
    <w:basedOn w:val="Normal"/>
    <w:link w:val="TextocomentarioCar"/>
    <w:uiPriority w:val="99"/>
    <w:semiHidden/>
    <w:unhideWhenUsed/>
    <w:rsid w:val="007B4B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4B43"/>
    <w:rPr>
      <w:rFonts w:ascii="Palatino Linotype" w:eastAsia="Calibri" w:hAnsi="Palatino Linotype" w:cs="Calibri"/>
      <w:kern w:val="0"/>
      <w:sz w:val="20"/>
      <w:szCs w:val="20"/>
      <w:lang w:val="es-ES_tradnl" w:eastAsia="es-MX"/>
      <w14:ligatures w14:val="none"/>
    </w:rPr>
  </w:style>
  <w:style w:type="paragraph" w:styleId="Asuntodelcomentario">
    <w:name w:val="annotation subject"/>
    <w:basedOn w:val="Textocomentario"/>
    <w:next w:val="Textocomentario"/>
    <w:link w:val="AsuntodelcomentarioCar"/>
    <w:uiPriority w:val="99"/>
    <w:semiHidden/>
    <w:unhideWhenUsed/>
    <w:rsid w:val="007B4B43"/>
    <w:rPr>
      <w:b/>
      <w:bCs/>
    </w:rPr>
  </w:style>
  <w:style w:type="character" w:customStyle="1" w:styleId="AsuntodelcomentarioCar">
    <w:name w:val="Asunto del comentario Car"/>
    <w:basedOn w:val="TextocomentarioCar"/>
    <w:link w:val="Asuntodelcomentario"/>
    <w:uiPriority w:val="99"/>
    <w:semiHidden/>
    <w:rsid w:val="007B4B43"/>
    <w:rPr>
      <w:rFonts w:ascii="Palatino Linotype" w:eastAsia="Calibri" w:hAnsi="Palatino Linotype" w:cs="Calibri"/>
      <w:b/>
      <w:bCs/>
      <w:kern w:val="0"/>
      <w:sz w:val="20"/>
      <w:szCs w:val="20"/>
      <w:lang w:val="es-ES_tradnl" w:eastAsia="es-MX"/>
      <w14:ligatures w14:val="none"/>
    </w:rPr>
  </w:style>
  <w:style w:type="character" w:styleId="Hipervnculovisitado">
    <w:name w:val="FollowedHyperlink"/>
    <w:basedOn w:val="Fuentedeprrafopredeter"/>
    <w:uiPriority w:val="99"/>
    <w:semiHidden/>
    <w:unhideWhenUsed/>
    <w:rsid w:val="007B4B4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24676">
      <w:bodyDiv w:val="1"/>
      <w:marLeft w:val="0"/>
      <w:marRight w:val="0"/>
      <w:marTop w:val="0"/>
      <w:marBottom w:val="0"/>
      <w:divBdr>
        <w:top w:val="none" w:sz="0" w:space="0" w:color="auto"/>
        <w:left w:val="none" w:sz="0" w:space="0" w:color="auto"/>
        <w:bottom w:val="none" w:sz="0" w:space="0" w:color="auto"/>
        <w:right w:val="none" w:sz="0" w:space="0" w:color="auto"/>
      </w:divBdr>
    </w:div>
    <w:div w:id="513694819">
      <w:bodyDiv w:val="1"/>
      <w:marLeft w:val="0"/>
      <w:marRight w:val="0"/>
      <w:marTop w:val="0"/>
      <w:marBottom w:val="0"/>
      <w:divBdr>
        <w:top w:val="none" w:sz="0" w:space="0" w:color="auto"/>
        <w:left w:val="none" w:sz="0" w:space="0" w:color="auto"/>
        <w:bottom w:val="none" w:sz="0" w:space="0" w:color="auto"/>
        <w:right w:val="none" w:sz="0" w:space="0" w:color="auto"/>
      </w:divBdr>
    </w:div>
    <w:div w:id="2003503034">
      <w:bodyDiv w:val="1"/>
      <w:marLeft w:val="0"/>
      <w:marRight w:val="0"/>
      <w:marTop w:val="0"/>
      <w:marBottom w:val="0"/>
      <w:divBdr>
        <w:top w:val="none" w:sz="0" w:space="0" w:color="auto"/>
        <w:left w:val="none" w:sz="0" w:space="0" w:color="auto"/>
        <w:bottom w:val="none" w:sz="0" w:space="0" w:color="auto"/>
        <w:right w:val="none" w:sz="0" w:space="0" w:color="auto"/>
      </w:divBdr>
    </w:div>
    <w:div w:id="2055545035">
      <w:bodyDiv w:val="1"/>
      <w:marLeft w:val="0"/>
      <w:marRight w:val="0"/>
      <w:marTop w:val="0"/>
      <w:marBottom w:val="0"/>
      <w:divBdr>
        <w:top w:val="none" w:sz="0" w:space="0" w:color="auto"/>
        <w:left w:val="none" w:sz="0" w:space="0" w:color="auto"/>
        <w:bottom w:val="none" w:sz="0" w:space="0" w:color="auto"/>
        <w:right w:val="none" w:sz="0" w:space="0" w:color="auto"/>
      </w:divBdr>
    </w:div>
    <w:div w:id="213656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jedomex.gob.mx/vista/1_inici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cloud2.pjedomex.gob.mx/index.php/s/zTKb4kFtZDBpMdY"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www.pjedomex.gob.mx/vista/1_inicio"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pjedomex.gob.mx/transparencia/8_actas_comite" TargetMode="External"/><Relationship Id="rId14" Type="http://schemas.openxmlformats.org/officeDocument/2006/relationships/hyperlink" Target="https://www.pjedomex.gob.mx/vista/1_inicio"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opendatacharter.net/principles-es/"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5A5A6-6046-4AEA-AA2A-A72940F21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11186</Words>
  <Characters>61529</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jesus mejia bernal</dc:creator>
  <cp:keywords/>
  <dc:description/>
  <cp:lastModifiedBy>Arturo Macedo Albarrán</cp:lastModifiedBy>
  <cp:revision>4</cp:revision>
  <dcterms:created xsi:type="dcterms:W3CDTF">2024-12-05T05:04:00Z</dcterms:created>
  <dcterms:modified xsi:type="dcterms:W3CDTF">2024-12-12T20:24:00Z</dcterms:modified>
</cp:coreProperties>
</file>