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w:t>
      </w:r>
      <w:r w:rsidDel="00000000" w:rsidR="00000000" w:rsidRPr="00000000">
        <w:rPr>
          <w:rFonts w:ascii="Palatino Linotype" w:cs="Palatino Linotype" w:eastAsia="Palatino Linotype" w:hAnsi="Palatino Linotype"/>
          <w:b w:val="1"/>
          <w:sz w:val="22"/>
          <w:szCs w:val="22"/>
          <w:rtl w:val="0"/>
        </w:rPr>
        <w:t xml:space="preserve">a seis de noviembre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05154/INFOEM/IP/RR/2024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 XXXXXX 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Fonts w:ascii="Palatino Linotype" w:cs="Palatino Linotype" w:eastAsia="Palatino Linotype" w:hAnsi="Palatino Linotype"/>
          <w:b w:val="1"/>
          <w:sz w:val="14"/>
          <w:szCs w:val="14"/>
          <w:rtl w:val="0"/>
        </w:rPr>
        <w:t xml:space="preserve"> </w:t>
      </w:r>
      <w:r w:rsidDel="00000000" w:rsidR="00000000" w:rsidRPr="00000000">
        <w:rPr>
          <w:rFonts w:ascii="Palatino Linotype" w:cs="Palatino Linotype" w:eastAsia="Palatino Linotype" w:hAnsi="Palatino Linotype"/>
          <w:b w:val="1"/>
          <w:sz w:val="22"/>
          <w:szCs w:val="22"/>
          <w:rtl w:val="0"/>
        </w:rPr>
        <w:t xml:space="preserve">Ayuntamiento de Chimalhuacán</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diecinueve de julio de dos mil veinticuatro,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través de la Plataforma Nacional de Transparencia, vinculada al Sistema de Acceso a la Información Mexiquense, en lo subsecuente el SAIMEX, formuló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00181/CHIMALHU/IP/2024</w:t>
      </w:r>
      <w:r w:rsidDel="00000000" w:rsidR="00000000" w:rsidRPr="00000000">
        <w:rPr>
          <w:rFonts w:ascii="Palatino Linotype" w:cs="Palatino Linotype" w:eastAsia="Palatino Linotype" w:hAnsi="Palatino Linotype"/>
          <w:sz w:val="22"/>
          <w:szCs w:val="22"/>
          <w:rtl w:val="0"/>
        </w:rPr>
        <w:t xml:space="preserve">, mediante la cual requirió la información siguiente:</w:t>
      </w:r>
    </w:p>
    <w:p w:rsidR="00000000" w:rsidDel="00000000" w:rsidP="00000000" w:rsidRDefault="00000000" w:rsidRPr="00000000" w14:paraId="00000005">
      <w:pPr>
        <w:spacing w:after="240" w:before="240" w:lineRule="auto"/>
        <w:ind w:left="567" w:right="902" w:firstLine="0"/>
        <w:jc w:val="both"/>
        <w:rPr>
          <w:rFonts w:ascii="Palatino Linotype" w:cs="Palatino Linotype" w:eastAsia="Palatino Linotype" w:hAnsi="Palatino Linotype"/>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“Con reserva de los datos personales que deban estar protegidos se solicita: 1.- Se notifique sobre la existencia en sus archivos del los documentos que se refieren en la presente solicitud. 2.- Copia certificada del contrato de compraventa de fecha veintitrés de diciembre de mil novecientos noventa y seis, respecto al bien inmueble precisado como XXXX XXX, XXXXXXX XX, XXXXX XXXX, XXXXXX XXX XXXXXXX XXXXXXXXX, Municipio de Chimalhuacán, registrado ante la Tesorería Municipal el veintiséis de diciembre del mismo año ante el Receptor de Rentas en San Lorenzo Chimalhuacán, el C.P. JESUS SEGURA HUERTA. 3.- Copia certificada de la Declaración para el Pago del Impuesto Sobre Traslación de Dominio y Otras Operaciones con Bienes Inmuebles con folio 19723, misma que se relaciona con la operación señalada en el punto anterior. 4.- Copia certificada del recibo oficial 23438, el cual acredita el pago del Impuesto referido en el punto anterior.” (Sic) </w:t>
      </w:r>
    </w:p>
    <w:p w:rsidR="00000000" w:rsidDel="00000000" w:rsidP="00000000" w:rsidRDefault="00000000" w:rsidRPr="00000000" w14:paraId="00000006">
      <w:pPr>
        <w:spacing w:after="240" w:before="24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su solicitud de información, la </w:t>
      </w:r>
      <w:r w:rsidDel="00000000" w:rsidR="00000000" w:rsidRPr="00000000">
        <w:rPr>
          <w:rFonts w:ascii="Palatino Linotype" w:cs="Palatino Linotype" w:eastAsia="Palatino Linotype" w:hAnsi="Palatino Linotype"/>
          <w:b w:val="1"/>
          <w:sz w:val="22"/>
          <w:szCs w:val="22"/>
          <w:rtl w:val="0"/>
        </w:rPr>
        <w:t xml:space="preserve">parte Solicitante</w:t>
      </w:r>
      <w:r w:rsidDel="00000000" w:rsidR="00000000" w:rsidRPr="00000000">
        <w:rPr>
          <w:rFonts w:ascii="Palatino Linotype" w:cs="Palatino Linotype" w:eastAsia="Palatino Linotype" w:hAnsi="Palatino Linotype"/>
          <w:sz w:val="22"/>
          <w:szCs w:val="22"/>
          <w:rtl w:val="0"/>
        </w:rPr>
        <w:t xml:space="preserve"> aportó el archivo electrónico denominado “</w:t>
      </w:r>
      <w:r w:rsidDel="00000000" w:rsidR="00000000" w:rsidRPr="00000000">
        <w:rPr>
          <w:rFonts w:ascii="Palatino Linotype" w:cs="Palatino Linotype" w:eastAsia="Palatino Linotype" w:hAnsi="Palatino Linotype"/>
          <w:b w:val="1"/>
          <w:i w:val="1"/>
          <w:sz w:val="22"/>
          <w:szCs w:val="22"/>
          <w:rtl w:val="0"/>
        </w:rPr>
        <w:t xml:space="preserve">Archivo1721400212529.pdf</w:t>
      </w:r>
      <w:r w:rsidDel="00000000" w:rsidR="00000000" w:rsidRPr="00000000">
        <w:rPr>
          <w:rFonts w:ascii="Palatino Linotype" w:cs="Palatino Linotype" w:eastAsia="Palatino Linotype" w:hAnsi="Palatino Linotype"/>
          <w:sz w:val="22"/>
          <w:szCs w:val="22"/>
          <w:rtl w:val="0"/>
        </w:rPr>
        <w:t xml:space="preserve">” en el entregó los siguientes documentos:</w:t>
      </w:r>
    </w:p>
    <w:p w:rsidR="00000000" w:rsidDel="00000000" w:rsidP="00000000" w:rsidRDefault="00000000" w:rsidRPr="00000000" w14:paraId="00000007">
      <w:pPr>
        <w:numPr>
          <w:ilvl w:val="0"/>
          <w:numId w:val="5"/>
        </w:numPr>
        <w:pBdr>
          <w:top w:space="0" w:sz="0" w:val="nil"/>
          <w:left w:space="0" w:sz="0" w:val="nil"/>
          <w:bottom w:space="0" w:sz="0" w:val="nil"/>
          <w:right w:space="0" w:sz="0" w:val="nil"/>
          <w:between w:space="0" w:sz="0" w:val="nil"/>
        </w:pBdr>
        <w:spacing w:before="240" w:lineRule="auto"/>
        <w:ind w:left="927" w:right="90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Contrato de compra venta, respecto de un bien inmueble particular.</w:t>
      </w:r>
    </w:p>
    <w:p w:rsidR="00000000" w:rsidDel="00000000" w:rsidP="00000000" w:rsidRDefault="00000000" w:rsidRPr="00000000" w14:paraId="00000008">
      <w:pPr>
        <w:numPr>
          <w:ilvl w:val="0"/>
          <w:numId w:val="5"/>
        </w:numPr>
        <w:pBdr>
          <w:top w:space="0" w:sz="0" w:val="nil"/>
          <w:left w:space="0" w:sz="0" w:val="nil"/>
          <w:bottom w:space="0" w:sz="0" w:val="nil"/>
          <w:right w:space="0" w:sz="0" w:val="nil"/>
          <w:between w:space="0" w:sz="0" w:val="nil"/>
        </w:pBdr>
        <w:ind w:left="927" w:right="90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denominado “Declaración para el pago del Impuesto Sobre Traslación de Dominio y otras operaciones con bienes inmuebles” de un bien inmueble particular.</w:t>
      </w:r>
    </w:p>
    <w:p w:rsidR="00000000" w:rsidDel="00000000" w:rsidP="00000000" w:rsidRDefault="00000000" w:rsidRPr="00000000" w14:paraId="00000009">
      <w:pPr>
        <w:numPr>
          <w:ilvl w:val="0"/>
          <w:numId w:val="5"/>
        </w:numPr>
        <w:pBdr>
          <w:top w:space="0" w:sz="0" w:val="nil"/>
          <w:left w:space="0" w:sz="0" w:val="nil"/>
          <w:bottom w:space="0" w:sz="0" w:val="nil"/>
          <w:right w:space="0" w:sz="0" w:val="nil"/>
          <w:between w:space="0" w:sz="0" w:val="nil"/>
        </w:pBdr>
        <w:spacing w:after="240" w:lineRule="auto"/>
        <w:ind w:left="927" w:right="90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Recibo oficial de pago de Impuesto Sobre Traslación de Dominio y otras Operaciones con Bienes Inmuebles, de un bien inmueble particular.</w:t>
      </w:r>
    </w:p>
    <w:p w:rsidR="00000000" w:rsidDel="00000000" w:rsidP="00000000" w:rsidRDefault="00000000" w:rsidRPr="00000000" w14:paraId="0000000A">
      <w:pPr>
        <w:spacing w:after="240" w:before="240" w:line="360" w:lineRule="auto"/>
        <w:ind w:right="902"/>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correo electrónico y copias certificadas.</w:t>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142"/>
          <w:tab w:val="left" w:leader="none" w:pos="284"/>
        </w:tabs>
        <w:spacing w:after="240" w:before="240" w:line="360" w:lineRule="auto"/>
        <w:jc w:val="both"/>
        <w:rPr>
          <w:rFonts w:ascii="Palatino Linotype" w:cs="Palatino Linotype" w:eastAsia="Palatino Linotype" w:hAnsi="Palatino Linotype"/>
          <w:b w:val="1"/>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seis de agosto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“Respuesta: Esta solicitud no corresponde al Derecho de Acceso a la información, corresponde al Derecho de Acceso a los Datos Personales en Posesión de Sujetos Obligados por lo cual usted deberá ingresar al Portal de Sistema de Acceso, Rectificación, Cancelación, y Oposición de Datos Personales del Estado de México. SARCOEM Y cumplir con los requisitos del articulo 110 de la Ley de Protección de Datos Personales en Posesión de Sujetos Obligados del Estado de México y Municipios.” (Sic)</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aportó un archivo electrónico que contiene la información siguiente:</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276" w:lineRule="auto"/>
        <w:ind w:left="36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sin número y fecha, signado por la Titular de la Unidad de Transparencia y Acceso a la Información Pública, mediante el cual se indicó que la solicitud de información no correspondía al Derecho de Acceso a la Información sino al Derecho de Acceso a los Datos Personales en Posesión de Sujetos Obligados; por lo cual, se orientó al particular a que ingresara su solicitud vía Sistema de Acceso, Rectificación, Cancelación, y Oposición de Datos Personales del Estado de México (SARCOEM).</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ind w:left="360" w:right="4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veintisiete de agosto de dos mil veinticuatro,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1">
      <w:pPr>
        <w:tabs>
          <w:tab w:val="left" w:leader="none" w:pos="2745"/>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“No se atendió con la solicitud realizada en el entendido de la reserva de datos personales que deba hacerse, esencialmente en dos aspectos: 1.- No se informó sobre la existencia de documentos que se indican en la solicitud. 2.- En consecuencia no se autorizó copia certificada de dichos documentos. Es decir que conforme a lo anterior hubo negación de la información solicitada, sin que sea impedimento para su entrega que en su contenido consten datos personales, ya que bien deben y pueden ser testados.” (Sic)</w:t>
      </w:r>
      <w:r w:rsidDel="00000000" w:rsidR="00000000" w:rsidRPr="00000000">
        <w:rPr>
          <w:rtl w:val="0"/>
        </w:rPr>
      </w:r>
    </w:p>
    <w:p w:rsidR="00000000" w:rsidDel="00000000" w:rsidP="00000000" w:rsidRDefault="00000000" w:rsidRPr="00000000" w14:paraId="00000012">
      <w:pPr>
        <w:spacing w:line="276" w:lineRule="auto"/>
        <w:ind w:left="567" w:right="900" w:firstLine="0"/>
        <w:jc w:val="both"/>
        <w:rPr>
          <w:rFonts w:ascii="Palatino Linotype" w:cs="Palatino Linotype" w:eastAsia="Palatino Linotype" w:hAnsi="Palatino Linotype"/>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No se señaló nada en este apartado:</w:t>
      </w:r>
    </w:p>
    <w:p w:rsidR="00000000" w:rsidDel="00000000" w:rsidP="00000000" w:rsidRDefault="00000000" w:rsidRPr="00000000" w14:paraId="00000013">
      <w:pPr>
        <w:spacing w:line="276" w:lineRule="auto"/>
        <w:ind w:left="567"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spacing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629150" cy="247650"/>
            <wp:effectExtent b="3175" l="3175" r="3175" t="3175"/>
            <wp:docPr id="4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29150" cy="24765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6">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Adjunto al formato de interposición de recurso de revisión, la </w:t>
      </w:r>
      <w:r w:rsidDel="00000000" w:rsidR="00000000" w:rsidRPr="00000000">
        <w:rPr>
          <w:rFonts w:ascii="Palatino Linotype" w:cs="Palatino Linotype" w:eastAsia="Palatino Linotype" w:hAnsi="Palatino Linotype"/>
          <w:b w:val="1"/>
          <w:sz w:val="22"/>
          <w:szCs w:val="22"/>
          <w:rtl w:val="0"/>
        </w:rPr>
        <w:t xml:space="preserve">parte Recurrente</w:t>
      </w:r>
      <w:r w:rsidDel="00000000" w:rsidR="00000000" w:rsidRPr="00000000">
        <w:rPr>
          <w:rFonts w:ascii="Palatino Linotype" w:cs="Palatino Linotype" w:eastAsia="Palatino Linotype" w:hAnsi="Palatino Linotype"/>
          <w:sz w:val="22"/>
          <w:szCs w:val="22"/>
          <w:rtl w:val="0"/>
        </w:rPr>
        <w:t xml:space="preserve"> entregó el archivo electrónico denominado “</w:t>
      </w:r>
      <w:r w:rsidDel="00000000" w:rsidR="00000000" w:rsidRPr="00000000">
        <w:rPr>
          <w:rFonts w:ascii="Palatino Linotype" w:cs="Palatino Linotype" w:eastAsia="Palatino Linotype" w:hAnsi="Palatino Linotype"/>
          <w:b w:val="1"/>
          <w:i w:val="1"/>
          <w:sz w:val="22"/>
          <w:szCs w:val="22"/>
          <w:rtl w:val="0"/>
        </w:rPr>
        <w:t xml:space="preserve">Archivo1724772989797.pdf</w:t>
      </w:r>
      <w:r w:rsidDel="00000000" w:rsidR="00000000" w:rsidRPr="00000000">
        <w:rPr>
          <w:rFonts w:ascii="Palatino Linotype" w:cs="Palatino Linotype" w:eastAsia="Palatino Linotype" w:hAnsi="Palatino Linotype"/>
          <w:sz w:val="22"/>
          <w:szCs w:val="22"/>
          <w:rtl w:val="0"/>
        </w:rPr>
        <w:t xml:space="preserve">” en el entregó los documentos aportados en la solicitud de información.</w:t>
      </w:r>
      <w:r w:rsidDel="00000000" w:rsidR="00000000" w:rsidRPr="00000000">
        <w:rPr>
          <w:rtl w:val="0"/>
        </w:rPr>
      </w:r>
    </w:p>
    <w:p w:rsidR="00000000" w:rsidDel="00000000" w:rsidP="00000000" w:rsidRDefault="00000000" w:rsidRPr="00000000" w14:paraId="00000017">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treinta de agosto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rendir su informe justificado y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hacer valer manifestaciones o rendir alegatos que conforme a derecho resultaran procedentes, como se muestra de la siguiente digitalización:</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482090"/>
            <wp:effectExtent b="3175" l="3175" r="3175" t="3175"/>
            <wp:docPr id="4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12130" cy="148209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catorce de octubre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Ampliación del término para resolver. </w:t>
      </w:r>
      <w:r w:rsidDel="00000000" w:rsidR="00000000" w:rsidRPr="00000000">
        <w:rPr>
          <w:rFonts w:ascii="Palatino Linotype" w:cs="Palatino Linotype" w:eastAsia="Palatino Linotype" w:hAnsi="Palatino Linotype"/>
          <w:sz w:val="22"/>
          <w:szCs w:val="22"/>
          <w:rtl w:val="0"/>
        </w:rPr>
        <w:t xml:space="preserve">Mediante acuerdo del</w:t>
      </w:r>
      <w:r w:rsidDel="00000000" w:rsidR="00000000" w:rsidRPr="00000000">
        <w:rPr>
          <w:rFonts w:ascii="Palatino Linotype" w:cs="Palatino Linotype" w:eastAsia="Palatino Linotype" w:hAnsi="Palatino Linotype"/>
          <w:b w:val="1"/>
          <w:sz w:val="22"/>
          <w:szCs w:val="22"/>
          <w:rtl w:val="0"/>
        </w:rPr>
        <w:t xml:space="preserve"> veintitrés de octubre de dos mil veinticuatro, </w:t>
      </w:r>
      <w:r w:rsidDel="00000000" w:rsidR="00000000" w:rsidRPr="00000000">
        <w:rPr>
          <w:rFonts w:ascii="Palatino Linotype" w:cs="Palatino Linotype" w:eastAsia="Palatino Linotype" w:hAnsi="Palatino Linotype"/>
          <w:sz w:val="22"/>
          <w:szCs w:val="22"/>
          <w:rtl w:val="0"/>
        </w:rPr>
        <w:t xml:space="preserve">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4">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seis de agosto 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veintisiete de agosto de dos mil veinticuatro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sz w:val="22"/>
          <w:szCs w:val="22"/>
          <w:rtl w:val="0"/>
        </w:rPr>
        <w:t xml:space="preserve">décimo quinto día hábil siguiente a aquel en que se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tabs>
          <w:tab w:val="left" w:leader="none" w:pos="7938"/>
        </w:tabs>
        <w:spacing w:line="360" w:lineRule="auto"/>
        <w:jc w:val="both"/>
        <w:rPr>
          <w:rFonts w:ascii="Palatino Linotype" w:cs="Palatino Linotype" w:eastAsia="Palatino Linotype" w:hAnsi="Palatino Linotype"/>
          <w:sz w:val="22"/>
          <w:szCs w:val="22"/>
        </w:rPr>
      </w:pPr>
      <w:bookmarkStart w:colFirst="0" w:colLast="0" w:name="_heading=h.3znysh7" w:id="7"/>
      <w:bookmarkEnd w:id="7"/>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E">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2">
      <w:pPr>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negativa a la información solicitada;</w:t>
      </w:r>
    </w:p>
    <w:p w:rsidR="00000000" w:rsidDel="00000000" w:rsidP="00000000" w:rsidRDefault="00000000" w:rsidRPr="00000000" w14:paraId="00000033">
      <w:pPr>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4">
      <w:pPr>
        <w:ind w:left="567" w:right="900" w:firstLine="0"/>
        <w:jc w:val="right"/>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de la parte 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la información oportuna.</w:t>
      </w: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ind w:left="851" w:righ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D">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E">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56">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A">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C">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2">
      <w:pPr>
        <w:spacing w:line="360" w:lineRule="auto"/>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6">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A">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B">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C">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D">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E">
      <w:pP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bookmarkStart w:colFirst="0" w:colLast="0" w:name="_heading=h.1y810tw" w:id="8"/>
      <w:bookmarkEnd w:id="8"/>
      <w:r w:rsidDel="00000000" w:rsidR="00000000" w:rsidRPr="00000000">
        <w:rPr>
          <w:rFonts w:ascii="Palatino Linotype" w:cs="Palatino Linotype" w:eastAsia="Palatino Linotype" w:hAnsi="Palatino Linotype"/>
          <w:sz w:val="22"/>
          <w:szCs w:val="22"/>
          <w:rtl w:val="0"/>
        </w:rPr>
        <w:t xml:space="preserve">Para ello, conviene iniciar el presente estudio señalando que la persona solicitante requirió del </w:t>
      </w:r>
      <w:r w:rsidDel="00000000" w:rsidR="00000000" w:rsidRPr="00000000">
        <w:rPr>
          <w:rFonts w:ascii="Palatino Linotype" w:cs="Palatino Linotype" w:eastAsia="Palatino Linotype" w:hAnsi="Palatino Linotype"/>
          <w:b w:val="1"/>
          <w:sz w:val="22"/>
          <w:szCs w:val="22"/>
          <w:rtl w:val="0"/>
        </w:rPr>
        <w:t xml:space="preserve">Sujeto Obligado, se le entregara la siguiente información, respecto del bien inmueble particular señalado en la solicitud de información:</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line="360" w:lineRule="auto"/>
        <w:ind w:left="36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copia certificada, el contrato de compraventa.</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line="360" w:lineRule="auto"/>
        <w:ind w:left="36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copia certificada, la Declaración para el Pago del Impuesto Sobre Traslación de Dominio y Otras Operaciones con Bienes Inmuebles.</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line="360" w:lineRule="auto"/>
        <w:ind w:left="36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copia certificada, recibo oficial de pago de Impuesto Sobre Traslación de Dominio.</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line="360" w:lineRule="auto"/>
        <w:ind w:left="36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informe sobre la existencia en los documentos señalados en los puntos anteriores en los archivos del ente obligado.</w:t>
      </w:r>
    </w:p>
    <w:p w:rsidR="00000000" w:rsidDel="00000000" w:rsidP="00000000" w:rsidRDefault="00000000" w:rsidRPr="00000000" w14:paraId="0000007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requirió la entrega de la información precisada vía correo electrónico.</w:t>
      </w:r>
    </w:p>
    <w:p w:rsidR="00000000" w:rsidDel="00000000" w:rsidP="00000000" w:rsidRDefault="00000000" w:rsidRPr="00000000" w14:paraId="0000007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por conducto del Titular de la Unidad de Transparencia y Acceso a la Información Pública indicó que la solicitud de información no correspondía al Derecho de Acceso a la Información sino al Derecho de Acceso a los Datos Personales en Posesión de Sujetos Obligados; por lo cual, orientó al particular a que ingresara su solicitud vía Sistema de Acceso, Rectificación, Cancelación, y Oposición de Datos Personales del Estado de México (SARCOEM).</w:t>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promovió el presente recurso de revisión en el que a manera de motivos de inconformidad se adolece medularmente de que no se le hizo entrega de la información, ya que no se le indicó sobre la existencia de los documentos que pidió en copia certificada, además que el particular refiere que no hay impedimento para entregar la información, siempre y cuando los datos personales puedan ser testados.</w:t>
      </w:r>
    </w:p>
    <w:p w:rsidR="00000000" w:rsidDel="00000000" w:rsidP="00000000" w:rsidRDefault="00000000" w:rsidRPr="00000000" w14:paraId="0000007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resaltar que durante la etapa de manifestaciones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rendir su informe justificado y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hacer valer manifestaciones o rendir alegatos que conforme a derecho resultaran procedentes.</w:t>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del análisis a la normatividad que regula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advierte que la información a la que pretende tener acceso el particular, se relaciona, de manera enunciativa más no limitativa, con el trámite relativo al pago del Impuesto Sobre Adquisición de Inmuebles y Otras Operaciones Traslativas de Dominio de Inmuebles, derivado del cambio de propietario de un bien inmueble.</w:t>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mayor contexto, conviene citar el contenido de los artículos 113, 114, fracción II, 116, primer párrafo y 117 del Código Financiero del Estado de México y Municipal, en la parte de nuestro interés:</w:t>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113.- </w:t>
      </w:r>
      <w:r w:rsidDel="00000000" w:rsidR="00000000" w:rsidRPr="00000000">
        <w:rPr>
          <w:rFonts w:ascii="Palatino Linotype" w:cs="Palatino Linotype" w:eastAsia="Palatino Linotype" w:hAnsi="Palatino Linotype"/>
          <w:b w:val="1"/>
          <w:i w:val="1"/>
          <w:sz w:val="22"/>
          <w:szCs w:val="22"/>
          <w:rtl w:val="0"/>
        </w:rPr>
        <w:t xml:space="preserve">Están obligadas al pago de este impuesto las personas físicas y jurídicas colectivas que adquieran inmuebles ubicados en el Estado</w:t>
      </w:r>
      <w:r w:rsidDel="00000000" w:rsidR="00000000" w:rsidRPr="00000000">
        <w:rPr>
          <w:rFonts w:ascii="Palatino Linotype" w:cs="Palatino Linotype" w:eastAsia="Palatino Linotype" w:hAnsi="Palatino Linotype"/>
          <w:i w:val="1"/>
          <w:sz w:val="22"/>
          <w:szCs w:val="22"/>
          <w:rtl w:val="0"/>
        </w:rPr>
        <w:t xml:space="preserve">, así como los derechos relacionados con los mismos.”</w:t>
      </w:r>
    </w:p>
    <w:p w:rsidR="00000000" w:rsidDel="00000000" w:rsidP="00000000" w:rsidRDefault="00000000" w:rsidRPr="00000000" w14:paraId="00000087">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114.- Para efectos de este impuesto se entiende por adquisición, la que se derive de:</w:t>
      </w:r>
    </w:p>
    <w:p w:rsidR="00000000" w:rsidDel="00000000" w:rsidP="00000000" w:rsidRDefault="00000000" w:rsidRPr="00000000" w14:paraId="00000089">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A">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compraventa en la que el vendedor se reserve el dominio, aun cuando la transferencia de éste opere con posterioridad</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B">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116.- </w:t>
      </w:r>
      <w:r w:rsidDel="00000000" w:rsidR="00000000" w:rsidRPr="00000000">
        <w:rPr>
          <w:rFonts w:ascii="Palatino Linotype" w:cs="Palatino Linotype" w:eastAsia="Palatino Linotype" w:hAnsi="Palatino Linotype"/>
          <w:b w:val="1"/>
          <w:i w:val="1"/>
          <w:sz w:val="22"/>
          <w:szCs w:val="22"/>
          <w:rtl w:val="0"/>
        </w:rPr>
        <w:t xml:space="preserve">El pago del impuesto deberá hacerse dentro de los diecisiete días siguientes a aquél en que se realice cualesquiera de los supuestos de adquisición, mediante declaración, que se presente en la forma oficial autorizada</w:t>
      </w:r>
      <w:r w:rsidDel="00000000" w:rsidR="00000000" w:rsidRPr="00000000">
        <w:rPr>
          <w:rFonts w:ascii="Palatino Linotype" w:cs="Palatino Linotype" w:eastAsia="Palatino Linotype" w:hAnsi="Palatino Linotype"/>
          <w:i w:val="1"/>
          <w:sz w:val="22"/>
          <w:szCs w:val="22"/>
          <w:rtl w:val="0"/>
        </w:rPr>
        <w:t xml:space="preserve">; y en todo caso:</w:t>
      </w:r>
    </w:p>
    <w:p w:rsidR="00000000" w:rsidDel="00000000" w:rsidP="00000000" w:rsidRDefault="00000000" w:rsidRPr="00000000" w14:paraId="0000008D">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E">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actos jurídicos traslativos de dominio que no son considerados como adquisición para efectos de este impuesto, los particulares deberán de cumplir con la presentación de declaración, cumpliendo con todas sus formalidades. </w:t>
      </w:r>
    </w:p>
    <w:p w:rsidR="00000000" w:rsidDel="00000000" w:rsidP="00000000" w:rsidRDefault="00000000" w:rsidRPr="00000000" w14:paraId="0000008F">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0">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forma oficial única autorizada</w:t>
      </w:r>
      <w:r w:rsidDel="00000000" w:rsidR="00000000" w:rsidRPr="00000000">
        <w:rPr>
          <w:rFonts w:ascii="Palatino Linotype" w:cs="Palatino Linotype" w:eastAsia="Palatino Linotype" w:hAnsi="Palatino Linotype"/>
          <w:i w:val="1"/>
          <w:sz w:val="22"/>
          <w:szCs w:val="22"/>
          <w:rtl w:val="0"/>
        </w:rPr>
        <w:t xml:space="preserve"> en el marco del Sistema de Coordinación Hacendaria del Estado de México y Municipios </w:t>
      </w:r>
      <w:r w:rsidDel="00000000" w:rsidR="00000000" w:rsidRPr="00000000">
        <w:rPr>
          <w:rFonts w:ascii="Palatino Linotype" w:cs="Palatino Linotype" w:eastAsia="Palatino Linotype" w:hAnsi="Palatino Linotype"/>
          <w:b w:val="1"/>
          <w:i w:val="1"/>
          <w:sz w:val="22"/>
          <w:szCs w:val="22"/>
          <w:rtl w:val="0"/>
        </w:rPr>
        <w:t xml:space="preserve">para la declaración de este impuesto, será de libre reproducción,</w:t>
      </w:r>
      <w:r w:rsidDel="00000000" w:rsidR="00000000" w:rsidRPr="00000000">
        <w:rPr>
          <w:rFonts w:ascii="Palatino Linotype" w:cs="Palatino Linotype" w:eastAsia="Palatino Linotype" w:hAnsi="Palatino Linotype"/>
          <w:i w:val="1"/>
          <w:sz w:val="22"/>
          <w:szCs w:val="22"/>
          <w:rtl w:val="0"/>
        </w:rPr>
        <w:t xml:space="preserve"> para lo cual deberá publicarse en el Periódico Oficial y a través del portal electrónico del gobierno municipal. </w:t>
      </w:r>
    </w:p>
    <w:p w:rsidR="00000000" w:rsidDel="00000000" w:rsidP="00000000" w:rsidRDefault="00000000" w:rsidRPr="00000000" w14:paraId="00000091">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 declaración a que se refiere este artículo, </w:t>
      </w:r>
      <w:r w:rsidDel="00000000" w:rsidR="00000000" w:rsidRPr="00000000">
        <w:rPr>
          <w:rFonts w:ascii="Palatino Linotype" w:cs="Palatino Linotype" w:eastAsia="Palatino Linotype" w:hAnsi="Palatino Linotype"/>
          <w:b w:val="1"/>
          <w:i w:val="1"/>
          <w:sz w:val="22"/>
          <w:szCs w:val="22"/>
          <w:rtl w:val="0"/>
        </w:rPr>
        <w:t xml:space="preserve">deberá acompañarse de copia certificada</w:t>
      </w:r>
      <w:r w:rsidDel="00000000" w:rsidR="00000000" w:rsidRPr="00000000">
        <w:rPr>
          <w:rFonts w:ascii="Palatino Linotype" w:cs="Palatino Linotype" w:eastAsia="Palatino Linotype" w:hAnsi="Palatino Linotype"/>
          <w:i w:val="1"/>
          <w:sz w:val="22"/>
          <w:szCs w:val="22"/>
          <w:rtl w:val="0"/>
        </w:rPr>
        <w:t xml:space="preserve"> de la escritura pública expedida por notario o de la resolución de autoridad judicial o administrativa, en la que conste </w:t>
      </w:r>
      <w:r w:rsidDel="00000000" w:rsidR="00000000" w:rsidRPr="00000000">
        <w:rPr>
          <w:rFonts w:ascii="Palatino Linotype" w:cs="Palatino Linotype" w:eastAsia="Palatino Linotype" w:hAnsi="Palatino Linotype"/>
          <w:b w:val="1"/>
          <w:i w:val="1"/>
          <w:sz w:val="22"/>
          <w:szCs w:val="22"/>
          <w:rtl w:val="0"/>
        </w:rPr>
        <w:t xml:space="preserve">el acto o contrato traslativo de dominio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 como certificaciones de pago del Impuesto Predial</w:t>
      </w:r>
      <w:r w:rsidDel="00000000" w:rsidR="00000000" w:rsidRPr="00000000">
        <w:rPr>
          <w:rFonts w:ascii="Palatino Linotype" w:cs="Palatino Linotype" w:eastAsia="Palatino Linotype" w:hAnsi="Palatino Linotype"/>
          <w:i w:val="1"/>
          <w:sz w:val="22"/>
          <w:szCs w:val="22"/>
          <w:rtl w:val="0"/>
        </w:rPr>
        <w:t xml:space="preserve">; de clave y valor catastral; de pago de derechos de agua o constancia de no servicio y de no adeudo de aportaciones de mejoras, actualizadas al momento de realizar el pago.[…]”</w:t>
      </w:r>
    </w:p>
    <w:p w:rsidR="00000000" w:rsidDel="00000000" w:rsidP="00000000" w:rsidRDefault="00000000" w:rsidRPr="00000000" w14:paraId="00000093">
      <w:pPr>
        <w:spacing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spacing w:line="276" w:lineRule="auto"/>
        <w:ind w:left="567" w:right="474"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los numerales anteriores, se advierte que las personas físicas y jurídico colectivas que adquieran inmuebles, entre otros supuestos, por compra venta, están obligadas al pago del impuesto sobre adquisición de inmuebles y otras operaciones traslativas de dominio, el cual deberá hacerse dentro de los diecisiete días siguientes a aquel en que se realice cualquiera de los supuestos de adquisición mediante </w:t>
      </w:r>
      <w:r w:rsidDel="00000000" w:rsidR="00000000" w:rsidRPr="00000000">
        <w:rPr>
          <w:rFonts w:ascii="Palatino Linotype" w:cs="Palatino Linotype" w:eastAsia="Palatino Linotype" w:hAnsi="Palatino Linotype"/>
          <w:b w:val="1"/>
          <w:sz w:val="22"/>
          <w:szCs w:val="22"/>
          <w:rtl w:val="0"/>
        </w:rPr>
        <w:t xml:space="preserve">declaración que se presente en la forma oficial autorizada, a la que deberá acompañarse copia certificada del acto o contrato traslativo de dominio así como certificaciones del pago del Impuesto Predial.</w:t>
      </w:r>
    </w:p>
    <w:p w:rsidR="00000000" w:rsidDel="00000000" w:rsidP="00000000" w:rsidRDefault="00000000" w:rsidRPr="00000000" w14:paraId="00000097">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Puntualizado lo anterior, es de indicar que del análisis a la normatividad que regula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advierte que la Tesorería Municipal, a través de las Oficinas Receptoras, puede conocer de la información requerida, pues estas últimas se encuentran bajo la estructura orgánica del ente obligado con las siguientes atribuciones:</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546985"/>
            <wp:effectExtent b="3175" l="3175" r="3175" t="3175"/>
            <wp:docPr id="4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12130" cy="2546985"/>
                    </a:xfrm>
                    <a:prstGeom prst="rect"/>
                    <a:ln w="317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342900</wp:posOffset>
                </wp:positionV>
                <wp:extent cx="1914525" cy="238125"/>
                <wp:effectExtent b="0" l="0" r="0" t="0"/>
                <wp:wrapNone/>
                <wp:docPr id="38" name=""/>
                <a:graphic>
                  <a:graphicData uri="http://schemas.microsoft.com/office/word/2010/wordprocessingShape">
                    <wps:wsp>
                      <wps:cNvSpPr/>
                      <wps:cNvPr id="3" name="Shape 3"/>
                      <wps:spPr>
                        <a:xfrm>
                          <a:off x="4398263" y="3670463"/>
                          <a:ext cx="1895475" cy="219075"/>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342900</wp:posOffset>
                </wp:positionV>
                <wp:extent cx="1914525" cy="238125"/>
                <wp:effectExtent b="0" l="0" r="0" t="0"/>
                <wp:wrapNone/>
                <wp:docPr id="38"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9145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1790700</wp:posOffset>
                </wp:positionV>
                <wp:extent cx="4562475" cy="756285"/>
                <wp:effectExtent b="0" l="0" r="0" t="0"/>
                <wp:wrapNone/>
                <wp:docPr id="37" name=""/>
                <a:graphic>
                  <a:graphicData uri="http://schemas.microsoft.com/office/word/2010/wordprocessingShape">
                    <wps:wsp>
                      <wps:cNvSpPr/>
                      <wps:cNvPr id="2" name="Shape 2"/>
                      <wps:spPr>
                        <a:xfrm>
                          <a:off x="3074288" y="3411383"/>
                          <a:ext cx="4543425" cy="737235"/>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1790700</wp:posOffset>
                </wp:positionV>
                <wp:extent cx="4562475" cy="756285"/>
                <wp:effectExtent b="0" l="0" r="0" t="0"/>
                <wp:wrapNone/>
                <wp:docPr id="37"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4562475" cy="756285"/>
                        </a:xfrm>
                        <a:prstGeom prst="rect"/>
                        <a:ln/>
                      </pic:spPr>
                    </pic:pic>
                  </a:graphicData>
                </a:graphic>
              </wp:anchor>
            </w:drawing>
          </mc:Fallback>
        </mc:AlternateContent>
      </w:r>
    </w:p>
    <w:p w:rsidR="00000000" w:rsidDel="00000000" w:rsidP="00000000" w:rsidRDefault="00000000" w:rsidRPr="00000000" w14:paraId="0000009B">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009650"/>
            <wp:effectExtent b="3175" l="3175" r="3175" t="3175"/>
            <wp:docPr id="4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12130" cy="1009650"/>
                    </a:xfrm>
                    <a:prstGeom prst="rect"/>
                    <a:ln w="317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495300</wp:posOffset>
                </wp:positionV>
                <wp:extent cx="5591175" cy="504825"/>
                <wp:effectExtent b="0" l="0" r="0" t="0"/>
                <wp:wrapNone/>
                <wp:docPr id="39" name=""/>
                <a:graphic>
                  <a:graphicData uri="http://schemas.microsoft.com/office/word/2010/wordprocessingShape">
                    <wps:wsp>
                      <wps:cNvSpPr/>
                      <wps:cNvPr id="4" name="Shape 4"/>
                      <wps:spPr>
                        <a:xfrm>
                          <a:off x="2559938" y="3537113"/>
                          <a:ext cx="5572125" cy="485775"/>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495300</wp:posOffset>
                </wp:positionV>
                <wp:extent cx="5591175" cy="504825"/>
                <wp:effectExtent b="0" l="0" r="0" t="0"/>
                <wp:wrapNone/>
                <wp:docPr id="39"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591175" cy="504825"/>
                        </a:xfrm>
                        <a:prstGeom prst="rect"/>
                        <a:ln/>
                      </pic:spPr>
                    </pic:pic>
                  </a:graphicData>
                </a:graphic>
              </wp:anchor>
            </w:drawing>
          </mc:Fallback>
        </mc:AlternateContent>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de lo anterior las oficinas receptoras dependientes de la Tesorería Municipal, conocen sobre la recaudación del impuesto de traslado de dominio, así como brindar información a los contribuyentes sobre el pago de este mismo, y de la documentación comprobatoria que se debe acompañar al trámite.</w:t>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si bien se advierte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cuenta con atribuciones para conocer del tipo de documentación a la que pretende acceder el particular, no escapa de la óptica de este Órgano Garante que en el caso se pretende acceder a información sobre un predio particular, donde incluso fueron aportadas las documentales respecto de las cuales se requiere su expedición en copias certificadas, en las que se hizo identificable a los Titulares de la información, que ninguno se relaciona con la persona solicitante.</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Documentales requeridas que, se insiste se encuentran relacionadas con las documentales que se exhiben ante la autoridad municipal como requisitos para el trámite relativo al pago del Impuesto Sobre Adquisición de Inmuebles y Otras Operaciones Traslativas de Dominio de Inmuebles, derivado del cambio de propietario de un bien inmueble.</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cuanto hace a los agravios hechos valer en el Recurso de Revisión, resulta oportuno recordar que, el Titular de la Unidad de Transparencia refirió que la solicitud no correspondía al Derecho de Acceso a la Información sino al Derecho de Acceso a los Datos Personales en Posesión de Sujetos Obligados; por lo cual, orientó al particular a que ingresara su solicitud vía Sistema de Acceso, Rectificación, Cancelación, y Oposición de Datos Personales del Estado de México (SARCOEM).</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al tratarse de información patrimonial de un bien inmueble de un particular, de la cual la persona solicitante no se relaciona con ninguno de los titulares de la información que ya fueron identificados derivado de la documentación anexa a la solicitud, y toda vez que al no haberse pronunciado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sobre la existencia de las documentales a las que se pretende tener acceso, es que se considera que en el caso procede la clasificación como confidencial del pronunciamiento en sentido afirmativo o negativo, en términos de los artículos 49, fracción II, 132, fracción II, 143, fracción I y 149 de la Ley de Transparencia y Acceso a la Información Pública del Estado de México y Municipios; </w:t>
      </w:r>
      <w:r w:rsidDel="00000000" w:rsidR="00000000" w:rsidRPr="00000000">
        <w:rPr>
          <w:rFonts w:ascii="Palatino Linotype" w:cs="Palatino Linotype" w:eastAsia="Palatino Linotype" w:hAnsi="Palatino Linotype"/>
          <w:b w:val="1"/>
          <w:sz w:val="22"/>
          <w:szCs w:val="22"/>
          <w:u w:val="single"/>
          <w:rtl w:val="0"/>
        </w:rPr>
        <w:t xml:space="preserve">respecto de la existencia de la información requerida.</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debido a que, la Ley de Transparencia y Acceso a la Información Pública del Estado de México y Municipios en su fracción IX del artículo 3, establece que se debe entender como datos personales a la información concerniente a una persona, identificada o identificable según lo dispuesto por la también referida Ley de Protección de Datos Personales del Estado de México. Tiene apoyo a lo expresado, lo contemplado en la siguiente tesis jurisprudencial.</w:t>
      </w:r>
    </w:p>
    <w:p w:rsidR="00000000" w:rsidDel="00000000" w:rsidP="00000000" w:rsidRDefault="00000000" w:rsidRPr="00000000" w14:paraId="000000A9">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A LA VIDA PRIVADA. ALCANCE DE SU PROTECCIÓN POR EL ESTADO.  </w:t>
      </w:r>
      <w:r w:rsidDel="00000000" w:rsidR="00000000" w:rsidRPr="00000000">
        <w:rPr>
          <w:rFonts w:ascii="Palatino Linotype" w:cs="Palatino Linotype" w:eastAsia="Palatino Linotype" w:hAnsi="Palatino Linotype"/>
          <w:i w:val="1"/>
          <w:sz w:val="22"/>
          <w:szCs w:val="22"/>
          <w:rtl w:val="0"/>
        </w:rPr>
        <w:t xml:space="preserve">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r w:rsidDel="00000000" w:rsidR="00000000" w:rsidRPr="00000000">
        <w:rPr>
          <w:rtl w:val="0"/>
        </w:rPr>
      </w:r>
    </w:p>
    <w:p w:rsidR="00000000" w:rsidDel="00000000" w:rsidP="00000000" w:rsidRDefault="00000000" w:rsidRPr="00000000" w14:paraId="000000AA">
      <w:pPr>
        <w:ind w:left="567" w:right="82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CONFIDENCIAL. LÍMITE AL DERECHO DE ACCESO A LA INFORMACIÓN (LEY FEDERAL DE TRANSPARENCIA Y ACCESO A LA INFORMACIÓN PÚBLICA GUBERNAMENTAL). </w:t>
      </w:r>
      <w:r w:rsidDel="00000000" w:rsidR="00000000" w:rsidRPr="00000000">
        <w:rPr>
          <w:rFonts w:ascii="Palatino Linotype" w:cs="Palatino Linotype" w:eastAsia="Palatino Linotype" w:hAnsi="Palatino Linotype"/>
          <w:i w:val="1"/>
          <w:sz w:val="22"/>
          <w:szCs w:val="22"/>
          <w:rtl w:val="0"/>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se considera que el entregar información relacionada con un bien inmueble particular, revela información inherente al patrimonio del propietario de dicho predio o inmueble, que es de índole confidencial.</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cobra relevancia con lo establecido en el Lineamiento Trigésimo Octavo de los Lineamientos Generales en Materia de Clasificación y Desclasificación de la Información, así como para la Elaboración de Versiones Públicas vigente, fracción I, numeral 6, dispone lo siguiente:</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Trigésimo octavo. Se considera susceptible de clasificarse como información confidencial:</w:t>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Los datos personales, entendidos como cualquier información concerniente a una persona física identificada o identificable, </w:t>
      </w:r>
      <w:r w:rsidDel="00000000" w:rsidR="00000000" w:rsidRPr="00000000">
        <w:rPr>
          <w:rFonts w:ascii="Palatino Linotype" w:cs="Palatino Linotype" w:eastAsia="Palatino Linotype" w:hAnsi="Palatino Linotype"/>
          <w:i w:val="1"/>
          <w:sz w:val="22"/>
          <w:szCs w:val="22"/>
          <w:rtl w:val="0"/>
        </w:rPr>
        <w:t xml:space="preserve">en términos de la norma aplicable que, de manera enunciativa más no limitativa, se pueden identificar de acuerdo a las siguientes categorías:</w:t>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 Datos patrimoniales: Bienes muebles e inmuebles de su propiedad</w:t>
      </w:r>
      <w:r w:rsidDel="00000000" w:rsidR="00000000" w:rsidRPr="00000000">
        <w:rPr>
          <w:rFonts w:ascii="Palatino Linotype" w:cs="Palatino Linotype" w:eastAsia="Palatino Linotype" w:hAnsi="Palatino Linotype"/>
          <w:i w:val="1"/>
          <w:sz w:val="22"/>
          <w:szCs w:val="22"/>
          <w:rtl w:val="0"/>
        </w:rPr>
        <w:t xml:space="preserve">,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se considera información susceptible de clasificar como información confidencial, entre otros, datos patrimoniales de bienes muebles e inmuebles concernientes a una persona física identificada o identificable; cuestión que se actualiza en el presente asunto.</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bajo las consideraciones expuestas, la clasificación del pronunciamiento deberá realizarse mediante la emisión de un Acuerdo de Clasificación debidamente fundado y motivado, observando lo dispuesto por los artículos 49, fracción VIII, 122, 130, 132, fracciones I, II y III, 143 en su fracción I y 149 de la Ley de Transparencia y Acceso a la Información Pública del Estado de México y Municipios en vigor Lineamientos Cuarto al Octavo,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0BA">
      <w:pPr>
        <w:spacing w:line="276" w:lineRule="auto"/>
        <w:ind w:right="8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p>
    <w:p w:rsidR="00000000" w:rsidDel="00000000" w:rsidP="00000000" w:rsidRDefault="00000000" w:rsidRPr="00000000" w14:paraId="000000BC">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Aprobar, modificar o revocar la clasificación de la información;</w:t>
      </w:r>
    </w:p>
    <w:p w:rsidR="00000000" w:rsidDel="00000000" w:rsidP="00000000" w:rsidRDefault="00000000" w:rsidRPr="00000000" w14:paraId="000000BD">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E">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0BF">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0C0">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0C1">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2">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130.</w:t>
      </w:r>
      <w:r w:rsidDel="00000000" w:rsidR="00000000" w:rsidRPr="00000000">
        <w:rPr>
          <w:rFonts w:ascii="Palatino Linotype" w:cs="Palatino Linotype" w:eastAsia="Palatino Linotype" w:hAnsi="Palatino Linotype"/>
          <w:i w:val="1"/>
          <w:sz w:val="22"/>
          <w:szCs w:val="22"/>
          <w:rtl w:val="0"/>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000000" w:rsidDel="00000000" w:rsidP="00000000" w:rsidRDefault="00000000" w:rsidRPr="00000000" w14:paraId="000000C3">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132. La clasificación de la información se llevará a cabo en el momento en que:</w:t>
      </w:r>
    </w:p>
    <w:p w:rsidR="00000000" w:rsidDel="00000000" w:rsidP="00000000" w:rsidRDefault="00000000" w:rsidRPr="00000000" w14:paraId="000000C4">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0C5">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0C6">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0C7">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8">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C9">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Se refiera a la información privada y los datos personales concernientes a una persona física o jurídico colectiva identificada o identificable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A">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B">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w:t>
      </w:r>
    </w:p>
    <w:p w:rsidR="00000000" w:rsidDel="00000000" w:rsidP="00000000" w:rsidRDefault="00000000" w:rsidRPr="00000000" w14:paraId="000000CC">
      <w:pPr>
        <w:spacing w:line="276" w:lineRule="auto"/>
        <w:ind w:left="567" w:righ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276" w:lineRule="auto"/>
        <w:ind w:left="567"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Lineamientos Generales en materia de Clasificación y Desclasificación de la Información, así como para la elaboración de Versiones Públicas</w:t>
      </w:r>
    </w:p>
    <w:p w:rsidR="00000000" w:rsidDel="00000000" w:rsidP="00000000" w:rsidRDefault="00000000" w:rsidRPr="00000000" w14:paraId="000000CE">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F">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0D0">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0D1">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2">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0D3">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4">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Séptimo. La clasificación de la información se llevará a cabo en el momento en que:</w:t>
      </w:r>
    </w:p>
    <w:p w:rsidR="00000000" w:rsidDel="00000000" w:rsidP="00000000" w:rsidRDefault="00000000" w:rsidRPr="00000000" w14:paraId="000000D5">
      <w:pPr>
        <w:spacing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reciba una solicitud de acceso a la información;</w:t>
      </w:r>
    </w:p>
    <w:p w:rsidR="00000000" w:rsidDel="00000000" w:rsidP="00000000" w:rsidRDefault="00000000" w:rsidRPr="00000000" w14:paraId="000000D6">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0D7">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0D8">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0D9">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A">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Octavo.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0DB">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C">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0DD">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E">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0DF">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0">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0E1">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2">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0E3">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0E4">
      <w:pPr>
        <w:spacing w:line="360"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0E8">
      <w:pPr>
        <w:spacing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virtud, el acuerdo emitido por el Comité de Transparencia, en términos de los artículos 122, 132  y 143 fracción I  de la  Ley de Transparencia y Acceso a la Información Pública del Estado de México y Municipios, deberá contener un razonamiento lógico, acorde a lo previsto  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acuerdo deberá contener un razonamiento lógico con el que se demuestre que la información solicitada por la parte Recurrente se encuentra en alguna de las hipótesis que contempla la misma ley; toda vez que de acuerdo con la referida Ley la carga de la prueba para justificar toda negativa de acceso a la información por actualizarse cualquiera de los supuestos previstos en la Ley, corresponde a los Sujetos Obligados fundando y motivando debidamente la clasificación.</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la fundamentación y motivación, debe recordarse que la primera de ellas consiste en 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Sirven de sustento a lo anterior las tesis jurisprudenciales número I.4º.A. J/43 y VI. 2º. J/43, publicadas en el Semanario Judicial de la Federación y su Gaceta, bajo el número de registro 175,082 y 203,143, respectivamente, cuyo texto y sentido literal es el siguiente:</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76"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76" w:lineRule="auto"/>
        <w:ind w:left="567"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FUNDAMENTACION Y MOTIVACION.</w:t>
      </w:r>
      <w:r w:rsidDel="00000000" w:rsidR="00000000" w:rsidRPr="00000000">
        <w:rPr>
          <w:rFonts w:ascii="Palatino Linotype" w:cs="Palatino Linotype" w:eastAsia="Palatino Linotype" w:hAnsi="Palatino Linotype"/>
          <w:i w:val="1"/>
          <w:sz w:val="22"/>
          <w:szCs w:val="22"/>
          <w:rtl w:val="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es que a criterio de este Organismo Garante los motivos de inconformidad vertidos en el recurso de revisión citado al rubro resultan parcialmente fundados; siendo procedente </w:t>
      </w:r>
      <w:r w:rsidDel="00000000" w:rsidR="00000000" w:rsidRPr="00000000">
        <w:rPr>
          <w:rFonts w:ascii="Palatino Linotype" w:cs="Palatino Linotype" w:eastAsia="Palatino Linotype" w:hAnsi="Palatino Linotype"/>
          <w:b w:val="1"/>
          <w:sz w:val="22"/>
          <w:szCs w:val="22"/>
          <w:rtl w:val="0"/>
        </w:rPr>
        <w:t xml:space="preserve">Modificar</w:t>
      </w:r>
      <w:r w:rsidDel="00000000" w:rsidR="00000000" w:rsidRPr="00000000">
        <w:rPr>
          <w:rFonts w:ascii="Palatino Linotype" w:cs="Palatino Linotype" w:eastAsia="Palatino Linotype" w:hAnsi="Palatino Linotype"/>
          <w:sz w:val="22"/>
          <w:szCs w:val="22"/>
          <w:rtl w:val="0"/>
        </w:rPr>
        <w:t xml:space="preserve">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y ordenar, la entrega de lo siguiente:</w:t>
      </w:r>
    </w:p>
    <w:p w:rsidR="00000000" w:rsidDel="00000000" w:rsidP="00000000" w:rsidRDefault="00000000" w:rsidRPr="00000000" w14:paraId="000000F6">
      <w:pP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numPr>
          <w:ilvl w:val="0"/>
          <w:numId w:val="3"/>
        </w:numPr>
        <w:pBdr>
          <w:top w:space="0" w:sz="0" w:val="nil"/>
          <w:left w:space="0" w:sz="0" w:val="nil"/>
          <w:bottom w:space="0" w:sz="0" w:val="nil"/>
          <w:right w:space="0" w:sz="0" w:val="nil"/>
          <w:between w:space="0" w:sz="0" w:val="nil"/>
        </w:pBdr>
        <w:spacing w:line="276" w:lineRule="auto"/>
        <w:ind w:left="360" w:right="333"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Acuerdo emitido por el Comité de Transparencia, en el que se confirme la clasificación como confidencial del pronunciamiento en sentido afirmativo o negativo, en términos de los artículos 49, fracción II, 132, fracción II, 143, fracción I y 149 de la Ley de Transparencia y Acceso a la Información Pública del Estado de México y Municipios; </w:t>
      </w:r>
      <w:r w:rsidDel="00000000" w:rsidR="00000000" w:rsidRPr="00000000">
        <w:rPr>
          <w:rFonts w:ascii="Palatino Linotype" w:cs="Palatino Linotype" w:eastAsia="Palatino Linotype" w:hAnsi="Palatino Linotype"/>
          <w:b w:val="1"/>
          <w:sz w:val="22"/>
          <w:szCs w:val="22"/>
          <w:u w:val="single"/>
          <w:rtl w:val="0"/>
        </w:rPr>
        <w:t xml:space="preserve">respecto de la existencia del contrato de  compra venta; Declaración para el pago del Impuesto Sobre Traslación de Dominio y otras operaciones con bienes inmuebles”; y, Recibo oficial de pago de Impuesto Sobre Traslación de Dominio y otras Operaciones con Bienes Inmuebles; del bien inmueble señalado en la solicitud de información.</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360" w:lineRule="auto"/>
        <w:ind w:right="33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se dejan a salvo los derechos del particular para que presente nueva solicitud, en caso de ser de su interés, vía Sistema de Acceso, Rectificación, Cancelación, y Oposición de Datos Personales del Estado de México (SARCOEM); para lo cual es importante hacer de su conocimiento que </w:t>
      </w:r>
      <w:r w:rsidDel="00000000" w:rsidR="00000000" w:rsidRPr="00000000">
        <w:rPr>
          <w:rFonts w:ascii="Palatino Linotype" w:cs="Palatino Linotype" w:eastAsia="Palatino Linotype" w:hAnsi="Palatino Linotype"/>
          <w:b w:val="1"/>
          <w:sz w:val="22"/>
          <w:szCs w:val="22"/>
          <w:rtl w:val="0"/>
        </w:rPr>
        <w:t xml:space="preserve">la Ley otorga a los titulares de los datos personales el derecho a acceder, rectificar y cancelar su información personal en posesión de Sujetos Obligados, o bien oponerse al tratamiento de la misma</w:t>
      </w:r>
      <w:r w:rsidDel="00000000" w:rsidR="00000000" w:rsidRPr="00000000">
        <w:rPr>
          <w:rFonts w:ascii="Palatino Linotype" w:cs="Palatino Linotype" w:eastAsia="Palatino Linotype" w:hAnsi="Palatino Linotype"/>
          <w:sz w:val="22"/>
          <w:szCs w:val="22"/>
          <w:rtl w:val="0"/>
        </w:rPr>
        <w:t xml:space="preserve">, recordando que para ejercer dichos derechos ante el responsable o el Instituto, deberá demostrar que es el titular de los datos o, en caso de que lo haga en representación del titular de los datos personales, deberá acreditar ésta situación.</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está pensado para que NADIE más que el titular, el representante o quien acredite tener interés legítimo o jurídico, puedan decidir el uso que se le dará a sus datos personales, como una medida de seguridad de su información personal.</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no escapa de la óptica de este Instituto que el particular requirió la información señalada en su solicitud en </w:t>
      </w:r>
      <w:r w:rsidDel="00000000" w:rsidR="00000000" w:rsidRPr="00000000">
        <w:rPr>
          <w:rFonts w:ascii="Palatino Linotype" w:cs="Palatino Linotype" w:eastAsia="Palatino Linotype" w:hAnsi="Palatino Linotype"/>
          <w:b w:val="1"/>
          <w:i w:val="1"/>
          <w:sz w:val="22"/>
          <w:szCs w:val="22"/>
          <w:rtl w:val="0"/>
        </w:rPr>
        <w:t xml:space="preserve">copias certificadas</w:t>
      </w:r>
      <w:r w:rsidDel="00000000" w:rsidR="00000000" w:rsidRPr="00000000">
        <w:rPr>
          <w:rFonts w:ascii="Palatino Linotype" w:cs="Palatino Linotype" w:eastAsia="Palatino Linotype" w:hAnsi="Palatino Linotype"/>
          <w:sz w:val="22"/>
          <w:szCs w:val="22"/>
          <w:rtl w:val="0"/>
        </w:rPr>
        <w:t xml:space="preserve">; sin embargo, no resulta procedente ordenar el cumplimiento de la presente resolución en dicha modalidad en virtud de que no se está ordenando la entrega de las documentales que se requieren sino la clasificación del pronunciamiento como confidencial respecto a su existencia.</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ind w:right="33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0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 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05154/INFOEM/IP/RR/2024, </w:t>
      </w:r>
      <w:r w:rsidDel="00000000" w:rsidR="00000000" w:rsidRPr="00000000">
        <w:rPr>
          <w:rFonts w:ascii="Palatino Linotype" w:cs="Palatino Linotype" w:eastAsia="Palatino Linotype" w:hAnsi="Palatino Linotype"/>
          <w:sz w:val="22"/>
          <w:szCs w:val="22"/>
          <w:rtl w:val="0"/>
        </w:rPr>
        <w:t xml:space="preserve">por lo que, en términos del Considerando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la presente resolución, se</w:t>
      </w:r>
      <w:r w:rsidDel="00000000" w:rsidR="00000000" w:rsidRPr="00000000">
        <w:rPr>
          <w:rFonts w:ascii="Palatino Linotype" w:cs="Palatino Linotype" w:eastAsia="Palatino Linotype" w:hAnsi="Palatino Linotype"/>
          <w:b w:val="1"/>
          <w:sz w:val="22"/>
          <w:szCs w:val="22"/>
          <w:rtl w:val="0"/>
        </w:rPr>
        <w:t xml:space="preserve"> Modifica </w:t>
      </w:r>
      <w:r w:rsidDel="00000000" w:rsidR="00000000" w:rsidRPr="00000000">
        <w:rPr>
          <w:rFonts w:ascii="Palatino Linotype" w:cs="Palatino Linotype" w:eastAsia="Palatino Linotype" w:hAnsi="Palatino Linotype"/>
          <w:sz w:val="22"/>
          <w:szCs w:val="22"/>
          <w:rtl w:val="0"/>
        </w:rPr>
        <w:t xml:space="preserve">la respuesta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0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05">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del Considerando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w:t>
      </w:r>
      <w:r w:rsidDel="00000000" w:rsidR="00000000" w:rsidRPr="00000000">
        <w:rPr>
          <w:rFonts w:ascii="Palatino Linotype" w:cs="Palatino Linotype" w:eastAsia="Palatino Linotype" w:hAnsi="Palatino Linotype"/>
          <w:b w:val="1"/>
          <w:sz w:val="22"/>
          <w:szCs w:val="22"/>
          <w:rtl w:val="0"/>
        </w:rPr>
        <w:t xml:space="preserve">haga entrega vía Sistema de Acceso a la Información Mexiquense (SAIMEX) y correo electrónico,</w:t>
      </w:r>
      <w:r w:rsidDel="00000000" w:rsidR="00000000" w:rsidRPr="00000000">
        <w:rPr>
          <w:rFonts w:ascii="Palatino Linotype" w:cs="Palatino Linotype" w:eastAsia="Palatino Linotype" w:hAnsi="Palatino Linotype"/>
          <w:sz w:val="22"/>
          <w:szCs w:val="22"/>
          <w:rtl w:val="0"/>
        </w:rPr>
        <w:t xml:space="preserve"> lo siguiente:</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numPr>
          <w:ilvl w:val="0"/>
          <w:numId w:val="4"/>
        </w:numPr>
        <w:pBdr>
          <w:top w:space="0" w:sz="0" w:val="nil"/>
          <w:left w:space="0" w:sz="0" w:val="nil"/>
          <w:bottom w:space="0" w:sz="0" w:val="nil"/>
          <w:right w:space="0" w:sz="0" w:val="nil"/>
          <w:between w:space="0" w:sz="0" w:val="nil"/>
        </w:pBdr>
        <w:spacing w:line="276" w:lineRule="auto"/>
        <w:ind w:left="720" w:right="333" w:hanging="43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Acuerdo emitido por el Comité de Transparencia, en el que se confirme la clasificación como confidencial del pronunciamiento en sentido afirmativo o negativo, en términos de los artículos 49, fracción II, 132, fracción II, 143, fracción I y 149 de la Ley de Transparencia y Acceso a la Información Pública del Estado de México y Municipios; </w:t>
      </w:r>
      <w:r w:rsidDel="00000000" w:rsidR="00000000" w:rsidRPr="00000000">
        <w:rPr>
          <w:rFonts w:ascii="Palatino Linotype" w:cs="Palatino Linotype" w:eastAsia="Palatino Linotype" w:hAnsi="Palatino Linotype"/>
          <w:b w:val="1"/>
          <w:sz w:val="22"/>
          <w:szCs w:val="22"/>
          <w:u w:val="single"/>
          <w:rtl w:val="0"/>
        </w:rPr>
        <w:t xml:space="preserve">respecto de la existencia del contrato de  compra venta; Declaración para el pago del Impuesto Sobre Traslación de Dominio y otras operaciones con bienes inmuebles”; y, Recibo oficial de pago de Impuesto Sobre Traslación de Dominio y otras Operaciones con Bienes Inmuebles; descritos en la solicitud y relacionados con el bien inmueble referido por la persona solicitante.</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ind w:right="33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0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spacing w:line="360" w:lineRule="auto"/>
        <w:ind w:right="4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correo electrónico</w:t>
      </w:r>
      <w:r w:rsidDel="00000000" w:rsidR="00000000" w:rsidRPr="00000000">
        <w:rPr>
          <w:rFonts w:ascii="Palatino Linotype" w:cs="Palatino Linotype" w:eastAsia="Palatino Linotype" w:hAnsi="Palatino Linotype"/>
          <w:sz w:val="22"/>
          <w:szCs w:val="22"/>
          <w:rtl w:val="0"/>
        </w:rPr>
        <w:t xml:space="preserve">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bookmarkStart w:colFirst="0" w:colLast="0" w:name="_heading=h.26in1rg" w:id="9"/>
      <w:bookmarkEnd w:id="9"/>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 </w:t>
      </w:r>
    </w:p>
    <w:p w:rsidR="00000000" w:rsidDel="00000000" w:rsidP="00000000" w:rsidRDefault="00000000" w:rsidRPr="00000000" w14:paraId="0000011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bookmarkStart w:colFirst="0" w:colLast="0" w:name="_heading=h.3rdcrjn" w:id="10"/>
      <w:bookmarkEnd w:id="10"/>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bookmarkStart w:colFirst="0" w:colLast="0" w:name="_heading=h.1t3h5sf" w:id="11"/>
      <w:bookmarkEnd w:id="11"/>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2C">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2D">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-1080109</wp:posOffset>
          </wp:positionH>
          <wp:positionV relativeFrom="paragraph">
            <wp:posOffset>-488284</wp:posOffset>
          </wp:positionV>
          <wp:extent cx="7809865" cy="10165715"/>
          <wp:effectExtent b="0" l="0" r="0" t="0"/>
          <wp:wrapNone/>
          <wp:docPr id="4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12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05154/INFOEM/IP/RR/2024</w:t>
          </w:r>
        </w:p>
      </w:tc>
    </w:tr>
    <w:tr>
      <w:trPr>
        <w:cantSplit w:val="0"/>
        <w:trHeight w:val="228" w:hRule="atLeast"/>
        <w:tblHeader w:val="0"/>
      </w:trPr>
      <w:tc>
        <w:tcPr>
          <w:shd w:fill="auto" w:val="clear"/>
          <w:vAlign w:val="center"/>
        </w:tcPr>
        <w:p w:rsidR="00000000" w:rsidDel="00000000" w:rsidP="00000000" w:rsidRDefault="00000000" w:rsidRPr="00000000" w14:paraId="0000013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2">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shd w:fill="auto" w:val="clear"/>
          <w:vAlign w:val="center"/>
        </w:tcPr>
        <w:p w:rsidR="00000000" w:rsidDel="00000000" w:rsidP="00000000" w:rsidRDefault="00000000" w:rsidRPr="00000000" w14:paraId="0000013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3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5">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-1079487</wp:posOffset>
          </wp:positionH>
          <wp:positionV relativeFrom="paragraph">
            <wp:posOffset>-328916</wp:posOffset>
          </wp:positionV>
          <wp:extent cx="7809865" cy="10165715"/>
          <wp:effectExtent b="0" l="0" r="0" t="0"/>
          <wp:wrapNone/>
          <wp:docPr id="4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13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8">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05154/INFOEM/IP/RR/2024</w:t>
          </w:r>
        </w:p>
      </w:tc>
    </w:tr>
    <w:tr>
      <w:trPr>
        <w:cantSplit w:val="0"/>
        <w:trHeight w:val="130" w:hRule="atLeast"/>
        <w:tblHeader w:val="0"/>
      </w:trPr>
      <w:tc>
        <w:tcPr>
          <w:shd w:fill="auto" w:val="clear"/>
          <w:vAlign w:val="center"/>
        </w:tcPr>
        <w:p w:rsidR="00000000" w:rsidDel="00000000" w:rsidP="00000000" w:rsidRDefault="00000000" w:rsidRPr="00000000" w14:paraId="0000013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3A">
          <w:pPr>
            <w:ind w:left="-45" w:right="144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XXXXXX XXXXX </w:t>
          </w:r>
        </w:p>
      </w:tc>
    </w:tr>
    <w:tr>
      <w:trPr>
        <w:cantSplit w:val="0"/>
        <w:trHeight w:val="228" w:hRule="atLeast"/>
        <w:tblHeader w:val="0"/>
      </w:trPr>
      <w:tc>
        <w:tcPr>
          <w:shd w:fill="auto" w:val="clear"/>
          <w:vAlign w:val="center"/>
        </w:tcPr>
        <w:p w:rsidR="00000000" w:rsidDel="00000000" w:rsidP="00000000" w:rsidRDefault="00000000" w:rsidRPr="00000000" w14:paraId="0000013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C">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shd w:fill="auto" w:val="clear"/>
          <w:vAlign w:val="center"/>
        </w:tcPr>
        <w:p w:rsidR="00000000" w:rsidDel="00000000" w:rsidP="00000000" w:rsidRDefault="00000000" w:rsidRPr="00000000" w14:paraId="0000013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3E">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0"/>
      <w:numFmt w:val="bullet"/>
      <w:lvlText w:val="•"/>
      <w:lvlJc w:val="left"/>
      <w:pPr>
        <w:ind w:left="360" w:hanging="360"/>
      </w:pPr>
      <w:rPr>
        <w:rFonts w:ascii="Palatino Linotype" w:cs="Palatino Linotype" w:eastAsia="Palatino Linotype" w:hAnsi="Palatino Linotype"/>
        <w:i w:val="1"/>
        <w:color w:val="000000"/>
      </w:rPr>
    </w:lvl>
    <w:lvl w:ilvl="1">
      <w:start w:val="1"/>
      <w:numFmt w:val="bullet"/>
      <w:lvlText w:val="o"/>
      <w:lvlJc w:val="left"/>
      <w:pPr>
        <w:ind w:left="1156" w:hanging="360"/>
      </w:pPr>
      <w:rPr>
        <w:rFonts w:ascii="Courier New" w:cs="Courier New" w:eastAsia="Courier New" w:hAnsi="Courier New"/>
      </w:rPr>
    </w:lvl>
    <w:lvl w:ilvl="2">
      <w:start w:val="1"/>
      <w:numFmt w:val="bullet"/>
      <w:lvlText w:val="▪"/>
      <w:lvlJc w:val="left"/>
      <w:pPr>
        <w:ind w:left="1876" w:hanging="360"/>
      </w:pPr>
      <w:rPr>
        <w:rFonts w:ascii="Noto Sans Symbols" w:cs="Noto Sans Symbols" w:eastAsia="Noto Sans Symbols" w:hAnsi="Noto Sans Symbols"/>
      </w:rPr>
    </w:lvl>
    <w:lvl w:ilvl="3">
      <w:start w:val="1"/>
      <w:numFmt w:val="bullet"/>
      <w:lvlText w:val="●"/>
      <w:lvlJc w:val="left"/>
      <w:pPr>
        <w:ind w:left="2596" w:hanging="360"/>
      </w:pPr>
      <w:rPr>
        <w:rFonts w:ascii="Noto Sans Symbols" w:cs="Noto Sans Symbols" w:eastAsia="Noto Sans Symbols" w:hAnsi="Noto Sans Symbols"/>
      </w:rPr>
    </w:lvl>
    <w:lvl w:ilvl="4">
      <w:start w:val="1"/>
      <w:numFmt w:val="bullet"/>
      <w:lvlText w:val="o"/>
      <w:lvlJc w:val="left"/>
      <w:pPr>
        <w:ind w:left="3316" w:hanging="360"/>
      </w:pPr>
      <w:rPr>
        <w:rFonts w:ascii="Courier New" w:cs="Courier New" w:eastAsia="Courier New" w:hAnsi="Courier New"/>
      </w:rPr>
    </w:lvl>
    <w:lvl w:ilvl="5">
      <w:start w:val="1"/>
      <w:numFmt w:val="bullet"/>
      <w:lvlText w:val="▪"/>
      <w:lvlJc w:val="left"/>
      <w:pPr>
        <w:ind w:left="4036" w:hanging="360"/>
      </w:pPr>
      <w:rPr>
        <w:rFonts w:ascii="Noto Sans Symbols" w:cs="Noto Sans Symbols" w:eastAsia="Noto Sans Symbols" w:hAnsi="Noto Sans Symbols"/>
      </w:rPr>
    </w:lvl>
    <w:lvl w:ilvl="6">
      <w:start w:val="1"/>
      <w:numFmt w:val="bullet"/>
      <w:lvlText w:val="●"/>
      <w:lvlJc w:val="left"/>
      <w:pPr>
        <w:ind w:left="4756" w:hanging="360"/>
      </w:pPr>
      <w:rPr>
        <w:rFonts w:ascii="Noto Sans Symbols" w:cs="Noto Sans Symbols" w:eastAsia="Noto Sans Symbols" w:hAnsi="Noto Sans Symbols"/>
      </w:rPr>
    </w:lvl>
    <w:lvl w:ilvl="7">
      <w:start w:val="1"/>
      <w:numFmt w:val="bullet"/>
      <w:lvlText w:val="o"/>
      <w:lvlJc w:val="left"/>
      <w:pPr>
        <w:ind w:left="5476" w:hanging="360"/>
      </w:pPr>
      <w:rPr>
        <w:rFonts w:ascii="Courier New" w:cs="Courier New" w:eastAsia="Courier New" w:hAnsi="Courier New"/>
      </w:rPr>
    </w:lvl>
    <w:lvl w:ilvl="8">
      <w:start w:val="1"/>
      <w:numFmt w:val="bullet"/>
      <w:lvlText w:val="▪"/>
      <w:lvlJc w:val="left"/>
      <w:pPr>
        <w:ind w:left="6196"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720"/>
      </w:pPr>
      <w:rPr>
        <w:rFonts w:ascii="Palatino Linotype" w:cs="Palatino Linotype" w:eastAsia="Palatino Linotype" w:hAnsi="Palatino Linotyp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45936"/>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lang w:val="es-ES"/>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lang w:val="es-ES"/>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lang w:val="es-ES"/>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lang w:val="es-ES"/>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lang w:val="es-ES"/>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lang w:val="es-E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7"/>
    <w:tblPr>
      <w:tblStyleRowBandSize w:val="1"/>
      <w:tblStyleColBandSize w:val="1"/>
      <w:tblCellMar>
        <w:left w:w="115.0" w:type="dxa"/>
        <w:right w:w="115.0" w:type="dxa"/>
      </w:tblCellMar>
    </w:tblPr>
  </w:style>
  <w:style w:type="table" w:styleId="a0" w:customStyle="1">
    <w:basedOn w:val="TableNormal7"/>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a1" w:customStyle="1">
    <w:basedOn w:val="TableNormal7"/>
    <w:tblPr>
      <w:tblStyleRowBandSize w:val="1"/>
      <w:tblStyleColBandSize w:val="1"/>
      <w:tblCellMar>
        <w:left w:w="115.0" w:type="dxa"/>
        <w:right w:w="115.0" w:type="dxa"/>
      </w:tblCellMar>
    </w:tblPr>
  </w:style>
  <w:style w:type="table" w:styleId="a2" w:customStyle="1">
    <w:basedOn w:val="TableNormal7"/>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a3" w:customStyle="1">
    <w:basedOn w:val="TableNormal6"/>
    <w:tblPr>
      <w:tblStyleRowBandSize w:val="1"/>
      <w:tblStyleColBandSize w:val="1"/>
      <w:tblCellMar>
        <w:left w:w="115.0" w:type="dxa"/>
        <w:right w:w="115.0" w:type="dxa"/>
      </w:tblCellMar>
    </w:tblPr>
  </w:style>
  <w:style w:type="table" w:styleId="a4" w:customStyle="1">
    <w:basedOn w:val="TableNormal6"/>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759CF"/>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F759CF"/>
    <w:rPr>
      <w:vertAlign w:val="superscript"/>
    </w:r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283BF5"/>
    <w:rPr>
      <w:lang w:val="es-ES"/>
    </w:rPr>
  </w:style>
  <w:style w:type="table" w:styleId="a7" w:customStyle="1">
    <w:basedOn w:val="TableNormal4"/>
    <w:tblPr>
      <w:tblStyleRowBandSize w:val="1"/>
      <w:tblStyleColBandSize w:val="1"/>
      <w:tblCellMar>
        <w:left w:w="115.0" w:type="dxa"/>
        <w:right w:w="115.0" w:type="dxa"/>
      </w:tblCellMar>
    </w:tblPr>
  </w:style>
  <w:style w:type="table" w:styleId="a8" w:customStyle="1">
    <w:basedOn w:val="TableNormal4"/>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77142E"/>
    <w:pPr>
      <w:numPr>
        <w:numId w:val="6"/>
      </w:numPr>
      <w:contextualSpacing w:val="1"/>
    </w:p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B910CA"/>
    <w:pPr>
      <w:tabs>
        <w:tab w:val="num" w:pos="720"/>
      </w:tabs>
      <w:ind w:left="720" w:hanging="720"/>
      <w:contextualSpacing w:val="1"/>
    </w:pPr>
  </w:style>
  <w:style w:type="paragraph" w:styleId="Textodeglobo">
    <w:name w:val="Balloon Text"/>
    <w:basedOn w:val="Normal"/>
    <w:link w:val="TextodegloboCar"/>
    <w:uiPriority w:val="99"/>
    <w:semiHidden w:val="1"/>
    <w:unhideWhenUsed w:val="1"/>
    <w:rsid w:val="003B3B2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B3B2A"/>
    <w:rPr>
      <w:rFonts w:ascii="Segoe UI" w:cs="Segoe UI" w:hAnsi="Segoe UI"/>
      <w:sz w:val="18"/>
      <w:szCs w:val="18"/>
    </w:rPr>
  </w:style>
  <w:style w:type="character" w:styleId="Hipervnculovisitado">
    <w:name w:val="FollowedHyperlink"/>
    <w:basedOn w:val="Fuentedeprrafopredeter"/>
    <w:uiPriority w:val="99"/>
    <w:semiHidden w:val="1"/>
    <w:unhideWhenUsed w:val="1"/>
    <w:rsid w:val="00E9311B"/>
    <w:rPr>
      <w:color w:val="800080" w:themeColor="followedHyperlink"/>
      <w:u w:val="single"/>
    </w:r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image" Target="media/image7.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Mx1cv+Rl1JjUkDOha47Pvnfkg==">CgMxLjAyCWguMWZvYjl0ZTIJaC40ZDM0b2c4MghoLmdqZGd4czIJaC4zZHk2dmttMgloLjMwajB6bGwyCWguMnM4ZXlvMTIIaC50eWpjd3QyCWguM3pueXNoNzIJaC4xeTgxMHR3MgloLjI2aW4xcmcyCWguM3JkY3JqbjIJaC4xdDNoNXNmOAByITFlWmd6cDJyUVF3M3VtN0ZKYU9vWndjeklxbk9FcXNIOA==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2024-11-25T18:26:00Z</dcterms:created>
  <dc:creator>USUARIO</dc:creator>
</cp:coreProperties>
</file>