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A96A36" w14:textId="4A4637F6" w:rsidR="005E2B80" w:rsidRPr="00725A19" w:rsidRDefault="00644465" w:rsidP="00373DFF">
      <w:pPr>
        <w:spacing w:line="360" w:lineRule="auto"/>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Resolución del Pleno del Instituto de Transparencia, Acceso a la Información Pública y Protección de Datos Personales del Estado de México y Municipios, con domicilio en Metepec, Estado de México; de fecha </w:t>
      </w:r>
      <w:r w:rsidR="00442212" w:rsidRPr="00725A19">
        <w:rPr>
          <w:rFonts w:ascii="Palatino Linotype" w:eastAsia="Palatino Linotype" w:hAnsi="Palatino Linotype" w:cs="Palatino Linotype"/>
        </w:rPr>
        <w:t>once</w:t>
      </w:r>
      <w:r w:rsidR="00D21CE6" w:rsidRPr="00725A19">
        <w:rPr>
          <w:rFonts w:ascii="Palatino Linotype" w:eastAsia="Palatino Linotype" w:hAnsi="Palatino Linotype" w:cs="Palatino Linotype"/>
        </w:rPr>
        <w:t xml:space="preserve"> </w:t>
      </w:r>
      <w:r w:rsidR="00734630" w:rsidRPr="00725A19">
        <w:rPr>
          <w:rFonts w:ascii="Palatino Linotype" w:eastAsia="Palatino Linotype" w:hAnsi="Palatino Linotype" w:cs="Palatino Linotype"/>
        </w:rPr>
        <w:t xml:space="preserve">(11) </w:t>
      </w:r>
      <w:r w:rsidR="00D21CE6" w:rsidRPr="00725A19">
        <w:rPr>
          <w:rFonts w:ascii="Palatino Linotype" w:eastAsia="Palatino Linotype" w:hAnsi="Palatino Linotype" w:cs="Palatino Linotype"/>
        </w:rPr>
        <w:t xml:space="preserve">de diciembre </w:t>
      </w:r>
      <w:r w:rsidRPr="00725A19">
        <w:rPr>
          <w:rFonts w:ascii="Palatino Linotype" w:eastAsia="Palatino Linotype" w:hAnsi="Palatino Linotype" w:cs="Palatino Linotype"/>
        </w:rPr>
        <w:t>de dos mil veinticuatro.</w:t>
      </w:r>
    </w:p>
    <w:p w14:paraId="305C7B06" w14:textId="77777777" w:rsidR="005E2B80" w:rsidRPr="00725A19" w:rsidRDefault="005E2B80" w:rsidP="00373DFF">
      <w:pPr>
        <w:spacing w:line="360" w:lineRule="auto"/>
        <w:jc w:val="both"/>
        <w:rPr>
          <w:rFonts w:ascii="Palatino Linotype" w:eastAsia="Palatino Linotype" w:hAnsi="Palatino Linotype" w:cs="Palatino Linotype"/>
        </w:rPr>
      </w:pPr>
    </w:p>
    <w:p w14:paraId="66E8741D" w14:textId="3FEB1C62" w:rsidR="005E2B80" w:rsidRPr="00725A19" w:rsidRDefault="00644465" w:rsidP="00373DFF">
      <w:pPr>
        <w:spacing w:line="360" w:lineRule="auto"/>
        <w:jc w:val="both"/>
        <w:rPr>
          <w:rFonts w:ascii="Palatino Linotype" w:eastAsia="Palatino Linotype" w:hAnsi="Palatino Linotype" w:cs="Palatino Linotype"/>
        </w:rPr>
      </w:pPr>
      <w:r w:rsidRPr="00725A19">
        <w:rPr>
          <w:rFonts w:ascii="Palatino Linotype" w:eastAsia="Palatino Linotype" w:hAnsi="Palatino Linotype" w:cs="Palatino Linotype"/>
          <w:b/>
        </w:rPr>
        <w:t>VISTOS</w:t>
      </w:r>
      <w:r w:rsidRPr="00725A19">
        <w:rPr>
          <w:rFonts w:ascii="Palatino Linotype" w:eastAsia="Palatino Linotype" w:hAnsi="Palatino Linotype" w:cs="Palatino Linotype"/>
        </w:rPr>
        <w:t xml:space="preserve"> los expedientes electrónicos formados con motivo de los recursos de revisión </w:t>
      </w:r>
      <w:r w:rsidRPr="00725A19">
        <w:rPr>
          <w:rFonts w:ascii="Palatino Linotype" w:eastAsia="Palatino Linotype" w:hAnsi="Palatino Linotype" w:cs="Palatino Linotype"/>
          <w:b/>
        </w:rPr>
        <w:t>0</w:t>
      </w:r>
      <w:r w:rsidR="00C96F9E" w:rsidRPr="00725A19">
        <w:rPr>
          <w:rFonts w:ascii="Palatino Linotype" w:eastAsia="Palatino Linotype" w:hAnsi="Palatino Linotype" w:cs="Palatino Linotype"/>
          <w:b/>
        </w:rPr>
        <w:t>7</w:t>
      </w:r>
      <w:r w:rsidR="00263D10" w:rsidRPr="00725A19">
        <w:rPr>
          <w:rFonts w:ascii="Palatino Linotype" w:eastAsia="Palatino Linotype" w:hAnsi="Palatino Linotype" w:cs="Palatino Linotype"/>
          <w:b/>
        </w:rPr>
        <w:t>15</w:t>
      </w:r>
      <w:r w:rsidR="00C96F9E" w:rsidRPr="00725A19">
        <w:rPr>
          <w:rFonts w:ascii="Palatino Linotype" w:eastAsia="Palatino Linotype" w:hAnsi="Palatino Linotype" w:cs="Palatino Linotype"/>
          <w:b/>
        </w:rPr>
        <w:t>3</w:t>
      </w:r>
      <w:r w:rsidRPr="00725A19">
        <w:rPr>
          <w:rFonts w:ascii="Palatino Linotype" w:eastAsia="Palatino Linotype" w:hAnsi="Palatino Linotype" w:cs="Palatino Linotype"/>
          <w:b/>
        </w:rPr>
        <w:t>/INFOEM/IP/RR/2024</w:t>
      </w:r>
      <w:r w:rsidR="00263D10" w:rsidRPr="00725A19">
        <w:rPr>
          <w:rFonts w:ascii="Palatino Linotype" w:eastAsia="Palatino Linotype" w:hAnsi="Palatino Linotype" w:cs="Palatino Linotype"/>
          <w:b/>
        </w:rPr>
        <w:t xml:space="preserve"> </w:t>
      </w:r>
      <w:r w:rsidR="00C96F9E" w:rsidRPr="00725A19">
        <w:rPr>
          <w:rFonts w:ascii="Palatino Linotype" w:eastAsia="Palatino Linotype" w:hAnsi="Palatino Linotype" w:cs="Palatino Linotype"/>
          <w:b/>
        </w:rPr>
        <w:t>y 07</w:t>
      </w:r>
      <w:r w:rsidR="00263D10" w:rsidRPr="00725A19">
        <w:rPr>
          <w:rFonts w:ascii="Palatino Linotype" w:eastAsia="Palatino Linotype" w:hAnsi="Palatino Linotype" w:cs="Palatino Linotype"/>
          <w:b/>
        </w:rPr>
        <w:t>158</w:t>
      </w:r>
      <w:r w:rsidRPr="00725A19">
        <w:rPr>
          <w:rFonts w:ascii="Palatino Linotype" w:eastAsia="Palatino Linotype" w:hAnsi="Palatino Linotype" w:cs="Palatino Linotype"/>
          <w:b/>
        </w:rPr>
        <w:t xml:space="preserve">/INFOEM/IP/RR/2024 </w:t>
      </w:r>
      <w:r w:rsidRPr="00725A19">
        <w:rPr>
          <w:rFonts w:ascii="Palatino Linotype" w:eastAsia="Palatino Linotype" w:hAnsi="Palatino Linotype" w:cs="Palatino Linotype"/>
        </w:rPr>
        <w:t xml:space="preserve">promovidos por </w:t>
      </w:r>
      <w:r w:rsidR="00734630" w:rsidRPr="00725A19">
        <w:rPr>
          <w:rFonts w:ascii="Palatino Linotype" w:eastAsia="Palatino Linotype" w:hAnsi="Palatino Linotype" w:cs="Palatino Linotype"/>
        </w:rPr>
        <w:t xml:space="preserve">juan </w:t>
      </w:r>
      <w:r w:rsidR="00725A19" w:rsidRPr="00725A19">
        <w:rPr>
          <w:rFonts w:ascii="Palatino Linotype" w:eastAsia="Palatino Linotype" w:hAnsi="Palatino Linotype" w:cs="Palatino Linotype"/>
        </w:rPr>
        <w:t>XXXXXXXXX</w:t>
      </w:r>
      <w:r w:rsidR="00083943" w:rsidRPr="00725A19">
        <w:rPr>
          <w:rFonts w:ascii="Palatino Linotype" w:eastAsia="Palatino Linotype" w:hAnsi="Palatino Linotype" w:cs="Palatino Linotype"/>
        </w:rPr>
        <w:t xml:space="preserve">, </w:t>
      </w:r>
      <w:r w:rsidRPr="00725A19">
        <w:rPr>
          <w:rFonts w:ascii="Palatino Linotype" w:eastAsia="Palatino Linotype" w:hAnsi="Palatino Linotype" w:cs="Palatino Linotype"/>
        </w:rPr>
        <w:t>a través del</w:t>
      </w:r>
      <w:r w:rsidRPr="00725A19">
        <w:rPr>
          <w:rFonts w:ascii="Palatino Linotype" w:eastAsia="Palatino Linotype" w:hAnsi="Palatino Linotype" w:cs="Palatino Linotype"/>
          <w:b/>
        </w:rPr>
        <w:t xml:space="preserve"> Sistema de Acceso a la Información Mexiquense (SAIMEX),</w:t>
      </w:r>
      <w:r w:rsidRPr="00725A19">
        <w:rPr>
          <w:rFonts w:ascii="Palatino Linotype" w:eastAsia="Palatino Linotype" w:hAnsi="Palatino Linotype" w:cs="Palatino Linotype"/>
        </w:rPr>
        <w:t xml:space="preserve"> a quien en lo sucesivo se identificará como </w:t>
      </w:r>
      <w:r w:rsidRPr="00725A19">
        <w:rPr>
          <w:rFonts w:ascii="Palatino Linotype" w:eastAsia="Palatino Linotype" w:hAnsi="Palatino Linotype" w:cs="Palatino Linotype"/>
          <w:b/>
        </w:rPr>
        <w:t>EL RECURRENTE</w:t>
      </w:r>
      <w:r w:rsidRPr="00725A19">
        <w:rPr>
          <w:rFonts w:ascii="Palatino Linotype" w:eastAsia="Palatino Linotype" w:hAnsi="Palatino Linotype" w:cs="Palatino Linotype"/>
        </w:rPr>
        <w:t xml:space="preserve">, en contra de la respuesta del </w:t>
      </w:r>
      <w:r w:rsidR="00CD1CCF" w:rsidRPr="00725A19">
        <w:rPr>
          <w:rFonts w:ascii="Palatino Linotype" w:eastAsia="Palatino Linotype" w:hAnsi="Palatino Linotype" w:cs="Palatino Linotype"/>
          <w:b/>
        </w:rPr>
        <w:t>Ayuntamiento de Almoloya del Río</w:t>
      </w:r>
      <w:r w:rsidRPr="00725A19">
        <w:rPr>
          <w:rFonts w:ascii="Palatino Linotype" w:eastAsia="Palatino Linotype" w:hAnsi="Palatino Linotype" w:cs="Palatino Linotype"/>
          <w:b/>
        </w:rPr>
        <w:t xml:space="preserve">, </w:t>
      </w:r>
      <w:r w:rsidRPr="00725A19">
        <w:rPr>
          <w:rFonts w:ascii="Palatino Linotype" w:eastAsia="Palatino Linotype" w:hAnsi="Palatino Linotype" w:cs="Palatino Linotype"/>
        </w:rPr>
        <w:t>en adelante el</w:t>
      </w:r>
      <w:r w:rsidRPr="00725A19">
        <w:rPr>
          <w:rFonts w:ascii="Palatino Linotype" w:eastAsia="Palatino Linotype" w:hAnsi="Palatino Linotype" w:cs="Palatino Linotype"/>
          <w:b/>
        </w:rPr>
        <w:t xml:space="preserve"> SUJETO OBLIGADO</w:t>
      </w:r>
      <w:r w:rsidRPr="00725A19">
        <w:rPr>
          <w:rFonts w:ascii="Palatino Linotype" w:eastAsia="Palatino Linotype" w:hAnsi="Palatino Linotype" w:cs="Palatino Linotype"/>
        </w:rPr>
        <w:t>, por lo que se procede a dictar la presente resolución, con base en los siguientes:</w:t>
      </w:r>
    </w:p>
    <w:p w14:paraId="7EBB5BB1" w14:textId="77777777" w:rsidR="005E2B80" w:rsidRPr="00725A19" w:rsidRDefault="005E2B80" w:rsidP="00373DFF">
      <w:pPr>
        <w:keepNext/>
        <w:keepLines/>
        <w:spacing w:line="360" w:lineRule="auto"/>
        <w:jc w:val="center"/>
        <w:rPr>
          <w:rFonts w:ascii="Palatino Linotype" w:eastAsia="Palatino Linotype" w:hAnsi="Palatino Linotype" w:cs="Palatino Linotype"/>
          <w:b/>
        </w:rPr>
      </w:pPr>
      <w:bookmarkStart w:id="0" w:name="_heading=h.gjdgxs" w:colFirst="0" w:colLast="0"/>
      <w:bookmarkEnd w:id="0"/>
    </w:p>
    <w:p w14:paraId="74B9895D" w14:textId="77777777" w:rsidR="005E2B80" w:rsidRPr="00725A19" w:rsidRDefault="00644465" w:rsidP="00373DFF">
      <w:pPr>
        <w:keepNext/>
        <w:keepLines/>
        <w:spacing w:line="360" w:lineRule="auto"/>
        <w:jc w:val="center"/>
        <w:rPr>
          <w:rFonts w:ascii="Palatino Linotype" w:eastAsia="Palatino Linotype" w:hAnsi="Palatino Linotype" w:cs="Palatino Linotype"/>
          <w:b/>
        </w:rPr>
      </w:pPr>
      <w:r w:rsidRPr="00725A19">
        <w:rPr>
          <w:rFonts w:ascii="Palatino Linotype" w:eastAsia="Palatino Linotype" w:hAnsi="Palatino Linotype" w:cs="Palatino Linotype"/>
          <w:b/>
        </w:rPr>
        <w:t>A N T E C E D E N T E S</w:t>
      </w:r>
    </w:p>
    <w:p w14:paraId="0CD79C90" w14:textId="77777777" w:rsidR="005E2B80" w:rsidRPr="00725A19" w:rsidRDefault="005E2B80" w:rsidP="00373DFF">
      <w:pPr>
        <w:keepNext/>
        <w:keepLines/>
        <w:spacing w:line="360" w:lineRule="auto"/>
        <w:jc w:val="center"/>
        <w:rPr>
          <w:rFonts w:ascii="Palatino Linotype" w:eastAsia="Palatino Linotype" w:hAnsi="Palatino Linotype" w:cs="Palatino Linotype"/>
          <w:b/>
        </w:rPr>
      </w:pPr>
    </w:p>
    <w:p w14:paraId="469E09D1" w14:textId="5AA4ED12" w:rsidR="005E2B80" w:rsidRPr="00725A19" w:rsidRDefault="00644465" w:rsidP="00373DFF">
      <w:pPr>
        <w:numPr>
          <w:ilvl w:val="0"/>
          <w:numId w:val="4"/>
        </w:numPr>
        <w:spacing w:line="360" w:lineRule="auto"/>
        <w:ind w:left="0" w:firstLine="0"/>
        <w:jc w:val="both"/>
      </w:pPr>
      <w:r w:rsidRPr="00725A19">
        <w:rPr>
          <w:rFonts w:ascii="Palatino Linotype" w:eastAsia="Palatino Linotype" w:hAnsi="Palatino Linotype" w:cs="Palatino Linotype"/>
        </w:rPr>
        <w:t xml:space="preserve">El fecha </w:t>
      </w:r>
      <w:r w:rsidR="00CD1CCF" w:rsidRPr="00725A19">
        <w:rPr>
          <w:rFonts w:ascii="Palatino Linotype" w:eastAsia="Palatino Linotype" w:hAnsi="Palatino Linotype" w:cs="Palatino Linotype"/>
          <w:b/>
        </w:rPr>
        <w:t>diecisiete</w:t>
      </w:r>
      <w:r w:rsidR="006169CC" w:rsidRPr="00725A19">
        <w:rPr>
          <w:rFonts w:ascii="Palatino Linotype" w:eastAsia="Palatino Linotype" w:hAnsi="Palatino Linotype" w:cs="Palatino Linotype"/>
          <w:b/>
        </w:rPr>
        <w:t xml:space="preserve"> de octubre</w:t>
      </w:r>
      <w:r w:rsidRPr="00725A19">
        <w:rPr>
          <w:rFonts w:ascii="Palatino Linotype" w:eastAsia="Palatino Linotype" w:hAnsi="Palatino Linotype" w:cs="Palatino Linotype"/>
          <w:b/>
        </w:rPr>
        <w:t xml:space="preserve"> de dos mil veinticuatro</w:t>
      </w:r>
      <w:r w:rsidRPr="00725A19">
        <w:rPr>
          <w:rFonts w:ascii="Palatino Linotype" w:eastAsia="Palatino Linotype" w:hAnsi="Palatino Linotype" w:cs="Palatino Linotype"/>
        </w:rPr>
        <w:t xml:space="preserve">, </w:t>
      </w:r>
      <w:r w:rsidRPr="00725A19">
        <w:rPr>
          <w:rFonts w:ascii="Palatino Linotype" w:eastAsia="Palatino Linotype" w:hAnsi="Palatino Linotype" w:cs="Palatino Linotype"/>
          <w:b/>
        </w:rPr>
        <w:t>EL RECURRENTE,</w:t>
      </w:r>
      <w:r w:rsidRPr="00725A19">
        <w:rPr>
          <w:rFonts w:ascii="Palatino Linotype" w:eastAsia="Palatino Linotype" w:hAnsi="Palatino Linotype" w:cs="Palatino Linotype"/>
        </w:rPr>
        <w:t xml:space="preserve"> ante el </w:t>
      </w:r>
      <w:r w:rsidRPr="00725A19">
        <w:rPr>
          <w:rFonts w:ascii="Palatino Linotype" w:eastAsia="Palatino Linotype" w:hAnsi="Palatino Linotype" w:cs="Palatino Linotype"/>
          <w:b/>
        </w:rPr>
        <w:t>SUJETO OBLIGADO</w:t>
      </w:r>
      <w:r w:rsidRPr="00725A19">
        <w:rPr>
          <w:rFonts w:ascii="Palatino Linotype" w:eastAsia="Palatino Linotype" w:hAnsi="Palatino Linotype" w:cs="Palatino Linotype"/>
        </w:rPr>
        <w:t xml:space="preserve"> vía Sistema de Acceso a la Información Mexiquense (</w:t>
      </w:r>
      <w:r w:rsidRPr="00725A19">
        <w:rPr>
          <w:rFonts w:ascii="Palatino Linotype" w:eastAsia="Palatino Linotype" w:hAnsi="Palatino Linotype" w:cs="Palatino Linotype"/>
          <w:b/>
        </w:rPr>
        <w:t>SAIMEX)</w:t>
      </w:r>
      <w:r w:rsidRPr="00725A19">
        <w:rPr>
          <w:rFonts w:ascii="Palatino Linotype" w:eastAsia="Palatino Linotype" w:hAnsi="Palatino Linotype" w:cs="Palatino Linotype"/>
        </w:rPr>
        <w:t xml:space="preserve">, presentó las solicitudes de información registradas con los números </w:t>
      </w:r>
      <w:r w:rsidRPr="00725A19">
        <w:rPr>
          <w:rFonts w:ascii="Palatino Linotype" w:eastAsia="Palatino Linotype" w:hAnsi="Palatino Linotype" w:cs="Palatino Linotype"/>
          <w:b/>
        </w:rPr>
        <w:t>00</w:t>
      </w:r>
      <w:r w:rsidR="006169CC" w:rsidRPr="00725A19">
        <w:rPr>
          <w:rFonts w:ascii="Palatino Linotype" w:eastAsia="Palatino Linotype" w:hAnsi="Palatino Linotype" w:cs="Palatino Linotype"/>
          <w:b/>
        </w:rPr>
        <w:t>1</w:t>
      </w:r>
      <w:r w:rsidR="00CD1CCF" w:rsidRPr="00725A19">
        <w:rPr>
          <w:rFonts w:ascii="Palatino Linotype" w:eastAsia="Palatino Linotype" w:hAnsi="Palatino Linotype" w:cs="Palatino Linotype"/>
          <w:b/>
        </w:rPr>
        <w:t>28</w:t>
      </w:r>
      <w:r w:rsidRPr="00725A19">
        <w:rPr>
          <w:rFonts w:ascii="Palatino Linotype" w:eastAsia="Palatino Linotype" w:hAnsi="Palatino Linotype" w:cs="Palatino Linotype"/>
          <w:b/>
        </w:rPr>
        <w:t>/</w:t>
      </w:r>
      <w:r w:rsidR="00CD1CCF" w:rsidRPr="00725A19">
        <w:rPr>
          <w:rFonts w:ascii="Palatino Linotype" w:eastAsia="Palatino Linotype" w:hAnsi="Palatino Linotype" w:cs="Palatino Linotype"/>
          <w:b/>
        </w:rPr>
        <w:t>ALMORI/I</w:t>
      </w:r>
      <w:r w:rsidRPr="00725A19">
        <w:rPr>
          <w:rFonts w:ascii="Palatino Linotype" w:eastAsia="Palatino Linotype" w:hAnsi="Palatino Linotype" w:cs="Palatino Linotype"/>
          <w:b/>
        </w:rPr>
        <w:t>P/2024</w:t>
      </w:r>
      <w:r w:rsidR="00CD1CCF" w:rsidRPr="00725A19">
        <w:rPr>
          <w:rFonts w:ascii="Palatino Linotype" w:eastAsia="Palatino Linotype" w:hAnsi="Palatino Linotype" w:cs="Palatino Linotype"/>
          <w:b/>
        </w:rPr>
        <w:t xml:space="preserve"> </w:t>
      </w:r>
      <w:r w:rsidR="00F74EF2" w:rsidRPr="00725A19">
        <w:rPr>
          <w:rFonts w:ascii="Palatino Linotype" w:eastAsia="Palatino Linotype" w:hAnsi="Palatino Linotype" w:cs="Palatino Linotype"/>
          <w:b/>
        </w:rPr>
        <w:t xml:space="preserve">y </w:t>
      </w:r>
      <w:r w:rsidRPr="00725A19">
        <w:rPr>
          <w:rFonts w:ascii="Palatino Linotype" w:eastAsia="Palatino Linotype" w:hAnsi="Palatino Linotype" w:cs="Palatino Linotype"/>
          <w:b/>
        </w:rPr>
        <w:t>00</w:t>
      </w:r>
      <w:r w:rsidR="006169CC" w:rsidRPr="00725A19">
        <w:rPr>
          <w:rFonts w:ascii="Palatino Linotype" w:eastAsia="Palatino Linotype" w:hAnsi="Palatino Linotype" w:cs="Palatino Linotype"/>
          <w:b/>
        </w:rPr>
        <w:t>1</w:t>
      </w:r>
      <w:r w:rsidR="00C25134" w:rsidRPr="00725A19">
        <w:rPr>
          <w:rFonts w:ascii="Palatino Linotype" w:eastAsia="Palatino Linotype" w:hAnsi="Palatino Linotype" w:cs="Palatino Linotype"/>
          <w:b/>
        </w:rPr>
        <w:t>32</w:t>
      </w:r>
      <w:r w:rsidRPr="00725A19">
        <w:rPr>
          <w:rFonts w:ascii="Palatino Linotype" w:eastAsia="Palatino Linotype" w:hAnsi="Palatino Linotype" w:cs="Palatino Linotype"/>
          <w:b/>
        </w:rPr>
        <w:t>/</w:t>
      </w:r>
      <w:r w:rsidR="00CD1CCF" w:rsidRPr="00725A19">
        <w:rPr>
          <w:rFonts w:ascii="Palatino Linotype" w:eastAsia="Palatino Linotype" w:hAnsi="Palatino Linotype" w:cs="Palatino Linotype"/>
          <w:b/>
        </w:rPr>
        <w:t>ALMORI/</w:t>
      </w:r>
      <w:r w:rsidRPr="00725A19">
        <w:rPr>
          <w:rFonts w:ascii="Palatino Linotype" w:eastAsia="Palatino Linotype" w:hAnsi="Palatino Linotype" w:cs="Palatino Linotype"/>
          <w:b/>
        </w:rPr>
        <w:t xml:space="preserve">IP/2024 </w:t>
      </w:r>
      <w:r w:rsidRPr="00725A19">
        <w:rPr>
          <w:rFonts w:ascii="Palatino Linotype" w:eastAsia="Palatino Linotype" w:hAnsi="Palatino Linotype" w:cs="Palatino Linotype"/>
        </w:rPr>
        <w:t>en las que se solicitó lo siguiente:</w:t>
      </w:r>
    </w:p>
    <w:p w14:paraId="37EB7809" w14:textId="77777777" w:rsidR="005E2B80" w:rsidRPr="00725A19" w:rsidRDefault="005E2B80" w:rsidP="00373DFF">
      <w:pPr>
        <w:spacing w:line="360" w:lineRule="auto"/>
        <w:jc w:val="both"/>
        <w:rPr>
          <w:rFonts w:ascii="Palatino Linotype" w:eastAsia="Palatino Linotype" w:hAnsi="Palatino Linotype" w:cs="Palatino Linotype"/>
        </w:rPr>
      </w:pPr>
    </w:p>
    <w:tbl>
      <w:tblPr>
        <w:tblStyle w:val="Tablaconcuadrcula"/>
        <w:tblW w:w="0" w:type="auto"/>
        <w:tblLook w:val="04A0" w:firstRow="1" w:lastRow="0" w:firstColumn="1" w:lastColumn="0" w:noHBand="0" w:noVBand="1"/>
      </w:tblPr>
      <w:tblGrid>
        <w:gridCol w:w="9175"/>
      </w:tblGrid>
      <w:tr w:rsidR="00003A45" w:rsidRPr="00725A19" w14:paraId="3F55F319" w14:textId="77777777" w:rsidTr="00003A45">
        <w:tc>
          <w:tcPr>
            <w:tcW w:w="9175" w:type="dxa"/>
          </w:tcPr>
          <w:p w14:paraId="5F68B454" w14:textId="3C330D20" w:rsidR="00003A45" w:rsidRPr="00725A19" w:rsidRDefault="00003A45" w:rsidP="00003A45">
            <w:pPr>
              <w:pStyle w:val="Prrafodelista"/>
              <w:numPr>
                <w:ilvl w:val="0"/>
                <w:numId w:val="6"/>
              </w:numPr>
              <w:spacing w:line="360" w:lineRule="auto"/>
              <w:jc w:val="both"/>
              <w:rPr>
                <w:rFonts w:ascii="Palatino Linotype" w:eastAsia="Palatino Linotype" w:hAnsi="Palatino Linotype" w:cs="Palatino Linotype"/>
                <w:b/>
              </w:rPr>
            </w:pPr>
            <w:r w:rsidRPr="00725A19">
              <w:rPr>
                <w:rFonts w:ascii="Palatino Linotype" w:eastAsia="Palatino Linotype" w:hAnsi="Palatino Linotype" w:cs="Palatino Linotype"/>
                <w:b/>
              </w:rPr>
              <w:t>07</w:t>
            </w:r>
            <w:r w:rsidR="00CD1CCF" w:rsidRPr="00725A19">
              <w:rPr>
                <w:rFonts w:ascii="Palatino Linotype" w:eastAsia="Palatino Linotype" w:hAnsi="Palatino Linotype" w:cs="Palatino Linotype"/>
                <w:b/>
              </w:rPr>
              <w:t>15</w:t>
            </w:r>
            <w:r w:rsidRPr="00725A19">
              <w:rPr>
                <w:rFonts w:ascii="Palatino Linotype" w:eastAsia="Palatino Linotype" w:hAnsi="Palatino Linotype" w:cs="Palatino Linotype"/>
                <w:b/>
              </w:rPr>
              <w:t>3/INFOEM/IP/RR/2024</w:t>
            </w:r>
          </w:p>
          <w:p w14:paraId="4EDAEA28" w14:textId="75044C36" w:rsidR="00003A45" w:rsidRPr="00725A19" w:rsidRDefault="00003A45" w:rsidP="00003A45">
            <w:pPr>
              <w:jc w:val="both"/>
              <w:rPr>
                <w:rFonts w:ascii="Palatino Linotype" w:eastAsia="Palatino Linotype" w:hAnsi="Palatino Linotype" w:cs="Palatino Linotype"/>
              </w:rPr>
            </w:pPr>
            <w:r w:rsidRPr="00725A19">
              <w:rPr>
                <w:rFonts w:ascii="Palatino Linotype" w:hAnsi="Palatino Linotype"/>
                <w:i/>
                <w:color w:val="000000"/>
              </w:rPr>
              <w:t>“</w:t>
            </w:r>
            <w:r w:rsidR="00924EB3" w:rsidRPr="00725A19">
              <w:rPr>
                <w:rFonts w:ascii="Palatino Linotype" w:hAnsi="Palatino Linotype"/>
                <w:i/>
                <w:color w:val="000000"/>
              </w:rPr>
              <w:t>SOLICITO LOS CONTRATOS DE COMBUSTIBLE (GASOLINA Y DIESEL) CELEBRADOS EN 2023 Y 2024</w:t>
            </w:r>
            <w:r w:rsidRPr="00725A19">
              <w:rPr>
                <w:rFonts w:ascii="Palatino Linotype" w:hAnsi="Palatino Linotype"/>
                <w:i/>
              </w:rPr>
              <w:t>.</w:t>
            </w:r>
            <w:r w:rsidRPr="00725A19">
              <w:rPr>
                <w:rFonts w:ascii="Palatino Linotype" w:hAnsi="Palatino Linotype"/>
                <w:color w:val="000000"/>
              </w:rPr>
              <w:t>” (Sic)</w:t>
            </w:r>
          </w:p>
        </w:tc>
      </w:tr>
      <w:tr w:rsidR="00003A45" w:rsidRPr="00725A19" w14:paraId="56211A5E" w14:textId="77777777" w:rsidTr="00003A45">
        <w:tc>
          <w:tcPr>
            <w:tcW w:w="9175" w:type="dxa"/>
          </w:tcPr>
          <w:p w14:paraId="5F5BD581" w14:textId="1D58486F" w:rsidR="00003A45" w:rsidRPr="00725A19" w:rsidRDefault="00003A45" w:rsidP="00003A45">
            <w:pPr>
              <w:pStyle w:val="Prrafodelista"/>
              <w:numPr>
                <w:ilvl w:val="0"/>
                <w:numId w:val="6"/>
              </w:numPr>
              <w:spacing w:line="360" w:lineRule="auto"/>
              <w:jc w:val="both"/>
              <w:rPr>
                <w:rFonts w:ascii="Palatino Linotype" w:eastAsia="Palatino Linotype" w:hAnsi="Palatino Linotype" w:cs="Palatino Linotype"/>
                <w:b/>
              </w:rPr>
            </w:pPr>
            <w:r w:rsidRPr="00725A19">
              <w:rPr>
                <w:rFonts w:ascii="Palatino Linotype" w:eastAsia="Palatino Linotype" w:hAnsi="Palatino Linotype" w:cs="Palatino Linotype"/>
                <w:b/>
              </w:rPr>
              <w:t>07</w:t>
            </w:r>
            <w:r w:rsidR="00C25134" w:rsidRPr="00725A19">
              <w:rPr>
                <w:rFonts w:ascii="Palatino Linotype" w:eastAsia="Palatino Linotype" w:hAnsi="Palatino Linotype" w:cs="Palatino Linotype"/>
                <w:b/>
              </w:rPr>
              <w:t>158</w:t>
            </w:r>
            <w:r w:rsidRPr="00725A19">
              <w:rPr>
                <w:rFonts w:ascii="Palatino Linotype" w:eastAsia="Palatino Linotype" w:hAnsi="Palatino Linotype" w:cs="Palatino Linotype"/>
                <w:b/>
              </w:rPr>
              <w:t>/INFOEM/IP/RR/2024</w:t>
            </w:r>
          </w:p>
          <w:p w14:paraId="611AA461" w14:textId="5724EFC3" w:rsidR="00003A45" w:rsidRPr="00725A19" w:rsidRDefault="00003A45" w:rsidP="00003A45">
            <w:pPr>
              <w:jc w:val="both"/>
              <w:rPr>
                <w:rFonts w:ascii="Palatino Linotype" w:eastAsia="Palatino Linotype" w:hAnsi="Palatino Linotype" w:cs="Palatino Linotype"/>
              </w:rPr>
            </w:pPr>
            <w:r w:rsidRPr="00725A19">
              <w:rPr>
                <w:rFonts w:ascii="Palatino Linotype" w:hAnsi="Palatino Linotype"/>
                <w:i/>
                <w:color w:val="000000"/>
              </w:rPr>
              <w:lastRenderedPageBreak/>
              <w:t>“</w:t>
            </w:r>
            <w:r w:rsidR="00C25134" w:rsidRPr="00725A19">
              <w:rPr>
                <w:rFonts w:ascii="Palatino Linotype" w:hAnsi="Palatino Linotype"/>
                <w:i/>
                <w:color w:val="000000"/>
              </w:rPr>
              <w:t>SOLICITO LOS RECIBOS DE NOMINA DE LOS EMPLEADOS DE LA TESORERIA MUNICIPAL, ADMINISTRATIVOS DE LA DIRECCION DE ADMINISTRACION Y TITULAR DE LA UNIDAD DE TRANSPARENCIA</w:t>
            </w:r>
            <w:r w:rsidRPr="00725A19">
              <w:rPr>
                <w:rFonts w:ascii="Palatino Linotype" w:hAnsi="Palatino Linotype"/>
                <w:i/>
              </w:rPr>
              <w:t xml:space="preserve">.” </w:t>
            </w:r>
            <w:r w:rsidRPr="00725A19">
              <w:rPr>
                <w:rFonts w:ascii="Palatino Linotype" w:hAnsi="Palatino Linotype"/>
              </w:rPr>
              <w:t>(Sic)</w:t>
            </w:r>
          </w:p>
        </w:tc>
      </w:tr>
    </w:tbl>
    <w:p w14:paraId="331350E6" w14:textId="77777777" w:rsidR="00003A45" w:rsidRPr="00725A19" w:rsidRDefault="00003A45" w:rsidP="00373DFF">
      <w:pPr>
        <w:spacing w:line="360" w:lineRule="auto"/>
        <w:jc w:val="both"/>
        <w:rPr>
          <w:rFonts w:ascii="Palatino Linotype" w:eastAsia="Palatino Linotype" w:hAnsi="Palatino Linotype" w:cs="Palatino Linotype"/>
        </w:rPr>
      </w:pPr>
    </w:p>
    <w:p w14:paraId="07135B67" w14:textId="77777777" w:rsidR="005E2B80" w:rsidRPr="00725A19" w:rsidRDefault="00644465" w:rsidP="00373DFF">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725A19">
        <w:rPr>
          <w:rFonts w:ascii="Palatino Linotype" w:eastAsia="Palatino Linotype" w:hAnsi="Palatino Linotype" w:cs="Palatino Linotype"/>
          <w:color w:val="000000"/>
        </w:rPr>
        <w:t>Se eligió como modalidad de entrega a través de la plataforma digital Sistema de Acceso a la Información Mexiquense (SAIMEX).</w:t>
      </w:r>
    </w:p>
    <w:p w14:paraId="0CA63BB6" w14:textId="77777777" w:rsidR="0078401C" w:rsidRPr="00725A19" w:rsidRDefault="0078401C" w:rsidP="0078401C">
      <w:pPr>
        <w:pBdr>
          <w:top w:val="nil"/>
          <w:left w:val="nil"/>
          <w:bottom w:val="nil"/>
          <w:right w:val="nil"/>
          <w:between w:val="nil"/>
        </w:pBdr>
        <w:spacing w:line="360" w:lineRule="auto"/>
        <w:ind w:left="720"/>
        <w:jc w:val="both"/>
        <w:rPr>
          <w:rFonts w:ascii="Palatino Linotype" w:eastAsia="Palatino Linotype" w:hAnsi="Palatino Linotype" w:cs="Palatino Linotype"/>
          <w:color w:val="000000"/>
        </w:rPr>
      </w:pPr>
    </w:p>
    <w:p w14:paraId="180AFA5B" w14:textId="582B70E4" w:rsidR="00B61CFC" w:rsidRPr="00725A19" w:rsidRDefault="00644465" w:rsidP="00B4132C">
      <w:pPr>
        <w:numPr>
          <w:ilvl w:val="0"/>
          <w:numId w:val="4"/>
        </w:numP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En </w:t>
      </w:r>
      <w:r w:rsidRPr="00725A19">
        <w:rPr>
          <w:rFonts w:ascii="Palatino Linotype" w:eastAsia="Palatino Linotype" w:hAnsi="Palatino Linotype" w:cs="Palatino Linotype"/>
          <w:b/>
        </w:rPr>
        <w:t>SUJETO OBLIGADO</w:t>
      </w:r>
      <w:r w:rsidRPr="00725A19">
        <w:rPr>
          <w:rFonts w:ascii="Palatino Linotype" w:eastAsia="Palatino Linotype" w:hAnsi="Palatino Linotype" w:cs="Palatino Linotype"/>
          <w:b/>
          <w:i/>
        </w:rPr>
        <w:t xml:space="preserve"> </w:t>
      </w:r>
      <w:r w:rsidR="00E900EF" w:rsidRPr="00725A19">
        <w:rPr>
          <w:rFonts w:ascii="Palatino Linotype" w:eastAsia="Palatino Linotype" w:hAnsi="Palatino Linotype" w:cs="Palatino Linotype"/>
        </w:rPr>
        <w:t>no dio</w:t>
      </w:r>
      <w:r w:rsidRPr="00725A19">
        <w:rPr>
          <w:rFonts w:ascii="Palatino Linotype" w:eastAsia="Palatino Linotype" w:hAnsi="Palatino Linotype" w:cs="Palatino Linotype"/>
        </w:rPr>
        <w:t xml:space="preserve"> respuesta a las solicitudes de información </w:t>
      </w:r>
      <w:r w:rsidR="002627EC" w:rsidRPr="00725A19">
        <w:rPr>
          <w:rFonts w:ascii="Palatino Linotype" w:eastAsia="Palatino Linotype" w:hAnsi="Palatino Linotype" w:cs="Palatino Linotype"/>
        </w:rPr>
        <w:t>a</w:t>
      </w:r>
      <w:r w:rsidR="00E900EF" w:rsidRPr="00725A19">
        <w:rPr>
          <w:rFonts w:ascii="Palatino Linotype" w:eastAsia="Palatino Linotype" w:hAnsi="Palatino Linotype" w:cs="Palatino Linotype"/>
        </w:rPr>
        <w:t>ntes señaladas.</w:t>
      </w:r>
    </w:p>
    <w:p w14:paraId="040F5685" w14:textId="77777777" w:rsidR="0018649F" w:rsidRPr="00725A19" w:rsidRDefault="0018649F" w:rsidP="00B61CFC">
      <w:pPr>
        <w:pStyle w:val="Prrafodelista"/>
        <w:rPr>
          <w:rFonts w:ascii="Palatino Linotype" w:eastAsia="Palatino Linotype" w:hAnsi="Palatino Linotype" w:cs="Palatino Linotype"/>
        </w:rPr>
      </w:pPr>
    </w:p>
    <w:p w14:paraId="5B76EAE1" w14:textId="3E8F1AE4" w:rsidR="005E2B80" w:rsidRPr="00725A19" w:rsidRDefault="00644465" w:rsidP="00373DFF">
      <w:pPr>
        <w:numPr>
          <w:ilvl w:val="0"/>
          <w:numId w:val="4"/>
        </w:numPr>
        <w:pBdr>
          <w:top w:val="nil"/>
          <w:left w:val="nil"/>
          <w:bottom w:val="nil"/>
          <w:right w:val="nil"/>
          <w:between w:val="nil"/>
        </w:pBdr>
        <w:spacing w:line="360" w:lineRule="auto"/>
        <w:ind w:left="0" w:firstLine="0"/>
        <w:jc w:val="both"/>
        <w:rPr>
          <w:color w:val="000000"/>
        </w:rPr>
      </w:pPr>
      <w:r w:rsidRPr="00725A19">
        <w:rPr>
          <w:rFonts w:ascii="Palatino Linotype" w:eastAsia="Palatino Linotype" w:hAnsi="Palatino Linotype" w:cs="Palatino Linotype"/>
          <w:color w:val="000000"/>
        </w:rPr>
        <w:t xml:space="preserve">En fecha </w:t>
      </w:r>
      <w:r w:rsidR="00817A16" w:rsidRPr="00725A19">
        <w:rPr>
          <w:rFonts w:ascii="Palatino Linotype" w:eastAsia="Palatino Linotype" w:hAnsi="Palatino Linotype" w:cs="Palatino Linotype"/>
          <w:b/>
          <w:color w:val="000000"/>
        </w:rPr>
        <w:t>doce</w:t>
      </w:r>
      <w:r w:rsidR="007E4E96" w:rsidRPr="00725A19">
        <w:rPr>
          <w:rFonts w:ascii="Palatino Linotype" w:eastAsia="Palatino Linotype" w:hAnsi="Palatino Linotype" w:cs="Palatino Linotype"/>
          <w:b/>
          <w:color w:val="000000"/>
        </w:rPr>
        <w:t xml:space="preserve"> de noviembre</w:t>
      </w:r>
      <w:r w:rsidR="005C4DE6" w:rsidRPr="00725A19">
        <w:rPr>
          <w:rFonts w:ascii="Palatino Linotype" w:eastAsia="Palatino Linotype" w:hAnsi="Palatino Linotype" w:cs="Palatino Linotype"/>
          <w:b/>
          <w:color w:val="000000"/>
        </w:rPr>
        <w:t xml:space="preserve"> </w:t>
      </w:r>
      <w:r w:rsidRPr="00725A19">
        <w:rPr>
          <w:rFonts w:ascii="Palatino Linotype" w:eastAsia="Palatino Linotype" w:hAnsi="Palatino Linotype" w:cs="Palatino Linotype"/>
          <w:b/>
          <w:color w:val="000000"/>
        </w:rPr>
        <w:t>de dos mil veinticuatro,</w:t>
      </w:r>
      <w:r w:rsidRPr="00725A19">
        <w:rPr>
          <w:rFonts w:ascii="Palatino Linotype" w:eastAsia="Palatino Linotype" w:hAnsi="Palatino Linotype" w:cs="Palatino Linotype"/>
          <w:color w:val="000000"/>
        </w:rPr>
        <w:t xml:space="preserve"> el particular interpuso los recursos de revisión en contra de las respuestas, manifestando:</w:t>
      </w:r>
    </w:p>
    <w:p w14:paraId="5EC590A6" w14:textId="77777777" w:rsidR="003A5ABB" w:rsidRPr="00725A19" w:rsidRDefault="003A5ABB" w:rsidP="005C4DE6">
      <w:pPr>
        <w:pBdr>
          <w:top w:val="nil"/>
          <w:left w:val="nil"/>
          <w:bottom w:val="nil"/>
          <w:right w:val="nil"/>
          <w:between w:val="nil"/>
        </w:pBdr>
        <w:spacing w:line="360" w:lineRule="auto"/>
        <w:jc w:val="both"/>
        <w:rPr>
          <w:color w:val="000000"/>
        </w:rPr>
      </w:pPr>
    </w:p>
    <w:tbl>
      <w:tblPr>
        <w:tblStyle w:val="Tablaconcuadrcula"/>
        <w:tblW w:w="0" w:type="auto"/>
        <w:tblLook w:val="04A0" w:firstRow="1" w:lastRow="0" w:firstColumn="1" w:lastColumn="0" w:noHBand="0" w:noVBand="1"/>
      </w:tblPr>
      <w:tblGrid>
        <w:gridCol w:w="9175"/>
      </w:tblGrid>
      <w:tr w:rsidR="003A5ABB" w:rsidRPr="00725A19" w14:paraId="47214FFB" w14:textId="77777777" w:rsidTr="00AD3C97">
        <w:tc>
          <w:tcPr>
            <w:tcW w:w="9175" w:type="dxa"/>
            <w:shd w:val="clear" w:color="auto" w:fill="auto"/>
          </w:tcPr>
          <w:p w14:paraId="5C4B12E9" w14:textId="1B9D723C" w:rsidR="003A5ABB" w:rsidRPr="00725A19" w:rsidRDefault="003A5ABB" w:rsidP="00AD3C97">
            <w:pPr>
              <w:spacing w:line="360" w:lineRule="auto"/>
              <w:rPr>
                <w:color w:val="000000"/>
              </w:rPr>
            </w:pPr>
            <w:r w:rsidRPr="00725A19">
              <w:rPr>
                <w:rFonts w:ascii="Palatino Linotype" w:eastAsia="Palatino Linotype" w:hAnsi="Palatino Linotype" w:cs="Palatino Linotype"/>
                <w:b/>
              </w:rPr>
              <w:t>07</w:t>
            </w:r>
            <w:r w:rsidR="00E66744" w:rsidRPr="00725A19">
              <w:rPr>
                <w:rFonts w:ascii="Palatino Linotype" w:eastAsia="Palatino Linotype" w:hAnsi="Palatino Linotype" w:cs="Palatino Linotype"/>
                <w:b/>
              </w:rPr>
              <w:t>153</w:t>
            </w:r>
            <w:r w:rsidRPr="00725A19">
              <w:rPr>
                <w:rFonts w:ascii="Palatino Linotype" w:eastAsia="Palatino Linotype" w:hAnsi="Palatino Linotype" w:cs="Palatino Linotype"/>
                <w:b/>
              </w:rPr>
              <w:t>/INFOEM/IP/RR/2024</w:t>
            </w:r>
          </w:p>
        </w:tc>
      </w:tr>
      <w:tr w:rsidR="003A5ABB" w:rsidRPr="00725A19" w14:paraId="014EE815" w14:textId="77777777" w:rsidTr="003A5ABB">
        <w:tc>
          <w:tcPr>
            <w:tcW w:w="9175" w:type="dxa"/>
          </w:tcPr>
          <w:p w14:paraId="64063A21" w14:textId="0981D808" w:rsidR="003A5ABB" w:rsidRPr="00725A19" w:rsidRDefault="003A5ABB" w:rsidP="003A5ABB">
            <w:pPr>
              <w:numPr>
                <w:ilvl w:val="0"/>
                <w:numId w:val="2"/>
              </w:numPr>
              <w:spacing w:line="276" w:lineRule="auto"/>
              <w:jc w:val="both"/>
              <w:rPr>
                <w:rFonts w:ascii="Palatino Linotype" w:eastAsia="Palatino Linotype" w:hAnsi="Palatino Linotype" w:cs="Palatino Linotype"/>
                <w:i/>
                <w:color w:val="000000"/>
              </w:rPr>
            </w:pPr>
            <w:r w:rsidRPr="00725A19">
              <w:rPr>
                <w:rFonts w:ascii="Palatino Linotype" w:eastAsia="Palatino Linotype" w:hAnsi="Palatino Linotype" w:cs="Palatino Linotype"/>
                <w:b/>
                <w:color w:val="000000"/>
              </w:rPr>
              <w:t>Acto impugnado:</w:t>
            </w:r>
            <w:r w:rsidRPr="00725A19">
              <w:rPr>
                <w:rFonts w:ascii="Palatino Linotype" w:eastAsia="Palatino Linotype" w:hAnsi="Palatino Linotype" w:cs="Palatino Linotype"/>
                <w:b/>
                <w:i/>
                <w:color w:val="000000"/>
              </w:rPr>
              <w:t xml:space="preserve"> </w:t>
            </w:r>
            <w:r w:rsidRPr="00725A19">
              <w:rPr>
                <w:rFonts w:ascii="Palatino Linotype" w:eastAsia="Palatino Linotype" w:hAnsi="Palatino Linotype" w:cs="Palatino Linotype"/>
                <w:i/>
                <w:color w:val="000000"/>
              </w:rPr>
              <w:t>“</w:t>
            </w:r>
            <w:r w:rsidR="00E66744" w:rsidRPr="00725A19">
              <w:rPr>
                <w:rFonts w:ascii="Palatino Linotype" w:hAnsi="Palatino Linotype"/>
                <w:i/>
                <w:iCs/>
                <w:color w:val="000000"/>
              </w:rPr>
              <w:t>SOLICITO LOS CONTRATOS DE COMBUSTIBLE (GASOLINA Y DIESEL) CELEBRADOS EN 2023 Y 2024</w:t>
            </w:r>
            <w:r w:rsidRPr="00725A19">
              <w:rPr>
                <w:rFonts w:ascii="Palatino Linotype" w:hAnsi="Palatino Linotype"/>
                <w:i/>
                <w:color w:val="000000"/>
              </w:rPr>
              <w:t>.</w:t>
            </w:r>
            <w:r w:rsidRPr="00725A19">
              <w:rPr>
                <w:rFonts w:ascii="Palatino Linotype" w:eastAsia="Palatino Linotype" w:hAnsi="Palatino Linotype" w:cs="Palatino Linotype"/>
                <w:i/>
                <w:color w:val="000000"/>
              </w:rPr>
              <w:t xml:space="preserve">” </w:t>
            </w:r>
            <w:r w:rsidRPr="00725A19">
              <w:rPr>
                <w:rFonts w:ascii="Palatino Linotype" w:eastAsia="Palatino Linotype" w:hAnsi="Palatino Linotype" w:cs="Palatino Linotype"/>
                <w:color w:val="000000"/>
              </w:rPr>
              <w:t>(Sic)</w:t>
            </w:r>
          </w:p>
          <w:p w14:paraId="5DF0FE0C" w14:textId="7A453125" w:rsidR="003A5ABB" w:rsidRPr="00725A19" w:rsidRDefault="003A5ABB" w:rsidP="003A5ABB">
            <w:pPr>
              <w:numPr>
                <w:ilvl w:val="0"/>
                <w:numId w:val="1"/>
              </w:numPr>
              <w:pBdr>
                <w:top w:val="nil"/>
                <w:left w:val="nil"/>
                <w:bottom w:val="nil"/>
                <w:right w:val="nil"/>
                <w:between w:val="nil"/>
              </w:pBdr>
              <w:spacing w:line="276" w:lineRule="auto"/>
              <w:jc w:val="both"/>
              <w:rPr>
                <w:color w:val="000000"/>
              </w:rPr>
            </w:pPr>
            <w:bookmarkStart w:id="1" w:name="_heading=h.1t3h5sf" w:colFirst="0" w:colLast="0"/>
            <w:bookmarkEnd w:id="1"/>
            <w:r w:rsidRPr="00725A19">
              <w:rPr>
                <w:rFonts w:ascii="Palatino Linotype" w:eastAsia="Palatino Linotype" w:hAnsi="Palatino Linotype" w:cs="Palatino Linotype"/>
                <w:b/>
                <w:color w:val="000000"/>
              </w:rPr>
              <w:t>Razones o Motivos de inconformidad:</w:t>
            </w:r>
            <w:r w:rsidRPr="00725A19">
              <w:rPr>
                <w:rFonts w:ascii="Palatino Linotype" w:eastAsia="Palatino Linotype" w:hAnsi="Palatino Linotype" w:cs="Palatino Linotype"/>
                <w:b/>
                <w:i/>
                <w:color w:val="000000"/>
              </w:rPr>
              <w:t xml:space="preserve"> </w:t>
            </w:r>
            <w:r w:rsidRPr="00725A19">
              <w:rPr>
                <w:rFonts w:ascii="Palatino Linotype" w:eastAsia="Palatino Linotype" w:hAnsi="Palatino Linotype" w:cs="Palatino Linotype"/>
                <w:i/>
                <w:color w:val="000000"/>
              </w:rPr>
              <w:t>“</w:t>
            </w:r>
            <w:r w:rsidR="00E66744" w:rsidRPr="00725A19">
              <w:rPr>
                <w:rFonts w:ascii="Palatino Linotype" w:hAnsi="Palatino Linotype"/>
                <w:i/>
                <w:iCs/>
                <w:color w:val="000000"/>
              </w:rPr>
              <w:t>no entregan informacion</w:t>
            </w:r>
            <w:r w:rsidRPr="00725A19">
              <w:rPr>
                <w:rFonts w:ascii="Palatino Linotype" w:hAnsi="Palatino Linotype"/>
                <w:i/>
                <w:color w:val="000000"/>
              </w:rPr>
              <w:t>.</w:t>
            </w:r>
            <w:r w:rsidRPr="00725A19">
              <w:rPr>
                <w:rFonts w:ascii="Palatino Linotype" w:eastAsia="Palatino Linotype" w:hAnsi="Palatino Linotype" w:cs="Palatino Linotype"/>
                <w:i/>
                <w:color w:val="000000"/>
              </w:rPr>
              <w:t xml:space="preserve">” </w:t>
            </w:r>
            <w:r w:rsidRPr="00725A19">
              <w:rPr>
                <w:rFonts w:ascii="Palatino Linotype" w:eastAsia="Palatino Linotype" w:hAnsi="Palatino Linotype" w:cs="Palatino Linotype"/>
                <w:color w:val="000000"/>
              </w:rPr>
              <w:t>(Sic)</w:t>
            </w:r>
          </w:p>
        </w:tc>
      </w:tr>
    </w:tbl>
    <w:p w14:paraId="4B2A1950" w14:textId="77777777" w:rsidR="003A5ABB" w:rsidRPr="00725A19" w:rsidRDefault="003A5ABB" w:rsidP="005C4DE6">
      <w:pPr>
        <w:pBdr>
          <w:top w:val="nil"/>
          <w:left w:val="nil"/>
          <w:bottom w:val="nil"/>
          <w:right w:val="nil"/>
          <w:between w:val="nil"/>
        </w:pBdr>
        <w:spacing w:line="360" w:lineRule="auto"/>
        <w:jc w:val="both"/>
        <w:rPr>
          <w:color w:val="000000"/>
        </w:rPr>
      </w:pPr>
    </w:p>
    <w:tbl>
      <w:tblPr>
        <w:tblStyle w:val="Tablaconcuadrcula"/>
        <w:tblW w:w="0" w:type="auto"/>
        <w:tblLook w:val="04A0" w:firstRow="1" w:lastRow="0" w:firstColumn="1" w:lastColumn="0" w:noHBand="0" w:noVBand="1"/>
      </w:tblPr>
      <w:tblGrid>
        <w:gridCol w:w="9175"/>
      </w:tblGrid>
      <w:tr w:rsidR="003A5ABB" w:rsidRPr="00725A19" w14:paraId="61E380E8" w14:textId="77777777" w:rsidTr="003A5ABB">
        <w:tc>
          <w:tcPr>
            <w:tcW w:w="9175" w:type="dxa"/>
          </w:tcPr>
          <w:p w14:paraId="2919E7EF" w14:textId="40518A12" w:rsidR="003A5ABB" w:rsidRPr="00725A19" w:rsidRDefault="003A5ABB" w:rsidP="00AD3C97">
            <w:pPr>
              <w:spacing w:line="276" w:lineRule="auto"/>
              <w:rPr>
                <w:color w:val="000000"/>
              </w:rPr>
            </w:pPr>
            <w:r w:rsidRPr="00725A19">
              <w:rPr>
                <w:rFonts w:ascii="Palatino Linotype" w:eastAsia="Palatino Linotype" w:hAnsi="Palatino Linotype" w:cs="Palatino Linotype"/>
                <w:b/>
              </w:rPr>
              <w:t>07</w:t>
            </w:r>
            <w:r w:rsidR="00E66744" w:rsidRPr="00725A19">
              <w:rPr>
                <w:rFonts w:ascii="Palatino Linotype" w:eastAsia="Palatino Linotype" w:hAnsi="Palatino Linotype" w:cs="Palatino Linotype"/>
                <w:b/>
              </w:rPr>
              <w:t>158</w:t>
            </w:r>
            <w:r w:rsidRPr="00725A19">
              <w:rPr>
                <w:rFonts w:ascii="Palatino Linotype" w:eastAsia="Palatino Linotype" w:hAnsi="Palatino Linotype" w:cs="Palatino Linotype"/>
                <w:b/>
              </w:rPr>
              <w:t>/INFOEM/IP/RR/2024</w:t>
            </w:r>
          </w:p>
        </w:tc>
      </w:tr>
      <w:tr w:rsidR="003A5ABB" w:rsidRPr="00725A19" w14:paraId="4E172FC1" w14:textId="77777777" w:rsidTr="003A5ABB">
        <w:tc>
          <w:tcPr>
            <w:tcW w:w="9175" w:type="dxa"/>
          </w:tcPr>
          <w:p w14:paraId="6FD53040" w14:textId="2B83193E" w:rsidR="003A5ABB" w:rsidRPr="00725A19" w:rsidRDefault="003A5ABB" w:rsidP="00B4132C">
            <w:pPr>
              <w:numPr>
                <w:ilvl w:val="0"/>
                <w:numId w:val="2"/>
              </w:numPr>
              <w:spacing w:line="276" w:lineRule="auto"/>
              <w:jc w:val="both"/>
              <w:rPr>
                <w:rFonts w:ascii="Palatino Linotype" w:eastAsia="Palatino Linotype" w:hAnsi="Palatino Linotype" w:cs="Palatino Linotype"/>
                <w:i/>
                <w:color w:val="000000"/>
              </w:rPr>
            </w:pPr>
            <w:r w:rsidRPr="00725A19">
              <w:rPr>
                <w:rFonts w:ascii="Palatino Linotype" w:eastAsia="Palatino Linotype" w:hAnsi="Palatino Linotype" w:cs="Palatino Linotype"/>
                <w:b/>
                <w:color w:val="000000"/>
              </w:rPr>
              <w:t>Acto impugnado:</w:t>
            </w:r>
            <w:r w:rsidRPr="00725A19">
              <w:rPr>
                <w:rFonts w:ascii="Palatino Linotype" w:eastAsia="Palatino Linotype" w:hAnsi="Palatino Linotype" w:cs="Palatino Linotype"/>
                <w:b/>
                <w:i/>
                <w:color w:val="000000"/>
              </w:rPr>
              <w:t xml:space="preserve"> </w:t>
            </w:r>
            <w:r w:rsidRPr="00725A19">
              <w:rPr>
                <w:rFonts w:ascii="Palatino Linotype" w:eastAsia="Palatino Linotype" w:hAnsi="Palatino Linotype" w:cs="Palatino Linotype"/>
                <w:i/>
                <w:color w:val="000000"/>
              </w:rPr>
              <w:t>“</w:t>
            </w:r>
            <w:r w:rsidR="002D62CD" w:rsidRPr="00725A19">
              <w:rPr>
                <w:rFonts w:ascii="Palatino Linotype" w:hAnsi="Palatino Linotype"/>
                <w:i/>
                <w:iCs/>
                <w:color w:val="000000"/>
              </w:rPr>
              <w:t>SOLICITO LOS RECIBOS DE NOMINA DE LOS EMPLEADOS DE LA TESORERIA MUNICIPAL, ADMINISTRATIVOS DE LA DIRECCION DE ADMINISTRACION Y TITULAR DE LA UNIDAD DE TRANSPARENCIA</w:t>
            </w:r>
            <w:r w:rsidRPr="00725A19">
              <w:rPr>
                <w:rFonts w:ascii="Palatino Linotype" w:hAnsi="Palatino Linotype"/>
                <w:i/>
                <w:color w:val="000000"/>
              </w:rPr>
              <w:t>.</w:t>
            </w:r>
            <w:r w:rsidRPr="00725A19">
              <w:rPr>
                <w:rFonts w:ascii="Palatino Linotype" w:eastAsia="Palatino Linotype" w:hAnsi="Palatino Linotype" w:cs="Palatino Linotype"/>
                <w:i/>
                <w:color w:val="000000"/>
              </w:rPr>
              <w:t xml:space="preserve">” </w:t>
            </w:r>
            <w:r w:rsidRPr="00725A19">
              <w:rPr>
                <w:rFonts w:ascii="Palatino Linotype" w:eastAsia="Palatino Linotype" w:hAnsi="Palatino Linotype" w:cs="Palatino Linotype"/>
                <w:color w:val="000000"/>
              </w:rPr>
              <w:t>(Sic)</w:t>
            </w:r>
          </w:p>
          <w:p w14:paraId="60A8FDA3" w14:textId="793DF83D" w:rsidR="003A5ABB" w:rsidRPr="00725A19" w:rsidRDefault="003A5ABB" w:rsidP="003A5ABB">
            <w:pPr>
              <w:numPr>
                <w:ilvl w:val="0"/>
                <w:numId w:val="1"/>
              </w:numPr>
              <w:pBdr>
                <w:top w:val="nil"/>
                <w:left w:val="nil"/>
                <w:bottom w:val="nil"/>
                <w:right w:val="nil"/>
                <w:between w:val="nil"/>
              </w:pBdr>
              <w:spacing w:line="276" w:lineRule="auto"/>
              <w:jc w:val="both"/>
              <w:rPr>
                <w:color w:val="000000"/>
              </w:rPr>
            </w:pPr>
            <w:r w:rsidRPr="00725A19">
              <w:rPr>
                <w:rFonts w:ascii="Palatino Linotype" w:eastAsia="Palatino Linotype" w:hAnsi="Palatino Linotype" w:cs="Palatino Linotype"/>
                <w:b/>
                <w:color w:val="000000"/>
              </w:rPr>
              <w:t xml:space="preserve">Razones o Motivos de inconformidad: </w:t>
            </w:r>
            <w:r w:rsidRPr="00725A19">
              <w:rPr>
                <w:rFonts w:ascii="Palatino Linotype" w:eastAsia="Palatino Linotype" w:hAnsi="Palatino Linotype" w:cs="Palatino Linotype"/>
                <w:i/>
                <w:color w:val="000000"/>
              </w:rPr>
              <w:t>“</w:t>
            </w:r>
            <w:r w:rsidR="002D62CD" w:rsidRPr="00725A19">
              <w:rPr>
                <w:rFonts w:ascii="Palatino Linotype" w:hAnsi="Palatino Linotype"/>
                <w:i/>
                <w:iCs/>
                <w:color w:val="000000"/>
              </w:rPr>
              <w:t>no entregaron la informacion</w:t>
            </w:r>
            <w:r w:rsidRPr="00725A19">
              <w:rPr>
                <w:rFonts w:ascii="Palatino Linotype" w:hAnsi="Palatino Linotype"/>
                <w:i/>
                <w:color w:val="000000"/>
              </w:rPr>
              <w:t>.</w:t>
            </w:r>
            <w:r w:rsidRPr="00725A19">
              <w:rPr>
                <w:rFonts w:ascii="Palatino Linotype" w:eastAsia="Palatino Linotype" w:hAnsi="Palatino Linotype" w:cs="Palatino Linotype"/>
                <w:i/>
                <w:color w:val="000000"/>
              </w:rPr>
              <w:t xml:space="preserve">” </w:t>
            </w:r>
            <w:r w:rsidRPr="00725A19">
              <w:rPr>
                <w:rFonts w:ascii="Palatino Linotype" w:eastAsia="Palatino Linotype" w:hAnsi="Palatino Linotype" w:cs="Palatino Linotype"/>
                <w:color w:val="000000"/>
              </w:rPr>
              <w:t>(Sic)</w:t>
            </w:r>
          </w:p>
        </w:tc>
      </w:tr>
    </w:tbl>
    <w:p w14:paraId="6A8FDB46" w14:textId="77777777" w:rsidR="003A5ABB" w:rsidRPr="00725A19" w:rsidRDefault="003A5ABB" w:rsidP="005C4DE6">
      <w:pPr>
        <w:pBdr>
          <w:top w:val="nil"/>
          <w:left w:val="nil"/>
          <w:bottom w:val="nil"/>
          <w:right w:val="nil"/>
          <w:between w:val="nil"/>
        </w:pBdr>
        <w:spacing w:line="360" w:lineRule="auto"/>
        <w:jc w:val="both"/>
        <w:rPr>
          <w:color w:val="000000"/>
        </w:rPr>
      </w:pPr>
    </w:p>
    <w:p w14:paraId="7D2309D1" w14:textId="12BF0BE0" w:rsidR="00586641" w:rsidRPr="00725A19" w:rsidRDefault="00586641" w:rsidP="00586641">
      <w:pPr>
        <w:pStyle w:val="Prrafodelista"/>
        <w:numPr>
          <w:ilvl w:val="0"/>
          <w:numId w:val="4"/>
        </w:numPr>
        <w:spacing w:line="360" w:lineRule="auto"/>
        <w:ind w:left="0" w:firstLine="0"/>
        <w:contextualSpacing w:val="0"/>
        <w:jc w:val="both"/>
        <w:rPr>
          <w:rFonts w:ascii="Palatino Linotype" w:hAnsi="Palatino Linotype"/>
        </w:rPr>
      </w:pPr>
      <w:r w:rsidRPr="00725A19">
        <w:rPr>
          <w:rFonts w:ascii="Palatino Linotype" w:hAnsi="Palatino Linotype"/>
        </w:rPr>
        <w:lastRenderedPageBreak/>
        <w:t>Consecutivamente</w:t>
      </w:r>
      <w:r w:rsidRPr="00725A19">
        <w:rPr>
          <w:rFonts w:ascii="Palatino Linotype" w:hAnsi="Palatino Linotype"/>
          <w:i/>
        </w:rPr>
        <w:t xml:space="preserve">, </w:t>
      </w:r>
      <w:r w:rsidRPr="00725A19">
        <w:rPr>
          <w:rFonts w:ascii="Palatino Linotype" w:hAnsi="Palatino Linotype"/>
        </w:rPr>
        <w:t xml:space="preserve">con fundamento en lo dispuesto por el artículo 185 fracción I de la Ley de Transparencia y Acceso a la Información Pública del Estado de </w:t>
      </w:r>
      <w:r w:rsidRPr="00725A19">
        <w:rPr>
          <w:rFonts w:ascii="Palatino Linotype" w:hAnsi="Palatino Linotype"/>
          <w:color w:val="000000"/>
        </w:rPr>
        <w:t>México</w:t>
      </w:r>
      <w:r w:rsidRPr="00725A19">
        <w:rPr>
          <w:rFonts w:ascii="Palatino Linotype" w:hAnsi="Palatino Linotype"/>
        </w:rPr>
        <w:t xml:space="preserve"> y Municipios, los recursos de referencia, fueron turnados</w:t>
      </w:r>
      <w:r w:rsidRPr="00725A19">
        <w:rPr>
          <w:rFonts w:ascii="Palatino Linotype" w:hAnsi="Palatino Linotype"/>
          <w:b/>
        </w:rPr>
        <w:t xml:space="preserve"> </w:t>
      </w:r>
      <w:r w:rsidRPr="00725A19">
        <w:rPr>
          <w:rFonts w:ascii="Palatino Linotype" w:hAnsi="Palatino Linotype"/>
        </w:rPr>
        <w:t xml:space="preserve">a los </w:t>
      </w:r>
      <w:r w:rsidR="00572923" w:rsidRPr="00725A19">
        <w:rPr>
          <w:rFonts w:ascii="Palatino Linotype" w:hAnsi="Palatino Linotype"/>
        </w:rPr>
        <w:t xml:space="preserve">comisionada </w:t>
      </w:r>
      <w:r w:rsidR="00572923" w:rsidRPr="00725A19">
        <w:rPr>
          <w:rFonts w:ascii="Palatino Linotype" w:hAnsi="Palatino Linotype"/>
          <w:b/>
          <w:bCs/>
        </w:rPr>
        <w:t>María</w:t>
      </w:r>
      <w:r w:rsidRPr="00725A19">
        <w:rPr>
          <w:rFonts w:ascii="Palatino Linotype" w:hAnsi="Palatino Linotype"/>
          <w:b/>
        </w:rPr>
        <w:t xml:space="preserve"> del Rosario Mejía Ayala, </w:t>
      </w:r>
      <w:r w:rsidRPr="00725A19">
        <w:rPr>
          <w:rFonts w:ascii="Palatino Linotype" w:hAnsi="Palatino Linotype"/>
        </w:rPr>
        <w:t>con el objeto de su análisis.</w:t>
      </w:r>
    </w:p>
    <w:p w14:paraId="443C8A05" w14:textId="77777777" w:rsidR="00586641" w:rsidRPr="00725A19" w:rsidRDefault="00586641" w:rsidP="00586641">
      <w:pPr>
        <w:pStyle w:val="Prrafodelista"/>
        <w:spacing w:line="360" w:lineRule="auto"/>
        <w:ind w:left="0"/>
        <w:contextualSpacing w:val="0"/>
        <w:jc w:val="both"/>
        <w:rPr>
          <w:rFonts w:ascii="Palatino Linotype" w:hAnsi="Palatino Linotype"/>
        </w:rPr>
      </w:pPr>
    </w:p>
    <w:p w14:paraId="6187AC5E" w14:textId="75A2AADB" w:rsidR="00586641" w:rsidRPr="00725A19" w:rsidRDefault="00586641" w:rsidP="00586641">
      <w:pPr>
        <w:pStyle w:val="Prrafodelista"/>
        <w:numPr>
          <w:ilvl w:val="0"/>
          <w:numId w:val="4"/>
        </w:numPr>
        <w:spacing w:line="360" w:lineRule="auto"/>
        <w:ind w:left="0" w:firstLine="0"/>
        <w:contextualSpacing w:val="0"/>
        <w:jc w:val="both"/>
        <w:rPr>
          <w:rFonts w:ascii="Palatino Linotype" w:hAnsi="Palatino Linotype"/>
          <w:color w:val="000000"/>
        </w:rPr>
      </w:pPr>
      <w:r w:rsidRPr="00725A19">
        <w:rPr>
          <w:rFonts w:ascii="Palatino Linotype" w:hAnsi="Palatino Linotype"/>
          <w:color w:val="000000"/>
        </w:rPr>
        <w:t>L</w:t>
      </w:r>
      <w:r w:rsidR="00A37A70" w:rsidRPr="00725A19">
        <w:rPr>
          <w:rFonts w:ascii="Palatino Linotype" w:hAnsi="Palatino Linotype"/>
          <w:color w:val="000000"/>
        </w:rPr>
        <w:t>a</w:t>
      </w:r>
      <w:r w:rsidRPr="00725A19">
        <w:rPr>
          <w:rFonts w:ascii="Palatino Linotype" w:hAnsi="Palatino Linotype"/>
          <w:color w:val="000000"/>
        </w:rPr>
        <w:t xml:space="preserve"> Comisionad</w:t>
      </w:r>
      <w:r w:rsidR="00A37A70" w:rsidRPr="00725A19">
        <w:rPr>
          <w:rFonts w:ascii="Palatino Linotype" w:hAnsi="Palatino Linotype"/>
          <w:color w:val="000000"/>
        </w:rPr>
        <w:t>a</w:t>
      </w:r>
      <w:r w:rsidRPr="00725A19">
        <w:rPr>
          <w:rFonts w:ascii="Palatino Linotype" w:hAnsi="Palatino Linotype"/>
          <w:color w:val="000000"/>
        </w:rPr>
        <w:t xml:space="preserve"> Ponente de origen con fundamento en lo dispuesto por el artículo 185 </w:t>
      </w:r>
      <w:r w:rsidRPr="00725A19">
        <w:rPr>
          <w:rFonts w:ascii="Palatino Linotype" w:eastAsia="Calibri" w:hAnsi="Palatino Linotype" w:cs="Arial"/>
        </w:rPr>
        <w:t>fracción</w:t>
      </w:r>
      <w:r w:rsidRPr="00725A19">
        <w:rPr>
          <w:rFonts w:ascii="Palatino Linotype" w:hAnsi="Palatino Linotype"/>
          <w:color w:val="000000"/>
        </w:rPr>
        <w:t xml:space="preserve"> II de la ley de la materia, a través de los </w:t>
      </w:r>
      <w:r w:rsidRPr="00725A19">
        <w:rPr>
          <w:rFonts w:ascii="Palatino Linotype" w:hAnsi="Palatino Linotype"/>
          <w:b/>
          <w:color w:val="000000"/>
        </w:rPr>
        <w:t xml:space="preserve">acuerdos de admisión </w:t>
      </w:r>
      <w:r w:rsidRPr="00725A19">
        <w:rPr>
          <w:rFonts w:ascii="Palatino Linotype" w:hAnsi="Palatino Linotype"/>
          <w:color w:val="000000"/>
        </w:rPr>
        <w:t xml:space="preserve">de fecha </w:t>
      </w:r>
      <w:r w:rsidR="00A37A70" w:rsidRPr="00725A19">
        <w:rPr>
          <w:rFonts w:ascii="Palatino Linotype" w:hAnsi="Palatino Linotype"/>
          <w:b/>
          <w:color w:val="000000"/>
        </w:rPr>
        <w:t>diecinueve</w:t>
      </w:r>
      <w:r w:rsidRPr="00725A19">
        <w:rPr>
          <w:rFonts w:ascii="Palatino Linotype" w:hAnsi="Palatino Linotype"/>
          <w:b/>
          <w:color w:val="000000"/>
        </w:rPr>
        <w:t xml:space="preserve"> de noviembre de dos mil veinticuatro</w:t>
      </w:r>
      <w:r w:rsidRPr="00725A19">
        <w:rPr>
          <w:rFonts w:ascii="Palatino Linotype" w:hAnsi="Palatino Linotype"/>
          <w:color w:val="000000"/>
        </w:rPr>
        <w:t xml:space="preserve">, pusieron a disposición de las partes el expediente electrónico vía SAIMEX a efecto de que en un plazo máximo de siete días manifestaran lo que a su derecho conviniera, ofrecieran pruebas y alegatos según corresponda al caso concreto, de esta forma para que el </w:t>
      </w:r>
      <w:r w:rsidRPr="00725A19">
        <w:rPr>
          <w:rFonts w:ascii="Palatino Linotype" w:hAnsi="Palatino Linotype"/>
          <w:b/>
          <w:color w:val="000000"/>
        </w:rPr>
        <w:t xml:space="preserve">SUJETO OBLIGADO </w:t>
      </w:r>
      <w:r w:rsidRPr="00725A19">
        <w:rPr>
          <w:rFonts w:ascii="Palatino Linotype" w:hAnsi="Palatino Linotype"/>
          <w:color w:val="000000"/>
        </w:rPr>
        <w:t>presentara el Informe Justificado procedente.</w:t>
      </w:r>
    </w:p>
    <w:p w14:paraId="2CEC8816" w14:textId="77777777" w:rsidR="00586641" w:rsidRPr="00725A19" w:rsidRDefault="00586641" w:rsidP="00586641">
      <w:pPr>
        <w:pStyle w:val="Prrafodelista"/>
        <w:spacing w:line="360" w:lineRule="auto"/>
        <w:ind w:left="0" w:right="1"/>
        <w:jc w:val="both"/>
        <w:rPr>
          <w:rFonts w:ascii="Palatino Linotype" w:eastAsia="Palatino Linotype" w:hAnsi="Palatino Linotype" w:cs="Palatino Linotype"/>
        </w:rPr>
      </w:pPr>
    </w:p>
    <w:p w14:paraId="092D8A17" w14:textId="77777777" w:rsidR="00A2615F" w:rsidRPr="00725A19" w:rsidRDefault="00A2615F" w:rsidP="00A2615F">
      <w:pPr>
        <w:pStyle w:val="Prrafodelista"/>
        <w:numPr>
          <w:ilvl w:val="0"/>
          <w:numId w:val="4"/>
        </w:numPr>
        <w:spacing w:line="360" w:lineRule="auto"/>
        <w:ind w:left="0" w:right="1"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Por su parte, el </w:t>
      </w:r>
      <w:r w:rsidRPr="00725A19">
        <w:rPr>
          <w:rFonts w:ascii="Palatino Linotype" w:eastAsia="Palatino Linotype" w:hAnsi="Palatino Linotype" w:cs="Palatino Linotype"/>
          <w:b/>
        </w:rPr>
        <w:t xml:space="preserve">RECURRENTE </w:t>
      </w:r>
      <w:r w:rsidRPr="00725A19">
        <w:rPr>
          <w:rFonts w:ascii="Palatino Linotype" w:eastAsia="Palatino Linotype" w:hAnsi="Palatino Linotype" w:cs="Palatino Linotype"/>
        </w:rPr>
        <w:t xml:space="preserve">no presentó alegatos ni ofreció medios de prueba, según constancias del Sistema de Acceso a la Información Mexiquense </w:t>
      </w:r>
      <w:r w:rsidRPr="00725A19">
        <w:rPr>
          <w:rFonts w:ascii="Palatino Linotype" w:eastAsia="Palatino Linotype" w:hAnsi="Palatino Linotype" w:cs="Palatino Linotype"/>
          <w:b/>
        </w:rPr>
        <w:t>SAIMEX.</w:t>
      </w:r>
    </w:p>
    <w:p w14:paraId="33173C85" w14:textId="77777777" w:rsidR="004D25A9" w:rsidRPr="00725A19" w:rsidRDefault="004D25A9" w:rsidP="00791563">
      <w:pPr>
        <w:pStyle w:val="Prrafodelista"/>
        <w:spacing w:line="360" w:lineRule="auto"/>
        <w:rPr>
          <w:rFonts w:ascii="Palatino Linotype" w:eastAsia="Palatino Linotype" w:hAnsi="Palatino Linotype" w:cs="Palatino Linotype"/>
        </w:rPr>
      </w:pPr>
    </w:p>
    <w:p w14:paraId="1D797B95" w14:textId="77BCEEFD" w:rsidR="00A5429A" w:rsidRPr="00725A19" w:rsidRDefault="004D25A9" w:rsidP="005119C6">
      <w:pPr>
        <w:pStyle w:val="Prrafodelista"/>
        <w:numPr>
          <w:ilvl w:val="0"/>
          <w:numId w:val="4"/>
        </w:numPr>
        <w:spacing w:line="360" w:lineRule="auto"/>
        <w:ind w:left="0" w:right="1" w:firstLine="0"/>
        <w:jc w:val="both"/>
        <w:rPr>
          <w:rFonts w:ascii="Palatino Linotype" w:eastAsia="Palatino Linotype" w:hAnsi="Palatino Linotype" w:cs="Palatino Linotype"/>
          <w:color w:val="000000"/>
          <w:sz w:val="22"/>
          <w:szCs w:val="22"/>
        </w:rPr>
      </w:pPr>
      <w:r w:rsidRPr="00725A19">
        <w:rPr>
          <w:rFonts w:ascii="Palatino Linotype" w:eastAsia="Palatino Linotype" w:hAnsi="Palatino Linotype" w:cs="Palatino Linotype"/>
        </w:rPr>
        <w:t xml:space="preserve">El </w:t>
      </w:r>
      <w:r w:rsidR="00A2615F" w:rsidRPr="00725A19">
        <w:rPr>
          <w:rFonts w:ascii="Palatino Linotype" w:eastAsia="Palatino Linotype" w:hAnsi="Palatino Linotype" w:cs="Palatino Linotype"/>
          <w:b/>
        </w:rPr>
        <w:t xml:space="preserve">SUJETO OBLIGADO </w:t>
      </w:r>
      <w:r w:rsidR="003D74FB" w:rsidRPr="00725A19">
        <w:rPr>
          <w:rFonts w:ascii="Palatino Linotype" w:eastAsia="Palatino Linotype" w:hAnsi="Palatino Linotype" w:cs="Palatino Linotype"/>
        </w:rPr>
        <w:t xml:space="preserve">en fecha </w:t>
      </w:r>
      <w:r w:rsidR="00E416B7" w:rsidRPr="00725A19">
        <w:rPr>
          <w:rFonts w:ascii="Palatino Linotype" w:eastAsia="Palatino Linotype" w:hAnsi="Palatino Linotype" w:cs="Palatino Linotype"/>
          <w:b/>
        </w:rPr>
        <w:t>veinte</w:t>
      </w:r>
      <w:r w:rsidR="003D74FB" w:rsidRPr="00725A19">
        <w:rPr>
          <w:rFonts w:ascii="Palatino Linotype" w:eastAsia="Palatino Linotype" w:hAnsi="Palatino Linotype" w:cs="Palatino Linotype"/>
          <w:b/>
        </w:rPr>
        <w:t xml:space="preserve"> de noviembre de dos mil veinticuatro, </w:t>
      </w:r>
      <w:r w:rsidR="001A67FB" w:rsidRPr="00725A19">
        <w:rPr>
          <w:rFonts w:ascii="Palatino Linotype" w:eastAsia="Palatino Linotype" w:hAnsi="Palatino Linotype" w:cs="Palatino Linotype"/>
        </w:rPr>
        <w:t>dentro de los recursos de revisión</w:t>
      </w:r>
      <w:r w:rsidR="00E416B7" w:rsidRPr="00725A19">
        <w:rPr>
          <w:rFonts w:ascii="Palatino Linotype" w:eastAsia="Palatino Linotype" w:hAnsi="Palatino Linotype" w:cs="Palatino Linotype"/>
        </w:rPr>
        <w:t xml:space="preserve"> materia del presente,</w:t>
      </w:r>
      <w:r w:rsidR="001A67FB" w:rsidRPr="00725A19">
        <w:rPr>
          <w:rFonts w:ascii="Palatino Linotype" w:eastAsia="Palatino Linotype" w:hAnsi="Palatino Linotype" w:cs="Palatino Linotype"/>
          <w:b/>
        </w:rPr>
        <w:t xml:space="preserve"> </w:t>
      </w:r>
      <w:r w:rsidR="00A2615F" w:rsidRPr="00725A19">
        <w:rPr>
          <w:rFonts w:ascii="Palatino Linotype" w:eastAsia="Palatino Linotype" w:hAnsi="Palatino Linotype" w:cs="Palatino Linotype"/>
        </w:rPr>
        <w:t>rindió el informe justificado</w:t>
      </w:r>
      <w:r w:rsidR="00E416B7" w:rsidRPr="00725A19">
        <w:rPr>
          <w:rFonts w:ascii="Palatino Linotype" w:eastAsia="Palatino Linotype" w:hAnsi="Palatino Linotype" w:cs="Palatino Linotype"/>
        </w:rPr>
        <w:t>, adjuntando archivos electrónicos.</w:t>
      </w:r>
    </w:p>
    <w:p w14:paraId="1A706045" w14:textId="77777777" w:rsidR="00E416B7" w:rsidRPr="00725A19" w:rsidRDefault="00E416B7" w:rsidP="00E416B7">
      <w:pPr>
        <w:pStyle w:val="Prrafodelista"/>
        <w:rPr>
          <w:rFonts w:ascii="Palatino Linotype" w:eastAsia="Palatino Linotype" w:hAnsi="Palatino Linotype" w:cs="Palatino Linotype"/>
          <w:color w:val="000000"/>
          <w:sz w:val="22"/>
          <w:szCs w:val="22"/>
        </w:rPr>
      </w:pPr>
    </w:p>
    <w:p w14:paraId="26295360" w14:textId="1629EE04" w:rsidR="00E416B7" w:rsidRPr="00725A19" w:rsidRDefault="00E416B7" w:rsidP="00E416B7">
      <w:pPr>
        <w:pStyle w:val="Prrafodelista"/>
        <w:spacing w:line="360" w:lineRule="auto"/>
        <w:ind w:left="0" w:right="1"/>
        <w:jc w:val="both"/>
        <w:rPr>
          <w:rFonts w:ascii="Palatino Linotype" w:eastAsia="Palatino Linotype" w:hAnsi="Palatino Linotype" w:cs="Palatino Linotype"/>
          <w:color w:val="000000"/>
          <w:sz w:val="22"/>
          <w:szCs w:val="22"/>
        </w:rPr>
      </w:pPr>
    </w:p>
    <w:tbl>
      <w:tblPr>
        <w:tblStyle w:val="Tablaconcuadrcula"/>
        <w:tblW w:w="0" w:type="auto"/>
        <w:tblLook w:val="04A0" w:firstRow="1" w:lastRow="0" w:firstColumn="1" w:lastColumn="0" w:noHBand="0" w:noVBand="1"/>
      </w:tblPr>
      <w:tblGrid>
        <w:gridCol w:w="9175"/>
      </w:tblGrid>
      <w:tr w:rsidR="00E416B7" w:rsidRPr="00725A19" w14:paraId="5654D4FD" w14:textId="77777777" w:rsidTr="008E58B7">
        <w:tc>
          <w:tcPr>
            <w:tcW w:w="9175" w:type="dxa"/>
            <w:vAlign w:val="center"/>
          </w:tcPr>
          <w:p w14:paraId="194DBCE8" w14:textId="6620D8E7" w:rsidR="00E416B7" w:rsidRPr="00725A19" w:rsidRDefault="00E416B7" w:rsidP="008E58B7">
            <w:pPr>
              <w:pStyle w:val="Prrafodelista"/>
              <w:spacing w:line="360" w:lineRule="auto"/>
              <w:jc w:val="center"/>
              <w:rPr>
                <w:rFonts w:ascii="Palatino Linotype" w:eastAsia="Palatino Linotype" w:hAnsi="Palatino Linotype" w:cs="Palatino Linotype"/>
              </w:rPr>
            </w:pPr>
            <w:r w:rsidRPr="00725A19">
              <w:rPr>
                <w:rFonts w:ascii="Palatino Linotype" w:eastAsia="Palatino Linotype" w:hAnsi="Palatino Linotype" w:cs="Palatino Linotype"/>
                <w:b/>
              </w:rPr>
              <w:lastRenderedPageBreak/>
              <w:t>07153/INFOEM/IP/RR/2024</w:t>
            </w:r>
          </w:p>
        </w:tc>
      </w:tr>
      <w:tr w:rsidR="00E416B7" w:rsidRPr="00725A19" w14:paraId="263AAD07" w14:textId="77777777" w:rsidTr="00B4132C">
        <w:tc>
          <w:tcPr>
            <w:tcW w:w="9175" w:type="dxa"/>
          </w:tcPr>
          <w:p w14:paraId="09047DF5" w14:textId="0F7DAB96" w:rsidR="00E416B7" w:rsidRPr="00725A19" w:rsidRDefault="00572923" w:rsidP="00A37A70">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t xml:space="preserve">ANEXO 04 CONTRATO 01 SS 128-2024.pdf: </w:t>
            </w:r>
            <w:r w:rsidR="00BE1ED6" w:rsidRPr="00725A19">
              <w:rPr>
                <w:rFonts w:ascii="Palatino Linotype" w:eastAsia="Palatino Linotype" w:hAnsi="Palatino Linotype" w:cs="Palatino Linotype"/>
              </w:rPr>
              <w:t xml:space="preserve">Contiene el contrato </w:t>
            </w:r>
            <w:r w:rsidR="00910BD9" w:rsidRPr="00725A19">
              <w:rPr>
                <w:rFonts w:ascii="Palatino Linotype" w:eastAsia="Palatino Linotype" w:hAnsi="Palatino Linotype" w:cs="Palatino Linotype"/>
              </w:rPr>
              <w:t xml:space="preserve">AMR/CAAESYOP/AD-SERV-003/RP/2023, de fecha </w:t>
            </w:r>
            <w:r w:rsidR="004E76E6" w:rsidRPr="00725A19">
              <w:rPr>
                <w:rFonts w:ascii="Palatino Linotype" w:eastAsia="Palatino Linotype" w:hAnsi="Palatino Linotype" w:cs="Palatino Linotype"/>
              </w:rPr>
              <w:t>20 de enero de 2023</w:t>
            </w:r>
            <w:r w:rsidR="002C2925" w:rsidRPr="00725A19">
              <w:rPr>
                <w:rFonts w:ascii="Palatino Linotype" w:eastAsia="Palatino Linotype" w:hAnsi="Palatino Linotype" w:cs="Palatino Linotype"/>
              </w:rPr>
              <w:t>, referente al suministro de combustible (gasolina y diesel)</w:t>
            </w:r>
            <w:r w:rsidR="004E76E6" w:rsidRPr="00725A19">
              <w:rPr>
                <w:rFonts w:ascii="Palatino Linotype" w:eastAsia="Palatino Linotype" w:hAnsi="Palatino Linotype" w:cs="Palatino Linotype"/>
              </w:rPr>
              <w:t>.</w:t>
            </w:r>
          </w:p>
          <w:p w14:paraId="41D2CEF5" w14:textId="77777777" w:rsidR="004E76E6" w:rsidRPr="00725A19" w:rsidRDefault="004E76E6" w:rsidP="00A37A70">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t xml:space="preserve">ANEXO 02 SS 128-2024.pdf: </w:t>
            </w:r>
            <w:r w:rsidRPr="00725A19">
              <w:rPr>
                <w:rFonts w:ascii="Palatino Linotype" w:eastAsia="Palatino Linotype" w:hAnsi="Palatino Linotype" w:cs="Palatino Linotype"/>
              </w:rPr>
              <w:t xml:space="preserve">Contiene el oficio </w:t>
            </w:r>
            <w:r w:rsidR="0066516D" w:rsidRPr="00725A19">
              <w:rPr>
                <w:rFonts w:ascii="Palatino Linotype" w:eastAsia="Palatino Linotype" w:hAnsi="Palatino Linotype" w:cs="Palatino Linotype"/>
              </w:rPr>
              <w:t>número AMR/DA/622/10/2024, de fecha 30 de octubre de 2024, suscrito por el Director de Administración del Ayuntamiento de Almoloya del Río</w:t>
            </w:r>
            <w:r w:rsidR="00A37A70" w:rsidRPr="00725A19">
              <w:rPr>
                <w:rFonts w:ascii="Palatino Linotype" w:eastAsia="Palatino Linotype" w:hAnsi="Palatino Linotype" w:cs="Palatino Linotype"/>
              </w:rPr>
              <w:t>, por el cual solicitó ampliación de prórroga.</w:t>
            </w:r>
          </w:p>
          <w:p w14:paraId="0A9EAF9B" w14:textId="7EDC62B1" w:rsidR="00E41301" w:rsidRPr="00725A19" w:rsidRDefault="00E41301" w:rsidP="00A37A70">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t>ACTA SS 128-</w:t>
            </w:r>
            <w:r w:rsidRPr="00725A19">
              <w:rPr>
                <w:rFonts w:ascii="Palatino Linotype" w:eastAsia="Palatino Linotype" w:hAnsi="Palatino Linotype" w:cs="Palatino Linotype"/>
                <w:b/>
              </w:rPr>
              <w:t xml:space="preserve">2024.pdf: </w:t>
            </w:r>
            <w:r w:rsidRPr="00725A19">
              <w:rPr>
                <w:rFonts w:ascii="Palatino Linotype" w:eastAsia="Palatino Linotype" w:hAnsi="Palatino Linotype" w:cs="Palatino Linotype"/>
              </w:rPr>
              <w:t>Archivo que contiene Acta de la Vigésima Segunda Sesión Extraordinaria del Comité de Transparencia, dentro de la cual se aprobó la clasificación de información parcial como información confidencial respecto de los contratos de combustible (Gasolina y Diesel) celebrados en 2023 y 2024</w:t>
            </w:r>
            <w:r w:rsidR="0072356C" w:rsidRPr="00725A19">
              <w:rPr>
                <w:rFonts w:ascii="Palatino Linotype" w:eastAsia="Palatino Linotype" w:hAnsi="Palatino Linotype" w:cs="Palatino Linotype"/>
              </w:rPr>
              <w:t>, de fecha diecinueve de noviembre de dos mil veinticuatro</w:t>
            </w:r>
            <w:r w:rsidR="00F668F0" w:rsidRPr="00725A19">
              <w:rPr>
                <w:rFonts w:ascii="Palatino Linotype" w:eastAsia="Palatino Linotype" w:hAnsi="Palatino Linotype" w:cs="Palatino Linotype"/>
              </w:rPr>
              <w:t>.</w:t>
            </w:r>
          </w:p>
          <w:p w14:paraId="25521125" w14:textId="5A349BA7" w:rsidR="00F668F0" w:rsidRPr="00725A19" w:rsidRDefault="00F668F0" w:rsidP="00A37A70">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t>ANEXO 05 CONTRATO 02 SS 128-2024.pdf:</w:t>
            </w:r>
            <w:r w:rsidR="009750FF" w:rsidRPr="00725A19">
              <w:rPr>
                <w:rFonts w:ascii="Palatino Linotype" w:eastAsia="Palatino Linotype" w:hAnsi="Palatino Linotype" w:cs="Palatino Linotype"/>
                <w:b/>
                <w:bCs/>
              </w:rPr>
              <w:t xml:space="preserve"> </w:t>
            </w:r>
            <w:r w:rsidR="009750FF" w:rsidRPr="00725A19">
              <w:rPr>
                <w:rFonts w:ascii="Palatino Linotype" w:eastAsia="Palatino Linotype" w:hAnsi="Palatino Linotype" w:cs="Palatino Linotype"/>
                <w:bCs/>
              </w:rPr>
              <w:t>Contrato AMR/CAAESYOP/AD-SERV-003/RP/2024, de fecha 25 de enero de 2024, referente al suministro de combustible (Gasolina y Diesel)</w:t>
            </w:r>
            <w:r w:rsidR="002C2925" w:rsidRPr="00725A19">
              <w:rPr>
                <w:rFonts w:ascii="Palatino Linotype" w:eastAsia="Palatino Linotype" w:hAnsi="Palatino Linotype" w:cs="Palatino Linotype"/>
                <w:bCs/>
              </w:rPr>
              <w:t xml:space="preserve"> para el parque vehicular del Ayuntamiento de Almoloya del Río.</w:t>
            </w:r>
          </w:p>
          <w:p w14:paraId="4922DEC2" w14:textId="44052A5F" w:rsidR="00F668F0" w:rsidRPr="00725A19" w:rsidRDefault="00F668F0" w:rsidP="00A37A70">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t>ANEXO 01 SS 128-2024.pdf:</w:t>
            </w:r>
            <w:r w:rsidR="002C2925" w:rsidRPr="00725A19">
              <w:rPr>
                <w:rFonts w:ascii="Palatino Linotype" w:eastAsia="Palatino Linotype" w:hAnsi="Palatino Linotype" w:cs="Palatino Linotype"/>
                <w:b/>
                <w:bCs/>
              </w:rPr>
              <w:t xml:space="preserve"> </w:t>
            </w:r>
            <w:r w:rsidR="002C2925" w:rsidRPr="00725A19">
              <w:rPr>
                <w:rFonts w:ascii="Palatino Linotype" w:eastAsia="Palatino Linotype" w:hAnsi="Palatino Linotype" w:cs="Palatino Linotype"/>
                <w:bCs/>
              </w:rPr>
              <w:t>Contiene el oficio número UT/0026/10/2024, suscrito por el Titular de Transparencia, por el cual solicitó al Director de Administración Municipal proporcionara los contratos celebrados de combustible (gasolina y diésel) de los años 2023 y 2024.</w:t>
            </w:r>
          </w:p>
          <w:p w14:paraId="0FACBDDB" w14:textId="6D56BE61" w:rsidR="00F668F0" w:rsidRPr="00725A19" w:rsidRDefault="00F668F0" w:rsidP="00A37A70">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t>ANEXO 03 SS 128-2024.pdf:</w:t>
            </w:r>
            <w:r w:rsidR="002C2925" w:rsidRPr="00725A19">
              <w:rPr>
                <w:rFonts w:ascii="Palatino Linotype" w:eastAsia="Palatino Linotype" w:hAnsi="Palatino Linotype" w:cs="Palatino Linotype"/>
                <w:b/>
                <w:bCs/>
              </w:rPr>
              <w:t xml:space="preserve"> </w:t>
            </w:r>
            <w:r w:rsidR="002C2925" w:rsidRPr="00725A19">
              <w:rPr>
                <w:rFonts w:ascii="Palatino Linotype" w:eastAsia="Palatino Linotype" w:hAnsi="Palatino Linotype" w:cs="Palatino Linotype"/>
                <w:bCs/>
              </w:rPr>
              <w:t>Contiene el oficio AMR/DA/687/11/2024, de fecha 19 de noviembre de 2024, suscrito por el Director de Administración del Ayuntamiento, por el cual remitió los contratos de combustible de los años 2023 y 2024, a la Unidad de Transparencia</w:t>
            </w:r>
            <w:r w:rsidR="0072356C" w:rsidRPr="00725A19">
              <w:rPr>
                <w:rFonts w:ascii="Palatino Linotype" w:eastAsia="Palatino Linotype" w:hAnsi="Palatino Linotype" w:cs="Palatino Linotype"/>
                <w:bCs/>
              </w:rPr>
              <w:t>.</w:t>
            </w:r>
            <w:r w:rsidR="002C2925" w:rsidRPr="00725A19">
              <w:rPr>
                <w:rFonts w:ascii="Palatino Linotype" w:eastAsia="Palatino Linotype" w:hAnsi="Palatino Linotype" w:cs="Palatino Linotype"/>
                <w:bCs/>
              </w:rPr>
              <w:t xml:space="preserve">  </w:t>
            </w:r>
          </w:p>
          <w:p w14:paraId="20A66E38" w14:textId="7370028E" w:rsidR="00F668F0" w:rsidRPr="00725A19" w:rsidRDefault="00F668F0" w:rsidP="00A37A70">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t>ANEXO 05 CONTRATO 02 SS 128-2024.pdf:</w:t>
            </w:r>
            <w:r w:rsidR="002C2925" w:rsidRPr="00725A19">
              <w:rPr>
                <w:rFonts w:ascii="Palatino Linotype" w:eastAsia="Palatino Linotype" w:hAnsi="Palatino Linotype" w:cs="Palatino Linotype"/>
                <w:b/>
                <w:bCs/>
              </w:rPr>
              <w:t xml:space="preserve"> </w:t>
            </w:r>
            <w:r w:rsidR="002C2925" w:rsidRPr="00725A19">
              <w:rPr>
                <w:rFonts w:ascii="Palatino Linotype" w:eastAsia="Palatino Linotype" w:hAnsi="Palatino Linotype" w:cs="Palatino Linotype"/>
              </w:rPr>
              <w:t>Contiene el contrato AMR/CAAESYOP/AD-SERV-003/RP/2023, de fecha 20 de enero de 2023, referente al suministro de combustible (gasolina y diesel).</w:t>
            </w:r>
          </w:p>
          <w:p w14:paraId="77006017" w14:textId="77777777" w:rsidR="00B4132C" w:rsidRPr="00725A19" w:rsidRDefault="00F668F0" w:rsidP="00B4132C">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t>ANEXO 01 SS 128-2024.pdf:</w:t>
            </w:r>
            <w:r w:rsidR="00B4132C" w:rsidRPr="00725A19">
              <w:rPr>
                <w:rFonts w:ascii="Palatino Linotype" w:eastAsia="Palatino Linotype" w:hAnsi="Palatino Linotype" w:cs="Palatino Linotype"/>
                <w:b/>
                <w:bCs/>
              </w:rPr>
              <w:t xml:space="preserve"> </w:t>
            </w:r>
            <w:r w:rsidR="00B4132C" w:rsidRPr="00725A19">
              <w:rPr>
                <w:rFonts w:ascii="Palatino Linotype" w:eastAsia="Palatino Linotype" w:hAnsi="Palatino Linotype" w:cs="Palatino Linotype"/>
                <w:bCs/>
              </w:rPr>
              <w:t>Contiene el oficio número UT/0026/10/2024, suscrito por el Titular de Transparencia, por el cual solicitó al Director de Administración Municipal proporcionara los contratos celebrados de combustible (gasolina y diésel) de los años 2023 y 2024.</w:t>
            </w:r>
          </w:p>
          <w:p w14:paraId="7619A258" w14:textId="77777777" w:rsidR="0072356C" w:rsidRPr="00725A19" w:rsidRDefault="00F668F0" w:rsidP="0072356C">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lastRenderedPageBreak/>
              <w:t>ANEXCO 04 CONTRATO 01 SS 128-2024.pdf:</w:t>
            </w:r>
            <w:r w:rsidR="0072356C" w:rsidRPr="00725A19">
              <w:rPr>
                <w:rFonts w:ascii="Palatino Linotype" w:eastAsia="Palatino Linotype" w:hAnsi="Palatino Linotype" w:cs="Palatino Linotype"/>
                <w:b/>
                <w:bCs/>
              </w:rPr>
              <w:t xml:space="preserve"> </w:t>
            </w:r>
            <w:r w:rsidR="0072356C" w:rsidRPr="00725A19">
              <w:rPr>
                <w:rFonts w:ascii="Palatino Linotype" w:eastAsia="Palatino Linotype" w:hAnsi="Palatino Linotype" w:cs="Palatino Linotype"/>
              </w:rPr>
              <w:t>Contiene el contrato AMR/CAAESYOP/AD-SERV-003/RP/2023, de fecha 20 de enero de 2023, referente al suministro de combustible (gasolina y diesel).</w:t>
            </w:r>
          </w:p>
          <w:p w14:paraId="323AFC00" w14:textId="35A98F1F" w:rsidR="00F668F0" w:rsidRPr="00725A19" w:rsidRDefault="00F668F0" w:rsidP="00A37A70">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t>ACTA SS 128-2024.pdf:</w:t>
            </w:r>
            <w:r w:rsidR="0072356C" w:rsidRPr="00725A19">
              <w:rPr>
                <w:rFonts w:ascii="Palatino Linotype" w:eastAsia="Palatino Linotype" w:hAnsi="Palatino Linotype" w:cs="Palatino Linotype"/>
                <w:b/>
                <w:bCs/>
              </w:rPr>
              <w:t xml:space="preserve"> </w:t>
            </w:r>
            <w:r w:rsidR="0072356C" w:rsidRPr="00725A19">
              <w:rPr>
                <w:rFonts w:ascii="Palatino Linotype" w:eastAsia="Palatino Linotype" w:hAnsi="Palatino Linotype" w:cs="Palatino Linotype"/>
              </w:rPr>
              <w:t>Archivo que contiene Acta de la Vigésima Segunda Sesión Extraordinaria del Comité de Transparencia, dentro de la cual se aprobó la clasificación de información parcial como información confidencial respecto de los contratos de combustible (Gasolina y Diesel) celebrados en 2023 y 2024, de fecha diecinueve de noviembre de dos mil veinticuatro.</w:t>
            </w:r>
          </w:p>
          <w:p w14:paraId="6B93BEDB" w14:textId="3A56125D" w:rsidR="00F668F0" w:rsidRPr="00725A19" w:rsidRDefault="00F668F0" w:rsidP="00A37A70">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t>ANEXO 03 SS 128-2024.pdf:</w:t>
            </w:r>
            <w:r w:rsidR="0072356C" w:rsidRPr="00725A19">
              <w:rPr>
                <w:rFonts w:ascii="Palatino Linotype" w:eastAsia="Palatino Linotype" w:hAnsi="Palatino Linotype" w:cs="Palatino Linotype"/>
                <w:b/>
                <w:bCs/>
              </w:rPr>
              <w:t xml:space="preserve"> </w:t>
            </w:r>
            <w:r w:rsidR="0072356C" w:rsidRPr="00725A19">
              <w:rPr>
                <w:rFonts w:ascii="Palatino Linotype" w:eastAsia="Palatino Linotype" w:hAnsi="Palatino Linotype" w:cs="Palatino Linotype"/>
                <w:bCs/>
              </w:rPr>
              <w:t>Oficio AMR/DA/687/11/2024, de fecha diecinueve de noviembre de dos mil veinticuatro, suscrito por el Director de Administración del Ayuntamiento, por el cual remitió los contratos de combustible de los años 2023 y 2024, a la Unidad de Transparencia.</w:t>
            </w:r>
          </w:p>
          <w:p w14:paraId="1DE99D0D" w14:textId="1E82CA58" w:rsidR="00F668F0" w:rsidRPr="00725A19" w:rsidRDefault="00F668F0" w:rsidP="00890AF9">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t>ANEXO 02 SS 128-2024.pdf</w:t>
            </w:r>
            <w:r w:rsidR="00FA52D8" w:rsidRPr="00725A19">
              <w:rPr>
                <w:rFonts w:ascii="Palatino Linotype" w:eastAsia="Palatino Linotype" w:hAnsi="Palatino Linotype" w:cs="Palatino Linotype"/>
                <w:b/>
                <w:bCs/>
              </w:rPr>
              <w:t xml:space="preserve">: </w:t>
            </w:r>
            <w:r w:rsidR="00890AF9" w:rsidRPr="00725A19">
              <w:rPr>
                <w:rFonts w:ascii="Palatino Linotype" w:eastAsia="Palatino Linotype" w:hAnsi="Palatino Linotype" w:cs="Palatino Linotype"/>
              </w:rPr>
              <w:t>Contiene el oficio número AMR/DA/622/10/2024, de fecha 30 de octubre de 2024, suscrito por el Director de Administración del Ayuntamiento de Almoloya del Río, por el cual solicitó ampliación de prórroga.</w:t>
            </w:r>
          </w:p>
        </w:tc>
      </w:tr>
    </w:tbl>
    <w:p w14:paraId="619CC1F4" w14:textId="55C997D0" w:rsidR="00E416B7" w:rsidRPr="00725A19" w:rsidRDefault="00E416B7" w:rsidP="00E416B7">
      <w:pPr>
        <w:pStyle w:val="Prrafodelista"/>
        <w:spacing w:line="360" w:lineRule="auto"/>
        <w:ind w:left="0" w:right="1"/>
        <w:jc w:val="both"/>
        <w:rPr>
          <w:rFonts w:ascii="Palatino Linotype" w:eastAsia="Palatino Linotype" w:hAnsi="Palatino Linotype" w:cs="Palatino Linotype"/>
          <w:color w:val="000000"/>
          <w:sz w:val="22"/>
          <w:szCs w:val="22"/>
        </w:rPr>
      </w:pPr>
    </w:p>
    <w:p w14:paraId="31D1EF2A" w14:textId="5DD0E79C" w:rsidR="00E416B7" w:rsidRPr="00725A19" w:rsidRDefault="00E416B7" w:rsidP="00E416B7">
      <w:pPr>
        <w:pStyle w:val="Prrafodelista"/>
        <w:spacing w:line="360" w:lineRule="auto"/>
        <w:ind w:left="0" w:right="1"/>
        <w:jc w:val="both"/>
        <w:rPr>
          <w:rFonts w:ascii="Palatino Linotype" w:eastAsia="Palatino Linotype" w:hAnsi="Palatino Linotype" w:cs="Palatino Linotype"/>
          <w:color w:val="000000"/>
          <w:sz w:val="22"/>
          <w:szCs w:val="22"/>
        </w:rPr>
      </w:pPr>
    </w:p>
    <w:tbl>
      <w:tblPr>
        <w:tblStyle w:val="Tablaconcuadrcula"/>
        <w:tblW w:w="0" w:type="auto"/>
        <w:tblLook w:val="04A0" w:firstRow="1" w:lastRow="0" w:firstColumn="1" w:lastColumn="0" w:noHBand="0" w:noVBand="1"/>
      </w:tblPr>
      <w:tblGrid>
        <w:gridCol w:w="9175"/>
      </w:tblGrid>
      <w:tr w:rsidR="0027733B" w:rsidRPr="00725A19" w14:paraId="1BB7B9BB" w14:textId="77777777" w:rsidTr="008E58B7">
        <w:tc>
          <w:tcPr>
            <w:tcW w:w="9175" w:type="dxa"/>
            <w:vAlign w:val="center"/>
          </w:tcPr>
          <w:p w14:paraId="3327DF8C" w14:textId="1C619BFC" w:rsidR="0027733B" w:rsidRPr="00725A19" w:rsidRDefault="0027733B" w:rsidP="008E58B7">
            <w:pPr>
              <w:pStyle w:val="Prrafodelista"/>
              <w:spacing w:line="360" w:lineRule="auto"/>
              <w:jc w:val="center"/>
              <w:rPr>
                <w:rFonts w:ascii="Palatino Linotype" w:eastAsia="Palatino Linotype" w:hAnsi="Palatino Linotype" w:cs="Palatino Linotype"/>
                <w:b/>
              </w:rPr>
            </w:pPr>
            <w:r w:rsidRPr="00725A19">
              <w:rPr>
                <w:rFonts w:ascii="Palatino Linotype" w:eastAsia="Palatino Linotype" w:hAnsi="Palatino Linotype" w:cs="Palatino Linotype"/>
                <w:b/>
              </w:rPr>
              <w:t>07158/INFOEM/IP/RR/2024</w:t>
            </w:r>
          </w:p>
        </w:tc>
      </w:tr>
      <w:tr w:rsidR="0027733B" w:rsidRPr="00725A19" w14:paraId="0693F912" w14:textId="77777777" w:rsidTr="00B4132C">
        <w:tc>
          <w:tcPr>
            <w:tcW w:w="9175" w:type="dxa"/>
          </w:tcPr>
          <w:p w14:paraId="60E5FA81" w14:textId="32FB1611" w:rsidR="007C02F3" w:rsidRPr="00725A19" w:rsidRDefault="007C02F3" w:rsidP="007C02F3">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t>ANEXO 01 SS 1</w:t>
            </w:r>
            <w:r w:rsidR="00520143" w:rsidRPr="00725A19">
              <w:rPr>
                <w:rFonts w:ascii="Palatino Linotype" w:eastAsia="Palatino Linotype" w:hAnsi="Palatino Linotype" w:cs="Palatino Linotype"/>
                <w:b/>
                <w:bCs/>
              </w:rPr>
              <w:t>3</w:t>
            </w:r>
            <w:r w:rsidRPr="00725A19">
              <w:rPr>
                <w:rFonts w:ascii="Palatino Linotype" w:eastAsia="Palatino Linotype" w:hAnsi="Palatino Linotype" w:cs="Palatino Linotype"/>
                <w:b/>
                <w:bCs/>
              </w:rPr>
              <w:t xml:space="preserve">2-2024.pdf: </w:t>
            </w:r>
            <w:r w:rsidRPr="00725A19">
              <w:rPr>
                <w:rFonts w:ascii="Palatino Linotype" w:eastAsia="Palatino Linotype" w:hAnsi="Palatino Linotype" w:cs="Palatino Linotype"/>
              </w:rPr>
              <w:t xml:space="preserve">Contiene </w:t>
            </w:r>
            <w:r w:rsidR="008F4465" w:rsidRPr="00725A19">
              <w:rPr>
                <w:rFonts w:ascii="Palatino Linotype" w:eastAsia="Palatino Linotype" w:hAnsi="Palatino Linotype" w:cs="Palatino Linotype"/>
              </w:rPr>
              <w:t>recibos de nómina de la Tesorería Municipal, que no se ponen a la vista porque se pueden observar datos considerados como confidenciales, siendo el Registro Federal de Contribuyentes y la Clave Única de Registro de Población</w:t>
            </w:r>
            <w:r w:rsidRPr="00725A19">
              <w:rPr>
                <w:rFonts w:ascii="Palatino Linotype" w:eastAsia="Palatino Linotype" w:hAnsi="Palatino Linotype" w:cs="Palatino Linotype"/>
              </w:rPr>
              <w:t>.</w:t>
            </w:r>
          </w:p>
          <w:p w14:paraId="71C81DFF" w14:textId="02E533D2" w:rsidR="007C02F3" w:rsidRPr="00725A19" w:rsidRDefault="007C02F3" w:rsidP="007C02F3">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t>ANEXO 02 SS 1</w:t>
            </w:r>
            <w:r w:rsidR="00520143" w:rsidRPr="00725A19">
              <w:rPr>
                <w:rFonts w:ascii="Palatino Linotype" w:eastAsia="Palatino Linotype" w:hAnsi="Palatino Linotype" w:cs="Palatino Linotype"/>
                <w:b/>
                <w:bCs/>
              </w:rPr>
              <w:t>3</w:t>
            </w:r>
            <w:r w:rsidRPr="00725A19">
              <w:rPr>
                <w:rFonts w:ascii="Palatino Linotype" w:eastAsia="Palatino Linotype" w:hAnsi="Palatino Linotype" w:cs="Palatino Linotype"/>
                <w:b/>
                <w:bCs/>
              </w:rPr>
              <w:t xml:space="preserve">2-2024.pdf: </w:t>
            </w:r>
            <w:r w:rsidRPr="00725A19">
              <w:rPr>
                <w:rFonts w:ascii="Palatino Linotype" w:eastAsia="Palatino Linotype" w:hAnsi="Palatino Linotype" w:cs="Palatino Linotype"/>
              </w:rPr>
              <w:t xml:space="preserve">Contiene </w:t>
            </w:r>
            <w:r w:rsidR="008F4465" w:rsidRPr="00725A19">
              <w:rPr>
                <w:rFonts w:ascii="Palatino Linotype" w:eastAsia="Palatino Linotype" w:hAnsi="Palatino Linotype" w:cs="Palatino Linotype"/>
              </w:rPr>
              <w:t>recibo de nómina del Director de la UIPPE que no ponen a la vista porque se pueden observar datos considerados como confidenciales, siendo el Registro Federal de Contribuyentes y la Clave Única de Registro de Población</w:t>
            </w:r>
            <w:r w:rsidRPr="00725A19">
              <w:rPr>
                <w:rFonts w:ascii="Palatino Linotype" w:eastAsia="Palatino Linotype" w:hAnsi="Palatino Linotype" w:cs="Palatino Linotype"/>
              </w:rPr>
              <w:t>.</w:t>
            </w:r>
          </w:p>
          <w:p w14:paraId="2533B87F" w14:textId="32A62439" w:rsidR="007C02F3" w:rsidRPr="00725A19" w:rsidRDefault="007C02F3" w:rsidP="007C02F3">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t>A</w:t>
            </w:r>
            <w:r w:rsidR="00520143" w:rsidRPr="00725A19">
              <w:rPr>
                <w:rFonts w:ascii="Palatino Linotype" w:eastAsia="Palatino Linotype" w:hAnsi="Palatino Linotype" w:cs="Palatino Linotype"/>
                <w:b/>
                <w:bCs/>
              </w:rPr>
              <w:t>NEXO 03 SS 132-2024</w:t>
            </w:r>
            <w:r w:rsidRPr="00725A19">
              <w:rPr>
                <w:rFonts w:ascii="Palatino Linotype" w:eastAsia="Palatino Linotype" w:hAnsi="Palatino Linotype" w:cs="Palatino Linotype"/>
                <w:b/>
              </w:rPr>
              <w:t xml:space="preserve">.pdf: </w:t>
            </w:r>
            <w:r w:rsidR="008F4465" w:rsidRPr="00725A19">
              <w:rPr>
                <w:rFonts w:ascii="Palatino Linotype" w:eastAsia="Palatino Linotype" w:hAnsi="Palatino Linotype" w:cs="Palatino Linotype"/>
              </w:rPr>
              <w:t>Contiene recibos de nómina de la Dirección de Administración que no se ponen a la vista porque se pueden observar datos considerados como confidenciales, siendo el Registro Federal de Contribuyentes y la Clave Única de Registro de Población</w:t>
            </w:r>
            <w:r w:rsidRPr="00725A19">
              <w:rPr>
                <w:rFonts w:ascii="Palatino Linotype" w:eastAsia="Palatino Linotype" w:hAnsi="Palatino Linotype" w:cs="Palatino Linotype"/>
              </w:rPr>
              <w:t>.</w:t>
            </w:r>
          </w:p>
          <w:p w14:paraId="72F39B26" w14:textId="47786DD2" w:rsidR="0027733B" w:rsidRPr="00725A19" w:rsidRDefault="00520143" w:rsidP="008529D9">
            <w:pPr>
              <w:pStyle w:val="Prrafodelista"/>
              <w:numPr>
                <w:ilvl w:val="0"/>
                <w:numId w:val="6"/>
              </w:numPr>
              <w:ind w:left="313" w:hanging="313"/>
              <w:jc w:val="both"/>
              <w:rPr>
                <w:rFonts w:ascii="Palatino Linotype" w:eastAsia="Palatino Linotype" w:hAnsi="Palatino Linotype" w:cs="Palatino Linotype"/>
              </w:rPr>
            </w:pPr>
            <w:r w:rsidRPr="00725A19">
              <w:rPr>
                <w:rFonts w:ascii="Palatino Linotype" w:eastAsia="Palatino Linotype" w:hAnsi="Palatino Linotype" w:cs="Palatino Linotype"/>
                <w:b/>
                <w:bCs/>
              </w:rPr>
              <w:lastRenderedPageBreak/>
              <w:t>ACTA SS 132.</w:t>
            </w:r>
            <w:r w:rsidRPr="00725A19">
              <w:rPr>
                <w:rFonts w:ascii="Palatino Linotype" w:eastAsia="Palatino Linotype" w:hAnsi="Palatino Linotype" w:cs="Palatino Linotype"/>
                <w:b/>
              </w:rPr>
              <w:t>pdf:</w:t>
            </w:r>
            <w:r w:rsidRPr="00725A19">
              <w:rPr>
                <w:rFonts w:ascii="Palatino Linotype" w:eastAsia="Palatino Linotype" w:hAnsi="Palatino Linotype" w:cs="Palatino Linotype"/>
              </w:rPr>
              <w:t xml:space="preserve"> C</w:t>
            </w:r>
            <w:r w:rsidR="00F21448" w:rsidRPr="00725A19">
              <w:rPr>
                <w:rFonts w:ascii="Palatino Linotype" w:eastAsia="Palatino Linotype" w:hAnsi="Palatino Linotype" w:cs="Palatino Linotype"/>
              </w:rPr>
              <w:t>ontiene Ata de la Trigésima Segunda Sesión Extraordinaria del Comité de Transparencia mediante el cual aprueban la clasificación como confidencial de la Clave Única de Registro de Población, el Registro Federal de Contribuyentes, Número de Seguridad Social, Código QR, Sellos Digitales y Cadenas Digitales.</w:t>
            </w:r>
          </w:p>
        </w:tc>
      </w:tr>
    </w:tbl>
    <w:p w14:paraId="32524535" w14:textId="1935CD8F" w:rsidR="00E416B7" w:rsidRPr="00725A19" w:rsidRDefault="00E416B7" w:rsidP="000129F2">
      <w:pPr>
        <w:pStyle w:val="Prrafodelista"/>
        <w:spacing w:line="360" w:lineRule="auto"/>
        <w:ind w:left="0" w:right="1"/>
        <w:jc w:val="both"/>
        <w:rPr>
          <w:rFonts w:ascii="Palatino Linotype" w:eastAsia="Palatino Linotype" w:hAnsi="Palatino Linotype" w:cs="Palatino Linotype"/>
          <w:color w:val="000000"/>
          <w:sz w:val="22"/>
          <w:szCs w:val="22"/>
        </w:rPr>
      </w:pPr>
    </w:p>
    <w:p w14:paraId="1AE77FC0" w14:textId="53664A25" w:rsidR="00C72C29" w:rsidRPr="00725A19" w:rsidRDefault="00C72C29" w:rsidP="00985691">
      <w:pPr>
        <w:pStyle w:val="Prrafodelista"/>
        <w:numPr>
          <w:ilvl w:val="0"/>
          <w:numId w:val="4"/>
        </w:numPr>
        <w:spacing w:line="360" w:lineRule="auto"/>
        <w:ind w:left="0" w:right="49" w:firstLine="0"/>
        <w:contextualSpacing w:val="0"/>
        <w:jc w:val="both"/>
        <w:rPr>
          <w:rFonts w:ascii="Palatino Linotype" w:hAnsi="Palatino Linotype"/>
        </w:rPr>
      </w:pPr>
      <w:r w:rsidRPr="00725A19">
        <w:rPr>
          <w:rFonts w:ascii="Palatino Linotype" w:hAnsi="Palatino Linotype"/>
        </w:rPr>
        <w:t xml:space="preserve">Posteriormente </w:t>
      </w:r>
      <w:r w:rsidR="008529D9" w:rsidRPr="00725A19">
        <w:rPr>
          <w:rFonts w:ascii="Palatino Linotype" w:hAnsi="Palatino Linotype"/>
        </w:rPr>
        <w:t xml:space="preserve">mediante acuerdo de fecha </w:t>
      </w:r>
      <w:r w:rsidR="008529D9" w:rsidRPr="00725A19">
        <w:rPr>
          <w:rFonts w:ascii="Palatino Linotype" w:hAnsi="Palatino Linotype"/>
          <w:b/>
        </w:rPr>
        <w:t>cinco de diciembre del año dos mil veinticuatro</w:t>
      </w:r>
      <w:r w:rsidRPr="00725A19">
        <w:rPr>
          <w:rFonts w:ascii="Palatino Linotype" w:hAnsi="Palatino Linotype"/>
        </w:rPr>
        <w:t xml:space="preserve">; </w:t>
      </w:r>
      <w:r w:rsidR="008529D9" w:rsidRPr="00725A19">
        <w:rPr>
          <w:rFonts w:ascii="Palatino Linotype" w:hAnsi="Palatino Linotype"/>
        </w:rPr>
        <w:t xml:space="preserve">la </w:t>
      </w:r>
      <w:r w:rsidR="008529D9" w:rsidRPr="00725A19">
        <w:rPr>
          <w:rFonts w:ascii="Palatino Linotype" w:hAnsi="Palatino Linotype"/>
          <w:b/>
        </w:rPr>
        <w:t xml:space="preserve">Comisionada María del Rosario Mejía Ayala </w:t>
      </w:r>
      <w:r w:rsidR="008529D9" w:rsidRPr="00725A19">
        <w:rPr>
          <w:rFonts w:ascii="Palatino Linotype" w:hAnsi="Palatino Linotype"/>
        </w:rPr>
        <w:t xml:space="preserve">se </w:t>
      </w:r>
      <w:r w:rsidRPr="00725A19">
        <w:rPr>
          <w:rFonts w:ascii="Palatino Linotype" w:hAnsi="Palatino Linotype"/>
        </w:rPr>
        <w:t xml:space="preserve">ordenó la acumulación de los recursos de revisión de mérito, </w:t>
      </w:r>
      <w:r w:rsidR="00985691" w:rsidRPr="00725A19">
        <w:rPr>
          <w:rFonts w:ascii="Palatino Linotype" w:hAnsi="Palatino Linotype"/>
        </w:rPr>
        <w:t xml:space="preserve">toda vez que se advirtió conexidad entre estos, al haber sido promovidos </w:t>
      </w:r>
      <w:r w:rsidR="00985691" w:rsidRPr="00725A19">
        <w:rPr>
          <w:rFonts w:ascii="Palatino Linotype" w:eastAsia="Calibri" w:hAnsi="Palatino Linotype" w:cs="Tahoma"/>
        </w:rPr>
        <w:t xml:space="preserve">por la misma persona, en los que se señaló como dependencia o entidad recurrida al </w:t>
      </w:r>
      <w:r w:rsidR="00985691" w:rsidRPr="00725A19">
        <w:rPr>
          <w:rFonts w:ascii="Palatino Linotype" w:eastAsia="Calibri" w:hAnsi="Palatino Linotype" w:cs="Tahoma"/>
          <w:bCs/>
        </w:rPr>
        <w:t>Ayuntamiento de Almoloya del Río</w:t>
      </w:r>
      <w:r w:rsidR="00985691" w:rsidRPr="00725A19">
        <w:rPr>
          <w:rFonts w:ascii="Palatino Linotype" w:eastAsia="Calibri" w:hAnsi="Palatino Linotype" w:cs="Tahoma"/>
        </w:rPr>
        <w:t xml:space="preserve">; con el propósito de privilegiar la resolución expedita y evitar el dictado de resoluciones contradictorias, con fundamento en el artículo 18 del Código de Procedimientos Administrativos del Estado de México, de aplicación supletoria a la Ley de Transparencia y Acceso a la Información Pública del Estado de México y Municipios, de conformidad con su artículo 195 de dicho ordenamiento, se </w:t>
      </w:r>
      <w:r w:rsidR="00985691" w:rsidRPr="00725A19">
        <w:rPr>
          <w:rFonts w:ascii="Palatino Linotype" w:eastAsia="Calibri" w:hAnsi="Palatino Linotype" w:cs="Tahoma"/>
          <w:b/>
        </w:rPr>
        <w:t>decreta</w:t>
      </w:r>
      <w:r w:rsidR="00985691" w:rsidRPr="00725A19">
        <w:rPr>
          <w:rFonts w:ascii="Palatino Linotype" w:eastAsia="Calibri" w:hAnsi="Palatino Linotype" w:cs="Tahoma"/>
        </w:rPr>
        <w:t xml:space="preserve"> la acumulación de los Recursos de Revisión</w:t>
      </w:r>
      <w:r w:rsidRPr="00725A19">
        <w:rPr>
          <w:rFonts w:ascii="Palatino Linotype" w:hAnsi="Palatino Linotype"/>
        </w:rPr>
        <w:t>, de conformidad con el numeral ONCE incisos b) y c) de los Lineamientos para la Recepción, Trámite y Resolución de las Solicitudes de Acceso a la In</w:t>
      </w:r>
      <w:r w:rsidR="00985691" w:rsidRPr="00725A19">
        <w:rPr>
          <w:rFonts w:ascii="Palatino Linotype" w:hAnsi="Palatino Linotype"/>
        </w:rPr>
        <w:t>formación Pública.</w:t>
      </w:r>
    </w:p>
    <w:p w14:paraId="16375991" w14:textId="77777777" w:rsidR="00985691" w:rsidRPr="00725A19" w:rsidRDefault="00985691" w:rsidP="00985691">
      <w:pPr>
        <w:pStyle w:val="Prrafodelista"/>
        <w:spacing w:line="360" w:lineRule="auto"/>
        <w:ind w:left="0" w:right="49"/>
        <w:contextualSpacing w:val="0"/>
        <w:jc w:val="both"/>
        <w:rPr>
          <w:rFonts w:ascii="Palatino Linotype" w:hAnsi="Palatino Linotype"/>
        </w:rPr>
      </w:pPr>
    </w:p>
    <w:p w14:paraId="798291A3" w14:textId="2DB5DF68" w:rsidR="005E2B80" w:rsidRPr="00725A19" w:rsidRDefault="000129F2" w:rsidP="0092347A">
      <w:pPr>
        <w:numPr>
          <w:ilvl w:val="0"/>
          <w:numId w:val="4"/>
        </w:numPr>
        <w:spacing w:line="360" w:lineRule="auto"/>
        <w:ind w:left="0" w:firstLine="0"/>
        <w:jc w:val="both"/>
        <w:rPr>
          <w:rFonts w:ascii="Palatino Linotype" w:hAnsi="Palatino Linotype"/>
        </w:rPr>
      </w:pPr>
      <w:r w:rsidRPr="00725A19">
        <w:rPr>
          <w:rFonts w:ascii="Palatino Linotype" w:eastAsia="Palatino Linotype" w:hAnsi="Palatino Linotype" w:cs="Palatino Linotype"/>
        </w:rPr>
        <w:t>E</w:t>
      </w:r>
      <w:r w:rsidR="00644465" w:rsidRPr="00725A19">
        <w:rPr>
          <w:rFonts w:ascii="Palatino Linotype" w:eastAsia="Palatino Linotype" w:hAnsi="Palatino Linotype" w:cs="Palatino Linotype"/>
        </w:rPr>
        <w:t xml:space="preserve">l </w:t>
      </w:r>
      <w:r w:rsidR="002C13C2" w:rsidRPr="00725A19">
        <w:rPr>
          <w:rFonts w:ascii="Palatino Linotype" w:eastAsia="Palatino Linotype" w:hAnsi="Palatino Linotype" w:cs="Palatino Linotype"/>
          <w:b/>
        </w:rPr>
        <w:t>once</w:t>
      </w:r>
      <w:r w:rsidR="00B10E84" w:rsidRPr="00725A19">
        <w:rPr>
          <w:rFonts w:ascii="Palatino Linotype" w:eastAsia="Palatino Linotype" w:hAnsi="Palatino Linotype" w:cs="Palatino Linotype"/>
          <w:b/>
        </w:rPr>
        <w:t xml:space="preserve"> de diciembre</w:t>
      </w:r>
      <w:r w:rsidR="00644465" w:rsidRPr="00725A19">
        <w:rPr>
          <w:rFonts w:ascii="Palatino Linotype" w:eastAsia="Palatino Linotype" w:hAnsi="Palatino Linotype" w:cs="Palatino Linotype"/>
          <w:b/>
        </w:rPr>
        <w:t xml:space="preserve"> de dos mil veinticuatro</w:t>
      </w:r>
      <w:r w:rsidR="00644465" w:rsidRPr="00725A19">
        <w:rPr>
          <w:rFonts w:ascii="Palatino Linotype" w:eastAsia="Palatino Linotype" w:hAnsi="Palatino Linotype" w:cs="Palatino Linotype"/>
        </w:rPr>
        <w:t xml:space="preserve">, se notificaron los acuerdos a través de los cuales se decretó el cierre de instrucción. </w:t>
      </w:r>
    </w:p>
    <w:p w14:paraId="211A08F6" w14:textId="77777777" w:rsidR="005E2B80" w:rsidRPr="00725A19" w:rsidRDefault="005E2B80" w:rsidP="0092347A">
      <w:pPr>
        <w:spacing w:line="360" w:lineRule="auto"/>
        <w:jc w:val="both"/>
        <w:rPr>
          <w:rFonts w:ascii="Palatino Linotype" w:eastAsia="Palatino Linotype" w:hAnsi="Palatino Linotype" w:cs="Palatino Linotype"/>
        </w:rPr>
      </w:pPr>
    </w:p>
    <w:p w14:paraId="7ED6990F" w14:textId="77777777" w:rsidR="005E2B80" w:rsidRPr="00725A19" w:rsidRDefault="00644465" w:rsidP="00373DFF">
      <w:pPr>
        <w:keepNext/>
        <w:keepLines/>
        <w:spacing w:line="360" w:lineRule="auto"/>
        <w:jc w:val="center"/>
        <w:rPr>
          <w:rFonts w:ascii="Palatino Linotype" w:eastAsia="Palatino Linotype" w:hAnsi="Palatino Linotype" w:cs="Palatino Linotype"/>
        </w:rPr>
      </w:pPr>
      <w:bookmarkStart w:id="2" w:name="_heading=h.1fob9te" w:colFirst="0" w:colLast="0"/>
      <w:bookmarkEnd w:id="2"/>
      <w:r w:rsidRPr="00725A19">
        <w:rPr>
          <w:rFonts w:ascii="Palatino Linotype" w:eastAsia="Palatino Linotype" w:hAnsi="Palatino Linotype" w:cs="Palatino Linotype"/>
          <w:b/>
        </w:rPr>
        <w:lastRenderedPageBreak/>
        <w:t xml:space="preserve">C O N S I D E R A N D O </w:t>
      </w:r>
    </w:p>
    <w:p w14:paraId="09BAD089" w14:textId="77777777" w:rsidR="005E2B80" w:rsidRPr="00725A19" w:rsidRDefault="005E2B80" w:rsidP="00373DFF">
      <w:pPr>
        <w:spacing w:line="360" w:lineRule="auto"/>
        <w:rPr>
          <w:rFonts w:ascii="Palatino Linotype" w:eastAsia="Palatino Linotype" w:hAnsi="Palatino Linotype" w:cs="Palatino Linotype"/>
        </w:rPr>
      </w:pPr>
    </w:p>
    <w:p w14:paraId="5EDEC374" w14:textId="77777777" w:rsidR="005E2B80" w:rsidRPr="00725A19" w:rsidRDefault="00644465" w:rsidP="00373DFF">
      <w:pPr>
        <w:keepNext/>
        <w:keepLines/>
        <w:spacing w:line="360" w:lineRule="auto"/>
        <w:rPr>
          <w:rFonts w:ascii="Palatino Linotype" w:eastAsia="Palatino Linotype" w:hAnsi="Palatino Linotype" w:cs="Palatino Linotype"/>
          <w:b/>
        </w:rPr>
      </w:pPr>
      <w:bookmarkStart w:id="3" w:name="_heading=h.3znysh7" w:colFirst="0" w:colLast="0"/>
      <w:bookmarkEnd w:id="3"/>
      <w:r w:rsidRPr="00725A19">
        <w:rPr>
          <w:rFonts w:ascii="Palatino Linotype" w:eastAsia="Palatino Linotype" w:hAnsi="Palatino Linotype" w:cs="Palatino Linotype"/>
          <w:b/>
        </w:rPr>
        <w:t>PRIMERO. Competencia</w:t>
      </w:r>
    </w:p>
    <w:p w14:paraId="22FD0F03" w14:textId="77777777" w:rsidR="005E2B80" w:rsidRPr="00725A19" w:rsidRDefault="00644465" w:rsidP="00373DFF">
      <w:pPr>
        <w:numPr>
          <w:ilvl w:val="0"/>
          <w:numId w:val="4"/>
        </w:numPr>
        <w:spacing w:line="360" w:lineRule="auto"/>
        <w:ind w:left="0" w:firstLine="0"/>
        <w:jc w:val="both"/>
      </w:pPr>
      <w:r w:rsidRPr="00725A19">
        <w:rPr>
          <w:rFonts w:ascii="Palatino Linotype" w:eastAsia="Palatino Linotype" w:hAnsi="Palatino Linotype" w:cs="Palatino Linotype"/>
        </w:rPr>
        <w:t>Este Instituto de Transparencia, Acceso a la Información Pública y Protección de Datos Personales del Estado de México y Municipios, es competente para conocer y resolver del presente recurso de conformidad con el artículo: 6, apartado A, fracción IV de la Constitución Política de los Estados Unidos Mexicanos; 5, párrafos trigésimo segundo y trigésimo tercero,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y 7, 9 fracciones I y XXIII, y 11 del Reglamento Interior del Instituto de Transparencia, Acceso a la Información Pública y Protección de Datos Personales del Estado de México y Municipios.</w:t>
      </w:r>
    </w:p>
    <w:p w14:paraId="61359FB5" w14:textId="77777777" w:rsidR="005E2B80" w:rsidRPr="00725A19" w:rsidRDefault="005E2B80" w:rsidP="00373DFF">
      <w:pPr>
        <w:spacing w:line="360" w:lineRule="auto"/>
        <w:ind w:left="644"/>
        <w:jc w:val="both"/>
        <w:rPr>
          <w:rFonts w:ascii="Palatino Linotype" w:eastAsia="Palatino Linotype" w:hAnsi="Palatino Linotype" w:cs="Palatino Linotype"/>
        </w:rPr>
      </w:pPr>
    </w:p>
    <w:p w14:paraId="1B4B76D7" w14:textId="77777777" w:rsidR="002C13C2" w:rsidRPr="00725A19" w:rsidRDefault="002C13C2" w:rsidP="002C13C2">
      <w:pPr>
        <w:pBdr>
          <w:top w:val="nil"/>
          <w:left w:val="nil"/>
          <w:bottom w:val="nil"/>
          <w:right w:val="nil"/>
          <w:between w:val="nil"/>
        </w:pBdr>
        <w:spacing w:line="360" w:lineRule="auto"/>
        <w:jc w:val="both"/>
        <w:rPr>
          <w:rFonts w:ascii="Palatino Linotype" w:eastAsia="Palatino Linotype" w:hAnsi="Palatino Linotype" w:cs="Palatino Linotype"/>
          <w:b/>
          <w:color w:val="000000"/>
        </w:rPr>
      </w:pPr>
    </w:p>
    <w:p w14:paraId="391ACD8E" w14:textId="77777777" w:rsidR="002C13C2" w:rsidRPr="00725A19" w:rsidRDefault="002C13C2" w:rsidP="002C13C2">
      <w:pPr>
        <w:pStyle w:val="Ttulo2"/>
        <w:spacing w:before="0" w:line="360" w:lineRule="auto"/>
        <w:rPr>
          <w:rFonts w:ascii="Palatino Linotype" w:eastAsia="Palatino Linotype" w:hAnsi="Palatino Linotype" w:cs="Palatino Linotype"/>
          <w:b/>
          <w:color w:val="000000"/>
          <w:sz w:val="24"/>
          <w:szCs w:val="24"/>
        </w:rPr>
      </w:pPr>
      <w:bookmarkStart w:id="4" w:name="_heading=h.tyjcwt" w:colFirst="0" w:colLast="0"/>
      <w:bookmarkEnd w:id="4"/>
      <w:r w:rsidRPr="00725A19">
        <w:rPr>
          <w:rFonts w:ascii="Palatino Linotype" w:eastAsia="Palatino Linotype" w:hAnsi="Palatino Linotype" w:cs="Palatino Linotype"/>
          <w:b/>
          <w:color w:val="000000"/>
          <w:sz w:val="24"/>
          <w:szCs w:val="24"/>
        </w:rPr>
        <w:t>SEGUNDO. De la oportunidad y procedencia.</w:t>
      </w:r>
    </w:p>
    <w:p w14:paraId="39471412" w14:textId="3CA3D9FD" w:rsidR="002C13C2" w:rsidRPr="00725A19" w:rsidRDefault="002C13C2" w:rsidP="002C13C2">
      <w:pPr>
        <w:pStyle w:val="Prrafodelista"/>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0"/>
          <w:szCs w:val="20"/>
        </w:rPr>
      </w:pPr>
      <w:r w:rsidRPr="00725A19">
        <w:rPr>
          <w:rFonts w:ascii="Palatino Linotype" w:eastAsia="Palatino Linotype" w:hAnsi="Palatino Linotype" w:cs="Palatino Linotype"/>
        </w:rPr>
        <w:t xml:space="preserve">Es de precisar, que la Ley de Transparencia y Acceso a la Información Pública del Estado de México y Municipios, en el artículo 178 describe la procedencia del recurso de revisión, asimismo señala que el plazo del </w:t>
      </w:r>
      <w:r w:rsidRPr="00725A19">
        <w:rPr>
          <w:rFonts w:ascii="Palatino Linotype" w:eastAsia="Palatino Linotype" w:hAnsi="Palatino Linotype" w:cs="Palatino Linotype"/>
          <w:b/>
        </w:rPr>
        <w:t>SUJETO OBLIGADO</w:t>
      </w:r>
      <w:r w:rsidRPr="00725A19">
        <w:rPr>
          <w:rFonts w:ascii="Palatino Linotype" w:eastAsia="Palatino Linotype" w:hAnsi="Palatino Linotype" w:cs="Palatino Linotype"/>
        </w:rPr>
        <w:t xml:space="preserve"> para entregar la respuesta a una solicitud de información pública, es de quince días hábiles posteriores a la presentación de ésta; por lo que, transcurrido este término, cuando no </w:t>
      </w:r>
      <w:r w:rsidRPr="00725A19">
        <w:rPr>
          <w:rFonts w:ascii="Palatino Linotype" w:eastAsia="Palatino Linotype" w:hAnsi="Palatino Linotype" w:cs="Palatino Linotype"/>
        </w:rPr>
        <w:lastRenderedPageBreak/>
        <w:t xml:space="preserve">entregue la respuesta a la solicitud dentro del plazo previsto en la Ley, la solicitud se entenderá negada y el solicitante podrá interponer el recurso de revisión previsto en el ordenamiento en cita.  </w:t>
      </w:r>
    </w:p>
    <w:p w14:paraId="76D9DB9D"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color w:val="000000"/>
        </w:rPr>
      </w:pPr>
    </w:p>
    <w:p w14:paraId="1ECB1783"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0"/>
          <w:szCs w:val="20"/>
        </w:rPr>
      </w:pPr>
      <w:r w:rsidRPr="00725A19">
        <w:rPr>
          <w:rFonts w:ascii="Palatino Linotype" w:eastAsia="Palatino Linotype" w:hAnsi="Palatino Linotype" w:cs="Palatino Linotype"/>
        </w:rPr>
        <w:t xml:space="preserve">Por ende, se constituye la figura jurídica de la </w:t>
      </w:r>
      <w:r w:rsidRPr="00725A19">
        <w:rPr>
          <w:rFonts w:ascii="Palatino Linotype" w:eastAsia="Palatino Linotype" w:hAnsi="Palatino Linotype" w:cs="Palatino Linotype"/>
          <w:i/>
        </w:rPr>
        <w:t>negativa ficta</w:t>
      </w:r>
      <w:r w:rsidRPr="00725A19">
        <w:rPr>
          <w:rFonts w:ascii="Palatino Linotype" w:eastAsia="Palatino Linotype" w:hAnsi="Palatino Linotype" w:cs="Palatino Linotype"/>
        </w:rPr>
        <w:t xml:space="preserve">, cuya esencia es atribuir un efecto negativo al silencio de la autoridad administrativa frente a las instancias y solicitudes que hagan los particulares, lo cual encuentra sustento en lo que establece el artículo </w:t>
      </w:r>
      <w:r w:rsidRPr="00725A19">
        <w:rPr>
          <w:rFonts w:ascii="Palatino Linotype" w:eastAsia="Palatino Linotype" w:hAnsi="Palatino Linotype" w:cs="Palatino Linotype"/>
          <w:b/>
        </w:rPr>
        <w:t>178</w:t>
      </w:r>
      <w:r w:rsidRPr="00725A19">
        <w:rPr>
          <w:rFonts w:ascii="Palatino Linotype" w:eastAsia="Palatino Linotype" w:hAnsi="Palatino Linotype" w:cs="Palatino Linotype"/>
        </w:rPr>
        <w:t xml:space="preserve"> segundo párrafo de </w:t>
      </w:r>
      <w:r w:rsidRPr="00725A19">
        <w:rPr>
          <w:rFonts w:ascii="Palatino Linotype" w:eastAsia="Palatino Linotype" w:hAnsi="Palatino Linotype" w:cs="Palatino Linotype"/>
          <w:b/>
        </w:rPr>
        <w:t>Ley de Transparencia y Acceso a la Información Pública del Estado de México y Municipios</w:t>
      </w:r>
      <w:r w:rsidRPr="00725A19">
        <w:rPr>
          <w:rFonts w:ascii="Palatino Linotype" w:eastAsia="Palatino Linotype" w:hAnsi="Palatino Linotype" w:cs="Palatino Linotype"/>
          <w:color w:val="000000"/>
        </w:rPr>
        <w:t xml:space="preserve">, que dispone; ante la falta de respuesta del </w:t>
      </w:r>
      <w:r w:rsidRPr="00725A19">
        <w:rPr>
          <w:rFonts w:ascii="Palatino Linotype" w:eastAsia="Palatino Linotype" w:hAnsi="Palatino Linotype" w:cs="Palatino Linotype"/>
          <w:b/>
          <w:color w:val="000000"/>
        </w:rPr>
        <w:t>SUJETO OBLIGADO,</w:t>
      </w:r>
      <w:r w:rsidRPr="00725A19">
        <w:rPr>
          <w:rFonts w:ascii="Palatino Linotype" w:eastAsia="Palatino Linotype" w:hAnsi="Palatino Linotype" w:cs="Palatino Linotype"/>
          <w:color w:val="000000"/>
        </w:rPr>
        <w:t xml:space="preserve"> dentro de los plazos establecidos en esta Ley, a una solicitud de acceso a la información pública, el recurso </w:t>
      </w:r>
      <w:r w:rsidRPr="00725A19">
        <w:rPr>
          <w:rFonts w:ascii="Palatino Linotype" w:eastAsia="Palatino Linotype" w:hAnsi="Palatino Linotype" w:cs="Palatino Linotype"/>
          <w:b/>
          <w:color w:val="000000"/>
        </w:rPr>
        <w:t xml:space="preserve">podrá ser interpuesto en cualquier momento. </w:t>
      </w:r>
    </w:p>
    <w:p w14:paraId="7051D1A1"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color w:val="000000"/>
        </w:rPr>
      </w:pPr>
    </w:p>
    <w:p w14:paraId="0DE413EA"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0"/>
          <w:szCs w:val="20"/>
        </w:rPr>
      </w:pPr>
      <w:r w:rsidRPr="00725A19">
        <w:rPr>
          <w:rFonts w:ascii="Palatino Linotype" w:eastAsia="Palatino Linotype" w:hAnsi="Palatino Linotype" w:cs="Palatino Linotype"/>
        </w:rPr>
        <w:t xml:space="preserve">Por lo que, tratándose de la </w:t>
      </w:r>
      <w:r w:rsidRPr="00725A19">
        <w:rPr>
          <w:rFonts w:ascii="Palatino Linotype" w:eastAsia="Palatino Linotype" w:hAnsi="Palatino Linotype" w:cs="Palatino Linotype"/>
          <w:i/>
        </w:rPr>
        <w:t>negativa ficta</w:t>
      </w:r>
      <w:r w:rsidRPr="00725A19">
        <w:rPr>
          <w:rFonts w:ascii="Palatino Linotype" w:eastAsia="Palatino Linotype" w:hAnsi="Palatino Linotype" w:cs="Palatino Linotype"/>
        </w:rPr>
        <w:t xml:space="preserve"> no existe respuesta que se haga del conocimiento al particular, a partir de la cual pueda computarse el plazo legal establecido, por tal motivo es pertinente señalar que no existe plazo para la interposición del recurso de revisión, sirviendo de apoyo a lo anterior lo que dispone el Criterio de Interpretación en el orden administrativo número 001-15, emitido por el Pleno del Instituto de Transparencia y Acceso a la Información Pública del Estado de México y Municipios, en la Sexta Sesión Ordinaria, y publicada en el Periódico Oficial </w:t>
      </w:r>
      <w:r w:rsidRPr="00725A19">
        <w:rPr>
          <w:rFonts w:ascii="Palatino Linotype" w:eastAsia="Palatino Linotype" w:hAnsi="Palatino Linotype" w:cs="Palatino Linotype"/>
        </w:rPr>
        <w:lastRenderedPageBreak/>
        <w:t xml:space="preserve">“Gaceta del Gobierno” el veintitrés de abril de dos mil quince, relativo a la interposición del recurso de revisión en cualquier tiempo cuando exista </w:t>
      </w:r>
      <w:r w:rsidRPr="00725A19">
        <w:rPr>
          <w:rFonts w:ascii="Palatino Linotype" w:eastAsia="Palatino Linotype" w:hAnsi="Palatino Linotype" w:cs="Palatino Linotype"/>
          <w:i/>
        </w:rPr>
        <w:t>negativa ficta</w:t>
      </w:r>
      <w:r w:rsidRPr="00725A19">
        <w:rPr>
          <w:rFonts w:ascii="Palatino Linotype" w:eastAsia="Palatino Linotype" w:hAnsi="Palatino Linotype" w:cs="Palatino Linotype"/>
        </w:rPr>
        <w:t>, que señala:</w:t>
      </w:r>
    </w:p>
    <w:p w14:paraId="01DCA664" w14:textId="77777777" w:rsidR="002C13C2" w:rsidRPr="00725A19" w:rsidRDefault="002C13C2" w:rsidP="002C13C2">
      <w:pPr>
        <w:tabs>
          <w:tab w:val="left" w:pos="284"/>
          <w:tab w:val="left" w:pos="7655"/>
          <w:tab w:val="left" w:pos="7938"/>
        </w:tabs>
        <w:spacing w:after="240"/>
        <w:ind w:left="1134" w:right="1106"/>
        <w:jc w:val="center"/>
        <w:rPr>
          <w:rFonts w:ascii="Palatino Linotype" w:eastAsia="Palatino Linotype" w:hAnsi="Palatino Linotype" w:cs="Palatino Linotype"/>
          <w:b/>
          <w:sz w:val="22"/>
          <w:szCs w:val="22"/>
        </w:rPr>
      </w:pPr>
      <w:r w:rsidRPr="00725A19">
        <w:rPr>
          <w:rFonts w:ascii="Palatino Linotype" w:eastAsia="Palatino Linotype" w:hAnsi="Palatino Linotype" w:cs="Palatino Linotype"/>
          <w:b/>
          <w:sz w:val="22"/>
          <w:szCs w:val="22"/>
        </w:rPr>
        <w:t>Criterio 0001-15</w:t>
      </w:r>
    </w:p>
    <w:p w14:paraId="08E80E84" w14:textId="77777777" w:rsidR="002C13C2" w:rsidRPr="00725A19" w:rsidRDefault="002C13C2" w:rsidP="002C13C2">
      <w:pPr>
        <w:tabs>
          <w:tab w:val="left" w:pos="284"/>
          <w:tab w:val="left" w:pos="7655"/>
          <w:tab w:val="left" w:pos="7938"/>
        </w:tabs>
        <w:spacing w:before="240" w:after="240"/>
        <w:ind w:left="1134" w:right="1106"/>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b/>
          <w:i/>
          <w:sz w:val="22"/>
          <w:szCs w:val="22"/>
        </w:rPr>
        <w:t>NEGATIVA FICTA. PLAZO PARA INTERPONER EL RECURSO DE REVISIÓN TRATÁNDOSE DE.</w:t>
      </w:r>
      <w:r w:rsidRPr="00725A19">
        <w:rPr>
          <w:rFonts w:ascii="Palatino Linotype" w:eastAsia="Palatino Linotype" w:hAnsi="Palatino Linotype" w:cs="Palatino Linotype"/>
          <w:i/>
          <w:sz w:val="22"/>
          <w:szCs w:val="22"/>
        </w:rPr>
        <w:t xml:space="preserve"> El artículo 48, párrafo tercero de la Ley de Transparencia y Acceso a la Información Pública del Estado de México y Municipios establece que, cuando no se entregue la respuesta a la solicitud dentro del plazo de 15 días establecidos en el artículo 46 de la Ley de la materia, se entenderá por negada la solicitud y podrá interponerse el recurso correspondiente. Por su parte, el artículo 72 del mismo ordenamiento legal establece el plazo de 15 días para interponer el recurso de revisión a partir del día siguiente al que tuvo conocimiento de la respuesta recaída a su solicitud, sin que se establezca excepción alguna tratándose de una falta de respuesta del sujeto obligado. Así, entonces, resulta evidente que, al no emitirse respuesta dentro del plazo establecido, se genera la ficción legal de una respuesta en sentido negativo; en el entendido de que el plazo para impugnar esa negativa podrá ser en cualquier tiempo y hasta en tanto no se dicte resolución expresa; es decir, mientras no haya respuesta por parte del Sujeto Obligado, momento a partir del cual deberá computarse el plazo previsto en el artículo 72 de la citada Ley.</w:t>
      </w:r>
    </w:p>
    <w:p w14:paraId="49819CAC" w14:textId="77777777" w:rsidR="002C13C2" w:rsidRPr="00725A19" w:rsidRDefault="002C13C2" w:rsidP="00153A68">
      <w:pPr>
        <w:tabs>
          <w:tab w:val="left" w:pos="284"/>
          <w:tab w:val="left" w:pos="7655"/>
        </w:tabs>
        <w:ind w:right="822"/>
        <w:jc w:val="both"/>
        <w:rPr>
          <w:rFonts w:ascii="Palatino Linotype" w:eastAsia="Palatino Linotype" w:hAnsi="Palatino Linotype" w:cs="Palatino Linotype"/>
          <w:i/>
        </w:rPr>
      </w:pPr>
    </w:p>
    <w:p w14:paraId="0C643E3B"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0"/>
          <w:szCs w:val="20"/>
        </w:rPr>
      </w:pPr>
      <w:r w:rsidRPr="00725A19">
        <w:rPr>
          <w:rFonts w:ascii="Palatino Linotype" w:eastAsia="Palatino Linotype" w:hAnsi="Palatino Linotype" w:cs="Palatino Linotype"/>
          <w:color w:val="000000"/>
        </w:rPr>
        <w:t xml:space="preserve">Lo anterior, se explica porque la </w:t>
      </w:r>
      <w:r w:rsidRPr="00725A19">
        <w:rPr>
          <w:rFonts w:ascii="Palatino Linotype" w:eastAsia="Palatino Linotype" w:hAnsi="Palatino Linotype" w:cs="Palatino Linotype"/>
          <w:b/>
          <w:color w:val="000000"/>
          <w:u w:val="single"/>
        </w:rPr>
        <w:t>posible ausencia</w:t>
      </w:r>
      <w:r w:rsidRPr="00725A19">
        <w:rPr>
          <w:rFonts w:ascii="Palatino Linotype" w:eastAsia="Palatino Linotype" w:hAnsi="Palatino Linotype" w:cs="Palatino Linotype"/>
          <w:color w:val="000000"/>
        </w:rPr>
        <w:t xml:space="preserve"> de una respuesta en la solicitud constituye un acto que vulnera el derecho de manera continua y actualizable cada día en tanto, no se emita la respuesta a la que esté impuesto el </w:t>
      </w:r>
      <w:r w:rsidRPr="00725A19">
        <w:rPr>
          <w:rFonts w:ascii="Palatino Linotype" w:eastAsia="Palatino Linotype" w:hAnsi="Palatino Linotype" w:cs="Palatino Linotype"/>
          <w:b/>
          <w:color w:val="000000"/>
        </w:rPr>
        <w:t>SUJETO OBLIGADO</w:t>
      </w:r>
      <w:r w:rsidRPr="00725A19">
        <w:rPr>
          <w:rFonts w:ascii="Palatino Linotype" w:eastAsia="Palatino Linotype" w:hAnsi="Palatino Linotype" w:cs="Palatino Linotype"/>
          <w:color w:val="000000"/>
        </w:rPr>
        <w:t>.</w:t>
      </w:r>
    </w:p>
    <w:p w14:paraId="7CB41A1F" w14:textId="77777777" w:rsidR="002C13C2" w:rsidRPr="00725A19" w:rsidRDefault="002C13C2" w:rsidP="002C13C2">
      <w:pPr>
        <w:spacing w:line="360" w:lineRule="auto"/>
        <w:jc w:val="both"/>
        <w:rPr>
          <w:rFonts w:ascii="Palatino Linotype" w:eastAsia="Palatino Linotype" w:hAnsi="Palatino Linotype" w:cs="Palatino Linotype"/>
        </w:rPr>
      </w:pPr>
    </w:p>
    <w:p w14:paraId="245B1C69"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b/>
          <w:sz w:val="20"/>
          <w:szCs w:val="20"/>
        </w:rPr>
      </w:pPr>
      <w:r w:rsidRPr="00725A19">
        <w:rPr>
          <w:rFonts w:ascii="Palatino Linotype" w:eastAsia="Palatino Linotype" w:hAnsi="Palatino Linotype" w:cs="Palatino Linotype"/>
        </w:rPr>
        <w:t xml:space="preserve">Expuesto lo anterior, el escrito contiene las formalidades previstas por el artículo 180 último párrafo de la Ley de la materia actual, por lo que es procedente que este </w:t>
      </w:r>
      <w:r w:rsidRPr="00725A19">
        <w:rPr>
          <w:rFonts w:ascii="Palatino Linotype" w:eastAsia="Palatino Linotype" w:hAnsi="Palatino Linotype" w:cs="Palatino Linotype"/>
        </w:rPr>
        <w:lastRenderedPageBreak/>
        <w:t>Instituto de Transparencia, Acceso a la Información Pública y Protección de Datos Personales del Estado de México y Municipios, conozca y resuelva el presente recurso.</w:t>
      </w:r>
    </w:p>
    <w:p w14:paraId="565DB971" w14:textId="77777777" w:rsidR="002C13C2" w:rsidRPr="00725A19" w:rsidRDefault="002C13C2" w:rsidP="005066FE">
      <w:pPr>
        <w:pStyle w:val="Prrafodelista"/>
        <w:spacing w:line="360" w:lineRule="auto"/>
        <w:rPr>
          <w:rFonts w:ascii="Palatino Linotype" w:eastAsia="Palatino Linotype" w:hAnsi="Palatino Linotype" w:cs="Palatino Linotype"/>
          <w:b/>
        </w:rPr>
      </w:pPr>
    </w:p>
    <w:p w14:paraId="64A000F6" w14:textId="77777777" w:rsidR="002C13C2" w:rsidRPr="00725A19" w:rsidRDefault="002C13C2" w:rsidP="005066FE">
      <w:pPr>
        <w:pStyle w:val="Ttulo1"/>
        <w:spacing w:before="0" w:after="0" w:line="360" w:lineRule="auto"/>
        <w:rPr>
          <w:rFonts w:ascii="Palatino Linotype" w:hAnsi="Palatino Linotype"/>
          <w:b w:val="0"/>
          <w:color w:val="000000" w:themeColor="text1"/>
          <w:sz w:val="24"/>
          <w:szCs w:val="24"/>
        </w:rPr>
      </w:pPr>
      <w:bookmarkStart w:id="5" w:name="_Toc85733160"/>
      <w:r w:rsidRPr="00725A19">
        <w:rPr>
          <w:rFonts w:ascii="Palatino Linotype" w:hAnsi="Palatino Linotype" w:cs="Arial"/>
          <w:color w:val="000000" w:themeColor="text1"/>
          <w:sz w:val="24"/>
          <w:szCs w:val="24"/>
        </w:rPr>
        <w:t xml:space="preserve">TERCERO. </w:t>
      </w:r>
      <w:bookmarkEnd w:id="5"/>
      <w:r w:rsidRPr="00725A19">
        <w:rPr>
          <w:rFonts w:ascii="Palatino Linotype" w:hAnsi="Palatino Linotype"/>
          <w:color w:val="000000" w:themeColor="text1"/>
          <w:sz w:val="24"/>
          <w:szCs w:val="24"/>
        </w:rPr>
        <w:t xml:space="preserve">Del planteamiento de la </w:t>
      </w:r>
      <w:r w:rsidRPr="00725A19">
        <w:rPr>
          <w:rFonts w:ascii="Palatino Linotype" w:hAnsi="Palatino Linotype"/>
          <w:i/>
          <w:color w:val="000000" w:themeColor="text1"/>
          <w:sz w:val="24"/>
          <w:szCs w:val="24"/>
        </w:rPr>
        <w:t>Litis</w:t>
      </w:r>
      <w:r w:rsidRPr="00725A19">
        <w:rPr>
          <w:rFonts w:ascii="Palatino Linotype" w:hAnsi="Palatino Linotype"/>
          <w:color w:val="000000" w:themeColor="text1"/>
          <w:sz w:val="24"/>
          <w:szCs w:val="24"/>
        </w:rPr>
        <w:t>.</w:t>
      </w:r>
    </w:p>
    <w:p w14:paraId="6951C032" w14:textId="1CA53A46"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hAnsi="Palatino Linotype" w:cs="Arial"/>
          <w:b/>
        </w:rPr>
      </w:pPr>
      <w:r w:rsidRPr="00725A19">
        <w:rPr>
          <w:rFonts w:ascii="Palatino Linotype" w:hAnsi="Palatino Linotype" w:cs="Arial"/>
        </w:rPr>
        <w:t xml:space="preserve">De las constancias en el expediente al rubro indicado, se desprende que </w:t>
      </w:r>
      <w:r w:rsidR="003D0C66" w:rsidRPr="00725A19">
        <w:rPr>
          <w:rFonts w:ascii="Palatino Linotype" w:hAnsi="Palatino Linotype" w:cs="Arial"/>
        </w:rPr>
        <w:t>e</w:t>
      </w:r>
      <w:r w:rsidRPr="00725A19">
        <w:rPr>
          <w:rFonts w:ascii="Palatino Linotype" w:hAnsi="Palatino Linotype" w:cs="Arial"/>
        </w:rPr>
        <w:t xml:space="preserve">l particular </w:t>
      </w:r>
      <w:r w:rsidRPr="00725A19">
        <w:rPr>
          <w:rFonts w:ascii="Palatino Linotype" w:eastAsia="Calibri" w:hAnsi="Palatino Linotype" w:cs="Arial"/>
        </w:rPr>
        <w:t>solicitó</w:t>
      </w:r>
      <w:r w:rsidRPr="00725A19">
        <w:rPr>
          <w:rFonts w:ascii="Palatino Linotype" w:hAnsi="Palatino Linotype" w:cs="Arial"/>
        </w:rPr>
        <w:t xml:space="preserve"> la </w:t>
      </w:r>
      <w:r w:rsidRPr="00725A19">
        <w:rPr>
          <w:rFonts w:ascii="Palatino Linotype" w:eastAsia="Calibri" w:hAnsi="Palatino Linotype" w:cs="Arial"/>
        </w:rPr>
        <w:t>información</w:t>
      </w:r>
      <w:r w:rsidRPr="00725A19">
        <w:rPr>
          <w:rFonts w:ascii="Palatino Linotype" w:hAnsi="Palatino Linotype" w:cs="Arial"/>
        </w:rPr>
        <w:t xml:space="preserve"> que a continuación se desagrega:</w:t>
      </w:r>
    </w:p>
    <w:p w14:paraId="00472E69" w14:textId="77777777" w:rsidR="002C13C2" w:rsidRPr="00725A19" w:rsidRDefault="002C13C2" w:rsidP="002C13C2">
      <w:pPr>
        <w:pStyle w:val="Prrafodelista"/>
        <w:spacing w:line="360" w:lineRule="auto"/>
        <w:ind w:left="0"/>
        <w:jc w:val="both"/>
        <w:rPr>
          <w:rFonts w:ascii="Palatino Linotype" w:hAnsi="Palatino Linotype" w:cs="Arial"/>
          <w:b/>
        </w:rPr>
      </w:pPr>
    </w:p>
    <w:p w14:paraId="09B94DC6" w14:textId="50E23112" w:rsidR="003D0C66" w:rsidRPr="00725A19" w:rsidRDefault="003D0C66" w:rsidP="00297B8D">
      <w:pPr>
        <w:pStyle w:val="Prrafodelista"/>
        <w:numPr>
          <w:ilvl w:val="0"/>
          <w:numId w:val="26"/>
        </w:numPr>
        <w:spacing w:line="360" w:lineRule="auto"/>
        <w:ind w:left="851" w:right="680"/>
        <w:jc w:val="both"/>
        <w:rPr>
          <w:rFonts w:ascii="Palatino Linotype" w:hAnsi="Palatino Linotype" w:cs="Arial"/>
          <w:b/>
        </w:rPr>
      </w:pPr>
      <w:r w:rsidRPr="00725A19">
        <w:rPr>
          <w:rFonts w:ascii="Palatino Linotype" w:hAnsi="Palatino Linotype" w:cs="Arial"/>
          <w:b/>
        </w:rPr>
        <w:t>Contratos de combustible (gasolina y diesel) celebrados en 2023 y 2024</w:t>
      </w:r>
    </w:p>
    <w:p w14:paraId="45CC295E" w14:textId="77777777" w:rsidR="002C13C2" w:rsidRPr="00725A19" w:rsidRDefault="002C13C2" w:rsidP="00297B8D">
      <w:pPr>
        <w:pStyle w:val="Prrafodelista"/>
        <w:numPr>
          <w:ilvl w:val="0"/>
          <w:numId w:val="26"/>
        </w:numPr>
        <w:spacing w:line="360" w:lineRule="auto"/>
        <w:ind w:left="851" w:right="680"/>
        <w:jc w:val="both"/>
        <w:rPr>
          <w:rFonts w:ascii="Palatino Linotype" w:hAnsi="Palatino Linotype" w:cs="Arial"/>
          <w:b/>
        </w:rPr>
      </w:pPr>
      <w:r w:rsidRPr="00725A19">
        <w:rPr>
          <w:rFonts w:ascii="Palatino Linotype" w:hAnsi="Palatino Linotype" w:cs="Arial"/>
          <w:b/>
        </w:rPr>
        <w:t xml:space="preserve">Recibos de Nomina de los empleados de la Tesorería Municipal, administrativos de la Dirección de Administración y Titular de la Unidad de Transparencia. </w:t>
      </w:r>
    </w:p>
    <w:p w14:paraId="445BCFF8" w14:textId="77777777" w:rsidR="002C13C2" w:rsidRPr="00725A19" w:rsidRDefault="002C13C2" w:rsidP="002C13C2">
      <w:pPr>
        <w:pStyle w:val="Prrafodelista"/>
        <w:spacing w:line="360" w:lineRule="auto"/>
        <w:ind w:left="1498"/>
        <w:jc w:val="both"/>
        <w:rPr>
          <w:rFonts w:ascii="Palatino Linotype" w:hAnsi="Palatino Linotype" w:cs="Arial"/>
          <w:b/>
        </w:rPr>
      </w:pPr>
    </w:p>
    <w:p w14:paraId="114636A3" w14:textId="3CBBD043"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MS Mincho" w:hAnsi="Palatino Linotype" w:cs="Arial"/>
        </w:rPr>
      </w:pPr>
      <w:r w:rsidRPr="00725A19">
        <w:rPr>
          <w:rFonts w:ascii="Palatino Linotype" w:hAnsi="Palatino Linotype" w:cs="Arial"/>
        </w:rPr>
        <w:t xml:space="preserve">Tal y como se observa en el tablero del expediente electrónico el </w:t>
      </w:r>
      <w:r w:rsidRPr="00725A19">
        <w:rPr>
          <w:rFonts w:ascii="Palatino Linotype" w:hAnsi="Palatino Linotype" w:cs="Arial"/>
          <w:b/>
        </w:rPr>
        <w:t xml:space="preserve">SUJETO OBLIGADO </w:t>
      </w:r>
      <w:r w:rsidRPr="00725A19">
        <w:rPr>
          <w:rFonts w:ascii="Palatino Linotype" w:hAnsi="Palatino Linotype" w:cs="Arial"/>
          <w:bCs/>
        </w:rPr>
        <w:t>no dio respuesta a la</w:t>
      </w:r>
      <w:r w:rsidR="000D2F49" w:rsidRPr="00725A19">
        <w:rPr>
          <w:rFonts w:ascii="Palatino Linotype" w:hAnsi="Palatino Linotype" w:cs="Arial"/>
          <w:bCs/>
        </w:rPr>
        <w:t xml:space="preserve">s </w:t>
      </w:r>
      <w:r w:rsidRPr="00725A19">
        <w:rPr>
          <w:rFonts w:ascii="Palatino Linotype" w:hAnsi="Palatino Linotype" w:cs="Arial"/>
          <w:bCs/>
        </w:rPr>
        <w:t>solicitud</w:t>
      </w:r>
      <w:r w:rsidR="000D2F49" w:rsidRPr="00725A19">
        <w:rPr>
          <w:rFonts w:ascii="Palatino Linotype" w:hAnsi="Palatino Linotype" w:cs="Arial"/>
          <w:bCs/>
        </w:rPr>
        <w:t>es</w:t>
      </w:r>
      <w:r w:rsidRPr="00725A19">
        <w:rPr>
          <w:rFonts w:ascii="Palatino Linotype" w:hAnsi="Palatino Linotype" w:cs="Arial"/>
          <w:bCs/>
        </w:rPr>
        <w:t xml:space="preserve"> de información</w:t>
      </w:r>
      <w:r w:rsidR="00E3307F" w:rsidRPr="00725A19">
        <w:rPr>
          <w:rFonts w:ascii="Palatino Linotype" w:hAnsi="Palatino Linotype" w:cs="Arial"/>
          <w:bCs/>
        </w:rPr>
        <w:t xml:space="preserve"> 00128/ALMORI/IP/2024 y 00132/ALMORI/IP/2024</w:t>
      </w:r>
      <w:r w:rsidRPr="00725A19">
        <w:rPr>
          <w:rFonts w:ascii="Palatino Linotype" w:hAnsi="Palatino Linotype" w:cs="Arial"/>
          <w:bCs/>
        </w:rPr>
        <w:t xml:space="preserve">, situación que configuro una negativa ficta. </w:t>
      </w:r>
    </w:p>
    <w:p w14:paraId="4DAAC103" w14:textId="77777777" w:rsidR="002C13C2" w:rsidRPr="00725A19" w:rsidRDefault="002C13C2" w:rsidP="002C13C2">
      <w:pPr>
        <w:pStyle w:val="Prrafodelista"/>
        <w:spacing w:line="360" w:lineRule="auto"/>
        <w:ind w:left="0"/>
        <w:jc w:val="both"/>
        <w:rPr>
          <w:rFonts w:ascii="Palatino Linotype" w:eastAsia="MS Mincho" w:hAnsi="Palatino Linotype" w:cs="Arial"/>
        </w:rPr>
      </w:pPr>
    </w:p>
    <w:p w14:paraId="2ABB79F7"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MS Mincho" w:hAnsi="Palatino Linotype" w:cs="Arial"/>
        </w:rPr>
      </w:pPr>
      <w:r w:rsidRPr="00725A19">
        <w:rPr>
          <w:rFonts w:ascii="Palatino Linotype" w:eastAsia="MS Mincho" w:hAnsi="Palatino Linotype" w:cs="Arial"/>
        </w:rPr>
        <w:t xml:space="preserve">En </w:t>
      </w:r>
      <w:r w:rsidRPr="00725A19">
        <w:rPr>
          <w:rFonts w:ascii="Palatino Linotype" w:hAnsi="Palatino Linotype" w:cs="Arial"/>
        </w:rPr>
        <w:t xml:space="preserve">dichas condiciones, la </w:t>
      </w:r>
      <w:r w:rsidRPr="00725A19">
        <w:rPr>
          <w:rFonts w:ascii="Palatino Linotype" w:hAnsi="Palatino Linotype" w:cs="Arial"/>
          <w:i/>
        </w:rPr>
        <w:t>Litis</w:t>
      </w:r>
      <w:r w:rsidRPr="00725A19">
        <w:rPr>
          <w:rFonts w:ascii="Palatino Linotype" w:hAnsi="Palatino Linotype" w:cs="Arial"/>
        </w:rPr>
        <w:t xml:space="preserve"> a resolver en este recurso se circunscribe a determinar si </w:t>
      </w:r>
      <w:r w:rsidRPr="00725A19">
        <w:rPr>
          <w:rFonts w:ascii="Palatino Linotype" w:eastAsia="MS Mincho" w:hAnsi="Palatino Linotype" w:cs="Arial"/>
        </w:rPr>
        <w:t xml:space="preserve">se actualizan las causales de procedencia previstas en el artículo 179, </w:t>
      </w:r>
      <w:r w:rsidRPr="00725A19">
        <w:rPr>
          <w:rFonts w:ascii="Palatino Linotype" w:eastAsia="MS Mincho" w:hAnsi="Palatino Linotype" w:cs="Arial"/>
          <w:b/>
        </w:rPr>
        <w:t xml:space="preserve">fracción I </w:t>
      </w:r>
      <w:r w:rsidRPr="00725A19">
        <w:rPr>
          <w:rFonts w:ascii="Palatino Linotype" w:eastAsia="MS Mincho" w:hAnsi="Palatino Linotype" w:cs="Arial"/>
        </w:rPr>
        <w:t>de la</w:t>
      </w:r>
      <w:r w:rsidRPr="00725A19">
        <w:rPr>
          <w:rFonts w:ascii="Palatino Linotype" w:hAnsi="Palatino Linotype" w:cs="Arial"/>
          <w:color w:val="000000" w:themeColor="text1"/>
        </w:rPr>
        <w:t xml:space="preserve"> Ley</w:t>
      </w:r>
      <w:r w:rsidRPr="00725A19">
        <w:rPr>
          <w:rFonts w:ascii="Palatino Linotype" w:eastAsia="MS Mincho" w:hAnsi="Palatino Linotype" w:cs="Arial"/>
          <w:b/>
        </w:rPr>
        <w:t xml:space="preserve"> de Transparencia y Acceso a la Información Pública del Estado de </w:t>
      </w:r>
      <w:r w:rsidRPr="00725A19">
        <w:rPr>
          <w:rFonts w:ascii="Palatino Linotype" w:hAnsi="Palatino Linotype" w:cs="Arial"/>
        </w:rPr>
        <w:t>México</w:t>
      </w:r>
      <w:r w:rsidRPr="00725A19">
        <w:rPr>
          <w:rFonts w:ascii="Palatino Linotype" w:eastAsia="MS Mincho" w:hAnsi="Palatino Linotype" w:cs="Arial"/>
          <w:b/>
        </w:rPr>
        <w:t xml:space="preserve"> y Municipios</w:t>
      </w:r>
      <w:r w:rsidRPr="00725A19">
        <w:rPr>
          <w:rFonts w:ascii="Palatino Linotype" w:eastAsia="MS Mincho" w:hAnsi="Palatino Linotype" w:cs="Arial"/>
        </w:rPr>
        <w:t xml:space="preserve">; </w:t>
      </w:r>
      <w:r w:rsidRPr="00725A19">
        <w:rPr>
          <w:rFonts w:ascii="Palatino Linotype" w:hAnsi="Palatino Linotype" w:cs="Arial"/>
          <w:color w:val="000000" w:themeColor="text1"/>
        </w:rPr>
        <w:t xml:space="preserve">fracción que determina la negativa de la información solicitada; </w:t>
      </w:r>
      <w:r w:rsidRPr="00725A19">
        <w:rPr>
          <w:rFonts w:ascii="Palatino Linotype" w:eastAsia="MS Mincho" w:hAnsi="Palatino Linotype" w:cs="Arial"/>
        </w:rPr>
        <w:lastRenderedPageBreak/>
        <w:t xml:space="preserve">contexto del cual se dolió </w:t>
      </w:r>
      <w:r w:rsidRPr="00725A19">
        <w:rPr>
          <w:rFonts w:ascii="Palatino Linotype" w:eastAsia="MS Mincho" w:hAnsi="Palatino Linotype" w:cs="Arial"/>
          <w:b/>
        </w:rPr>
        <w:t xml:space="preserve">EL RECURRENTE </w:t>
      </w:r>
      <w:r w:rsidRPr="00725A19">
        <w:rPr>
          <w:rFonts w:ascii="Palatino Linotype" w:eastAsia="MS Mincho" w:hAnsi="Palatino Linotype" w:cs="Arial"/>
        </w:rPr>
        <w:t>al momento de interponer su inconformidad.</w:t>
      </w:r>
    </w:p>
    <w:p w14:paraId="7542C574" w14:textId="77777777" w:rsidR="002C13C2" w:rsidRPr="00725A19" w:rsidRDefault="002C13C2" w:rsidP="002C13C2">
      <w:pPr>
        <w:pStyle w:val="Prrafodelista"/>
        <w:spacing w:line="360" w:lineRule="auto"/>
        <w:ind w:left="0"/>
        <w:jc w:val="both"/>
        <w:rPr>
          <w:rFonts w:ascii="Palatino Linotype" w:eastAsia="MS Mincho" w:hAnsi="Palatino Linotype" w:cs="Arial"/>
        </w:rPr>
      </w:pPr>
    </w:p>
    <w:p w14:paraId="1D9DF358"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MS Mincho" w:hAnsi="Palatino Linotype" w:cs="Arial"/>
        </w:rPr>
      </w:pPr>
      <w:r w:rsidRPr="00725A19">
        <w:rPr>
          <w:rFonts w:ascii="Palatino Linotype" w:hAnsi="Palatino Linotype" w:cs="Arial"/>
          <w:color w:val="000000" w:themeColor="text1"/>
        </w:rPr>
        <w:t xml:space="preserve">De modo tal que el presente recurso de revisión se abocara en determinar si el </w:t>
      </w:r>
      <w:r w:rsidRPr="00725A19">
        <w:rPr>
          <w:rFonts w:ascii="Palatino Linotype" w:eastAsia="MS Mincho" w:hAnsi="Palatino Linotype" w:cs="Arial"/>
          <w:b/>
        </w:rPr>
        <w:t>SUJETO</w:t>
      </w:r>
      <w:r w:rsidRPr="00725A19">
        <w:rPr>
          <w:rFonts w:ascii="Palatino Linotype" w:hAnsi="Palatino Linotype" w:cs="Arial"/>
          <w:b/>
          <w:color w:val="000000" w:themeColor="text1"/>
        </w:rPr>
        <w:t xml:space="preserve"> OBLIGADO</w:t>
      </w:r>
      <w:r w:rsidRPr="00725A19">
        <w:rPr>
          <w:rFonts w:ascii="Palatino Linotype" w:hAnsi="Palatino Linotype" w:cs="Arial"/>
          <w:color w:val="000000" w:themeColor="text1"/>
        </w:rPr>
        <w:t xml:space="preserve"> con su respuesta ciertamente </w:t>
      </w:r>
      <w:r w:rsidRPr="00725A19">
        <w:rPr>
          <w:rFonts w:ascii="Palatino Linotype" w:hAnsi="Palatino Linotype"/>
          <w:color w:val="000000" w:themeColor="text1"/>
        </w:rPr>
        <w:t>actualiza la causal de procedencia</w:t>
      </w:r>
      <w:r w:rsidRPr="00725A19">
        <w:rPr>
          <w:rFonts w:ascii="Palatino Linotype" w:hAnsi="Palatino Linotype"/>
          <w:b/>
          <w:color w:val="000000" w:themeColor="text1"/>
        </w:rPr>
        <w:t xml:space="preserve"> </w:t>
      </w:r>
      <w:r w:rsidRPr="00725A19">
        <w:rPr>
          <w:rFonts w:ascii="Palatino Linotype" w:hAnsi="Palatino Linotype" w:cs="Arial"/>
          <w:color w:val="000000" w:themeColor="text1"/>
        </w:rPr>
        <w:t>antes señalada; asimismo, determinar si se vulnera el derecho de acceso a la información del particular por la inobservancia a los principios contenidos en el artículo 11 de la Ley de Transparencia y Acceso a la Información Pública del Estado de México y Municipios, los cuales señala entre otros, que en la generación y entrega de información se deberá garantizar que sea oportuna, expedita, completa e integral.</w:t>
      </w:r>
    </w:p>
    <w:p w14:paraId="4F8D48B7" w14:textId="77777777" w:rsidR="002C13C2" w:rsidRPr="00725A19" w:rsidRDefault="002C13C2" w:rsidP="002C13C2">
      <w:pPr>
        <w:spacing w:line="360" w:lineRule="auto"/>
        <w:contextualSpacing/>
        <w:jc w:val="both"/>
        <w:rPr>
          <w:rFonts w:ascii="Palatino Linotype" w:hAnsi="Palatino Linotype" w:cs="Arial"/>
        </w:rPr>
      </w:pPr>
    </w:p>
    <w:p w14:paraId="7A2B74D6" w14:textId="77777777" w:rsidR="002C13C2" w:rsidRPr="00725A19" w:rsidRDefault="002C13C2" w:rsidP="002C13C2">
      <w:pPr>
        <w:keepNext/>
        <w:keepLines/>
        <w:spacing w:line="360" w:lineRule="auto"/>
        <w:outlineLvl w:val="0"/>
        <w:rPr>
          <w:rFonts w:ascii="Palatino Linotype" w:eastAsia="Palatino Linotype" w:hAnsi="Palatino Linotype" w:cs="Palatino Linotype"/>
          <w:b/>
          <w:color w:val="000000"/>
        </w:rPr>
      </w:pPr>
      <w:r w:rsidRPr="00725A19">
        <w:rPr>
          <w:rFonts w:ascii="Palatino Linotype" w:eastAsia="Palatino Linotype" w:hAnsi="Palatino Linotype" w:cs="Palatino Linotype"/>
          <w:b/>
          <w:color w:val="000000"/>
        </w:rPr>
        <w:t>CUARTO. Del estudio y resolución del asunto</w:t>
      </w:r>
    </w:p>
    <w:p w14:paraId="357CB1D2" w14:textId="77777777" w:rsidR="002C13C2" w:rsidRPr="00725A19" w:rsidRDefault="002C13C2" w:rsidP="002C13C2">
      <w:pPr>
        <w:keepNext/>
        <w:keepLines/>
        <w:numPr>
          <w:ilvl w:val="0"/>
          <w:numId w:val="25"/>
        </w:numPr>
        <w:spacing w:after="240" w:line="360" w:lineRule="auto"/>
        <w:ind w:left="786"/>
        <w:rPr>
          <w:rFonts w:ascii="Palatino Linotype" w:eastAsia="Palatino Linotype" w:hAnsi="Palatino Linotype" w:cs="Palatino Linotype"/>
          <w:b/>
        </w:rPr>
      </w:pPr>
      <w:r w:rsidRPr="00725A19">
        <w:rPr>
          <w:rFonts w:ascii="Palatino Linotype" w:eastAsia="Palatino Linotype" w:hAnsi="Palatino Linotype" w:cs="Palatino Linotype"/>
          <w:b/>
        </w:rPr>
        <w:t>Del derecho de acceso a la información.</w:t>
      </w:r>
    </w:p>
    <w:p w14:paraId="0BBE94CB"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hAnsi="Palatino Linotype" w:cs="Arial"/>
          <w:color w:val="000000" w:themeColor="text1"/>
        </w:rPr>
      </w:pPr>
      <w:r w:rsidRPr="00725A19">
        <w:rPr>
          <w:rFonts w:ascii="Palatino Linotype" w:hAnsi="Palatino Linotype" w:cs="Arial"/>
          <w:color w:val="000000" w:themeColor="text1"/>
        </w:rPr>
        <w:t xml:space="preserve">El Derecho de Acceso a la Información Pública, es un derecho humano reconocido en el Pacto de Derechos Civiles y Políticos en su artículo 19.2; en la Convención Americana sobre Derechos Humanos en su artículo 13.1; en el artículo sexto de la Constitución Política de los Estados Unidos Mexicanos y en el artículo quinto de la Particular del Estado de México. </w:t>
      </w:r>
    </w:p>
    <w:p w14:paraId="295ED882" w14:textId="77777777" w:rsidR="002C13C2" w:rsidRPr="00725A19" w:rsidRDefault="002C13C2" w:rsidP="002C13C2">
      <w:pPr>
        <w:spacing w:line="360" w:lineRule="auto"/>
        <w:ind w:right="48"/>
        <w:jc w:val="both"/>
        <w:rPr>
          <w:rFonts w:ascii="Palatino Linotype" w:eastAsia="Palatino Linotype" w:hAnsi="Palatino Linotype" w:cs="Palatino Linotype"/>
        </w:rPr>
      </w:pPr>
    </w:p>
    <w:p w14:paraId="36A4C5E0"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lastRenderedPageBreak/>
        <w:t xml:space="preserve">Definiendo el Derecho de Acceso a la Información Pública como: </w:t>
      </w:r>
      <w:r w:rsidRPr="00725A19">
        <w:rPr>
          <w:rFonts w:ascii="Palatino Linotype" w:eastAsia="Palatino Linotype" w:hAnsi="Palatino Linotype" w:cs="Palatino Linotype"/>
          <w:i/>
          <w:color w:val="000000"/>
        </w:rPr>
        <w:t>La igualdad de oportunidades para recibir, buscar e impartir información</w:t>
      </w:r>
      <w:r w:rsidRPr="00725A19">
        <w:rPr>
          <w:rFonts w:ascii="Palatino Linotype" w:eastAsia="Palatino Linotype" w:hAnsi="Palatino Linotype" w:cs="Palatino Linotype"/>
          <w:i/>
          <w:vertAlign w:val="superscript"/>
        </w:rPr>
        <w:footnoteReference w:id="1"/>
      </w:r>
      <w:r w:rsidRPr="00725A19">
        <w:rPr>
          <w:rFonts w:ascii="Palatino Linotype" w:eastAsia="Palatino Linotype" w:hAnsi="Palatino Linotype" w:cs="Palatino Linotype"/>
          <w:i/>
          <w:color w:val="000000"/>
        </w:rPr>
        <w:t>en posesión de cualquier autoridad,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municipal,</w:t>
      </w:r>
      <w:r w:rsidRPr="00725A19">
        <w:rPr>
          <w:rFonts w:ascii="Palatino Linotype" w:eastAsia="Palatino Linotype" w:hAnsi="Palatino Linotype" w:cs="Palatino Linotype"/>
          <w:i/>
          <w:vertAlign w:val="superscript"/>
        </w:rPr>
        <w:footnoteReference w:id="2"/>
      </w:r>
      <w:r w:rsidRPr="00725A19">
        <w:rPr>
          <w:rFonts w:ascii="Palatino Linotype" w:eastAsia="Palatino Linotype" w:hAnsi="Palatino Linotype" w:cs="Palatino Linotype"/>
          <w:color w:val="000000"/>
        </w:rPr>
        <w:t>que se constituye como una herramienta fundamental para ejercer</w:t>
      </w:r>
      <w:r w:rsidRPr="00725A19">
        <w:rPr>
          <w:rFonts w:ascii="Palatino Linotype" w:eastAsia="Palatino Linotype" w:hAnsi="Palatino Linotype" w:cs="Palatino Linotype"/>
          <w:i/>
          <w:color w:val="000000"/>
        </w:rPr>
        <w:t xml:space="preserve"> el control democrático de las gestiones estatales, de forma tal que puedan cuestionar, indagar y considerar si se está dando un adecuado cumplimiento a las funciones públicas,</w:t>
      </w:r>
      <w:r w:rsidRPr="00725A19">
        <w:rPr>
          <w:rFonts w:ascii="Palatino Linotype" w:eastAsia="Palatino Linotype" w:hAnsi="Palatino Linotype" w:cs="Palatino Linotype"/>
          <w:i/>
          <w:vertAlign w:val="superscript"/>
        </w:rPr>
        <w:footnoteReference w:id="3"/>
      </w:r>
      <w:r w:rsidRPr="00725A19">
        <w:rPr>
          <w:rFonts w:ascii="Palatino Linotype" w:eastAsia="Palatino Linotype" w:hAnsi="Palatino Linotype" w:cs="Palatino Linotype"/>
          <w:color w:val="000000"/>
        </w:rPr>
        <w:t>fomentando</w:t>
      </w:r>
      <w:r w:rsidRPr="00725A19">
        <w:rPr>
          <w:rFonts w:ascii="Palatino Linotype" w:eastAsia="Palatino Linotype" w:hAnsi="Palatino Linotype" w:cs="Palatino Linotype"/>
          <w:i/>
          <w:color w:val="000000"/>
        </w:rPr>
        <w:t xml:space="preserve"> la transparencia de las actividades estatales y </w:t>
      </w:r>
      <w:r w:rsidRPr="00725A19">
        <w:rPr>
          <w:rFonts w:ascii="Palatino Linotype" w:eastAsia="Palatino Linotype" w:hAnsi="Palatino Linotype" w:cs="Palatino Linotype"/>
          <w:color w:val="000000"/>
        </w:rPr>
        <w:t>promoviendo</w:t>
      </w:r>
      <w:r w:rsidRPr="00725A19">
        <w:rPr>
          <w:rFonts w:ascii="Palatino Linotype" w:eastAsia="Palatino Linotype" w:hAnsi="Palatino Linotype" w:cs="Palatino Linotype"/>
          <w:i/>
          <w:color w:val="000000"/>
        </w:rPr>
        <w:t xml:space="preserve"> la responsabilidad de los funcionarios sobre su gestión pública,</w:t>
      </w:r>
      <w:r w:rsidRPr="00725A19">
        <w:rPr>
          <w:rFonts w:ascii="Palatino Linotype" w:eastAsia="Palatino Linotype" w:hAnsi="Palatino Linotype" w:cs="Palatino Linotype"/>
          <w:i/>
          <w:vertAlign w:val="superscript"/>
        </w:rPr>
        <w:footnoteReference w:id="4"/>
      </w:r>
      <w:r w:rsidRPr="00725A19">
        <w:rPr>
          <w:rFonts w:ascii="Palatino Linotype" w:eastAsia="Palatino Linotype" w:hAnsi="Palatino Linotype" w:cs="Palatino Linotype"/>
          <w:color w:val="000000"/>
        </w:rPr>
        <w:t>que permite</w:t>
      </w:r>
      <w:r w:rsidRPr="00725A19">
        <w:rPr>
          <w:rFonts w:ascii="Palatino Linotype" w:eastAsia="Palatino Linotype" w:hAnsi="Palatino Linotype" w:cs="Palatino Linotype"/>
          <w:i/>
          <w:color w:val="000000"/>
        </w:rPr>
        <w:t xml:space="preserve"> saber qué están haciendo los gobiernos por sus pueblos, sin lo cual la verdad languidecería y la participación en el gobierno permanecería fragmentada.</w:t>
      </w:r>
    </w:p>
    <w:p w14:paraId="6A47E343" w14:textId="77777777" w:rsidR="002C13C2" w:rsidRPr="00725A19" w:rsidRDefault="002C13C2" w:rsidP="002C13C2">
      <w:pPr>
        <w:spacing w:line="360" w:lineRule="auto"/>
        <w:ind w:right="49"/>
        <w:jc w:val="both"/>
        <w:rPr>
          <w:rFonts w:ascii="Palatino Linotype" w:eastAsia="Palatino Linotype" w:hAnsi="Palatino Linotype" w:cs="Palatino Linotype"/>
        </w:rPr>
      </w:pPr>
    </w:p>
    <w:p w14:paraId="62E666B7" w14:textId="6A54B893"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En México, además de los derechos, están reconocidas las garantías para su protección, en ese sentido el párrafo tercero de</w:t>
      </w:r>
      <w:r w:rsidR="00FC783F" w:rsidRPr="00725A19">
        <w:rPr>
          <w:rFonts w:ascii="Palatino Linotype" w:eastAsia="Palatino Linotype" w:hAnsi="Palatino Linotype" w:cs="Palatino Linotype"/>
        </w:rPr>
        <w:t>l</w:t>
      </w:r>
      <w:r w:rsidRPr="00725A19">
        <w:rPr>
          <w:rFonts w:ascii="Palatino Linotype" w:eastAsia="Palatino Linotype" w:hAnsi="Palatino Linotype" w:cs="Palatino Linotype"/>
        </w:rPr>
        <w:t xml:space="preserve"> artículo primero</w:t>
      </w:r>
      <w:r w:rsidR="00FC783F" w:rsidRPr="00725A19">
        <w:rPr>
          <w:rFonts w:ascii="Palatino Linotype" w:eastAsia="Palatino Linotype" w:hAnsi="Palatino Linotype" w:cs="Palatino Linotype"/>
        </w:rPr>
        <w:t>; y el artículo 6, apartado A, fracción I</w:t>
      </w:r>
      <w:r w:rsidRPr="00725A19">
        <w:rPr>
          <w:rFonts w:ascii="Palatino Linotype" w:eastAsia="Palatino Linotype" w:hAnsi="Palatino Linotype" w:cs="Palatino Linotype"/>
        </w:rPr>
        <w:t xml:space="preserve"> de la Constitución Política de los Estados Unidos Mexicanos </w:t>
      </w:r>
      <w:r w:rsidR="00FC783F" w:rsidRPr="00725A19">
        <w:rPr>
          <w:rFonts w:ascii="Palatino Linotype" w:eastAsia="Palatino Linotype" w:hAnsi="Palatino Linotype" w:cs="Palatino Linotype"/>
        </w:rPr>
        <w:t>y el artículo 5 de la Constitución Política del Estado Libre y Soberano de México respectivamente.</w:t>
      </w:r>
    </w:p>
    <w:p w14:paraId="0FC8E787" w14:textId="77777777" w:rsidR="002C13C2" w:rsidRPr="00725A19" w:rsidRDefault="002C13C2" w:rsidP="002C13C2">
      <w:pPr>
        <w:ind w:left="1134" w:right="900"/>
        <w:jc w:val="both"/>
        <w:rPr>
          <w:rFonts w:ascii="Palatino Linotype" w:eastAsia="Palatino Linotype" w:hAnsi="Palatino Linotype" w:cs="Palatino Linotype"/>
          <w:b/>
        </w:rPr>
      </w:pPr>
    </w:p>
    <w:p w14:paraId="2966E057"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lastRenderedPageBreak/>
        <w:t>Por lo anterior, se deduce que el Derecho de Acceso a la Información Pública es un Derecho Humano de Fuente Internacional y Constitucionalmente reconocido. Además del derecho, también se reconocen garantías para su protección, lo que vincula con el mandato del párrafo tercero del mismo artículo.</w:t>
      </w:r>
    </w:p>
    <w:p w14:paraId="6AB92938" w14:textId="77777777" w:rsidR="002C13C2" w:rsidRPr="00725A19" w:rsidRDefault="002C13C2" w:rsidP="002C13C2">
      <w:pPr>
        <w:spacing w:line="360" w:lineRule="auto"/>
        <w:ind w:right="49"/>
        <w:jc w:val="both"/>
        <w:rPr>
          <w:rFonts w:ascii="Palatino Linotype" w:eastAsia="Palatino Linotype" w:hAnsi="Palatino Linotype" w:cs="Palatino Linotype"/>
        </w:rPr>
      </w:pPr>
    </w:p>
    <w:p w14:paraId="4467AB0C"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Según el artículo 150 de la Ley de Transparencia del Estado, la solicitud es la garantía primaria del Derecho de Acceso a la Información, además, establece que se regirá </w:t>
      </w:r>
      <w:r w:rsidRPr="00725A19">
        <w:rPr>
          <w:rFonts w:ascii="Palatino Linotype" w:eastAsia="Palatino Linotype" w:hAnsi="Palatino Linotype" w:cs="Palatino Linotype"/>
          <w:i/>
        </w:rPr>
        <w:t>por los principios de simplicidad, rapidez gratuidad del procedimiento, auxilio y orientación a los particulares</w:t>
      </w:r>
      <w:r w:rsidRPr="00725A19">
        <w:rPr>
          <w:rFonts w:ascii="Palatino Linotype" w:eastAsia="Palatino Linotype" w:hAnsi="Palatino Linotype" w:cs="Palatino Linotype"/>
        </w:rPr>
        <w:t>, contemplando el derecho de las personas con discapacidad y hablantes de lengua indígena.</w:t>
      </w:r>
    </w:p>
    <w:p w14:paraId="5819C7AB" w14:textId="77777777" w:rsidR="002C13C2" w:rsidRPr="00725A19" w:rsidRDefault="002C13C2" w:rsidP="002C13C2">
      <w:pPr>
        <w:spacing w:line="360" w:lineRule="auto"/>
        <w:ind w:right="49"/>
        <w:jc w:val="both"/>
        <w:rPr>
          <w:rFonts w:ascii="Palatino Linotype" w:eastAsia="Palatino Linotype" w:hAnsi="Palatino Linotype" w:cs="Palatino Linotype"/>
        </w:rPr>
      </w:pPr>
    </w:p>
    <w:p w14:paraId="700DE2EE"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El Derecho de Acceso a la Información se garantiza y respeta oportunamente, y según lo que dispone la Ley, las </w:t>
      </w:r>
      <w:r w:rsidRPr="00725A19">
        <w:rPr>
          <w:rFonts w:ascii="Palatino Linotype" w:eastAsia="Palatino Linotype" w:hAnsi="Palatino Linotype" w:cs="Palatino Linotype"/>
          <w:i/>
        </w:rPr>
        <w:t>solicitudes de acceso a la información</w:t>
      </w:r>
      <w:r w:rsidRPr="00725A19">
        <w:rPr>
          <w:rFonts w:ascii="Palatino Linotype" w:eastAsia="Palatino Linotype" w:hAnsi="Palatino Linotype" w:cs="Palatino Linotype"/>
        </w:rPr>
        <w:t>.</w:t>
      </w:r>
    </w:p>
    <w:p w14:paraId="5FC7AF4F" w14:textId="77777777" w:rsidR="002C13C2" w:rsidRPr="00725A19" w:rsidRDefault="002C13C2" w:rsidP="002C13C2">
      <w:pPr>
        <w:spacing w:line="360" w:lineRule="auto"/>
        <w:ind w:right="49"/>
        <w:jc w:val="both"/>
        <w:rPr>
          <w:rFonts w:ascii="Palatino Linotype" w:eastAsia="Palatino Linotype" w:hAnsi="Palatino Linotype" w:cs="Palatino Linotype"/>
        </w:rPr>
      </w:pPr>
    </w:p>
    <w:p w14:paraId="0A9D4471"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bookmarkStart w:id="6" w:name="_heading=h.4d34og8" w:colFirst="0" w:colLast="0"/>
      <w:bookmarkEnd w:id="6"/>
      <w:r w:rsidRPr="00725A19">
        <w:rPr>
          <w:rFonts w:ascii="Palatino Linotype" w:eastAsia="Palatino Linotype" w:hAnsi="Palatino Linotype" w:cs="Palatino Linotype"/>
        </w:rPr>
        <w:t xml:space="preserve">Así entonces, se procede analizar, en primer lugar, si el </w:t>
      </w:r>
      <w:r w:rsidRPr="00725A19">
        <w:rPr>
          <w:rFonts w:ascii="Palatino Linotype" w:eastAsia="Palatino Linotype" w:hAnsi="Palatino Linotype" w:cs="Palatino Linotype"/>
          <w:b/>
        </w:rPr>
        <w:t>SUJETO OBLIGADO</w:t>
      </w:r>
      <w:r w:rsidRPr="00725A19">
        <w:rPr>
          <w:rFonts w:ascii="Palatino Linotype" w:eastAsia="Palatino Linotype" w:hAnsi="Palatino Linotype" w:cs="Palatino Linotype"/>
        </w:rPr>
        <w:t xml:space="preserve"> al atender la solicitud de acceso a la información, satisfizo la garantía primaria del derecho según lo dispuesto por el artículo 150 de la Ley de Transparencia y Acceso a la Información Pública del Estado de México y Municipios y en segundo término si cumplió con su deber de respetar y garantizar el derecho, entregando la información solicitada.</w:t>
      </w:r>
    </w:p>
    <w:p w14:paraId="4E575541" w14:textId="77777777" w:rsidR="002C13C2" w:rsidRPr="00725A19" w:rsidRDefault="002C13C2" w:rsidP="002C13C2">
      <w:pPr>
        <w:spacing w:line="360" w:lineRule="auto"/>
        <w:ind w:right="49"/>
        <w:jc w:val="both"/>
        <w:rPr>
          <w:rFonts w:ascii="Palatino Linotype" w:eastAsia="Palatino Linotype" w:hAnsi="Palatino Linotype" w:cs="Palatino Linotype"/>
        </w:rPr>
      </w:pPr>
    </w:p>
    <w:p w14:paraId="076E6CEB" w14:textId="77777777" w:rsidR="002C13C2" w:rsidRPr="00725A19" w:rsidRDefault="002C13C2" w:rsidP="002C13C2">
      <w:pPr>
        <w:keepNext/>
        <w:keepLines/>
        <w:spacing w:after="240" w:line="360" w:lineRule="auto"/>
        <w:rPr>
          <w:rFonts w:ascii="Palatino Linotype" w:eastAsia="Palatino Linotype" w:hAnsi="Palatino Linotype" w:cs="Palatino Linotype"/>
          <w:b/>
        </w:rPr>
      </w:pPr>
      <w:bookmarkStart w:id="7" w:name="_heading=h.2s8eyo1" w:colFirst="0" w:colLast="0"/>
      <w:bookmarkEnd w:id="7"/>
      <w:r w:rsidRPr="00725A19">
        <w:rPr>
          <w:rFonts w:ascii="Palatino Linotype" w:eastAsia="Palatino Linotype" w:hAnsi="Palatino Linotype" w:cs="Palatino Linotype"/>
          <w:b/>
        </w:rPr>
        <w:lastRenderedPageBreak/>
        <w:t>II. De la información solicitada y la respuesta del SUJETO OBLIGADO</w:t>
      </w:r>
    </w:p>
    <w:p w14:paraId="32551FBB" w14:textId="5DE4206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b/>
          <w:szCs w:val="20"/>
        </w:rPr>
      </w:pPr>
      <w:r w:rsidRPr="00725A19">
        <w:rPr>
          <w:rFonts w:ascii="Palatino Linotype" w:eastAsia="Palatino Linotype" w:hAnsi="Palatino Linotype" w:cs="Palatino Linotype"/>
          <w:b/>
          <w:szCs w:val="20"/>
        </w:rPr>
        <w:t xml:space="preserve">Ahora bien, </w:t>
      </w:r>
      <w:r w:rsidRPr="00725A19">
        <w:rPr>
          <w:rFonts w:ascii="Palatino Linotype" w:eastAsia="Palatino Linotype" w:hAnsi="Palatino Linotype" w:cs="Palatino Linotype"/>
          <w:szCs w:val="20"/>
        </w:rPr>
        <w:t xml:space="preserve">tal y como se observa del expediente electrónico el </w:t>
      </w:r>
      <w:r w:rsidRPr="00725A19">
        <w:rPr>
          <w:rFonts w:ascii="Palatino Linotype" w:eastAsia="Palatino Linotype" w:hAnsi="Palatino Linotype" w:cs="Palatino Linotype"/>
          <w:b/>
          <w:szCs w:val="20"/>
        </w:rPr>
        <w:t xml:space="preserve">SUJETO OBLIGADO </w:t>
      </w:r>
      <w:r w:rsidRPr="00725A19">
        <w:rPr>
          <w:rFonts w:ascii="Palatino Linotype" w:eastAsia="Palatino Linotype" w:hAnsi="Palatino Linotype" w:cs="Palatino Linotype"/>
          <w:szCs w:val="20"/>
        </w:rPr>
        <w:t>fue omiso en entregar su respuesta inicial, situación por la cual el e</w:t>
      </w:r>
      <w:r w:rsidR="00705000" w:rsidRPr="00725A19">
        <w:rPr>
          <w:rFonts w:ascii="Palatino Linotype" w:eastAsia="Palatino Linotype" w:hAnsi="Palatino Linotype" w:cs="Palatino Linotype"/>
          <w:szCs w:val="20"/>
        </w:rPr>
        <w:t>ntonces solicitante interpuso los</w:t>
      </w:r>
      <w:r w:rsidRPr="00725A19">
        <w:rPr>
          <w:rFonts w:ascii="Palatino Linotype" w:eastAsia="Palatino Linotype" w:hAnsi="Palatino Linotype" w:cs="Palatino Linotype"/>
          <w:szCs w:val="20"/>
        </w:rPr>
        <w:t xml:space="preserve"> recurso</w:t>
      </w:r>
      <w:r w:rsidR="00705000" w:rsidRPr="00725A19">
        <w:rPr>
          <w:rFonts w:ascii="Palatino Linotype" w:eastAsia="Palatino Linotype" w:hAnsi="Palatino Linotype" w:cs="Palatino Linotype"/>
          <w:szCs w:val="20"/>
        </w:rPr>
        <w:t>s</w:t>
      </w:r>
      <w:r w:rsidRPr="00725A19">
        <w:rPr>
          <w:rFonts w:ascii="Palatino Linotype" w:eastAsia="Palatino Linotype" w:hAnsi="Palatino Linotype" w:cs="Palatino Linotype"/>
          <w:szCs w:val="20"/>
        </w:rPr>
        <w:t xml:space="preserve"> de revisión manifestando que no se había dado respuesta a lo solicitado. </w:t>
      </w:r>
    </w:p>
    <w:p w14:paraId="06AF10CB" w14:textId="77777777" w:rsidR="002C13C2" w:rsidRPr="00725A19" w:rsidRDefault="002C13C2" w:rsidP="002C13C2">
      <w:pPr>
        <w:pBdr>
          <w:top w:val="nil"/>
          <w:left w:val="nil"/>
          <w:bottom w:val="nil"/>
          <w:right w:val="nil"/>
          <w:between w:val="nil"/>
        </w:pBdr>
        <w:spacing w:line="360" w:lineRule="auto"/>
        <w:jc w:val="both"/>
        <w:rPr>
          <w:rFonts w:ascii="Palatino Linotype" w:eastAsia="Palatino Linotype" w:hAnsi="Palatino Linotype" w:cs="Palatino Linotype"/>
          <w:b/>
          <w:szCs w:val="20"/>
        </w:rPr>
      </w:pPr>
    </w:p>
    <w:p w14:paraId="009BB181" w14:textId="3BD194D0" w:rsidR="00741B3B"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b/>
          <w:szCs w:val="20"/>
        </w:rPr>
      </w:pPr>
      <w:r w:rsidRPr="00725A19">
        <w:rPr>
          <w:rFonts w:ascii="Palatino Linotype" w:eastAsia="Palatino Linotype" w:hAnsi="Palatino Linotype" w:cs="Palatino Linotype"/>
          <w:bCs/>
          <w:szCs w:val="20"/>
        </w:rPr>
        <w:t xml:space="preserve">Seguidamente en la etapa de manifestaciones el </w:t>
      </w:r>
      <w:r w:rsidRPr="00725A19">
        <w:rPr>
          <w:rFonts w:ascii="Palatino Linotype" w:eastAsia="Palatino Linotype" w:hAnsi="Palatino Linotype" w:cs="Palatino Linotype"/>
          <w:b/>
          <w:szCs w:val="20"/>
        </w:rPr>
        <w:t xml:space="preserve">SUJETO OBLIGADO </w:t>
      </w:r>
      <w:r w:rsidRPr="00725A19">
        <w:rPr>
          <w:rFonts w:ascii="Palatino Linotype" w:eastAsia="Palatino Linotype" w:hAnsi="Palatino Linotype" w:cs="Palatino Linotype"/>
          <w:bCs/>
          <w:szCs w:val="20"/>
        </w:rPr>
        <w:t xml:space="preserve">remite la información relativa a los </w:t>
      </w:r>
      <w:r w:rsidR="00705000" w:rsidRPr="00725A19">
        <w:rPr>
          <w:rFonts w:ascii="Palatino Linotype" w:eastAsia="Palatino Linotype" w:hAnsi="Palatino Linotype" w:cs="Palatino Linotype"/>
          <w:bCs/>
          <w:szCs w:val="20"/>
        </w:rPr>
        <w:t xml:space="preserve">contratos de combustible (gasolina y diesel) de los años 2023 y 2024; así como </w:t>
      </w:r>
      <w:r w:rsidR="00741B3B" w:rsidRPr="00725A19">
        <w:rPr>
          <w:rFonts w:ascii="Palatino Linotype" w:eastAsia="Palatino Linotype" w:hAnsi="Palatino Linotype" w:cs="Palatino Linotype"/>
          <w:bCs/>
          <w:szCs w:val="20"/>
        </w:rPr>
        <w:t>recibos de nómina.</w:t>
      </w:r>
    </w:p>
    <w:p w14:paraId="30BE08F4" w14:textId="77777777" w:rsidR="00741B3B" w:rsidRPr="00725A19" w:rsidRDefault="00741B3B" w:rsidP="00741B3B">
      <w:pPr>
        <w:pStyle w:val="Prrafodelista"/>
        <w:rPr>
          <w:rFonts w:ascii="Palatino Linotype" w:eastAsia="Palatino Linotype" w:hAnsi="Palatino Linotype" w:cs="Palatino Linotype"/>
          <w:bCs/>
          <w:szCs w:val="20"/>
        </w:rPr>
      </w:pPr>
    </w:p>
    <w:p w14:paraId="056A4B71" w14:textId="62D41F6A" w:rsidR="00741B3B" w:rsidRPr="00725A19" w:rsidRDefault="00741B3B" w:rsidP="00293214">
      <w:pPr>
        <w:pStyle w:val="Prrafodelista"/>
        <w:numPr>
          <w:ilvl w:val="0"/>
          <w:numId w:val="4"/>
        </w:numPr>
        <w:pBdr>
          <w:top w:val="nil"/>
          <w:left w:val="nil"/>
          <w:bottom w:val="nil"/>
          <w:right w:val="nil"/>
          <w:between w:val="nil"/>
        </w:pBdr>
        <w:spacing w:line="360" w:lineRule="auto"/>
        <w:ind w:left="0" w:right="-29" w:firstLine="0"/>
        <w:jc w:val="both"/>
        <w:rPr>
          <w:rFonts w:ascii="Palatino Linotype" w:eastAsia="Palatino Linotype" w:hAnsi="Palatino Linotype" w:cs="Palatino Linotype"/>
          <w:szCs w:val="20"/>
        </w:rPr>
      </w:pPr>
      <w:r w:rsidRPr="00725A19">
        <w:rPr>
          <w:rFonts w:ascii="Palatino Linotype" w:eastAsia="Palatino Linotype" w:hAnsi="Palatino Linotype" w:cs="Palatino Linotype"/>
          <w:szCs w:val="20"/>
        </w:rPr>
        <w:t xml:space="preserve">Respecto de la solicitud de información </w:t>
      </w:r>
      <w:r w:rsidRPr="00725A19">
        <w:rPr>
          <w:rFonts w:ascii="Palatino Linotype" w:eastAsia="Palatino Linotype" w:hAnsi="Palatino Linotype" w:cs="Palatino Linotype"/>
          <w:b/>
          <w:szCs w:val="20"/>
        </w:rPr>
        <w:t>00128/ALMORI/IP/2024</w:t>
      </w:r>
      <w:r w:rsidRPr="00725A19">
        <w:rPr>
          <w:rFonts w:ascii="Palatino Linotype" w:eastAsia="Palatino Linotype" w:hAnsi="Palatino Linotype" w:cs="Palatino Linotype"/>
          <w:szCs w:val="20"/>
        </w:rPr>
        <w:t>, el Sujeto Obligado en Informe Justificado, adjuntó los contratos de combustible solicitados por el Recurrente</w:t>
      </w:r>
      <w:r w:rsidR="00D77266" w:rsidRPr="00725A19">
        <w:rPr>
          <w:rFonts w:ascii="Palatino Linotype" w:eastAsia="Palatino Linotype" w:hAnsi="Palatino Linotype" w:cs="Palatino Linotype"/>
          <w:szCs w:val="20"/>
        </w:rPr>
        <w:t>. Ahora b</w:t>
      </w:r>
      <w:r w:rsidR="00761CC5" w:rsidRPr="00725A19">
        <w:rPr>
          <w:rFonts w:ascii="Palatino Linotype" w:eastAsia="Palatino Linotype" w:hAnsi="Palatino Linotype" w:cs="Palatino Linotype"/>
        </w:rPr>
        <w:t>ien, respecto de los c</w:t>
      </w:r>
      <w:r w:rsidR="00761CC5" w:rsidRPr="00725A19">
        <w:rPr>
          <w:rFonts w:ascii="Palatino Linotype" w:eastAsia="Palatino Linotype" w:hAnsi="Palatino Linotype" w:cs="Palatino Linotype"/>
          <w:b/>
        </w:rPr>
        <w:t>ontratos</w:t>
      </w:r>
      <w:r w:rsidR="00761CC5" w:rsidRPr="00725A19">
        <w:rPr>
          <w:rFonts w:ascii="Palatino Linotype" w:eastAsia="Palatino Linotype" w:hAnsi="Palatino Linotype" w:cs="Palatino Linotype"/>
        </w:rPr>
        <w:t xml:space="preserve"> se tiene que, es un acto jurídico bilateral que se constituye por el acuerdo de voluntades de dos o más personas y que produce ciertas consecuencias jurídicas (creación o transmisión de derechos y obligaciones), debido al reconocimiento de una norma de de</w:t>
      </w:r>
      <w:r w:rsidR="00D77266" w:rsidRPr="00725A19">
        <w:rPr>
          <w:rFonts w:ascii="Palatino Linotype" w:eastAsia="Palatino Linotype" w:hAnsi="Palatino Linotype" w:cs="Palatino Linotype"/>
        </w:rPr>
        <w:t xml:space="preserve">recho, aclarado lo anterior, cabe resaltar que los contratos remitidos por el Sujeto Obligado, relativos a combustible (gasolina y diesel) de los años 2023 y 2024, </w:t>
      </w:r>
      <w:r w:rsidRPr="00725A19">
        <w:rPr>
          <w:rFonts w:ascii="Palatino Linotype" w:eastAsia="Palatino Linotype" w:hAnsi="Palatino Linotype" w:cs="Palatino Linotype"/>
          <w:szCs w:val="20"/>
        </w:rPr>
        <w:t xml:space="preserve">en ambos contratos se observa que al inicio, en el primer párrafo se testó el nombre de la Administradora única de la persona moral, sin embargo al final del contrato en la parte de firmas se observa el nombre de la misma, es decir, se debió omitir testar el nombre de dicha Administradora única en el </w:t>
      </w:r>
      <w:r w:rsidRPr="00725A19">
        <w:rPr>
          <w:rFonts w:ascii="Palatino Linotype" w:eastAsia="Palatino Linotype" w:hAnsi="Palatino Linotype" w:cs="Palatino Linotype"/>
          <w:szCs w:val="20"/>
        </w:rPr>
        <w:lastRenderedPageBreak/>
        <w:t>preámbulo de los contratos aludidos, a razón de no generar confusión</w:t>
      </w:r>
      <w:r w:rsidR="00834FC1" w:rsidRPr="00725A19">
        <w:rPr>
          <w:rFonts w:ascii="Palatino Linotype" w:eastAsia="Palatino Linotype" w:hAnsi="Palatino Linotype" w:cs="Palatino Linotype"/>
          <w:szCs w:val="20"/>
        </w:rPr>
        <w:t xml:space="preserve">, pues pudiera existir la posibilidad </w:t>
      </w:r>
      <w:r w:rsidRPr="00725A19">
        <w:rPr>
          <w:rFonts w:ascii="Palatino Linotype" w:eastAsia="Palatino Linotype" w:hAnsi="Palatino Linotype" w:cs="Palatino Linotype"/>
          <w:szCs w:val="20"/>
        </w:rPr>
        <w:t xml:space="preserve"> de que se trate de personas distintas.</w:t>
      </w:r>
    </w:p>
    <w:p w14:paraId="47D2948B" w14:textId="77777777" w:rsidR="00741B3B" w:rsidRPr="00725A19" w:rsidRDefault="00741B3B" w:rsidP="00741B3B">
      <w:pPr>
        <w:pStyle w:val="Prrafodelista"/>
        <w:rPr>
          <w:rFonts w:ascii="Palatino Linotype" w:eastAsia="Palatino Linotype" w:hAnsi="Palatino Linotype" w:cs="Palatino Linotype"/>
          <w:szCs w:val="20"/>
        </w:rPr>
      </w:pPr>
    </w:p>
    <w:p w14:paraId="331F8313" w14:textId="2D7D67C6" w:rsidR="00741B3B" w:rsidRPr="00725A19" w:rsidRDefault="00741B3B" w:rsidP="00232BA9">
      <w:pPr>
        <w:pStyle w:val="Prrafodelista"/>
        <w:numPr>
          <w:ilvl w:val="0"/>
          <w:numId w:val="4"/>
        </w:numPr>
        <w:pBdr>
          <w:top w:val="nil"/>
          <w:left w:val="nil"/>
          <w:bottom w:val="nil"/>
          <w:right w:val="nil"/>
          <w:between w:val="nil"/>
        </w:pBdr>
        <w:spacing w:line="360" w:lineRule="auto"/>
        <w:ind w:left="0" w:firstLine="0"/>
        <w:jc w:val="both"/>
        <w:rPr>
          <w:rFonts w:ascii="Palatino Linotype" w:eastAsiaTheme="minorEastAsia" w:hAnsi="Palatino Linotype"/>
          <w:lang w:eastAsia="es-ES"/>
        </w:rPr>
      </w:pPr>
      <w:r w:rsidRPr="00725A19">
        <w:rPr>
          <w:rFonts w:ascii="Palatino Linotype" w:eastAsia="Palatino Linotype" w:hAnsi="Palatino Linotype" w:cs="Palatino Linotype"/>
          <w:szCs w:val="20"/>
        </w:rPr>
        <w:t xml:space="preserve">En relación con lo anterior, cabe mencionar que </w:t>
      </w:r>
      <w:r w:rsidRPr="00725A19">
        <w:rPr>
          <w:rFonts w:ascii="Palatino Linotype" w:eastAsiaTheme="minorEastAsia" w:hAnsi="Palatino Linotype"/>
          <w:lang w:eastAsia="es-ES"/>
        </w:rPr>
        <w:t xml:space="preserve">el Instituto Nacional de Acceso a la Información y Protección de Datos Personales, ha precisado en diversas ocasiones que la </w:t>
      </w:r>
      <w:r w:rsidRPr="00725A19">
        <w:rPr>
          <w:rFonts w:ascii="Palatino Linotype" w:eastAsiaTheme="minorEastAsia" w:hAnsi="Palatino Linotype"/>
          <w:b/>
          <w:lang w:eastAsia="es-ES"/>
        </w:rPr>
        <w:t>firma y el nombre del representante legal de una persona moral</w:t>
      </w:r>
      <w:r w:rsidRPr="00725A19">
        <w:rPr>
          <w:rFonts w:ascii="Palatino Linotype" w:eastAsiaTheme="minorEastAsia" w:hAnsi="Palatino Linotype"/>
          <w:lang w:eastAsia="es-ES"/>
        </w:rPr>
        <w:t xml:space="preserve">, no podría ser objeto de clasificación, ya que si bien el nombre y la firma corresponden a una persona física, esta actuó en nombre y representación de una persona moral, no a nombre propio; en consecuencia, el nombre y la firma, al haber sido objeto de dar cumplimiento a la normatividad y otorgar validez al acto jurídico celebrado, deben ser considerados como públicos, análisis aplicable al presente caso. </w:t>
      </w:r>
      <w:r w:rsidR="00D13101" w:rsidRPr="00725A19">
        <w:rPr>
          <w:rFonts w:ascii="Palatino Linotype" w:eastAsiaTheme="minorEastAsia" w:hAnsi="Palatino Linotype"/>
          <w:lang w:eastAsia="es-ES"/>
        </w:rPr>
        <w:t>Por lo cual</w:t>
      </w:r>
      <w:r w:rsidRPr="00725A19">
        <w:rPr>
          <w:rFonts w:ascii="Palatino Linotype" w:eastAsiaTheme="minorEastAsia" w:hAnsi="Palatino Linotype"/>
          <w:lang w:eastAsia="es-ES"/>
        </w:rPr>
        <w:t xml:space="preserve">, es imprescindible traer a colación lo que establece el Criterio del Instituto Nacional de Transparencia, Acceso a la Información y Protección de Datos, el cual menciona lo siguiente: </w:t>
      </w:r>
    </w:p>
    <w:p w14:paraId="20B65337" w14:textId="77777777" w:rsidR="00232BA9" w:rsidRPr="00725A19" w:rsidRDefault="00232BA9" w:rsidP="00644055">
      <w:pPr>
        <w:pStyle w:val="Prrafodelista"/>
        <w:ind w:left="0"/>
        <w:rPr>
          <w:rFonts w:ascii="Palatino Linotype" w:eastAsiaTheme="minorEastAsia" w:hAnsi="Palatino Linotype"/>
          <w:lang w:eastAsia="es-ES"/>
        </w:rPr>
      </w:pPr>
    </w:p>
    <w:p w14:paraId="67B27BB8" w14:textId="77777777" w:rsidR="00741B3B" w:rsidRPr="00725A19" w:rsidRDefault="00741B3B" w:rsidP="00644055">
      <w:pPr>
        <w:spacing w:line="276" w:lineRule="auto"/>
        <w:ind w:left="360" w:right="538"/>
        <w:contextualSpacing/>
        <w:jc w:val="both"/>
        <w:rPr>
          <w:rFonts w:ascii="Palatino Linotype" w:eastAsiaTheme="minorEastAsia" w:hAnsi="Palatino Linotype"/>
          <w:i/>
          <w:sz w:val="22"/>
          <w:szCs w:val="22"/>
          <w:lang w:eastAsia="es-ES"/>
        </w:rPr>
      </w:pPr>
      <w:r w:rsidRPr="00725A19">
        <w:rPr>
          <w:rFonts w:ascii="Palatino Linotype" w:eastAsiaTheme="minorEastAsia" w:hAnsi="Palatino Linotype"/>
          <w:b/>
          <w:i/>
          <w:sz w:val="22"/>
          <w:szCs w:val="22"/>
          <w:lang w:eastAsia="es-ES"/>
        </w:rPr>
        <w:t>Datos de identificación del representante o apoderado legal. Naturaleza jurídica.</w:t>
      </w:r>
      <w:r w:rsidRPr="00725A19">
        <w:rPr>
          <w:rFonts w:ascii="Palatino Linotype" w:eastAsiaTheme="minorEastAsia" w:hAnsi="Palatino Linotype"/>
          <w:i/>
          <w:sz w:val="22"/>
          <w:szCs w:val="22"/>
          <w:lang w:eastAsia="es-ES"/>
        </w:rPr>
        <w:t xml:space="preserve"> El nombre, la firma y la rúbrica de una persona física, que actúe como representante o apoderado legal de un tercero que haya celebrado un acto jurídico, con algún sujeto obligado, </w:t>
      </w:r>
      <w:r w:rsidRPr="00725A19">
        <w:rPr>
          <w:rFonts w:ascii="Palatino Linotype" w:eastAsiaTheme="minorEastAsia" w:hAnsi="Palatino Linotype"/>
          <w:b/>
          <w:i/>
          <w:sz w:val="22"/>
          <w:szCs w:val="22"/>
          <w:lang w:eastAsia="es-ES"/>
        </w:rPr>
        <w:t>es información pública</w:t>
      </w:r>
      <w:r w:rsidRPr="00725A19">
        <w:rPr>
          <w:rFonts w:ascii="Palatino Linotype" w:eastAsiaTheme="minorEastAsia" w:hAnsi="Palatino Linotype"/>
          <w:i/>
          <w:sz w:val="22"/>
          <w:szCs w:val="22"/>
          <w:lang w:eastAsia="es-ES"/>
        </w:rPr>
        <w:t>, en razón de que tales datos fueron proporcionados con el objeto de expresar el consentimiento obligacional del tercero y otorgar validez a dicho instrumento jurídico, NO así las firmas correspondientes a personas físicas, por lo que el sujeto obligado deberá de tomar en considera esta sugerencia.</w:t>
      </w:r>
    </w:p>
    <w:p w14:paraId="45414139" w14:textId="77777777" w:rsidR="00741B3B" w:rsidRPr="00725A19" w:rsidRDefault="00741B3B" w:rsidP="00741B3B">
      <w:pPr>
        <w:spacing w:line="360" w:lineRule="auto"/>
        <w:ind w:left="360"/>
        <w:contextualSpacing/>
        <w:jc w:val="both"/>
        <w:rPr>
          <w:rFonts w:ascii="Palatino Linotype" w:eastAsiaTheme="minorEastAsia" w:hAnsi="Palatino Linotype"/>
          <w:lang w:eastAsia="es-ES"/>
        </w:rPr>
      </w:pPr>
    </w:p>
    <w:p w14:paraId="736FF973" w14:textId="77777777" w:rsidR="00741B3B" w:rsidRPr="00725A19" w:rsidRDefault="00741B3B" w:rsidP="00EE27D2">
      <w:pPr>
        <w:numPr>
          <w:ilvl w:val="0"/>
          <w:numId w:val="4"/>
        </w:numPr>
        <w:spacing w:line="360" w:lineRule="auto"/>
        <w:ind w:left="0" w:firstLine="0"/>
        <w:contextualSpacing/>
        <w:jc w:val="both"/>
        <w:rPr>
          <w:rFonts w:ascii="Palatino Linotype" w:eastAsiaTheme="minorEastAsia" w:hAnsi="Palatino Linotype"/>
          <w:lang w:eastAsia="es-ES"/>
        </w:rPr>
      </w:pPr>
      <w:r w:rsidRPr="00725A19">
        <w:rPr>
          <w:rFonts w:ascii="Palatino Linotype" w:eastAsiaTheme="minorEastAsia" w:hAnsi="Palatino Linotype"/>
          <w:lang w:eastAsia="es-ES"/>
        </w:rPr>
        <w:t xml:space="preserve">Resoluciones: RRA 3104/16. Secretaría de la Defensa Nacional. 01 de noviembre del 2016. Por unanimidad. Comisionado Ponente Oscar Mauricio Guerra Ford. RRA </w:t>
      </w:r>
      <w:r w:rsidRPr="00725A19">
        <w:rPr>
          <w:rFonts w:ascii="Palatino Linotype" w:eastAsiaTheme="minorEastAsia" w:hAnsi="Palatino Linotype"/>
          <w:lang w:eastAsia="es-ES"/>
        </w:rPr>
        <w:lastRenderedPageBreak/>
        <w:t xml:space="preserve">2923/16. Administración Portuaria Integral de Lázaro Cárdenas, S.A. de C.V. 13 de diciembre de 2016. Por unanimidad. Comisionada Ponente María Patricia Kurczyn Villalobos. RRA 2855/17. Comisión Nacional de Hidrocarburos. 14 de junio de 2017. Por unanimidad con los votos particulares de los Comisionados Areli Cano Guadiana y Oscar Mauricio Guerra Ford. Comisionada Ponente Ximena Puente de la Mora. </w:t>
      </w:r>
    </w:p>
    <w:p w14:paraId="29C1B780" w14:textId="77777777" w:rsidR="00741B3B" w:rsidRPr="00725A19" w:rsidRDefault="00741B3B" w:rsidP="00741B3B">
      <w:pPr>
        <w:spacing w:line="360" w:lineRule="auto"/>
        <w:ind w:left="360"/>
        <w:contextualSpacing/>
        <w:jc w:val="both"/>
        <w:rPr>
          <w:rFonts w:ascii="Palatino Linotype" w:eastAsiaTheme="minorEastAsia" w:hAnsi="Palatino Linotype"/>
          <w:lang w:eastAsia="es-ES"/>
        </w:rPr>
      </w:pPr>
    </w:p>
    <w:p w14:paraId="07A973C2" w14:textId="77777777" w:rsidR="00741B3B" w:rsidRPr="00725A19" w:rsidRDefault="00741B3B" w:rsidP="00EE27D2">
      <w:pPr>
        <w:numPr>
          <w:ilvl w:val="0"/>
          <w:numId w:val="4"/>
        </w:numPr>
        <w:spacing w:line="360" w:lineRule="auto"/>
        <w:ind w:left="0" w:firstLine="0"/>
        <w:contextualSpacing/>
        <w:jc w:val="both"/>
        <w:rPr>
          <w:rFonts w:ascii="Palatino Linotype" w:eastAsiaTheme="minorEastAsia" w:hAnsi="Palatino Linotype"/>
          <w:lang w:eastAsia="es-ES"/>
        </w:rPr>
      </w:pPr>
      <w:r w:rsidRPr="00725A19">
        <w:rPr>
          <w:rFonts w:ascii="Palatino Linotype" w:eastAsiaTheme="minorEastAsia" w:hAnsi="Palatino Linotype"/>
          <w:lang w:eastAsia="es-ES"/>
        </w:rPr>
        <w:t xml:space="preserve">Es entonces que, siguiendo la secuencia lógica y tomando como partida que la representación es el acto de manifestarse a nombre de otra persona, tenemos que: </w:t>
      </w:r>
    </w:p>
    <w:p w14:paraId="0ACA8D2E" w14:textId="77777777" w:rsidR="00741B3B" w:rsidRPr="00725A19" w:rsidRDefault="00741B3B" w:rsidP="00741B3B">
      <w:pPr>
        <w:spacing w:line="360" w:lineRule="auto"/>
        <w:ind w:left="360"/>
        <w:contextualSpacing/>
        <w:jc w:val="both"/>
        <w:rPr>
          <w:rFonts w:ascii="Palatino Linotype" w:eastAsiaTheme="minorEastAsia" w:hAnsi="Palatino Linotype"/>
          <w:lang w:eastAsia="es-ES"/>
        </w:rPr>
      </w:pPr>
    </w:p>
    <w:p w14:paraId="1796DDED" w14:textId="77777777" w:rsidR="00741B3B" w:rsidRPr="00725A19" w:rsidRDefault="00741B3B" w:rsidP="00741B3B">
      <w:pPr>
        <w:pStyle w:val="Prrafodelista"/>
        <w:numPr>
          <w:ilvl w:val="0"/>
          <w:numId w:val="34"/>
        </w:numPr>
        <w:spacing w:after="160" w:line="360" w:lineRule="auto"/>
        <w:jc w:val="both"/>
        <w:rPr>
          <w:rFonts w:ascii="Palatino Linotype" w:eastAsiaTheme="minorEastAsia" w:hAnsi="Palatino Linotype"/>
          <w:b/>
          <w:lang w:eastAsia="es-ES"/>
        </w:rPr>
      </w:pPr>
      <w:r w:rsidRPr="00725A19">
        <w:rPr>
          <w:rFonts w:ascii="Palatino Linotype" w:eastAsiaTheme="minorEastAsia" w:hAnsi="Palatino Linotype"/>
          <w:b/>
          <w:lang w:eastAsia="es-ES"/>
        </w:rPr>
        <w:t xml:space="preserve">El administrador y el apoderado representan legalmente a las personas morales. </w:t>
      </w:r>
    </w:p>
    <w:p w14:paraId="11CC9A21" w14:textId="77777777" w:rsidR="00741B3B" w:rsidRPr="00725A19" w:rsidRDefault="00741B3B" w:rsidP="00741B3B">
      <w:pPr>
        <w:pStyle w:val="Prrafodelista"/>
        <w:numPr>
          <w:ilvl w:val="0"/>
          <w:numId w:val="34"/>
        </w:numPr>
        <w:spacing w:after="160" w:line="360" w:lineRule="auto"/>
        <w:jc w:val="both"/>
        <w:rPr>
          <w:rFonts w:ascii="Palatino Linotype" w:eastAsiaTheme="minorEastAsia" w:hAnsi="Palatino Linotype"/>
          <w:b/>
          <w:lang w:eastAsia="es-ES"/>
        </w:rPr>
      </w:pPr>
      <w:r w:rsidRPr="00725A19">
        <w:rPr>
          <w:rFonts w:ascii="Palatino Linotype" w:eastAsiaTheme="minorEastAsia" w:hAnsi="Palatino Linotype"/>
          <w:b/>
          <w:lang w:eastAsia="es-ES"/>
        </w:rPr>
        <w:t xml:space="preserve">El nombre y la firma del representante legal, no pueden ser objeto de clasificación. </w:t>
      </w:r>
    </w:p>
    <w:p w14:paraId="71418CF9" w14:textId="77777777" w:rsidR="00741B3B" w:rsidRPr="00725A19" w:rsidRDefault="00741B3B" w:rsidP="00092433">
      <w:pPr>
        <w:pStyle w:val="Prrafodelista"/>
        <w:numPr>
          <w:ilvl w:val="0"/>
          <w:numId w:val="34"/>
        </w:numPr>
        <w:spacing w:line="360" w:lineRule="auto"/>
        <w:jc w:val="both"/>
        <w:rPr>
          <w:rFonts w:ascii="Palatino Linotype" w:eastAsiaTheme="minorEastAsia" w:hAnsi="Palatino Linotype"/>
          <w:b/>
          <w:lang w:eastAsia="es-ES"/>
        </w:rPr>
      </w:pPr>
      <w:r w:rsidRPr="00725A19">
        <w:rPr>
          <w:rFonts w:ascii="Palatino Linotype" w:eastAsiaTheme="minorEastAsia" w:hAnsi="Palatino Linotype"/>
          <w:b/>
          <w:lang w:eastAsia="es-ES"/>
        </w:rPr>
        <w:t xml:space="preserve">Nombre y firma del apoderado y administrador no son objeto de clasificación. </w:t>
      </w:r>
    </w:p>
    <w:p w14:paraId="7ACA1401" w14:textId="77777777" w:rsidR="00741B3B" w:rsidRPr="00725A19" w:rsidRDefault="00741B3B" w:rsidP="00741B3B">
      <w:pPr>
        <w:spacing w:line="360" w:lineRule="auto"/>
        <w:ind w:left="360"/>
        <w:contextualSpacing/>
        <w:jc w:val="both"/>
        <w:rPr>
          <w:rFonts w:ascii="Palatino Linotype" w:eastAsiaTheme="minorEastAsia" w:hAnsi="Palatino Linotype"/>
          <w:b/>
          <w:lang w:eastAsia="es-ES"/>
        </w:rPr>
      </w:pPr>
    </w:p>
    <w:p w14:paraId="356E6BC4" w14:textId="64790AE6" w:rsidR="00741B3B" w:rsidRPr="00725A19" w:rsidRDefault="00741B3B" w:rsidP="002C42AD">
      <w:pPr>
        <w:numPr>
          <w:ilvl w:val="0"/>
          <w:numId w:val="4"/>
        </w:numPr>
        <w:spacing w:after="160" w:line="360" w:lineRule="auto"/>
        <w:ind w:left="0" w:firstLine="0"/>
        <w:contextualSpacing/>
        <w:jc w:val="both"/>
        <w:rPr>
          <w:rFonts w:ascii="Palatino Linotype" w:eastAsiaTheme="minorEastAsia" w:hAnsi="Palatino Linotype"/>
          <w:lang w:eastAsia="es-ES"/>
        </w:rPr>
      </w:pPr>
      <w:r w:rsidRPr="00725A19">
        <w:rPr>
          <w:rFonts w:ascii="Palatino Linotype" w:eastAsiaTheme="minorEastAsia" w:hAnsi="Palatino Linotype"/>
          <w:lang w:eastAsia="es-ES"/>
        </w:rPr>
        <w:t xml:space="preserve">Como consecuencia, resulta procedente ordenar la entrega de los contratos </w:t>
      </w:r>
      <w:r w:rsidR="008A6A7C" w:rsidRPr="00725A19">
        <w:rPr>
          <w:rFonts w:ascii="Palatino Linotype" w:eastAsiaTheme="minorEastAsia" w:hAnsi="Palatino Linotype"/>
          <w:lang w:eastAsia="es-ES"/>
        </w:rPr>
        <w:t>de combustible (gasolina y diesel) de los años 2023 y 2024</w:t>
      </w:r>
      <w:r w:rsidRPr="00725A19">
        <w:rPr>
          <w:rFonts w:ascii="Palatino Linotype" w:eastAsiaTheme="minorEastAsia" w:hAnsi="Palatino Linotype"/>
          <w:lang w:eastAsia="es-ES"/>
        </w:rPr>
        <w:t xml:space="preserve">, en formato pdf., </w:t>
      </w:r>
      <w:r w:rsidRPr="00725A19">
        <w:rPr>
          <w:rFonts w:ascii="Palatino Linotype" w:eastAsiaTheme="minorEastAsia" w:hAnsi="Palatino Linotype"/>
          <w:b/>
          <w:lang w:eastAsia="es-ES"/>
        </w:rPr>
        <w:t>bajo una correcta versión pública, así como el respectivo acuerdo emitido por el comité de Transparencia que avale la misma, para lo cual deber de observar el apartado de la versión pública.</w:t>
      </w:r>
    </w:p>
    <w:p w14:paraId="0270F970" w14:textId="77777777" w:rsidR="00241E53" w:rsidRPr="00725A19" w:rsidRDefault="00241E53" w:rsidP="00241E53">
      <w:pPr>
        <w:spacing w:after="160" w:line="360" w:lineRule="auto"/>
        <w:contextualSpacing/>
        <w:jc w:val="both"/>
        <w:rPr>
          <w:rFonts w:ascii="Palatino Linotype" w:eastAsiaTheme="minorEastAsia" w:hAnsi="Palatino Linotype"/>
          <w:lang w:eastAsia="es-ES"/>
        </w:rPr>
      </w:pPr>
    </w:p>
    <w:p w14:paraId="0523F6A5" w14:textId="0EEE55AA" w:rsidR="002C13C2" w:rsidRPr="00725A19" w:rsidRDefault="00241E53"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b/>
          <w:szCs w:val="20"/>
        </w:rPr>
      </w:pPr>
      <w:r w:rsidRPr="00725A19">
        <w:rPr>
          <w:rFonts w:ascii="Palatino Linotype" w:eastAsia="Palatino Linotype" w:hAnsi="Palatino Linotype" w:cs="Palatino Linotype"/>
          <w:bCs/>
          <w:szCs w:val="20"/>
        </w:rPr>
        <w:lastRenderedPageBreak/>
        <w:t xml:space="preserve">En relación a la solicitud de información </w:t>
      </w:r>
      <w:r w:rsidRPr="00725A19">
        <w:rPr>
          <w:rFonts w:ascii="Palatino Linotype" w:eastAsia="Palatino Linotype" w:hAnsi="Palatino Linotype" w:cs="Palatino Linotype"/>
          <w:b/>
          <w:bCs/>
          <w:szCs w:val="20"/>
        </w:rPr>
        <w:t>00132/ALMORI/IP/2024</w:t>
      </w:r>
      <w:r w:rsidR="00741B3B" w:rsidRPr="00725A19">
        <w:rPr>
          <w:rFonts w:ascii="Palatino Linotype" w:eastAsia="Palatino Linotype" w:hAnsi="Palatino Linotype" w:cs="Palatino Linotype"/>
          <w:bCs/>
          <w:szCs w:val="20"/>
        </w:rPr>
        <w:t xml:space="preserve">, </w:t>
      </w:r>
      <w:r w:rsidRPr="00725A19">
        <w:rPr>
          <w:rFonts w:ascii="Palatino Linotype" w:eastAsia="Palatino Linotype" w:hAnsi="Palatino Linotype" w:cs="Palatino Linotype"/>
          <w:bCs/>
          <w:szCs w:val="20"/>
        </w:rPr>
        <w:t>en la que se solicitaron los recibos de nómina de personal del Ayuntamiento de Almoloya del Río, y fueron remitidos por el Sujeto Obligado en Informe Justificado</w:t>
      </w:r>
      <w:r w:rsidR="00741B3B" w:rsidRPr="00725A19">
        <w:rPr>
          <w:rFonts w:ascii="Palatino Linotype" w:eastAsia="Palatino Linotype" w:hAnsi="Palatino Linotype" w:cs="Palatino Linotype"/>
          <w:bCs/>
          <w:szCs w:val="20"/>
        </w:rPr>
        <w:t xml:space="preserve">, </w:t>
      </w:r>
      <w:r w:rsidR="002C13C2" w:rsidRPr="00725A19">
        <w:rPr>
          <w:rFonts w:ascii="Palatino Linotype" w:eastAsia="Palatino Linotype" w:hAnsi="Palatino Linotype" w:cs="Palatino Linotype"/>
          <w:bCs/>
          <w:szCs w:val="20"/>
        </w:rPr>
        <w:t xml:space="preserve">no se pusieron a la vista ya que del análisis de los mismo se observa que se alcanza a ver a el Registro Federal de Contribuyentes y la Clave Única de Registro de Población, situación por la cual se hace el siguiente análisis. </w:t>
      </w:r>
    </w:p>
    <w:p w14:paraId="4FB9C293" w14:textId="77777777" w:rsidR="002C13C2" w:rsidRPr="00725A19" w:rsidRDefault="002C13C2" w:rsidP="002C13C2">
      <w:pPr>
        <w:pStyle w:val="Prrafodelista"/>
        <w:rPr>
          <w:rFonts w:ascii="Palatino Linotype" w:eastAsia="Palatino Linotype" w:hAnsi="Palatino Linotype" w:cs="Palatino Linotype"/>
          <w:b/>
          <w:szCs w:val="20"/>
        </w:rPr>
      </w:pPr>
    </w:p>
    <w:p w14:paraId="33BDD4C4" w14:textId="1C1ACC5C"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b/>
          <w:szCs w:val="20"/>
        </w:rPr>
      </w:pPr>
      <w:r w:rsidRPr="00725A19">
        <w:rPr>
          <w:rFonts w:ascii="Palatino Linotype" w:eastAsia="Palatino Linotype" w:hAnsi="Palatino Linotype" w:cs="Palatino Linotype"/>
          <w:szCs w:val="20"/>
        </w:rPr>
        <w:t>En esa línea, de conformidad con el artículo 35 del Bando Municipal del Almoloya del Río regula que las dependencias ce</w:t>
      </w:r>
      <w:r w:rsidR="00B24056" w:rsidRPr="00725A19">
        <w:rPr>
          <w:rFonts w:ascii="Palatino Linotype" w:eastAsia="Palatino Linotype" w:hAnsi="Palatino Linotype" w:cs="Palatino Linotype"/>
          <w:szCs w:val="20"/>
        </w:rPr>
        <w:t xml:space="preserve">ntralizadas son las siguientes: </w:t>
      </w:r>
    </w:p>
    <w:p w14:paraId="70387D16" w14:textId="77777777" w:rsidR="00B24056" w:rsidRPr="00725A19" w:rsidRDefault="00B24056" w:rsidP="00B24056">
      <w:pPr>
        <w:pStyle w:val="Prrafodelista"/>
        <w:rPr>
          <w:rFonts w:ascii="Palatino Linotype" w:eastAsia="Palatino Linotype" w:hAnsi="Palatino Linotype" w:cs="Palatino Linotype"/>
          <w:b/>
          <w:szCs w:val="20"/>
        </w:rPr>
      </w:pPr>
    </w:p>
    <w:p w14:paraId="14982884" w14:textId="77777777" w:rsidR="002C13C2" w:rsidRPr="00725A19" w:rsidRDefault="002C13C2" w:rsidP="00496EB9">
      <w:pPr>
        <w:pBdr>
          <w:top w:val="nil"/>
          <w:left w:val="nil"/>
          <w:bottom w:val="nil"/>
          <w:right w:val="nil"/>
          <w:between w:val="nil"/>
        </w:pBdr>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
          <w:i/>
          <w:iCs/>
          <w:sz w:val="22"/>
          <w:szCs w:val="18"/>
        </w:rPr>
        <w:t>Artículo 35.-</w:t>
      </w:r>
      <w:r w:rsidRPr="00725A19">
        <w:rPr>
          <w:rFonts w:ascii="Palatino Linotype" w:eastAsia="Palatino Linotype" w:hAnsi="Palatino Linotype" w:cs="Palatino Linotype"/>
          <w:bCs/>
          <w:i/>
          <w:iCs/>
          <w:sz w:val="22"/>
          <w:szCs w:val="18"/>
        </w:rPr>
        <w:t xml:space="preserve"> Para el eficiente desempeño de sus funciones cada dependencia se integrará con las Direcciones, Unidades Administrativas que resulten necesarias, previa autorización del Ayuntamiento, siendo estas centralizadas y de acuerdo con sus techos presupuestales, así como dependencias descentralizadas que contaran con un presupuesto propio, siendo las siguientes:</w:t>
      </w:r>
    </w:p>
    <w:p w14:paraId="2C57041B" w14:textId="77777777" w:rsidR="002C13C2" w:rsidRPr="00725A19" w:rsidRDefault="002C13C2" w:rsidP="00496EB9">
      <w:pPr>
        <w:pBdr>
          <w:top w:val="nil"/>
          <w:left w:val="nil"/>
          <w:bottom w:val="nil"/>
          <w:right w:val="nil"/>
          <w:between w:val="nil"/>
        </w:pBdr>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VIII. Direcciones: </w:t>
      </w:r>
    </w:p>
    <w:p w14:paraId="21454379" w14:textId="77777777" w:rsidR="002C13C2" w:rsidRPr="00725A19" w:rsidRDefault="002C13C2" w:rsidP="00496EB9">
      <w:pPr>
        <w:pBdr>
          <w:top w:val="nil"/>
          <w:left w:val="nil"/>
          <w:bottom w:val="nil"/>
          <w:right w:val="nil"/>
          <w:between w:val="nil"/>
        </w:pBdr>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a) Seguridad Pública Municipal; </w:t>
      </w:r>
    </w:p>
    <w:p w14:paraId="793A2D41" w14:textId="77777777" w:rsidR="002C13C2" w:rsidRPr="00725A19" w:rsidRDefault="002C13C2" w:rsidP="00496EB9">
      <w:pPr>
        <w:pBdr>
          <w:top w:val="nil"/>
          <w:left w:val="nil"/>
          <w:bottom w:val="nil"/>
          <w:right w:val="nil"/>
          <w:between w:val="nil"/>
        </w:pBdr>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b) Obras Publicas; </w:t>
      </w:r>
    </w:p>
    <w:p w14:paraId="47E70E93" w14:textId="77777777" w:rsidR="002C13C2" w:rsidRPr="00725A19" w:rsidRDefault="002C13C2" w:rsidP="00496EB9">
      <w:pPr>
        <w:pBdr>
          <w:top w:val="nil"/>
          <w:left w:val="nil"/>
          <w:bottom w:val="nil"/>
          <w:right w:val="nil"/>
          <w:between w:val="nil"/>
        </w:pBdr>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c) Desarrollo Urbano; </w:t>
      </w:r>
    </w:p>
    <w:p w14:paraId="0626EFE7" w14:textId="77777777" w:rsidR="002C13C2" w:rsidRPr="00725A19" w:rsidRDefault="002C13C2" w:rsidP="00496EB9">
      <w:pPr>
        <w:pBdr>
          <w:top w:val="nil"/>
          <w:left w:val="nil"/>
          <w:bottom w:val="nil"/>
          <w:right w:val="nil"/>
          <w:between w:val="nil"/>
        </w:pBdr>
        <w:ind w:left="1134" w:right="900"/>
        <w:jc w:val="both"/>
        <w:rPr>
          <w:rFonts w:ascii="Palatino Linotype" w:eastAsia="Palatino Linotype" w:hAnsi="Palatino Linotype" w:cs="Palatino Linotype"/>
          <w:b/>
          <w:i/>
          <w:iCs/>
          <w:sz w:val="22"/>
          <w:szCs w:val="18"/>
        </w:rPr>
      </w:pPr>
      <w:r w:rsidRPr="00725A19">
        <w:rPr>
          <w:rFonts w:ascii="Palatino Linotype" w:eastAsia="Palatino Linotype" w:hAnsi="Palatino Linotype" w:cs="Palatino Linotype"/>
          <w:b/>
          <w:i/>
          <w:iCs/>
          <w:sz w:val="22"/>
          <w:szCs w:val="18"/>
        </w:rPr>
        <w:t xml:space="preserve">d) Administración; </w:t>
      </w:r>
    </w:p>
    <w:p w14:paraId="1ECE23DF" w14:textId="77777777" w:rsidR="002C13C2" w:rsidRPr="00725A19" w:rsidRDefault="002C13C2" w:rsidP="00496EB9">
      <w:pPr>
        <w:pBdr>
          <w:top w:val="nil"/>
          <w:left w:val="nil"/>
          <w:bottom w:val="nil"/>
          <w:right w:val="nil"/>
          <w:between w:val="nil"/>
        </w:pBdr>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e) Desarrollo Social; </w:t>
      </w:r>
    </w:p>
    <w:p w14:paraId="6542E944" w14:textId="77777777" w:rsidR="002C13C2" w:rsidRPr="00725A19" w:rsidRDefault="002C13C2" w:rsidP="00496EB9">
      <w:pPr>
        <w:pBdr>
          <w:top w:val="nil"/>
          <w:left w:val="nil"/>
          <w:bottom w:val="nil"/>
          <w:right w:val="nil"/>
          <w:between w:val="nil"/>
        </w:pBdr>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f) Servicios Públicos; </w:t>
      </w:r>
    </w:p>
    <w:p w14:paraId="52FBCBF0" w14:textId="77777777" w:rsidR="002C13C2" w:rsidRPr="00725A19" w:rsidRDefault="002C13C2" w:rsidP="00496EB9">
      <w:pPr>
        <w:pBdr>
          <w:top w:val="nil"/>
          <w:left w:val="nil"/>
          <w:bottom w:val="nil"/>
          <w:right w:val="nil"/>
          <w:between w:val="nil"/>
        </w:pBdr>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g) Desarrollo Económico</w:t>
      </w:r>
    </w:p>
    <w:p w14:paraId="20CBA828" w14:textId="77777777" w:rsidR="002C13C2" w:rsidRPr="00725A19" w:rsidRDefault="002C13C2" w:rsidP="00496EB9">
      <w:pPr>
        <w:pBdr>
          <w:top w:val="nil"/>
          <w:left w:val="nil"/>
          <w:bottom w:val="nil"/>
          <w:right w:val="nil"/>
          <w:between w:val="nil"/>
        </w:pBdr>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h) Jurídica; </w:t>
      </w:r>
    </w:p>
    <w:p w14:paraId="3FFEC492" w14:textId="77777777" w:rsidR="002C13C2" w:rsidRPr="00725A19" w:rsidRDefault="002C13C2" w:rsidP="00496EB9">
      <w:pPr>
        <w:pBdr>
          <w:top w:val="nil"/>
          <w:left w:val="nil"/>
          <w:bottom w:val="nil"/>
          <w:right w:val="nil"/>
          <w:between w:val="nil"/>
        </w:pBdr>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i) Gobernación; </w:t>
      </w:r>
    </w:p>
    <w:p w14:paraId="2BC7FE2A" w14:textId="77777777" w:rsidR="002C13C2" w:rsidRPr="00725A19" w:rsidRDefault="002C13C2" w:rsidP="00496EB9">
      <w:pPr>
        <w:pBdr>
          <w:top w:val="nil"/>
          <w:left w:val="nil"/>
          <w:bottom w:val="nil"/>
          <w:right w:val="nil"/>
          <w:between w:val="nil"/>
        </w:pBdr>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j) Salud;</w:t>
      </w:r>
    </w:p>
    <w:p w14:paraId="326E6507" w14:textId="77777777" w:rsidR="002C13C2" w:rsidRPr="00725A19" w:rsidRDefault="002C13C2" w:rsidP="00496EB9">
      <w:pPr>
        <w:pBdr>
          <w:top w:val="nil"/>
          <w:left w:val="nil"/>
          <w:bottom w:val="nil"/>
          <w:right w:val="nil"/>
          <w:between w:val="nil"/>
        </w:pBdr>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 k) Ecología; </w:t>
      </w:r>
    </w:p>
    <w:p w14:paraId="50269A3B" w14:textId="77777777" w:rsidR="002C13C2" w:rsidRPr="00725A19" w:rsidRDefault="002C13C2" w:rsidP="00496EB9">
      <w:pPr>
        <w:pBdr>
          <w:top w:val="nil"/>
          <w:left w:val="nil"/>
          <w:bottom w:val="nil"/>
          <w:right w:val="nil"/>
          <w:between w:val="nil"/>
        </w:pBdr>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l) Mujer.</w:t>
      </w:r>
    </w:p>
    <w:p w14:paraId="684CA84B" w14:textId="5883C908"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b/>
          <w:szCs w:val="20"/>
        </w:rPr>
      </w:pPr>
      <w:r w:rsidRPr="00725A19">
        <w:rPr>
          <w:rFonts w:ascii="Palatino Linotype" w:eastAsia="Palatino Linotype" w:hAnsi="Palatino Linotype" w:cs="Palatino Linotype"/>
          <w:szCs w:val="20"/>
        </w:rPr>
        <w:lastRenderedPageBreak/>
        <w:t>De lo anterior, se debe de establecer que de acuerdo con el Manual de Organización la Dirección de Administración se integra por la Coordinación de Recursos Humanos quien de conformidad con Capitulo II del Bando Municipal del Ayuntamiento de Almoloya del Río, tie</w:t>
      </w:r>
      <w:r w:rsidR="00F421D0" w:rsidRPr="00725A19">
        <w:rPr>
          <w:rFonts w:ascii="Palatino Linotype" w:eastAsia="Palatino Linotype" w:hAnsi="Palatino Linotype" w:cs="Palatino Linotype"/>
          <w:szCs w:val="20"/>
        </w:rPr>
        <w:t>ne las siguientes atribuciones:</w:t>
      </w:r>
    </w:p>
    <w:p w14:paraId="52C42C58" w14:textId="77777777" w:rsidR="00F421D0" w:rsidRPr="00725A19" w:rsidRDefault="00F421D0" w:rsidP="00DD2A4E">
      <w:pPr>
        <w:pBdr>
          <w:top w:val="nil"/>
          <w:left w:val="nil"/>
          <w:bottom w:val="nil"/>
          <w:right w:val="nil"/>
          <w:between w:val="nil"/>
        </w:pBdr>
        <w:jc w:val="both"/>
        <w:rPr>
          <w:rFonts w:ascii="Palatino Linotype" w:eastAsia="Palatino Linotype" w:hAnsi="Palatino Linotype" w:cs="Palatino Linotype"/>
          <w:b/>
          <w:sz w:val="22"/>
          <w:szCs w:val="22"/>
        </w:rPr>
      </w:pPr>
    </w:p>
    <w:p w14:paraId="5FE12BAC"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
          <w:i/>
          <w:iCs/>
          <w:sz w:val="22"/>
          <w:szCs w:val="18"/>
        </w:rPr>
        <w:t>Artículo 80.-</w:t>
      </w:r>
      <w:r w:rsidRPr="00725A19">
        <w:rPr>
          <w:rFonts w:ascii="Palatino Linotype" w:eastAsia="Palatino Linotype" w:hAnsi="Palatino Linotype" w:cs="Palatino Linotype"/>
          <w:bCs/>
          <w:i/>
          <w:iCs/>
          <w:sz w:val="22"/>
          <w:szCs w:val="18"/>
        </w:rPr>
        <w:t xml:space="preserve"> La Coordinación de Recursos Humanos, es un área centralizada perteneciente a la Dirección de Administración, y de acuerdo a las atribuciones de esta Coordinación, son las conferidas en la Ley Federal del Trabajo, así como la Ley del Trabajo de los Servidores Públicos del Estado y Municipios. </w:t>
      </w:r>
    </w:p>
    <w:p w14:paraId="5C554AF0"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
          <w:i/>
          <w:iCs/>
          <w:sz w:val="22"/>
          <w:szCs w:val="18"/>
        </w:rPr>
        <w:t>Artículo 81.-</w:t>
      </w:r>
      <w:r w:rsidRPr="00725A19">
        <w:rPr>
          <w:rFonts w:ascii="Palatino Linotype" w:eastAsia="Palatino Linotype" w:hAnsi="Palatino Linotype" w:cs="Palatino Linotype"/>
          <w:bCs/>
          <w:i/>
          <w:iCs/>
          <w:sz w:val="22"/>
          <w:szCs w:val="18"/>
        </w:rPr>
        <w:t xml:space="preserve"> Su objetivo es establecer y realizar los proyectos de capacitación, a fin de mejorar la calidad de los servicios que brinda la Administración Pública; ejecutar técnicas y acciones de reclutamiento, selección e inducción del personal, para que sean canalizados a las diversas dependencias de la Administración Pública Municipal que así lo solicite. </w:t>
      </w:r>
    </w:p>
    <w:p w14:paraId="4F28B0C7"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
          <w:i/>
          <w:iCs/>
          <w:sz w:val="22"/>
          <w:szCs w:val="18"/>
        </w:rPr>
        <w:t>Artículo 82.-</w:t>
      </w:r>
      <w:r w:rsidRPr="00725A19">
        <w:rPr>
          <w:rFonts w:ascii="Palatino Linotype" w:eastAsia="Palatino Linotype" w:hAnsi="Palatino Linotype" w:cs="Palatino Linotype"/>
          <w:bCs/>
          <w:i/>
          <w:iCs/>
          <w:sz w:val="22"/>
          <w:szCs w:val="18"/>
        </w:rPr>
        <w:t xml:space="preserve"> Atribuciones de la Coordinación de Recursos Humanos: </w:t>
      </w:r>
    </w:p>
    <w:p w14:paraId="6712A918" w14:textId="77777777" w:rsidR="002C13C2" w:rsidRPr="00725A19" w:rsidRDefault="002C13C2" w:rsidP="00F421D0">
      <w:pPr>
        <w:pStyle w:val="Prrafodelista"/>
        <w:numPr>
          <w:ilvl w:val="0"/>
          <w:numId w:val="27"/>
        </w:numPr>
        <w:spacing w:line="276" w:lineRule="auto"/>
        <w:ind w:left="1134" w:right="900" w:firstLine="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Vigilar el cumplimiento de los lineamientos sobre los procesos de selección y reclutamiento de personal, a las diversas áreas de la Administración Pública que lo requiera. </w:t>
      </w:r>
    </w:p>
    <w:p w14:paraId="51EDDFA6"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II. Mantener el resguardo y actualización de personal que conforma la Administración Pública Municipal. </w:t>
      </w:r>
    </w:p>
    <w:p w14:paraId="2DA9CCA8"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III. Fijar política y estrategias para contribuir a conservar y mejorar el ambiente laboral. </w:t>
      </w:r>
    </w:p>
    <w:p w14:paraId="661D0B57"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IV. Desarrollar un registro para el control de asistencias, nombramientos, remociones, renuncias, licencias, cambios de adscripción, promociones, incapacidades, días no laborables, para los Servidores Públicos de este Ayuntamiento. </w:t>
      </w:r>
    </w:p>
    <w:p w14:paraId="0348FF4C"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V. Emitir los gafetes que acrediten a los Servidores Públicos de la Administración Pública. </w:t>
      </w:r>
    </w:p>
    <w:p w14:paraId="2276AF4C"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lastRenderedPageBreak/>
        <w:t xml:space="preserve">VI. Elaborar expediente de cada servidor Público Municipal. </w:t>
      </w:r>
    </w:p>
    <w:p w14:paraId="3E2FC24A"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VII. Realizar un concentrado de Datos Generales de los Servidores Públicos. </w:t>
      </w:r>
    </w:p>
    <w:p w14:paraId="493D6CE5"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VIII. Llevar el Proceso de Altas y Bajas del Personal. </w:t>
      </w:r>
    </w:p>
    <w:p w14:paraId="54876921"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IX. Llevar el control de asistencia del Personal. </w:t>
      </w:r>
    </w:p>
    <w:p w14:paraId="69D8EBF4"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X. Realizar contratos Individuales de Trabajo. </w:t>
      </w:r>
    </w:p>
    <w:p w14:paraId="41E0EF18"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XI. Solicitar Conferencias y Capacitaciones para los Servidores Públicos de este Ayuntamiento. </w:t>
      </w:r>
    </w:p>
    <w:p w14:paraId="6D41446E"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 xml:space="preserve">XII. Supervisar los servicios de intendencia de la Administración Pública Municipal. </w:t>
      </w:r>
    </w:p>
    <w:p w14:paraId="7BEB328F"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XIII. Analizar, proponer y generar los acuerdos con la representación sindical sobre los asuntos laborales del personal afiliado.</w:t>
      </w:r>
      <w:r w:rsidRPr="00725A19">
        <w:rPr>
          <w:bCs/>
          <w:i/>
          <w:iCs/>
          <w:sz w:val="22"/>
          <w:szCs w:val="22"/>
        </w:rPr>
        <w:t xml:space="preserve"> </w:t>
      </w:r>
    </w:p>
    <w:p w14:paraId="08FF88DF" w14:textId="77777777" w:rsidR="002C13C2" w:rsidRPr="00725A19" w:rsidRDefault="002C13C2" w:rsidP="00F421D0">
      <w:pPr>
        <w:pStyle w:val="Prrafodelista"/>
        <w:spacing w:line="276" w:lineRule="auto"/>
        <w:ind w:left="1134" w:right="900"/>
        <w:jc w:val="both"/>
        <w:rPr>
          <w:rFonts w:ascii="Palatino Linotype" w:eastAsia="Palatino Linotype" w:hAnsi="Palatino Linotype" w:cs="Palatino Linotype"/>
          <w:bCs/>
          <w:i/>
          <w:iCs/>
          <w:sz w:val="22"/>
          <w:szCs w:val="18"/>
        </w:rPr>
      </w:pPr>
      <w:r w:rsidRPr="00725A19">
        <w:rPr>
          <w:rFonts w:ascii="Palatino Linotype" w:eastAsia="Palatino Linotype" w:hAnsi="Palatino Linotype" w:cs="Palatino Linotype"/>
          <w:bCs/>
          <w:i/>
          <w:iCs/>
          <w:sz w:val="22"/>
          <w:szCs w:val="18"/>
        </w:rPr>
        <w:t>XIV. Todas las actividades inherentes y aplicables al área de su competencia y las demás que sean encomendadas.</w:t>
      </w:r>
    </w:p>
    <w:p w14:paraId="4E327C4C" w14:textId="77777777" w:rsidR="002C13C2" w:rsidRPr="00725A19" w:rsidRDefault="002C13C2" w:rsidP="002C13C2">
      <w:pPr>
        <w:pStyle w:val="Prrafodelista"/>
        <w:jc w:val="center"/>
        <w:rPr>
          <w:rFonts w:ascii="Palatino Linotype" w:eastAsia="Palatino Linotype" w:hAnsi="Palatino Linotype" w:cs="Palatino Linotype"/>
          <w:b/>
          <w:szCs w:val="20"/>
        </w:rPr>
      </w:pPr>
    </w:p>
    <w:p w14:paraId="01D74CAD"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b/>
          <w:szCs w:val="20"/>
        </w:rPr>
      </w:pPr>
      <w:r w:rsidRPr="00725A19">
        <w:rPr>
          <w:rFonts w:ascii="Palatino Linotype" w:eastAsia="Palatino Linotype" w:hAnsi="Palatino Linotype" w:cs="Palatino Linotype"/>
          <w:szCs w:val="20"/>
        </w:rPr>
        <w:t>De lo anterior,  que la Coordinación de Recursos Humanos tiene en sus funciones todo lo relacionado con los servidores públicos adscrito al Ayuntamiento de Almoloya del Río.</w:t>
      </w:r>
    </w:p>
    <w:p w14:paraId="3BA52CE4" w14:textId="77777777" w:rsidR="002C13C2" w:rsidRPr="00725A19" w:rsidRDefault="002C13C2" w:rsidP="002C13C2">
      <w:pPr>
        <w:pBdr>
          <w:top w:val="nil"/>
          <w:left w:val="nil"/>
          <w:bottom w:val="nil"/>
          <w:right w:val="nil"/>
          <w:between w:val="nil"/>
        </w:pBdr>
        <w:spacing w:line="360" w:lineRule="auto"/>
        <w:jc w:val="both"/>
        <w:rPr>
          <w:rFonts w:ascii="Palatino Linotype" w:eastAsia="Palatino Linotype" w:hAnsi="Palatino Linotype" w:cs="Palatino Linotype"/>
          <w:b/>
          <w:szCs w:val="20"/>
        </w:rPr>
      </w:pPr>
    </w:p>
    <w:p w14:paraId="4AB7E878"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En esa línea, respecto a  la nómina se debe de precisar que en nuestra legislación del Estado de México no existe como tal una definición de “nómina”; sin embargo, el “Glosario de Términos Usuales de Finanzas Públicas” del Centro de Estudios de las Finanzas Públicas de la Cámara de Diputados del H. Congreso de la Unión, el “</w:t>
      </w:r>
      <w:r w:rsidRPr="00725A19">
        <w:rPr>
          <w:rFonts w:ascii="Palatino Linotype" w:eastAsia="Palatino Linotype" w:hAnsi="Palatino Linotype" w:cs="Palatino Linotype"/>
          <w:szCs w:val="20"/>
        </w:rPr>
        <w:t>Glosario</w:t>
      </w:r>
      <w:r w:rsidRPr="00725A19">
        <w:rPr>
          <w:rFonts w:ascii="Palatino Linotype" w:eastAsia="Palatino Linotype" w:hAnsi="Palatino Linotype" w:cs="Palatino Linotype"/>
        </w:rPr>
        <w:t xml:space="preserve"> de Términos Administrativos”, emitido por el Instituto Nacional de Administración Pública, A.C. y el “Glosario de Términos para el Proceso de Planeación, Programación, Presupuestación y Evaluación en la Administración Pública”, elaborado por el Grupo </w:t>
      </w:r>
      <w:r w:rsidRPr="00725A19">
        <w:rPr>
          <w:rFonts w:ascii="Palatino Linotype" w:eastAsia="Palatino Linotype" w:hAnsi="Palatino Linotype" w:cs="Palatino Linotype"/>
        </w:rPr>
        <w:lastRenderedPageBreak/>
        <w:t>de Trabajo de Sistemas de Información Financiera, Contable y Presupuestal de la Comisión Permanente de Funcionarios Fiscales del Instituto para el Desarrollo Técnico de las Haciendas Públicas (INDETEC), señalan la siguiente definición de la palabra nómina, honorarios y personal de lista de raya:</w:t>
      </w:r>
    </w:p>
    <w:p w14:paraId="0C5E1292" w14:textId="77777777" w:rsidR="002C13C2" w:rsidRPr="00725A19" w:rsidRDefault="002C13C2" w:rsidP="00163854">
      <w:pPr>
        <w:spacing w:line="276" w:lineRule="auto"/>
        <w:jc w:val="both"/>
        <w:rPr>
          <w:rFonts w:ascii="Palatino Linotype" w:eastAsia="Palatino Linotype" w:hAnsi="Palatino Linotype" w:cs="Palatino Linotype"/>
        </w:rPr>
      </w:pPr>
    </w:p>
    <w:p w14:paraId="0FFB2FC0" w14:textId="77777777" w:rsidR="002C13C2" w:rsidRPr="00725A19" w:rsidRDefault="002C13C2" w:rsidP="00163854">
      <w:pPr>
        <w:spacing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b/>
          <w:i/>
          <w:sz w:val="22"/>
          <w:szCs w:val="22"/>
        </w:rPr>
        <w:t xml:space="preserve">“NÓMINA </w:t>
      </w:r>
      <w:r w:rsidRPr="00725A19">
        <w:rPr>
          <w:rFonts w:ascii="Palatino Linotype" w:eastAsia="Palatino Linotype" w:hAnsi="Palatino Linotype" w:cs="Palatino Linotype"/>
          <w:i/>
          <w:sz w:val="22"/>
          <w:szCs w:val="22"/>
        </w:rPr>
        <w:t>Listado general de los trabajadores de una institución, en</w:t>
      </w:r>
      <w:r w:rsidRPr="00725A19">
        <w:rPr>
          <w:rFonts w:ascii="Palatino Linotype" w:eastAsia="Palatino Linotype" w:hAnsi="Palatino Linotype" w:cs="Palatino Linotype"/>
          <w:b/>
          <w:i/>
          <w:sz w:val="22"/>
          <w:szCs w:val="22"/>
        </w:rPr>
        <w:t xml:space="preserve"> </w:t>
      </w:r>
      <w:r w:rsidRPr="00725A19">
        <w:rPr>
          <w:rFonts w:ascii="Palatino Linotype" w:eastAsia="Palatino Linotype" w:hAnsi="Palatino Linotype" w:cs="Palatino Linotype"/>
          <w:i/>
          <w:sz w:val="22"/>
          <w:szCs w:val="22"/>
        </w:rPr>
        <w:t>el cual se asientan las percepciones brutas, deducciones y</w:t>
      </w:r>
      <w:r w:rsidRPr="00725A19">
        <w:rPr>
          <w:rFonts w:ascii="Palatino Linotype" w:eastAsia="Palatino Linotype" w:hAnsi="Palatino Linotype" w:cs="Palatino Linotype"/>
          <w:b/>
          <w:i/>
          <w:sz w:val="22"/>
          <w:szCs w:val="22"/>
        </w:rPr>
        <w:t xml:space="preserve"> </w:t>
      </w:r>
      <w:r w:rsidRPr="00725A19">
        <w:rPr>
          <w:rFonts w:ascii="Palatino Linotype" w:eastAsia="Palatino Linotype" w:hAnsi="Palatino Linotype" w:cs="Palatino Linotype"/>
          <w:i/>
          <w:sz w:val="22"/>
          <w:szCs w:val="22"/>
        </w:rPr>
        <w:t>alcance neto de las mismas; la nómina es utilizada para</w:t>
      </w:r>
      <w:r w:rsidRPr="00725A19">
        <w:rPr>
          <w:rFonts w:ascii="Palatino Linotype" w:eastAsia="Palatino Linotype" w:hAnsi="Palatino Linotype" w:cs="Palatino Linotype"/>
          <w:b/>
          <w:i/>
          <w:sz w:val="22"/>
          <w:szCs w:val="22"/>
        </w:rPr>
        <w:t xml:space="preserve"> </w:t>
      </w:r>
      <w:r w:rsidRPr="00725A19">
        <w:rPr>
          <w:rFonts w:ascii="Palatino Linotype" w:eastAsia="Palatino Linotype" w:hAnsi="Palatino Linotype" w:cs="Palatino Linotype"/>
          <w:i/>
          <w:sz w:val="22"/>
          <w:szCs w:val="22"/>
        </w:rPr>
        <w:t>efectuar los pagos periódicos (semanales, quincenales o</w:t>
      </w:r>
      <w:r w:rsidRPr="00725A19">
        <w:rPr>
          <w:rFonts w:ascii="Palatino Linotype" w:eastAsia="Palatino Linotype" w:hAnsi="Palatino Linotype" w:cs="Palatino Linotype"/>
          <w:b/>
          <w:i/>
          <w:sz w:val="22"/>
          <w:szCs w:val="22"/>
        </w:rPr>
        <w:t xml:space="preserve"> </w:t>
      </w:r>
      <w:r w:rsidRPr="00725A19">
        <w:rPr>
          <w:rFonts w:ascii="Palatino Linotype" w:eastAsia="Palatino Linotype" w:hAnsi="Palatino Linotype" w:cs="Palatino Linotype"/>
          <w:i/>
          <w:sz w:val="22"/>
          <w:szCs w:val="22"/>
        </w:rPr>
        <w:t>mensuales) a los trabajadores por concepto de sueldos y</w:t>
      </w:r>
      <w:r w:rsidRPr="00725A19">
        <w:rPr>
          <w:rFonts w:ascii="Palatino Linotype" w:eastAsia="Palatino Linotype" w:hAnsi="Palatino Linotype" w:cs="Palatino Linotype"/>
          <w:b/>
          <w:i/>
          <w:sz w:val="22"/>
          <w:szCs w:val="22"/>
        </w:rPr>
        <w:t xml:space="preserve"> </w:t>
      </w:r>
      <w:r w:rsidRPr="00725A19">
        <w:rPr>
          <w:rFonts w:ascii="Palatino Linotype" w:eastAsia="Palatino Linotype" w:hAnsi="Palatino Linotype" w:cs="Palatino Linotype"/>
          <w:i/>
          <w:sz w:val="22"/>
          <w:szCs w:val="22"/>
        </w:rPr>
        <w:t>salarios.”(Sic)</w:t>
      </w:r>
    </w:p>
    <w:p w14:paraId="3263A1E2" w14:textId="77777777" w:rsidR="002C13C2" w:rsidRPr="00725A19" w:rsidRDefault="002C13C2" w:rsidP="00163854">
      <w:pPr>
        <w:spacing w:line="276" w:lineRule="auto"/>
        <w:ind w:left="1134" w:right="-93"/>
        <w:jc w:val="both"/>
        <w:rPr>
          <w:rFonts w:ascii="Palatino Linotype" w:eastAsia="Palatino Linotype" w:hAnsi="Palatino Linotype" w:cs="Palatino Linotype"/>
        </w:rPr>
      </w:pPr>
    </w:p>
    <w:p w14:paraId="3346195E"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En base a lo anterior, conviene a traer lo establecido por el artículo 804, fracción II, de la Ley Federal de Trabajo, el cual a la letra establece: </w:t>
      </w:r>
    </w:p>
    <w:p w14:paraId="1CA0D356" w14:textId="77777777" w:rsidR="002C13C2" w:rsidRPr="00725A19" w:rsidRDefault="002C13C2" w:rsidP="00B477D7">
      <w:pPr>
        <w:spacing w:line="276" w:lineRule="auto"/>
        <w:ind w:left="851"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w:t>
      </w:r>
      <w:r w:rsidRPr="00725A19">
        <w:rPr>
          <w:rFonts w:ascii="Palatino Linotype" w:eastAsia="Palatino Linotype" w:hAnsi="Palatino Linotype" w:cs="Palatino Linotype"/>
          <w:b/>
          <w:i/>
          <w:sz w:val="22"/>
          <w:szCs w:val="22"/>
        </w:rPr>
        <w:t>Artículo 804.-</w:t>
      </w:r>
      <w:r w:rsidRPr="00725A19">
        <w:rPr>
          <w:rFonts w:ascii="Palatino Linotype" w:eastAsia="Palatino Linotype" w:hAnsi="Palatino Linotype" w:cs="Palatino Linotype"/>
          <w:i/>
          <w:sz w:val="22"/>
          <w:szCs w:val="22"/>
        </w:rPr>
        <w:t xml:space="preserve"> </w:t>
      </w:r>
      <w:r w:rsidRPr="00725A19">
        <w:rPr>
          <w:rFonts w:ascii="Palatino Linotype" w:eastAsia="Palatino Linotype" w:hAnsi="Palatino Linotype" w:cs="Palatino Linotype"/>
          <w:b/>
          <w:i/>
          <w:sz w:val="22"/>
          <w:szCs w:val="22"/>
        </w:rPr>
        <w:t>El patrón tiene obligación de conservar y exhibir en juicio los documentos que a continuación se precisan</w:t>
      </w:r>
      <w:r w:rsidRPr="00725A19">
        <w:rPr>
          <w:rFonts w:ascii="Palatino Linotype" w:eastAsia="Palatino Linotype" w:hAnsi="Palatino Linotype" w:cs="Palatino Linotype"/>
          <w:i/>
          <w:sz w:val="22"/>
          <w:szCs w:val="22"/>
        </w:rPr>
        <w:t>:</w:t>
      </w:r>
    </w:p>
    <w:p w14:paraId="60D841B0" w14:textId="77777777" w:rsidR="002C13C2" w:rsidRPr="00725A19" w:rsidRDefault="002C13C2" w:rsidP="00B477D7">
      <w:pPr>
        <w:spacing w:line="276" w:lineRule="auto"/>
        <w:ind w:left="851" w:right="851"/>
        <w:jc w:val="both"/>
        <w:rPr>
          <w:rFonts w:ascii="Palatino Linotype" w:eastAsia="Palatino Linotype" w:hAnsi="Palatino Linotype" w:cs="Palatino Linotype"/>
          <w:i/>
          <w:sz w:val="22"/>
          <w:szCs w:val="22"/>
        </w:rPr>
      </w:pPr>
    </w:p>
    <w:p w14:paraId="635CE6A9" w14:textId="77777777" w:rsidR="002C13C2" w:rsidRPr="00725A19" w:rsidRDefault="002C13C2" w:rsidP="00B477D7">
      <w:pPr>
        <w:spacing w:line="276" w:lineRule="auto"/>
        <w:ind w:left="851" w:right="851"/>
        <w:jc w:val="both"/>
        <w:rPr>
          <w:rFonts w:ascii="Palatino Linotype" w:eastAsia="Palatino Linotype" w:hAnsi="Palatino Linotype" w:cs="Palatino Linotype"/>
          <w:b/>
          <w:i/>
          <w:sz w:val="22"/>
          <w:szCs w:val="22"/>
        </w:rPr>
      </w:pPr>
      <w:r w:rsidRPr="00725A19">
        <w:rPr>
          <w:rFonts w:ascii="Palatino Linotype" w:eastAsia="Palatino Linotype" w:hAnsi="Palatino Linotype" w:cs="Palatino Linotype"/>
          <w:b/>
          <w:i/>
          <w:sz w:val="22"/>
          <w:szCs w:val="22"/>
        </w:rPr>
        <w:t>II.</w:t>
      </w:r>
      <w:r w:rsidRPr="00725A19">
        <w:rPr>
          <w:rFonts w:ascii="Palatino Linotype" w:eastAsia="Palatino Linotype" w:hAnsi="Palatino Linotype" w:cs="Palatino Linotype"/>
          <w:i/>
          <w:sz w:val="22"/>
          <w:szCs w:val="22"/>
        </w:rPr>
        <w:t xml:space="preserve"> </w:t>
      </w:r>
      <w:r w:rsidRPr="00725A19">
        <w:rPr>
          <w:rFonts w:ascii="Palatino Linotype" w:eastAsia="Palatino Linotype" w:hAnsi="Palatino Linotype" w:cs="Palatino Linotype"/>
          <w:b/>
          <w:i/>
          <w:sz w:val="22"/>
          <w:szCs w:val="22"/>
        </w:rPr>
        <w:t>Listas de raya o nómina de personal</w:t>
      </w:r>
      <w:r w:rsidRPr="00725A19">
        <w:rPr>
          <w:rFonts w:ascii="Palatino Linotype" w:eastAsia="Palatino Linotype" w:hAnsi="Palatino Linotype" w:cs="Palatino Linotype"/>
          <w:i/>
          <w:sz w:val="22"/>
          <w:szCs w:val="22"/>
        </w:rPr>
        <w:t xml:space="preserve">, </w:t>
      </w:r>
      <w:r w:rsidRPr="00725A19">
        <w:rPr>
          <w:rFonts w:ascii="Palatino Linotype" w:eastAsia="Palatino Linotype" w:hAnsi="Palatino Linotype" w:cs="Palatino Linotype"/>
          <w:b/>
          <w:i/>
          <w:sz w:val="22"/>
          <w:szCs w:val="22"/>
        </w:rPr>
        <w:t xml:space="preserve">cuando se lleven en el centro de trabajo; o recibos de pagos de salarios; </w:t>
      </w:r>
    </w:p>
    <w:p w14:paraId="7E09C68B" w14:textId="77777777" w:rsidR="002C13C2" w:rsidRPr="00725A19" w:rsidRDefault="002C13C2" w:rsidP="00B477D7">
      <w:pPr>
        <w:spacing w:line="276" w:lineRule="auto"/>
        <w:ind w:left="851"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w:t>
      </w:r>
    </w:p>
    <w:p w14:paraId="5812CAF0" w14:textId="77777777" w:rsidR="002C13C2" w:rsidRPr="00725A19" w:rsidRDefault="002C13C2" w:rsidP="00B477D7">
      <w:pPr>
        <w:spacing w:line="276" w:lineRule="auto"/>
        <w:ind w:left="851"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 xml:space="preserve">Los documentos señalados en la fracción I deberán conservarse mientras dure la relación laboral y hasta un año después; </w:t>
      </w:r>
      <w:r w:rsidRPr="00725A19">
        <w:rPr>
          <w:rFonts w:ascii="Palatino Linotype" w:eastAsia="Palatino Linotype" w:hAnsi="Palatino Linotype" w:cs="Palatino Linotype"/>
          <w:b/>
          <w:i/>
          <w:sz w:val="22"/>
          <w:szCs w:val="22"/>
        </w:rPr>
        <w:t>los señalados en las fracciones II, III y IV, durante el último año y un año después de que se extinga la relación laboral</w:t>
      </w:r>
      <w:r w:rsidRPr="00725A19">
        <w:rPr>
          <w:rFonts w:ascii="Palatino Linotype" w:eastAsia="Palatino Linotype" w:hAnsi="Palatino Linotype" w:cs="Palatino Linotype"/>
          <w:i/>
          <w:sz w:val="22"/>
          <w:szCs w:val="22"/>
        </w:rPr>
        <w:t>; y los mencionados en la fracción V, conforme lo señalen las Leyes que los rijan.” (Sic)</w:t>
      </w:r>
    </w:p>
    <w:p w14:paraId="6400508C" w14:textId="77777777" w:rsidR="002C13C2" w:rsidRPr="00725A19" w:rsidRDefault="002C13C2" w:rsidP="00B477D7">
      <w:pPr>
        <w:spacing w:line="360" w:lineRule="auto"/>
        <w:ind w:right="851"/>
        <w:jc w:val="both"/>
        <w:rPr>
          <w:rFonts w:ascii="Palatino Linotype" w:eastAsia="Palatino Linotype" w:hAnsi="Palatino Linotype" w:cs="Palatino Linotype"/>
          <w:i/>
          <w:sz w:val="22"/>
          <w:szCs w:val="22"/>
        </w:rPr>
      </w:pPr>
    </w:p>
    <w:p w14:paraId="7B1EF242"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De lo precedente, se concluye que la nómina, es el registro utilizado para efectuar los pagos a los trabajadores por concepto de sueldos y salarios, el cual se compone por </w:t>
      </w:r>
      <w:r w:rsidRPr="00725A19">
        <w:rPr>
          <w:rFonts w:ascii="Palatino Linotype" w:eastAsia="Palatino Linotype" w:hAnsi="Palatino Linotype" w:cs="Palatino Linotype"/>
        </w:rPr>
        <w:lastRenderedPageBreak/>
        <w:t xml:space="preserve">el conjunto de trabajadores en el que se asientan las percepciones brutas, </w:t>
      </w:r>
      <w:r w:rsidRPr="00725A19">
        <w:rPr>
          <w:rFonts w:ascii="Palatino Linotype" w:eastAsia="Palatino Linotype" w:hAnsi="Palatino Linotype" w:cs="Palatino Linotype"/>
          <w:szCs w:val="20"/>
        </w:rPr>
        <w:t>deducciones</w:t>
      </w:r>
      <w:r w:rsidRPr="00725A19">
        <w:rPr>
          <w:rFonts w:ascii="Palatino Linotype" w:eastAsia="Palatino Linotype" w:hAnsi="Palatino Linotype" w:cs="Palatino Linotype"/>
        </w:rPr>
        <w:t xml:space="preserve"> y la cantidad neta a pagar.</w:t>
      </w:r>
    </w:p>
    <w:p w14:paraId="6D40C14A" w14:textId="77777777" w:rsidR="002C13C2" w:rsidRPr="00725A19" w:rsidRDefault="002C13C2" w:rsidP="002C13C2">
      <w:pPr>
        <w:spacing w:line="360" w:lineRule="auto"/>
        <w:jc w:val="both"/>
        <w:rPr>
          <w:rFonts w:ascii="Palatino Linotype" w:eastAsia="Palatino Linotype" w:hAnsi="Palatino Linotype" w:cs="Palatino Linotype"/>
        </w:rPr>
      </w:pPr>
    </w:p>
    <w:p w14:paraId="684422B3"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hAnsi="Palatino Linotype"/>
          <w:lang w:val="es-ES"/>
        </w:rPr>
        <w:t>Ahora</w:t>
      </w:r>
      <w:r w:rsidRPr="00725A19">
        <w:rPr>
          <w:rFonts w:ascii="Palatino Linotype" w:eastAsia="Palatino Linotype" w:hAnsi="Palatino Linotype" w:cs="Palatino Linotype"/>
        </w:rPr>
        <w:t xml:space="preserve"> bien, tratándose de servidores públicos de los Municipios la Ley del Trabajo de los Servidores Públicos del Estado y Municipios, en su artículo 220-K fracciones II y IV y último párrafo, establecen lo siguiente:</w:t>
      </w:r>
    </w:p>
    <w:p w14:paraId="1051644D" w14:textId="77777777" w:rsidR="0019097F" w:rsidRPr="00725A19" w:rsidRDefault="0019097F" w:rsidP="0019097F">
      <w:pPr>
        <w:pBdr>
          <w:top w:val="nil"/>
          <w:left w:val="nil"/>
          <w:bottom w:val="nil"/>
          <w:right w:val="nil"/>
          <w:between w:val="nil"/>
        </w:pBdr>
        <w:spacing w:line="360" w:lineRule="auto"/>
        <w:jc w:val="both"/>
        <w:rPr>
          <w:rFonts w:ascii="Palatino Linotype" w:eastAsia="Palatino Linotype" w:hAnsi="Palatino Linotype" w:cs="Palatino Linotype"/>
        </w:rPr>
      </w:pPr>
    </w:p>
    <w:p w14:paraId="18F41FBF" w14:textId="77777777" w:rsidR="002C13C2" w:rsidRPr="00725A19" w:rsidRDefault="002C13C2" w:rsidP="0019097F">
      <w:pPr>
        <w:spacing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w:t>
      </w:r>
      <w:r w:rsidRPr="00725A19">
        <w:rPr>
          <w:rFonts w:ascii="Palatino Linotype" w:eastAsia="Palatino Linotype" w:hAnsi="Palatino Linotype" w:cs="Palatino Linotype"/>
          <w:b/>
          <w:i/>
          <w:sz w:val="22"/>
          <w:szCs w:val="22"/>
        </w:rPr>
        <w:t>ARTÍCULO 220 K.-</w:t>
      </w:r>
      <w:r w:rsidRPr="00725A19">
        <w:rPr>
          <w:rFonts w:ascii="Palatino Linotype" w:eastAsia="Palatino Linotype" w:hAnsi="Palatino Linotype" w:cs="Palatino Linotype"/>
          <w:i/>
          <w:sz w:val="22"/>
          <w:szCs w:val="22"/>
        </w:rPr>
        <w:t xml:space="preserve"> La institución o dependencia pública tiene la obligación de conservar y exhibir en el proceso los documentos que a continuación se precisan:</w:t>
      </w:r>
    </w:p>
    <w:p w14:paraId="68729962" w14:textId="77777777" w:rsidR="002C13C2" w:rsidRPr="00725A19" w:rsidRDefault="002C13C2" w:rsidP="0019097F">
      <w:pPr>
        <w:spacing w:before="160" w:after="160"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w:t>
      </w:r>
    </w:p>
    <w:p w14:paraId="0F732AE2" w14:textId="77777777" w:rsidR="002C13C2" w:rsidRPr="00725A19" w:rsidRDefault="002C13C2" w:rsidP="0019097F">
      <w:pPr>
        <w:spacing w:before="160" w:after="160"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b/>
          <w:i/>
          <w:sz w:val="22"/>
          <w:szCs w:val="22"/>
        </w:rPr>
        <w:t>IV.</w:t>
      </w:r>
      <w:r w:rsidRPr="00725A19">
        <w:rPr>
          <w:rFonts w:ascii="Palatino Linotype" w:eastAsia="Palatino Linotype" w:hAnsi="Palatino Linotype" w:cs="Palatino Linotype"/>
          <w:i/>
          <w:sz w:val="22"/>
          <w:szCs w:val="22"/>
        </w:rPr>
        <w:t xml:space="preserve"> </w:t>
      </w:r>
      <w:r w:rsidRPr="00725A19">
        <w:rPr>
          <w:rFonts w:ascii="Palatino Linotype" w:eastAsia="Palatino Linotype" w:hAnsi="Palatino Linotype" w:cs="Palatino Linotype"/>
          <w:b/>
          <w:i/>
          <w:sz w:val="22"/>
          <w:szCs w:val="22"/>
          <w:u w:val="single"/>
        </w:rPr>
        <w:t>Recibos o las constancias de depósito o del medio de información magnética o electrónica que sean utilizadas para el pago de</w:t>
      </w:r>
      <w:r w:rsidRPr="00725A19">
        <w:rPr>
          <w:rFonts w:ascii="Palatino Linotype" w:eastAsia="Palatino Linotype" w:hAnsi="Palatino Linotype" w:cs="Palatino Linotype"/>
          <w:i/>
          <w:sz w:val="22"/>
          <w:szCs w:val="22"/>
        </w:rPr>
        <w:t xml:space="preserve"> salarios, prima vacacional,</w:t>
      </w:r>
      <w:r w:rsidRPr="00725A19">
        <w:rPr>
          <w:rFonts w:ascii="Palatino Linotype" w:eastAsia="Palatino Linotype" w:hAnsi="Palatino Linotype" w:cs="Palatino Linotype"/>
          <w:b/>
          <w:i/>
          <w:sz w:val="22"/>
          <w:szCs w:val="22"/>
          <w:u w:val="single"/>
        </w:rPr>
        <w:t xml:space="preserve"> aguinaldo y demás prestaciones</w:t>
      </w:r>
      <w:r w:rsidRPr="00725A19">
        <w:rPr>
          <w:rFonts w:ascii="Palatino Linotype" w:eastAsia="Palatino Linotype" w:hAnsi="Palatino Linotype" w:cs="Palatino Linotype"/>
          <w:i/>
          <w:sz w:val="22"/>
          <w:szCs w:val="22"/>
        </w:rPr>
        <w:t xml:space="preserve"> establecidas en la presente ley; y</w:t>
      </w:r>
    </w:p>
    <w:p w14:paraId="5040D141" w14:textId="77777777" w:rsidR="002C13C2" w:rsidRPr="00725A19" w:rsidRDefault="002C13C2" w:rsidP="0019097F">
      <w:pPr>
        <w:spacing w:before="160" w:after="160"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 xml:space="preserve">Los documentos señalados en la fracción I de este artículo, deberán conservarse mientras dure la relación laboral y hasta un año después; los señalados por las fracciones </w:t>
      </w:r>
      <w:r w:rsidRPr="00725A19">
        <w:rPr>
          <w:rFonts w:ascii="Palatino Linotype" w:eastAsia="Palatino Linotype" w:hAnsi="Palatino Linotype" w:cs="Palatino Linotype"/>
          <w:b/>
          <w:i/>
          <w:sz w:val="22"/>
          <w:szCs w:val="22"/>
          <w:u w:val="single"/>
        </w:rPr>
        <w:t>II, III, IV durante el último año y un año después de que se extinga la relación laboral</w:t>
      </w:r>
      <w:r w:rsidRPr="00725A19">
        <w:rPr>
          <w:rFonts w:ascii="Palatino Linotype" w:eastAsia="Palatino Linotype" w:hAnsi="Palatino Linotype" w:cs="Palatino Linotype"/>
          <w:b/>
          <w:i/>
          <w:sz w:val="22"/>
          <w:szCs w:val="22"/>
        </w:rPr>
        <w:t>,</w:t>
      </w:r>
      <w:r w:rsidRPr="00725A19">
        <w:rPr>
          <w:rFonts w:ascii="Palatino Linotype" w:eastAsia="Palatino Linotype" w:hAnsi="Palatino Linotype" w:cs="Palatino Linotype"/>
          <w:i/>
          <w:sz w:val="22"/>
          <w:szCs w:val="22"/>
        </w:rPr>
        <w:t xml:space="preserve"> y los mencionados en la fracción V, conforme lo señalen las leyes que los rijan.</w:t>
      </w:r>
    </w:p>
    <w:p w14:paraId="61A88A72" w14:textId="77777777" w:rsidR="002C13C2" w:rsidRPr="00725A19" w:rsidRDefault="002C13C2" w:rsidP="0019097F">
      <w:pPr>
        <w:spacing w:before="160" w:after="160"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Los documentos y constancias aquí señalados, la institución o dependencia podrá conservarlos por medio de los sistemas de digitalización o de información magnética o electrónica o cualquier medio descubierto por la ciencia y las constancias expedidas por el encargado del área de personal de éstas, harán prueba plena.</w:t>
      </w:r>
    </w:p>
    <w:p w14:paraId="797B4734" w14:textId="52E798AB" w:rsidR="002C13C2" w:rsidRPr="00725A19" w:rsidRDefault="002C13C2" w:rsidP="00974FEF">
      <w:pPr>
        <w:spacing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lastRenderedPageBreak/>
        <w:t>El incumplimiento por lo dispuesto por este artículo, establecerá la presunción de ser ciertos los hechos que el actor exprese en su demanda, en relación con tales documentos, salvo prueba en contrario.”(Énfasis añadido)</w:t>
      </w:r>
    </w:p>
    <w:p w14:paraId="09678217" w14:textId="77777777" w:rsidR="002C13C2" w:rsidRPr="00725A19" w:rsidRDefault="002C13C2" w:rsidP="00F04429">
      <w:pPr>
        <w:ind w:left="1134" w:right="1106"/>
        <w:jc w:val="both"/>
        <w:rPr>
          <w:rFonts w:ascii="Palatino Linotype" w:eastAsia="Palatino Linotype" w:hAnsi="Palatino Linotype" w:cs="Palatino Linotype"/>
        </w:rPr>
      </w:pPr>
    </w:p>
    <w:p w14:paraId="62F66AEB"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De </w:t>
      </w:r>
      <w:r w:rsidRPr="00725A19">
        <w:rPr>
          <w:rFonts w:ascii="Palatino Linotype" w:hAnsi="Palatino Linotype"/>
          <w:lang w:val="es-ES"/>
        </w:rPr>
        <w:t>lo</w:t>
      </w:r>
      <w:r w:rsidRPr="00725A19">
        <w:rPr>
          <w:rFonts w:ascii="Palatino Linotype" w:eastAsia="Palatino Linotype" w:hAnsi="Palatino Linotype" w:cs="Palatino Linotype"/>
        </w:rPr>
        <w:t xml:space="preserve"> anterior, se advierte que toda institución pública o dependencia pública del Estado de México debe conservar </w:t>
      </w:r>
      <w:r w:rsidRPr="00725A19">
        <w:rPr>
          <w:rFonts w:ascii="Palatino Linotype" w:eastAsia="Palatino Linotype" w:hAnsi="Palatino Linotype" w:cs="Palatino Linotype"/>
          <w:b/>
          <w:i/>
        </w:rPr>
        <w:t>los recibos o constancias de pago de salarios, prima vacacional, aguinaldo y demás prestaciones legales de acuerdo con la forma en que se haya realizado el pago, es decir, en efectivo, cheque, depósito, transferencia u otra</w:t>
      </w:r>
      <w:r w:rsidRPr="00725A19">
        <w:rPr>
          <w:rFonts w:ascii="Palatino Linotype" w:eastAsia="Palatino Linotype" w:hAnsi="Palatino Linotype" w:cs="Palatino Linotype"/>
        </w:rPr>
        <w:t xml:space="preserve">, </w:t>
      </w:r>
      <w:r w:rsidRPr="00725A19">
        <w:rPr>
          <w:rFonts w:ascii="Palatino Linotype" w:eastAsia="Palatino Linotype" w:hAnsi="Palatino Linotype" w:cs="Palatino Linotype"/>
          <w:szCs w:val="20"/>
        </w:rPr>
        <w:t>debiendo</w:t>
      </w:r>
      <w:r w:rsidRPr="00725A19">
        <w:rPr>
          <w:rFonts w:ascii="Palatino Linotype" w:eastAsia="Palatino Linotype" w:hAnsi="Palatino Linotype" w:cs="Palatino Linotype"/>
        </w:rPr>
        <w:t xml:space="preserve"> conservar dicha documentación durante el último año y un año después de que se extingue la relación laboral a través de los sistemas de digitalización o de información magnética o electrónica.</w:t>
      </w:r>
    </w:p>
    <w:p w14:paraId="4BC65AC7" w14:textId="77777777" w:rsidR="0082079A" w:rsidRPr="00725A19" w:rsidRDefault="0082079A" w:rsidP="0082079A">
      <w:pPr>
        <w:pBdr>
          <w:top w:val="nil"/>
          <w:left w:val="nil"/>
          <w:bottom w:val="nil"/>
          <w:right w:val="nil"/>
          <w:between w:val="nil"/>
        </w:pBdr>
        <w:spacing w:line="360" w:lineRule="auto"/>
        <w:jc w:val="both"/>
        <w:rPr>
          <w:rFonts w:ascii="Palatino Linotype" w:eastAsia="Palatino Linotype" w:hAnsi="Palatino Linotype" w:cs="Palatino Linotype"/>
        </w:rPr>
      </w:pPr>
    </w:p>
    <w:p w14:paraId="57A643EE" w14:textId="19E175F8"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En ese sentido, se advierte que toda institución pública o dependencia pública del Estado de México debe conservar los recibos o constancias de pago de salarios, prima vacacional, aguinaldo y demás prestaciones legales de acuerdo con la forma en que se haya realizado el pago; así como, </w:t>
      </w:r>
      <w:r w:rsidRPr="00725A19">
        <w:rPr>
          <w:rFonts w:ascii="Palatino Linotype" w:eastAsia="Palatino Linotype" w:hAnsi="Palatino Linotype" w:cs="Palatino Linotype"/>
          <w:b/>
        </w:rPr>
        <w:t>los recibos de pago por honorarios</w:t>
      </w:r>
      <w:r w:rsidRPr="00725A19">
        <w:rPr>
          <w:rFonts w:ascii="Palatino Linotype" w:eastAsia="Palatino Linotype" w:hAnsi="Palatino Linotype" w:cs="Palatino Linotype"/>
        </w:rPr>
        <w:t>; es decir, en efectivo, cheque, depósito, transferencia u otra, debiendo conservar dicha documentación durante el último año y un año después de que se extingue la relación laboral a través de los sistemas de digitalización o de información magnética o electrónica</w:t>
      </w:r>
      <w:r w:rsidR="00171674" w:rsidRPr="00725A19">
        <w:rPr>
          <w:rFonts w:ascii="Palatino Linotype" w:eastAsia="Palatino Linotype" w:hAnsi="Palatino Linotype" w:cs="Palatino Linotype"/>
        </w:rPr>
        <w:t>.</w:t>
      </w:r>
    </w:p>
    <w:p w14:paraId="2088E0C6" w14:textId="77777777" w:rsidR="002C13C2" w:rsidRPr="00725A19" w:rsidRDefault="002C13C2" w:rsidP="002C13C2">
      <w:pPr>
        <w:pStyle w:val="Prrafodelista"/>
        <w:rPr>
          <w:rFonts w:ascii="Palatino Linotype" w:eastAsia="Palatino Linotype" w:hAnsi="Palatino Linotype" w:cs="Palatino Linotype"/>
        </w:rPr>
      </w:pPr>
    </w:p>
    <w:p w14:paraId="3E23C134"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Ahora bien, el artículo 350 del Código Financiero del Estado de México dispone lo que se transcribe a continuación:</w:t>
      </w:r>
    </w:p>
    <w:p w14:paraId="7CB7C759" w14:textId="77777777" w:rsidR="002C13C2" w:rsidRPr="00725A19" w:rsidRDefault="002C13C2" w:rsidP="0076263A">
      <w:pPr>
        <w:spacing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lastRenderedPageBreak/>
        <w:t>“</w:t>
      </w:r>
      <w:r w:rsidRPr="00725A19">
        <w:rPr>
          <w:rFonts w:ascii="Palatino Linotype" w:eastAsia="Palatino Linotype" w:hAnsi="Palatino Linotype" w:cs="Palatino Linotype"/>
          <w:b/>
          <w:i/>
          <w:sz w:val="22"/>
          <w:szCs w:val="22"/>
        </w:rPr>
        <w:t>Artículo 350.-</w:t>
      </w:r>
      <w:r w:rsidRPr="00725A19">
        <w:rPr>
          <w:rFonts w:ascii="Palatino Linotype" w:eastAsia="Palatino Linotype" w:hAnsi="Palatino Linotype" w:cs="Palatino Linotype"/>
          <w:i/>
          <w:sz w:val="22"/>
          <w:szCs w:val="22"/>
        </w:rPr>
        <w:t xml:space="preserve"> Mensualmente </w:t>
      </w:r>
      <w:r w:rsidRPr="00725A19">
        <w:rPr>
          <w:rFonts w:ascii="Palatino Linotype" w:eastAsia="Palatino Linotype" w:hAnsi="Palatino Linotype" w:cs="Palatino Linotype"/>
          <w:b/>
          <w:i/>
          <w:sz w:val="22"/>
          <w:szCs w:val="22"/>
          <w:u w:val="single"/>
        </w:rPr>
        <w:t>dentro de los primeros veinte días hábiles</w:t>
      </w:r>
      <w:r w:rsidRPr="00725A19">
        <w:rPr>
          <w:rFonts w:ascii="Palatino Linotype" w:eastAsia="Palatino Linotype" w:hAnsi="Palatino Linotype" w:cs="Palatino Linotype"/>
          <w:i/>
          <w:sz w:val="22"/>
          <w:szCs w:val="22"/>
        </w:rPr>
        <w:t xml:space="preserve">, la Secretaría y </w:t>
      </w:r>
      <w:r w:rsidRPr="00725A19">
        <w:rPr>
          <w:rFonts w:ascii="Palatino Linotype" w:eastAsia="Palatino Linotype" w:hAnsi="Palatino Linotype" w:cs="Palatino Linotype"/>
          <w:b/>
          <w:i/>
          <w:sz w:val="22"/>
          <w:szCs w:val="22"/>
          <w:u w:val="single"/>
        </w:rPr>
        <w:t>las Tesorerías, enviarán para su análisis y evaluación al Órgano Superior de Fiscalización del Estado de México, la siguiente información</w:t>
      </w:r>
      <w:r w:rsidRPr="00725A19">
        <w:rPr>
          <w:rFonts w:ascii="Palatino Linotype" w:eastAsia="Palatino Linotype" w:hAnsi="Palatino Linotype" w:cs="Palatino Linotype"/>
          <w:i/>
          <w:sz w:val="22"/>
          <w:szCs w:val="22"/>
        </w:rPr>
        <w:t xml:space="preserve">: </w:t>
      </w:r>
    </w:p>
    <w:p w14:paraId="31678AE8" w14:textId="77777777" w:rsidR="002C13C2" w:rsidRPr="00725A19" w:rsidRDefault="002C13C2" w:rsidP="0076263A">
      <w:pPr>
        <w:spacing w:before="120" w:after="120"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w:t>
      </w:r>
    </w:p>
    <w:p w14:paraId="6C48BD92" w14:textId="77777777" w:rsidR="002C13C2" w:rsidRPr="00725A19" w:rsidRDefault="002C13C2" w:rsidP="0076263A">
      <w:pPr>
        <w:spacing w:before="120" w:after="120"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b/>
          <w:i/>
          <w:sz w:val="22"/>
          <w:szCs w:val="22"/>
        </w:rPr>
        <w:t xml:space="preserve">IV. </w:t>
      </w:r>
      <w:r w:rsidRPr="00725A19">
        <w:rPr>
          <w:rFonts w:ascii="Palatino Linotype" w:eastAsia="Palatino Linotype" w:hAnsi="Palatino Linotype" w:cs="Palatino Linotype"/>
          <w:b/>
          <w:i/>
          <w:sz w:val="22"/>
          <w:szCs w:val="22"/>
          <w:u w:val="single"/>
        </w:rPr>
        <w:t>Información de nómina</w:t>
      </w:r>
      <w:r w:rsidRPr="00725A19">
        <w:rPr>
          <w:rFonts w:ascii="Palatino Linotype" w:eastAsia="Palatino Linotype" w:hAnsi="Palatino Linotype" w:cs="Palatino Linotype"/>
          <w:i/>
          <w:sz w:val="22"/>
          <w:szCs w:val="22"/>
        </w:rPr>
        <w:t>.”</w:t>
      </w:r>
    </w:p>
    <w:p w14:paraId="3D9D7B55" w14:textId="77777777" w:rsidR="002C13C2" w:rsidRPr="00725A19" w:rsidRDefault="002C13C2" w:rsidP="00105BC8">
      <w:pPr>
        <w:spacing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(Énfasis añadido)</w:t>
      </w:r>
    </w:p>
    <w:p w14:paraId="5D9137EE" w14:textId="77777777" w:rsidR="002C13C2" w:rsidRPr="00725A19" w:rsidRDefault="002C13C2" w:rsidP="008F760D">
      <w:pPr>
        <w:ind w:right="1106"/>
        <w:jc w:val="both"/>
        <w:rPr>
          <w:rFonts w:ascii="Palatino Linotype" w:eastAsia="Palatino Linotype" w:hAnsi="Palatino Linotype" w:cs="Palatino Linotype"/>
        </w:rPr>
      </w:pPr>
    </w:p>
    <w:p w14:paraId="271B8D50"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De </w:t>
      </w:r>
      <w:r w:rsidRPr="00725A19">
        <w:rPr>
          <w:rFonts w:ascii="Palatino Linotype" w:hAnsi="Palatino Linotype"/>
          <w:lang w:val="es-ES"/>
        </w:rPr>
        <w:t>igual</w:t>
      </w:r>
      <w:r w:rsidRPr="00725A19">
        <w:rPr>
          <w:rFonts w:ascii="Palatino Linotype" w:eastAsia="Palatino Linotype" w:hAnsi="Palatino Linotype" w:cs="Palatino Linotype"/>
        </w:rPr>
        <w:t xml:space="preserve"> forma, las disposiciones administrativas que rigen a las Entidades Fiscalizables en el Estado de México, se encuentran los Lineamientos para la integración del Informe Mensual emitidos anualmente por el Órgano Superior de Fiscalización del Estado de México (OSFEM) en ejercicio de sus atribuciones, los cuales representan una herramienta para elaborar y presentar los Informes Mensuales por parte de las Entidades Fiscalizables, en cuanto a los requerimientos financieros, contables, patrimoniales, presupuestales, programáticos y administrativos que nos señalan los ordenamientos legales respectivos, que entre otros destacan: la Ley Orgánica Municipal, Ley de Ingresos de los Municipios, Presupuesto de Egresos y Manual Único de Contabilidad Gubernamental para las Dependencias y Entidades Públicas del Gobierno y Municipios, todos del Estado de México.</w:t>
      </w:r>
    </w:p>
    <w:p w14:paraId="67090675"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6049B2E2"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Así, los Lineamientos en comento sirven para definir los criterios, formatos y documentación necesaria para presentar los informes mensuales. Entre los criterios que </w:t>
      </w:r>
      <w:r w:rsidRPr="00725A19">
        <w:rPr>
          <w:rFonts w:ascii="Palatino Linotype" w:eastAsia="Palatino Linotype" w:hAnsi="Palatino Linotype" w:cs="Palatino Linotype"/>
        </w:rPr>
        <w:lastRenderedPageBreak/>
        <w:t xml:space="preserve">se </w:t>
      </w:r>
      <w:r w:rsidRPr="00725A19">
        <w:rPr>
          <w:rFonts w:ascii="Palatino Linotype" w:eastAsia="Palatino Linotype" w:hAnsi="Palatino Linotype" w:cs="Palatino Linotype"/>
          <w:szCs w:val="20"/>
        </w:rPr>
        <w:t>manejan</w:t>
      </w:r>
      <w:r w:rsidRPr="00725A19">
        <w:rPr>
          <w:rFonts w:ascii="Palatino Linotype" w:eastAsia="Palatino Linotype" w:hAnsi="Palatino Linotype" w:cs="Palatino Linotype"/>
        </w:rPr>
        <w:t xml:space="preserve"> en tales Lineamientos está aquel que se refiere a la integración de información de nómina, tal y como se muestra en la siguiente captura: </w:t>
      </w:r>
    </w:p>
    <w:p w14:paraId="06607606" w14:textId="77777777" w:rsidR="002C13C2" w:rsidRPr="00725A19" w:rsidRDefault="002C13C2" w:rsidP="002C13C2">
      <w:pPr>
        <w:spacing w:line="360" w:lineRule="auto"/>
        <w:jc w:val="center"/>
        <w:rPr>
          <w:rFonts w:ascii="Palatino Linotype" w:eastAsia="Palatino Linotype" w:hAnsi="Palatino Linotype" w:cs="Palatino Linotype"/>
        </w:rPr>
      </w:pPr>
      <w:r w:rsidRPr="00725A19">
        <w:rPr>
          <w:rFonts w:ascii="Palatino Linotype" w:eastAsia="Palatino Linotype" w:hAnsi="Palatino Linotype" w:cs="Palatino Linotype"/>
          <w:noProof/>
        </w:rPr>
        <w:drawing>
          <wp:inline distT="0" distB="0" distL="0" distR="0" wp14:anchorId="142BADD0" wp14:editId="147FBAD3">
            <wp:extent cx="3927944" cy="1900362"/>
            <wp:effectExtent l="0" t="0" r="0" b="5080"/>
            <wp:docPr id="4" name="image1.png" descr="Tabla&#10;&#10;Descripción generada automáticamente"/>
            <wp:cNvGraphicFramePr/>
            <a:graphic xmlns:a="http://schemas.openxmlformats.org/drawingml/2006/main">
              <a:graphicData uri="http://schemas.openxmlformats.org/drawingml/2006/picture">
                <pic:pic xmlns:pic="http://schemas.openxmlformats.org/drawingml/2006/picture">
                  <pic:nvPicPr>
                    <pic:cNvPr id="2" name="image1.png" descr="Tabla&#10;&#10;Descripción generada automáticamente"/>
                    <pic:cNvPicPr preferRelativeResize="0"/>
                  </pic:nvPicPr>
                  <pic:blipFill>
                    <a:blip r:embed="rId8"/>
                    <a:srcRect/>
                    <a:stretch>
                      <a:fillRect/>
                    </a:stretch>
                  </pic:blipFill>
                  <pic:spPr>
                    <a:xfrm>
                      <a:off x="0" y="0"/>
                      <a:ext cx="3937289" cy="1904883"/>
                    </a:xfrm>
                    <a:prstGeom prst="rect">
                      <a:avLst/>
                    </a:prstGeom>
                    <a:ln/>
                  </pic:spPr>
                </pic:pic>
              </a:graphicData>
            </a:graphic>
          </wp:inline>
        </w:drawing>
      </w:r>
    </w:p>
    <w:p w14:paraId="3D9C8990" w14:textId="77777777" w:rsidR="002C13C2" w:rsidRPr="00725A19" w:rsidRDefault="002C13C2" w:rsidP="002C13C2">
      <w:pPr>
        <w:ind w:left="720"/>
        <w:rPr>
          <w:rFonts w:ascii="Palatino Linotype" w:eastAsia="Palatino Linotype" w:hAnsi="Palatino Linotype" w:cs="Palatino Linotype"/>
          <w:color w:val="000000"/>
        </w:rPr>
      </w:pPr>
    </w:p>
    <w:p w14:paraId="39563ACC"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De la imagen insertada, se desprende que, se puede obtener la información </w:t>
      </w:r>
      <w:r w:rsidRPr="00725A19">
        <w:rPr>
          <w:rFonts w:ascii="Palatino Linotype" w:hAnsi="Palatino Linotype"/>
          <w:lang w:val="es-ES"/>
        </w:rPr>
        <w:t>requerida</w:t>
      </w:r>
      <w:r w:rsidRPr="00725A19">
        <w:rPr>
          <w:rFonts w:ascii="Palatino Linotype" w:eastAsia="Palatino Linotype" w:hAnsi="Palatino Linotype" w:cs="Palatino Linotype"/>
        </w:rPr>
        <w:t xml:space="preserve"> por </w:t>
      </w:r>
      <w:r w:rsidRPr="00725A19">
        <w:rPr>
          <w:rFonts w:ascii="Palatino Linotype" w:eastAsia="Palatino Linotype" w:hAnsi="Palatino Linotype" w:cs="Palatino Linotype"/>
          <w:b/>
        </w:rPr>
        <w:t>EL RECURRENTE</w:t>
      </w:r>
      <w:r w:rsidRPr="00725A19">
        <w:rPr>
          <w:rFonts w:ascii="Palatino Linotype" w:eastAsia="Palatino Linotype" w:hAnsi="Palatino Linotype" w:cs="Palatino Linotype"/>
        </w:rPr>
        <w:t xml:space="preserve">; puesto que resulta claro que existe la obligación por parte del </w:t>
      </w:r>
      <w:r w:rsidRPr="00725A19">
        <w:rPr>
          <w:rFonts w:ascii="Palatino Linotype" w:eastAsia="Palatino Linotype" w:hAnsi="Palatino Linotype" w:cs="Palatino Linotype"/>
          <w:b/>
        </w:rPr>
        <w:t>SUJETO OBLIGADO</w:t>
      </w:r>
      <w:r w:rsidRPr="00725A19">
        <w:rPr>
          <w:rFonts w:ascii="Palatino Linotype" w:eastAsia="Palatino Linotype" w:hAnsi="Palatino Linotype" w:cs="Palatino Linotype"/>
        </w:rPr>
        <w:t xml:space="preserve">, de realizar los informes por parte de la </w:t>
      </w:r>
      <w:r w:rsidRPr="00725A19">
        <w:rPr>
          <w:rFonts w:ascii="Palatino Linotype" w:eastAsia="Palatino Linotype" w:hAnsi="Palatino Linotype" w:cs="Palatino Linotype"/>
          <w:b/>
        </w:rPr>
        <w:t>Tesorería Municipal</w:t>
      </w:r>
      <w:r w:rsidRPr="00725A19">
        <w:rPr>
          <w:rFonts w:ascii="Palatino Linotype" w:eastAsia="Palatino Linotype" w:hAnsi="Palatino Linotype" w:cs="Palatino Linotype"/>
        </w:rPr>
        <w:t xml:space="preserve"> para que remita los reportes mensuales al Órgano Superior de Fiscalización del Estado de México de conformidad con el artículo 32 de la Ley de Fiscalización Superior del Estado de México, en los cuales se incluyen los Comprobantes Fiscales Digitales por Internet por concepto de nómina, que comprende la información relativa al pago de las remuneraciones de cada uno de los servidores públicos correspondiente a un periodo determinado, incluyendo el aguinaldo y las gratificaciones; en consecuencia, la información solicitada por </w:t>
      </w:r>
      <w:r w:rsidRPr="00725A19">
        <w:rPr>
          <w:rFonts w:ascii="Palatino Linotype" w:eastAsia="Palatino Linotype" w:hAnsi="Palatino Linotype" w:cs="Palatino Linotype"/>
          <w:b/>
        </w:rPr>
        <w:t>EL RECURRENTE</w:t>
      </w:r>
      <w:r w:rsidRPr="00725A19">
        <w:rPr>
          <w:rFonts w:ascii="Palatino Linotype" w:eastAsia="Palatino Linotype" w:hAnsi="Palatino Linotype" w:cs="Palatino Linotype"/>
        </w:rPr>
        <w:t xml:space="preserve"> debe obrar en los archivos del </w:t>
      </w:r>
      <w:r w:rsidRPr="00725A19">
        <w:rPr>
          <w:rFonts w:ascii="Palatino Linotype" w:eastAsia="Palatino Linotype" w:hAnsi="Palatino Linotype" w:cs="Palatino Linotype"/>
          <w:b/>
        </w:rPr>
        <w:t xml:space="preserve">SUJETO OBLIGADO. </w:t>
      </w:r>
    </w:p>
    <w:p w14:paraId="3C1A63A6" w14:textId="77777777" w:rsidR="002C13C2" w:rsidRPr="00725A19" w:rsidRDefault="002C13C2" w:rsidP="002C13C2">
      <w:pPr>
        <w:spacing w:before="120" w:after="120"/>
        <w:ind w:right="709"/>
        <w:jc w:val="both"/>
        <w:rPr>
          <w:rFonts w:ascii="Palatino Linotype" w:eastAsia="Palatino Linotype" w:hAnsi="Palatino Linotype" w:cs="Palatino Linotype"/>
        </w:rPr>
      </w:pPr>
    </w:p>
    <w:p w14:paraId="5B6DB257"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szCs w:val="20"/>
        </w:rPr>
        <w:lastRenderedPageBreak/>
        <w:t>Sirve</w:t>
      </w:r>
      <w:r w:rsidRPr="00725A19">
        <w:rPr>
          <w:rFonts w:ascii="Palatino Linotype" w:eastAsia="Palatino Linotype" w:hAnsi="Palatino Linotype" w:cs="Palatino Linotype"/>
        </w:rPr>
        <w:t xml:space="preserve"> de sustento por analogía, para justificar la publicidad sobre los datos relativos a los montos por concepto de pago de las remuneraciones, los criterios 01/2003 y 02/2003 emitidos por el Comité de Acceso a la </w:t>
      </w:r>
      <w:r w:rsidRPr="00725A19">
        <w:rPr>
          <w:rFonts w:ascii="Palatino Linotype" w:hAnsi="Palatino Linotype"/>
          <w:lang w:val="es-ES"/>
        </w:rPr>
        <w:t>Información</w:t>
      </w:r>
      <w:r w:rsidRPr="00725A19">
        <w:rPr>
          <w:rFonts w:ascii="Palatino Linotype" w:eastAsia="Palatino Linotype" w:hAnsi="Palatino Linotype" w:cs="Palatino Linotype"/>
        </w:rPr>
        <w:t xml:space="preserve"> Pública y Protección de Datos Personales de la Suprema Corte de Justicia de la Nación que a continuación se citan: </w:t>
      </w:r>
    </w:p>
    <w:p w14:paraId="1A5FA80C" w14:textId="77777777" w:rsidR="002C13C2" w:rsidRPr="00725A19" w:rsidRDefault="002C13C2" w:rsidP="001217E4">
      <w:pPr>
        <w:spacing w:before="160" w:after="200" w:line="276" w:lineRule="auto"/>
        <w:ind w:left="1134" w:right="851"/>
        <w:jc w:val="both"/>
        <w:rPr>
          <w:rFonts w:ascii="Palatino Linotype" w:eastAsia="Palatino Linotype" w:hAnsi="Palatino Linotype" w:cs="Palatino Linotype"/>
          <w:b/>
          <w:i/>
          <w:sz w:val="22"/>
          <w:szCs w:val="22"/>
        </w:rPr>
      </w:pPr>
      <w:r w:rsidRPr="00725A19">
        <w:rPr>
          <w:rFonts w:ascii="Palatino Linotype" w:eastAsia="Palatino Linotype" w:hAnsi="Palatino Linotype" w:cs="Palatino Linotype"/>
          <w:i/>
          <w:sz w:val="22"/>
          <w:szCs w:val="22"/>
        </w:rPr>
        <w:t>“</w:t>
      </w:r>
      <w:r w:rsidRPr="00725A19">
        <w:rPr>
          <w:rFonts w:ascii="Palatino Linotype" w:eastAsia="Palatino Linotype" w:hAnsi="Palatino Linotype" w:cs="Palatino Linotype"/>
          <w:b/>
          <w:i/>
          <w:sz w:val="22"/>
          <w:szCs w:val="22"/>
        </w:rPr>
        <w:t>Criterio 01/2003.</w:t>
      </w:r>
    </w:p>
    <w:p w14:paraId="62BE922C" w14:textId="77777777" w:rsidR="002C13C2" w:rsidRPr="00725A19" w:rsidRDefault="002C13C2" w:rsidP="001217E4">
      <w:pPr>
        <w:spacing w:before="160" w:after="200"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b/>
          <w:i/>
          <w:sz w:val="22"/>
          <w:szCs w:val="22"/>
        </w:rPr>
        <w:t>INGRESOS DE LOS SERVIDORES PÚBLICOS. CONSTITUYEN INFORMACIÓN PÚBLICA AÚN Y CUANDO SU DIFUSIÓN PUEDE AFECTAR LA VIDA O LA SEGURIDAD DE AQUELLOS.</w:t>
      </w:r>
      <w:r w:rsidRPr="00725A19">
        <w:rPr>
          <w:rFonts w:ascii="Palatino Linotype" w:eastAsia="Palatino Linotype" w:hAnsi="Palatino Linotype" w:cs="Palatino Linotype"/>
          <w:i/>
          <w:sz w:val="22"/>
          <w:szCs w:val="22"/>
        </w:rPr>
        <w:t xml:space="preserve"> Si bien el artículo 13, fracción IV, de la Ley Federal de Transparencia y  Acceso  a la información Pública Gubernamental establece que debe clasificarse como información confidencial la que conste en expedientes administrativos cuya difusión  pueda poner en riesgo la vida, la seguridad o la salud de cualquier persona, debe reconocerse que aun y  cuando en ese supuesto podría encuadrar la relativa a las percepciones ordinarias y extraordinaria de los servidores públicos, ello no obsta para reconocer que el legislador estableció en el artículo 7 de ese mismo ordenamiento que la referida información, como una obligación de trasparencia, </w:t>
      </w:r>
      <w:r w:rsidRPr="00725A19">
        <w:rPr>
          <w:rFonts w:ascii="Palatino Linotype" w:eastAsia="Palatino Linotype" w:hAnsi="Palatino Linotype" w:cs="Palatino Linotype"/>
          <w:b/>
          <w:i/>
          <w:sz w:val="22"/>
          <w:szCs w:val="22"/>
        </w:rPr>
        <w:t xml:space="preserve">deben publicarse en medios remotos o locales de comunicación electrónica, lo que se sustenta en el hecho de que el monto de todos los ingresos que recibe un servidor público por desarrollar las labores que les son encomendadas con motivo del desempeño del cargo respecto. Constituyen información pública, en tanto que se trata de erogaciones que realiza un órgano del Estado en base con los recursos que encuentran su origen en mayor medida en las contribuciones aportados por los gobernados </w:t>
      </w:r>
      <w:r w:rsidRPr="00725A19">
        <w:rPr>
          <w:rFonts w:ascii="Palatino Linotype" w:eastAsia="Palatino Linotype" w:hAnsi="Palatino Linotype" w:cs="Palatino Linotype"/>
          <w:i/>
          <w:sz w:val="22"/>
          <w:szCs w:val="22"/>
        </w:rPr>
        <w:t>…”</w:t>
      </w:r>
    </w:p>
    <w:p w14:paraId="43FA9C91" w14:textId="77777777" w:rsidR="002C13C2" w:rsidRPr="00725A19" w:rsidRDefault="002C13C2" w:rsidP="001217E4">
      <w:pPr>
        <w:spacing w:before="360" w:after="200" w:line="276" w:lineRule="auto"/>
        <w:ind w:left="1134" w:right="851"/>
        <w:jc w:val="both"/>
        <w:rPr>
          <w:rFonts w:ascii="Palatino Linotype" w:eastAsia="Palatino Linotype" w:hAnsi="Palatino Linotype" w:cs="Palatino Linotype"/>
          <w:b/>
          <w:i/>
          <w:sz w:val="22"/>
          <w:szCs w:val="22"/>
        </w:rPr>
      </w:pPr>
      <w:r w:rsidRPr="00725A19">
        <w:rPr>
          <w:rFonts w:ascii="Palatino Linotype" w:eastAsia="Palatino Linotype" w:hAnsi="Palatino Linotype" w:cs="Palatino Linotype"/>
          <w:i/>
          <w:sz w:val="22"/>
          <w:szCs w:val="22"/>
        </w:rPr>
        <w:t>“</w:t>
      </w:r>
      <w:r w:rsidRPr="00725A19">
        <w:rPr>
          <w:rFonts w:ascii="Palatino Linotype" w:eastAsia="Palatino Linotype" w:hAnsi="Palatino Linotype" w:cs="Palatino Linotype"/>
          <w:b/>
          <w:i/>
          <w:sz w:val="22"/>
          <w:szCs w:val="22"/>
        </w:rPr>
        <w:t>Criterio 02/2003.</w:t>
      </w:r>
    </w:p>
    <w:p w14:paraId="628A4EC3" w14:textId="52A610CE" w:rsidR="002C13C2" w:rsidRPr="00725A19" w:rsidRDefault="002C13C2" w:rsidP="001217E4">
      <w:pPr>
        <w:spacing w:before="160" w:after="200" w:line="276" w:lineRule="auto"/>
        <w:ind w:left="1134" w:right="851"/>
        <w:jc w:val="both"/>
        <w:rPr>
          <w:rFonts w:ascii="Palatino Linotype" w:eastAsia="Palatino Linotype" w:hAnsi="Palatino Linotype" w:cs="Palatino Linotype"/>
          <w:sz w:val="22"/>
          <w:szCs w:val="22"/>
        </w:rPr>
      </w:pPr>
      <w:r w:rsidRPr="00725A19">
        <w:rPr>
          <w:rFonts w:ascii="Palatino Linotype" w:eastAsia="Palatino Linotype" w:hAnsi="Palatino Linotype" w:cs="Palatino Linotype"/>
          <w:b/>
          <w:i/>
          <w:sz w:val="22"/>
          <w:szCs w:val="22"/>
        </w:rPr>
        <w:lastRenderedPageBreak/>
        <w:t>INGRESOS DE LOS SERVIDORES PÚBLICOS, SON INFORMACIÓN PÚBLICA AÚN Y CUANDO CONSTITUYEN DATOS PERSONALES QUE SE REFIEREN AL PATRIMONIO DE AQUÉLLOS.</w:t>
      </w:r>
      <w:r w:rsidRPr="00725A19">
        <w:rPr>
          <w:rFonts w:ascii="Palatino Linotype" w:eastAsia="Palatino Linotype" w:hAnsi="Palatino Linotype" w:cs="Palatino Linotype"/>
          <w:i/>
          <w:sz w:val="22"/>
          <w:szCs w:val="22"/>
        </w:rPr>
        <w:t xml:space="preserve"> De la interpretación sistemática de lo previsto en los artículos 3º, fracción II; 7º, 9º y 18, fracción II, de la Ley Federal de Transparencia y Acceso a la Información Pública Gubernamental se advierte que no constituye información confidencial la relativa a los ingresos que reciben los servidores públicos, ya que aun y cuando se trata de datos personales relativos a su patrimonio, para su difusión no se requiere consentimiento de aquellos, </w:t>
      </w:r>
      <w:r w:rsidRPr="00725A19">
        <w:rPr>
          <w:rFonts w:ascii="Palatino Linotype" w:eastAsia="Palatino Linotype" w:hAnsi="Palatino Linotype" w:cs="Palatino Linotype"/>
          <w:b/>
          <w:i/>
          <w:sz w:val="22"/>
          <w:szCs w:val="22"/>
        </w:rPr>
        <w:t>lo que deriva del hecho de que en términos de los previsto en el citado ordenamiento deben ponerse a disposición del público a través de medios remotos o locales de comunicación electrónica, tanto el directorio de servidores públicos como las remuneraciones mensuales por puesto incluso</w:t>
      </w:r>
      <w:r w:rsidRPr="00725A19">
        <w:rPr>
          <w:rFonts w:ascii="Palatino Linotype" w:eastAsia="Palatino Linotype" w:hAnsi="Palatino Linotype" w:cs="Palatino Linotype"/>
          <w:i/>
          <w:sz w:val="22"/>
          <w:szCs w:val="22"/>
        </w:rPr>
        <w:t xml:space="preserve"> el sistema de compensación …”</w:t>
      </w:r>
      <w:r w:rsidRPr="00725A19">
        <w:rPr>
          <w:rFonts w:ascii="Palatino Linotype" w:eastAsia="Palatino Linotype" w:hAnsi="Palatino Linotype" w:cs="Palatino Linotype"/>
          <w:sz w:val="22"/>
          <w:szCs w:val="22"/>
        </w:rPr>
        <w:t>(Énfasis añadido)</w:t>
      </w:r>
    </w:p>
    <w:p w14:paraId="621CB958" w14:textId="77777777" w:rsidR="00851563" w:rsidRPr="00725A19" w:rsidRDefault="00851563" w:rsidP="00851563">
      <w:pPr>
        <w:spacing w:line="276" w:lineRule="auto"/>
        <w:ind w:left="1134" w:right="851"/>
        <w:jc w:val="both"/>
        <w:rPr>
          <w:rFonts w:ascii="Palatino Linotype" w:eastAsia="Palatino Linotype" w:hAnsi="Palatino Linotype" w:cs="Palatino Linotype"/>
          <w:sz w:val="22"/>
          <w:szCs w:val="22"/>
        </w:rPr>
      </w:pPr>
    </w:p>
    <w:p w14:paraId="6414FD98"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Ahora bien, toda vez que el </w:t>
      </w:r>
      <w:r w:rsidRPr="00725A19">
        <w:rPr>
          <w:rFonts w:ascii="Palatino Linotype" w:eastAsia="Palatino Linotype" w:hAnsi="Palatino Linotype" w:cs="Palatino Linotype"/>
          <w:b/>
        </w:rPr>
        <w:t xml:space="preserve">RECURRENTE </w:t>
      </w:r>
      <w:r w:rsidRPr="00725A19">
        <w:rPr>
          <w:rFonts w:ascii="Palatino Linotype" w:eastAsia="Palatino Linotype" w:hAnsi="Palatino Linotype" w:cs="Palatino Linotype"/>
        </w:rPr>
        <w:t xml:space="preserve">solicita información de personal eventual, de honorarios y de raya es que se debe de hacer la suplencia de la solicitud de </w:t>
      </w:r>
      <w:r w:rsidRPr="00725A19">
        <w:rPr>
          <w:rFonts w:ascii="Palatino Linotype" w:eastAsia="Palatino Linotype" w:hAnsi="Palatino Linotype" w:cs="Palatino Linotype"/>
          <w:szCs w:val="20"/>
        </w:rPr>
        <w:t>información</w:t>
      </w:r>
      <w:r w:rsidRPr="00725A19">
        <w:rPr>
          <w:rFonts w:ascii="Palatino Linotype" w:eastAsia="Palatino Linotype" w:hAnsi="Palatino Linotype" w:cs="Palatino Linotype"/>
        </w:rPr>
        <w:t>, ya que al no estar en la nómina general es que no se emite un pago por medio del recibo de nómina.</w:t>
      </w:r>
    </w:p>
    <w:p w14:paraId="1451A8A2" w14:textId="77777777" w:rsidR="002C13C2" w:rsidRPr="00725A19" w:rsidRDefault="002C13C2" w:rsidP="002C13C2">
      <w:pPr>
        <w:spacing w:line="360" w:lineRule="auto"/>
        <w:jc w:val="both"/>
        <w:rPr>
          <w:rFonts w:ascii="Palatino Linotype" w:eastAsia="Palatino Linotype" w:hAnsi="Palatino Linotype" w:cs="Palatino Linotype"/>
        </w:rPr>
      </w:pPr>
    </w:p>
    <w:p w14:paraId="1BBEFE5C"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En ese sentido, en cuanto al personal eventual se debe de referir que el personal eventual se relaciona con las listas de raya de acuerdo a lo siguiente. </w:t>
      </w:r>
    </w:p>
    <w:p w14:paraId="0930C90C" w14:textId="77777777" w:rsidR="002C13C2" w:rsidRPr="00725A19" w:rsidRDefault="002C13C2" w:rsidP="002C13C2">
      <w:pPr>
        <w:spacing w:line="360" w:lineRule="auto"/>
        <w:jc w:val="both"/>
        <w:rPr>
          <w:rFonts w:ascii="Palatino Linotype" w:eastAsia="Palatino Linotype" w:hAnsi="Palatino Linotype" w:cs="Palatino Linotype"/>
        </w:rPr>
      </w:pPr>
    </w:p>
    <w:p w14:paraId="2F9D78A0" w14:textId="5844C44C"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En esa </w:t>
      </w:r>
      <w:r w:rsidR="003D70D1" w:rsidRPr="00725A19">
        <w:rPr>
          <w:rFonts w:ascii="Palatino Linotype" w:eastAsia="Palatino Linotype" w:hAnsi="Palatino Linotype" w:cs="Palatino Linotype"/>
          <w:szCs w:val="20"/>
        </w:rPr>
        <w:t>línea</w:t>
      </w:r>
      <w:r w:rsidRPr="00725A19">
        <w:rPr>
          <w:rFonts w:ascii="Palatino Linotype" w:eastAsia="Palatino Linotype" w:hAnsi="Palatino Linotype" w:cs="Palatino Linotype"/>
        </w:rPr>
        <w:t xml:space="preserve">, respecto al personal eventual, este pudiera obrar en la lista de raya; ello en virtud de que como lo contempla el Glosario de Términos Administrativos, de la Coordinación General de Estudios Administrativos del Instituto Nacional de </w:t>
      </w:r>
      <w:r w:rsidRPr="00725A19">
        <w:rPr>
          <w:rFonts w:ascii="Palatino Linotype" w:eastAsia="Palatino Linotype" w:hAnsi="Palatino Linotype" w:cs="Palatino Linotype"/>
        </w:rPr>
        <w:lastRenderedPageBreak/>
        <w:t>Administración Pública, A. C, el concepto de personal de “lista de raya”, resulta aplicable para trabajadores temporales, tal como se infiere el término que se cita a continuación:</w:t>
      </w:r>
    </w:p>
    <w:p w14:paraId="47294C7E" w14:textId="77777777" w:rsidR="002C13C2" w:rsidRPr="00725A19" w:rsidRDefault="002C13C2" w:rsidP="003D70D1">
      <w:pPr>
        <w:pStyle w:val="Prrafodelista"/>
        <w:spacing w:line="276" w:lineRule="auto"/>
        <w:ind w:left="360"/>
        <w:jc w:val="both"/>
        <w:rPr>
          <w:rFonts w:ascii="Palatino Linotype" w:eastAsia="Palatino Linotype" w:hAnsi="Palatino Linotype" w:cs="Palatino Linotype"/>
          <w:sz w:val="22"/>
          <w:szCs w:val="22"/>
        </w:rPr>
      </w:pPr>
    </w:p>
    <w:p w14:paraId="16686AB9" w14:textId="77777777" w:rsidR="002C13C2" w:rsidRPr="00725A19" w:rsidRDefault="002C13C2" w:rsidP="003D70D1">
      <w:pPr>
        <w:pStyle w:val="Prrafodelista"/>
        <w:spacing w:line="276" w:lineRule="auto"/>
        <w:ind w:left="1134" w:right="912"/>
        <w:jc w:val="both"/>
        <w:rPr>
          <w:rFonts w:ascii="Palatino Linotype" w:eastAsia="Palatino Linotype" w:hAnsi="Palatino Linotype" w:cs="Palatino Linotype"/>
          <w:b/>
          <w:i/>
          <w:sz w:val="22"/>
          <w:szCs w:val="22"/>
        </w:rPr>
      </w:pPr>
      <w:r w:rsidRPr="00725A19">
        <w:rPr>
          <w:rFonts w:ascii="Palatino Linotype" w:eastAsia="Palatino Linotype" w:hAnsi="Palatino Linotype" w:cs="Palatino Linotype"/>
          <w:b/>
          <w:i/>
          <w:sz w:val="22"/>
          <w:szCs w:val="22"/>
        </w:rPr>
        <w:t xml:space="preserve">“PERSONAL A LISTA DE RAYA. Lo integran los trabajadores temporales cuya relación laboral se formaliza por su inclusión en nómina o documentos denominados "Lista de Raya" y que, por lo tanto, carecen de nombramiento.” </w:t>
      </w:r>
      <w:r w:rsidRPr="00725A19">
        <w:rPr>
          <w:rFonts w:ascii="Palatino Linotype" w:eastAsia="Palatino Linotype" w:hAnsi="Palatino Linotype" w:cs="Palatino Linotype"/>
          <w:i/>
          <w:sz w:val="22"/>
          <w:szCs w:val="22"/>
        </w:rPr>
        <w:t xml:space="preserve">(Énfasis añadido) </w:t>
      </w:r>
    </w:p>
    <w:p w14:paraId="3ED2F2BB" w14:textId="77777777" w:rsidR="002C13C2" w:rsidRPr="00725A19" w:rsidRDefault="002C13C2" w:rsidP="002C13C2">
      <w:pPr>
        <w:pStyle w:val="Prrafodelista"/>
        <w:spacing w:line="360" w:lineRule="auto"/>
        <w:ind w:left="360"/>
        <w:jc w:val="both"/>
        <w:rPr>
          <w:rFonts w:ascii="Palatino Linotype" w:eastAsia="Palatino Linotype" w:hAnsi="Palatino Linotype" w:cs="Palatino Linotype"/>
        </w:rPr>
      </w:pPr>
    </w:p>
    <w:p w14:paraId="3DB6BA43"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Así como se apuntó, si bien nuestra legislación no establece la definición de “lista de </w:t>
      </w:r>
      <w:r w:rsidRPr="00725A19">
        <w:rPr>
          <w:rFonts w:ascii="Palatino Linotype" w:eastAsia="Palatino Linotype" w:hAnsi="Palatino Linotype" w:cs="Palatino Linotype"/>
          <w:szCs w:val="20"/>
        </w:rPr>
        <w:t>raya</w:t>
      </w:r>
      <w:r w:rsidRPr="00725A19">
        <w:rPr>
          <w:rFonts w:ascii="Palatino Linotype" w:eastAsia="Palatino Linotype" w:hAnsi="Palatino Linotype" w:cs="Palatino Linotype"/>
        </w:rPr>
        <w:t xml:space="preserve">” o “nómina de personal”, estos términos son mencionados en diferentes ordenamientos legales; por ejemplo, en el artículo 804 en su fracción II de la Ley Federal de Trabajo señala: </w:t>
      </w:r>
    </w:p>
    <w:p w14:paraId="26147D60" w14:textId="77777777" w:rsidR="002C13C2" w:rsidRPr="00725A19" w:rsidRDefault="002C13C2" w:rsidP="002178C5">
      <w:pPr>
        <w:pStyle w:val="Prrafodelista"/>
        <w:spacing w:line="276" w:lineRule="auto"/>
        <w:ind w:left="360"/>
        <w:jc w:val="both"/>
        <w:rPr>
          <w:rFonts w:ascii="Palatino Linotype" w:eastAsia="Palatino Linotype" w:hAnsi="Palatino Linotype" w:cs="Palatino Linotype"/>
        </w:rPr>
      </w:pPr>
    </w:p>
    <w:p w14:paraId="7B1A87F7" w14:textId="77777777" w:rsidR="002C13C2" w:rsidRPr="00725A19" w:rsidRDefault="002C13C2" w:rsidP="002178C5">
      <w:pPr>
        <w:pStyle w:val="Prrafodelista"/>
        <w:spacing w:line="276" w:lineRule="auto"/>
        <w:ind w:left="1276" w:right="912"/>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 xml:space="preserve">“Artículo 804.- El patrón tiene obligación de conservar y exhibir en juicio los documentos que a continuación se precisan: </w:t>
      </w:r>
    </w:p>
    <w:p w14:paraId="43DF027F" w14:textId="77777777" w:rsidR="002C13C2" w:rsidRPr="00725A19" w:rsidRDefault="002C13C2" w:rsidP="002178C5">
      <w:pPr>
        <w:pStyle w:val="Prrafodelista"/>
        <w:spacing w:line="276" w:lineRule="auto"/>
        <w:ind w:left="1276" w:right="912"/>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 xml:space="preserve">… </w:t>
      </w:r>
    </w:p>
    <w:p w14:paraId="5D6F8E0A" w14:textId="77777777" w:rsidR="002C13C2" w:rsidRPr="00725A19" w:rsidRDefault="002C13C2" w:rsidP="002178C5">
      <w:pPr>
        <w:pStyle w:val="Prrafodelista"/>
        <w:spacing w:line="276" w:lineRule="auto"/>
        <w:ind w:left="1276" w:right="912"/>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b/>
          <w:i/>
          <w:sz w:val="22"/>
          <w:szCs w:val="22"/>
          <w:u w:val="single"/>
        </w:rPr>
        <w:t>II. Listas de raya</w:t>
      </w:r>
      <w:r w:rsidRPr="00725A19">
        <w:rPr>
          <w:rFonts w:ascii="Palatino Linotype" w:eastAsia="Palatino Linotype" w:hAnsi="Palatino Linotype" w:cs="Palatino Linotype"/>
          <w:i/>
          <w:sz w:val="22"/>
          <w:szCs w:val="22"/>
        </w:rPr>
        <w:t xml:space="preserve"> o nómina de personal, cuando se lleven en el centro de trabajo; o recibos de pagos de salarios; </w:t>
      </w:r>
    </w:p>
    <w:p w14:paraId="1BA8EF8D" w14:textId="77777777" w:rsidR="002C13C2" w:rsidRPr="00725A19" w:rsidRDefault="002C13C2" w:rsidP="002178C5">
      <w:pPr>
        <w:pStyle w:val="Prrafodelista"/>
        <w:spacing w:line="276" w:lineRule="auto"/>
        <w:ind w:left="1276" w:right="912"/>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 xml:space="preserve">… </w:t>
      </w:r>
    </w:p>
    <w:p w14:paraId="3AFAA680" w14:textId="77777777" w:rsidR="002C13C2" w:rsidRPr="00725A19" w:rsidRDefault="002C13C2" w:rsidP="002178C5">
      <w:pPr>
        <w:pStyle w:val="Prrafodelista"/>
        <w:spacing w:line="276" w:lineRule="auto"/>
        <w:ind w:left="1276" w:right="912"/>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Los documentos señalados en la fracción I deberán conservarse mientras dure la relación laboral y hasta un año después; los señalados en las fracciones II, III y IV, durante el último año y un año después de que se extinga la relación laboral; y los mencionados en la fracción V, conforme lo señalen las Leyes que los rijan.” (Énfasis añadido)</w:t>
      </w:r>
    </w:p>
    <w:p w14:paraId="3CD251C5" w14:textId="77777777" w:rsidR="002C13C2" w:rsidRPr="00725A19" w:rsidRDefault="002C13C2" w:rsidP="00721765">
      <w:pPr>
        <w:pStyle w:val="Prrafodelista"/>
        <w:spacing w:line="360" w:lineRule="auto"/>
        <w:ind w:left="1276"/>
        <w:jc w:val="both"/>
        <w:rPr>
          <w:rFonts w:ascii="Palatino Linotype" w:eastAsia="Palatino Linotype" w:hAnsi="Palatino Linotype" w:cs="Palatino Linotype"/>
        </w:rPr>
      </w:pPr>
    </w:p>
    <w:p w14:paraId="6B97C12A"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lastRenderedPageBreak/>
        <w:t>De lo establecido en dicho precepto legal, se advierte que la lista de raya consiste en registros conformados por el conjunto de trabajadores a los cuales se les va a remunerar por los servicios que éstos le prestan al patrón, en el cual se asientan las percepciones brutas, deducciones y el neto a recibir de dichos trabajadores, con la única especificación de que la lista de raya refiere únicamente a los trabajadores temporales.</w:t>
      </w:r>
    </w:p>
    <w:p w14:paraId="37DA56DA" w14:textId="77777777" w:rsidR="002C13C2" w:rsidRPr="00725A19" w:rsidRDefault="002C13C2" w:rsidP="002C13C2">
      <w:pPr>
        <w:pStyle w:val="Prrafodelista"/>
        <w:spacing w:line="360" w:lineRule="auto"/>
        <w:ind w:left="360"/>
        <w:jc w:val="both"/>
        <w:rPr>
          <w:rFonts w:ascii="Palatino Linotype" w:eastAsia="Palatino Linotype" w:hAnsi="Palatino Linotype" w:cs="Palatino Linotype"/>
        </w:rPr>
      </w:pPr>
    </w:p>
    <w:p w14:paraId="4E42C6EE"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En relación a ello, el artículo 50 de la Ley del Trabajo de los Servidores Públicos del Estado y Municipios, señala: </w:t>
      </w:r>
    </w:p>
    <w:p w14:paraId="72D67B37" w14:textId="77777777" w:rsidR="002C13C2" w:rsidRPr="00725A19" w:rsidRDefault="002C13C2" w:rsidP="002C13C2">
      <w:pPr>
        <w:pStyle w:val="Prrafodelista"/>
        <w:ind w:left="1134" w:right="900"/>
        <w:jc w:val="both"/>
        <w:rPr>
          <w:rFonts w:ascii="Palatino Linotype" w:eastAsia="Palatino Linotype" w:hAnsi="Palatino Linotype" w:cs="Palatino Linotype"/>
        </w:rPr>
      </w:pPr>
    </w:p>
    <w:p w14:paraId="2941D642" w14:textId="77777777" w:rsidR="002C13C2" w:rsidRPr="00725A19" w:rsidRDefault="002C13C2" w:rsidP="00EB05F1">
      <w:pPr>
        <w:pStyle w:val="Prrafodelista"/>
        <w:spacing w:line="276" w:lineRule="auto"/>
        <w:ind w:left="1134" w:right="900"/>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 xml:space="preserve">“Artículo 50.- El nombramiento, contrato o formato único de Movimientos de Personal aceptado obliga al servidor público a cumplir con los deberes inherentes al puesto especificado en el mismo y a las consecuencias que sean conforme a la ley, al uso y a la buena fe. </w:t>
      </w:r>
    </w:p>
    <w:p w14:paraId="5DC55D65" w14:textId="77777777" w:rsidR="002C13C2" w:rsidRPr="00725A19" w:rsidRDefault="002C13C2" w:rsidP="00EB05F1">
      <w:pPr>
        <w:pStyle w:val="Prrafodelista"/>
        <w:spacing w:line="276" w:lineRule="auto"/>
        <w:ind w:left="1134" w:right="900"/>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I</w:t>
      </w:r>
      <w:r w:rsidRPr="00725A19">
        <w:rPr>
          <w:rFonts w:ascii="Palatino Linotype" w:eastAsia="Palatino Linotype" w:hAnsi="Palatino Linotype" w:cs="Palatino Linotype"/>
          <w:b/>
          <w:i/>
          <w:sz w:val="22"/>
          <w:szCs w:val="22"/>
          <w:u w:val="single"/>
        </w:rPr>
        <w:t>guales consecuencias se generarán para todos los servidores públicos, cuando la relación de trabajo se formalice mediante un contrato o por encontrarse en lista de raya</w:t>
      </w:r>
      <w:r w:rsidRPr="00725A19">
        <w:rPr>
          <w:rFonts w:ascii="Palatino Linotype" w:eastAsia="Palatino Linotype" w:hAnsi="Palatino Linotype" w:cs="Palatino Linotype"/>
          <w:i/>
          <w:sz w:val="22"/>
          <w:szCs w:val="22"/>
        </w:rPr>
        <w:t xml:space="preserve">.” </w:t>
      </w:r>
    </w:p>
    <w:p w14:paraId="779CC71A" w14:textId="77777777" w:rsidR="002C13C2" w:rsidRPr="00725A19" w:rsidRDefault="002C13C2" w:rsidP="00EB05F1">
      <w:pPr>
        <w:pStyle w:val="Prrafodelista"/>
        <w:spacing w:line="276" w:lineRule="auto"/>
        <w:ind w:left="1134" w:right="900"/>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 xml:space="preserve">(Énfasis añadido) </w:t>
      </w:r>
    </w:p>
    <w:p w14:paraId="548F215C" w14:textId="77777777" w:rsidR="002C13C2" w:rsidRPr="00725A19" w:rsidRDefault="002C13C2" w:rsidP="002C13C2">
      <w:pPr>
        <w:pStyle w:val="Prrafodelista"/>
        <w:spacing w:line="360" w:lineRule="auto"/>
        <w:ind w:left="360"/>
        <w:jc w:val="both"/>
        <w:rPr>
          <w:rFonts w:ascii="Palatino Linotype" w:eastAsia="Palatino Linotype" w:hAnsi="Palatino Linotype" w:cs="Palatino Linotype"/>
        </w:rPr>
      </w:pPr>
    </w:p>
    <w:p w14:paraId="11FFBC70"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De lo anterior, se advierte que la relación de trabajo de un servidor público se formaliza mediante nombramiento, contrato, formato único de movimientos de personal y </w:t>
      </w:r>
      <w:r w:rsidRPr="00725A19">
        <w:rPr>
          <w:rFonts w:ascii="Palatino Linotype" w:eastAsia="Palatino Linotype" w:hAnsi="Palatino Linotype" w:cs="Palatino Linotype"/>
          <w:szCs w:val="20"/>
        </w:rPr>
        <w:t>lo</w:t>
      </w:r>
      <w:r w:rsidRPr="00725A19">
        <w:rPr>
          <w:rFonts w:ascii="Palatino Linotype" w:eastAsia="Palatino Linotype" w:hAnsi="Palatino Linotype" w:cs="Palatino Linotype"/>
        </w:rPr>
        <w:t xml:space="preserve"> referente a la lista de raya es por cuanto a la forma de pago del personal por contrato. Una vez puntualizado lo anterior, se colige que la lista de raya contiene la información relativa a las remuneraciones de los servidores públicos temporales. </w:t>
      </w:r>
    </w:p>
    <w:p w14:paraId="1AECCB63" w14:textId="77777777" w:rsidR="002C13C2" w:rsidRPr="00725A19" w:rsidRDefault="002C13C2" w:rsidP="002C13C2">
      <w:pPr>
        <w:pStyle w:val="Prrafodelista"/>
        <w:spacing w:line="360" w:lineRule="auto"/>
        <w:ind w:left="360"/>
        <w:jc w:val="both"/>
        <w:rPr>
          <w:rFonts w:ascii="Palatino Linotype" w:eastAsia="Palatino Linotype" w:hAnsi="Palatino Linotype" w:cs="Palatino Linotype"/>
        </w:rPr>
      </w:pPr>
    </w:p>
    <w:p w14:paraId="09435F5F"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pPr>
      <w:r w:rsidRPr="00725A19">
        <w:rPr>
          <w:rFonts w:ascii="Palatino Linotype" w:hAnsi="Palatino Linotype"/>
          <w:color w:val="000000"/>
        </w:rPr>
        <w:lastRenderedPageBreak/>
        <w:t xml:space="preserve">Sin embargo, toda vez que la normatividad aplicable al caso concreto no establece de manera precisa como una obligación el contar con personal eventual para la generación </w:t>
      </w:r>
      <w:r w:rsidRPr="00725A19">
        <w:rPr>
          <w:rFonts w:ascii="Palatino Linotype" w:eastAsia="Palatino Linotype" w:hAnsi="Palatino Linotype" w:cs="Palatino Linotype"/>
        </w:rPr>
        <w:t>de</w:t>
      </w:r>
      <w:r w:rsidRPr="00725A19">
        <w:rPr>
          <w:rFonts w:ascii="Palatino Linotype" w:hAnsi="Palatino Linotype"/>
          <w:color w:val="000000"/>
        </w:rPr>
        <w:t xml:space="preserve"> listas de raya, en el caso de que no se llegara a localizar información por no actualizarse el supuesto, bastará con que así se haga del </w:t>
      </w:r>
      <w:r w:rsidRPr="00725A19">
        <w:rPr>
          <w:rFonts w:ascii="Palatino Linotype" w:eastAsia="Palatino Linotype" w:hAnsi="Palatino Linotype" w:cs="Palatino Linotype"/>
          <w:szCs w:val="20"/>
        </w:rPr>
        <w:t>conocimiento</w:t>
      </w:r>
      <w:r w:rsidRPr="00725A19">
        <w:rPr>
          <w:rFonts w:ascii="Palatino Linotype" w:hAnsi="Palatino Linotype"/>
          <w:color w:val="000000"/>
        </w:rPr>
        <w:t xml:space="preserve"> de la persona solicitante para tener por colmado su derecho de acceso a la información, en términos de lo dispuesto por el artículo 19, párrafo segundo de la Ley de Transparencia y Acceso a la Información Pública del Estado de México y Municipios. </w:t>
      </w:r>
    </w:p>
    <w:p w14:paraId="599D6D23" w14:textId="77777777" w:rsidR="002C13C2" w:rsidRPr="00725A19" w:rsidRDefault="002C13C2" w:rsidP="002C13C2">
      <w:pPr>
        <w:spacing w:line="360" w:lineRule="auto"/>
        <w:jc w:val="both"/>
      </w:pPr>
    </w:p>
    <w:p w14:paraId="0770CBEF"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Ahora bien, respecto al personal eventual, este pudiera obrar en la lista de raya; ello en virtud de que como lo contempla el Glosario de Términos Administrativos, de la Coordinación General de Estudios Administrativos del Instituto Nacional de Administración Pública, A. C, el concepto de personal de “lista de raya”, resulta aplicable para trabajadores temporales, tal como se infiere el término que se cita a continuación:</w:t>
      </w:r>
    </w:p>
    <w:p w14:paraId="0D4C38BD" w14:textId="77777777" w:rsidR="002C13C2" w:rsidRPr="00725A19" w:rsidRDefault="002C13C2" w:rsidP="0084063F">
      <w:pPr>
        <w:spacing w:line="276" w:lineRule="auto"/>
        <w:ind w:left="1134" w:right="900"/>
        <w:jc w:val="both"/>
        <w:rPr>
          <w:rFonts w:ascii="Palatino Linotype" w:eastAsia="Palatino Linotype" w:hAnsi="Palatino Linotype" w:cs="Palatino Linotype"/>
        </w:rPr>
      </w:pPr>
    </w:p>
    <w:p w14:paraId="402964E1" w14:textId="77777777" w:rsidR="002C13C2" w:rsidRPr="00725A19" w:rsidRDefault="002C13C2" w:rsidP="0084063F">
      <w:pPr>
        <w:spacing w:line="276" w:lineRule="auto"/>
        <w:ind w:left="1134" w:right="900"/>
        <w:jc w:val="both"/>
        <w:rPr>
          <w:rFonts w:ascii="Palatino Linotype" w:eastAsia="Palatino Linotype" w:hAnsi="Palatino Linotype" w:cs="Palatino Linotype"/>
          <w:b/>
          <w:i/>
          <w:sz w:val="22"/>
          <w:szCs w:val="22"/>
        </w:rPr>
      </w:pPr>
      <w:r w:rsidRPr="00725A19">
        <w:rPr>
          <w:rFonts w:ascii="Palatino Linotype" w:eastAsia="Palatino Linotype" w:hAnsi="Palatino Linotype" w:cs="Palatino Linotype"/>
          <w:b/>
          <w:i/>
          <w:sz w:val="22"/>
          <w:szCs w:val="22"/>
        </w:rPr>
        <w:t xml:space="preserve">“PERSONAL A LISTA DE RAYA. Lo integran los trabajadores temporales cuya relación laboral se formaliza por su inclusión en nómina o documentos denominados "Lista de Raya" y que, por lo tanto, carecen de nombramiento.” </w:t>
      </w:r>
      <w:r w:rsidRPr="00725A19">
        <w:rPr>
          <w:rFonts w:ascii="Palatino Linotype" w:eastAsia="Palatino Linotype" w:hAnsi="Palatino Linotype" w:cs="Palatino Linotype"/>
          <w:i/>
          <w:sz w:val="22"/>
          <w:szCs w:val="22"/>
        </w:rPr>
        <w:t xml:space="preserve">(Énfasis añadido) </w:t>
      </w:r>
    </w:p>
    <w:p w14:paraId="0F0FEAC0" w14:textId="77777777" w:rsidR="002C13C2" w:rsidRPr="00725A19" w:rsidRDefault="002C13C2" w:rsidP="002C13C2">
      <w:pPr>
        <w:spacing w:line="360" w:lineRule="auto"/>
        <w:jc w:val="both"/>
        <w:rPr>
          <w:rFonts w:ascii="Palatino Linotype" w:eastAsia="Palatino Linotype" w:hAnsi="Palatino Linotype" w:cs="Palatino Linotype"/>
        </w:rPr>
      </w:pPr>
    </w:p>
    <w:p w14:paraId="70AD8783"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Así como se apuntó, si bien nuestra legislación no establece la definición de “lista de raya” o “nómina de personal”, estos términos son mencionados en diferentes </w:t>
      </w:r>
      <w:r w:rsidRPr="00725A19">
        <w:rPr>
          <w:rFonts w:ascii="Palatino Linotype" w:eastAsia="Palatino Linotype" w:hAnsi="Palatino Linotype" w:cs="Palatino Linotype"/>
        </w:rPr>
        <w:lastRenderedPageBreak/>
        <w:t xml:space="preserve">ordenamientos legales; por ejemplo, en el artículo 804 en su fracción II de la Ley </w:t>
      </w:r>
      <w:r w:rsidRPr="00725A19">
        <w:rPr>
          <w:rFonts w:ascii="Palatino Linotype" w:eastAsia="Palatino Linotype" w:hAnsi="Palatino Linotype" w:cs="Palatino Linotype"/>
          <w:szCs w:val="20"/>
        </w:rPr>
        <w:t>Federal</w:t>
      </w:r>
      <w:r w:rsidRPr="00725A19">
        <w:rPr>
          <w:rFonts w:ascii="Palatino Linotype" w:eastAsia="Palatino Linotype" w:hAnsi="Palatino Linotype" w:cs="Palatino Linotype"/>
        </w:rPr>
        <w:t xml:space="preserve"> de Trabajo señala: </w:t>
      </w:r>
    </w:p>
    <w:p w14:paraId="4C349C88" w14:textId="77777777" w:rsidR="002C13C2" w:rsidRPr="00725A19" w:rsidRDefault="002C13C2" w:rsidP="0084063F">
      <w:pPr>
        <w:spacing w:line="276" w:lineRule="auto"/>
        <w:jc w:val="both"/>
        <w:rPr>
          <w:rFonts w:ascii="Palatino Linotype" w:eastAsia="Palatino Linotype" w:hAnsi="Palatino Linotype" w:cs="Palatino Linotype"/>
          <w:sz w:val="22"/>
          <w:szCs w:val="22"/>
        </w:rPr>
      </w:pPr>
    </w:p>
    <w:p w14:paraId="1965F5A2" w14:textId="77777777" w:rsidR="002C13C2" w:rsidRPr="00725A19" w:rsidRDefault="002C13C2" w:rsidP="0084063F">
      <w:pPr>
        <w:spacing w:line="276" w:lineRule="auto"/>
        <w:ind w:left="1134" w:right="912"/>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 xml:space="preserve">“Artículo 804.- El patrón tiene obligación de conservar y exhibir en juicio los documentos que a continuación se precisan: </w:t>
      </w:r>
    </w:p>
    <w:p w14:paraId="778D14BA" w14:textId="77777777" w:rsidR="002C13C2" w:rsidRPr="00725A19" w:rsidRDefault="002C13C2" w:rsidP="0084063F">
      <w:pPr>
        <w:spacing w:line="276" w:lineRule="auto"/>
        <w:ind w:left="1134" w:right="912"/>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 xml:space="preserve">… </w:t>
      </w:r>
    </w:p>
    <w:p w14:paraId="7A610B58" w14:textId="77777777" w:rsidR="002C13C2" w:rsidRPr="00725A19" w:rsidRDefault="002C13C2" w:rsidP="0084063F">
      <w:pPr>
        <w:spacing w:line="276" w:lineRule="auto"/>
        <w:ind w:left="1134" w:right="912"/>
        <w:jc w:val="both"/>
        <w:rPr>
          <w:rFonts w:ascii="Palatino Linotype" w:eastAsia="Palatino Linotype" w:hAnsi="Palatino Linotype" w:cs="Palatino Linotype"/>
          <w:b/>
          <w:i/>
          <w:sz w:val="22"/>
          <w:szCs w:val="22"/>
        </w:rPr>
      </w:pPr>
      <w:r w:rsidRPr="00725A19">
        <w:rPr>
          <w:rFonts w:ascii="Palatino Linotype" w:eastAsia="Palatino Linotype" w:hAnsi="Palatino Linotype" w:cs="Palatino Linotype"/>
          <w:b/>
          <w:i/>
          <w:sz w:val="22"/>
          <w:szCs w:val="22"/>
          <w:u w:val="single"/>
        </w:rPr>
        <w:t>II. Listas de raya</w:t>
      </w:r>
      <w:r w:rsidRPr="00725A19">
        <w:rPr>
          <w:rFonts w:ascii="Palatino Linotype" w:eastAsia="Palatino Linotype" w:hAnsi="Palatino Linotype" w:cs="Palatino Linotype"/>
          <w:b/>
          <w:i/>
          <w:sz w:val="22"/>
          <w:szCs w:val="22"/>
        </w:rPr>
        <w:t xml:space="preserve"> o nómina de personal, cuando se lleven en el centro de trabajo; o recibos de pagos de salarios; </w:t>
      </w:r>
    </w:p>
    <w:p w14:paraId="77FD1ED5" w14:textId="77777777" w:rsidR="002C13C2" w:rsidRPr="00725A19" w:rsidRDefault="002C13C2" w:rsidP="0084063F">
      <w:pPr>
        <w:spacing w:line="276" w:lineRule="auto"/>
        <w:ind w:left="1134" w:right="912"/>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 xml:space="preserve">… </w:t>
      </w:r>
    </w:p>
    <w:p w14:paraId="4494D8ED" w14:textId="77777777" w:rsidR="002C13C2" w:rsidRPr="00725A19" w:rsidRDefault="002C13C2" w:rsidP="0084063F">
      <w:pPr>
        <w:spacing w:line="276" w:lineRule="auto"/>
        <w:ind w:left="1134" w:right="912"/>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Los documentos señalados en la fracción I deberán conservarse mientras dure la relación laboral y hasta un año después; los señalados en las fracciones II, III y IV, durante el último año y un año después de que se extinga la relación laboral; y los mencionados en la fracción V, conforme lo señalen las Leyes que los rijan.” (Énfasis añadido)</w:t>
      </w:r>
    </w:p>
    <w:p w14:paraId="1D52C634" w14:textId="77777777" w:rsidR="002C13C2" w:rsidRPr="00725A19" w:rsidRDefault="002C13C2" w:rsidP="002C13C2">
      <w:pPr>
        <w:spacing w:line="360" w:lineRule="auto"/>
        <w:ind w:left="1134"/>
        <w:jc w:val="both"/>
        <w:rPr>
          <w:rFonts w:ascii="Palatino Linotype" w:eastAsia="Palatino Linotype" w:hAnsi="Palatino Linotype" w:cs="Palatino Linotype"/>
        </w:rPr>
      </w:pPr>
    </w:p>
    <w:p w14:paraId="0B8A8505"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De lo establecido en dicho precepto legal, se advierte que la lista de raya consiste </w:t>
      </w:r>
      <w:r w:rsidRPr="00725A19">
        <w:rPr>
          <w:rFonts w:ascii="Palatino Linotype" w:eastAsia="Palatino Linotype" w:hAnsi="Palatino Linotype" w:cs="Palatino Linotype"/>
          <w:szCs w:val="20"/>
        </w:rPr>
        <w:t>en</w:t>
      </w:r>
      <w:r w:rsidRPr="00725A19">
        <w:rPr>
          <w:rFonts w:ascii="Palatino Linotype" w:eastAsia="Palatino Linotype" w:hAnsi="Palatino Linotype" w:cs="Palatino Linotype"/>
        </w:rPr>
        <w:t xml:space="preserve"> registros conformados por el conjunto de trabajadores a los cuales se les va a remunerar por los servicios que éstos le prestan al patrón, en el cual se asientan las percepciones brutas, deducciones y el neto a recibir de dichos trabajadores, con la única especificación de que la lista de raya refiere únicamente a los trabajadores temporales.</w:t>
      </w:r>
    </w:p>
    <w:p w14:paraId="5C1DD945" w14:textId="77777777" w:rsidR="002C13C2" w:rsidRPr="00725A19" w:rsidRDefault="002C13C2" w:rsidP="002C13C2">
      <w:pPr>
        <w:spacing w:line="360" w:lineRule="auto"/>
        <w:jc w:val="both"/>
        <w:rPr>
          <w:rFonts w:ascii="Palatino Linotype" w:eastAsia="Palatino Linotype" w:hAnsi="Palatino Linotype" w:cs="Palatino Linotype"/>
        </w:rPr>
      </w:pPr>
    </w:p>
    <w:p w14:paraId="00251EB6"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En relación a ello, el artículo 50 de la Ley del Trabajo de los Servidores Públicos del Estado y Municipios, señala: </w:t>
      </w:r>
    </w:p>
    <w:p w14:paraId="2B17DC26" w14:textId="77777777" w:rsidR="002C13C2" w:rsidRPr="00725A19" w:rsidRDefault="002C13C2" w:rsidP="0030008C">
      <w:pPr>
        <w:spacing w:line="276" w:lineRule="auto"/>
        <w:ind w:left="1134" w:right="900"/>
        <w:jc w:val="both"/>
        <w:rPr>
          <w:rFonts w:ascii="Palatino Linotype" w:eastAsia="Palatino Linotype" w:hAnsi="Palatino Linotype" w:cs="Palatino Linotype"/>
          <w:sz w:val="22"/>
          <w:szCs w:val="22"/>
        </w:rPr>
      </w:pPr>
    </w:p>
    <w:p w14:paraId="4D6561D7" w14:textId="77777777" w:rsidR="002C13C2" w:rsidRPr="00725A19" w:rsidRDefault="002C13C2" w:rsidP="0030008C">
      <w:pPr>
        <w:spacing w:line="276" w:lineRule="auto"/>
        <w:ind w:left="1134" w:right="900"/>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lastRenderedPageBreak/>
        <w:t xml:space="preserve">“Artículo 50.- El nombramiento, contrato o formato único de Movimientos de Personal aceptado obliga al servidor público a cumplir con los deberes inherentes al puesto especificado en el mismo y a las consecuencias que sean conforme a la ley, al uso y a la buena fe. </w:t>
      </w:r>
    </w:p>
    <w:p w14:paraId="45675AA2" w14:textId="77777777" w:rsidR="002C13C2" w:rsidRPr="00725A19" w:rsidRDefault="002C13C2" w:rsidP="0030008C">
      <w:pPr>
        <w:spacing w:line="276" w:lineRule="auto"/>
        <w:ind w:left="1134" w:right="900"/>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I</w:t>
      </w:r>
      <w:r w:rsidRPr="00725A19">
        <w:rPr>
          <w:rFonts w:ascii="Palatino Linotype" w:eastAsia="Palatino Linotype" w:hAnsi="Palatino Linotype" w:cs="Palatino Linotype"/>
          <w:b/>
          <w:i/>
          <w:sz w:val="22"/>
          <w:szCs w:val="22"/>
          <w:u w:val="single"/>
        </w:rPr>
        <w:t>guales consecuencias se generarán para todos los servidores públicos, cuando la relación de trabajo se formalice mediante un contrato o por encontrarse en lista de raya</w:t>
      </w:r>
      <w:r w:rsidRPr="00725A19">
        <w:rPr>
          <w:rFonts w:ascii="Palatino Linotype" w:eastAsia="Palatino Linotype" w:hAnsi="Palatino Linotype" w:cs="Palatino Linotype"/>
          <w:i/>
          <w:sz w:val="22"/>
          <w:szCs w:val="22"/>
        </w:rPr>
        <w:t xml:space="preserve">.” </w:t>
      </w:r>
    </w:p>
    <w:p w14:paraId="290CD76A" w14:textId="77777777" w:rsidR="002C13C2" w:rsidRPr="00725A19" w:rsidRDefault="002C13C2" w:rsidP="0030008C">
      <w:pPr>
        <w:spacing w:line="276" w:lineRule="auto"/>
        <w:ind w:left="1134" w:right="900"/>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 xml:space="preserve">(Énfasis añadido) </w:t>
      </w:r>
    </w:p>
    <w:p w14:paraId="6CB0B9D3" w14:textId="77777777" w:rsidR="002C13C2" w:rsidRPr="00725A19" w:rsidRDefault="002C13C2" w:rsidP="002C13C2">
      <w:pPr>
        <w:spacing w:line="360" w:lineRule="auto"/>
        <w:jc w:val="both"/>
        <w:rPr>
          <w:rFonts w:ascii="Palatino Linotype" w:eastAsia="Palatino Linotype" w:hAnsi="Palatino Linotype" w:cs="Palatino Linotype"/>
        </w:rPr>
      </w:pPr>
    </w:p>
    <w:p w14:paraId="52D5B5F5"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De lo </w:t>
      </w:r>
      <w:r w:rsidRPr="00725A19">
        <w:rPr>
          <w:rFonts w:ascii="Palatino Linotype" w:eastAsia="Palatino Linotype" w:hAnsi="Palatino Linotype" w:cs="Palatino Linotype"/>
          <w:szCs w:val="20"/>
        </w:rPr>
        <w:t>anterior</w:t>
      </w:r>
      <w:r w:rsidRPr="00725A19">
        <w:rPr>
          <w:rFonts w:ascii="Palatino Linotype" w:eastAsia="Palatino Linotype" w:hAnsi="Palatino Linotype" w:cs="Palatino Linotype"/>
        </w:rPr>
        <w:t xml:space="preserve">, se advierte que la relación de trabajo de un servidor público se formaliza mediante nombramiento, contrato, formato único de movimientos de personal y lo referente a la lista de raya es por cuanto a la forma de pago del personal por contrato. Una vez puntualizado lo anterior, se colige que la lista de raya contiene la información relativa a las remuneraciones de los servidores públicos temporales. </w:t>
      </w:r>
    </w:p>
    <w:p w14:paraId="6BB25DD4" w14:textId="77777777" w:rsidR="002C13C2" w:rsidRPr="00725A19" w:rsidRDefault="002C13C2" w:rsidP="002C13C2">
      <w:pPr>
        <w:spacing w:line="360" w:lineRule="auto"/>
        <w:jc w:val="both"/>
        <w:rPr>
          <w:rFonts w:ascii="Palatino Linotype" w:eastAsia="Palatino Linotype" w:hAnsi="Palatino Linotype" w:cs="Palatino Linotype"/>
        </w:rPr>
      </w:pPr>
    </w:p>
    <w:p w14:paraId="34C68873"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Ahora bien, se debe de señalar que de la información solicitada por el </w:t>
      </w:r>
      <w:r w:rsidRPr="00725A19">
        <w:rPr>
          <w:rFonts w:ascii="Palatino Linotype" w:eastAsia="Palatino Linotype" w:hAnsi="Palatino Linotype" w:cs="Palatino Linotype"/>
          <w:b/>
        </w:rPr>
        <w:t xml:space="preserve">RECURRENTE </w:t>
      </w:r>
      <w:r w:rsidRPr="00725A19">
        <w:rPr>
          <w:rFonts w:ascii="Palatino Linotype" w:eastAsia="Palatino Linotype" w:hAnsi="Palatino Linotype" w:cs="Palatino Linotype"/>
          <w:szCs w:val="20"/>
        </w:rPr>
        <w:t>existen</w:t>
      </w:r>
      <w:r w:rsidRPr="00725A19">
        <w:rPr>
          <w:rFonts w:ascii="Palatino Linotype" w:eastAsia="Palatino Linotype" w:hAnsi="Palatino Linotype" w:cs="Palatino Linotype"/>
        </w:rPr>
        <w:t xml:space="preserve"> datos que son susceptibles de clasificarse como confidenciales, siendo de manera enunciativa más no limitativa los siguientes. </w:t>
      </w:r>
    </w:p>
    <w:p w14:paraId="65597500"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33EA76DD"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De lo </w:t>
      </w:r>
      <w:r w:rsidRPr="00725A19">
        <w:rPr>
          <w:rFonts w:ascii="Palatino Linotype" w:eastAsia="Palatino Linotype" w:hAnsi="Palatino Linotype" w:cs="Palatino Linotype"/>
          <w:szCs w:val="20"/>
        </w:rPr>
        <w:t>anterior</w:t>
      </w:r>
      <w:r w:rsidRPr="00725A19">
        <w:rPr>
          <w:rFonts w:ascii="Palatino Linotype" w:eastAsia="Palatino Linotype" w:hAnsi="Palatino Linotype" w:cs="Palatino Linotype"/>
        </w:rPr>
        <w:t xml:space="preserve">, se debe de puntualizar que los recibos de nómina contienen los datos personales de los servidores, que de hacerse públicos afectarían su </w:t>
      </w:r>
      <w:r w:rsidRPr="00725A19">
        <w:rPr>
          <w:rFonts w:ascii="Palatino Linotype" w:hAnsi="Palatino Linotype"/>
          <w:lang w:val="es-ES"/>
        </w:rPr>
        <w:t>intimidad</w:t>
      </w:r>
      <w:r w:rsidRPr="00725A19">
        <w:rPr>
          <w:rFonts w:ascii="Palatino Linotype" w:eastAsia="Palatino Linotype" w:hAnsi="Palatino Linotype" w:cs="Palatino Linotype"/>
        </w:rPr>
        <w:t xml:space="preserve"> y vida privada; es por ello que es criterio reiterado en las resoluciones de este Pleno que además de los datos especificados en la Ley de Transparencia y Acceso a la Información Pública del Estado de México y Municipios, se consideran confidenciales y por tanto </w:t>
      </w:r>
      <w:r w:rsidRPr="00725A19">
        <w:rPr>
          <w:rFonts w:ascii="Palatino Linotype" w:eastAsia="Palatino Linotype" w:hAnsi="Palatino Linotype" w:cs="Palatino Linotype"/>
        </w:rPr>
        <w:lastRenderedPageBreak/>
        <w:t>deben testarse al momento de la elaboración de versiones públicas el Registro Federal de Contribuyentes (RFC), la Clave Única de Registro de Población (CURP), la Clave de cualquier tipo de seguridad social (</w:t>
      </w:r>
      <w:r w:rsidRPr="00725A19">
        <w:rPr>
          <w:rFonts w:ascii="Palatino Linotype" w:eastAsia="Palatino Linotype" w:hAnsi="Palatino Linotype" w:cs="Palatino Linotype"/>
          <w:b/>
        </w:rPr>
        <w:t>ISSEMYM</w:t>
      </w:r>
      <w:r w:rsidRPr="00725A19">
        <w:rPr>
          <w:rFonts w:ascii="Palatino Linotype" w:eastAsia="Palatino Linotype" w:hAnsi="Palatino Linotype" w:cs="Palatino Linotype"/>
        </w:rPr>
        <w:t>, u otros), y los descuentos y claves que se realicen por pensión alimenticia o deducciones estrictamente personales o de cualquier índole siempre que, no se encuentren relacionados con los impuestos o las cuotas por seguridad social, número de cuenta o cualquier otro dato que ponga en riesgo la vida, seguridad y salud de dichas personas.</w:t>
      </w:r>
    </w:p>
    <w:p w14:paraId="44DECB69"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322E4DCB"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Por cuanto hace al </w:t>
      </w:r>
      <w:r w:rsidRPr="00725A19">
        <w:rPr>
          <w:rFonts w:ascii="Palatino Linotype" w:eastAsia="Palatino Linotype" w:hAnsi="Palatino Linotype" w:cs="Palatino Linotype"/>
          <w:b/>
        </w:rPr>
        <w:t>Registro Federal de Contribuyentes (RFC),</w:t>
      </w:r>
      <w:r w:rsidRPr="00725A19">
        <w:rPr>
          <w:rFonts w:ascii="Palatino Linotype" w:eastAsia="Palatino Linotype" w:hAnsi="Palatino Linotype" w:cs="Palatino Linotype"/>
        </w:rPr>
        <w:t xml:space="preserve"> de las </w:t>
      </w:r>
      <w:r w:rsidRPr="00725A19">
        <w:rPr>
          <w:rFonts w:ascii="Palatino Linotype" w:hAnsi="Palatino Linotype"/>
          <w:lang w:val="es-ES"/>
        </w:rPr>
        <w:t>personas</w:t>
      </w:r>
      <w:r w:rsidRPr="00725A19">
        <w:rPr>
          <w:rFonts w:ascii="Palatino Linotype" w:eastAsia="Palatino Linotype" w:hAnsi="Palatino Linotype" w:cs="Palatino Linotype"/>
        </w:rPr>
        <w:t xml:space="preserve"> físicas, constituye un dato personal, pues se genera con caracteres </w:t>
      </w:r>
      <w:r w:rsidRPr="00725A19">
        <w:rPr>
          <w:rFonts w:ascii="Palatino Linotype" w:eastAsia="Palatino Linotype" w:hAnsi="Palatino Linotype" w:cs="Palatino Linotype"/>
          <w:szCs w:val="20"/>
        </w:rPr>
        <w:t>alfanuméricos</w:t>
      </w:r>
      <w:r w:rsidRPr="00725A19">
        <w:rPr>
          <w:rFonts w:ascii="Palatino Linotype" w:eastAsia="Palatino Linotype" w:hAnsi="Palatino Linotype" w:cs="Palatino Linotype"/>
        </w:rPr>
        <w:t xml:space="preserve"> a partir del nombre y la fecha de nacimiento de cada persona, y finalmente la homoclave, por lo que para su obtención es necesario acreditar ante la autoridad fiscal previamente la identidad de la persona, su fecha de nacimiento, entre otros aspectos.</w:t>
      </w:r>
    </w:p>
    <w:p w14:paraId="356B25A3"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6A8F9D3A"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szCs w:val="20"/>
        </w:rPr>
        <w:t>Ahora</w:t>
      </w:r>
      <w:r w:rsidRPr="00725A19">
        <w:rPr>
          <w:rFonts w:ascii="Palatino Linotype" w:eastAsia="Palatino Linotype" w:hAnsi="Palatino Linotype" w:cs="Palatino Linotype"/>
        </w:rPr>
        <w:t xml:space="preserve"> bien, las personas físicas tramitan su inscripción en el registro con el propósito de realizar —mediante esa clave de identificación— operaciones o actividades de naturaleza fiscal, la cual, les permite hacerse identificables respecto de una situación fiscal determinada.</w:t>
      </w:r>
    </w:p>
    <w:p w14:paraId="228FB10F"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7D885101"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lastRenderedPageBreak/>
        <w:t xml:space="preserve">Lo anterior es compartido por el entonces Instituto Federal de Acceso a la </w:t>
      </w:r>
      <w:r w:rsidRPr="00725A19">
        <w:rPr>
          <w:rFonts w:ascii="Palatino Linotype" w:eastAsia="Palatino Linotype" w:hAnsi="Palatino Linotype" w:cs="Palatino Linotype"/>
          <w:b/>
        </w:rPr>
        <w:t>Información</w:t>
      </w:r>
      <w:r w:rsidRPr="00725A19">
        <w:rPr>
          <w:rFonts w:ascii="Palatino Linotype" w:eastAsia="Palatino Linotype" w:hAnsi="Palatino Linotype" w:cs="Palatino Linotype"/>
        </w:rPr>
        <w:t xml:space="preserve"> Pública y Protección de Datos Personales (IFAI) a través del Criterio 19/17, el </w:t>
      </w:r>
      <w:r w:rsidRPr="00725A19">
        <w:rPr>
          <w:rFonts w:ascii="Palatino Linotype" w:eastAsia="Palatino Linotype" w:hAnsi="Palatino Linotype" w:cs="Palatino Linotype"/>
          <w:szCs w:val="20"/>
        </w:rPr>
        <w:t>cual</w:t>
      </w:r>
      <w:r w:rsidRPr="00725A19">
        <w:rPr>
          <w:rFonts w:ascii="Palatino Linotype" w:eastAsia="Palatino Linotype" w:hAnsi="Palatino Linotype" w:cs="Palatino Linotype"/>
        </w:rPr>
        <w:t xml:space="preserve"> es del tenor literal siguiente:</w:t>
      </w:r>
    </w:p>
    <w:p w14:paraId="369DA184" w14:textId="77777777" w:rsidR="00F21487" w:rsidRPr="00725A19" w:rsidRDefault="00F21487" w:rsidP="00F21487">
      <w:pPr>
        <w:pBdr>
          <w:top w:val="nil"/>
          <w:left w:val="nil"/>
          <w:bottom w:val="nil"/>
          <w:right w:val="nil"/>
          <w:between w:val="nil"/>
        </w:pBdr>
        <w:spacing w:line="276" w:lineRule="auto"/>
        <w:jc w:val="both"/>
        <w:rPr>
          <w:rFonts w:ascii="Palatino Linotype" w:eastAsia="Palatino Linotype" w:hAnsi="Palatino Linotype" w:cs="Palatino Linotype"/>
          <w:sz w:val="22"/>
          <w:szCs w:val="22"/>
        </w:rPr>
      </w:pPr>
    </w:p>
    <w:p w14:paraId="71989B48" w14:textId="77777777" w:rsidR="002C13C2" w:rsidRPr="00725A19" w:rsidRDefault="002C13C2" w:rsidP="00F21487">
      <w:pPr>
        <w:spacing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b/>
          <w:i/>
          <w:sz w:val="22"/>
          <w:szCs w:val="22"/>
        </w:rPr>
        <w:t>“Registro Federal de Contribuyentes (RFC) de personas físicas</w:t>
      </w:r>
      <w:r w:rsidRPr="00725A19">
        <w:rPr>
          <w:rFonts w:ascii="Palatino Linotype" w:eastAsia="Palatino Linotype" w:hAnsi="Palatino Linotype" w:cs="Palatino Linotype"/>
          <w:i/>
          <w:sz w:val="22"/>
          <w:szCs w:val="22"/>
        </w:rPr>
        <w:t>. El RFC es una clave de carácter fiscal, única e irrepetible, que permite identificar al titular, su edad y fecha de nacimiento, por lo que es un dato personal de carácter confidencial.”</w:t>
      </w:r>
    </w:p>
    <w:p w14:paraId="068A062E" w14:textId="77777777" w:rsidR="002C13C2" w:rsidRPr="00725A19" w:rsidRDefault="002C13C2" w:rsidP="00F21487">
      <w:pPr>
        <w:spacing w:line="360" w:lineRule="auto"/>
        <w:ind w:left="567" w:right="900"/>
        <w:jc w:val="both"/>
        <w:rPr>
          <w:rFonts w:ascii="Palatino Linotype" w:eastAsia="Palatino Linotype" w:hAnsi="Palatino Linotype" w:cs="Palatino Linotype"/>
          <w:i/>
        </w:rPr>
      </w:pPr>
    </w:p>
    <w:p w14:paraId="781BD146"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hAnsi="Palatino Linotype"/>
          <w:lang w:val="es-ES"/>
        </w:rPr>
        <w:t>Así</w:t>
      </w:r>
      <w:r w:rsidRPr="00725A19">
        <w:rPr>
          <w:rFonts w:ascii="Palatino Linotype" w:eastAsia="Palatino Linotype" w:hAnsi="Palatino Linotype" w:cs="Palatino Linotype"/>
        </w:rPr>
        <w:t xml:space="preserve">, el </w:t>
      </w:r>
      <w:r w:rsidRPr="00725A19">
        <w:rPr>
          <w:rFonts w:ascii="Palatino Linotype" w:eastAsia="Palatino Linotype" w:hAnsi="Palatino Linotype" w:cs="Palatino Linotype"/>
          <w:b/>
        </w:rPr>
        <w:t>Registro Federal de Contribuyentes, RFC</w:t>
      </w:r>
      <w:r w:rsidRPr="00725A19">
        <w:rPr>
          <w:rFonts w:ascii="Palatino Linotype" w:eastAsia="Palatino Linotype" w:hAnsi="Palatino Linotype" w:cs="Palatino Linotype"/>
        </w:rPr>
        <w:t xml:space="preserve">, se vincula al nombre de su titular y permite identificar la edad de la persona, su fecha de nacimiento, así como su </w:t>
      </w:r>
      <w:r w:rsidRPr="00725A19">
        <w:rPr>
          <w:rFonts w:ascii="Palatino Linotype" w:eastAsia="Palatino Linotype" w:hAnsi="Palatino Linotype" w:cs="Palatino Linotype"/>
          <w:szCs w:val="20"/>
        </w:rPr>
        <w:t>homoclave</w:t>
      </w:r>
      <w:r w:rsidRPr="00725A19">
        <w:rPr>
          <w:rFonts w:ascii="Palatino Linotype" w:eastAsia="Palatino Linotype" w:hAnsi="Palatino Linotype" w:cs="Palatino Linotype"/>
        </w:rPr>
        <w:t>, la cual es única e irrepetible y determina la identificación de dicha persona para efectos fiscales, por lo que constituye un dato personal que concierne a una persona física identificada e identificable en términos de los artículos 3, fracción IX de la Ley de Transparencia y Acceso a la Información Pública del Estado de México y Municipios, y  4 fracciones XI y XII de la Ley de Protección de Datos Personales en Posesión de los Sujetos Obligados del Estado de México y Municipios.</w:t>
      </w:r>
    </w:p>
    <w:p w14:paraId="5E385DF8"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3379D088"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De igual manera la </w:t>
      </w:r>
      <w:r w:rsidRPr="00725A19">
        <w:rPr>
          <w:rFonts w:ascii="Palatino Linotype" w:eastAsia="Palatino Linotype" w:hAnsi="Palatino Linotype" w:cs="Palatino Linotype"/>
          <w:b/>
        </w:rPr>
        <w:t>Clave Única de Registro de Población (CURP),</w:t>
      </w:r>
      <w:r w:rsidRPr="00725A19">
        <w:rPr>
          <w:rFonts w:ascii="Palatino Linotype" w:eastAsia="Palatino Linotype" w:hAnsi="Palatino Linotype" w:cs="Palatino Linotype"/>
        </w:rPr>
        <w:t xml:space="preserve"> constituye un dato personal, ya que tiene como finalidad registrar a cada una de las personas que integran la población del país, con datos que permitan certificar y acreditar fehacientemente su identidad, en virtud de que se integra por datos </w:t>
      </w:r>
      <w:r w:rsidRPr="00725A19">
        <w:rPr>
          <w:rFonts w:ascii="Palatino Linotype" w:eastAsia="Palatino Linotype" w:hAnsi="Palatino Linotype" w:cs="Palatino Linotype"/>
          <w:b/>
        </w:rPr>
        <w:t>personales</w:t>
      </w:r>
      <w:r w:rsidRPr="00725A19">
        <w:rPr>
          <w:rFonts w:ascii="Palatino Linotype" w:eastAsia="Palatino Linotype" w:hAnsi="Palatino Linotype" w:cs="Palatino Linotype"/>
        </w:rPr>
        <w:t xml:space="preserve"> que únicamente le conciernen a un particular como son su fecha de nacimiento, su nombre, </w:t>
      </w:r>
      <w:r w:rsidRPr="00725A19">
        <w:rPr>
          <w:rFonts w:ascii="Palatino Linotype" w:eastAsia="Palatino Linotype" w:hAnsi="Palatino Linotype" w:cs="Palatino Linotype"/>
        </w:rPr>
        <w:lastRenderedPageBreak/>
        <w:t>sus apellidos y su lugar de nacimiento; información que permite distinguirlo del resto de los habitantes, por tal motivo, se considera que es de carácter confidencial.</w:t>
      </w:r>
    </w:p>
    <w:p w14:paraId="6341B849"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6B47C247"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Argumento que es compartido por el Instituto Nacional de Transparencia, Acceso a la </w:t>
      </w:r>
      <w:r w:rsidRPr="00725A19">
        <w:rPr>
          <w:rFonts w:ascii="Palatino Linotype" w:eastAsia="Palatino Linotype" w:hAnsi="Palatino Linotype" w:cs="Palatino Linotype"/>
          <w:szCs w:val="20"/>
        </w:rPr>
        <w:t>Información</w:t>
      </w:r>
      <w:r w:rsidRPr="00725A19">
        <w:rPr>
          <w:rFonts w:ascii="Palatino Linotype" w:eastAsia="Palatino Linotype" w:hAnsi="Palatino Linotype" w:cs="Palatino Linotype"/>
        </w:rPr>
        <w:t xml:space="preserve"> y Protección de Datos Personales, INAI, conforme al criterio 18/17, el cual refiere: </w:t>
      </w:r>
    </w:p>
    <w:p w14:paraId="0DCBC366" w14:textId="77777777" w:rsidR="00B678A1" w:rsidRPr="00725A19" w:rsidRDefault="00B678A1" w:rsidP="00B678A1">
      <w:pPr>
        <w:pBdr>
          <w:top w:val="nil"/>
          <w:left w:val="nil"/>
          <w:bottom w:val="nil"/>
          <w:right w:val="nil"/>
          <w:between w:val="nil"/>
        </w:pBdr>
        <w:spacing w:line="276" w:lineRule="auto"/>
        <w:jc w:val="both"/>
        <w:rPr>
          <w:rFonts w:ascii="Palatino Linotype" w:eastAsia="Palatino Linotype" w:hAnsi="Palatino Linotype" w:cs="Palatino Linotype"/>
          <w:sz w:val="22"/>
          <w:szCs w:val="22"/>
        </w:rPr>
      </w:pPr>
    </w:p>
    <w:p w14:paraId="3AF4FE00" w14:textId="77777777" w:rsidR="002C13C2" w:rsidRPr="00725A19" w:rsidRDefault="002C13C2" w:rsidP="00B678A1">
      <w:pPr>
        <w:spacing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b/>
          <w:i/>
          <w:sz w:val="22"/>
          <w:szCs w:val="22"/>
        </w:rPr>
        <w:t xml:space="preserve">“Clave Única de Registro de Población (CURP). </w:t>
      </w:r>
      <w:r w:rsidRPr="00725A19">
        <w:rPr>
          <w:rFonts w:ascii="Palatino Linotype" w:eastAsia="Palatino Linotype" w:hAnsi="Palatino Linotype" w:cs="Palatino Linotype"/>
          <w:i/>
          <w:sz w:val="22"/>
          <w:szCs w:val="22"/>
        </w:rPr>
        <w:t>La Clave Única de Registro de Población se integra por datos personales que sólo conciernen al particular titular de la misma, como lo son su nombre, apellidos, fecha de nacimiento, lugar de nacimiento y sexo. Dichos datos, constituyen información que distingue plenamente a una persona física del resto de los habitantes del país, por lo que la CURP está considerada como información confidencial.”</w:t>
      </w:r>
    </w:p>
    <w:p w14:paraId="63C12887" w14:textId="77777777" w:rsidR="002C13C2" w:rsidRPr="00725A19" w:rsidRDefault="002C13C2" w:rsidP="00F77E31">
      <w:pPr>
        <w:spacing w:line="360" w:lineRule="auto"/>
        <w:ind w:right="333"/>
        <w:jc w:val="both"/>
        <w:rPr>
          <w:rFonts w:ascii="Palatino Linotype" w:eastAsia="Palatino Linotype" w:hAnsi="Palatino Linotype" w:cs="Palatino Linotype"/>
          <w:i/>
        </w:rPr>
      </w:pPr>
    </w:p>
    <w:p w14:paraId="043CBDC8"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Por cuanto hace a la </w:t>
      </w:r>
      <w:r w:rsidRPr="00725A19">
        <w:rPr>
          <w:rFonts w:ascii="Palatino Linotype" w:eastAsia="Palatino Linotype" w:hAnsi="Palatino Linotype" w:cs="Palatino Linotype"/>
          <w:b/>
        </w:rPr>
        <w:t>Clave de cualquier tipo de seguridad social (ISSEMyM, u otros</w:t>
      </w:r>
      <w:r w:rsidRPr="00725A19">
        <w:rPr>
          <w:rFonts w:ascii="Palatino Linotype" w:eastAsia="Palatino Linotype" w:hAnsi="Palatino Linotype" w:cs="Palatino Linotype"/>
        </w:rPr>
        <w:t xml:space="preserve">), está integrado por una secuencia de números con los que se identifica a los </w:t>
      </w:r>
      <w:r w:rsidRPr="00725A19">
        <w:rPr>
          <w:rFonts w:ascii="Palatino Linotype" w:eastAsia="Palatino Linotype" w:hAnsi="Palatino Linotype" w:cs="Palatino Linotype"/>
          <w:b/>
        </w:rPr>
        <w:t>trabajadores</w:t>
      </w:r>
      <w:r w:rsidRPr="00725A19">
        <w:rPr>
          <w:rFonts w:ascii="Palatino Linotype" w:eastAsia="Palatino Linotype" w:hAnsi="Palatino Linotype" w:cs="Palatino Linotype"/>
        </w:rPr>
        <w:t xml:space="preserve"> que cubren las cuotas respectivas, asimismo, lo identifica con la fuente de trabajo; por lo que al ser una clave de identificación de los trabajadores, constituye </w:t>
      </w:r>
      <w:r w:rsidRPr="00725A19">
        <w:rPr>
          <w:rFonts w:ascii="Palatino Linotype" w:eastAsia="Palatino Linotype" w:hAnsi="Palatino Linotype" w:cs="Palatino Linotype"/>
          <w:szCs w:val="20"/>
        </w:rPr>
        <w:t>información</w:t>
      </w:r>
      <w:r w:rsidRPr="00725A19">
        <w:rPr>
          <w:rFonts w:ascii="Palatino Linotype" w:eastAsia="Palatino Linotype" w:hAnsi="Palatino Linotype" w:cs="Palatino Linotype"/>
        </w:rPr>
        <w:t xml:space="preserve"> confidencial, dato que únicamente le atañe al servidor público, por lo constituye un dato personal que concierne a una persona física identificada e identificable en términos de los artículos 2, fracción II de la Ley de Transparencia y Acceso a la Información Pública del Estado de México y Municipios y 4, fracción XI de </w:t>
      </w:r>
      <w:r w:rsidRPr="00725A19">
        <w:rPr>
          <w:rFonts w:ascii="Palatino Linotype" w:eastAsia="Palatino Linotype" w:hAnsi="Palatino Linotype" w:cs="Palatino Linotype"/>
        </w:rPr>
        <w:lastRenderedPageBreak/>
        <w:t>la Ley de Protección de Datos Personales en Posesión de Sujetos Obligados del Estado de México y Municipios.</w:t>
      </w:r>
    </w:p>
    <w:p w14:paraId="29494300"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7A9C2A51"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El artículo 9° del mismo ordenamiento, dispone que el ISSEMYM expedirá documentos </w:t>
      </w:r>
      <w:r w:rsidRPr="00725A19">
        <w:rPr>
          <w:rFonts w:ascii="Palatino Linotype" w:eastAsia="Palatino Linotype" w:hAnsi="Palatino Linotype" w:cs="Palatino Linotype"/>
          <w:szCs w:val="20"/>
        </w:rPr>
        <w:t>de</w:t>
      </w:r>
      <w:r w:rsidRPr="00725A19">
        <w:rPr>
          <w:rFonts w:ascii="Palatino Linotype" w:eastAsia="Palatino Linotype" w:hAnsi="Palatino Linotype" w:cs="Palatino Linotype"/>
        </w:rPr>
        <w:t xml:space="preserve"> identificación para facilitar el acceso a las prestaciones a que tengan derecho. En este orden de ideas, el artículo 158, fracción I del Reglamento de </w:t>
      </w:r>
      <w:r w:rsidRPr="00725A19">
        <w:rPr>
          <w:rFonts w:ascii="Palatino Linotype" w:eastAsia="Palatino Linotype" w:hAnsi="Palatino Linotype" w:cs="Palatino Linotype"/>
          <w:b/>
        </w:rPr>
        <w:t>Servicios</w:t>
      </w:r>
      <w:r w:rsidRPr="00725A19">
        <w:rPr>
          <w:rFonts w:ascii="Palatino Linotype" w:eastAsia="Palatino Linotype" w:hAnsi="Palatino Linotype" w:cs="Palatino Linotype"/>
        </w:rPr>
        <w:t xml:space="preserve"> de Salud del Instituto de Seguridad Social del Estado de México y Municipios, establece que es obligación de los derechohabientes tramitar la credencial que los acredite como tal, la cual será de naturaleza personal e intransferible. En esta credencial se consignan diversos datos personales y se le asigna una clave para hacer identificable al trabajador con el objetivo de poder proporcionar los servicios que brinda el ISSEMYM.</w:t>
      </w:r>
    </w:p>
    <w:p w14:paraId="54106507"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1400A446"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Como se advierte, la clave ISSEMYM es un dato personal que permite identificar que </w:t>
      </w:r>
      <w:r w:rsidRPr="00725A19">
        <w:rPr>
          <w:rFonts w:ascii="Palatino Linotype" w:eastAsia="Palatino Linotype" w:hAnsi="Palatino Linotype" w:cs="Palatino Linotype"/>
          <w:b/>
        </w:rPr>
        <w:t>una</w:t>
      </w:r>
      <w:r w:rsidRPr="00725A19">
        <w:rPr>
          <w:rFonts w:ascii="Palatino Linotype" w:eastAsia="Palatino Linotype" w:hAnsi="Palatino Linotype" w:cs="Palatino Linotype"/>
        </w:rPr>
        <w:t xml:space="preserve"> persona ya trabajó o trabaja en alguna institución pública del Estado de México, por la que tiene o tuvo derecho a esta prestación de seguridad social; es de destacar que la clave ISSEMYM no cambia, aunque el trabajador se dé de baja y </w:t>
      </w:r>
      <w:r w:rsidRPr="00725A19">
        <w:rPr>
          <w:rFonts w:ascii="Palatino Linotype" w:eastAsia="Palatino Linotype" w:hAnsi="Palatino Linotype" w:cs="Palatino Linotype"/>
          <w:szCs w:val="20"/>
        </w:rPr>
        <w:t>alta</w:t>
      </w:r>
      <w:r w:rsidRPr="00725A19">
        <w:rPr>
          <w:rFonts w:ascii="Palatino Linotype" w:eastAsia="Palatino Linotype" w:hAnsi="Palatino Linotype" w:cs="Palatino Linotype"/>
        </w:rPr>
        <w:t xml:space="preserve"> en diversas ocasiones, con motivo de haber trabajado en diferentes instituciones públicas de la Entidad. </w:t>
      </w:r>
    </w:p>
    <w:p w14:paraId="77AAC607"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6D7BE803"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b/>
        </w:rPr>
        <w:t>Contar</w:t>
      </w:r>
      <w:r w:rsidRPr="00725A19">
        <w:rPr>
          <w:rFonts w:ascii="Palatino Linotype" w:eastAsia="Palatino Linotype" w:hAnsi="Palatino Linotype" w:cs="Palatino Linotype"/>
        </w:rPr>
        <w:t xml:space="preserve"> con la prestación de seguridad social que brinda el ISSEMYM no es una obligación para entrar a trabajar a una institución pública, por el contrario es un derecho </w:t>
      </w:r>
      <w:r w:rsidRPr="00725A19">
        <w:rPr>
          <w:rFonts w:ascii="Palatino Linotype" w:eastAsia="Palatino Linotype" w:hAnsi="Palatino Linotype" w:cs="Palatino Linotype"/>
        </w:rPr>
        <w:lastRenderedPageBreak/>
        <w:t>que se adquiere cuando se ingresa al servicio público, por tal motivo, es un dato personal confidencial, por lo que es procedente su eliminación en las versiones públicas que se elaboren, toda vez que actualiza el supuesto de confidencialidad del artículo 143, fracción I de la Ley de Transparencia y Acceso a la Información Pública del Estado de México y Municipios.</w:t>
      </w:r>
    </w:p>
    <w:p w14:paraId="4580A377"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730BE71E"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b/>
        </w:rPr>
        <w:t>Respecto</w:t>
      </w:r>
      <w:r w:rsidRPr="00725A19">
        <w:rPr>
          <w:rFonts w:ascii="Palatino Linotype" w:eastAsia="Palatino Linotype" w:hAnsi="Palatino Linotype" w:cs="Palatino Linotype"/>
        </w:rPr>
        <w:t xml:space="preserve"> de los préstamos o descuentos de carácter personal, estos no deben tener relación con la prestación del servicio; es decir, son confidenciales los préstamos o descuentos que se le hagan a la persona en los que no se involucren instituciones públicas, en virtud de no favorecer en la transparencia y rendición de cuentas, sino, por el contrario, con ello se violentaba la protección de información confidencial, porque incide en la intimidad de un individuo identificado.</w:t>
      </w:r>
    </w:p>
    <w:p w14:paraId="2AAE5067"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7C4F4579"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Por </w:t>
      </w:r>
      <w:r w:rsidRPr="00725A19">
        <w:rPr>
          <w:rFonts w:ascii="Palatino Linotype" w:eastAsia="Palatino Linotype" w:hAnsi="Palatino Linotype" w:cs="Palatino Linotype"/>
          <w:szCs w:val="20"/>
        </w:rPr>
        <w:t>su</w:t>
      </w:r>
      <w:r w:rsidRPr="00725A19">
        <w:rPr>
          <w:rFonts w:ascii="Palatino Linotype" w:eastAsia="Palatino Linotype" w:hAnsi="Palatino Linotype" w:cs="Palatino Linotype"/>
        </w:rPr>
        <w:t xml:space="preserve"> parte, el artículo 84 de la Ley del Trabajo de los Servidores Públicos del Estado y Municipios, señala:</w:t>
      </w:r>
    </w:p>
    <w:p w14:paraId="7A9996EE" w14:textId="77777777" w:rsidR="001541B6" w:rsidRPr="00725A19" w:rsidRDefault="001541B6" w:rsidP="001541B6">
      <w:pPr>
        <w:pBdr>
          <w:top w:val="nil"/>
          <w:left w:val="nil"/>
          <w:bottom w:val="nil"/>
          <w:right w:val="nil"/>
          <w:between w:val="nil"/>
        </w:pBdr>
        <w:spacing w:line="276" w:lineRule="auto"/>
        <w:jc w:val="both"/>
        <w:rPr>
          <w:rFonts w:ascii="Palatino Linotype" w:eastAsia="Palatino Linotype" w:hAnsi="Palatino Linotype" w:cs="Palatino Linotype"/>
          <w:sz w:val="22"/>
          <w:szCs w:val="22"/>
        </w:rPr>
      </w:pPr>
    </w:p>
    <w:p w14:paraId="08292CCB" w14:textId="77777777" w:rsidR="002C13C2" w:rsidRPr="00725A19" w:rsidRDefault="002C13C2" w:rsidP="001541B6">
      <w:pPr>
        <w:spacing w:line="276" w:lineRule="auto"/>
        <w:ind w:left="1134" w:right="851"/>
        <w:jc w:val="both"/>
        <w:rPr>
          <w:rFonts w:ascii="Palatino Linotype" w:eastAsia="Palatino Linotype" w:hAnsi="Palatino Linotype" w:cs="Palatino Linotype"/>
          <w:sz w:val="22"/>
          <w:szCs w:val="22"/>
        </w:rPr>
      </w:pPr>
      <w:r w:rsidRPr="00725A19">
        <w:rPr>
          <w:rFonts w:ascii="Palatino Linotype" w:eastAsia="Palatino Linotype" w:hAnsi="Palatino Linotype" w:cs="Palatino Linotype"/>
          <w:i/>
          <w:sz w:val="22"/>
          <w:szCs w:val="22"/>
        </w:rPr>
        <w:t>“</w:t>
      </w:r>
      <w:r w:rsidRPr="00725A19">
        <w:rPr>
          <w:rFonts w:ascii="Palatino Linotype" w:eastAsia="Palatino Linotype" w:hAnsi="Palatino Linotype" w:cs="Palatino Linotype"/>
          <w:b/>
          <w:i/>
          <w:sz w:val="22"/>
          <w:szCs w:val="22"/>
        </w:rPr>
        <w:t>ARTICULO 84. Sólo podrán hacerse retenciones, descuentos o deducciones al sueldo de los servidores públicos por concepto de:</w:t>
      </w:r>
    </w:p>
    <w:p w14:paraId="2EA828B6" w14:textId="77777777" w:rsidR="002C13C2" w:rsidRPr="00725A19" w:rsidRDefault="002C13C2" w:rsidP="001541B6">
      <w:pPr>
        <w:spacing w:line="276" w:lineRule="auto"/>
        <w:ind w:left="1134" w:right="851"/>
        <w:jc w:val="both"/>
        <w:rPr>
          <w:rFonts w:ascii="Palatino Linotype" w:eastAsia="Palatino Linotype" w:hAnsi="Palatino Linotype" w:cs="Palatino Linotype"/>
          <w:sz w:val="22"/>
          <w:szCs w:val="22"/>
        </w:rPr>
      </w:pPr>
      <w:r w:rsidRPr="00725A19">
        <w:rPr>
          <w:rFonts w:ascii="Palatino Linotype" w:eastAsia="Palatino Linotype" w:hAnsi="Palatino Linotype" w:cs="Palatino Linotype"/>
          <w:i/>
          <w:sz w:val="22"/>
          <w:szCs w:val="22"/>
        </w:rPr>
        <w:t>I. Gravámenes fiscales relacionados con el sueldo;</w:t>
      </w:r>
    </w:p>
    <w:p w14:paraId="042E941B" w14:textId="77777777" w:rsidR="002C13C2" w:rsidRPr="00725A19" w:rsidRDefault="002C13C2" w:rsidP="001541B6">
      <w:pPr>
        <w:spacing w:line="276" w:lineRule="auto"/>
        <w:ind w:left="1134" w:right="851"/>
        <w:jc w:val="both"/>
        <w:rPr>
          <w:rFonts w:ascii="Palatino Linotype" w:eastAsia="Palatino Linotype" w:hAnsi="Palatino Linotype" w:cs="Palatino Linotype"/>
          <w:sz w:val="22"/>
          <w:szCs w:val="22"/>
        </w:rPr>
      </w:pPr>
      <w:r w:rsidRPr="00725A19">
        <w:rPr>
          <w:rFonts w:ascii="Palatino Linotype" w:eastAsia="Palatino Linotype" w:hAnsi="Palatino Linotype" w:cs="Palatino Linotype"/>
          <w:b/>
          <w:i/>
          <w:sz w:val="22"/>
          <w:szCs w:val="22"/>
        </w:rPr>
        <w:t>II. Deudas contraídas con las instituciones públicas o dependencias</w:t>
      </w:r>
      <w:r w:rsidRPr="00725A19">
        <w:rPr>
          <w:rFonts w:ascii="Palatino Linotype" w:eastAsia="Palatino Linotype" w:hAnsi="Palatino Linotype" w:cs="Palatino Linotype"/>
          <w:i/>
          <w:sz w:val="22"/>
          <w:szCs w:val="22"/>
        </w:rPr>
        <w:t xml:space="preserve"> por concepto de anticipos de sueldo, pagos hechos con exceso, errores o pérdidas debidamente comprobados;</w:t>
      </w:r>
    </w:p>
    <w:p w14:paraId="09F475F3" w14:textId="77777777" w:rsidR="002C13C2" w:rsidRPr="00725A19" w:rsidRDefault="002C13C2" w:rsidP="001541B6">
      <w:pPr>
        <w:spacing w:line="276" w:lineRule="auto"/>
        <w:ind w:left="1134" w:right="851"/>
        <w:jc w:val="both"/>
        <w:rPr>
          <w:rFonts w:ascii="Palatino Linotype" w:eastAsia="Palatino Linotype" w:hAnsi="Palatino Linotype" w:cs="Palatino Linotype"/>
          <w:sz w:val="22"/>
          <w:szCs w:val="22"/>
        </w:rPr>
      </w:pPr>
      <w:r w:rsidRPr="00725A19">
        <w:rPr>
          <w:rFonts w:ascii="Palatino Linotype" w:eastAsia="Palatino Linotype" w:hAnsi="Palatino Linotype" w:cs="Palatino Linotype"/>
          <w:b/>
          <w:i/>
          <w:sz w:val="22"/>
          <w:szCs w:val="22"/>
        </w:rPr>
        <w:t>III. Cuotas sindicales</w:t>
      </w:r>
      <w:r w:rsidRPr="00725A19">
        <w:rPr>
          <w:rFonts w:ascii="Palatino Linotype" w:eastAsia="Palatino Linotype" w:hAnsi="Palatino Linotype" w:cs="Palatino Linotype"/>
          <w:i/>
          <w:sz w:val="22"/>
          <w:szCs w:val="22"/>
        </w:rPr>
        <w:t>;</w:t>
      </w:r>
    </w:p>
    <w:p w14:paraId="025DB037" w14:textId="77777777" w:rsidR="002C13C2" w:rsidRPr="00725A19" w:rsidRDefault="002C13C2" w:rsidP="001541B6">
      <w:pPr>
        <w:spacing w:line="276" w:lineRule="auto"/>
        <w:ind w:left="1134" w:right="851"/>
        <w:jc w:val="both"/>
        <w:rPr>
          <w:rFonts w:ascii="Palatino Linotype" w:eastAsia="Palatino Linotype" w:hAnsi="Palatino Linotype" w:cs="Palatino Linotype"/>
          <w:sz w:val="22"/>
          <w:szCs w:val="22"/>
        </w:rPr>
      </w:pPr>
      <w:r w:rsidRPr="00725A19">
        <w:rPr>
          <w:rFonts w:ascii="Palatino Linotype" w:eastAsia="Palatino Linotype" w:hAnsi="Palatino Linotype" w:cs="Palatino Linotype"/>
          <w:i/>
          <w:sz w:val="22"/>
          <w:szCs w:val="22"/>
        </w:rPr>
        <w:lastRenderedPageBreak/>
        <w:t>IV. Cuotas de aportación a fondos para la constitución de cooperativas y de cajas de ahorro, siempre que el servidor público hubiese manifestado previamente, de manera expresa, su conformidad;</w:t>
      </w:r>
    </w:p>
    <w:p w14:paraId="5F3DE5A7" w14:textId="77777777" w:rsidR="002C13C2" w:rsidRPr="00725A19" w:rsidRDefault="002C13C2" w:rsidP="001541B6">
      <w:pPr>
        <w:spacing w:line="276" w:lineRule="auto"/>
        <w:ind w:left="1134" w:right="851"/>
        <w:jc w:val="both"/>
        <w:rPr>
          <w:rFonts w:ascii="Palatino Linotype" w:eastAsia="Palatino Linotype" w:hAnsi="Palatino Linotype" w:cs="Palatino Linotype"/>
          <w:sz w:val="22"/>
          <w:szCs w:val="22"/>
        </w:rPr>
      </w:pPr>
      <w:r w:rsidRPr="00725A19">
        <w:rPr>
          <w:rFonts w:ascii="Palatino Linotype" w:eastAsia="Palatino Linotype" w:hAnsi="Palatino Linotype" w:cs="Palatino Linotype"/>
          <w:i/>
          <w:sz w:val="22"/>
          <w:szCs w:val="22"/>
        </w:rPr>
        <w:t>V. Descuentos ordenados por el Instituto de Seguridad Social del Estado de México y Municipios, con motivo de cuotas y obligaciones contraídas con éste por los servidores públicos;</w:t>
      </w:r>
    </w:p>
    <w:p w14:paraId="64A00FEF" w14:textId="77777777" w:rsidR="002C13C2" w:rsidRPr="00725A19" w:rsidRDefault="002C13C2" w:rsidP="001541B6">
      <w:pPr>
        <w:spacing w:line="276" w:lineRule="auto"/>
        <w:ind w:left="1134" w:right="851"/>
        <w:jc w:val="both"/>
        <w:rPr>
          <w:rFonts w:ascii="Palatino Linotype" w:eastAsia="Palatino Linotype" w:hAnsi="Palatino Linotype" w:cs="Palatino Linotype"/>
          <w:sz w:val="22"/>
          <w:szCs w:val="22"/>
        </w:rPr>
      </w:pPr>
      <w:r w:rsidRPr="00725A19">
        <w:rPr>
          <w:rFonts w:ascii="Palatino Linotype" w:eastAsia="Palatino Linotype" w:hAnsi="Palatino Linotype" w:cs="Palatino Linotype"/>
          <w:b/>
          <w:i/>
          <w:sz w:val="22"/>
          <w:szCs w:val="22"/>
        </w:rPr>
        <w:t>VI. Obligaciones a cargo del servidor público con las que haya consentido</w:t>
      </w:r>
      <w:r w:rsidRPr="00725A19">
        <w:rPr>
          <w:rFonts w:ascii="Palatino Linotype" w:eastAsia="Palatino Linotype" w:hAnsi="Palatino Linotype" w:cs="Palatino Linotype"/>
          <w:i/>
          <w:sz w:val="22"/>
          <w:szCs w:val="22"/>
        </w:rPr>
        <w:t>, derivadas de la adquisición o del uso de habitaciones consideradas como de interés social;</w:t>
      </w:r>
    </w:p>
    <w:p w14:paraId="6B90339D" w14:textId="77777777" w:rsidR="002C13C2" w:rsidRPr="00725A19" w:rsidRDefault="002C13C2" w:rsidP="001541B6">
      <w:pPr>
        <w:spacing w:line="276" w:lineRule="auto"/>
        <w:ind w:left="1134" w:right="851"/>
        <w:jc w:val="both"/>
        <w:rPr>
          <w:rFonts w:ascii="Palatino Linotype" w:eastAsia="Palatino Linotype" w:hAnsi="Palatino Linotype" w:cs="Palatino Linotype"/>
          <w:sz w:val="22"/>
          <w:szCs w:val="22"/>
        </w:rPr>
      </w:pPr>
      <w:r w:rsidRPr="00725A19">
        <w:rPr>
          <w:rFonts w:ascii="Palatino Linotype" w:eastAsia="Palatino Linotype" w:hAnsi="Palatino Linotype" w:cs="Palatino Linotype"/>
          <w:i/>
          <w:sz w:val="22"/>
          <w:szCs w:val="22"/>
        </w:rPr>
        <w:t>VII. Faltas de puntualidad o de asistencia injustificadas;</w:t>
      </w:r>
    </w:p>
    <w:p w14:paraId="16190E8A" w14:textId="77777777" w:rsidR="002C13C2" w:rsidRPr="00725A19" w:rsidRDefault="002C13C2" w:rsidP="001541B6">
      <w:pPr>
        <w:spacing w:line="276" w:lineRule="auto"/>
        <w:ind w:left="1134" w:right="851"/>
        <w:jc w:val="both"/>
        <w:rPr>
          <w:rFonts w:ascii="Palatino Linotype" w:eastAsia="Palatino Linotype" w:hAnsi="Palatino Linotype" w:cs="Palatino Linotype"/>
          <w:sz w:val="22"/>
          <w:szCs w:val="22"/>
        </w:rPr>
      </w:pPr>
      <w:r w:rsidRPr="00725A19">
        <w:rPr>
          <w:rFonts w:ascii="Palatino Linotype" w:eastAsia="Palatino Linotype" w:hAnsi="Palatino Linotype" w:cs="Palatino Linotype"/>
          <w:b/>
          <w:i/>
          <w:sz w:val="22"/>
          <w:szCs w:val="22"/>
        </w:rPr>
        <w:t>VIII. Pensiones alimenticias ordenadas por la autoridad judicial;</w:t>
      </w:r>
      <w:r w:rsidRPr="00725A19">
        <w:rPr>
          <w:rFonts w:ascii="Palatino Linotype" w:eastAsia="Palatino Linotype" w:hAnsi="Palatino Linotype" w:cs="Palatino Linotype"/>
          <w:i/>
          <w:sz w:val="22"/>
          <w:szCs w:val="22"/>
        </w:rPr>
        <w:t xml:space="preserve"> o</w:t>
      </w:r>
    </w:p>
    <w:p w14:paraId="5A4F8B63" w14:textId="77777777" w:rsidR="002C13C2" w:rsidRPr="00725A19" w:rsidRDefault="002C13C2" w:rsidP="001541B6">
      <w:pPr>
        <w:spacing w:line="276" w:lineRule="auto"/>
        <w:ind w:left="1134" w:right="851"/>
        <w:jc w:val="both"/>
        <w:rPr>
          <w:rFonts w:ascii="Palatino Linotype" w:eastAsia="Palatino Linotype" w:hAnsi="Palatino Linotype" w:cs="Palatino Linotype"/>
          <w:sz w:val="22"/>
          <w:szCs w:val="22"/>
        </w:rPr>
      </w:pPr>
      <w:r w:rsidRPr="00725A19">
        <w:rPr>
          <w:rFonts w:ascii="Palatino Linotype" w:eastAsia="Palatino Linotype" w:hAnsi="Palatino Linotype" w:cs="Palatino Linotype"/>
          <w:b/>
          <w:i/>
          <w:sz w:val="22"/>
          <w:szCs w:val="22"/>
        </w:rPr>
        <w:t>IX. Cualquier otro convenido con instituciones de servicios y aceptado por el servidor público.</w:t>
      </w:r>
    </w:p>
    <w:p w14:paraId="38A34B34" w14:textId="77777777" w:rsidR="002C13C2" w:rsidRPr="00725A19" w:rsidRDefault="002C13C2" w:rsidP="001541B6">
      <w:pPr>
        <w:spacing w:line="276" w:lineRule="auto"/>
        <w:ind w:left="1134" w:right="851"/>
        <w:jc w:val="both"/>
        <w:rPr>
          <w:rFonts w:ascii="Palatino Linotype" w:eastAsia="Palatino Linotype" w:hAnsi="Palatino Linotype" w:cs="Palatino Linotype"/>
          <w:sz w:val="22"/>
          <w:szCs w:val="22"/>
        </w:rPr>
      </w:pPr>
      <w:r w:rsidRPr="00725A19">
        <w:rPr>
          <w:rFonts w:ascii="Palatino Linotype" w:eastAsia="Palatino Linotype" w:hAnsi="Palatino Linotype" w:cs="Palatino Linotype"/>
          <w:i/>
          <w:sz w:val="22"/>
          <w:szCs w:val="22"/>
        </w:rPr>
        <w:t>El monto total de las retenciones, descuentos o deducciones no podrá exceder del 30% de la remuneración total, excepto en los casos a que se refieren las fracciones IV, V y VI de este artículo, en que podrán ser de hasta el 50%, salvo en los casos en que se demuestre que el crédito se concedió con base en los ingresos familiares para hacer posible el derecho constitucional a una vivienda digna, o se refieran a lo establecido en la fracción VIII de este artículo, en que se ajustará a lo determinado por la autoridad judicial.” </w:t>
      </w:r>
    </w:p>
    <w:p w14:paraId="6B88D57E" w14:textId="77777777" w:rsidR="002C13C2" w:rsidRPr="00725A19" w:rsidRDefault="002C13C2" w:rsidP="001541B6">
      <w:pPr>
        <w:spacing w:line="276" w:lineRule="auto"/>
        <w:ind w:left="1134" w:right="851"/>
        <w:jc w:val="both"/>
        <w:rPr>
          <w:rFonts w:ascii="Palatino Linotype" w:eastAsia="Palatino Linotype" w:hAnsi="Palatino Linotype" w:cs="Palatino Linotype"/>
          <w:sz w:val="22"/>
          <w:szCs w:val="22"/>
        </w:rPr>
      </w:pPr>
      <w:r w:rsidRPr="00725A19">
        <w:rPr>
          <w:rFonts w:ascii="Palatino Linotype" w:eastAsia="Palatino Linotype" w:hAnsi="Palatino Linotype" w:cs="Palatino Linotype"/>
          <w:sz w:val="22"/>
          <w:szCs w:val="22"/>
        </w:rPr>
        <w:t>(Énfasis añadido)</w:t>
      </w:r>
    </w:p>
    <w:p w14:paraId="7B73272D" w14:textId="77777777" w:rsidR="002C13C2" w:rsidRPr="00725A19" w:rsidRDefault="002C13C2" w:rsidP="00D5171F">
      <w:pPr>
        <w:spacing w:line="360" w:lineRule="auto"/>
        <w:ind w:left="851" w:right="-929"/>
        <w:jc w:val="both"/>
        <w:rPr>
          <w:rFonts w:ascii="Palatino Linotype" w:eastAsia="Palatino Linotype" w:hAnsi="Palatino Linotype" w:cs="Palatino Linotype"/>
        </w:rPr>
      </w:pPr>
    </w:p>
    <w:p w14:paraId="0BB2D27A"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hAnsi="Palatino Linotype"/>
          <w:lang w:val="es-ES"/>
        </w:rPr>
        <w:t>Derivado</w:t>
      </w:r>
      <w:r w:rsidRPr="00725A19">
        <w:rPr>
          <w:rFonts w:ascii="Palatino Linotype" w:eastAsia="Palatino Linotype" w:hAnsi="Palatino Linotype" w:cs="Palatino Linotype"/>
        </w:rPr>
        <w:t xml:space="preserve"> de lo anterior, la ley establece claramente cuáles son esos descuentos o gravámenes que directamente se relacionan con las obligaciones adquiridas como servidores públicos y aquéllos que </w:t>
      </w:r>
      <w:r w:rsidRPr="00725A19">
        <w:rPr>
          <w:rFonts w:ascii="Palatino Linotype" w:eastAsia="Palatino Linotype" w:hAnsi="Palatino Linotype" w:cs="Palatino Linotype"/>
          <w:b/>
          <w:u w:val="single"/>
        </w:rPr>
        <w:t>únicamente inciden en su vida privada</w:t>
      </w:r>
      <w:r w:rsidRPr="00725A19">
        <w:rPr>
          <w:rFonts w:ascii="Palatino Linotype" w:eastAsia="Palatino Linotype" w:hAnsi="Palatino Linotype" w:cs="Palatino Linotype"/>
        </w:rPr>
        <w:t xml:space="preserve">. De este modo, descuentos por pensiones alimenticias o créditos adquiridos con </w:t>
      </w:r>
      <w:r w:rsidRPr="00725A19">
        <w:rPr>
          <w:rFonts w:ascii="Palatino Linotype" w:eastAsia="Palatino Linotype" w:hAnsi="Palatino Linotype" w:cs="Palatino Linotype"/>
          <w:b/>
        </w:rPr>
        <w:t>instituciones</w:t>
      </w:r>
      <w:r w:rsidRPr="00725A19">
        <w:rPr>
          <w:rFonts w:ascii="Palatino Linotype" w:eastAsia="Palatino Linotype" w:hAnsi="Palatino Linotype" w:cs="Palatino Linotype"/>
        </w:rPr>
        <w:t xml:space="preserve"> </w:t>
      </w:r>
      <w:r w:rsidRPr="00725A19">
        <w:rPr>
          <w:rFonts w:ascii="Palatino Linotype" w:eastAsia="Palatino Linotype" w:hAnsi="Palatino Linotype" w:cs="Palatino Linotype"/>
        </w:rPr>
        <w:lastRenderedPageBreak/>
        <w:t>privadas o públicas pero que fueron contraídas en forma individual, son información que debe clasificarse como confidencial.</w:t>
      </w:r>
    </w:p>
    <w:p w14:paraId="66413FCD"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70397F20"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 Con base en lo expuesto, se insiste que los datos mencionados, que como se ha dicho, deben ser clasificados como confidenciales por tratarse de información privada, toda </w:t>
      </w:r>
      <w:r w:rsidRPr="00725A19">
        <w:rPr>
          <w:rFonts w:ascii="Palatino Linotype" w:eastAsia="Palatino Linotype" w:hAnsi="Palatino Linotype" w:cs="Palatino Linotype"/>
          <w:b/>
        </w:rPr>
        <w:t>vez</w:t>
      </w:r>
      <w:r w:rsidRPr="00725A19">
        <w:rPr>
          <w:rFonts w:ascii="Palatino Linotype" w:eastAsia="Palatino Linotype" w:hAnsi="Palatino Linotype" w:cs="Palatino Linotype"/>
        </w:rPr>
        <w:t xml:space="preserve"> que los datos personales son irrenunciables, intransferibles e indelegables, por lo tanto los sujetos obligados no deben hacer entrega de éstos a persona ajena a su titular, sobre todo cuando traiga implícita que se ponga en riesgo la vida o integridad de una persona.</w:t>
      </w:r>
    </w:p>
    <w:p w14:paraId="68CEDECA"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6345E870"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hAnsi="Palatino Linotype"/>
          <w:lang w:val="es-ES"/>
        </w:rPr>
        <w:t>Sirven</w:t>
      </w:r>
      <w:r w:rsidRPr="00725A19">
        <w:rPr>
          <w:rFonts w:ascii="Palatino Linotype" w:eastAsia="Palatino Linotype" w:hAnsi="Palatino Linotype" w:cs="Palatino Linotype"/>
        </w:rPr>
        <w:t xml:space="preserve"> de sustento a lo anterior, las tesis jurisprudenciales P. LX/2000 y 2a. XLIII/2008 </w:t>
      </w:r>
      <w:r w:rsidRPr="00725A19">
        <w:rPr>
          <w:rFonts w:ascii="Palatino Linotype" w:eastAsia="Palatino Linotype" w:hAnsi="Palatino Linotype" w:cs="Palatino Linotype"/>
          <w:szCs w:val="20"/>
        </w:rPr>
        <w:t>emitidas</w:t>
      </w:r>
      <w:r w:rsidRPr="00725A19">
        <w:rPr>
          <w:rFonts w:ascii="Palatino Linotype" w:eastAsia="Palatino Linotype" w:hAnsi="Palatino Linotype" w:cs="Palatino Linotype"/>
        </w:rPr>
        <w:t xml:space="preserve"> por el Peno y la Segunda Sala de la Suprema Corte de Justicia de la Nación, </w:t>
      </w:r>
      <w:r w:rsidRPr="00725A19">
        <w:rPr>
          <w:rFonts w:ascii="Palatino Linotype" w:eastAsia="Palatino Linotype" w:hAnsi="Palatino Linotype" w:cs="Palatino Linotype"/>
          <w:b/>
        </w:rPr>
        <w:t>respectivamente</w:t>
      </w:r>
      <w:r w:rsidRPr="00725A19">
        <w:rPr>
          <w:rFonts w:ascii="Palatino Linotype" w:eastAsia="Palatino Linotype" w:hAnsi="Palatino Linotype" w:cs="Palatino Linotype"/>
        </w:rPr>
        <w:t>, que son del tenor literal siguiente:</w:t>
      </w:r>
    </w:p>
    <w:p w14:paraId="1E3E9FE6" w14:textId="77777777" w:rsidR="007322D3" w:rsidRPr="00725A19" w:rsidRDefault="007322D3" w:rsidP="007322D3">
      <w:pPr>
        <w:pBdr>
          <w:top w:val="nil"/>
          <w:left w:val="nil"/>
          <w:bottom w:val="nil"/>
          <w:right w:val="nil"/>
          <w:between w:val="nil"/>
        </w:pBdr>
        <w:spacing w:line="276" w:lineRule="auto"/>
        <w:jc w:val="both"/>
        <w:rPr>
          <w:rFonts w:ascii="Palatino Linotype" w:eastAsia="Palatino Linotype" w:hAnsi="Palatino Linotype" w:cs="Palatino Linotype"/>
          <w:sz w:val="22"/>
          <w:szCs w:val="22"/>
        </w:rPr>
      </w:pPr>
    </w:p>
    <w:p w14:paraId="0BF2F099" w14:textId="77777777" w:rsidR="002C13C2" w:rsidRPr="00725A19" w:rsidRDefault="002C13C2" w:rsidP="007322D3">
      <w:pPr>
        <w:spacing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b/>
          <w:i/>
          <w:sz w:val="22"/>
          <w:szCs w:val="22"/>
        </w:rPr>
        <w:t xml:space="preserve">“DERECHO A LA INFORMACIÓN. SU EJERCICIO SE ENCUENTRA LIMITADO TANTO POR LOS INTERESES NACIONALES Y DE LA SOCIEDAD, COMO POR LOS DERECHOS DE TERCEROS. </w:t>
      </w:r>
      <w:r w:rsidRPr="00725A19">
        <w:rPr>
          <w:rFonts w:ascii="Palatino Linotype" w:eastAsia="Palatino Linotype" w:hAnsi="Palatino Linotype" w:cs="Palatino Linotype"/>
          <w:i/>
          <w:sz w:val="22"/>
          <w:szCs w:val="22"/>
        </w:rPr>
        <w:t xml:space="preserve">El derecho a la información consagrado en la última parte del artículo 6o. de la Constitución Federal no es absoluto, sino que, como toda garantía, se halla sujeto a limitaciones o excepciones que se sustentan, fundamentalmente, en la protección de la seguridad nacional y en el respeto tanto a los intereses de la sociedad como a los derechos de los gobernados, limitaciones que, incluso, han dado origen a la figura jurídica del secreto de información que se conoce en la doctrina como "reserva de información" o "secreto burocrático". En estas condiciones, al encontrarse obligado el Estado, como sujeto pasivo de la citada garantía, a velar por dichos intereses, con apego a </w:t>
      </w:r>
      <w:r w:rsidRPr="00725A19">
        <w:rPr>
          <w:rFonts w:ascii="Palatino Linotype" w:eastAsia="Palatino Linotype" w:hAnsi="Palatino Linotype" w:cs="Palatino Linotype"/>
          <w:i/>
          <w:sz w:val="22"/>
          <w:szCs w:val="22"/>
        </w:rPr>
        <w:lastRenderedPageBreak/>
        <w:t xml:space="preserve">las normas constitucionales y legales, el mencionado derecho no puede ser garantizado indiscriminadamente, sino que el respeto a su ejercicio encuentra excepciones que lo regulan y a su vez lo garantizan, en atención a la materia a que se refiera; así, en cuanto a la seguridad nacional, se tienen normas que, por un lado, </w:t>
      </w:r>
      <w:r w:rsidRPr="00725A19">
        <w:rPr>
          <w:rFonts w:ascii="Palatino Linotype" w:eastAsia="Palatino Linotype" w:hAnsi="Palatino Linotype" w:cs="Palatino Linotype"/>
          <w:b/>
          <w:i/>
          <w:sz w:val="22"/>
          <w:szCs w:val="22"/>
        </w:rPr>
        <w:t>restringen el acceso a la información en esta materia, en razón de que su conocimiento público puede generar daños a los intereses nacionales y, por el otro, sancionan la inobservancia de esa reserva</w:t>
      </w:r>
      <w:r w:rsidRPr="00725A19">
        <w:rPr>
          <w:rFonts w:ascii="Palatino Linotype" w:eastAsia="Palatino Linotype" w:hAnsi="Palatino Linotype" w:cs="Palatino Linotype"/>
          <w:i/>
          <w:sz w:val="22"/>
          <w:szCs w:val="22"/>
        </w:rPr>
        <w:t xml:space="preserve">; por lo que hace al interés social, se cuenta con normas que tienden a proteger la averiguación de los delitos, la salud y la moral públicas, </w:t>
      </w:r>
      <w:r w:rsidRPr="00725A19">
        <w:rPr>
          <w:rFonts w:ascii="Palatino Linotype" w:eastAsia="Palatino Linotype" w:hAnsi="Palatino Linotype" w:cs="Palatino Linotype"/>
          <w:b/>
          <w:i/>
          <w:sz w:val="22"/>
          <w:szCs w:val="22"/>
        </w:rPr>
        <w:t>mientras que por lo que respecta a la protección de la persona existen normas que protegen el derecho a la vida o a la privacidad de los gobernados</w:t>
      </w:r>
      <w:r w:rsidRPr="00725A19">
        <w:rPr>
          <w:rFonts w:ascii="Palatino Linotype" w:eastAsia="Palatino Linotype" w:hAnsi="Palatino Linotype" w:cs="Palatino Linotype"/>
          <w:i/>
          <w:sz w:val="22"/>
          <w:szCs w:val="22"/>
        </w:rPr>
        <w:t>.”</w:t>
      </w:r>
    </w:p>
    <w:p w14:paraId="0204E43E" w14:textId="77777777" w:rsidR="002C13C2" w:rsidRPr="00725A19" w:rsidRDefault="002C13C2" w:rsidP="007322D3">
      <w:pPr>
        <w:spacing w:line="276" w:lineRule="auto"/>
        <w:ind w:left="1134" w:right="851"/>
        <w:jc w:val="both"/>
        <w:rPr>
          <w:rFonts w:ascii="Palatino Linotype" w:eastAsia="Palatino Linotype" w:hAnsi="Palatino Linotype" w:cs="Palatino Linotype"/>
          <w:i/>
          <w:sz w:val="22"/>
          <w:szCs w:val="22"/>
        </w:rPr>
      </w:pPr>
    </w:p>
    <w:p w14:paraId="10B4DD04" w14:textId="77777777" w:rsidR="002C13C2" w:rsidRPr="00725A19" w:rsidRDefault="002C13C2" w:rsidP="007322D3">
      <w:pPr>
        <w:spacing w:line="276" w:lineRule="auto"/>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b/>
          <w:i/>
          <w:sz w:val="22"/>
          <w:szCs w:val="22"/>
        </w:rPr>
        <w:t xml:space="preserve">“TRANSPARENCIA Y ACCESO A LA INFORMACIÓN PÚBLICA GUBERNAMENTAL. EL ARTÍCULO 14, FRACCIÓN I, DE LA LEY FEDERAL RELATIVA, NO VIOLA LA GARANTÍA DE ACCESO A LA INFORMACIÓN. </w:t>
      </w:r>
      <w:r w:rsidRPr="00725A19">
        <w:rPr>
          <w:rFonts w:ascii="Palatino Linotype" w:eastAsia="Palatino Linotype" w:hAnsi="Palatino Linotype" w:cs="Palatino Linotype"/>
          <w:i/>
          <w:sz w:val="22"/>
          <w:szCs w:val="22"/>
        </w:rPr>
        <w:t xml:space="preserve">El Tribunal en Pleno de la Suprema Corte de Justicia de la Nación en la tesis P. LX/2000 de rubro: "DERECHO A LA INFORMACIÓN. SU EJERCICIO SE ENCUENTRA LIMITADO TANTO POR LOS INTERESES NACIONALES Y DE LA SOCIEDAD, COMO POR LOS DERECHOS DE TERCEROS.", publicada en el Semanario Judicial de la Federación y su Gaceta, Novena Época, Tomo XI, abril de 2000, página 74, estableció que el ejercicio del derecho a la información no es irrestricto, sino que tiene límites que se sustentan en la protección de la seguridad nacional y en el respeto a los intereses de la sociedad y a los derechos de los gobernados, en atención a la materia de que se trate. En ese sentido, el citado precepto, al remitir a diversas normas ordinarias que establezcan restricciones a la información, no viola la garantía de acceso a la información contenida en el artículo 6o. de la Constitución Política de los Estados Unidos Mexicanos, porque es jurídicamente adecuado que en las leyes reguladoras de cada materia, </w:t>
      </w:r>
      <w:r w:rsidRPr="00725A19">
        <w:rPr>
          <w:rFonts w:ascii="Palatino Linotype" w:eastAsia="Palatino Linotype" w:hAnsi="Palatino Linotype" w:cs="Palatino Linotype"/>
          <w:b/>
          <w:i/>
          <w:sz w:val="22"/>
          <w:szCs w:val="22"/>
        </w:rPr>
        <w:t xml:space="preserve">el legislador federal o local establezca las restricciones correspondientes y clasifique a determinados datos como </w:t>
      </w:r>
      <w:r w:rsidRPr="00725A19">
        <w:rPr>
          <w:rFonts w:ascii="Palatino Linotype" w:eastAsia="Palatino Linotype" w:hAnsi="Palatino Linotype" w:cs="Palatino Linotype"/>
          <w:b/>
          <w:i/>
          <w:sz w:val="22"/>
          <w:szCs w:val="22"/>
        </w:rPr>
        <w:lastRenderedPageBreak/>
        <w:t>confidenciales o reservados, con la condición de que tales límites atiendan a intereses públicos o de los particulares y encuentren justificación racional en función del bien jurídico a proteger, es decir, que exista proporcionalidad y congruencia entre el derecho fundamental de que se trata y la razón que motive la restricción legislativa correspondiente,</w:t>
      </w:r>
      <w:r w:rsidRPr="00725A19">
        <w:rPr>
          <w:rFonts w:ascii="Palatino Linotype" w:eastAsia="Palatino Linotype" w:hAnsi="Palatino Linotype" w:cs="Palatino Linotype"/>
          <w:i/>
          <w:sz w:val="22"/>
          <w:szCs w:val="22"/>
        </w:rPr>
        <w:t xml:space="preserve"> la cual debe ser adecuada y necesaria para alcanzar el fin perseguido, de manera que las ventajas obtenidas con la reserva compensen el sacrificio que ésta implique para los titulares de la garantía individual mencionada o para la sociedad en general.”</w:t>
      </w:r>
    </w:p>
    <w:p w14:paraId="058FA8AB" w14:textId="77777777" w:rsidR="002C13C2" w:rsidRPr="00725A19" w:rsidRDefault="002C13C2" w:rsidP="002C13C2">
      <w:pPr>
        <w:ind w:left="1134" w:right="-929"/>
        <w:jc w:val="both"/>
        <w:rPr>
          <w:rFonts w:ascii="Palatino Linotype" w:eastAsia="Palatino Linotype" w:hAnsi="Palatino Linotype" w:cs="Palatino Linotype"/>
          <w:i/>
        </w:rPr>
      </w:pPr>
    </w:p>
    <w:p w14:paraId="734653CD"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También, el número de cuenta bancario, en el Criterio 10/17 emitido por el Pleno del Instituto </w:t>
      </w:r>
      <w:r w:rsidRPr="00725A19">
        <w:rPr>
          <w:rFonts w:ascii="Palatino Linotype" w:eastAsia="Palatino Linotype" w:hAnsi="Palatino Linotype" w:cs="Palatino Linotype"/>
          <w:b/>
        </w:rPr>
        <w:t>Nacional</w:t>
      </w:r>
      <w:r w:rsidRPr="00725A19">
        <w:rPr>
          <w:rFonts w:ascii="Palatino Linotype" w:eastAsia="Palatino Linotype" w:hAnsi="Palatino Linotype" w:cs="Palatino Linotype"/>
        </w:rPr>
        <w:t xml:space="preserve"> de Transparencia, Acceso a la Información y Protección de </w:t>
      </w:r>
      <w:r w:rsidRPr="00725A19">
        <w:rPr>
          <w:rFonts w:ascii="Palatino Linotype" w:eastAsia="Palatino Linotype" w:hAnsi="Palatino Linotype" w:cs="Palatino Linotype"/>
          <w:szCs w:val="20"/>
        </w:rPr>
        <w:t>Datos</w:t>
      </w:r>
      <w:r w:rsidRPr="00725A19">
        <w:rPr>
          <w:rFonts w:ascii="Palatino Linotype" w:eastAsia="Palatino Linotype" w:hAnsi="Palatino Linotype" w:cs="Palatino Linotype"/>
        </w:rPr>
        <w:t xml:space="preserve"> Personales  se establece lo siguiente:</w:t>
      </w:r>
    </w:p>
    <w:p w14:paraId="7772C748" w14:textId="77777777" w:rsidR="00F0073E" w:rsidRPr="00725A19" w:rsidRDefault="00F0073E" w:rsidP="00F0073E">
      <w:pPr>
        <w:pBdr>
          <w:top w:val="nil"/>
          <w:left w:val="nil"/>
          <w:bottom w:val="nil"/>
          <w:right w:val="nil"/>
          <w:between w:val="nil"/>
        </w:pBdr>
        <w:spacing w:line="360" w:lineRule="auto"/>
        <w:jc w:val="both"/>
        <w:rPr>
          <w:rFonts w:ascii="Palatino Linotype" w:eastAsia="Palatino Linotype" w:hAnsi="Palatino Linotype" w:cs="Palatino Linotype"/>
        </w:rPr>
      </w:pPr>
    </w:p>
    <w:p w14:paraId="6C09DBB4" w14:textId="77777777" w:rsidR="002C13C2" w:rsidRPr="00725A19" w:rsidRDefault="002C13C2" w:rsidP="007322D3">
      <w:pPr>
        <w:shd w:val="clear" w:color="auto" w:fill="FFFFFF"/>
        <w:spacing w:line="276" w:lineRule="auto"/>
        <w:ind w:left="1134" w:right="851"/>
        <w:jc w:val="both"/>
        <w:rPr>
          <w:rFonts w:ascii="Palatino Linotype" w:eastAsia="Palatino Linotype" w:hAnsi="Palatino Linotype" w:cs="Palatino Linotype"/>
          <w:sz w:val="22"/>
          <w:szCs w:val="22"/>
        </w:rPr>
      </w:pPr>
      <w:r w:rsidRPr="00725A19">
        <w:rPr>
          <w:rFonts w:ascii="Palatino Linotype" w:eastAsia="Palatino Linotype" w:hAnsi="Palatino Linotype" w:cs="Palatino Linotype"/>
          <w:sz w:val="22"/>
          <w:szCs w:val="22"/>
        </w:rPr>
        <w:t>“</w:t>
      </w:r>
      <w:r w:rsidRPr="00725A19">
        <w:rPr>
          <w:rFonts w:ascii="Palatino Linotype" w:eastAsia="Palatino Linotype" w:hAnsi="Palatino Linotype" w:cs="Palatino Linotype"/>
          <w:b/>
          <w:i/>
          <w:sz w:val="22"/>
          <w:szCs w:val="22"/>
        </w:rPr>
        <w:t>Cuentas bancarias y/o CLABE interbancaria de personas físicas y morales privadas.</w:t>
      </w:r>
      <w:r w:rsidRPr="00725A19">
        <w:rPr>
          <w:rFonts w:ascii="Palatino Linotype" w:eastAsia="Palatino Linotype" w:hAnsi="Palatino Linotype" w:cs="Palatino Linotype"/>
          <w:i/>
          <w:sz w:val="22"/>
          <w:szCs w:val="22"/>
        </w:rPr>
        <w:t xml:space="preserve"> El número de cuenta bancaria y/o CLABE interbancaria de particulares es información confidencial, al tratarse de un conjunto de caracteres numéricos utilizados por los grupos financieros para identificar las cuentas de sus clientes, a través de los cuales se puede acceder a información relacionada con su patrimonio y realizar diversas transacciones; por tanto, constituye información clasificada con fundamento en los artículos 116 de la Ley General de Transparencia y Acceso a la Información Pública y 113 de la Ley Federal de Transparencia y Acceso a la Información Pública</w:t>
      </w:r>
      <w:r w:rsidRPr="00725A19">
        <w:rPr>
          <w:rFonts w:ascii="Palatino Linotype" w:eastAsia="Palatino Linotype" w:hAnsi="Palatino Linotype" w:cs="Palatino Linotype"/>
          <w:sz w:val="22"/>
          <w:szCs w:val="22"/>
        </w:rPr>
        <w:t>.”</w:t>
      </w:r>
    </w:p>
    <w:p w14:paraId="513E6886" w14:textId="77777777" w:rsidR="002C13C2" w:rsidRPr="00725A19" w:rsidRDefault="002C13C2" w:rsidP="00F0073E">
      <w:pPr>
        <w:spacing w:line="360" w:lineRule="auto"/>
        <w:ind w:left="1134" w:right="-929"/>
        <w:jc w:val="both"/>
        <w:rPr>
          <w:rFonts w:ascii="Palatino Linotype" w:eastAsia="Palatino Linotype" w:hAnsi="Palatino Linotype" w:cs="Palatino Linotype"/>
        </w:rPr>
      </w:pPr>
    </w:p>
    <w:p w14:paraId="623CB851"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Esta cuenta es de uso personal y no guarda relación con el servicio público ni con los </w:t>
      </w:r>
      <w:r w:rsidRPr="00725A19">
        <w:rPr>
          <w:rFonts w:ascii="Palatino Linotype" w:eastAsia="Palatino Linotype" w:hAnsi="Palatino Linotype" w:cs="Palatino Linotype"/>
          <w:szCs w:val="20"/>
        </w:rPr>
        <w:t>recursos</w:t>
      </w:r>
      <w:r w:rsidRPr="00725A19">
        <w:rPr>
          <w:rFonts w:ascii="Palatino Linotype" w:eastAsia="Palatino Linotype" w:hAnsi="Palatino Linotype" w:cs="Palatino Linotype"/>
        </w:rPr>
        <w:t xml:space="preserve"> </w:t>
      </w:r>
      <w:r w:rsidRPr="00725A19">
        <w:rPr>
          <w:rFonts w:ascii="Palatino Linotype" w:eastAsia="Palatino Linotype" w:hAnsi="Palatino Linotype" w:cs="Palatino Linotype"/>
          <w:b/>
        </w:rPr>
        <w:t>públicos</w:t>
      </w:r>
      <w:r w:rsidRPr="00725A19">
        <w:rPr>
          <w:rFonts w:ascii="Palatino Linotype" w:eastAsia="Palatino Linotype" w:hAnsi="Palatino Linotype" w:cs="Palatino Linotype"/>
        </w:rPr>
        <w:t xml:space="preserve">, ya que es elección del trabajador determinar si desea que su sueldo se pague de manera directa o a través de depósito bancario en la institución de crédito de su elección. De tal suerte, el número de cuenta bancario lo proporciona el </w:t>
      </w:r>
      <w:r w:rsidRPr="00725A19">
        <w:rPr>
          <w:rFonts w:ascii="Palatino Linotype" w:eastAsia="Palatino Linotype" w:hAnsi="Palatino Linotype" w:cs="Palatino Linotype"/>
        </w:rPr>
        <w:lastRenderedPageBreak/>
        <w:t>servidor público al Sujeto Obligado, con el único fin de que realicen los depósitos de su sueldo, por lo que este número constituye información confidencial al pertenecer exclusivamente al ámbito de la vida privada del trabajador y procede su eliminación de conformidad con el artículo 143, fracción I de la Ley de Transparencia y Acceso a la Información Pública del Estado de México y Municipios.</w:t>
      </w:r>
    </w:p>
    <w:p w14:paraId="4E77DAE2" w14:textId="77777777" w:rsidR="002C13C2" w:rsidRPr="00725A19" w:rsidRDefault="002C13C2" w:rsidP="002C13C2">
      <w:pPr>
        <w:spacing w:line="360" w:lineRule="auto"/>
        <w:jc w:val="both"/>
        <w:rPr>
          <w:rFonts w:ascii="Palatino Linotype" w:eastAsia="Palatino Linotype" w:hAnsi="Palatino Linotype" w:cs="Palatino Linotype"/>
        </w:rPr>
      </w:pPr>
    </w:p>
    <w:p w14:paraId="6714F9AC"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El </w:t>
      </w:r>
      <w:r w:rsidRPr="00725A19">
        <w:rPr>
          <w:rFonts w:ascii="Palatino Linotype" w:eastAsia="Palatino Linotype" w:hAnsi="Palatino Linotype" w:cs="Palatino Linotype"/>
          <w:b/>
        </w:rPr>
        <w:t>Código de barras bidimensional (QR</w:t>
      </w:r>
      <w:r w:rsidRPr="00725A19">
        <w:rPr>
          <w:rFonts w:ascii="Palatino Linotype" w:eastAsia="Palatino Linotype" w:hAnsi="Palatino Linotype" w:cs="Palatino Linotype"/>
        </w:rPr>
        <w:t xml:space="preserve">), resulta necesario señalar que los </w:t>
      </w:r>
      <w:r w:rsidRPr="00725A19">
        <w:rPr>
          <w:rFonts w:ascii="Palatino Linotype" w:eastAsia="Palatino Linotype" w:hAnsi="Palatino Linotype" w:cs="Palatino Linotype"/>
          <w:szCs w:val="20"/>
        </w:rPr>
        <w:t>comprobantes</w:t>
      </w:r>
      <w:r w:rsidRPr="00725A19">
        <w:rPr>
          <w:rFonts w:ascii="Palatino Linotype" w:eastAsia="Palatino Linotype" w:hAnsi="Palatino Linotype" w:cs="Palatino Linotype"/>
        </w:rPr>
        <w:t xml:space="preserve"> </w:t>
      </w:r>
      <w:r w:rsidRPr="00725A19">
        <w:rPr>
          <w:rFonts w:ascii="Palatino Linotype" w:eastAsia="Palatino Linotype" w:hAnsi="Palatino Linotype" w:cs="Palatino Linotype"/>
          <w:b/>
        </w:rPr>
        <w:t>fiscales</w:t>
      </w:r>
      <w:r w:rsidRPr="00725A19">
        <w:rPr>
          <w:rFonts w:ascii="Palatino Linotype" w:eastAsia="Palatino Linotype" w:hAnsi="Palatino Linotype" w:cs="Palatino Linotype"/>
        </w:rPr>
        <w:t xml:space="preserve"> digitales por Internet, deben de incluir un código bidimensional conforme al formato QR Code (Quick Response Code), el cual contiene el Registro Federal de Contribuyentes del receptor, del emisor, o de ambos; lo anterior, conforme al Anexo 20 de la Segunda Resolución de modificación a la Resolución Miscelánea Fiscal para el 2017, localizada en la página electrónica  </w:t>
      </w:r>
      <w:hyperlink r:id="rId9">
        <w:r w:rsidRPr="00725A19">
          <w:rPr>
            <w:rFonts w:ascii="Palatino Linotype" w:eastAsia="Palatino Linotype" w:hAnsi="Palatino Linotype" w:cs="Palatino Linotype"/>
          </w:rPr>
          <w:t>http://dof.gob.mx/nota_detalle.php?codigo=5492254&amp;fecha=28/07/2017</w:t>
        </w:r>
      </w:hyperlink>
      <w:r w:rsidRPr="00725A19">
        <w:rPr>
          <w:rFonts w:ascii="Palatino Linotype" w:eastAsia="Palatino Linotype" w:hAnsi="Palatino Linotype" w:cs="Palatino Linotype"/>
        </w:rPr>
        <w:t>. Incluso con la captura de dicho código, a través de la aplicación móvil del Servicio de Administración Tributaria, permite el acceso al Registro Federal de Contribuyentes, como del Sujeto Obligado, como de la persona física o moral correspondiente.</w:t>
      </w:r>
    </w:p>
    <w:p w14:paraId="2ABB3911"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6B890522"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De tales circunstancias, se considera que se actualiza la causal de clasificación prevista en el artículo 143, fracción I de la Ley de la materia, toda vez que el Registro Federal </w:t>
      </w:r>
      <w:r w:rsidRPr="00725A19">
        <w:rPr>
          <w:rFonts w:ascii="Palatino Linotype" w:eastAsia="Palatino Linotype" w:hAnsi="Palatino Linotype" w:cs="Palatino Linotype"/>
          <w:szCs w:val="20"/>
        </w:rPr>
        <w:t>de</w:t>
      </w:r>
      <w:r w:rsidRPr="00725A19">
        <w:rPr>
          <w:rFonts w:ascii="Palatino Linotype" w:eastAsia="Palatino Linotype" w:hAnsi="Palatino Linotype" w:cs="Palatino Linotype"/>
        </w:rPr>
        <w:t xml:space="preserve"> Contribuyentes corresponde a los servidores públicos, pues como se señaló en párrafos anteriores el mismo hace identificable o identificada al mismo.</w:t>
      </w:r>
    </w:p>
    <w:p w14:paraId="0296DFE4"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7117EF17"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Por otra parte y respecto a la clave de seguridad social y en su caso clave o número del </w:t>
      </w:r>
      <w:r w:rsidRPr="00725A19">
        <w:rPr>
          <w:rFonts w:ascii="Palatino Linotype" w:eastAsia="Palatino Linotype" w:hAnsi="Palatino Linotype" w:cs="Palatino Linotype"/>
          <w:b/>
        </w:rPr>
        <w:t>servidor</w:t>
      </w:r>
      <w:r w:rsidRPr="00725A19">
        <w:rPr>
          <w:rFonts w:ascii="Palatino Linotype" w:eastAsia="Palatino Linotype" w:hAnsi="Palatino Linotype" w:cs="Palatino Linotype"/>
        </w:rPr>
        <w:t xml:space="preserve"> público –trabajador-, en virtud de que su divulgación no aporta a la transparencia o a la rendición de cuentas y sí provoca una transgresión a la vida privada e intimidad de la persona, esta información también resulta ser de carácter confidencial; siendo aplicable como orientador el criterio número 15/10 emitido por el entonces Instituto Federal de Transparencia y Acceso a la Información (INAI, cuyo texto y sentido literal es el siguiente:</w:t>
      </w:r>
    </w:p>
    <w:p w14:paraId="6C4606AF" w14:textId="77777777" w:rsidR="0071765F" w:rsidRPr="00725A19" w:rsidRDefault="0071765F" w:rsidP="0071765F">
      <w:pPr>
        <w:pBdr>
          <w:top w:val="nil"/>
          <w:left w:val="nil"/>
          <w:bottom w:val="nil"/>
          <w:right w:val="nil"/>
          <w:between w:val="nil"/>
        </w:pBdr>
        <w:spacing w:line="276" w:lineRule="auto"/>
        <w:jc w:val="both"/>
        <w:rPr>
          <w:rFonts w:ascii="Palatino Linotype" w:eastAsia="Palatino Linotype" w:hAnsi="Palatino Linotype" w:cs="Palatino Linotype"/>
          <w:sz w:val="22"/>
          <w:szCs w:val="22"/>
        </w:rPr>
      </w:pPr>
    </w:p>
    <w:p w14:paraId="3E3C2737" w14:textId="77777777" w:rsidR="002C13C2" w:rsidRPr="00725A19" w:rsidRDefault="002C13C2" w:rsidP="0071765F">
      <w:pPr>
        <w:shd w:val="clear" w:color="auto" w:fill="FFFFFF"/>
        <w:spacing w:line="276" w:lineRule="auto"/>
        <w:ind w:left="1134" w:right="851"/>
        <w:jc w:val="both"/>
        <w:rPr>
          <w:rFonts w:ascii="Palatino Linotype" w:eastAsia="Palatino Linotype" w:hAnsi="Palatino Linotype" w:cs="Palatino Linotype"/>
          <w:i/>
          <w:color w:val="222222"/>
          <w:sz w:val="22"/>
          <w:szCs w:val="22"/>
        </w:rPr>
      </w:pPr>
      <w:r w:rsidRPr="00725A19">
        <w:rPr>
          <w:rFonts w:ascii="Palatino Linotype" w:eastAsia="Palatino Linotype" w:hAnsi="Palatino Linotype" w:cs="Palatino Linotype"/>
          <w:b/>
          <w:i/>
          <w:color w:val="222222"/>
          <w:sz w:val="22"/>
          <w:szCs w:val="22"/>
        </w:rPr>
        <w:t>“El número de ficha de identificación única de los trabajadores es información de carácter confidencial.</w:t>
      </w:r>
      <w:r w:rsidRPr="00725A19">
        <w:rPr>
          <w:rFonts w:ascii="Palatino Linotype" w:eastAsia="Palatino Linotype" w:hAnsi="Palatino Linotype" w:cs="Palatino Linotype"/>
          <w:i/>
          <w:color w:val="222222"/>
          <w:sz w:val="22"/>
          <w:szCs w:val="22"/>
        </w:rPr>
        <w:t> </w:t>
      </w:r>
      <w:r w:rsidRPr="00725A19">
        <w:rPr>
          <w:rFonts w:ascii="Palatino Linotype" w:eastAsia="Palatino Linotype" w:hAnsi="Palatino Linotype" w:cs="Palatino Linotype"/>
          <w:i/>
          <w:color w:val="222222"/>
          <w:sz w:val="22"/>
          <w:szCs w:val="22"/>
          <w:u w:val="single"/>
        </w:rPr>
        <w:t>En los casos en que el número de trabajador o ficha de identificación única constituya un elemento por medio del cual los trabajadores puedan acceder a un sistema de datos o información de la dependencia o entidad, para hacer uso de diversos servicios, como la presentación de consultas relacionadas con su situación laboral particular</w:t>
      </w:r>
      <w:r w:rsidRPr="00725A19">
        <w:rPr>
          <w:rFonts w:ascii="Palatino Linotype" w:eastAsia="Palatino Linotype" w:hAnsi="Palatino Linotype" w:cs="Palatino Linotype"/>
          <w:i/>
          <w:color w:val="222222"/>
          <w:sz w:val="22"/>
          <w:szCs w:val="22"/>
        </w:rPr>
        <w:t>, </w:t>
      </w:r>
      <w:r w:rsidRPr="00725A19">
        <w:rPr>
          <w:rFonts w:ascii="Palatino Linotype" w:eastAsia="Palatino Linotype" w:hAnsi="Palatino Linotype" w:cs="Palatino Linotype"/>
          <w:i/>
          <w:color w:val="222222"/>
          <w:sz w:val="22"/>
          <w:szCs w:val="22"/>
          <w:u w:val="single"/>
        </w:rPr>
        <w:t>dicha información es susceptible de clasificarse con el carácter de confidencial</w:t>
      </w:r>
      <w:r w:rsidRPr="00725A19">
        <w:rPr>
          <w:rFonts w:ascii="Palatino Linotype" w:eastAsia="Palatino Linotype" w:hAnsi="Palatino Linotype" w:cs="Palatino Linotype"/>
          <w:i/>
          <w:color w:val="222222"/>
          <w:sz w:val="22"/>
          <w:szCs w:val="22"/>
        </w:rPr>
        <w:t>, en términos de lo establecido en el artículo 18, fracción II de la Ley Federal de Transparencia y Acceso a la Información Pública Gubernamental, en virtud de que a través de la misma es posible conocer información personal de su titular.”</w:t>
      </w:r>
    </w:p>
    <w:p w14:paraId="24B93C14" w14:textId="77777777" w:rsidR="002C13C2" w:rsidRPr="00725A19" w:rsidRDefault="002C13C2" w:rsidP="002C13C2">
      <w:pPr>
        <w:shd w:val="clear" w:color="auto" w:fill="FFFFFF"/>
        <w:ind w:left="1134" w:right="1106"/>
        <w:jc w:val="both"/>
        <w:rPr>
          <w:rFonts w:ascii="Palatino Linotype" w:eastAsia="Palatino Linotype" w:hAnsi="Palatino Linotype" w:cs="Palatino Linotype"/>
          <w:i/>
          <w:color w:val="222222"/>
        </w:rPr>
      </w:pPr>
    </w:p>
    <w:p w14:paraId="71428F99"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De lo anterior, se debe de mencionar que el </w:t>
      </w:r>
      <w:r w:rsidRPr="00725A19">
        <w:rPr>
          <w:rFonts w:ascii="Palatino Linotype" w:eastAsia="Palatino Linotype" w:hAnsi="Palatino Linotype" w:cs="Palatino Linotype"/>
          <w:b/>
        </w:rPr>
        <w:t xml:space="preserve">SUJETO OBLIGADO </w:t>
      </w:r>
      <w:r w:rsidRPr="00725A19">
        <w:rPr>
          <w:rFonts w:ascii="Palatino Linotype" w:eastAsia="Palatino Linotype" w:hAnsi="Palatino Linotype" w:cs="Palatino Linotype"/>
        </w:rPr>
        <w:t xml:space="preserve">deberá de realizar un análisis respecto al número de empleado, ya que este solo deberá de ser clasificado como confidencial si tiene relación con datos personales de los servidores </w:t>
      </w:r>
      <w:r w:rsidRPr="00725A19">
        <w:rPr>
          <w:rFonts w:ascii="Palatino Linotype" w:eastAsia="Palatino Linotype" w:hAnsi="Palatino Linotype" w:cs="Palatino Linotype"/>
          <w:szCs w:val="20"/>
        </w:rPr>
        <w:t>públicos</w:t>
      </w:r>
      <w:r w:rsidRPr="00725A19">
        <w:rPr>
          <w:rFonts w:ascii="Palatino Linotype" w:eastAsia="Palatino Linotype" w:hAnsi="Palatino Linotype" w:cs="Palatino Linotype"/>
        </w:rPr>
        <w:t>.</w:t>
      </w:r>
    </w:p>
    <w:p w14:paraId="67BB7170" w14:textId="77777777" w:rsidR="0071765F" w:rsidRPr="00725A19" w:rsidRDefault="0071765F" w:rsidP="0071765F">
      <w:pPr>
        <w:pBdr>
          <w:top w:val="nil"/>
          <w:left w:val="nil"/>
          <w:bottom w:val="nil"/>
          <w:right w:val="nil"/>
          <w:between w:val="nil"/>
        </w:pBdr>
        <w:spacing w:line="360" w:lineRule="auto"/>
        <w:jc w:val="both"/>
        <w:rPr>
          <w:rFonts w:ascii="Palatino Linotype" w:eastAsia="Palatino Linotype" w:hAnsi="Palatino Linotype" w:cs="Palatino Linotype"/>
        </w:rPr>
      </w:pPr>
    </w:p>
    <w:p w14:paraId="218BD399"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szCs w:val="20"/>
        </w:rPr>
        <w:lastRenderedPageBreak/>
        <w:t>Ahora</w:t>
      </w:r>
      <w:r w:rsidRPr="00725A19">
        <w:rPr>
          <w:rFonts w:ascii="Palatino Linotype" w:eastAsia="Palatino Linotype" w:hAnsi="Palatino Linotype" w:cs="Palatino Linotype"/>
        </w:rPr>
        <w:t xml:space="preserve"> bien, también es necesario indicar que hay información dentro de los recibos de nómina </w:t>
      </w:r>
      <w:r w:rsidRPr="00725A19">
        <w:rPr>
          <w:rFonts w:ascii="Palatino Linotype" w:eastAsia="Palatino Linotype" w:hAnsi="Palatino Linotype" w:cs="Palatino Linotype"/>
          <w:b/>
        </w:rPr>
        <w:t>que</w:t>
      </w:r>
      <w:r w:rsidRPr="00725A19">
        <w:rPr>
          <w:rFonts w:ascii="Palatino Linotype" w:eastAsia="Palatino Linotype" w:hAnsi="Palatino Linotype" w:cs="Palatino Linotype"/>
        </w:rPr>
        <w:t xml:space="preserve"> no contienen datos personales, mismos que deberá tener en cuenta el </w:t>
      </w:r>
      <w:r w:rsidRPr="00725A19">
        <w:rPr>
          <w:rFonts w:ascii="Palatino Linotype" w:eastAsia="Palatino Linotype" w:hAnsi="Palatino Linotype" w:cs="Palatino Linotype"/>
          <w:b/>
        </w:rPr>
        <w:t xml:space="preserve">SUJETO OBLIGADO </w:t>
      </w:r>
      <w:r w:rsidRPr="00725A19">
        <w:rPr>
          <w:rFonts w:ascii="Palatino Linotype" w:eastAsia="Palatino Linotype" w:hAnsi="Palatino Linotype" w:cs="Palatino Linotype"/>
        </w:rPr>
        <w:t>para la entrega de la información solicitada</w:t>
      </w:r>
      <w:r w:rsidRPr="00725A19">
        <w:rPr>
          <w:rFonts w:ascii="Palatino Linotype" w:eastAsia="Palatino Linotype" w:hAnsi="Palatino Linotype" w:cs="Palatino Linotype"/>
          <w:b/>
          <w:bCs/>
        </w:rPr>
        <w:t xml:space="preserve">. </w:t>
      </w:r>
    </w:p>
    <w:p w14:paraId="0C416788"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442D82CE"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Por cuanto hace </w:t>
      </w:r>
      <w:r w:rsidRPr="00725A19">
        <w:rPr>
          <w:rFonts w:ascii="Palatino Linotype" w:eastAsia="Palatino Linotype" w:hAnsi="Palatino Linotype" w:cs="Palatino Linotype"/>
          <w:b/>
        </w:rPr>
        <w:t>al Folio Fiscal</w:t>
      </w:r>
      <w:r w:rsidRPr="00725A19">
        <w:rPr>
          <w:rFonts w:ascii="Palatino Linotype" w:eastAsia="Palatino Linotype" w:hAnsi="Palatino Linotype" w:cs="Palatino Linotype"/>
        </w:rPr>
        <w:t xml:space="preserve">, cabe precisar que conforme al ANEXO 20 de la </w:t>
      </w:r>
      <w:r w:rsidRPr="00725A19">
        <w:rPr>
          <w:rFonts w:ascii="Palatino Linotype" w:eastAsia="Palatino Linotype" w:hAnsi="Palatino Linotype" w:cs="Palatino Linotype"/>
          <w:szCs w:val="20"/>
        </w:rPr>
        <w:t>Segunda</w:t>
      </w:r>
      <w:r w:rsidRPr="00725A19">
        <w:rPr>
          <w:rFonts w:ascii="Palatino Linotype" w:eastAsia="Palatino Linotype" w:hAnsi="Palatino Linotype" w:cs="Palatino Linotype"/>
        </w:rPr>
        <w:t xml:space="preserve"> Resolución de modificaciones a la Resolución Miscelánea Fiscal para dos mil diecisiete, el folio fiscal se conforma de treinta seis caracteres alfanuméricos; además, que conforme al documento denominado “Cómo ubicar el Folio Fiscal en una factura”, el dato se ubica dentro de los datos del emisor o en el recuadro de los datos de identificación del comprobante fiscal. Es un número consecutivo contenido en los comprobantes fiscales digitales, compuesto por 5 grupos de números y letras separados por guiones, tal como se muestra a continuación:</w:t>
      </w:r>
    </w:p>
    <w:p w14:paraId="20FFEDBB" w14:textId="77777777" w:rsidR="002C13C2" w:rsidRPr="00725A19" w:rsidRDefault="002C13C2" w:rsidP="002C13C2">
      <w:pPr>
        <w:spacing w:line="360" w:lineRule="auto"/>
        <w:ind w:right="-929"/>
        <w:jc w:val="center"/>
        <w:rPr>
          <w:rFonts w:ascii="Palatino Linotype" w:eastAsia="Palatino Linotype" w:hAnsi="Palatino Linotype" w:cs="Palatino Linotype"/>
        </w:rPr>
      </w:pPr>
      <w:r w:rsidRPr="00725A19">
        <w:rPr>
          <w:rFonts w:ascii="Palatino Linotype" w:eastAsia="Palatino Linotype" w:hAnsi="Palatino Linotype" w:cs="Palatino Linotype"/>
          <w:noProof/>
        </w:rPr>
        <w:drawing>
          <wp:inline distT="0" distB="0" distL="0" distR="0" wp14:anchorId="286F0307" wp14:editId="45D3DE5D">
            <wp:extent cx="3875964" cy="982639"/>
            <wp:effectExtent l="152400" t="152400" r="353695" b="370205"/>
            <wp:docPr id="71" name="image6.png" descr="Texto&#10;&#10;Descripción generada automáticamente"/>
            <wp:cNvGraphicFramePr/>
            <a:graphic xmlns:a="http://schemas.openxmlformats.org/drawingml/2006/main">
              <a:graphicData uri="http://schemas.openxmlformats.org/drawingml/2006/picture">
                <pic:pic xmlns:pic="http://schemas.openxmlformats.org/drawingml/2006/picture">
                  <pic:nvPicPr>
                    <pic:cNvPr id="71" name="image6.png" descr="Texto&#10;&#10;Descripción generada automáticamente"/>
                    <pic:cNvPicPr preferRelativeResize="0"/>
                  </pic:nvPicPr>
                  <pic:blipFill>
                    <a:blip r:embed="rId10"/>
                    <a:srcRect b="32787"/>
                    <a:stretch>
                      <a:fillRect/>
                    </a:stretch>
                  </pic:blipFill>
                  <pic:spPr>
                    <a:xfrm>
                      <a:off x="0" y="0"/>
                      <a:ext cx="3937500" cy="998240"/>
                    </a:xfrm>
                    <a:prstGeom prst="rect">
                      <a:avLst/>
                    </a:prstGeom>
                    <a:ln>
                      <a:noFill/>
                    </a:ln>
                    <a:effectLst>
                      <a:outerShdw blurRad="292100" dist="139700" dir="2700000" algn="tl" rotWithShape="0">
                        <a:srgbClr val="333333">
                          <a:alpha val="65000"/>
                        </a:srgbClr>
                      </a:outerShdw>
                    </a:effectLst>
                  </pic:spPr>
                </pic:pic>
              </a:graphicData>
            </a:graphic>
          </wp:inline>
        </w:drawing>
      </w:r>
    </w:p>
    <w:p w14:paraId="154FF10F"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En ese contexto, el folio fiscal, no contiene datos personales del emisor y tampoco se puede obtener información confidencial con el mismo, pues solamente es un identificador del </w:t>
      </w:r>
      <w:r w:rsidRPr="00725A19">
        <w:rPr>
          <w:rFonts w:ascii="Palatino Linotype" w:eastAsia="Palatino Linotype" w:hAnsi="Palatino Linotype" w:cs="Palatino Linotype"/>
          <w:b/>
        </w:rPr>
        <w:t>emisor</w:t>
      </w:r>
      <w:r w:rsidRPr="00725A19">
        <w:rPr>
          <w:rFonts w:ascii="Palatino Linotype" w:eastAsia="Palatino Linotype" w:hAnsi="Palatino Linotype" w:cs="Palatino Linotype"/>
        </w:rPr>
        <w:t xml:space="preserve">, del cual su transparencia ayuda a legitimar que el </w:t>
      </w:r>
      <w:r w:rsidRPr="00725A19">
        <w:rPr>
          <w:rFonts w:ascii="Palatino Linotype" w:eastAsia="Palatino Linotype" w:hAnsi="Palatino Linotype" w:cs="Palatino Linotype"/>
          <w:szCs w:val="20"/>
        </w:rPr>
        <w:t>documento</w:t>
      </w:r>
      <w:r w:rsidRPr="00725A19">
        <w:rPr>
          <w:rFonts w:ascii="Palatino Linotype" w:eastAsia="Palatino Linotype" w:hAnsi="Palatino Linotype" w:cs="Palatino Linotype"/>
        </w:rPr>
        <w:t xml:space="preserve"> cumple con todos los requisitos establecidos en la normatividad aplicable, sin necesidad </w:t>
      </w:r>
      <w:r w:rsidRPr="00725A19">
        <w:rPr>
          <w:rFonts w:ascii="Palatino Linotype" w:eastAsia="Palatino Linotype" w:hAnsi="Palatino Linotype" w:cs="Palatino Linotype"/>
        </w:rPr>
        <w:lastRenderedPageBreak/>
        <w:t>de algún dato personal, por lo que, no se actualiza la clasificación, en términos del artículo 143, fracción I de la Ley de la materia.</w:t>
      </w:r>
    </w:p>
    <w:p w14:paraId="36DF82EC"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37AE7399"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En esa línea de estudio, las cadenas originales y sellos que se agregan a las facturas, tienen </w:t>
      </w:r>
      <w:r w:rsidRPr="00725A19">
        <w:rPr>
          <w:rFonts w:ascii="Palatino Linotype" w:eastAsia="Palatino Linotype" w:hAnsi="Palatino Linotype" w:cs="Palatino Linotype"/>
          <w:b/>
        </w:rPr>
        <w:t>una</w:t>
      </w:r>
      <w:r w:rsidRPr="00725A19">
        <w:rPr>
          <w:rFonts w:ascii="Palatino Linotype" w:eastAsia="Palatino Linotype" w:hAnsi="Palatino Linotype" w:cs="Palatino Linotype"/>
        </w:rPr>
        <w:t xml:space="preserve"> secuencia de generación, determinados con base en el ANEXO 20 de la Segunda Resolución de modificaciones a la Resolución Miscelánea Fiscal para </w:t>
      </w:r>
      <w:r w:rsidRPr="00725A19">
        <w:rPr>
          <w:rFonts w:ascii="Palatino Linotype" w:eastAsia="Palatino Linotype" w:hAnsi="Palatino Linotype" w:cs="Palatino Linotype"/>
          <w:szCs w:val="20"/>
        </w:rPr>
        <w:t>dos</w:t>
      </w:r>
      <w:r w:rsidRPr="00725A19">
        <w:rPr>
          <w:rFonts w:ascii="Palatino Linotype" w:eastAsia="Palatino Linotype" w:hAnsi="Palatino Linotype" w:cs="Palatino Linotype"/>
        </w:rPr>
        <w:t xml:space="preserve"> mil  diecisiete, publicada en el Diario Oficial de la Federación el dieciocho de julio de dos mil diecisiete, que precisa los datos de los que se componen los elementos de </w:t>
      </w:r>
      <w:r w:rsidRPr="00725A19">
        <w:rPr>
          <w:rFonts w:ascii="Palatino Linotype" w:eastAsia="Palatino Linotype" w:hAnsi="Palatino Linotype" w:cs="Palatino Linotype"/>
          <w:b/>
        </w:rPr>
        <w:t>seguridad</w:t>
      </w:r>
      <w:r w:rsidRPr="00725A19">
        <w:rPr>
          <w:rFonts w:ascii="Palatino Linotype" w:eastAsia="Palatino Linotype" w:hAnsi="Palatino Linotype" w:cs="Palatino Linotype"/>
        </w:rPr>
        <w:t xml:space="preserve"> y se puntualiza que dicha información está encriptada.</w:t>
      </w:r>
    </w:p>
    <w:p w14:paraId="3A958295" w14:textId="77777777" w:rsidR="002C13C2" w:rsidRPr="00725A19" w:rsidRDefault="002C13C2" w:rsidP="002C13C2">
      <w:pPr>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“Elementos utilizados en la generación de Sellos Digitales:</w:t>
      </w:r>
    </w:p>
    <w:p w14:paraId="14BF6B58" w14:textId="77777777" w:rsidR="002C13C2" w:rsidRPr="00725A19" w:rsidRDefault="002C13C2" w:rsidP="002C13C2">
      <w:pPr>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w:t>
      </w:r>
      <w:r w:rsidRPr="00725A19">
        <w:rPr>
          <w:rFonts w:ascii="Palatino Linotype" w:eastAsia="Palatino Linotype" w:hAnsi="Palatino Linotype" w:cs="Palatino Linotype"/>
          <w:i/>
          <w:sz w:val="22"/>
          <w:szCs w:val="22"/>
        </w:rPr>
        <w:tab/>
        <w:t>Cadena Original, el elemento a sellar, en este caso de un comprobante fiscal digital a través de Internet.</w:t>
      </w:r>
    </w:p>
    <w:p w14:paraId="0E85C0F3" w14:textId="77777777" w:rsidR="002C13C2" w:rsidRPr="00725A19" w:rsidRDefault="002C13C2" w:rsidP="002C13C2">
      <w:pPr>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w:t>
      </w:r>
      <w:r w:rsidRPr="00725A19">
        <w:rPr>
          <w:rFonts w:ascii="Palatino Linotype" w:eastAsia="Palatino Linotype" w:hAnsi="Palatino Linotype" w:cs="Palatino Linotype"/>
          <w:i/>
          <w:sz w:val="22"/>
          <w:szCs w:val="22"/>
        </w:rPr>
        <w:tab/>
        <w:t>Certificado de Sello Digital y su correspondiente clave privada.</w:t>
      </w:r>
    </w:p>
    <w:p w14:paraId="3C47E3AC" w14:textId="77777777" w:rsidR="002C13C2" w:rsidRPr="00725A19" w:rsidRDefault="002C13C2" w:rsidP="002C13C2">
      <w:pPr>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w:t>
      </w:r>
      <w:r w:rsidRPr="00725A19">
        <w:rPr>
          <w:rFonts w:ascii="Palatino Linotype" w:eastAsia="Palatino Linotype" w:hAnsi="Palatino Linotype" w:cs="Palatino Linotype"/>
          <w:i/>
          <w:sz w:val="22"/>
          <w:szCs w:val="22"/>
        </w:rPr>
        <w:tab/>
        <w:t>Algoritmos de criptografía de clave pública para firma electrónica avanzada.</w:t>
      </w:r>
    </w:p>
    <w:p w14:paraId="2CF61C92" w14:textId="77777777" w:rsidR="002C13C2" w:rsidRPr="00725A19" w:rsidRDefault="002C13C2" w:rsidP="002C13C2">
      <w:pPr>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w:t>
      </w:r>
      <w:r w:rsidRPr="00725A19">
        <w:rPr>
          <w:rFonts w:ascii="Palatino Linotype" w:eastAsia="Palatino Linotype" w:hAnsi="Palatino Linotype" w:cs="Palatino Linotype"/>
          <w:i/>
          <w:sz w:val="22"/>
          <w:szCs w:val="22"/>
        </w:rPr>
        <w:tab/>
        <w:t>Especificaciones de conversión de la firma electrónica avanzada a Base 64.</w:t>
      </w:r>
    </w:p>
    <w:p w14:paraId="78B2D3C5" w14:textId="77777777" w:rsidR="002C13C2" w:rsidRPr="00725A19" w:rsidRDefault="002C13C2" w:rsidP="002C13C2">
      <w:pPr>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Para la generación de sellos digitales se utiliza criptografía de clave pública aplicada a una cadena original.</w:t>
      </w:r>
    </w:p>
    <w:p w14:paraId="7F731862" w14:textId="77777777" w:rsidR="002C13C2" w:rsidRPr="00725A19" w:rsidRDefault="002C13C2" w:rsidP="002C13C2">
      <w:pPr>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Criptografía de la Clave Pública</w:t>
      </w:r>
    </w:p>
    <w:p w14:paraId="7D7B767D" w14:textId="77777777" w:rsidR="002C13C2" w:rsidRPr="00725A19" w:rsidRDefault="002C13C2" w:rsidP="002C13C2">
      <w:pPr>
        <w:ind w:left="1134" w:right="851"/>
        <w:jc w:val="both"/>
        <w:rPr>
          <w:rFonts w:ascii="Palatino Linotype" w:eastAsia="Palatino Linotype" w:hAnsi="Palatino Linotype" w:cs="Palatino Linotype"/>
          <w:i/>
          <w:sz w:val="22"/>
          <w:szCs w:val="22"/>
        </w:rPr>
      </w:pPr>
      <w:r w:rsidRPr="00725A19">
        <w:rPr>
          <w:rFonts w:ascii="Palatino Linotype" w:eastAsia="Palatino Linotype" w:hAnsi="Palatino Linotype" w:cs="Palatino Linotype"/>
          <w:i/>
          <w:sz w:val="22"/>
          <w:szCs w:val="22"/>
        </w:rPr>
        <w:t>La criptografía de Clave Pública se basa en la generación de una pareja de números muy grandes relacionados íntimamente entre sí, de tal manera que una operación de encripción sobre un mensaje tomando como clave de encripción a uno de los dos números, produce un mensaje alterado en su significado que solo puede ser devuelto a su estado original mediante la operación de desencripción correspondiente tomando como clave de desencripción al otro número de la pareja.”</w:t>
      </w:r>
    </w:p>
    <w:p w14:paraId="047D823D" w14:textId="77777777" w:rsidR="002C13C2" w:rsidRPr="00725A19" w:rsidRDefault="002C13C2" w:rsidP="0087000A">
      <w:pPr>
        <w:spacing w:line="360" w:lineRule="auto"/>
        <w:ind w:right="-929"/>
        <w:jc w:val="both"/>
        <w:rPr>
          <w:rFonts w:ascii="Palatino Linotype" w:eastAsia="Palatino Linotype" w:hAnsi="Palatino Linotype" w:cs="Palatino Linotype"/>
          <w:i/>
        </w:rPr>
      </w:pPr>
    </w:p>
    <w:p w14:paraId="5DFA1621"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Es decir, por sí solos las cadenas originales y los sellos originales no contienen datos personales confidenciales, por lo que se considera que </w:t>
      </w:r>
      <w:r w:rsidRPr="00725A19">
        <w:rPr>
          <w:rFonts w:ascii="Palatino Linotype" w:eastAsia="Palatino Linotype" w:hAnsi="Palatino Linotype" w:cs="Palatino Linotype"/>
          <w:b/>
        </w:rPr>
        <w:t xml:space="preserve">no actualizan el supuesto </w:t>
      </w:r>
      <w:r w:rsidRPr="00725A19">
        <w:rPr>
          <w:rFonts w:ascii="Palatino Linotype" w:eastAsia="Palatino Linotype" w:hAnsi="Palatino Linotype" w:cs="Palatino Linotype"/>
          <w:b/>
        </w:rPr>
        <w:lastRenderedPageBreak/>
        <w:t>de confidencialidad previsto en el artículo 143, fracción I</w:t>
      </w:r>
      <w:r w:rsidRPr="00725A19">
        <w:rPr>
          <w:rFonts w:ascii="Palatino Linotype" w:eastAsia="Palatino Linotype" w:hAnsi="Palatino Linotype" w:cs="Palatino Linotype"/>
        </w:rPr>
        <w:t xml:space="preserve">, de la Ley de </w:t>
      </w:r>
      <w:r w:rsidRPr="00725A19">
        <w:rPr>
          <w:rFonts w:ascii="Palatino Linotype" w:eastAsia="Palatino Linotype" w:hAnsi="Palatino Linotype" w:cs="Palatino Linotype"/>
          <w:szCs w:val="20"/>
        </w:rPr>
        <w:t>Transparencia</w:t>
      </w:r>
      <w:r w:rsidRPr="00725A19">
        <w:rPr>
          <w:rFonts w:ascii="Palatino Linotype" w:eastAsia="Palatino Linotype" w:hAnsi="Palatino Linotype" w:cs="Palatino Linotype"/>
        </w:rPr>
        <w:t xml:space="preserve"> y Acceso a la Información Pública del Estado de México y Municipios y, por el contrario, son información que permite corroborar la legitimidad de la factura, de ser el caso, por lo que guardan el carácter de público.</w:t>
      </w:r>
    </w:p>
    <w:p w14:paraId="5E2FE420" w14:textId="77777777" w:rsidR="002C13C2" w:rsidRPr="00725A19" w:rsidRDefault="002C13C2" w:rsidP="002C13C2">
      <w:pPr>
        <w:spacing w:line="360" w:lineRule="auto"/>
        <w:ind w:right="-929"/>
        <w:jc w:val="both"/>
        <w:rPr>
          <w:rFonts w:ascii="Palatino Linotype" w:eastAsia="Palatino Linotype" w:hAnsi="Palatino Linotype" w:cs="Palatino Linotype"/>
          <w:b/>
        </w:rPr>
      </w:pPr>
    </w:p>
    <w:p w14:paraId="6E4F8E4B"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Por otra parte, por lo que hace al </w:t>
      </w:r>
      <w:r w:rsidRPr="00725A19">
        <w:rPr>
          <w:rFonts w:ascii="Palatino Linotype" w:eastAsia="Palatino Linotype" w:hAnsi="Palatino Linotype" w:cs="Palatino Linotype"/>
          <w:b/>
        </w:rPr>
        <w:t>número de serie de los certificados de Sello Digitales del emisor y del Servicio de Administración Tributaria</w:t>
      </w:r>
      <w:r w:rsidRPr="00725A19">
        <w:rPr>
          <w:rFonts w:ascii="Palatino Linotype" w:eastAsia="Palatino Linotype" w:hAnsi="Palatino Linotype" w:cs="Palatino Linotype"/>
        </w:rPr>
        <w:t xml:space="preserve">, el ANEXO 20 de la Segunda Resolución de modificaciones a la Resolución Miscelánea Fiscal para dos mil  </w:t>
      </w:r>
      <w:r w:rsidRPr="00725A19">
        <w:rPr>
          <w:rFonts w:ascii="Palatino Linotype" w:eastAsia="Palatino Linotype" w:hAnsi="Palatino Linotype" w:cs="Palatino Linotype"/>
          <w:szCs w:val="20"/>
        </w:rPr>
        <w:t>diecisiete</w:t>
      </w:r>
      <w:r w:rsidRPr="00725A19">
        <w:rPr>
          <w:rFonts w:ascii="Palatino Linotype" w:eastAsia="Palatino Linotype" w:hAnsi="Palatino Linotype" w:cs="Palatino Linotype"/>
        </w:rPr>
        <w:t xml:space="preserve">, precisa que dichos datos se conforman por veinte caracteres numéricos; dicha situación se robustece con el ejemplo localizado en el documento denominado “Cómo ubicar el Folio Fiscal en una factura”, emitido por el Instituto Nacional electoral (consultado el veinticinco de junio de dos mil diecinueve, a las dieciséis horas con diez minutos, en la página electrónica </w:t>
      </w:r>
      <w:hyperlink r:id="rId11">
        <w:r w:rsidRPr="00725A19">
          <w:rPr>
            <w:rFonts w:ascii="Palatino Linotype" w:eastAsia="Palatino Linotype" w:hAnsi="Palatino Linotype" w:cs="Palatino Linotype"/>
          </w:rPr>
          <w:t>https://portalanterior.ine.mx/archivos2/tutoriales/sistemas/ApoyoInstitucional/SIF/docs/candidatos/folioFiscalFactura.pdf</w:t>
        </w:r>
      </w:hyperlink>
      <w:r w:rsidRPr="00725A19">
        <w:rPr>
          <w:rFonts w:ascii="Palatino Linotype" w:eastAsia="Palatino Linotype" w:hAnsi="Palatino Linotype" w:cs="Palatino Linotype"/>
        </w:rPr>
        <w:t>), en la cual se advierte que únicamente se encuentra conformado por números, se muestra a continuación:</w:t>
      </w:r>
    </w:p>
    <w:p w14:paraId="7D12B7F2" w14:textId="77777777" w:rsidR="002C13C2" w:rsidRPr="00725A19" w:rsidRDefault="002C13C2" w:rsidP="002C13C2">
      <w:pPr>
        <w:spacing w:line="360" w:lineRule="auto"/>
        <w:ind w:right="-929"/>
        <w:jc w:val="center"/>
        <w:rPr>
          <w:rFonts w:ascii="Palatino Linotype" w:eastAsia="Palatino Linotype" w:hAnsi="Palatino Linotype" w:cs="Palatino Linotype"/>
        </w:rPr>
      </w:pPr>
      <w:r w:rsidRPr="00725A19">
        <w:rPr>
          <w:noProof/>
        </w:rPr>
        <mc:AlternateContent>
          <mc:Choice Requires="wps">
            <w:drawing>
              <wp:anchor distT="0" distB="0" distL="114300" distR="114300" simplePos="0" relativeHeight="251661312" behindDoc="0" locked="0" layoutInCell="1" hidden="0" allowOverlap="1" wp14:anchorId="6C065FD0" wp14:editId="4B969A16">
                <wp:simplePos x="0" y="0"/>
                <wp:positionH relativeFrom="column">
                  <wp:posOffset>728193</wp:posOffset>
                </wp:positionH>
                <wp:positionV relativeFrom="paragraph">
                  <wp:posOffset>741377</wp:posOffset>
                </wp:positionV>
                <wp:extent cx="3057099" cy="313889"/>
                <wp:effectExtent l="19050" t="19050" r="10160" b="10160"/>
                <wp:wrapNone/>
                <wp:docPr id="66" name="Rectángulo 66"/>
                <wp:cNvGraphicFramePr/>
                <a:graphic xmlns:a="http://schemas.openxmlformats.org/drawingml/2006/main">
                  <a:graphicData uri="http://schemas.microsoft.com/office/word/2010/wordprocessingShape">
                    <wps:wsp>
                      <wps:cNvSpPr/>
                      <wps:spPr>
                        <a:xfrm>
                          <a:off x="0" y="0"/>
                          <a:ext cx="3057099" cy="313889"/>
                        </a:xfrm>
                        <a:prstGeom prst="rect">
                          <a:avLst/>
                        </a:prstGeom>
                        <a:noFill/>
                        <a:ln w="28575" cap="flat" cmpd="sng">
                          <a:solidFill>
                            <a:srgbClr val="000000"/>
                          </a:solidFill>
                          <a:prstDash val="solid"/>
                          <a:miter lim="800000"/>
                          <a:headEnd type="none" w="sm" len="sm"/>
                          <a:tailEnd type="none" w="sm" len="sm"/>
                        </a:ln>
                      </wps:spPr>
                      <wps:txbx>
                        <w:txbxContent>
                          <w:p w14:paraId="3D738880" w14:textId="77777777" w:rsidR="002C13C2" w:rsidRDefault="002C13C2" w:rsidP="002C13C2">
                            <w:pPr>
                              <w:textDirection w:val="btLr"/>
                            </w:pPr>
                          </w:p>
                        </w:txbxContent>
                      </wps:txbx>
                      <wps:bodyPr spcFirstLastPara="1" wrap="square" lIns="91425" tIns="91425" rIns="91425" bIns="91425" anchor="ctr" anchorCtr="0">
                        <a:noAutofit/>
                      </wps:bodyPr>
                    </wps:wsp>
                  </a:graphicData>
                </a:graphic>
                <wp14:sizeRelH relativeFrom="margin">
                  <wp14:pctWidth>0</wp14:pctWidth>
                </wp14:sizeRelH>
                <wp14:sizeRelV relativeFrom="margin">
                  <wp14:pctHeight>0</wp14:pctHeight>
                </wp14:sizeRelV>
              </wp:anchor>
            </w:drawing>
          </mc:Choice>
          <mc:Fallback>
            <w:pict>
              <v:rect w14:anchorId="6C065FD0" id="Rectángulo 66" o:spid="_x0000_s1026" style="position:absolute;left:0;text-align:left;margin-left:57.35pt;margin-top:58.4pt;width:240.7pt;height:24.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" filled="f" strokeweight="2.25pt">
                <v:stroke startarrowwidth="narrow" startarrowlength="short" endarrowwidth="narrow" endarrowlength="short"/>
                <v:textbox inset="2.53958mm,2.53958mm,2.53958mm,2.53958mm">
                  <w:txbxContent>
                    <w:p w14:paraId="3D738880" w14:textId="77777777" w:rsidR="002C13C2" w:rsidRDefault="002C13C2" w:rsidP="002C13C2">
                      <w:pPr>
                        <w:textDirection w:val="btLr"/>
                      </w:pPr>
                    </w:p>
                  </w:txbxContent>
                </v:textbox>
              </v:rect>
            </w:pict>
          </mc:Fallback>
        </mc:AlternateContent>
      </w:r>
      <w:r w:rsidRPr="00725A19">
        <w:rPr>
          <w:rFonts w:ascii="Palatino Linotype" w:eastAsia="Palatino Linotype" w:hAnsi="Palatino Linotype" w:cs="Palatino Linotype"/>
          <w:noProof/>
        </w:rPr>
        <w:drawing>
          <wp:inline distT="0" distB="0" distL="0" distR="0" wp14:anchorId="6BA20AA4" wp14:editId="427F2ED0">
            <wp:extent cx="4749420" cy="887104"/>
            <wp:effectExtent l="152400" t="152400" r="356235" b="370205"/>
            <wp:docPr id="70" name="image10.png" descr="Interfaz de usuario gráfica, Aplicación&#10;&#10;Descripción generada automáticamente"/>
            <wp:cNvGraphicFramePr/>
            <a:graphic xmlns:a="http://schemas.openxmlformats.org/drawingml/2006/main">
              <a:graphicData uri="http://schemas.openxmlformats.org/drawingml/2006/picture">
                <pic:pic xmlns:pic="http://schemas.openxmlformats.org/drawingml/2006/picture">
                  <pic:nvPicPr>
                    <pic:cNvPr id="70" name="image10.png" descr="Interfaz de usuario gráfica, Aplicación&#10;&#10;Descripción generada automáticamente"/>
                    <pic:cNvPicPr preferRelativeResize="0"/>
                  </pic:nvPicPr>
                  <pic:blipFill>
                    <a:blip r:embed="rId12"/>
                    <a:srcRect/>
                    <a:stretch>
                      <a:fillRect/>
                    </a:stretch>
                  </pic:blipFill>
                  <pic:spPr>
                    <a:xfrm>
                      <a:off x="0" y="0"/>
                      <a:ext cx="4798864" cy="896339"/>
                    </a:xfrm>
                    <a:prstGeom prst="rect">
                      <a:avLst/>
                    </a:prstGeom>
                    <a:ln>
                      <a:noFill/>
                    </a:ln>
                    <a:effectLst>
                      <a:outerShdw blurRad="292100" dist="139700" dir="2700000" algn="tl" rotWithShape="0">
                        <a:srgbClr val="333333">
                          <a:alpha val="65000"/>
                        </a:srgbClr>
                      </a:outerShdw>
                    </a:effectLst>
                  </pic:spPr>
                </pic:pic>
              </a:graphicData>
            </a:graphic>
          </wp:inline>
        </w:drawing>
      </w:r>
    </w:p>
    <w:p w14:paraId="5227C3E9"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lastRenderedPageBreak/>
        <w:t xml:space="preserve">Cómo se logra observar, los números de serie del certificado de sello digital no contiene datos personales y con dichos dígitos tampoco se puede obtener información de carácter confidencial, por lo que, tampoco actualizan la causal de clasificación, establecida en el artículo 143, fracción I, de la Ley de Transparencia y Acceso a la Información Pública del Estado de México y Municipios. Máxime que permite </w:t>
      </w:r>
      <w:r w:rsidRPr="00725A19">
        <w:rPr>
          <w:rFonts w:ascii="Palatino Linotype" w:eastAsia="Palatino Linotype" w:hAnsi="Palatino Linotype" w:cs="Palatino Linotype"/>
          <w:szCs w:val="20"/>
        </w:rPr>
        <w:t>corroborar</w:t>
      </w:r>
      <w:r w:rsidRPr="00725A19">
        <w:rPr>
          <w:rFonts w:ascii="Palatino Linotype" w:eastAsia="Palatino Linotype" w:hAnsi="Palatino Linotype" w:cs="Palatino Linotype"/>
        </w:rPr>
        <w:t xml:space="preserve"> la legitimidad a la factura, pues amparan la utilización de los certificados de sellos digitales válidos.</w:t>
      </w:r>
    </w:p>
    <w:p w14:paraId="411A5D08" w14:textId="77777777" w:rsidR="002C13C2" w:rsidRPr="00725A19" w:rsidRDefault="002C13C2" w:rsidP="00725A19">
      <w:pPr>
        <w:rPr>
          <w:rFonts w:ascii="Palatino Linotype" w:eastAsia="Palatino Linotype" w:hAnsi="Palatino Linotype" w:cs="Palatino Linotype"/>
          <w:b/>
          <w:i/>
        </w:rPr>
      </w:pPr>
    </w:p>
    <w:p w14:paraId="2B6FC8DC"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hAnsi="Palatino Linotype" w:cs="Arial"/>
        </w:rPr>
      </w:pPr>
      <w:r w:rsidRPr="00725A19">
        <w:rPr>
          <w:rFonts w:ascii="Palatino Linotype" w:hAnsi="Palatino Linotype" w:cs="Arial"/>
        </w:rPr>
        <w:t xml:space="preserve">Seguidamente al haberse demostrado que el </w:t>
      </w:r>
      <w:r w:rsidRPr="00725A19">
        <w:rPr>
          <w:rFonts w:ascii="Palatino Linotype" w:hAnsi="Palatino Linotype" w:cs="Arial"/>
          <w:b/>
          <w:caps/>
        </w:rPr>
        <w:t>Sujeto Obligado</w:t>
      </w:r>
      <w:r w:rsidRPr="00725A19">
        <w:rPr>
          <w:rFonts w:ascii="Palatino Linotype" w:hAnsi="Palatino Linotype" w:cs="Arial"/>
        </w:rPr>
        <w:t xml:space="preserve"> se encuentra constreñido a generar información del sueldo de los servidores públicos, con la finalidad de remitirlas al Órgano Superior de Fiscalización del Estado de México, como parte de sus informes trimestrales, para su respectiva revisión y fiscalización es que se ordena entregar el sueldo neto de la segunda quincena del mes de septiembre de dos mil veinticuatro y de la primera quincena de octubre de dos mil veinticuatro. </w:t>
      </w:r>
    </w:p>
    <w:p w14:paraId="7A79684D" w14:textId="77777777" w:rsidR="002C13C2" w:rsidRPr="00725A19" w:rsidRDefault="002C13C2" w:rsidP="002C13C2">
      <w:pPr>
        <w:pStyle w:val="Prrafodelista"/>
        <w:rPr>
          <w:rFonts w:ascii="Palatino Linotype" w:hAnsi="Palatino Linotype" w:cs="Arial"/>
        </w:rPr>
      </w:pPr>
    </w:p>
    <w:p w14:paraId="1EA33DA6"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hAnsi="Palatino Linotype" w:cs="Arial"/>
        </w:rPr>
      </w:pPr>
      <w:r w:rsidRPr="00725A19">
        <w:rPr>
          <w:rFonts w:ascii="Palatino Linotype" w:hAnsi="Palatino Linotype" w:cs="Arial"/>
        </w:rPr>
        <w:t xml:space="preserve">Lo </w:t>
      </w:r>
      <w:r w:rsidRPr="00725A19">
        <w:rPr>
          <w:rFonts w:ascii="Palatino Linotype" w:eastAsia="Palatino Linotype" w:hAnsi="Palatino Linotype" w:cs="Palatino Linotype"/>
        </w:rPr>
        <w:t>anterior</w:t>
      </w:r>
      <w:r w:rsidRPr="00725A19">
        <w:rPr>
          <w:rFonts w:ascii="Palatino Linotype" w:hAnsi="Palatino Linotype" w:cs="Arial"/>
        </w:rPr>
        <w:t xml:space="preserve"> de conformidad con el criterio de este Órgano Garante que considera lo siguiente. </w:t>
      </w:r>
    </w:p>
    <w:p w14:paraId="7780BD87" w14:textId="77777777" w:rsidR="002C13C2" w:rsidRPr="00725A19" w:rsidRDefault="002C13C2" w:rsidP="002C13C2">
      <w:pPr>
        <w:pStyle w:val="Prrafodelista"/>
        <w:rPr>
          <w:rFonts w:ascii="Palatino Linotype" w:hAnsi="Palatino Linotype" w:cs="Arial"/>
        </w:rPr>
      </w:pPr>
    </w:p>
    <w:p w14:paraId="20F3D509" w14:textId="77777777" w:rsidR="002C13C2" w:rsidRPr="00725A19" w:rsidRDefault="002C13C2" w:rsidP="002C13C2">
      <w:pPr>
        <w:ind w:left="851" w:right="900"/>
        <w:jc w:val="both"/>
        <w:rPr>
          <w:rFonts w:ascii="Palatino Linotype" w:hAnsi="Palatino Linotype" w:cs="Arial"/>
          <w:i/>
          <w:sz w:val="22"/>
        </w:rPr>
      </w:pPr>
      <w:r w:rsidRPr="00725A19">
        <w:rPr>
          <w:rFonts w:ascii="Palatino Linotype" w:hAnsi="Palatino Linotype" w:cs="Arial"/>
          <w:b/>
          <w:i/>
          <w:sz w:val="22"/>
        </w:rPr>
        <w:t>NÓMINA DE SERVIDORES PÚBLICOS. PERIODO DE BÚSQUEDA Y ENTREGA DE LA INFORMACIÓN, CUANDO NO SE PRECISA EN LA SOLICITUD DE INFORMACIÓN.</w:t>
      </w:r>
      <w:r w:rsidRPr="00725A19">
        <w:rPr>
          <w:rFonts w:ascii="Palatino Linotype" w:hAnsi="Palatino Linotype" w:cs="Arial"/>
          <w:i/>
          <w:sz w:val="22"/>
        </w:rPr>
        <w:t xml:space="preserve"> </w:t>
      </w:r>
    </w:p>
    <w:p w14:paraId="454090D0" w14:textId="77777777" w:rsidR="002C13C2" w:rsidRPr="00725A19" w:rsidRDefault="002C13C2" w:rsidP="002C13C2">
      <w:pPr>
        <w:ind w:left="851" w:right="900"/>
        <w:jc w:val="both"/>
        <w:rPr>
          <w:rFonts w:ascii="Palatino Linotype" w:hAnsi="Palatino Linotype" w:cs="Arial"/>
          <w:b/>
          <w:i/>
          <w:sz w:val="22"/>
        </w:rPr>
      </w:pPr>
      <w:r w:rsidRPr="00725A19">
        <w:rPr>
          <w:rFonts w:ascii="Palatino Linotype" w:hAnsi="Palatino Linotype" w:cs="Arial"/>
          <w:i/>
          <w:sz w:val="22"/>
        </w:rPr>
        <w:t>Cuando el particular no refiriera el periodo respecto del cual requiere la información, o bien, de la solicitud presentada no se adviertan elementos que permitan identificarlo</w:t>
      </w:r>
      <w:r w:rsidRPr="00725A19">
        <w:rPr>
          <w:rFonts w:ascii="Palatino Linotype" w:hAnsi="Palatino Linotype" w:cs="Arial"/>
          <w:b/>
          <w:i/>
          <w:sz w:val="22"/>
        </w:rPr>
        <w:t xml:space="preserve">, tratándose exclusivamente de información relativa a la nómina, los Sujetos </w:t>
      </w:r>
      <w:r w:rsidRPr="00725A19">
        <w:rPr>
          <w:rFonts w:ascii="Palatino Linotype" w:hAnsi="Palatino Linotype" w:cs="Arial"/>
          <w:b/>
          <w:i/>
          <w:sz w:val="22"/>
        </w:rPr>
        <w:lastRenderedPageBreak/>
        <w:t>Obligados deberán entregar lo correspondiente a las últimas dos quincenas pagadas previo a la fecha de presentación de la solicitud.</w:t>
      </w:r>
    </w:p>
    <w:p w14:paraId="59004D88" w14:textId="77777777" w:rsidR="002C13C2" w:rsidRPr="00725A19" w:rsidRDefault="002C13C2" w:rsidP="002C13C2">
      <w:pPr>
        <w:pBdr>
          <w:top w:val="nil"/>
          <w:left w:val="nil"/>
          <w:bottom w:val="nil"/>
          <w:right w:val="nil"/>
          <w:between w:val="nil"/>
        </w:pBdr>
        <w:spacing w:line="360" w:lineRule="auto"/>
        <w:jc w:val="both"/>
        <w:rPr>
          <w:rFonts w:ascii="Palatino Linotype" w:eastAsia="Palatino Linotype" w:hAnsi="Palatino Linotype" w:cs="Palatino Linotype"/>
          <w:b/>
          <w:i/>
        </w:rPr>
      </w:pPr>
    </w:p>
    <w:p w14:paraId="761C3739" w14:textId="77777777" w:rsidR="002C13C2" w:rsidRPr="00725A19" w:rsidRDefault="002C13C2" w:rsidP="002C13C2">
      <w:pPr>
        <w:keepNext/>
        <w:keepLines/>
        <w:spacing w:line="360" w:lineRule="auto"/>
        <w:rPr>
          <w:rFonts w:ascii="Palatino Linotype" w:eastAsia="Palatino Linotype" w:hAnsi="Palatino Linotype" w:cs="Palatino Linotype"/>
          <w:b/>
          <w:color w:val="000000"/>
        </w:rPr>
      </w:pPr>
      <w:r w:rsidRPr="00725A19">
        <w:rPr>
          <w:rFonts w:ascii="Palatino Linotype" w:eastAsia="Palatino Linotype" w:hAnsi="Palatino Linotype" w:cs="Palatino Linotype"/>
          <w:b/>
          <w:color w:val="000000"/>
        </w:rPr>
        <w:t>QUINTO. De la versión pública.</w:t>
      </w:r>
    </w:p>
    <w:p w14:paraId="3C5E231E" w14:textId="77777777" w:rsidR="002C13C2" w:rsidRPr="00725A19" w:rsidRDefault="002C13C2" w:rsidP="002C13C2">
      <w:pPr>
        <w:keepNext/>
        <w:keepLines/>
        <w:numPr>
          <w:ilvl w:val="0"/>
          <w:numId w:val="28"/>
        </w:numPr>
        <w:tabs>
          <w:tab w:val="left" w:pos="284"/>
        </w:tabs>
        <w:spacing w:line="360" w:lineRule="auto"/>
        <w:rPr>
          <w:rFonts w:ascii="Palatino Linotype" w:eastAsia="Palatino Linotype" w:hAnsi="Palatino Linotype" w:cs="Palatino Linotype"/>
          <w:b/>
          <w:color w:val="000000"/>
        </w:rPr>
      </w:pPr>
      <w:r w:rsidRPr="00725A19">
        <w:rPr>
          <w:rFonts w:ascii="Palatino Linotype" w:eastAsia="Palatino Linotype" w:hAnsi="Palatino Linotype" w:cs="Palatino Linotype"/>
          <w:b/>
          <w:color w:val="000000"/>
        </w:rPr>
        <w:t xml:space="preserve">Nociones generales. </w:t>
      </w:r>
    </w:p>
    <w:p w14:paraId="0276180F"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725A19">
        <w:rPr>
          <w:rFonts w:ascii="Palatino Linotype" w:eastAsia="Palatino Linotype" w:hAnsi="Palatino Linotype" w:cs="Palatino Linotype"/>
          <w:color w:val="000000"/>
        </w:rPr>
        <w:t>Debe destacarse que, debido a la naturaleza de la información solicitada</w:t>
      </w:r>
      <w:r w:rsidRPr="00725A19">
        <w:rPr>
          <w:rFonts w:ascii="Palatino Linotype" w:eastAsia="Palatino Linotype" w:hAnsi="Palatino Linotype" w:cs="Palatino Linotype"/>
          <w:b/>
          <w:color w:val="000000"/>
        </w:rPr>
        <w:t xml:space="preserve">, </w:t>
      </w:r>
      <w:r w:rsidRPr="00725A19">
        <w:rPr>
          <w:rFonts w:ascii="Palatino Linotype" w:eastAsia="Palatino Linotype" w:hAnsi="Palatino Linotype" w:cs="Palatino Linotype"/>
        </w:rPr>
        <w:t>eventualmente</w:t>
      </w:r>
      <w:r w:rsidRPr="00725A19">
        <w:rPr>
          <w:rFonts w:ascii="Palatino Linotype" w:eastAsia="Palatino Linotype" w:hAnsi="Palatino Linotype" w:cs="Palatino Linotype"/>
          <w:color w:val="000000"/>
        </w:rPr>
        <w:t xml:space="preserve"> pudiera obrar datos personales susceptibles de protegerse, así como información </w:t>
      </w:r>
      <w:r w:rsidRPr="00725A19">
        <w:rPr>
          <w:rFonts w:ascii="Palatino Linotype" w:eastAsia="Palatino Linotype" w:hAnsi="Palatino Linotype" w:cs="Palatino Linotype"/>
          <w:szCs w:val="20"/>
        </w:rPr>
        <w:t>susceptible</w:t>
      </w:r>
      <w:r w:rsidRPr="00725A19">
        <w:rPr>
          <w:rFonts w:ascii="Palatino Linotype" w:eastAsia="Palatino Linotype" w:hAnsi="Palatino Linotype" w:cs="Palatino Linotype"/>
          <w:color w:val="000000"/>
        </w:rPr>
        <w:t xml:space="preserve"> de clasificarse como confidencial y reservada, el </w:t>
      </w:r>
      <w:r w:rsidRPr="00725A19">
        <w:rPr>
          <w:rFonts w:ascii="Palatino Linotype" w:eastAsia="Palatino Linotype" w:hAnsi="Palatino Linotype" w:cs="Palatino Linotype"/>
          <w:b/>
          <w:color w:val="000000"/>
        </w:rPr>
        <w:t xml:space="preserve">SUJETO OBLIGADO </w:t>
      </w:r>
      <w:r w:rsidRPr="00725A19">
        <w:rPr>
          <w:rFonts w:ascii="Palatino Linotype" w:eastAsia="Palatino Linotype" w:hAnsi="Palatino Linotype" w:cs="Palatino Linotype"/>
          <w:color w:val="000000"/>
        </w:rPr>
        <w:t xml:space="preserve">deberá de hacer la adecuada versión pública, protegiendo los datos que no son susceptibles de ser proporcionados. </w:t>
      </w:r>
    </w:p>
    <w:p w14:paraId="0785A8FB" w14:textId="77777777" w:rsidR="002C13C2" w:rsidRPr="00725A19" w:rsidRDefault="002C13C2" w:rsidP="002C13C2">
      <w:pPr>
        <w:tabs>
          <w:tab w:val="left" w:pos="0"/>
          <w:tab w:val="left" w:pos="284"/>
        </w:tabs>
        <w:spacing w:line="360" w:lineRule="auto"/>
        <w:ind w:right="49"/>
        <w:jc w:val="both"/>
        <w:rPr>
          <w:rFonts w:ascii="Palatino Linotype" w:eastAsia="Palatino Linotype" w:hAnsi="Palatino Linotype" w:cs="Palatino Linotype"/>
        </w:rPr>
      </w:pPr>
    </w:p>
    <w:p w14:paraId="2DB05B23"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725A19">
        <w:rPr>
          <w:rFonts w:ascii="Palatino Linotype" w:eastAsia="Palatino Linotype" w:hAnsi="Palatino Linotype" w:cs="Palatino Linotype"/>
          <w:color w:val="000000"/>
        </w:rPr>
        <w:t>No pasa desapercibido para este Órgano Garante que los sujetos obligados</w:t>
      </w:r>
      <w:r w:rsidRPr="00725A19">
        <w:rPr>
          <w:rFonts w:ascii="Palatino Linotype" w:eastAsia="Palatino Linotype" w:hAnsi="Palatino Linotype" w:cs="Palatino Linotype"/>
          <w:b/>
          <w:color w:val="000000"/>
        </w:rPr>
        <w:t xml:space="preserve"> </w:t>
      </w:r>
      <w:r w:rsidRPr="00725A19">
        <w:rPr>
          <w:rFonts w:ascii="Palatino Linotype" w:eastAsia="Palatino Linotype" w:hAnsi="Palatino Linotype" w:cs="Palatino Linotype"/>
          <w:color w:val="000000"/>
        </w:rPr>
        <w:t>serán responsables de los datos personales en su posesión y que, en caso de localizarse datos concernientes a terceros, éstos no podrán difundir, distribuir o comercializar los datos personales.  Cabe destacar que, para la realización de la clasificación de la información, se deben seguir una serie de pasos y procedimientos, por lo que es menester reiterar los mismos:</w:t>
      </w:r>
    </w:p>
    <w:p w14:paraId="61A50FCA" w14:textId="77777777" w:rsidR="002C13C2" w:rsidRPr="00725A19" w:rsidRDefault="002C13C2" w:rsidP="002C13C2">
      <w:pPr>
        <w:tabs>
          <w:tab w:val="left" w:pos="284"/>
        </w:tabs>
        <w:spacing w:line="360" w:lineRule="auto"/>
        <w:ind w:right="49"/>
        <w:jc w:val="both"/>
        <w:rPr>
          <w:rFonts w:ascii="Palatino Linotype" w:eastAsia="Palatino Linotype" w:hAnsi="Palatino Linotype" w:cs="Palatino Linotype"/>
          <w:color w:val="000000"/>
        </w:rPr>
      </w:pPr>
    </w:p>
    <w:tbl>
      <w:tblPr>
        <w:tblW w:w="8926"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2689"/>
        <w:gridCol w:w="6237"/>
      </w:tblGrid>
      <w:tr w:rsidR="002C13C2" w:rsidRPr="00725A19" w14:paraId="078518D0" w14:textId="77777777" w:rsidTr="007D5AD8">
        <w:tc>
          <w:tcPr>
            <w:tcW w:w="2689" w:type="dxa"/>
          </w:tcPr>
          <w:p w14:paraId="145BB148" w14:textId="77777777" w:rsidR="002C13C2" w:rsidRPr="00725A19" w:rsidRDefault="002C13C2" w:rsidP="007D5AD8">
            <w:pPr>
              <w:tabs>
                <w:tab w:val="left" w:pos="284"/>
              </w:tabs>
              <w:rPr>
                <w:rFonts w:ascii="Palatino Linotype" w:eastAsia="Palatino Linotype" w:hAnsi="Palatino Linotype" w:cs="Palatino Linotype"/>
              </w:rPr>
            </w:pPr>
            <w:r w:rsidRPr="00725A19">
              <w:rPr>
                <w:rFonts w:ascii="Palatino Linotype" w:eastAsia="Palatino Linotype" w:hAnsi="Palatino Linotype" w:cs="Palatino Linotype"/>
              </w:rPr>
              <w:t>a) Requisitos previos.</w:t>
            </w:r>
          </w:p>
        </w:tc>
        <w:tc>
          <w:tcPr>
            <w:tcW w:w="6237" w:type="dxa"/>
          </w:tcPr>
          <w:p w14:paraId="1CACE0BD" w14:textId="77777777" w:rsidR="002C13C2" w:rsidRPr="00725A19" w:rsidRDefault="002C13C2" w:rsidP="007D5AD8">
            <w:pPr>
              <w:tabs>
                <w:tab w:val="left" w:pos="284"/>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Los artículos 100 y 122 de la Ley Estatal y de la Ley General, respectivamente, señalan que si los Sujetos Obligados determinan que la información actualiza alguno de los supuestos de clasificación, es deber de los </w:t>
            </w:r>
            <w:r w:rsidRPr="00725A19">
              <w:rPr>
                <w:rFonts w:ascii="Palatino Linotype" w:eastAsia="Palatino Linotype" w:hAnsi="Palatino Linotype" w:cs="Palatino Linotype"/>
              </w:rPr>
              <w:lastRenderedPageBreak/>
              <w:t xml:space="preserve">titulares de las áreas proponer su clasificación y no del Comité de Transparencia. </w:t>
            </w:r>
          </w:p>
          <w:p w14:paraId="2F367460" w14:textId="77777777" w:rsidR="002C13C2" w:rsidRPr="00725A19" w:rsidRDefault="002C13C2" w:rsidP="007D5AD8">
            <w:pPr>
              <w:tabs>
                <w:tab w:val="left" w:pos="284"/>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t>Al hacerlo tienen que precisar de qué información se trata, señalando el supuesto de clasificación (confidencialidad o reserva).</w:t>
            </w:r>
          </w:p>
          <w:p w14:paraId="571B45D0" w14:textId="77777777" w:rsidR="002C13C2" w:rsidRPr="00725A19" w:rsidRDefault="002C13C2" w:rsidP="007D5AD8">
            <w:pPr>
              <w:tabs>
                <w:tab w:val="left" w:pos="284"/>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t>Además, se debe señalar el procedimiento, de los tres que establecen los artículos 132 y 106 de la Ley Estatal y General, respectivamente.</w:t>
            </w:r>
          </w:p>
          <w:p w14:paraId="4C522C94" w14:textId="77777777" w:rsidR="002C13C2" w:rsidRPr="00725A19" w:rsidRDefault="002C13C2" w:rsidP="007D5AD8">
            <w:pPr>
              <w:tabs>
                <w:tab w:val="left" w:pos="284"/>
              </w:tabs>
              <w:spacing w:line="360" w:lineRule="auto"/>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El último de estos requisitos previos consiste en que no se pueden emitir acuerdos de carácter general ni particular, esto es, </w:t>
            </w:r>
            <w:r w:rsidRPr="00725A19">
              <w:rPr>
                <w:rFonts w:ascii="Palatino Linotype" w:eastAsia="Palatino Linotype" w:hAnsi="Palatino Linotype" w:cs="Palatino Linotype"/>
                <w:u w:val="single"/>
              </w:rPr>
              <w:t>no se puede hacer un acuerdo para clasificar de manera general todos los documentos de un expediente o área, sin</w:t>
            </w:r>
            <w:r w:rsidRPr="00725A19">
              <w:rPr>
                <w:rFonts w:ascii="Palatino Linotype" w:eastAsia="Palatino Linotype" w:hAnsi="Palatino Linotype" w:cs="Palatino Linotype"/>
              </w:rPr>
              <w:t xml:space="preserve"> individualizar su análisis y tampoco se puede hacer un acuerdo por cada dato que se vaya a clasificar dentro de un documento con diez datos, por ejemplo, susceptibles de ser clasificados.</w:t>
            </w:r>
          </w:p>
        </w:tc>
      </w:tr>
      <w:tr w:rsidR="002C13C2" w:rsidRPr="00725A19" w14:paraId="598C1606" w14:textId="77777777" w:rsidTr="007D5AD8">
        <w:tc>
          <w:tcPr>
            <w:tcW w:w="2689" w:type="dxa"/>
          </w:tcPr>
          <w:p w14:paraId="18159E62" w14:textId="77777777" w:rsidR="002C13C2" w:rsidRPr="00725A19" w:rsidRDefault="002C13C2" w:rsidP="007D5AD8">
            <w:pPr>
              <w:tabs>
                <w:tab w:val="left" w:pos="284"/>
              </w:tabs>
              <w:rPr>
                <w:rFonts w:ascii="Palatino Linotype" w:eastAsia="Palatino Linotype" w:hAnsi="Palatino Linotype" w:cs="Palatino Linotype"/>
              </w:rPr>
            </w:pPr>
            <w:r w:rsidRPr="00725A19">
              <w:rPr>
                <w:rFonts w:ascii="Palatino Linotype" w:eastAsia="Palatino Linotype" w:hAnsi="Palatino Linotype" w:cs="Palatino Linotype"/>
              </w:rPr>
              <w:lastRenderedPageBreak/>
              <w:t>b) Supuestos de clasificación.</w:t>
            </w:r>
          </w:p>
        </w:tc>
        <w:tc>
          <w:tcPr>
            <w:tcW w:w="6237" w:type="dxa"/>
          </w:tcPr>
          <w:p w14:paraId="1069DFA2" w14:textId="77777777" w:rsidR="002C13C2" w:rsidRPr="00725A19" w:rsidRDefault="002C13C2" w:rsidP="007D5AD8">
            <w:pPr>
              <w:tabs>
                <w:tab w:val="left" w:pos="284"/>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t>Las disposiciones constitucionales y legales en la materia establecen los dos supuestos generales para clasificar la información: por reserva y por confidencialidad.</w:t>
            </w:r>
          </w:p>
          <w:p w14:paraId="48B50F03" w14:textId="77777777" w:rsidR="002C13C2" w:rsidRPr="00725A19" w:rsidRDefault="002C13C2" w:rsidP="007D5AD8">
            <w:pPr>
              <w:tabs>
                <w:tab w:val="left" w:pos="284"/>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Los artículos 116 y 143 de la Ley Estatal y de la Ley General, respectivamente, señalan los supuestos para </w:t>
            </w:r>
            <w:r w:rsidRPr="00725A19">
              <w:rPr>
                <w:rFonts w:ascii="Palatino Linotype" w:eastAsia="Palatino Linotype" w:hAnsi="Palatino Linotype" w:cs="Palatino Linotype"/>
              </w:rPr>
              <w:lastRenderedPageBreak/>
              <w:t>que la información pueda ser clasificada como confidencial. Mientras que los artículos 105 y 130 de la Ley Estatal y de la Ley General, respectivamente, señalan que la aplicación de estos supuestos debe realizarse de manera restrictiva y limitada, por lo que debe acreditarse que se cumple con esta condición y no se pueden ampliar las excepciones o supuestos de clasificación aduciendo analogía o mayoría de razón.</w:t>
            </w:r>
          </w:p>
          <w:p w14:paraId="650DB2AA" w14:textId="77777777" w:rsidR="002C13C2" w:rsidRPr="00725A19" w:rsidRDefault="002C13C2" w:rsidP="007D5AD8">
            <w:pPr>
              <w:tabs>
                <w:tab w:val="left" w:pos="284"/>
              </w:tabs>
              <w:spacing w:line="360" w:lineRule="auto"/>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El </w:t>
            </w:r>
            <w:r w:rsidRPr="00725A19">
              <w:rPr>
                <w:rFonts w:ascii="Palatino Linotype" w:eastAsia="Palatino Linotype" w:hAnsi="Palatino Linotype" w:cs="Palatino Linotype"/>
                <w:b/>
              </w:rPr>
              <w:t>Sujeto Obligado</w:t>
            </w:r>
            <w:r w:rsidRPr="00725A19">
              <w:rPr>
                <w:rFonts w:ascii="Palatino Linotype" w:eastAsia="Palatino Linotype" w:hAnsi="Palatino Linotype" w:cs="Palatino Linotype"/>
              </w:rPr>
              <w:t xml:space="preserve"> debe identificar claramente el tipo de información y hacer un juicio de subsunción o encaje para acreditar que el supuesto de hecho corresponde estrictamente con la hipótesis jurídica. Esto también lo debe de realizar el servidor público habilitado y el titular del área que administra la información.</w:t>
            </w:r>
          </w:p>
        </w:tc>
      </w:tr>
      <w:tr w:rsidR="002C13C2" w:rsidRPr="00725A19" w14:paraId="69AFB50A" w14:textId="77777777" w:rsidTr="007D5AD8">
        <w:tc>
          <w:tcPr>
            <w:tcW w:w="2689" w:type="dxa"/>
          </w:tcPr>
          <w:p w14:paraId="6E35BE17" w14:textId="77777777" w:rsidR="002C13C2" w:rsidRPr="00725A19" w:rsidRDefault="002C13C2" w:rsidP="007D5AD8">
            <w:pPr>
              <w:tabs>
                <w:tab w:val="left" w:pos="284"/>
              </w:tabs>
              <w:rPr>
                <w:rFonts w:ascii="Palatino Linotype" w:eastAsia="Palatino Linotype" w:hAnsi="Palatino Linotype" w:cs="Palatino Linotype"/>
              </w:rPr>
            </w:pPr>
            <w:r w:rsidRPr="00725A19">
              <w:rPr>
                <w:rFonts w:ascii="Palatino Linotype" w:eastAsia="Palatino Linotype" w:hAnsi="Palatino Linotype" w:cs="Palatino Linotype"/>
              </w:rPr>
              <w:lastRenderedPageBreak/>
              <w:t>c) Formalidades para emitir el acuerdo de clasificación.</w:t>
            </w:r>
          </w:p>
        </w:tc>
        <w:tc>
          <w:tcPr>
            <w:tcW w:w="6237" w:type="dxa"/>
          </w:tcPr>
          <w:p w14:paraId="1ECA775C" w14:textId="77777777" w:rsidR="002C13C2" w:rsidRPr="00725A19" w:rsidRDefault="002C13C2" w:rsidP="007D5AD8">
            <w:pPr>
              <w:tabs>
                <w:tab w:val="left" w:pos="284"/>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El Comité de Transparencia, según lo dispuesto en los artículos cuenta con las facultades para aprobar, modificar o revocar la clasificación de la información que haya propuesto. </w:t>
            </w:r>
          </w:p>
          <w:p w14:paraId="5851D9C4" w14:textId="77777777" w:rsidR="002C13C2" w:rsidRPr="00725A19" w:rsidRDefault="002C13C2" w:rsidP="007D5AD8">
            <w:pPr>
              <w:tabs>
                <w:tab w:val="left" w:pos="284"/>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Es necesario que </w:t>
            </w:r>
            <w:r w:rsidRPr="00725A19">
              <w:rPr>
                <w:rFonts w:ascii="Palatino Linotype" w:eastAsia="Palatino Linotype" w:hAnsi="Palatino Linotype" w:cs="Palatino Linotype"/>
                <w:b/>
                <w:u w:val="single"/>
              </w:rPr>
              <w:t>el acto reúna con los requisitos elementales</w:t>
            </w:r>
            <w:r w:rsidRPr="00725A19">
              <w:rPr>
                <w:rFonts w:ascii="Palatino Linotype" w:eastAsia="Palatino Linotype" w:hAnsi="Palatino Linotype" w:cs="Palatino Linotype"/>
              </w:rPr>
              <w:t>, entre ellos, que la autoridad que va a emitir el acto de autoridad sea la legalmente facultada para ello.</w:t>
            </w:r>
          </w:p>
          <w:p w14:paraId="571C09C5" w14:textId="77777777" w:rsidR="002C13C2" w:rsidRPr="00725A19" w:rsidRDefault="002C13C2" w:rsidP="007D5AD8">
            <w:pPr>
              <w:tabs>
                <w:tab w:val="left" w:pos="284"/>
              </w:tabs>
              <w:spacing w:line="360" w:lineRule="auto"/>
              <w:jc w:val="both"/>
              <w:rPr>
                <w:rFonts w:ascii="Palatino Linotype" w:eastAsia="Palatino Linotype" w:hAnsi="Palatino Linotype" w:cs="Palatino Linotype"/>
              </w:rPr>
            </w:pPr>
            <w:r w:rsidRPr="00725A19">
              <w:rPr>
                <w:rFonts w:ascii="Palatino Linotype" w:eastAsia="Palatino Linotype" w:hAnsi="Palatino Linotype" w:cs="Palatino Linotype"/>
              </w:rPr>
              <w:lastRenderedPageBreak/>
              <w:t>La decisión de aprobar, modificar o revocar la clasificación deberá de asentarse en un documento que registre la determinación a la que se llegue después de un análisis minucioso a partir de lo propuesto por el Titular del I. área que administra la información, cuyo análisis debe integrarse en la agenda de los asuntos a tratar en las sesiones, se insiste, a partir de las decisiones adoptadas previamente por los titulares de áreas y que son sujetas a control, en primera instancia, por el Comité de Transparencia.</w:t>
            </w:r>
          </w:p>
        </w:tc>
      </w:tr>
      <w:tr w:rsidR="002C13C2" w:rsidRPr="00725A19" w14:paraId="78F030F2" w14:textId="77777777" w:rsidTr="007D5AD8">
        <w:tc>
          <w:tcPr>
            <w:tcW w:w="2689" w:type="dxa"/>
          </w:tcPr>
          <w:p w14:paraId="14C11EBF" w14:textId="77777777" w:rsidR="002C13C2" w:rsidRPr="00725A19" w:rsidRDefault="002C13C2" w:rsidP="007D5AD8">
            <w:pPr>
              <w:tabs>
                <w:tab w:val="left" w:pos="284"/>
              </w:tabs>
              <w:rPr>
                <w:rFonts w:ascii="Palatino Linotype" w:eastAsia="Palatino Linotype" w:hAnsi="Palatino Linotype" w:cs="Palatino Linotype"/>
              </w:rPr>
            </w:pPr>
          </w:p>
          <w:p w14:paraId="4FC53E42" w14:textId="77777777" w:rsidR="002C13C2" w:rsidRPr="00725A19" w:rsidRDefault="002C13C2" w:rsidP="007D5AD8">
            <w:pPr>
              <w:tabs>
                <w:tab w:val="left" w:pos="284"/>
              </w:tabs>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d) Requisitos de fondo del acuerdo de clasificación. </w:t>
            </w:r>
          </w:p>
        </w:tc>
        <w:tc>
          <w:tcPr>
            <w:tcW w:w="6237" w:type="dxa"/>
          </w:tcPr>
          <w:p w14:paraId="5CF23EA5" w14:textId="77777777" w:rsidR="002C13C2" w:rsidRPr="00725A19" w:rsidRDefault="002C13C2" w:rsidP="007D5AD8">
            <w:pPr>
              <w:tabs>
                <w:tab w:val="left" w:pos="284"/>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Como se ha señalado antes, al hacer el juicio de subsunción o encaje entre el supuesto de hecho y la hipótesis jurídica, se debe acreditar la estricta correspondencia entre un elemento y otro. Ahora, en esta parte del procedimiento, que se desahoga en sede del Comité de Transparencia, la ley señala que la carga de la prueba, para justificar las restricciones, corresponde a los </w:t>
            </w:r>
            <w:r w:rsidRPr="00725A19">
              <w:rPr>
                <w:rFonts w:ascii="Palatino Linotype" w:eastAsia="Palatino Linotype" w:hAnsi="Palatino Linotype" w:cs="Palatino Linotype"/>
                <w:b/>
              </w:rPr>
              <w:t>Sujetos Obligados</w:t>
            </w:r>
            <w:r w:rsidRPr="00725A19">
              <w:rPr>
                <w:rFonts w:ascii="Palatino Linotype" w:eastAsia="Palatino Linotype" w:hAnsi="Palatino Linotype" w:cs="Palatino Linotype"/>
              </w:rPr>
              <w:t xml:space="preserve">, por lo que deberán fundar y motivar debidamente la clasificación. </w:t>
            </w:r>
          </w:p>
          <w:p w14:paraId="545A2385" w14:textId="77777777" w:rsidR="002C13C2" w:rsidRPr="00725A19" w:rsidRDefault="002C13C2" w:rsidP="007D5AD8">
            <w:pPr>
              <w:tabs>
                <w:tab w:val="left" w:pos="284"/>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De lo anterior, se desprende que para una correcta </w:t>
            </w:r>
            <w:r w:rsidRPr="00725A19">
              <w:rPr>
                <w:rFonts w:ascii="Palatino Linotype" w:eastAsia="Palatino Linotype" w:hAnsi="Palatino Linotype" w:cs="Palatino Linotype"/>
                <w:b/>
              </w:rPr>
              <w:t>clasificación total o parcial</w:t>
            </w:r>
            <w:r w:rsidRPr="00725A19">
              <w:rPr>
                <w:rFonts w:ascii="Palatino Linotype" w:eastAsia="Palatino Linotype" w:hAnsi="Palatino Linotype" w:cs="Palatino Linotype"/>
              </w:rPr>
              <w:t xml:space="preserve">, esto es determinar los datos </w:t>
            </w:r>
            <w:r w:rsidRPr="00725A19">
              <w:rPr>
                <w:rFonts w:ascii="Palatino Linotype" w:eastAsia="Palatino Linotype" w:hAnsi="Palatino Linotype" w:cs="Palatino Linotype"/>
              </w:rPr>
              <w:lastRenderedPageBreak/>
              <w:t>que se suprimen en las versiones públicas, es necesario fundar y motivar, de manera correcta, la clasificación; considerando que todo acto que la autoridad pronuncie en el ejercicio de sus atribuciones, debe expresar los fundamentos legales que le dieron origen y las razones por las que se deben aplicar al caso concreto.</w:t>
            </w:r>
          </w:p>
          <w:p w14:paraId="21118E85" w14:textId="77777777" w:rsidR="002C13C2" w:rsidRPr="00725A19" w:rsidRDefault="002C13C2" w:rsidP="007D5AD8">
            <w:pPr>
              <w:tabs>
                <w:tab w:val="left" w:pos="284"/>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t>Así, en un acto de autoridad se cumple con la debida fundamentación cuando se cita el precepto legal aplicable al caso concreto y la debida motivación cuando se expresan las razones, motivos o circunstancias que tomó en cuenta la autoridad para adecuar el hecho a los fundamentos de derecho. De este modo, la persona que se sienta afectada pueda impugnar la decisión, permitiéndole una real y auténtica defensa.</w:t>
            </w:r>
          </w:p>
          <w:p w14:paraId="399538B1" w14:textId="77777777" w:rsidR="002C13C2" w:rsidRPr="00725A19" w:rsidRDefault="002C13C2" w:rsidP="007D5AD8">
            <w:pPr>
              <w:tabs>
                <w:tab w:val="left" w:pos="284"/>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t>En ese mismo sentido, el numeral trigésimo tercero fracción V de los Lineamientos Generales, precisa que para motivar la clasificación se deben acreditar las circunstancias de tiempo, modo y lugar.</w:t>
            </w:r>
          </w:p>
          <w:p w14:paraId="2CACB6DE" w14:textId="77777777" w:rsidR="002C13C2" w:rsidRPr="00725A19" w:rsidRDefault="002C13C2" w:rsidP="007D5AD8">
            <w:pPr>
              <w:tabs>
                <w:tab w:val="left" w:pos="284"/>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Ahora bien, </w:t>
            </w:r>
            <w:r w:rsidRPr="00725A19">
              <w:rPr>
                <w:rFonts w:ascii="Palatino Linotype" w:eastAsia="Palatino Linotype" w:hAnsi="Palatino Linotype" w:cs="Palatino Linotype"/>
                <w:b/>
                <w:u w:val="single"/>
              </w:rPr>
              <w:t>para cada caso además de fundar y motivar</w:t>
            </w:r>
            <w:r w:rsidRPr="00725A19">
              <w:rPr>
                <w:rFonts w:ascii="Palatino Linotype" w:eastAsia="Palatino Linotype" w:hAnsi="Palatino Linotype" w:cs="Palatino Linotype"/>
              </w:rPr>
              <w:t xml:space="preserve">, se debe identificar con claridad que datos contenidos en las documentales que son susceptibles de suprimirse, </w:t>
            </w:r>
            <w:r w:rsidRPr="00725A19">
              <w:rPr>
                <w:rFonts w:ascii="Palatino Linotype" w:eastAsia="Palatino Linotype" w:hAnsi="Palatino Linotype" w:cs="Palatino Linotype"/>
              </w:rPr>
              <w:lastRenderedPageBreak/>
              <w:t>por ejemplo; Clave Única de Registro de Población (CURP), Registro Federal de Contribuyentes (R.F.C.), claves de seguros, préstamos o descuentos personales, secretos bancario, fiduciario, industrial, comercial, fiscal, bursátil y postal, cuya titularidad corresponda a particulares, entre otros.</w:t>
            </w:r>
          </w:p>
        </w:tc>
      </w:tr>
      <w:tr w:rsidR="002C13C2" w:rsidRPr="00725A19" w14:paraId="0CA18124" w14:textId="77777777" w:rsidTr="007D5AD8">
        <w:tc>
          <w:tcPr>
            <w:tcW w:w="2689" w:type="dxa"/>
          </w:tcPr>
          <w:p w14:paraId="3192AD00" w14:textId="77777777" w:rsidR="002C13C2" w:rsidRPr="00725A19" w:rsidRDefault="002C13C2" w:rsidP="007D5AD8">
            <w:pPr>
              <w:tabs>
                <w:tab w:val="left" w:pos="284"/>
              </w:tabs>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lastRenderedPageBreak/>
              <w:t xml:space="preserve">e) Condiciones especiales de la clasificación de la información como confidencial. </w:t>
            </w:r>
          </w:p>
        </w:tc>
        <w:tc>
          <w:tcPr>
            <w:tcW w:w="6237" w:type="dxa"/>
          </w:tcPr>
          <w:p w14:paraId="6303A0DB" w14:textId="77777777" w:rsidR="002C13C2" w:rsidRPr="00725A19" w:rsidRDefault="002C13C2" w:rsidP="007D5AD8">
            <w:pPr>
              <w:tabs>
                <w:tab w:val="left" w:pos="284"/>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Los artículos 148 y 120 de la Ley Estatal y de la Ley General, respectivamente, establecen que aun tratándose de datos personales, se podrán proporcionar, incluso sin solicitar el consentimiento de su titular. </w:t>
            </w:r>
          </w:p>
          <w:p w14:paraId="1D3ED2D1" w14:textId="77777777" w:rsidR="002C13C2" w:rsidRPr="00725A19" w:rsidRDefault="002C13C2" w:rsidP="007D5AD8">
            <w:pPr>
              <w:tabs>
                <w:tab w:val="left" w:pos="284"/>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En el caso de lo señalado en la fracción IV, será el Instituto quien deba aplicar la prueba de interés público, considerando también que como recientemente ha discutido la Suprema Corte de Justicia de la Nación, los servidores públicos nos encontramos sujetos a un régimen menor de protección. </w:t>
            </w:r>
          </w:p>
          <w:p w14:paraId="0E2A6CED" w14:textId="77777777" w:rsidR="002C13C2" w:rsidRPr="00725A19" w:rsidRDefault="002C13C2" w:rsidP="007D5AD8">
            <w:pPr>
              <w:tabs>
                <w:tab w:val="left" w:pos="284"/>
              </w:tabs>
              <w:spacing w:line="360" w:lineRule="auto"/>
              <w:rPr>
                <w:rFonts w:ascii="Palatino Linotype" w:eastAsia="Palatino Linotype" w:hAnsi="Palatino Linotype" w:cs="Palatino Linotype"/>
              </w:rPr>
            </w:pPr>
            <w:r w:rsidRPr="00725A19">
              <w:rPr>
                <w:rFonts w:ascii="Palatino Linotype" w:eastAsia="Palatino Linotype" w:hAnsi="Palatino Linotype" w:cs="Palatino Linotype"/>
              </w:rPr>
              <w:t xml:space="preserve">Pero si la información que se pretende clasificar como confidencial no se encuentra en los supuestos de los artículos señalados y es posible, se deberá consultar al titular de los datos si permite o no el acceso. De no ser </w:t>
            </w:r>
            <w:r w:rsidRPr="00725A19">
              <w:rPr>
                <w:rFonts w:ascii="Palatino Linotype" w:eastAsia="Palatino Linotype" w:hAnsi="Palatino Linotype" w:cs="Palatino Linotype"/>
              </w:rPr>
              <w:lastRenderedPageBreak/>
              <w:t>posible, la realización de la consulta, procede, fundando y motivando, la clasificación.</w:t>
            </w:r>
          </w:p>
        </w:tc>
      </w:tr>
    </w:tbl>
    <w:p w14:paraId="2AE3E8AB"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color w:val="000000"/>
          <w:sz w:val="22"/>
          <w:szCs w:val="22"/>
        </w:rPr>
      </w:pPr>
    </w:p>
    <w:p w14:paraId="0461B081"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725A19">
        <w:rPr>
          <w:rFonts w:ascii="Palatino Linotype" w:eastAsia="Palatino Linotype" w:hAnsi="Palatino Linotype" w:cs="Palatino Linotype"/>
        </w:rPr>
        <w:t xml:space="preserve">Si el servidor público incumple con estas formalidades y entrega la información sin proteger los datos personales incumple con lo que estipula las </w:t>
      </w:r>
      <w:r w:rsidRPr="00725A19">
        <w:rPr>
          <w:rFonts w:ascii="Palatino Linotype" w:eastAsia="Palatino Linotype" w:hAnsi="Palatino Linotype" w:cs="Palatino Linotype"/>
          <w:szCs w:val="20"/>
        </w:rPr>
        <w:t>disposiciones</w:t>
      </w:r>
      <w:r w:rsidRPr="00725A19">
        <w:rPr>
          <w:rFonts w:ascii="Palatino Linotype" w:eastAsia="Palatino Linotype" w:hAnsi="Palatino Linotype" w:cs="Palatino Linotype"/>
        </w:rPr>
        <w:t xml:space="preserve"> legales establecidas, asimismo que si entrega un documento testado sin el debido acuerdo de clasificación.</w:t>
      </w:r>
    </w:p>
    <w:p w14:paraId="32BD0A2C" w14:textId="77777777" w:rsidR="002C13C2" w:rsidRPr="00725A19" w:rsidRDefault="002C13C2" w:rsidP="002C13C2">
      <w:pPr>
        <w:pBdr>
          <w:top w:val="nil"/>
          <w:left w:val="nil"/>
          <w:bottom w:val="nil"/>
          <w:right w:val="nil"/>
          <w:between w:val="nil"/>
        </w:pBdr>
        <w:spacing w:line="360" w:lineRule="auto"/>
        <w:jc w:val="both"/>
        <w:rPr>
          <w:rFonts w:ascii="Palatino Linotype" w:eastAsia="Palatino Linotype" w:hAnsi="Palatino Linotype" w:cs="Palatino Linotype"/>
          <w:b/>
          <w:szCs w:val="20"/>
        </w:rPr>
      </w:pPr>
    </w:p>
    <w:p w14:paraId="193C1480" w14:textId="77777777" w:rsidR="002C13C2" w:rsidRPr="00725A19" w:rsidRDefault="002C13C2" w:rsidP="002C13C2">
      <w:pPr>
        <w:pBdr>
          <w:top w:val="nil"/>
          <w:left w:val="nil"/>
          <w:bottom w:val="nil"/>
          <w:right w:val="nil"/>
          <w:between w:val="nil"/>
        </w:pBdr>
        <w:spacing w:line="360" w:lineRule="auto"/>
        <w:jc w:val="both"/>
        <w:rPr>
          <w:rFonts w:ascii="Palatino Linotype" w:eastAsia="Palatino Linotype" w:hAnsi="Palatino Linotype" w:cs="Palatino Linotype"/>
          <w:b/>
        </w:rPr>
      </w:pPr>
      <w:r w:rsidRPr="00725A19">
        <w:rPr>
          <w:rFonts w:ascii="Palatino Linotype" w:eastAsia="Palatino Linotype" w:hAnsi="Palatino Linotype" w:cs="Palatino Linotype"/>
          <w:b/>
        </w:rPr>
        <w:t>SEXTO</w:t>
      </w:r>
      <w:r w:rsidRPr="00725A19">
        <w:rPr>
          <w:rFonts w:ascii="Palatino Linotype" w:eastAsia="Palatino Linotype" w:hAnsi="Palatino Linotype" w:cs="Palatino Linotype"/>
        </w:rPr>
        <w:t xml:space="preserve">. </w:t>
      </w:r>
      <w:r w:rsidRPr="00725A19">
        <w:rPr>
          <w:rFonts w:ascii="Palatino Linotype" w:eastAsia="Palatino Linotype" w:hAnsi="Palatino Linotype" w:cs="Palatino Linotype"/>
          <w:b/>
        </w:rPr>
        <w:t>Vista a la Secretaría Técnica del Pleno</w:t>
      </w:r>
    </w:p>
    <w:p w14:paraId="30EB3629"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En el caso en estudio, ha quedado acreditado que el Ayuntamiento de Almoloya del Río omitió dar respuesta en el plazo señalado en el artículo 163 de la Ley de Transparencia y Acceso a la Información Pública del Estado de México y Municipios. </w:t>
      </w:r>
    </w:p>
    <w:p w14:paraId="4A899D8F" w14:textId="77777777" w:rsidR="002C13C2" w:rsidRPr="00725A19" w:rsidRDefault="002C13C2" w:rsidP="002C13C2">
      <w:pPr>
        <w:spacing w:line="360" w:lineRule="auto"/>
        <w:rPr>
          <w:rFonts w:cs="Tahoma"/>
          <w:bCs/>
        </w:rPr>
      </w:pPr>
    </w:p>
    <w:p w14:paraId="1C6E488C"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Al respecto, el artículo 36, fracción X, del ordenamiento jurídico en cita, establece que es atribución de este Instituto hacer del conocimiento al Área competente de cada Sujeto Obligado las infracciones a esta Ley. </w:t>
      </w:r>
    </w:p>
    <w:p w14:paraId="4DE1F548" w14:textId="77777777" w:rsidR="002C13C2" w:rsidRPr="00725A19" w:rsidRDefault="002C13C2" w:rsidP="002C13C2">
      <w:pPr>
        <w:spacing w:line="360" w:lineRule="auto"/>
        <w:ind w:right="-93"/>
        <w:rPr>
          <w:rFonts w:eastAsia="Calibri" w:cs="Tahoma"/>
          <w:bCs/>
        </w:rPr>
      </w:pPr>
    </w:p>
    <w:p w14:paraId="708B9D80"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En ese sentido, de conformidad con lo previsto en el artículo 222, fracción II, de dicho ordenamiento, son causas de responsabilidad administrativa los incumplimientos de las obligaciones establecida en la Ley de la materia, entre otras conductas, la falta de respuesta a las solicitudes de información en los plazos señalados, a saber, dentro de los quince días siguientes a la presentación del requerimiento. </w:t>
      </w:r>
    </w:p>
    <w:p w14:paraId="3726293E" w14:textId="77777777" w:rsidR="002C13C2" w:rsidRPr="00725A19" w:rsidRDefault="002C13C2" w:rsidP="002C13C2">
      <w:pPr>
        <w:spacing w:line="360" w:lineRule="auto"/>
        <w:ind w:right="-93"/>
        <w:rPr>
          <w:rFonts w:eastAsia="Calibri" w:cs="Tahoma"/>
          <w:bCs/>
        </w:rPr>
      </w:pPr>
    </w:p>
    <w:p w14:paraId="4E08FF2C"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Por su parte, el artículo 223 de la Ley de Transparencia y Acceso a la Información Pública del Estado de México y Municipios, prevé que este Instituto deberá dar vista al Área competente, con el fin de que determine el grado de responsabilidad de los servidores públicos que incumplan con las obligaciones establecidas en la Ley. </w:t>
      </w:r>
    </w:p>
    <w:p w14:paraId="4A32180C" w14:textId="77777777" w:rsidR="002C13C2" w:rsidRPr="00725A19" w:rsidRDefault="002C13C2" w:rsidP="002C13C2">
      <w:pPr>
        <w:spacing w:line="360" w:lineRule="auto"/>
        <w:ind w:right="-93"/>
        <w:rPr>
          <w:rFonts w:eastAsia="Calibri" w:cs="Tahoma"/>
          <w:bCs/>
        </w:rPr>
      </w:pPr>
    </w:p>
    <w:p w14:paraId="7ED14EC2"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En ese contexto, la fracción XXVII, del artículo 19, del Reglamento Interior del Instituto de Transparencia, Acceso a la Información Pública y Protección de Datos Personales del Estado de México y Municipios, establece que es función de la Secretaría Técnica del Pleno, remitir al Órgano Interno de Control de los Sujetos Obligados, las presuntas infracciones cometidas en el marco de la Ley de la materia, para la promoción de responsabilidades y sanciones.</w:t>
      </w:r>
    </w:p>
    <w:p w14:paraId="3EC776D7" w14:textId="77777777" w:rsidR="002C13C2" w:rsidRPr="00725A19" w:rsidRDefault="002C13C2" w:rsidP="002C13C2">
      <w:pPr>
        <w:spacing w:line="360" w:lineRule="auto"/>
        <w:ind w:right="-93"/>
        <w:rPr>
          <w:rFonts w:eastAsia="Calibri" w:cs="Tahoma"/>
          <w:bCs/>
        </w:rPr>
      </w:pPr>
    </w:p>
    <w:p w14:paraId="0526F472"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Sobre el particular, si bien, la presente resolución no tiene por objetivo investigar y determinar posibles violaciones al derecho de acceso a la información, toda vez que este Organismo Autónomo, advirtió la falta de respuesta del Sujeto Obligado, se considera procedente dar vista a la Secretaría Técnica de este Instituto, para que realice lo conducente.</w:t>
      </w:r>
    </w:p>
    <w:p w14:paraId="427C60D4" w14:textId="77777777" w:rsidR="002C13C2" w:rsidRPr="00725A19" w:rsidRDefault="002C13C2" w:rsidP="002C13C2">
      <w:pPr>
        <w:pBdr>
          <w:top w:val="nil"/>
          <w:left w:val="nil"/>
          <w:bottom w:val="nil"/>
          <w:right w:val="nil"/>
          <w:between w:val="nil"/>
        </w:pBdr>
        <w:spacing w:line="360" w:lineRule="auto"/>
        <w:jc w:val="both"/>
        <w:rPr>
          <w:rFonts w:ascii="Palatino Linotype" w:eastAsia="Palatino Linotype" w:hAnsi="Palatino Linotype" w:cs="Palatino Linotype"/>
        </w:rPr>
      </w:pPr>
    </w:p>
    <w:p w14:paraId="389B6D52" w14:textId="77777777" w:rsidR="002C13C2" w:rsidRPr="00725A19" w:rsidRDefault="002C13C2" w:rsidP="002C13C2">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rPr>
      </w:pPr>
      <w:r w:rsidRPr="00725A19">
        <w:rPr>
          <w:rFonts w:ascii="Palatino Linotype" w:eastAsia="Palatino Linotype" w:hAnsi="Palatino Linotype" w:cs="Palatino Linotype"/>
        </w:rPr>
        <w:t>Por lo anteriormente expuesto y fundado, este ÓRGANO GARANTE emite los siguientes:</w:t>
      </w:r>
    </w:p>
    <w:p w14:paraId="349B0B69" w14:textId="77777777" w:rsidR="002C13C2" w:rsidRPr="00725A19" w:rsidRDefault="002C13C2" w:rsidP="002C13C2">
      <w:pPr>
        <w:pStyle w:val="Ttulo1"/>
        <w:jc w:val="center"/>
        <w:rPr>
          <w:rFonts w:ascii="Palatino Linotype" w:eastAsia="Palatino Linotype" w:hAnsi="Palatino Linotype" w:cs="Palatino Linotype"/>
          <w:b w:val="0"/>
          <w:color w:val="000000"/>
          <w:sz w:val="24"/>
          <w:szCs w:val="24"/>
        </w:rPr>
      </w:pPr>
      <w:r w:rsidRPr="00725A19">
        <w:rPr>
          <w:rFonts w:ascii="Palatino Linotype" w:eastAsia="Palatino Linotype" w:hAnsi="Palatino Linotype" w:cs="Palatino Linotype"/>
          <w:color w:val="000000"/>
          <w:sz w:val="24"/>
          <w:szCs w:val="24"/>
        </w:rPr>
        <w:lastRenderedPageBreak/>
        <w:t>R E S O L U T I V O S</w:t>
      </w:r>
    </w:p>
    <w:p w14:paraId="3B117E6E"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b/>
        </w:rPr>
      </w:pPr>
    </w:p>
    <w:p w14:paraId="292C2026" w14:textId="3833C517" w:rsidR="002C13C2" w:rsidRPr="00725A19" w:rsidRDefault="002C13C2" w:rsidP="002C13C2">
      <w:pPr>
        <w:tabs>
          <w:tab w:val="left" w:pos="284"/>
        </w:tabs>
        <w:spacing w:line="360" w:lineRule="auto"/>
        <w:jc w:val="both"/>
        <w:rPr>
          <w:rFonts w:ascii="Palatino Linotype" w:eastAsia="Palatino Linotype" w:hAnsi="Palatino Linotype" w:cs="Palatino Linotype"/>
          <w:b/>
        </w:rPr>
      </w:pPr>
      <w:r w:rsidRPr="00725A19">
        <w:rPr>
          <w:rFonts w:ascii="Palatino Linotype" w:eastAsia="Palatino Linotype" w:hAnsi="Palatino Linotype" w:cs="Palatino Linotype"/>
          <w:b/>
        </w:rPr>
        <w:t xml:space="preserve">PRIMERO. </w:t>
      </w:r>
      <w:r w:rsidRPr="00725A19">
        <w:rPr>
          <w:rFonts w:ascii="Palatino Linotype" w:eastAsia="Palatino Linotype" w:hAnsi="Palatino Linotype" w:cs="Palatino Linotype"/>
        </w:rPr>
        <w:t>Resultan fundadas las</w:t>
      </w:r>
      <w:r w:rsidRPr="00725A19">
        <w:rPr>
          <w:rFonts w:ascii="Palatino Linotype" w:eastAsia="Palatino Linotype" w:hAnsi="Palatino Linotype" w:cs="Palatino Linotype"/>
          <w:b/>
        </w:rPr>
        <w:t xml:space="preserve"> </w:t>
      </w:r>
      <w:r w:rsidRPr="00725A19">
        <w:rPr>
          <w:rFonts w:ascii="Palatino Linotype" w:eastAsia="Palatino Linotype" w:hAnsi="Palatino Linotype" w:cs="Palatino Linotype"/>
        </w:rPr>
        <w:t>razones o motivos de inconformidad hechos valer en l</w:t>
      </w:r>
      <w:r w:rsidR="00F31E24" w:rsidRPr="00725A19">
        <w:rPr>
          <w:rFonts w:ascii="Palatino Linotype" w:eastAsia="Palatino Linotype" w:hAnsi="Palatino Linotype" w:cs="Palatino Linotype"/>
        </w:rPr>
        <w:t>os</w:t>
      </w:r>
      <w:r w:rsidRPr="00725A19">
        <w:rPr>
          <w:rFonts w:ascii="Palatino Linotype" w:eastAsia="Palatino Linotype" w:hAnsi="Palatino Linotype" w:cs="Palatino Linotype"/>
        </w:rPr>
        <w:t xml:space="preserve"> recurso</w:t>
      </w:r>
      <w:r w:rsidR="00F31E24" w:rsidRPr="00725A19">
        <w:rPr>
          <w:rFonts w:ascii="Palatino Linotype" w:eastAsia="Palatino Linotype" w:hAnsi="Palatino Linotype" w:cs="Palatino Linotype"/>
        </w:rPr>
        <w:t>s</w:t>
      </w:r>
      <w:r w:rsidRPr="00725A19">
        <w:rPr>
          <w:rFonts w:ascii="Palatino Linotype" w:eastAsia="Palatino Linotype" w:hAnsi="Palatino Linotype" w:cs="Palatino Linotype"/>
        </w:rPr>
        <w:t xml:space="preserve"> de revisión </w:t>
      </w:r>
      <w:r w:rsidRPr="00725A19">
        <w:rPr>
          <w:rFonts w:ascii="Palatino Linotype" w:eastAsia="Palatino Linotype" w:hAnsi="Palatino Linotype" w:cs="Palatino Linotype"/>
          <w:b/>
        </w:rPr>
        <w:t>0715</w:t>
      </w:r>
      <w:r w:rsidR="00F31E24" w:rsidRPr="00725A19">
        <w:rPr>
          <w:rFonts w:ascii="Palatino Linotype" w:eastAsia="Palatino Linotype" w:hAnsi="Palatino Linotype" w:cs="Palatino Linotype"/>
          <w:b/>
        </w:rPr>
        <w:t>3</w:t>
      </w:r>
      <w:r w:rsidRPr="00725A19">
        <w:rPr>
          <w:rFonts w:ascii="Palatino Linotype" w:eastAsia="Palatino Linotype" w:hAnsi="Palatino Linotype" w:cs="Palatino Linotype"/>
          <w:b/>
        </w:rPr>
        <w:t>/INFOEM/IP/RR/2024</w:t>
      </w:r>
      <w:r w:rsidR="00F31E24" w:rsidRPr="00725A19">
        <w:rPr>
          <w:rFonts w:ascii="Palatino Linotype" w:eastAsia="Palatino Linotype" w:hAnsi="Palatino Linotype" w:cs="Palatino Linotype"/>
          <w:b/>
        </w:rPr>
        <w:t xml:space="preserve"> </w:t>
      </w:r>
      <w:r w:rsidR="00F31E24" w:rsidRPr="00725A19">
        <w:rPr>
          <w:rFonts w:ascii="Palatino Linotype" w:eastAsia="Palatino Linotype" w:hAnsi="Palatino Linotype" w:cs="Palatino Linotype"/>
        </w:rPr>
        <w:t xml:space="preserve">y </w:t>
      </w:r>
      <w:r w:rsidR="00F31E24" w:rsidRPr="00725A19">
        <w:rPr>
          <w:rFonts w:ascii="Palatino Linotype" w:eastAsia="Palatino Linotype" w:hAnsi="Palatino Linotype" w:cs="Palatino Linotype"/>
          <w:b/>
        </w:rPr>
        <w:t>07158/INFOEM/IP/RR/2024</w:t>
      </w:r>
      <w:r w:rsidRPr="00725A19">
        <w:rPr>
          <w:rFonts w:ascii="Palatino Linotype" w:eastAsia="Palatino Linotype" w:hAnsi="Palatino Linotype" w:cs="Palatino Linotype"/>
          <w:b/>
        </w:rPr>
        <w:t xml:space="preserve"> </w:t>
      </w:r>
      <w:r w:rsidRPr="00725A19">
        <w:rPr>
          <w:rFonts w:ascii="Palatino Linotype" w:eastAsia="Palatino Linotype" w:hAnsi="Palatino Linotype" w:cs="Palatino Linotype"/>
        </w:rPr>
        <w:t xml:space="preserve">en términos de los </w:t>
      </w:r>
      <w:r w:rsidRPr="00725A19">
        <w:rPr>
          <w:rFonts w:ascii="Palatino Linotype" w:eastAsia="Palatino Linotype" w:hAnsi="Palatino Linotype" w:cs="Palatino Linotype"/>
          <w:b/>
        </w:rPr>
        <w:t xml:space="preserve">Considerandos CUARTO y QUINTO </w:t>
      </w:r>
      <w:r w:rsidRPr="00725A19">
        <w:rPr>
          <w:rFonts w:ascii="Palatino Linotype" w:eastAsia="Palatino Linotype" w:hAnsi="Palatino Linotype" w:cs="Palatino Linotype"/>
        </w:rPr>
        <w:t>de la presente resolución.</w:t>
      </w:r>
    </w:p>
    <w:p w14:paraId="1CDA11A5"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74E3B77D" w14:textId="5B81D976" w:rsidR="002C13C2" w:rsidRPr="00725A19" w:rsidRDefault="002C13C2" w:rsidP="002C13C2">
      <w:pPr>
        <w:tabs>
          <w:tab w:val="left" w:pos="284"/>
        </w:tabs>
        <w:spacing w:line="360" w:lineRule="auto"/>
        <w:jc w:val="both"/>
        <w:rPr>
          <w:rFonts w:ascii="Palatino Linotype" w:eastAsia="Palatino Linotype" w:hAnsi="Palatino Linotype" w:cs="Palatino Linotype"/>
        </w:rPr>
      </w:pPr>
      <w:r w:rsidRPr="00725A19">
        <w:rPr>
          <w:rFonts w:ascii="Palatino Linotype" w:eastAsia="Palatino Linotype" w:hAnsi="Palatino Linotype" w:cs="Palatino Linotype"/>
          <w:b/>
        </w:rPr>
        <w:t xml:space="preserve">SEGUNDO. </w:t>
      </w:r>
      <w:r w:rsidRPr="00725A19">
        <w:rPr>
          <w:rFonts w:ascii="Palatino Linotype" w:eastAsia="Palatino Linotype" w:hAnsi="Palatino Linotype" w:cs="Palatino Linotype"/>
        </w:rPr>
        <w:t xml:space="preserve">Se </w:t>
      </w:r>
      <w:r w:rsidRPr="00725A19">
        <w:rPr>
          <w:rFonts w:ascii="Palatino Linotype" w:eastAsia="Palatino Linotype" w:hAnsi="Palatino Linotype" w:cs="Palatino Linotype"/>
          <w:b/>
        </w:rPr>
        <w:t xml:space="preserve">ORDENA </w:t>
      </w:r>
      <w:r w:rsidRPr="00725A19">
        <w:rPr>
          <w:rFonts w:ascii="Palatino Linotype" w:eastAsia="Palatino Linotype" w:hAnsi="Palatino Linotype" w:cs="Palatino Linotype"/>
        </w:rPr>
        <w:t xml:space="preserve">al </w:t>
      </w:r>
      <w:r w:rsidRPr="00725A19">
        <w:rPr>
          <w:rFonts w:ascii="Palatino Linotype" w:eastAsia="Palatino Linotype" w:hAnsi="Palatino Linotype" w:cs="Palatino Linotype"/>
          <w:b/>
        </w:rPr>
        <w:t xml:space="preserve">Ayuntamiento de Almoloya del Río </w:t>
      </w:r>
      <w:r w:rsidRPr="00725A19">
        <w:rPr>
          <w:rFonts w:ascii="Palatino Linotype" w:eastAsia="Palatino Linotype" w:hAnsi="Palatino Linotype" w:cs="Palatino Linotype"/>
        </w:rPr>
        <w:t xml:space="preserve">entregar vía Sistema de Acceso a la Información Mexiquense </w:t>
      </w:r>
      <w:r w:rsidRPr="00725A19">
        <w:rPr>
          <w:rFonts w:ascii="Palatino Linotype" w:eastAsia="Palatino Linotype" w:hAnsi="Palatino Linotype" w:cs="Palatino Linotype"/>
          <w:b/>
        </w:rPr>
        <w:t>(SAIMEX)</w:t>
      </w:r>
      <w:r w:rsidRPr="00725A19">
        <w:rPr>
          <w:rFonts w:ascii="Palatino Linotype" w:eastAsia="Palatino Linotype" w:hAnsi="Palatino Linotype" w:cs="Palatino Linotype"/>
        </w:rPr>
        <w:t>, en correcta versión pública</w:t>
      </w:r>
      <w:r w:rsidR="00E21C9B" w:rsidRPr="00725A19">
        <w:rPr>
          <w:rFonts w:ascii="Palatino Linotype" w:eastAsia="Palatino Linotype" w:hAnsi="Palatino Linotype" w:cs="Palatino Linotype"/>
        </w:rPr>
        <w:t>, la siguiente información:</w:t>
      </w:r>
    </w:p>
    <w:p w14:paraId="1F806B32" w14:textId="77777777" w:rsidR="00E21C9B" w:rsidRPr="00725A19" w:rsidRDefault="00E21C9B" w:rsidP="002C13C2">
      <w:pPr>
        <w:tabs>
          <w:tab w:val="left" w:pos="284"/>
        </w:tabs>
        <w:spacing w:line="360" w:lineRule="auto"/>
        <w:jc w:val="both"/>
        <w:rPr>
          <w:rFonts w:ascii="Palatino Linotype" w:eastAsia="Palatino Linotype" w:hAnsi="Palatino Linotype" w:cs="Palatino Linotype"/>
        </w:rPr>
      </w:pPr>
    </w:p>
    <w:p w14:paraId="5F031A5D" w14:textId="6ED7676B" w:rsidR="002C13C2" w:rsidRPr="00725A19" w:rsidRDefault="00E21C9B" w:rsidP="00DC77AD">
      <w:pPr>
        <w:pStyle w:val="Prrafodelista"/>
        <w:numPr>
          <w:ilvl w:val="0"/>
          <w:numId w:val="37"/>
        </w:numPr>
        <w:spacing w:line="360" w:lineRule="auto"/>
        <w:jc w:val="both"/>
        <w:rPr>
          <w:rFonts w:ascii="Palatino Linotype" w:hAnsi="Palatino Linotype" w:cs="Arial"/>
          <w:b/>
          <w:sz w:val="32"/>
        </w:rPr>
      </w:pPr>
      <w:r w:rsidRPr="00725A19">
        <w:rPr>
          <w:rFonts w:ascii="Palatino Linotype" w:hAnsi="Palatino Linotype" w:cs="Arial"/>
          <w:b/>
        </w:rPr>
        <w:t>Contratos de combustible remitidos en la etapa de manifestaciones</w:t>
      </w:r>
      <w:r w:rsidR="00E85CAE" w:rsidRPr="00725A19">
        <w:rPr>
          <w:rFonts w:ascii="Palatino Linotype" w:hAnsi="Palatino Linotype" w:cs="Arial"/>
          <w:b/>
        </w:rPr>
        <w:t xml:space="preserve"> </w:t>
      </w:r>
    </w:p>
    <w:p w14:paraId="1517479E" w14:textId="06869E41" w:rsidR="002C13C2" w:rsidRPr="00725A19" w:rsidRDefault="002C13C2" w:rsidP="00DC77AD">
      <w:pPr>
        <w:pStyle w:val="Prrafodelista"/>
        <w:numPr>
          <w:ilvl w:val="0"/>
          <w:numId w:val="37"/>
        </w:numPr>
        <w:pBdr>
          <w:top w:val="nil"/>
          <w:left w:val="nil"/>
          <w:bottom w:val="nil"/>
          <w:right w:val="nil"/>
          <w:between w:val="nil"/>
        </w:pBdr>
        <w:spacing w:line="360" w:lineRule="auto"/>
        <w:jc w:val="both"/>
        <w:rPr>
          <w:rFonts w:ascii="Palatino Linotype" w:hAnsi="Palatino Linotype" w:cs="Arial"/>
          <w:b/>
          <w:bCs/>
        </w:rPr>
      </w:pPr>
      <w:r w:rsidRPr="00725A19">
        <w:rPr>
          <w:rFonts w:ascii="Palatino Linotype" w:hAnsi="Palatino Linotype" w:cs="Arial"/>
          <w:b/>
        </w:rPr>
        <w:t xml:space="preserve">Recibos Nómina de los empleados de la Tesorería Municipal, administrativos de la Dirección de Administración y Titular de la Unidad de Transparencia, </w:t>
      </w:r>
      <w:r w:rsidRPr="00725A19">
        <w:rPr>
          <w:rFonts w:ascii="Palatino Linotype" w:hAnsi="Palatino Linotype" w:cs="Arial"/>
          <w:b/>
          <w:bCs/>
        </w:rPr>
        <w:t xml:space="preserve">de la segunda quincena del mes de septiembre de dos mil veinticuatro y de la primera quincena de octubre de dos mil veinticuatro. </w:t>
      </w:r>
    </w:p>
    <w:p w14:paraId="3923261B"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b/>
          <w:color w:val="000000"/>
        </w:rPr>
      </w:pPr>
    </w:p>
    <w:p w14:paraId="1479AC02" w14:textId="77777777" w:rsidR="002C13C2" w:rsidRPr="00725A19" w:rsidRDefault="002C13C2" w:rsidP="002C13C2">
      <w:pPr>
        <w:spacing w:line="360" w:lineRule="auto"/>
        <w:jc w:val="both"/>
        <w:rPr>
          <w:rFonts w:ascii="Palatino Linotype" w:eastAsia="Palatino Linotype" w:hAnsi="Palatino Linotype" w:cs="Palatino Linotype"/>
        </w:rPr>
      </w:pPr>
      <w:r w:rsidRPr="00725A19">
        <w:rPr>
          <w:rFonts w:ascii="Palatino Linotype" w:eastAsia="Palatino Linotype" w:hAnsi="Palatino Linotype" w:cs="Palatino Linotype"/>
        </w:rPr>
        <w:t xml:space="preserve">Para efectos de lo anterior, se deberá emitir el Acuerdo del Comité de Transparencia en términos de los artículos 49, fracción VIII y 132, fracción II de la Ley de Transparencia y Acceso a la Información Pública del Estado de México y Municipios, en el que funde y motive las razones sobre los datos que se supriman o eliminen dentro del soporte </w:t>
      </w:r>
      <w:r w:rsidRPr="00725A19">
        <w:rPr>
          <w:rFonts w:ascii="Palatino Linotype" w:eastAsia="Palatino Linotype" w:hAnsi="Palatino Linotype" w:cs="Palatino Linotype"/>
        </w:rPr>
        <w:lastRenderedPageBreak/>
        <w:t>documental respectivo objeto de las versiones públicas que se formulen y se pongan a disposición del</w:t>
      </w:r>
      <w:r w:rsidRPr="00725A19">
        <w:rPr>
          <w:rFonts w:ascii="Palatino Linotype" w:eastAsia="Palatino Linotype" w:hAnsi="Palatino Linotype" w:cs="Palatino Linotype"/>
          <w:b/>
        </w:rPr>
        <w:t xml:space="preserve"> RECURRENTE</w:t>
      </w:r>
      <w:r w:rsidRPr="00725A19">
        <w:rPr>
          <w:rFonts w:ascii="Palatino Linotype" w:eastAsia="Palatino Linotype" w:hAnsi="Palatino Linotype" w:cs="Palatino Linotype"/>
        </w:rPr>
        <w:t>.</w:t>
      </w:r>
    </w:p>
    <w:p w14:paraId="1AC8862C" w14:textId="77777777" w:rsidR="002C13C2" w:rsidRPr="00725A19" w:rsidRDefault="002C13C2" w:rsidP="002C13C2">
      <w:pPr>
        <w:tabs>
          <w:tab w:val="left" w:pos="284"/>
        </w:tabs>
        <w:spacing w:line="360" w:lineRule="auto"/>
        <w:jc w:val="both"/>
        <w:rPr>
          <w:rFonts w:ascii="Palatino Linotype" w:eastAsia="Palatino Linotype" w:hAnsi="Palatino Linotype" w:cs="Palatino Linotype"/>
        </w:rPr>
      </w:pPr>
    </w:p>
    <w:p w14:paraId="19CFF75D" w14:textId="77777777" w:rsidR="002C13C2" w:rsidRPr="00725A19" w:rsidRDefault="002C13C2" w:rsidP="002C13C2">
      <w:pPr>
        <w:tabs>
          <w:tab w:val="left" w:pos="284"/>
          <w:tab w:val="left" w:pos="8080"/>
        </w:tabs>
        <w:spacing w:line="360" w:lineRule="auto"/>
        <w:ind w:right="49"/>
        <w:jc w:val="both"/>
        <w:rPr>
          <w:rFonts w:ascii="Palatino Linotype" w:eastAsia="Palatino Linotype" w:hAnsi="Palatino Linotype" w:cs="Palatino Linotype"/>
          <w:color w:val="222222"/>
        </w:rPr>
      </w:pPr>
      <w:r w:rsidRPr="00725A19">
        <w:rPr>
          <w:rFonts w:ascii="Palatino Linotype" w:eastAsia="Palatino Linotype" w:hAnsi="Palatino Linotype" w:cs="Palatino Linotype"/>
          <w:b/>
        </w:rPr>
        <w:t xml:space="preserve">TERCERO. </w:t>
      </w:r>
      <w:r w:rsidRPr="00725A19">
        <w:rPr>
          <w:rFonts w:ascii="Palatino Linotype" w:eastAsia="Palatino Linotype" w:hAnsi="Palatino Linotype" w:cs="Palatino Linotype"/>
          <w:b/>
          <w:color w:val="222222"/>
        </w:rPr>
        <w:t>NOTIFÍQUESE</w:t>
      </w:r>
      <w:r w:rsidRPr="00725A19">
        <w:rPr>
          <w:rFonts w:ascii="Palatino Linotype" w:eastAsia="Palatino Linotype" w:hAnsi="Palatino Linotype" w:cs="Palatino Linotype"/>
          <w:color w:val="222222"/>
        </w:rPr>
        <w:t xml:space="preserve"> la presente resolución al Titular de la Unidad de Transparencia del Sujeto Obligado vía SAIMEX, para que conforme al artículo 186 último párrafo, 189 segundo párrafo y 194 de la Ley de Transparencia y Acceso a la Información Pública del Estado de México y Municipios; </w:t>
      </w:r>
      <w:r w:rsidRPr="00725A19">
        <w:rPr>
          <w:rFonts w:ascii="Palatino Linotype" w:eastAsia="Palatino Linotype" w:hAnsi="Palatino Linotype" w:cs="Palatino Linotype"/>
          <w:b/>
          <w:color w:val="222222"/>
        </w:rPr>
        <w:t>dé cumplimiento a lo ordenado dentro del plazo de diez días hábiles</w:t>
      </w:r>
      <w:r w:rsidRPr="00725A19">
        <w:rPr>
          <w:rFonts w:ascii="Palatino Linotype" w:eastAsia="Palatino Linotype" w:hAnsi="Palatino Linotype" w:cs="Palatino Linotype"/>
          <w:color w:val="222222"/>
        </w:rPr>
        <w:t>,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5F0B9C78" w14:textId="77777777" w:rsidR="009B1D01" w:rsidRPr="00725A19" w:rsidRDefault="009B1D01" w:rsidP="002C13C2">
      <w:pPr>
        <w:tabs>
          <w:tab w:val="left" w:pos="284"/>
          <w:tab w:val="left" w:pos="8080"/>
        </w:tabs>
        <w:spacing w:line="360" w:lineRule="auto"/>
        <w:ind w:right="49"/>
        <w:jc w:val="both"/>
        <w:rPr>
          <w:rFonts w:ascii="Palatino Linotype" w:eastAsia="Palatino Linotype" w:hAnsi="Palatino Linotype" w:cs="Palatino Linotype"/>
          <w:color w:val="222222"/>
        </w:rPr>
      </w:pPr>
    </w:p>
    <w:p w14:paraId="5A517929" w14:textId="77777777" w:rsidR="002C13C2" w:rsidRPr="00725A19" w:rsidRDefault="002C13C2" w:rsidP="002C13C2">
      <w:pPr>
        <w:tabs>
          <w:tab w:val="left" w:pos="8080"/>
        </w:tabs>
        <w:spacing w:line="360" w:lineRule="auto"/>
        <w:ind w:right="49"/>
        <w:jc w:val="both"/>
        <w:rPr>
          <w:rFonts w:ascii="Palatino Linotype" w:eastAsia="Palatino Linotype" w:hAnsi="Palatino Linotype" w:cs="Palatino Linotype"/>
        </w:rPr>
      </w:pPr>
      <w:r w:rsidRPr="00725A19">
        <w:rPr>
          <w:rFonts w:ascii="Palatino Linotype" w:eastAsia="Palatino Linotype" w:hAnsi="Palatino Linotype" w:cs="Palatino Linotype"/>
          <w:b/>
        </w:rPr>
        <w:t xml:space="preserve">CUARTO. </w:t>
      </w:r>
      <w:r w:rsidRPr="00725A19">
        <w:rPr>
          <w:rFonts w:ascii="Palatino Linotype" w:eastAsia="Palatino Linotype" w:hAnsi="Palatino Linotype" w:cs="Palatino Linotype"/>
        </w:rPr>
        <w:t xml:space="preserve">Notifíquese a </w:t>
      </w:r>
      <w:r w:rsidRPr="00725A19">
        <w:rPr>
          <w:rFonts w:ascii="Palatino Linotype" w:eastAsia="Palatino Linotype" w:hAnsi="Palatino Linotype" w:cs="Palatino Linotype"/>
          <w:b/>
        </w:rPr>
        <w:t>EL RECURRENTE</w:t>
      </w:r>
      <w:r w:rsidRPr="00725A19">
        <w:rPr>
          <w:rFonts w:ascii="Palatino Linotype" w:eastAsia="Palatino Linotype" w:hAnsi="Palatino Linotype" w:cs="Palatino Linotype"/>
        </w:rPr>
        <w:t xml:space="preserve"> la presente resolución, vía SAIMEX.</w:t>
      </w:r>
    </w:p>
    <w:p w14:paraId="02A1F396" w14:textId="77777777" w:rsidR="002C13C2" w:rsidRPr="00725A19" w:rsidRDefault="002C13C2" w:rsidP="002C13C2">
      <w:pPr>
        <w:shd w:val="clear" w:color="auto" w:fill="FFFFFF"/>
        <w:spacing w:line="360" w:lineRule="auto"/>
        <w:jc w:val="both"/>
        <w:rPr>
          <w:rFonts w:ascii="Palatino Linotype" w:eastAsia="Palatino Linotype" w:hAnsi="Palatino Linotype" w:cs="Palatino Linotype"/>
        </w:rPr>
      </w:pPr>
    </w:p>
    <w:p w14:paraId="1A0A853B" w14:textId="77777777" w:rsidR="002C13C2" w:rsidRPr="00725A19" w:rsidRDefault="002C13C2" w:rsidP="002C13C2">
      <w:pPr>
        <w:spacing w:line="360" w:lineRule="auto"/>
        <w:jc w:val="both"/>
        <w:rPr>
          <w:rFonts w:ascii="Palatino Linotype" w:eastAsia="Palatino Linotype" w:hAnsi="Palatino Linotype" w:cs="Palatino Linotype"/>
        </w:rPr>
      </w:pPr>
      <w:r w:rsidRPr="00725A19">
        <w:rPr>
          <w:rFonts w:ascii="Palatino Linotype" w:eastAsia="Palatino Linotype" w:hAnsi="Palatino Linotype" w:cs="Palatino Linotype"/>
          <w:b/>
        </w:rPr>
        <w:t xml:space="preserve">QUINTO. Gírese </w:t>
      </w:r>
      <w:r w:rsidRPr="00725A19">
        <w:rPr>
          <w:rFonts w:ascii="Palatino Linotype" w:eastAsia="Palatino Linotype" w:hAnsi="Palatino Linotype" w:cs="Palatino Linotype"/>
        </w:rPr>
        <w:t xml:space="preserve">oficio a la Secretaría Técnica del Pleno de este Instituto para hacer del conocimiento del Órgano Interno de Control competente la presente resolución, a fin de que de conformidad con el artículo 190 de la Ley de Transparencia y Acceso a la Información Pública del Estado de México y Municipios se determine lo conducente, en términos de lo señalado en el Considerando </w:t>
      </w:r>
      <w:r w:rsidRPr="00725A19">
        <w:rPr>
          <w:rFonts w:ascii="Palatino Linotype" w:eastAsia="Palatino Linotype" w:hAnsi="Palatino Linotype" w:cs="Palatino Linotype"/>
          <w:b/>
        </w:rPr>
        <w:t>CUARTO</w:t>
      </w:r>
      <w:r w:rsidRPr="00725A19">
        <w:rPr>
          <w:rFonts w:ascii="Palatino Linotype" w:eastAsia="Palatino Linotype" w:hAnsi="Palatino Linotype" w:cs="Palatino Linotype"/>
        </w:rPr>
        <w:t xml:space="preserve"> de la presente resolución.</w:t>
      </w:r>
    </w:p>
    <w:p w14:paraId="3142B39B" w14:textId="77777777" w:rsidR="00734630" w:rsidRPr="00725A19" w:rsidRDefault="00734630" w:rsidP="002C13C2">
      <w:pPr>
        <w:spacing w:line="360" w:lineRule="auto"/>
        <w:jc w:val="both"/>
        <w:rPr>
          <w:rFonts w:ascii="Palatino Linotype" w:eastAsia="Palatino Linotype" w:hAnsi="Palatino Linotype" w:cs="Palatino Linotype"/>
        </w:rPr>
      </w:pPr>
    </w:p>
    <w:p w14:paraId="171D54DF" w14:textId="77777777" w:rsidR="002C13C2" w:rsidRPr="00725A19" w:rsidRDefault="002C13C2" w:rsidP="002C13C2">
      <w:pPr>
        <w:shd w:val="clear" w:color="auto" w:fill="FFFFFF"/>
        <w:spacing w:line="360" w:lineRule="auto"/>
        <w:jc w:val="both"/>
        <w:rPr>
          <w:rFonts w:ascii="Palatino Linotype" w:eastAsia="Palatino Linotype" w:hAnsi="Palatino Linotype" w:cs="Palatino Linotype"/>
        </w:rPr>
      </w:pPr>
      <w:r w:rsidRPr="00725A19">
        <w:rPr>
          <w:rFonts w:ascii="Palatino Linotype" w:eastAsia="Palatino Linotype" w:hAnsi="Palatino Linotype" w:cs="Palatino Linotype"/>
          <w:b/>
        </w:rPr>
        <w:t>SEXTO</w:t>
      </w:r>
      <w:r w:rsidRPr="00725A19">
        <w:rPr>
          <w:rFonts w:ascii="Palatino Linotype" w:eastAsia="Palatino Linotype" w:hAnsi="Palatino Linotype" w:cs="Palatino Linotype"/>
        </w:rPr>
        <w:t xml:space="preserve">. Hágase del conocimiento del </w:t>
      </w:r>
      <w:r w:rsidRPr="00725A19">
        <w:rPr>
          <w:rFonts w:ascii="Palatino Linotype" w:eastAsia="Palatino Linotype" w:hAnsi="Palatino Linotype" w:cs="Palatino Linotype"/>
          <w:b/>
        </w:rPr>
        <w:t>RECURRENTE</w:t>
      </w:r>
      <w:r w:rsidRPr="00725A19">
        <w:rPr>
          <w:rFonts w:ascii="Palatino Linotype" w:eastAsia="Palatino Linotype" w:hAnsi="Palatino Linotype" w:cs="Palatino Linotype"/>
        </w:rPr>
        <w:t xml:space="preserve"> que la respuesta que dé </w:t>
      </w:r>
      <w:r w:rsidRPr="00725A19">
        <w:rPr>
          <w:rFonts w:ascii="Palatino Linotype" w:eastAsia="Palatino Linotype" w:hAnsi="Palatino Linotype" w:cs="Palatino Linotype"/>
          <w:b/>
        </w:rPr>
        <w:t>EL SUJETO OBLIGADO</w:t>
      </w:r>
      <w:r w:rsidRPr="00725A19">
        <w:rPr>
          <w:rFonts w:ascii="Palatino Linotype" w:eastAsia="Palatino Linotype" w:hAnsi="Palatino Linotype" w:cs="Palatino Linotype"/>
        </w:rPr>
        <w:t xml:space="preserve"> derivada de la presente resolución es susceptible de ser impugnada nuevamente, mediante recurso de revisión, ante el Instituto, en términos del artículo 179, último párrafo de la Ley de Transparencia y Acceso a la Información Pública del Estado de México y Municipios.</w:t>
      </w:r>
    </w:p>
    <w:p w14:paraId="5B4DB8BD" w14:textId="77777777" w:rsidR="002C13C2" w:rsidRPr="00725A19" w:rsidRDefault="002C13C2" w:rsidP="002C13C2">
      <w:pPr>
        <w:shd w:val="clear" w:color="auto" w:fill="FFFFFF"/>
        <w:spacing w:line="360" w:lineRule="auto"/>
        <w:jc w:val="both"/>
        <w:rPr>
          <w:rFonts w:ascii="Palatino Linotype" w:eastAsia="Palatino Linotype" w:hAnsi="Palatino Linotype" w:cs="Palatino Linotype"/>
        </w:rPr>
      </w:pPr>
    </w:p>
    <w:p w14:paraId="52FA0E4C" w14:textId="77777777" w:rsidR="00734630" w:rsidRPr="003C7186" w:rsidRDefault="00734630" w:rsidP="00734630">
      <w:pPr>
        <w:spacing w:line="360" w:lineRule="auto"/>
        <w:ind w:left="-142" w:right="-234" w:firstLine="1"/>
        <w:jc w:val="both"/>
        <w:rPr>
          <w:rFonts w:ascii="Palatino Linotype" w:hAnsi="Palatino Linotype"/>
        </w:rPr>
      </w:pPr>
      <w:r w:rsidRPr="00725A19">
        <w:rPr>
          <w:rFonts w:ascii="Palatino Linotype" w:hAnsi="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CUADRAGÉSIMA TERCERA SESIÓN ORDINARIA CELEBRADA EL ONCE (11) DE DICIEMBRE DE DOS MIL VEINTICUATRO, ANTE EL SECRETARIO TÉCNICO DEL PLENO ALEXIS TAPIA RAMÍREZ.</w:t>
      </w:r>
      <w:bookmarkStart w:id="8" w:name="_GoBack"/>
      <w:bookmarkEnd w:id="8"/>
      <w:r w:rsidRPr="003C7186">
        <w:rPr>
          <w:rFonts w:ascii="Palatino Linotype" w:hAnsi="Palatino Linotype"/>
        </w:rPr>
        <w:t xml:space="preserve"> </w:t>
      </w:r>
    </w:p>
    <w:p w14:paraId="5E034AE8" w14:textId="77777777" w:rsidR="00734630" w:rsidRPr="00902BA4" w:rsidRDefault="00734630" w:rsidP="00734630">
      <w:pPr>
        <w:widowControl w:val="0"/>
        <w:autoSpaceDE w:val="0"/>
        <w:autoSpaceDN w:val="0"/>
        <w:adjustRightInd w:val="0"/>
        <w:spacing w:after="200" w:line="276" w:lineRule="auto"/>
        <w:ind w:left="-142" w:right="-234"/>
        <w:rPr>
          <w:rFonts w:ascii="Calibri" w:hAnsi="Calibri" w:cs="Calibri"/>
        </w:rPr>
      </w:pPr>
    </w:p>
    <w:p w14:paraId="5DD01E6A" w14:textId="77777777" w:rsidR="002C13C2" w:rsidRDefault="002C13C2" w:rsidP="002C13C2">
      <w:pPr>
        <w:spacing w:line="360" w:lineRule="auto"/>
        <w:jc w:val="both"/>
        <w:rPr>
          <w:rFonts w:ascii="Palatino Linotype" w:hAnsi="Palatino Linotype"/>
        </w:rPr>
      </w:pPr>
    </w:p>
    <w:p w14:paraId="7A5EE280" w14:textId="77777777" w:rsidR="006471C9" w:rsidRDefault="006471C9" w:rsidP="002C13C2">
      <w:pPr>
        <w:spacing w:line="360" w:lineRule="auto"/>
        <w:jc w:val="both"/>
        <w:rPr>
          <w:rFonts w:ascii="Palatino Linotype" w:hAnsi="Palatino Linotype"/>
        </w:rPr>
      </w:pPr>
    </w:p>
    <w:p w14:paraId="252450CC" w14:textId="77777777" w:rsidR="006471C9" w:rsidRDefault="006471C9" w:rsidP="002C13C2">
      <w:pPr>
        <w:spacing w:line="360" w:lineRule="auto"/>
        <w:jc w:val="both"/>
        <w:rPr>
          <w:rFonts w:ascii="Palatino Linotype" w:hAnsi="Palatino Linotype"/>
        </w:rPr>
      </w:pPr>
    </w:p>
    <w:p w14:paraId="7D3C652B" w14:textId="77777777" w:rsidR="006471C9" w:rsidRDefault="006471C9" w:rsidP="002C13C2">
      <w:pPr>
        <w:spacing w:line="360" w:lineRule="auto"/>
        <w:jc w:val="both"/>
        <w:rPr>
          <w:rFonts w:ascii="Palatino Linotype" w:hAnsi="Palatino Linotype"/>
        </w:rPr>
      </w:pPr>
    </w:p>
    <w:p w14:paraId="11021244" w14:textId="77777777" w:rsidR="006471C9" w:rsidRDefault="006471C9" w:rsidP="002C13C2">
      <w:pPr>
        <w:spacing w:line="360" w:lineRule="auto"/>
        <w:jc w:val="both"/>
        <w:rPr>
          <w:rFonts w:ascii="Palatino Linotype" w:hAnsi="Palatino Linotype"/>
        </w:rPr>
      </w:pPr>
    </w:p>
    <w:p w14:paraId="1783870F" w14:textId="77777777" w:rsidR="006471C9" w:rsidRDefault="006471C9" w:rsidP="002C13C2">
      <w:pPr>
        <w:spacing w:line="360" w:lineRule="auto"/>
        <w:jc w:val="both"/>
        <w:rPr>
          <w:rFonts w:ascii="Palatino Linotype" w:hAnsi="Palatino Linotype"/>
        </w:rPr>
      </w:pPr>
    </w:p>
    <w:p w14:paraId="2BE10173" w14:textId="77777777" w:rsidR="006471C9" w:rsidRDefault="006471C9" w:rsidP="002C13C2">
      <w:pPr>
        <w:spacing w:line="360" w:lineRule="auto"/>
        <w:jc w:val="both"/>
        <w:rPr>
          <w:rFonts w:ascii="Palatino Linotype" w:hAnsi="Palatino Linotype"/>
        </w:rPr>
      </w:pPr>
    </w:p>
    <w:p w14:paraId="720158B0" w14:textId="77777777" w:rsidR="006471C9" w:rsidRDefault="006471C9" w:rsidP="002C13C2">
      <w:pPr>
        <w:spacing w:line="360" w:lineRule="auto"/>
        <w:jc w:val="both"/>
        <w:rPr>
          <w:rFonts w:ascii="Palatino Linotype" w:hAnsi="Palatino Linotype"/>
        </w:rPr>
      </w:pPr>
    </w:p>
    <w:p w14:paraId="38B455D1" w14:textId="77777777" w:rsidR="006471C9" w:rsidRDefault="006471C9" w:rsidP="002C13C2">
      <w:pPr>
        <w:spacing w:line="360" w:lineRule="auto"/>
        <w:jc w:val="both"/>
        <w:rPr>
          <w:rFonts w:ascii="Palatino Linotype" w:hAnsi="Palatino Linotype"/>
        </w:rPr>
      </w:pPr>
    </w:p>
    <w:p w14:paraId="794D12C2" w14:textId="77777777" w:rsidR="006471C9" w:rsidRDefault="006471C9" w:rsidP="002C13C2">
      <w:pPr>
        <w:spacing w:line="360" w:lineRule="auto"/>
        <w:jc w:val="both"/>
        <w:rPr>
          <w:rFonts w:ascii="Palatino Linotype" w:hAnsi="Palatino Linotype"/>
        </w:rPr>
      </w:pPr>
    </w:p>
    <w:p w14:paraId="24126B65" w14:textId="77777777" w:rsidR="006471C9" w:rsidRDefault="006471C9" w:rsidP="002C13C2">
      <w:pPr>
        <w:spacing w:line="360" w:lineRule="auto"/>
        <w:jc w:val="both"/>
        <w:rPr>
          <w:rFonts w:ascii="Palatino Linotype" w:hAnsi="Palatino Linotype"/>
        </w:rPr>
      </w:pPr>
    </w:p>
    <w:p w14:paraId="71AEB803" w14:textId="77777777" w:rsidR="006471C9" w:rsidRDefault="006471C9" w:rsidP="002C13C2">
      <w:pPr>
        <w:spacing w:line="360" w:lineRule="auto"/>
        <w:jc w:val="both"/>
        <w:rPr>
          <w:rFonts w:ascii="Palatino Linotype" w:hAnsi="Palatino Linotype"/>
        </w:rPr>
      </w:pPr>
    </w:p>
    <w:p w14:paraId="56D63F61" w14:textId="77777777" w:rsidR="006471C9" w:rsidRDefault="006471C9" w:rsidP="002C13C2">
      <w:pPr>
        <w:spacing w:line="360" w:lineRule="auto"/>
        <w:jc w:val="both"/>
        <w:rPr>
          <w:rFonts w:ascii="Palatino Linotype" w:hAnsi="Palatino Linotype"/>
        </w:rPr>
      </w:pPr>
    </w:p>
    <w:p w14:paraId="744A427A" w14:textId="77777777" w:rsidR="006471C9" w:rsidRDefault="006471C9" w:rsidP="002C13C2">
      <w:pPr>
        <w:spacing w:line="360" w:lineRule="auto"/>
        <w:jc w:val="both"/>
        <w:rPr>
          <w:rFonts w:ascii="Palatino Linotype" w:hAnsi="Palatino Linotype"/>
        </w:rPr>
      </w:pPr>
    </w:p>
    <w:p w14:paraId="5FE54525" w14:textId="77777777" w:rsidR="006471C9" w:rsidRDefault="006471C9" w:rsidP="002C13C2">
      <w:pPr>
        <w:spacing w:line="360" w:lineRule="auto"/>
        <w:jc w:val="both"/>
        <w:rPr>
          <w:rFonts w:ascii="Palatino Linotype" w:hAnsi="Palatino Linotype"/>
        </w:rPr>
      </w:pPr>
    </w:p>
    <w:p w14:paraId="799A7BF9" w14:textId="77777777" w:rsidR="006471C9" w:rsidRDefault="006471C9" w:rsidP="002C13C2">
      <w:pPr>
        <w:spacing w:line="360" w:lineRule="auto"/>
        <w:jc w:val="both"/>
        <w:rPr>
          <w:rFonts w:ascii="Palatino Linotype" w:hAnsi="Palatino Linotype"/>
        </w:rPr>
      </w:pPr>
    </w:p>
    <w:p w14:paraId="3692F000" w14:textId="77777777" w:rsidR="006471C9" w:rsidRDefault="006471C9" w:rsidP="002C13C2">
      <w:pPr>
        <w:spacing w:line="360" w:lineRule="auto"/>
        <w:jc w:val="both"/>
        <w:rPr>
          <w:rFonts w:ascii="Palatino Linotype" w:hAnsi="Palatino Linotype"/>
        </w:rPr>
      </w:pPr>
    </w:p>
    <w:p w14:paraId="3E0E033F" w14:textId="77777777" w:rsidR="006471C9" w:rsidRDefault="006471C9" w:rsidP="002C13C2">
      <w:pPr>
        <w:spacing w:line="360" w:lineRule="auto"/>
        <w:jc w:val="both"/>
        <w:rPr>
          <w:rFonts w:ascii="Palatino Linotype" w:hAnsi="Palatino Linotype"/>
        </w:rPr>
      </w:pPr>
    </w:p>
    <w:p w14:paraId="3A9F5A29" w14:textId="77777777" w:rsidR="006471C9" w:rsidRDefault="006471C9" w:rsidP="002C13C2">
      <w:pPr>
        <w:spacing w:line="360" w:lineRule="auto"/>
        <w:jc w:val="both"/>
        <w:rPr>
          <w:rFonts w:ascii="Palatino Linotype" w:hAnsi="Palatino Linotype"/>
        </w:rPr>
      </w:pPr>
    </w:p>
    <w:p w14:paraId="0E529B4F" w14:textId="77777777" w:rsidR="006471C9" w:rsidRPr="006C5244" w:rsidRDefault="006471C9" w:rsidP="002C13C2">
      <w:pPr>
        <w:spacing w:line="360" w:lineRule="auto"/>
        <w:jc w:val="both"/>
        <w:rPr>
          <w:rFonts w:ascii="Palatino Linotype" w:hAnsi="Palatino Linotype"/>
        </w:rPr>
      </w:pPr>
    </w:p>
    <w:sectPr w:rsidR="006471C9" w:rsidRPr="006C5244" w:rsidSect="00373DFF">
      <w:headerReference w:type="even" r:id="rId13"/>
      <w:headerReference w:type="default" r:id="rId14"/>
      <w:footerReference w:type="default" r:id="rId15"/>
      <w:headerReference w:type="first" r:id="rId16"/>
      <w:footerReference w:type="first" r:id="rId17"/>
      <w:pgSz w:w="12240" w:h="15840"/>
      <w:pgMar w:top="80" w:right="1467" w:bottom="1418" w:left="1588" w:header="709" w:footer="91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BE03FE" w14:textId="77777777" w:rsidR="003B7A7E" w:rsidRDefault="003B7A7E">
      <w:r>
        <w:separator/>
      </w:r>
    </w:p>
  </w:endnote>
  <w:endnote w:type="continuationSeparator" w:id="0">
    <w:p w14:paraId="6AC828D4" w14:textId="77777777" w:rsidR="003B7A7E" w:rsidRDefault="003B7A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852573" w14:textId="77777777" w:rsidR="00B4132C" w:rsidRDefault="00B4132C">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725A19">
      <w:rPr>
        <w:b/>
        <w:noProof/>
        <w:color w:val="000000"/>
      </w:rPr>
      <w:t>56</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725A19">
      <w:rPr>
        <w:b/>
        <w:noProof/>
        <w:color w:val="000000"/>
      </w:rPr>
      <w:t>58</w:t>
    </w:r>
    <w:r>
      <w:rPr>
        <w:b/>
        <w:color w:val="000000"/>
      </w:rPr>
      <w:fldChar w:fldCharType="end"/>
    </w:r>
  </w:p>
  <w:p w14:paraId="6AFA6040" w14:textId="77777777" w:rsidR="00B4132C" w:rsidRDefault="00B4132C">
    <w:pPr>
      <w:pBdr>
        <w:top w:val="nil"/>
        <w:left w:val="nil"/>
        <w:bottom w:val="nil"/>
        <w:right w:val="nil"/>
        <w:between w:val="nil"/>
      </w:pBdr>
      <w:tabs>
        <w:tab w:val="center" w:pos="4419"/>
        <w:tab w:val="right" w:pos="8838"/>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FE955F" w14:textId="77777777" w:rsidR="00B4132C" w:rsidRDefault="00B4132C">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725A19">
      <w:rPr>
        <w:b/>
        <w:noProof/>
        <w:color w:val="000000"/>
      </w:rPr>
      <w:t>1</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725A19">
      <w:rPr>
        <w:b/>
        <w:noProof/>
        <w:color w:val="000000"/>
      </w:rPr>
      <w:t>58</w:t>
    </w:r>
    <w:r>
      <w:rPr>
        <w:b/>
        <w:color w:val="000000"/>
      </w:rPr>
      <w:fldChar w:fldCharType="end"/>
    </w:r>
  </w:p>
  <w:p w14:paraId="7FB53DF1" w14:textId="77777777" w:rsidR="00B4132C" w:rsidRDefault="00B4132C">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FD371F7" w14:textId="77777777" w:rsidR="003B7A7E" w:rsidRDefault="003B7A7E">
      <w:r>
        <w:separator/>
      </w:r>
    </w:p>
  </w:footnote>
  <w:footnote w:type="continuationSeparator" w:id="0">
    <w:p w14:paraId="345FEFAF" w14:textId="77777777" w:rsidR="003B7A7E" w:rsidRDefault="003B7A7E">
      <w:r>
        <w:continuationSeparator/>
      </w:r>
    </w:p>
  </w:footnote>
  <w:footnote w:id="1">
    <w:p w14:paraId="2433B782" w14:textId="77777777" w:rsidR="002C13C2" w:rsidRDefault="002C13C2" w:rsidP="002C13C2">
      <w:pPr>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Convención Americana sobre Derechos Humanos. Artículo 13.</w:t>
      </w:r>
    </w:p>
  </w:footnote>
  <w:footnote w:id="2">
    <w:p w14:paraId="6F13B6D0" w14:textId="77777777" w:rsidR="002C13C2" w:rsidRDefault="002C13C2" w:rsidP="002C13C2">
      <w:pPr>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Constitución Política de los Estados Unidos Mexicanos. Artículo sexto, sección A, fracción I.</w:t>
      </w:r>
    </w:p>
  </w:footnote>
  <w:footnote w:id="3">
    <w:p w14:paraId="6259396E" w14:textId="77777777" w:rsidR="002C13C2" w:rsidRDefault="002C13C2" w:rsidP="002C13C2">
      <w:pPr>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Corte Interamericana de Derechos Humanos. Caso Claude Reyes y otros vs. Chile. Sentencia de 19 de septiembre de 2006. Serie C. No. 151. Párr. 86.</w:t>
      </w:r>
    </w:p>
  </w:footnote>
  <w:footnote w:id="4">
    <w:p w14:paraId="13FD1225" w14:textId="77777777" w:rsidR="002C13C2" w:rsidRDefault="002C13C2" w:rsidP="002C13C2">
      <w:pPr>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Ibídem. Parr. 87.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7A7F58" w14:textId="77777777" w:rsidR="00B4132C" w:rsidRDefault="003B7A7E">
    <w:pPr>
      <w:pBdr>
        <w:top w:val="nil"/>
        <w:left w:val="nil"/>
        <w:bottom w:val="nil"/>
        <w:right w:val="nil"/>
        <w:between w:val="nil"/>
      </w:pBdr>
      <w:tabs>
        <w:tab w:val="center" w:pos="4419"/>
        <w:tab w:val="right" w:pos="8838"/>
      </w:tabs>
      <w:rPr>
        <w:color w:val="000000"/>
      </w:rPr>
    </w:pPr>
    <w:r>
      <w:rPr>
        <w:color w:val="000000"/>
      </w:rPr>
      <w:pict w14:anchorId="6164F1F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alt="" style="position:absolute;margin-left:0;margin-top:0;width:589.8pt;height:768pt;z-index:-251657728;mso-position-horizontal:center;mso-position-horizontal-relative:margin;mso-position-vertical:center;mso-position-vertical-relative:margin">
          <v:imagedata r:id="rId1" o:title="image3"/>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8F396A" w14:textId="77777777" w:rsidR="00B4132C" w:rsidRDefault="00B4132C">
    <w:pPr>
      <w:widowControl w:val="0"/>
      <w:pBdr>
        <w:top w:val="nil"/>
        <w:left w:val="nil"/>
        <w:bottom w:val="nil"/>
        <w:right w:val="nil"/>
        <w:between w:val="nil"/>
      </w:pBdr>
      <w:spacing w:line="276" w:lineRule="auto"/>
      <w:rPr>
        <w:color w:val="000000"/>
      </w:rPr>
    </w:pPr>
  </w:p>
  <w:tbl>
    <w:tblPr>
      <w:tblStyle w:val="a9"/>
      <w:tblW w:w="9214" w:type="dxa"/>
      <w:tblInd w:w="0" w:type="dxa"/>
      <w:tblLayout w:type="fixed"/>
      <w:tblLook w:val="0400" w:firstRow="0" w:lastRow="0" w:firstColumn="0" w:lastColumn="0" w:noHBand="0" w:noVBand="1"/>
    </w:tblPr>
    <w:tblGrid>
      <w:gridCol w:w="2268"/>
      <w:gridCol w:w="6946"/>
    </w:tblGrid>
    <w:tr w:rsidR="00B4132C" w14:paraId="4E27C83B" w14:textId="77777777">
      <w:trPr>
        <w:trHeight w:val="2803"/>
      </w:trPr>
      <w:tc>
        <w:tcPr>
          <w:tcW w:w="2268" w:type="dxa"/>
        </w:tcPr>
        <w:p w14:paraId="549A4AFC" w14:textId="77777777" w:rsidR="00B4132C" w:rsidRDefault="00B4132C">
          <w:pPr>
            <w:tabs>
              <w:tab w:val="right" w:pos="4273"/>
            </w:tabs>
            <w:rPr>
              <w:rFonts w:ascii="Garamond" w:eastAsia="Garamond" w:hAnsi="Garamond" w:cs="Garamond"/>
              <w:sz w:val="16"/>
              <w:szCs w:val="16"/>
            </w:rPr>
          </w:pPr>
        </w:p>
      </w:tc>
      <w:tc>
        <w:tcPr>
          <w:tcW w:w="6946" w:type="dxa"/>
        </w:tcPr>
        <w:p w14:paraId="3E3B7738" w14:textId="77777777" w:rsidR="00B4132C" w:rsidRDefault="00B4132C"/>
        <w:tbl>
          <w:tblPr>
            <w:tblStyle w:val="aa"/>
            <w:tblW w:w="6684" w:type="dxa"/>
            <w:tblInd w:w="559" w:type="dxa"/>
            <w:tblLayout w:type="fixed"/>
            <w:tblLook w:val="0400" w:firstRow="0" w:lastRow="0" w:firstColumn="0" w:lastColumn="0" w:noHBand="0" w:noVBand="1"/>
          </w:tblPr>
          <w:tblGrid>
            <w:gridCol w:w="2550"/>
            <w:gridCol w:w="4134"/>
          </w:tblGrid>
          <w:tr w:rsidR="00B4132C" w14:paraId="728C704C" w14:textId="77777777" w:rsidTr="00663F2A">
            <w:trPr>
              <w:trHeight w:val="144"/>
            </w:trPr>
            <w:tc>
              <w:tcPr>
                <w:tcW w:w="2550" w:type="dxa"/>
              </w:tcPr>
              <w:p w14:paraId="0A5978BD" w14:textId="77777777" w:rsidR="00B4132C" w:rsidRDefault="00B4132C">
                <w:pPr>
                  <w:tabs>
                    <w:tab w:val="right" w:pos="8838"/>
                  </w:tabs>
                  <w:ind w:left="-264" w:right="-105" w:firstLine="195"/>
                  <w:rPr>
                    <w:rFonts w:ascii="Palatino Linotype" w:eastAsia="Palatino Linotype" w:hAnsi="Palatino Linotype" w:cs="Palatino Linotype"/>
                    <w:b/>
                  </w:rPr>
                </w:pPr>
                <w:r>
                  <w:rPr>
                    <w:rFonts w:ascii="Palatino Linotype" w:eastAsia="Palatino Linotype" w:hAnsi="Palatino Linotype" w:cs="Palatino Linotype"/>
                    <w:b/>
                  </w:rPr>
                  <w:t>Recurso de Revisión:</w:t>
                </w:r>
              </w:p>
            </w:tc>
            <w:tc>
              <w:tcPr>
                <w:tcW w:w="4134" w:type="dxa"/>
              </w:tcPr>
              <w:p w14:paraId="25799286" w14:textId="1F086736" w:rsidR="00B4132C" w:rsidRDefault="00B4132C" w:rsidP="00663F2A">
                <w:pPr>
                  <w:tabs>
                    <w:tab w:val="right" w:pos="8838"/>
                  </w:tabs>
                  <w:ind w:left="-74" w:right="-1415"/>
                  <w:rPr>
                    <w:rFonts w:ascii="Palatino Linotype" w:eastAsia="Palatino Linotype" w:hAnsi="Palatino Linotype" w:cs="Palatino Linotype"/>
                  </w:rPr>
                </w:pPr>
                <w:r>
                  <w:rPr>
                    <w:rFonts w:ascii="Palatino Linotype" w:eastAsia="Palatino Linotype" w:hAnsi="Palatino Linotype" w:cs="Palatino Linotype"/>
                  </w:rPr>
                  <w:t>07153/INFOEM/IP/RR/2024 y</w:t>
                </w:r>
              </w:p>
              <w:p w14:paraId="43F6EA6F" w14:textId="206C36C5" w:rsidR="00B4132C" w:rsidRDefault="00B4132C" w:rsidP="00663F2A">
                <w:pPr>
                  <w:tabs>
                    <w:tab w:val="right" w:pos="8838"/>
                  </w:tabs>
                  <w:ind w:left="-74" w:right="-1415"/>
                  <w:rPr>
                    <w:rFonts w:ascii="Palatino Linotype" w:eastAsia="Palatino Linotype" w:hAnsi="Palatino Linotype" w:cs="Palatino Linotype"/>
                  </w:rPr>
                </w:pPr>
                <w:r>
                  <w:rPr>
                    <w:rFonts w:ascii="Palatino Linotype" w:eastAsia="Palatino Linotype" w:hAnsi="Palatino Linotype" w:cs="Palatino Linotype"/>
                  </w:rPr>
                  <w:t>Acumulado</w:t>
                </w:r>
              </w:p>
            </w:tc>
          </w:tr>
          <w:tr w:rsidR="00B4132C" w14:paraId="67F76CC7" w14:textId="77777777" w:rsidTr="00663F2A">
            <w:trPr>
              <w:trHeight w:val="283"/>
            </w:trPr>
            <w:tc>
              <w:tcPr>
                <w:tcW w:w="2550" w:type="dxa"/>
              </w:tcPr>
              <w:p w14:paraId="10BD1ADC" w14:textId="77777777" w:rsidR="00B4132C" w:rsidRDefault="00B4132C">
                <w:pPr>
                  <w:tabs>
                    <w:tab w:val="right" w:pos="8838"/>
                  </w:tabs>
                  <w:ind w:left="-74" w:right="-105"/>
                  <w:rPr>
                    <w:rFonts w:ascii="Palatino Linotype" w:eastAsia="Palatino Linotype" w:hAnsi="Palatino Linotype" w:cs="Palatino Linotype"/>
                    <w:b/>
                  </w:rPr>
                </w:pPr>
                <w:r>
                  <w:rPr>
                    <w:rFonts w:ascii="Palatino Linotype" w:eastAsia="Palatino Linotype" w:hAnsi="Palatino Linotype" w:cs="Palatino Linotype"/>
                    <w:b/>
                  </w:rPr>
                  <w:t>Sujeto Obligado:</w:t>
                </w:r>
              </w:p>
            </w:tc>
            <w:tc>
              <w:tcPr>
                <w:tcW w:w="4134" w:type="dxa"/>
              </w:tcPr>
              <w:p w14:paraId="41BC1827" w14:textId="105462E9" w:rsidR="00B4132C" w:rsidRDefault="00B4132C" w:rsidP="006A1155">
                <w:pPr>
                  <w:tabs>
                    <w:tab w:val="left" w:pos="2834"/>
                  </w:tabs>
                  <w:ind w:left="-74" w:right="310"/>
                  <w:jc w:val="both"/>
                  <w:rPr>
                    <w:rFonts w:ascii="Palatino Linotype" w:eastAsia="Palatino Linotype" w:hAnsi="Palatino Linotype" w:cs="Palatino Linotype"/>
                  </w:rPr>
                </w:pPr>
                <w:r>
                  <w:rPr>
                    <w:rFonts w:ascii="Palatino Linotype" w:eastAsia="Palatino Linotype" w:hAnsi="Palatino Linotype" w:cs="Palatino Linotype"/>
                  </w:rPr>
                  <w:t>Ayuntamiento de Almoloya del Río</w:t>
                </w:r>
              </w:p>
            </w:tc>
          </w:tr>
          <w:tr w:rsidR="00B4132C" w14:paraId="7377C8FB" w14:textId="77777777" w:rsidTr="00663F2A">
            <w:trPr>
              <w:trHeight w:val="283"/>
            </w:trPr>
            <w:tc>
              <w:tcPr>
                <w:tcW w:w="2550" w:type="dxa"/>
              </w:tcPr>
              <w:p w14:paraId="1A14FB9E" w14:textId="77777777" w:rsidR="00B4132C" w:rsidRDefault="00B4132C">
                <w:pPr>
                  <w:tabs>
                    <w:tab w:val="right" w:pos="8838"/>
                  </w:tabs>
                  <w:ind w:left="-74" w:right="-105"/>
                  <w:rPr>
                    <w:rFonts w:ascii="Palatino Linotype" w:eastAsia="Palatino Linotype" w:hAnsi="Palatino Linotype" w:cs="Palatino Linotype"/>
                    <w:b/>
                  </w:rPr>
                </w:pPr>
                <w:r>
                  <w:rPr>
                    <w:rFonts w:ascii="Palatino Linotype" w:eastAsia="Palatino Linotype" w:hAnsi="Palatino Linotype" w:cs="Palatino Linotype"/>
                    <w:b/>
                  </w:rPr>
                  <w:t>Comisionada ponente:</w:t>
                </w:r>
              </w:p>
            </w:tc>
            <w:tc>
              <w:tcPr>
                <w:tcW w:w="4134" w:type="dxa"/>
              </w:tcPr>
              <w:p w14:paraId="32059066" w14:textId="77777777" w:rsidR="00B4132C" w:rsidRDefault="00B4132C">
                <w:pPr>
                  <w:tabs>
                    <w:tab w:val="right" w:pos="8838"/>
                  </w:tabs>
                  <w:ind w:left="-74" w:right="-1415"/>
                  <w:rPr>
                    <w:rFonts w:ascii="Palatino Linotype" w:eastAsia="Palatino Linotype" w:hAnsi="Palatino Linotype" w:cs="Palatino Linotype"/>
                  </w:rPr>
                </w:pPr>
                <w:r>
                  <w:rPr>
                    <w:rFonts w:ascii="Palatino Linotype" w:eastAsia="Palatino Linotype" w:hAnsi="Palatino Linotype" w:cs="Palatino Linotype"/>
                  </w:rPr>
                  <w:t>María del Rosario Mejía Ayala</w:t>
                </w:r>
              </w:p>
              <w:p w14:paraId="1A817525" w14:textId="77777777" w:rsidR="00B4132C" w:rsidRDefault="00B4132C">
                <w:pPr>
                  <w:tabs>
                    <w:tab w:val="right" w:pos="8838"/>
                  </w:tabs>
                  <w:ind w:left="-74" w:right="-1415"/>
                  <w:rPr>
                    <w:rFonts w:ascii="Palatino Linotype" w:eastAsia="Palatino Linotype" w:hAnsi="Palatino Linotype" w:cs="Palatino Linotype"/>
                    <w:b/>
                  </w:rPr>
                </w:pPr>
              </w:p>
            </w:tc>
          </w:tr>
        </w:tbl>
        <w:p w14:paraId="55663C65" w14:textId="77777777" w:rsidR="00B4132C" w:rsidRDefault="00B4132C">
          <w:pPr>
            <w:tabs>
              <w:tab w:val="right" w:pos="8838"/>
            </w:tabs>
            <w:ind w:left="-28"/>
            <w:jc w:val="both"/>
            <w:rPr>
              <w:rFonts w:ascii="Arial" w:eastAsia="Arial" w:hAnsi="Arial" w:cs="Arial"/>
              <w:b/>
            </w:rPr>
          </w:pPr>
        </w:p>
      </w:tc>
    </w:tr>
  </w:tbl>
  <w:p w14:paraId="67395B98" w14:textId="77777777" w:rsidR="00B4132C" w:rsidRDefault="003B7A7E">
    <w:pPr>
      <w:pBdr>
        <w:top w:val="nil"/>
        <w:left w:val="nil"/>
        <w:bottom w:val="nil"/>
        <w:right w:val="nil"/>
        <w:between w:val="nil"/>
      </w:pBdr>
      <w:tabs>
        <w:tab w:val="center" w:pos="4419"/>
        <w:tab w:val="right" w:pos="8838"/>
      </w:tabs>
      <w:rPr>
        <w:color w:val="000000"/>
        <w:sz w:val="14"/>
        <w:szCs w:val="14"/>
      </w:rPr>
    </w:pPr>
    <w:r>
      <w:rPr>
        <w:color w:val="000000"/>
      </w:rPr>
      <w:pict w14:anchorId="78A2916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1" type="#_x0000_t75" alt="" style="position:absolute;margin-left:-68.8pt;margin-top:-120.5pt;width:589.8pt;height:768pt;z-index:-251659776;mso-position-horizontal:absolute;mso-position-horizontal-relative:margin;mso-position-vertical:absolute;mso-position-vertical-relative:margin">
          <v:imagedata r:id="rId1" o:title="image3"/>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F91D0F" w14:textId="77777777" w:rsidR="00B4132C" w:rsidRDefault="003B7A7E">
    <w:pPr>
      <w:widowControl w:val="0"/>
      <w:pBdr>
        <w:top w:val="nil"/>
        <w:left w:val="nil"/>
        <w:bottom w:val="nil"/>
        <w:right w:val="nil"/>
        <w:between w:val="nil"/>
      </w:pBdr>
      <w:spacing w:line="276" w:lineRule="auto"/>
      <w:rPr>
        <w:color w:val="000000"/>
        <w:sz w:val="14"/>
        <w:szCs w:val="14"/>
      </w:rPr>
    </w:pPr>
    <w:r>
      <w:rPr>
        <w:sz w:val="14"/>
        <w:szCs w:val="14"/>
      </w:rPr>
      <w:pict w14:anchorId="0FB1EB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0" type="#_x0000_t75" alt="" style="position:absolute;margin-left:-76.3pt;margin-top:-151.15pt;width:589.8pt;height:768pt;z-index:-251658752;mso-position-horizontal:absolute;mso-position-horizontal-relative:margin;mso-position-vertical:absolute;mso-position-vertical-relative:margin">
          <v:imagedata r:id="rId1" o:title="image3"/>
          <w10:wrap anchorx="margin" anchory="margin"/>
        </v:shape>
      </w:pict>
    </w:r>
  </w:p>
  <w:tbl>
    <w:tblPr>
      <w:tblStyle w:val="ab"/>
      <w:tblW w:w="9915" w:type="dxa"/>
      <w:tblInd w:w="0" w:type="dxa"/>
      <w:tblLayout w:type="fixed"/>
      <w:tblLook w:val="0400" w:firstRow="0" w:lastRow="0" w:firstColumn="0" w:lastColumn="0" w:noHBand="0" w:noVBand="1"/>
    </w:tblPr>
    <w:tblGrid>
      <w:gridCol w:w="2265"/>
      <w:gridCol w:w="7650"/>
    </w:tblGrid>
    <w:tr w:rsidR="00B4132C" w14:paraId="4C202AD7" w14:textId="77777777">
      <w:trPr>
        <w:trHeight w:val="2514"/>
      </w:trPr>
      <w:tc>
        <w:tcPr>
          <w:tcW w:w="2265" w:type="dxa"/>
        </w:tcPr>
        <w:p w14:paraId="69DCA49C" w14:textId="77777777" w:rsidR="00B4132C" w:rsidRDefault="00B4132C">
          <w:pPr>
            <w:tabs>
              <w:tab w:val="right" w:pos="4273"/>
            </w:tabs>
            <w:rPr>
              <w:rFonts w:ascii="Garamond" w:eastAsia="Garamond" w:hAnsi="Garamond" w:cs="Garamond"/>
            </w:rPr>
          </w:pPr>
        </w:p>
      </w:tc>
      <w:tc>
        <w:tcPr>
          <w:tcW w:w="7650" w:type="dxa"/>
        </w:tcPr>
        <w:p w14:paraId="50A3DE8B" w14:textId="77777777" w:rsidR="00B4132C" w:rsidRDefault="00B4132C">
          <w:pPr>
            <w:widowControl w:val="0"/>
            <w:pBdr>
              <w:top w:val="nil"/>
              <w:left w:val="nil"/>
              <w:bottom w:val="nil"/>
              <w:right w:val="nil"/>
              <w:between w:val="nil"/>
            </w:pBdr>
            <w:spacing w:line="276" w:lineRule="auto"/>
            <w:rPr>
              <w:rFonts w:ascii="Garamond" w:eastAsia="Garamond" w:hAnsi="Garamond" w:cs="Garamond"/>
            </w:rPr>
          </w:pPr>
        </w:p>
        <w:tbl>
          <w:tblPr>
            <w:tblStyle w:val="ac"/>
            <w:tblW w:w="6690" w:type="dxa"/>
            <w:tblInd w:w="700" w:type="dxa"/>
            <w:tblLayout w:type="fixed"/>
            <w:tblLook w:val="0400" w:firstRow="0" w:lastRow="0" w:firstColumn="0" w:lastColumn="0" w:noHBand="0" w:noVBand="1"/>
          </w:tblPr>
          <w:tblGrid>
            <w:gridCol w:w="2582"/>
            <w:gridCol w:w="4108"/>
          </w:tblGrid>
          <w:tr w:rsidR="00B4132C" w14:paraId="427AA59D" w14:textId="77777777">
            <w:trPr>
              <w:trHeight w:val="144"/>
            </w:trPr>
            <w:tc>
              <w:tcPr>
                <w:tcW w:w="2582" w:type="dxa"/>
                <w:tcBorders>
                  <w:top w:val="nil"/>
                  <w:left w:val="nil"/>
                  <w:bottom w:val="nil"/>
                  <w:right w:val="nil"/>
                </w:tcBorders>
              </w:tcPr>
              <w:p w14:paraId="399D6D96" w14:textId="77777777" w:rsidR="00B4132C" w:rsidRDefault="00B4132C">
                <w:pPr>
                  <w:tabs>
                    <w:tab w:val="right" w:pos="8838"/>
                  </w:tabs>
                  <w:ind w:right="16"/>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108" w:type="dxa"/>
                <w:tcBorders>
                  <w:top w:val="nil"/>
                  <w:left w:val="nil"/>
                  <w:bottom w:val="nil"/>
                  <w:right w:val="nil"/>
                </w:tcBorders>
              </w:tcPr>
              <w:p w14:paraId="6781ED54" w14:textId="7EE6C615" w:rsidR="00B4132C" w:rsidRDefault="00B4132C" w:rsidP="008F0544">
                <w:pPr>
                  <w:ind w:left="-283" w:right="-990" w:firstLine="283"/>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07153/INFOEM/IP/RR/2024 y </w:t>
                </w:r>
              </w:p>
              <w:p w14:paraId="7E7AA78C" w14:textId="7649FE79" w:rsidR="00B4132C" w:rsidRDefault="00B4132C" w:rsidP="008F0544">
                <w:pPr>
                  <w:ind w:left="-283" w:right="-990" w:firstLine="283"/>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acumulado</w:t>
                </w:r>
              </w:p>
            </w:tc>
          </w:tr>
          <w:tr w:rsidR="00B4132C" w14:paraId="6DFB8296" w14:textId="77777777">
            <w:trPr>
              <w:trHeight w:val="144"/>
            </w:trPr>
            <w:tc>
              <w:tcPr>
                <w:tcW w:w="2582" w:type="dxa"/>
                <w:tcBorders>
                  <w:top w:val="nil"/>
                  <w:left w:val="nil"/>
                  <w:bottom w:val="nil"/>
                  <w:right w:val="nil"/>
                </w:tcBorders>
              </w:tcPr>
              <w:p w14:paraId="76304655" w14:textId="77777777" w:rsidR="00B4132C" w:rsidRDefault="00B4132C">
                <w:pPr>
                  <w:tabs>
                    <w:tab w:val="right" w:pos="8838"/>
                  </w:tabs>
                  <w:ind w:right="16"/>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4108" w:type="dxa"/>
                <w:tcBorders>
                  <w:top w:val="nil"/>
                  <w:left w:val="nil"/>
                  <w:bottom w:val="nil"/>
                  <w:right w:val="nil"/>
                </w:tcBorders>
              </w:tcPr>
              <w:p w14:paraId="350723F7" w14:textId="034F428E" w:rsidR="00B4132C" w:rsidRDefault="00725A19" w:rsidP="00D21CE6">
                <w:pPr>
                  <w:tabs>
                    <w:tab w:val="left" w:pos="3827"/>
                  </w:tabs>
                  <w:ind w:left="-283" w:right="-990" w:firstLine="283"/>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XXXXXXXXXX</w:t>
                </w:r>
              </w:p>
            </w:tc>
          </w:tr>
          <w:tr w:rsidR="00B4132C" w14:paraId="5482431D" w14:textId="77777777">
            <w:trPr>
              <w:trHeight w:val="283"/>
            </w:trPr>
            <w:tc>
              <w:tcPr>
                <w:tcW w:w="2582" w:type="dxa"/>
                <w:tcBorders>
                  <w:top w:val="nil"/>
                  <w:left w:val="nil"/>
                  <w:bottom w:val="nil"/>
                  <w:right w:val="nil"/>
                </w:tcBorders>
              </w:tcPr>
              <w:p w14:paraId="64CD95BF" w14:textId="77777777" w:rsidR="00B4132C" w:rsidRDefault="00B4132C">
                <w:pPr>
                  <w:tabs>
                    <w:tab w:val="right" w:pos="8838"/>
                  </w:tabs>
                  <w:ind w:right="16"/>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108" w:type="dxa"/>
                <w:tcBorders>
                  <w:top w:val="nil"/>
                  <w:left w:val="nil"/>
                  <w:bottom w:val="nil"/>
                  <w:right w:val="nil"/>
                </w:tcBorders>
              </w:tcPr>
              <w:p w14:paraId="3CF9C188" w14:textId="5151E212" w:rsidR="00B4132C" w:rsidRDefault="00B4132C" w:rsidP="006A1155">
                <w:pPr>
                  <w:tabs>
                    <w:tab w:val="left" w:pos="2834"/>
                  </w:tabs>
                  <w:ind w:left="-283" w:right="-990" w:firstLine="283"/>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Ayuntamiento de Almoloya del Río</w:t>
                </w:r>
              </w:p>
            </w:tc>
          </w:tr>
          <w:tr w:rsidR="00B4132C" w14:paraId="52727513" w14:textId="77777777">
            <w:trPr>
              <w:trHeight w:val="283"/>
            </w:trPr>
            <w:tc>
              <w:tcPr>
                <w:tcW w:w="2582" w:type="dxa"/>
                <w:tcBorders>
                  <w:top w:val="nil"/>
                  <w:left w:val="nil"/>
                  <w:bottom w:val="nil"/>
                  <w:right w:val="nil"/>
                </w:tcBorders>
              </w:tcPr>
              <w:p w14:paraId="24559F08" w14:textId="77777777" w:rsidR="00B4132C" w:rsidRDefault="00B4132C">
                <w:pPr>
                  <w:tabs>
                    <w:tab w:val="right" w:pos="8838"/>
                  </w:tabs>
                  <w:ind w:right="16"/>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108" w:type="dxa"/>
                <w:tcBorders>
                  <w:top w:val="nil"/>
                  <w:left w:val="nil"/>
                  <w:bottom w:val="nil"/>
                  <w:right w:val="nil"/>
                </w:tcBorders>
              </w:tcPr>
              <w:p w14:paraId="03C2B42D" w14:textId="77777777" w:rsidR="00B4132C" w:rsidRDefault="00B4132C" w:rsidP="00663F2A">
                <w:pPr>
                  <w:ind w:right="-990"/>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María del Rosario Mejía Ayala</w:t>
                </w:r>
              </w:p>
              <w:p w14:paraId="5F86D3A6" w14:textId="77777777" w:rsidR="00B4132C" w:rsidRDefault="00B4132C">
                <w:pPr>
                  <w:ind w:left="-283" w:right="-990" w:firstLine="141"/>
                  <w:rPr>
                    <w:rFonts w:ascii="Palatino Linotype" w:eastAsia="Palatino Linotype" w:hAnsi="Palatino Linotype" w:cs="Palatino Linotype"/>
                    <w:b/>
                    <w:sz w:val="22"/>
                    <w:szCs w:val="22"/>
                  </w:rPr>
                </w:pPr>
              </w:p>
            </w:tc>
          </w:tr>
        </w:tbl>
        <w:p w14:paraId="0C0237B7" w14:textId="77777777" w:rsidR="00B4132C" w:rsidRDefault="00B4132C">
          <w:pPr>
            <w:tabs>
              <w:tab w:val="right" w:pos="8838"/>
            </w:tabs>
            <w:ind w:left="-28"/>
            <w:jc w:val="both"/>
            <w:rPr>
              <w:rFonts w:ascii="Arial" w:eastAsia="Arial" w:hAnsi="Arial" w:cs="Arial"/>
              <w:b/>
            </w:rPr>
          </w:pPr>
        </w:p>
      </w:tc>
    </w:tr>
  </w:tbl>
  <w:p w14:paraId="09185F43" w14:textId="77777777" w:rsidR="00B4132C" w:rsidRDefault="00B4132C">
    <w:pPr>
      <w:pBdr>
        <w:top w:val="nil"/>
        <w:left w:val="nil"/>
        <w:bottom w:val="nil"/>
        <w:right w:val="nil"/>
        <w:between w:val="nil"/>
      </w:pBdr>
      <w:tabs>
        <w:tab w:val="center" w:pos="4419"/>
        <w:tab w:val="right" w:pos="8838"/>
      </w:tabs>
      <w:rPr>
        <w:color w:val="000000"/>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964D64"/>
    <w:multiLevelType w:val="multilevel"/>
    <w:tmpl w:val="7C4AC516"/>
    <w:lvl w:ilvl="0">
      <w:start w:val="1"/>
      <w:numFmt w:val="decimal"/>
      <w:lvlText w:val="%1."/>
      <w:lvlJc w:val="left"/>
      <w:pPr>
        <w:ind w:left="501" w:hanging="359"/>
      </w:pPr>
      <w:rPr>
        <w:rFonts w:ascii="Palatino Linotype" w:eastAsia="Palatino Linotype" w:hAnsi="Palatino Linotype" w:cs="Palatino Linotype"/>
        <w:b/>
        <w:i w:val="0"/>
        <w:color w:val="000000"/>
        <w:sz w:val="24"/>
        <w:szCs w:val="24"/>
      </w:rPr>
    </w:lvl>
    <w:lvl w:ilvl="1">
      <w:start w:val="1"/>
      <w:numFmt w:val="upperRoman"/>
      <w:lvlText w:val="%2."/>
      <w:lvlJc w:val="left"/>
      <w:pPr>
        <w:ind w:left="1800" w:hanging="720"/>
      </w:pPr>
      <w:rPr>
        <w:rFonts w:ascii="Palatino Linotype" w:eastAsia="Palatino Linotype" w:hAnsi="Palatino Linotype" w:cs="Palatino Linotype"/>
        <w:b/>
        <w:color w:val="000000"/>
        <w:sz w:val="24"/>
        <w:szCs w:val="24"/>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424188C"/>
    <w:multiLevelType w:val="multilevel"/>
    <w:tmpl w:val="EEAAAF8C"/>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2" w15:restartNumberingAfterBreak="0">
    <w:nsid w:val="0988672E"/>
    <w:multiLevelType w:val="hybridMultilevel"/>
    <w:tmpl w:val="2E2A5EAC"/>
    <w:lvl w:ilvl="0" w:tplc="6D888DFA">
      <w:start w:val="1"/>
      <w:numFmt w:val="decimal"/>
      <w:lvlText w:val="%1)"/>
      <w:lvlJc w:val="left"/>
      <w:pPr>
        <w:ind w:left="360" w:hanging="360"/>
      </w:pPr>
      <w:rPr>
        <w:rFonts w:hint="default"/>
        <w:b/>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15:restartNumberingAfterBreak="0">
    <w:nsid w:val="0B805933"/>
    <w:multiLevelType w:val="hybridMultilevel"/>
    <w:tmpl w:val="AB18673A"/>
    <w:lvl w:ilvl="0" w:tplc="6D12ADBC">
      <w:start w:val="2"/>
      <w:numFmt w:val="upperLetter"/>
      <w:lvlText w:val="%1)"/>
      <w:lvlJc w:val="left"/>
      <w:pPr>
        <w:ind w:left="1070" w:hanging="360"/>
      </w:pPr>
      <w:rPr>
        <w:rFonts w:hint="default"/>
      </w:rPr>
    </w:lvl>
    <w:lvl w:ilvl="1" w:tplc="080A0019" w:tentative="1">
      <w:start w:val="1"/>
      <w:numFmt w:val="lowerLetter"/>
      <w:lvlText w:val="%2."/>
      <w:lvlJc w:val="left"/>
      <w:pPr>
        <w:ind w:left="1790" w:hanging="360"/>
      </w:pPr>
    </w:lvl>
    <w:lvl w:ilvl="2" w:tplc="080A001B" w:tentative="1">
      <w:start w:val="1"/>
      <w:numFmt w:val="lowerRoman"/>
      <w:lvlText w:val="%3."/>
      <w:lvlJc w:val="right"/>
      <w:pPr>
        <w:ind w:left="2510" w:hanging="180"/>
      </w:pPr>
    </w:lvl>
    <w:lvl w:ilvl="3" w:tplc="080A000F" w:tentative="1">
      <w:start w:val="1"/>
      <w:numFmt w:val="decimal"/>
      <w:lvlText w:val="%4."/>
      <w:lvlJc w:val="left"/>
      <w:pPr>
        <w:ind w:left="3230" w:hanging="360"/>
      </w:pPr>
    </w:lvl>
    <w:lvl w:ilvl="4" w:tplc="080A0019" w:tentative="1">
      <w:start w:val="1"/>
      <w:numFmt w:val="lowerLetter"/>
      <w:lvlText w:val="%5."/>
      <w:lvlJc w:val="left"/>
      <w:pPr>
        <w:ind w:left="3950" w:hanging="360"/>
      </w:pPr>
    </w:lvl>
    <w:lvl w:ilvl="5" w:tplc="080A001B" w:tentative="1">
      <w:start w:val="1"/>
      <w:numFmt w:val="lowerRoman"/>
      <w:lvlText w:val="%6."/>
      <w:lvlJc w:val="right"/>
      <w:pPr>
        <w:ind w:left="4670" w:hanging="180"/>
      </w:pPr>
    </w:lvl>
    <w:lvl w:ilvl="6" w:tplc="080A000F" w:tentative="1">
      <w:start w:val="1"/>
      <w:numFmt w:val="decimal"/>
      <w:lvlText w:val="%7."/>
      <w:lvlJc w:val="left"/>
      <w:pPr>
        <w:ind w:left="5390" w:hanging="360"/>
      </w:pPr>
    </w:lvl>
    <w:lvl w:ilvl="7" w:tplc="080A0019" w:tentative="1">
      <w:start w:val="1"/>
      <w:numFmt w:val="lowerLetter"/>
      <w:lvlText w:val="%8."/>
      <w:lvlJc w:val="left"/>
      <w:pPr>
        <w:ind w:left="6110" w:hanging="360"/>
      </w:pPr>
    </w:lvl>
    <w:lvl w:ilvl="8" w:tplc="080A001B" w:tentative="1">
      <w:start w:val="1"/>
      <w:numFmt w:val="lowerRoman"/>
      <w:lvlText w:val="%9."/>
      <w:lvlJc w:val="right"/>
      <w:pPr>
        <w:ind w:left="6830" w:hanging="180"/>
      </w:pPr>
    </w:lvl>
  </w:abstractNum>
  <w:abstractNum w:abstractNumId="4" w15:restartNumberingAfterBreak="0">
    <w:nsid w:val="0CFB35DF"/>
    <w:multiLevelType w:val="hybridMultilevel"/>
    <w:tmpl w:val="2064F0B2"/>
    <w:lvl w:ilvl="0" w:tplc="9940B554">
      <w:start w:val="1"/>
      <w:numFmt w:val="decimal"/>
      <w:lvlText w:val="%1."/>
      <w:lvlJc w:val="left"/>
      <w:pPr>
        <w:ind w:left="1080" w:hanging="360"/>
      </w:pPr>
      <w:rPr>
        <w:sz w:val="24"/>
        <w:szCs w:val="24"/>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5" w15:restartNumberingAfterBreak="0">
    <w:nsid w:val="0F362DAF"/>
    <w:multiLevelType w:val="multilevel"/>
    <w:tmpl w:val="9E907BB0"/>
    <w:lvl w:ilvl="0">
      <w:start w:val="1"/>
      <w:numFmt w:val="bullet"/>
      <w:lvlText w:val="●"/>
      <w:lvlJc w:val="left"/>
      <w:pPr>
        <w:ind w:left="778" w:hanging="360"/>
      </w:pPr>
      <w:rPr>
        <w:rFonts w:ascii="Noto Sans Symbols" w:eastAsia="Noto Sans Symbols" w:hAnsi="Noto Sans Symbols" w:cs="Noto Sans Symbols"/>
      </w:rPr>
    </w:lvl>
    <w:lvl w:ilvl="1">
      <w:start w:val="1"/>
      <w:numFmt w:val="bullet"/>
      <w:lvlText w:val="o"/>
      <w:lvlJc w:val="left"/>
      <w:pPr>
        <w:ind w:left="1498" w:hanging="360"/>
      </w:pPr>
      <w:rPr>
        <w:rFonts w:ascii="Courier New" w:eastAsia="Courier New" w:hAnsi="Courier New" w:cs="Courier New"/>
      </w:rPr>
    </w:lvl>
    <w:lvl w:ilvl="2">
      <w:start w:val="1"/>
      <w:numFmt w:val="bullet"/>
      <w:lvlText w:val="▪"/>
      <w:lvlJc w:val="left"/>
      <w:pPr>
        <w:ind w:left="2218" w:hanging="360"/>
      </w:pPr>
      <w:rPr>
        <w:rFonts w:ascii="Noto Sans Symbols" w:eastAsia="Noto Sans Symbols" w:hAnsi="Noto Sans Symbols" w:cs="Noto Sans Symbols"/>
      </w:rPr>
    </w:lvl>
    <w:lvl w:ilvl="3">
      <w:start w:val="1"/>
      <w:numFmt w:val="bullet"/>
      <w:lvlText w:val="●"/>
      <w:lvlJc w:val="left"/>
      <w:pPr>
        <w:ind w:left="2938" w:hanging="360"/>
      </w:pPr>
      <w:rPr>
        <w:rFonts w:ascii="Noto Sans Symbols" w:eastAsia="Noto Sans Symbols" w:hAnsi="Noto Sans Symbols" w:cs="Noto Sans Symbols"/>
      </w:rPr>
    </w:lvl>
    <w:lvl w:ilvl="4">
      <w:start w:val="1"/>
      <w:numFmt w:val="bullet"/>
      <w:lvlText w:val="o"/>
      <w:lvlJc w:val="left"/>
      <w:pPr>
        <w:ind w:left="3658" w:hanging="360"/>
      </w:pPr>
      <w:rPr>
        <w:rFonts w:ascii="Courier New" w:eastAsia="Courier New" w:hAnsi="Courier New" w:cs="Courier New"/>
      </w:rPr>
    </w:lvl>
    <w:lvl w:ilvl="5">
      <w:start w:val="1"/>
      <w:numFmt w:val="bullet"/>
      <w:lvlText w:val="▪"/>
      <w:lvlJc w:val="left"/>
      <w:pPr>
        <w:ind w:left="4378" w:hanging="360"/>
      </w:pPr>
      <w:rPr>
        <w:rFonts w:ascii="Noto Sans Symbols" w:eastAsia="Noto Sans Symbols" w:hAnsi="Noto Sans Symbols" w:cs="Noto Sans Symbols"/>
      </w:rPr>
    </w:lvl>
    <w:lvl w:ilvl="6">
      <w:start w:val="1"/>
      <w:numFmt w:val="bullet"/>
      <w:lvlText w:val="●"/>
      <w:lvlJc w:val="left"/>
      <w:pPr>
        <w:ind w:left="5098" w:hanging="360"/>
      </w:pPr>
      <w:rPr>
        <w:rFonts w:ascii="Noto Sans Symbols" w:eastAsia="Noto Sans Symbols" w:hAnsi="Noto Sans Symbols" w:cs="Noto Sans Symbols"/>
      </w:rPr>
    </w:lvl>
    <w:lvl w:ilvl="7">
      <w:start w:val="1"/>
      <w:numFmt w:val="bullet"/>
      <w:lvlText w:val="o"/>
      <w:lvlJc w:val="left"/>
      <w:pPr>
        <w:ind w:left="5818" w:hanging="360"/>
      </w:pPr>
      <w:rPr>
        <w:rFonts w:ascii="Courier New" w:eastAsia="Courier New" w:hAnsi="Courier New" w:cs="Courier New"/>
      </w:rPr>
    </w:lvl>
    <w:lvl w:ilvl="8">
      <w:start w:val="1"/>
      <w:numFmt w:val="bullet"/>
      <w:lvlText w:val="▪"/>
      <w:lvlJc w:val="left"/>
      <w:pPr>
        <w:ind w:left="6538" w:hanging="360"/>
      </w:pPr>
      <w:rPr>
        <w:rFonts w:ascii="Noto Sans Symbols" w:eastAsia="Noto Sans Symbols" w:hAnsi="Noto Sans Symbols" w:cs="Noto Sans Symbols"/>
      </w:rPr>
    </w:lvl>
  </w:abstractNum>
  <w:abstractNum w:abstractNumId="6" w15:restartNumberingAfterBreak="0">
    <w:nsid w:val="0F7A77EC"/>
    <w:multiLevelType w:val="multilevel"/>
    <w:tmpl w:val="C28AC726"/>
    <w:lvl w:ilvl="0">
      <w:start w:val="1"/>
      <w:numFmt w:val="decimal"/>
      <w:lvlText w:val="%1."/>
      <w:lvlJc w:val="left"/>
      <w:pPr>
        <w:ind w:left="644" w:hanging="357"/>
      </w:pPr>
      <w:rPr>
        <w:rFonts w:ascii="Palatino Linotype" w:eastAsia="Palatino Linotype" w:hAnsi="Palatino Linotype" w:cs="Palatino Linotype"/>
        <w:b/>
        <w:i w:val="0"/>
        <w:color w:val="000000"/>
        <w:sz w:val="24"/>
        <w:szCs w:val="24"/>
      </w:rPr>
    </w:lvl>
    <w:lvl w:ilvl="1">
      <w:start w:val="1"/>
      <w:numFmt w:val="upperRoman"/>
      <w:lvlText w:val="%2."/>
      <w:lvlJc w:val="right"/>
      <w:pPr>
        <w:ind w:left="7525" w:hanging="720"/>
      </w:pPr>
    </w:lvl>
    <w:lvl w:ilvl="2">
      <w:start w:val="4"/>
      <w:numFmt w:val="lowerLetter"/>
      <w:lvlText w:val="%3)"/>
      <w:lvlJc w:val="left"/>
      <w:pPr>
        <w:ind w:left="2340" w:hanging="360"/>
      </w:pPr>
    </w:lvl>
    <w:lvl w:ilvl="3">
      <w:start w:val="1"/>
      <w:numFmt w:val="decimal"/>
      <w:lvlText w:val="%4."/>
      <w:lvlJc w:val="left"/>
      <w:pPr>
        <w:ind w:left="2880" w:hanging="360"/>
      </w:pPr>
    </w:lvl>
    <w:lvl w:ilvl="4">
      <w:start w:val="104"/>
      <w:numFmt w:val="decimal"/>
      <w:lvlText w:val="%5"/>
      <w:lvlJc w:val="left"/>
      <w:pPr>
        <w:ind w:left="3600" w:hanging="360"/>
      </w:pPr>
      <w:rPr>
        <w:b/>
      </w:rPr>
    </w:lvl>
    <w:lvl w:ilvl="5">
      <w:start w:val="1"/>
      <w:numFmt w:val="lowerRoman"/>
      <w:lvlText w:val="%6."/>
      <w:lvlJc w:val="right"/>
      <w:pPr>
        <w:ind w:left="4320" w:hanging="180"/>
      </w:pPr>
    </w:lvl>
    <w:lvl w:ilvl="6">
      <w:start w:val="1"/>
      <w:numFmt w:val="decimal"/>
      <w:lvlText w:val="%7."/>
      <w:lvlJc w:val="left"/>
      <w:pPr>
        <w:ind w:left="5040" w:hanging="360"/>
      </w:pPr>
      <w:rPr>
        <w:b/>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8B33598"/>
    <w:multiLevelType w:val="multilevel"/>
    <w:tmpl w:val="A9D02E52"/>
    <w:lvl w:ilvl="0">
      <w:start w:val="1"/>
      <w:numFmt w:val="decimal"/>
      <w:lvlText w:val="%1."/>
      <w:lvlJc w:val="left"/>
      <w:pPr>
        <w:ind w:left="501" w:hanging="359"/>
      </w:pPr>
      <w:rPr>
        <w:rFonts w:ascii="Palatino Linotype" w:eastAsia="Palatino Linotype" w:hAnsi="Palatino Linotype" w:cs="Palatino Linotype"/>
        <w:b/>
        <w:i w:val="0"/>
        <w:color w:val="000000"/>
        <w:sz w:val="24"/>
        <w:szCs w:val="24"/>
      </w:rPr>
    </w:lvl>
    <w:lvl w:ilvl="1">
      <w:start w:val="1"/>
      <w:numFmt w:val="upperRoman"/>
      <w:lvlText w:val="%2."/>
      <w:lvlJc w:val="right"/>
      <w:pPr>
        <w:ind w:left="7525" w:hanging="720"/>
      </w:pPr>
    </w:lvl>
    <w:lvl w:ilvl="2">
      <w:start w:val="4"/>
      <w:numFmt w:val="lowerLetter"/>
      <w:lvlText w:val="%3)"/>
      <w:lvlJc w:val="left"/>
      <w:pPr>
        <w:ind w:left="2340" w:hanging="360"/>
      </w:pPr>
    </w:lvl>
    <w:lvl w:ilvl="3">
      <w:start w:val="1"/>
      <w:numFmt w:val="decimal"/>
      <w:lvlText w:val="%4."/>
      <w:lvlJc w:val="left"/>
      <w:pPr>
        <w:ind w:left="2880" w:hanging="360"/>
      </w:pPr>
    </w:lvl>
    <w:lvl w:ilvl="4">
      <w:start w:val="104"/>
      <w:numFmt w:val="decimal"/>
      <w:lvlText w:val="%5"/>
      <w:lvlJc w:val="left"/>
      <w:pPr>
        <w:ind w:left="3600" w:hanging="360"/>
      </w:pPr>
      <w:rPr>
        <w:b/>
      </w:rPr>
    </w:lvl>
    <w:lvl w:ilvl="5">
      <w:start w:val="1"/>
      <w:numFmt w:val="lowerRoman"/>
      <w:lvlText w:val="%6."/>
      <w:lvlJc w:val="right"/>
      <w:pPr>
        <w:ind w:left="4320" w:hanging="180"/>
      </w:pPr>
    </w:lvl>
    <w:lvl w:ilvl="6">
      <w:start w:val="1"/>
      <w:numFmt w:val="decimal"/>
      <w:lvlText w:val="%7."/>
      <w:lvlJc w:val="left"/>
      <w:pPr>
        <w:ind w:left="5040" w:hanging="360"/>
      </w:pPr>
      <w:rPr>
        <w:b/>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C232967"/>
    <w:multiLevelType w:val="hybridMultilevel"/>
    <w:tmpl w:val="3BF2404E"/>
    <w:lvl w:ilvl="0" w:tplc="6494ECBA">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14E684C"/>
    <w:multiLevelType w:val="multilevel"/>
    <w:tmpl w:val="DBDAD53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239E19F6"/>
    <w:multiLevelType w:val="hybridMultilevel"/>
    <w:tmpl w:val="3BAEFFB6"/>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A663E2A"/>
    <w:multiLevelType w:val="multilevel"/>
    <w:tmpl w:val="01D45A76"/>
    <w:lvl w:ilvl="0">
      <w:start w:val="1"/>
      <w:numFmt w:val="decimal"/>
      <w:lvlText w:val="%1."/>
      <w:lvlJc w:val="left"/>
      <w:pPr>
        <w:ind w:left="4754" w:hanging="359"/>
      </w:pPr>
      <w:rPr>
        <w:rFonts w:ascii="Palatino Linotype" w:eastAsia="Palatino Linotype" w:hAnsi="Palatino Linotype" w:cs="Palatino Linotype"/>
        <w:b/>
        <w:i w:val="0"/>
        <w:color w:val="000000"/>
        <w:sz w:val="24"/>
        <w:szCs w:val="24"/>
      </w:rPr>
    </w:lvl>
    <w:lvl w:ilvl="1">
      <w:start w:val="1"/>
      <w:numFmt w:val="upperRoman"/>
      <w:lvlText w:val="%2."/>
      <w:lvlJc w:val="right"/>
      <w:pPr>
        <w:ind w:left="7525" w:hanging="720"/>
      </w:pPr>
    </w:lvl>
    <w:lvl w:ilvl="2">
      <w:start w:val="4"/>
      <w:numFmt w:val="lowerLetter"/>
      <w:lvlText w:val="%3)"/>
      <w:lvlJc w:val="left"/>
      <w:pPr>
        <w:ind w:left="2340" w:hanging="360"/>
      </w:pPr>
    </w:lvl>
    <w:lvl w:ilvl="3">
      <w:start w:val="1"/>
      <w:numFmt w:val="decimal"/>
      <w:lvlText w:val="%4."/>
      <w:lvlJc w:val="left"/>
      <w:pPr>
        <w:ind w:left="2880" w:hanging="360"/>
      </w:pPr>
    </w:lvl>
    <w:lvl w:ilvl="4">
      <w:start w:val="104"/>
      <w:numFmt w:val="decimal"/>
      <w:lvlText w:val="%5"/>
      <w:lvlJc w:val="left"/>
      <w:pPr>
        <w:ind w:left="3600" w:hanging="360"/>
      </w:pPr>
      <w:rPr>
        <w:b/>
      </w:rPr>
    </w:lvl>
    <w:lvl w:ilvl="5">
      <w:start w:val="1"/>
      <w:numFmt w:val="lowerRoman"/>
      <w:lvlText w:val="%6."/>
      <w:lvlJc w:val="right"/>
      <w:pPr>
        <w:ind w:left="4320" w:hanging="180"/>
      </w:pPr>
    </w:lvl>
    <w:lvl w:ilvl="6">
      <w:start w:val="1"/>
      <w:numFmt w:val="decimal"/>
      <w:lvlText w:val="%7."/>
      <w:lvlJc w:val="left"/>
      <w:pPr>
        <w:ind w:left="5040" w:hanging="360"/>
      </w:pPr>
      <w:rPr>
        <w:b/>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D096F84"/>
    <w:multiLevelType w:val="hybridMultilevel"/>
    <w:tmpl w:val="8C6CA8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E471E2D"/>
    <w:multiLevelType w:val="hybridMultilevel"/>
    <w:tmpl w:val="C7DA7006"/>
    <w:lvl w:ilvl="0" w:tplc="080A0017">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4" w15:restartNumberingAfterBreak="0">
    <w:nsid w:val="31153A95"/>
    <w:multiLevelType w:val="multilevel"/>
    <w:tmpl w:val="541662C6"/>
    <w:lvl w:ilvl="0">
      <w:start w:val="1"/>
      <w:numFmt w:val="upperRoman"/>
      <w:lvlText w:val="%1."/>
      <w:lvlJc w:val="left"/>
      <w:pPr>
        <w:ind w:left="1430" w:hanging="720"/>
      </w:pPr>
    </w:lvl>
    <w:lvl w:ilvl="1">
      <w:start w:val="1"/>
      <w:numFmt w:val="lowerLetter"/>
      <w:lvlText w:val="%2."/>
      <w:lvlJc w:val="left"/>
      <w:pPr>
        <w:ind w:left="1790" w:hanging="360"/>
      </w:pPr>
    </w:lvl>
    <w:lvl w:ilvl="2">
      <w:start w:val="1"/>
      <w:numFmt w:val="lowerRoman"/>
      <w:lvlText w:val="%3."/>
      <w:lvlJc w:val="right"/>
      <w:pPr>
        <w:ind w:left="2510" w:hanging="180"/>
      </w:pPr>
    </w:lvl>
    <w:lvl w:ilvl="3">
      <w:start w:val="1"/>
      <w:numFmt w:val="decimal"/>
      <w:lvlText w:val="%4."/>
      <w:lvlJc w:val="left"/>
      <w:pPr>
        <w:ind w:left="3230" w:hanging="360"/>
      </w:pPr>
    </w:lvl>
    <w:lvl w:ilvl="4">
      <w:start w:val="1"/>
      <w:numFmt w:val="lowerLetter"/>
      <w:lvlText w:val="%5."/>
      <w:lvlJc w:val="left"/>
      <w:pPr>
        <w:ind w:left="3950" w:hanging="360"/>
      </w:pPr>
    </w:lvl>
    <w:lvl w:ilvl="5">
      <w:start w:val="1"/>
      <w:numFmt w:val="lowerRoman"/>
      <w:lvlText w:val="%6."/>
      <w:lvlJc w:val="right"/>
      <w:pPr>
        <w:ind w:left="4670" w:hanging="180"/>
      </w:pPr>
    </w:lvl>
    <w:lvl w:ilvl="6">
      <w:start w:val="1"/>
      <w:numFmt w:val="decimal"/>
      <w:lvlText w:val="%7."/>
      <w:lvlJc w:val="left"/>
      <w:pPr>
        <w:ind w:left="5390" w:hanging="360"/>
      </w:pPr>
    </w:lvl>
    <w:lvl w:ilvl="7">
      <w:start w:val="1"/>
      <w:numFmt w:val="lowerLetter"/>
      <w:lvlText w:val="%8."/>
      <w:lvlJc w:val="left"/>
      <w:pPr>
        <w:ind w:left="6110" w:hanging="360"/>
      </w:pPr>
    </w:lvl>
    <w:lvl w:ilvl="8">
      <w:start w:val="1"/>
      <w:numFmt w:val="lowerRoman"/>
      <w:lvlText w:val="%9."/>
      <w:lvlJc w:val="right"/>
      <w:pPr>
        <w:ind w:left="6830" w:hanging="180"/>
      </w:pPr>
    </w:lvl>
  </w:abstractNum>
  <w:abstractNum w:abstractNumId="15" w15:restartNumberingAfterBreak="0">
    <w:nsid w:val="34317490"/>
    <w:multiLevelType w:val="hybridMultilevel"/>
    <w:tmpl w:val="02EC67D8"/>
    <w:lvl w:ilvl="0" w:tplc="F5C4018E">
      <w:start w:val="1"/>
      <w:numFmt w:val="decimal"/>
      <w:lvlText w:val="%1."/>
      <w:lvlJc w:val="left"/>
      <w:pPr>
        <w:ind w:left="644" w:hanging="360"/>
      </w:pPr>
      <w:rPr>
        <w:rFonts w:ascii="Palatino Linotype" w:hAnsi="Palatino Linotype" w:hint="default"/>
        <w:b/>
        <w:i w:val="0"/>
        <w:color w:val="auto"/>
        <w:sz w:val="24"/>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84A39E0"/>
    <w:multiLevelType w:val="multilevel"/>
    <w:tmpl w:val="02548A04"/>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3D605A1F"/>
    <w:multiLevelType w:val="hybridMultilevel"/>
    <w:tmpl w:val="1E143C08"/>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8" w15:restartNumberingAfterBreak="0">
    <w:nsid w:val="439E3A4D"/>
    <w:multiLevelType w:val="hybridMultilevel"/>
    <w:tmpl w:val="CC4E88BC"/>
    <w:lvl w:ilvl="0" w:tplc="080A0001">
      <w:start w:val="1"/>
      <w:numFmt w:val="bullet"/>
      <w:lvlText w:val=""/>
      <w:lvlJc w:val="left"/>
      <w:pPr>
        <w:ind w:left="1498" w:hanging="360"/>
      </w:pPr>
      <w:rPr>
        <w:rFonts w:ascii="Symbol" w:hAnsi="Symbol" w:hint="default"/>
      </w:rPr>
    </w:lvl>
    <w:lvl w:ilvl="1" w:tplc="080A0003" w:tentative="1">
      <w:start w:val="1"/>
      <w:numFmt w:val="bullet"/>
      <w:lvlText w:val="o"/>
      <w:lvlJc w:val="left"/>
      <w:pPr>
        <w:ind w:left="2218" w:hanging="360"/>
      </w:pPr>
      <w:rPr>
        <w:rFonts w:ascii="Courier New" w:hAnsi="Courier New" w:cs="Courier New" w:hint="default"/>
      </w:rPr>
    </w:lvl>
    <w:lvl w:ilvl="2" w:tplc="080A0005" w:tentative="1">
      <w:start w:val="1"/>
      <w:numFmt w:val="bullet"/>
      <w:lvlText w:val=""/>
      <w:lvlJc w:val="left"/>
      <w:pPr>
        <w:ind w:left="2938" w:hanging="360"/>
      </w:pPr>
      <w:rPr>
        <w:rFonts w:ascii="Wingdings" w:hAnsi="Wingdings" w:hint="default"/>
      </w:rPr>
    </w:lvl>
    <w:lvl w:ilvl="3" w:tplc="080A0001" w:tentative="1">
      <w:start w:val="1"/>
      <w:numFmt w:val="bullet"/>
      <w:lvlText w:val=""/>
      <w:lvlJc w:val="left"/>
      <w:pPr>
        <w:ind w:left="3658" w:hanging="360"/>
      </w:pPr>
      <w:rPr>
        <w:rFonts w:ascii="Symbol" w:hAnsi="Symbol" w:hint="default"/>
      </w:rPr>
    </w:lvl>
    <w:lvl w:ilvl="4" w:tplc="080A0003" w:tentative="1">
      <w:start w:val="1"/>
      <w:numFmt w:val="bullet"/>
      <w:lvlText w:val="o"/>
      <w:lvlJc w:val="left"/>
      <w:pPr>
        <w:ind w:left="4378" w:hanging="360"/>
      </w:pPr>
      <w:rPr>
        <w:rFonts w:ascii="Courier New" w:hAnsi="Courier New" w:cs="Courier New" w:hint="default"/>
      </w:rPr>
    </w:lvl>
    <w:lvl w:ilvl="5" w:tplc="080A0005" w:tentative="1">
      <w:start w:val="1"/>
      <w:numFmt w:val="bullet"/>
      <w:lvlText w:val=""/>
      <w:lvlJc w:val="left"/>
      <w:pPr>
        <w:ind w:left="5098" w:hanging="360"/>
      </w:pPr>
      <w:rPr>
        <w:rFonts w:ascii="Wingdings" w:hAnsi="Wingdings" w:hint="default"/>
      </w:rPr>
    </w:lvl>
    <w:lvl w:ilvl="6" w:tplc="080A0001" w:tentative="1">
      <w:start w:val="1"/>
      <w:numFmt w:val="bullet"/>
      <w:lvlText w:val=""/>
      <w:lvlJc w:val="left"/>
      <w:pPr>
        <w:ind w:left="5818" w:hanging="360"/>
      </w:pPr>
      <w:rPr>
        <w:rFonts w:ascii="Symbol" w:hAnsi="Symbol" w:hint="default"/>
      </w:rPr>
    </w:lvl>
    <w:lvl w:ilvl="7" w:tplc="080A0003" w:tentative="1">
      <w:start w:val="1"/>
      <w:numFmt w:val="bullet"/>
      <w:lvlText w:val="o"/>
      <w:lvlJc w:val="left"/>
      <w:pPr>
        <w:ind w:left="6538" w:hanging="360"/>
      </w:pPr>
      <w:rPr>
        <w:rFonts w:ascii="Courier New" w:hAnsi="Courier New" w:cs="Courier New" w:hint="default"/>
      </w:rPr>
    </w:lvl>
    <w:lvl w:ilvl="8" w:tplc="080A0005" w:tentative="1">
      <w:start w:val="1"/>
      <w:numFmt w:val="bullet"/>
      <w:lvlText w:val=""/>
      <w:lvlJc w:val="left"/>
      <w:pPr>
        <w:ind w:left="7258" w:hanging="360"/>
      </w:pPr>
      <w:rPr>
        <w:rFonts w:ascii="Wingdings" w:hAnsi="Wingdings" w:hint="default"/>
      </w:rPr>
    </w:lvl>
  </w:abstractNum>
  <w:abstractNum w:abstractNumId="19" w15:restartNumberingAfterBreak="0">
    <w:nsid w:val="49EB7F5C"/>
    <w:multiLevelType w:val="multilevel"/>
    <w:tmpl w:val="5CF81B5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50A4581C"/>
    <w:multiLevelType w:val="multilevel"/>
    <w:tmpl w:val="07E66878"/>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539A0BDF"/>
    <w:multiLevelType w:val="hybridMultilevel"/>
    <w:tmpl w:val="CF9E97D0"/>
    <w:lvl w:ilvl="0" w:tplc="D630964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60839D1"/>
    <w:multiLevelType w:val="hybridMultilevel"/>
    <w:tmpl w:val="7C262A1E"/>
    <w:lvl w:ilvl="0" w:tplc="C302A056">
      <w:start w:val="1"/>
      <w:numFmt w:val="decimal"/>
      <w:lvlText w:val="%1."/>
      <w:lvlJc w:val="left"/>
      <w:pPr>
        <w:ind w:left="928" w:hanging="360"/>
      </w:pPr>
      <w:rPr>
        <w:b/>
        <w:i w:val="0"/>
        <w:color w:val="000000" w:themeColor="text1"/>
        <w:sz w:val="24"/>
        <w:szCs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70A59BC"/>
    <w:multiLevelType w:val="multilevel"/>
    <w:tmpl w:val="A8A2F8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57755900"/>
    <w:multiLevelType w:val="multilevel"/>
    <w:tmpl w:val="177C4332"/>
    <w:lvl w:ilvl="0">
      <w:start w:val="1"/>
      <w:numFmt w:val="decimal"/>
      <w:lvlText w:val="%1."/>
      <w:lvlJc w:val="left"/>
      <w:pPr>
        <w:ind w:left="360" w:hanging="360"/>
      </w:pPr>
      <w:rPr>
        <w:rFonts w:ascii="Palatino Linotype" w:eastAsia="Palatino Linotype" w:hAnsi="Palatino Linotype" w:cs="Palatino Linotype"/>
        <w:b/>
        <w:i w:val="0"/>
        <w:color w:val="000000"/>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5B2A1E10"/>
    <w:multiLevelType w:val="multilevel"/>
    <w:tmpl w:val="FBE40DC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607D77A4"/>
    <w:multiLevelType w:val="multilevel"/>
    <w:tmpl w:val="34064B52"/>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608B741C"/>
    <w:multiLevelType w:val="hybridMultilevel"/>
    <w:tmpl w:val="DE04EDD6"/>
    <w:lvl w:ilvl="0" w:tplc="FEA00428">
      <w:start w:val="1"/>
      <w:numFmt w:val="upperRoman"/>
      <w:lvlText w:val="%1."/>
      <w:lvlJc w:val="left"/>
      <w:pPr>
        <w:ind w:left="1854" w:hanging="720"/>
      </w:pPr>
      <w:rPr>
        <w:rFonts w:hint="default"/>
      </w:rPr>
    </w:lvl>
    <w:lvl w:ilvl="1" w:tplc="080A0019" w:tentative="1">
      <w:start w:val="1"/>
      <w:numFmt w:val="lowerLetter"/>
      <w:lvlText w:val="%2."/>
      <w:lvlJc w:val="left"/>
      <w:pPr>
        <w:ind w:left="2214" w:hanging="360"/>
      </w:pPr>
    </w:lvl>
    <w:lvl w:ilvl="2" w:tplc="080A001B" w:tentative="1">
      <w:start w:val="1"/>
      <w:numFmt w:val="lowerRoman"/>
      <w:lvlText w:val="%3."/>
      <w:lvlJc w:val="right"/>
      <w:pPr>
        <w:ind w:left="2934" w:hanging="180"/>
      </w:pPr>
    </w:lvl>
    <w:lvl w:ilvl="3" w:tplc="080A000F" w:tentative="1">
      <w:start w:val="1"/>
      <w:numFmt w:val="decimal"/>
      <w:lvlText w:val="%4."/>
      <w:lvlJc w:val="left"/>
      <w:pPr>
        <w:ind w:left="3654" w:hanging="360"/>
      </w:pPr>
    </w:lvl>
    <w:lvl w:ilvl="4" w:tplc="080A0019" w:tentative="1">
      <w:start w:val="1"/>
      <w:numFmt w:val="lowerLetter"/>
      <w:lvlText w:val="%5."/>
      <w:lvlJc w:val="left"/>
      <w:pPr>
        <w:ind w:left="4374" w:hanging="360"/>
      </w:pPr>
    </w:lvl>
    <w:lvl w:ilvl="5" w:tplc="080A001B" w:tentative="1">
      <w:start w:val="1"/>
      <w:numFmt w:val="lowerRoman"/>
      <w:lvlText w:val="%6."/>
      <w:lvlJc w:val="right"/>
      <w:pPr>
        <w:ind w:left="5094" w:hanging="180"/>
      </w:pPr>
    </w:lvl>
    <w:lvl w:ilvl="6" w:tplc="080A000F" w:tentative="1">
      <w:start w:val="1"/>
      <w:numFmt w:val="decimal"/>
      <w:lvlText w:val="%7."/>
      <w:lvlJc w:val="left"/>
      <w:pPr>
        <w:ind w:left="5814" w:hanging="360"/>
      </w:pPr>
    </w:lvl>
    <w:lvl w:ilvl="7" w:tplc="080A0019" w:tentative="1">
      <w:start w:val="1"/>
      <w:numFmt w:val="lowerLetter"/>
      <w:lvlText w:val="%8."/>
      <w:lvlJc w:val="left"/>
      <w:pPr>
        <w:ind w:left="6534" w:hanging="360"/>
      </w:pPr>
    </w:lvl>
    <w:lvl w:ilvl="8" w:tplc="080A001B" w:tentative="1">
      <w:start w:val="1"/>
      <w:numFmt w:val="lowerRoman"/>
      <w:lvlText w:val="%9."/>
      <w:lvlJc w:val="right"/>
      <w:pPr>
        <w:ind w:left="7254" w:hanging="180"/>
      </w:pPr>
    </w:lvl>
  </w:abstractNum>
  <w:abstractNum w:abstractNumId="28" w15:restartNumberingAfterBreak="0">
    <w:nsid w:val="612062ED"/>
    <w:multiLevelType w:val="hybridMultilevel"/>
    <w:tmpl w:val="C576DD3C"/>
    <w:lvl w:ilvl="0" w:tplc="63E232B6">
      <w:numFmt w:val="bullet"/>
      <w:lvlText w:val="-"/>
      <w:lvlJc w:val="left"/>
      <w:pPr>
        <w:ind w:left="720" w:hanging="360"/>
      </w:pPr>
      <w:rPr>
        <w:rFonts w:ascii="Palatino Linotype" w:eastAsiaTheme="minorHAnsi" w:hAnsi="Palatino Linotype"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6175076C"/>
    <w:multiLevelType w:val="multilevel"/>
    <w:tmpl w:val="E93E8CC2"/>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64E0420E"/>
    <w:multiLevelType w:val="multilevel"/>
    <w:tmpl w:val="8D6856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6EF33DDE"/>
    <w:multiLevelType w:val="multilevel"/>
    <w:tmpl w:val="651EBC58"/>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715E713C"/>
    <w:multiLevelType w:val="hybridMultilevel"/>
    <w:tmpl w:val="DE2CDCAA"/>
    <w:lvl w:ilvl="0" w:tplc="0A769244">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73363949"/>
    <w:multiLevelType w:val="hybridMultilevel"/>
    <w:tmpl w:val="C0A6364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739202C4"/>
    <w:multiLevelType w:val="multilevel"/>
    <w:tmpl w:val="9FE833B8"/>
    <w:lvl w:ilvl="0">
      <w:start w:val="1"/>
      <w:numFmt w:val="decimal"/>
      <w:lvlText w:val="%1."/>
      <w:lvlJc w:val="left"/>
      <w:pPr>
        <w:ind w:left="928" w:hanging="360"/>
      </w:pPr>
      <w:rPr>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7EAD18C4"/>
    <w:multiLevelType w:val="multilevel"/>
    <w:tmpl w:val="7464795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6" w15:restartNumberingAfterBreak="0">
    <w:nsid w:val="7F511898"/>
    <w:multiLevelType w:val="hybridMultilevel"/>
    <w:tmpl w:val="57F23382"/>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37" w15:restartNumberingAfterBreak="0">
    <w:nsid w:val="7F693CA3"/>
    <w:multiLevelType w:val="multilevel"/>
    <w:tmpl w:val="E3DC143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3"/>
  </w:num>
  <w:num w:numId="2">
    <w:abstractNumId w:val="30"/>
  </w:num>
  <w:num w:numId="3">
    <w:abstractNumId w:val="1"/>
  </w:num>
  <w:num w:numId="4">
    <w:abstractNumId w:val="6"/>
  </w:num>
  <w:num w:numId="5">
    <w:abstractNumId w:val="19"/>
  </w:num>
  <w:num w:numId="6">
    <w:abstractNumId w:val="12"/>
  </w:num>
  <w:num w:numId="7">
    <w:abstractNumId w:val="11"/>
  </w:num>
  <w:num w:numId="8">
    <w:abstractNumId w:val="35"/>
  </w:num>
  <w:num w:numId="9">
    <w:abstractNumId w:val="25"/>
  </w:num>
  <w:num w:numId="10">
    <w:abstractNumId w:val="5"/>
  </w:num>
  <w:num w:numId="11">
    <w:abstractNumId w:val="9"/>
  </w:num>
  <w:num w:numId="12">
    <w:abstractNumId w:val="15"/>
  </w:num>
  <w:num w:numId="13">
    <w:abstractNumId w:val="37"/>
  </w:num>
  <w:num w:numId="14">
    <w:abstractNumId w:val="31"/>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num>
  <w:num w:numId="17">
    <w:abstractNumId w:val="29"/>
  </w:num>
  <w:num w:numId="18">
    <w:abstractNumId w:val="16"/>
  </w:num>
  <w:num w:numId="19">
    <w:abstractNumId w:val="28"/>
  </w:num>
  <w:num w:numId="20">
    <w:abstractNumId w:val="24"/>
  </w:num>
  <w:num w:numId="21">
    <w:abstractNumId w:val="22"/>
  </w:num>
  <w:num w:numId="22">
    <w:abstractNumId w:val="0"/>
  </w:num>
  <w:num w:numId="23">
    <w:abstractNumId w:val="7"/>
  </w:num>
  <w:num w:numId="24">
    <w:abstractNumId w:val="26"/>
  </w:num>
  <w:num w:numId="25">
    <w:abstractNumId w:val="14"/>
  </w:num>
  <w:num w:numId="26">
    <w:abstractNumId w:val="18"/>
  </w:num>
  <w:num w:numId="27">
    <w:abstractNumId w:val="27"/>
  </w:num>
  <w:num w:numId="28">
    <w:abstractNumId w:val="20"/>
  </w:num>
  <w:num w:numId="29">
    <w:abstractNumId w:val="33"/>
  </w:num>
  <w:num w:numId="30">
    <w:abstractNumId w:val="21"/>
  </w:num>
  <w:num w:numId="31">
    <w:abstractNumId w:val="32"/>
  </w:num>
  <w:num w:numId="32">
    <w:abstractNumId w:val="17"/>
  </w:num>
  <w:num w:numId="33">
    <w:abstractNumId w:val="36"/>
  </w:num>
  <w:num w:numId="34">
    <w:abstractNumId w:val="10"/>
  </w:num>
  <w:num w:numId="35">
    <w:abstractNumId w:val="8"/>
  </w:num>
  <w:num w:numId="36">
    <w:abstractNumId w:val="34"/>
  </w:num>
  <w:num w:numId="37">
    <w:abstractNumId w:val="4"/>
  </w:num>
  <w:num w:numId="38">
    <w:abstractNumId w:val="13"/>
  </w:num>
  <w:num w:numId="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2B80"/>
    <w:rsid w:val="00003A45"/>
    <w:rsid w:val="000072FD"/>
    <w:rsid w:val="0001202C"/>
    <w:rsid w:val="000129F2"/>
    <w:rsid w:val="00021397"/>
    <w:rsid w:val="00031923"/>
    <w:rsid w:val="00031B5E"/>
    <w:rsid w:val="000345C9"/>
    <w:rsid w:val="00045C7B"/>
    <w:rsid w:val="00063557"/>
    <w:rsid w:val="0006381C"/>
    <w:rsid w:val="000649B1"/>
    <w:rsid w:val="000656D3"/>
    <w:rsid w:val="00065989"/>
    <w:rsid w:val="000761FC"/>
    <w:rsid w:val="00083943"/>
    <w:rsid w:val="00092433"/>
    <w:rsid w:val="000926BA"/>
    <w:rsid w:val="000B0990"/>
    <w:rsid w:val="000B0E3F"/>
    <w:rsid w:val="000C10A1"/>
    <w:rsid w:val="000C2BFD"/>
    <w:rsid w:val="000D2F49"/>
    <w:rsid w:val="000D491C"/>
    <w:rsid w:val="000F23BC"/>
    <w:rsid w:val="00105BC8"/>
    <w:rsid w:val="00116AC4"/>
    <w:rsid w:val="001174AF"/>
    <w:rsid w:val="001217E4"/>
    <w:rsid w:val="0012321A"/>
    <w:rsid w:val="001232EE"/>
    <w:rsid w:val="00123DE4"/>
    <w:rsid w:val="00136D2A"/>
    <w:rsid w:val="00142BC4"/>
    <w:rsid w:val="00142DA1"/>
    <w:rsid w:val="00153A68"/>
    <w:rsid w:val="001541B6"/>
    <w:rsid w:val="00156D5F"/>
    <w:rsid w:val="00161269"/>
    <w:rsid w:val="00163854"/>
    <w:rsid w:val="00165873"/>
    <w:rsid w:val="00170CFD"/>
    <w:rsid w:val="00171674"/>
    <w:rsid w:val="001718AD"/>
    <w:rsid w:val="00173A73"/>
    <w:rsid w:val="0018649F"/>
    <w:rsid w:val="00187A7C"/>
    <w:rsid w:val="0019097F"/>
    <w:rsid w:val="00195440"/>
    <w:rsid w:val="001A67FB"/>
    <w:rsid w:val="001B5234"/>
    <w:rsid w:val="001C196C"/>
    <w:rsid w:val="001C3DEB"/>
    <w:rsid w:val="001D26F8"/>
    <w:rsid w:val="00210F63"/>
    <w:rsid w:val="002178C5"/>
    <w:rsid w:val="00230803"/>
    <w:rsid w:val="00232BA9"/>
    <w:rsid w:val="00237B98"/>
    <w:rsid w:val="00241E53"/>
    <w:rsid w:val="002620E5"/>
    <w:rsid w:val="002627EC"/>
    <w:rsid w:val="00262F7D"/>
    <w:rsid w:val="00263D10"/>
    <w:rsid w:val="0026456A"/>
    <w:rsid w:val="00265641"/>
    <w:rsid w:val="0027376B"/>
    <w:rsid w:val="00275320"/>
    <w:rsid w:val="00276461"/>
    <w:rsid w:val="0027733B"/>
    <w:rsid w:val="00297B8D"/>
    <w:rsid w:val="002A6AD3"/>
    <w:rsid w:val="002A7EDD"/>
    <w:rsid w:val="002C0387"/>
    <w:rsid w:val="002C13C2"/>
    <w:rsid w:val="002C2925"/>
    <w:rsid w:val="002C42AD"/>
    <w:rsid w:val="002D2C06"/>
    <w:rsid w:val="002D37DB"/>
    <w:rsid w:val="002D62CD"/>
    <w:rsid w:val="002E3988"/>
    <w:rsid w:val="002F12E8"/>
    <w:rsid w:val="0030008C"/>
    <w:rsid w:val="00300AFC"/>
    <w:rsid w:val="003043A1"/>
    <w:rsid w:val="00327E0E"/>
    <w:rsid w:val="00334A2B"/>
    <w:rsid w:val="00354F11"/>
    <w:rsid w:val="003568D8"/>
    <w:rsid w:val="003676A0"/>
    <w:rsid w:val="00373DFF"/>
    <w:rsid w:val="00380E12"/>
    <w:rsid w:val="00387F13"/>
    <w:rsid w:val="00397ACB"/>
    <w:rsid w:val="003A5ABB"/>
    <w:rsid w:val="003B2B14"/>
    <w:rsid w:val="003B336E"/>
    <w:rsid w:val="003B7A7E"/>
    <w:rsid w:val="003C1AC7"/>
    <w:rsid w:val="003C420F"/>
    <w:rsid w:val="003C6505"/>
    <w:rsid w:val="003C691E"/>
    <w:rsid w:val="003D0C66"/>
    <w:rsid w:val="003D36A7"/>
    <w:rsid w:val="003D509A"/>
    <w:rsid w:val="003D70D1"/>
    <w:rsid w:val="003D74FB"/>
    <w:rsid w:val="003E6D32"/>
    <w:rsid w:val="003F388F"/>
    <w:rsid w:val="00402E7D"/>
    <w:rsid w:val="00405E3A"/>
    <w:rsid w:val="00413E88"/>
    <w:rsid w:val="00417391"/>
    <w:rsid w:val="00441126"/>
    <w:rsid w:val="004416BE"/>
    <w:rsid w:val="00442212"/>
    <w:rsid w:val="00446EEA"/>
    <w:rsid w:val="00455F65"/>
    <w:rsid w:val="00471BBC"/>
    <w:rsid w:val="004720E9"/>
    <w:rsid w:val="004723C8"/>
    <w:rsid w:val="00472F71"/>
    <w:rsid w:val="004830F6"/>
    <w:rsid w:val="004912F0"/>
    <w:rsid w:val="00496EB9"/>
    <w:rsid w:val="004A6FA1"/>
    <w:rsid w:val="004C14F6"/>
    <w:rsid w:val="004C6318"/>
    <w:rsid w:val="004D124B"/>
    <w:rsid w:val="004D12CF"/>
    <w:rsid w:val="004D1D20"/>
    <w:rsid w:val="004D25A9"/>
    <w:rsid w:val="004D302B"/>
    <w:rsid w:val="004D460A"/>
    <w:rsid w:val="004E0B7F"/>
    <w:rsid w:val="004E76E6"/>
    <w:rsid w:val="004F0E05"/>
    <w:rsid w:val="004F18AA"/>
    <w:rsid w:val="004F3C07"/>
    <w:rsid w:val="005066FE"/>
    <w:rsid w:val="00506A39"/>
    <w:rsid w:val="005119C6"/>
    <w:rsid w:val="00520143"/>
    <w:rsid w:val="00522E03"/>
    <w:rsid w:val="005230EE"/>
    <w:rsid w:val="005244A6"/>
    <w:rsid w:val="005256B8"/>
    <w:rsid w:val="00530354"/>
    <w:rsid w:val="005312BA"/>
    <w:rsid w:val="005372C5"/>
    <w:rsid w:val="00542B36"/>
    <w:rsid w:val="00546AAF"/>
    <w:rsid w:val="00563677"/>
    <w:rsid w:val="0056706F"/>
    <w:rsid w:val="005702DE"/>
    <w:rsid w:val="00572923"/>
    <w:rsid w:val="005807BE"/>
    <w:rsid w:val="00583F32"/>
    <w:rsid w:val="00586641"/>
    <w:rsid w:val="00592A3D"/>
    <w:rsid w:val="005A4427"/>
    <w:rsid w:val="005B07F5"/>
    <w:rsid w:val="005C4803"/>
    <w:rsid w:val="005C4DE6"/>
    <w:rsid w:val="005D00F1"/>
    <w:rsid w:val="005D0DAF"/>
    <w:rsid w:val="005E2825"/>
    <w:rsid w:val="005E2B80"/>
    <w:rsid w:val="005E64B6"/>
    <w:rsid w:val="005F5CD4"/>
    <w:rsid w:val="005F6178"/>
    <w:rsid w:val="005F6391"/>
    <w:rsid w:val="006020F5"/>
    <w:rsid w:val="00606F08"/>
    <w:rsid w:val="006169CC"/>
    <w:rsid w:val="006210BA"/>
    <w:rsid w:val="006249D3"/>
    <w:rsid w:val="00625C09"/>
    <w:rsid w:val="006434E0"/>
    <w:rsid w:val="00644055"/>
    <w:rsid w:val="00644465"/>
    <w:rsid w:val="006471C9"/>
    <w:rsid w:val="00654F2B"/>
    <w:rsid w:val="00663F2A"/>
    <w:rsid w:val="006648E8"/>
    <w:rsid w:val="0066516D"/>
    <w:rsid w:val="006870BF"/>
    <w:rsid w:val="006938FA"/>
    <w:rsid w:val="00695F6C"/>
    <w:rsid w:val="006A1155"/>
    <w:rsid w:val="006A1E41"/>
    <w:rsid w:val="006A3BE9"/>
    <w:rsid w:val="006C2D1F"/>
    <w:rsid w:val="006D5A39"/>
    <w:rsid w:val="006E51AD"/>
    <w:rsid w:val="006E7259"/>
    <w:rsid w:val="006F22F5"/>
    <w:rsid w:val="006F64A3"/>
    <w:rsid w:val="006F65D7"/>
    <w:rsid w:val="007019DC"/>
    <w:rsid w:val="00705000"/>
    <w:rsid w:val="0071765F"/>
    <w:rsid w:val="00720840"/>
    <w:rsid w:val="00721765"/>
    <w:rsid w:val="0072356C"/>
    <w:rsid w:val="00724E98"/>
    <w:rsid w:val="00725A19"/>
    <w:rsid w:val="00727D73"/>
    <w:rsid w:val="00727F53"/>
    <w:rsid w:val="0073191E"/>
    <w:rsid w:val="007322D3"/>
    <w:rsid w:val="00734630"/>
    <w:rsid w:val="007348D5"/>
    <w:rsid w:val="00741B3B"/>
    <w:rsid w:val="00742316"/>
    <w:rsid w:val="00742546"/>
    <w:rsid w:val="00745542"/>
    <w:rsid w:val="00760AB5"/>
    <w:rsid w:val="00761CC5"/>
    <w:rsid w:val="0076263A"/>
    <w:rsid w:val="00770583"/>
    <w:rsid w:val="0078401C"/>
    <w:rsid w:val="00791563"/>
    <w:rsid w:val="00793C28"/>
    <w:rsid w:val="007A0B73"/>
    <w:rsid w:val="007A2BE9"/>
    <w:rsid w:val="007B7043"/>
    <w:rsid w:val="007C02F3"/>
    <w:rsid w:val="007C1F6C"/>
    <w:rsid w:val="007C3799"/>
    <w:rsid w:val="007D1866"/>
    <w:rsid w:val="007E4E96"/>
    <w:rsid w:val="007F0509"/>
    <w:rsid w:val="007F3AA9"/>
    <w:rsid w:val="0080491F"/>
    <w:rsid w:val="00817A16"/>
    <w:rsid w:val="0082079A"/>
    <w:rsid w:val="008209DB"/>
    <w:rsid w:val="0083065C"/>
    <w:rsid w:val="00834FC1"/>
    <w:rsid w:val="0084063F"/>
    <w:rsid w:val="00851563"/>
    <w:rsid w:val="008529D9"/>
    <w:rsid w:val="00854C91"/>
    <w:rsid w:val="0085616C"/>
    <w:rsid w:val="008573F7"/>
    <w:rsid w:val="00865F86"/>
    <w:rsid w:val="0087000A"/>
    <w:rsid w:val="008744B7"/>
    <w:rsid w:val="008745DC"/>
    <w:rsid w:val="008770BB"/>
    <w:rsid w:val="00890275"/>
    <w:rsid w:val="00890AF9"/>
    <w:rsid w:val="008968CE"/>
    <w:rsid w:val="008A0B25"/>
    <w:rsid w:val="008A3C45"/>
    <w:rsid w:val="008A678A"/>
    <w:rsid w:val="008A6A7C"/>
    <w:rsid w:val="008B4FC5"/>
    <w:rsid w:val="008E19C4"/>
    <w:rsid w:val="008E58B7"/>
    <w:rsid w:val="008F0544"/>
    <w:rsid w:val="008F305E"/>
    <w:rsid w:val="008F4465"/>
    <w:rsid w:val="008F49DF"/>
    <w:rsid w:val="008F760D"/>
    <w:rsid w:val="00910BD9"/>
    <w:rsid w:val="0091272B"/>
    <w:rsid w:val="00921932"/>
    <w:rsid w:val="0092347A"/>
    <w:rsid w:val="00923F12"/>
    <w:rsid w:val="00924EB3"/>
    <w:rsid w:val="00925E7C"/>
    <w:rsid w:val="00934440"/>
    <w:rsid w:val="00941200"/>
    <w:rsid w:val="00941450"/>
    <w:rsid w:val="00954EB3"/>
    <w:rsid w:val="00960416"/>
    <w:rsid w:val="00974FEF"/>
    <w:rsid w:val="009750FF"/>
    <w:rsid w:val="00976FB3"/>
    <w:rsid w:val="00985691"/>
    <w:rsid w:val="009921EA"/>
    <w:rsid w:val="009A19EA"/>
    <w:rsid w:val="009A5808"/>
    <w:rsid w:val="009B1D01"/>
    <w:rsid w:val="009B2537"/>
    <w:rsid w:val="009B449D"/>
    <w:rsid w:val="009B5798"/>
    <w:rsid w:val="009C5CDB"/>
    <w:rsid w:val="009C5D3A"/>
    <w:rsid w:val="009C7BD3"/>
    <w:rsid w:val="009F716E"/>
    <w:rsid w:val="00A03873"/>
    <w:rsid w:val="00A0778D"/>
    <w:rsid w:val="00A250B4"/>
    <w:rsid w:val="00A2615F"/>
    <w:rsid w:val="00A37A70"/>
    <w:rsid w:val="00A5429A"/>
    <w:rsid w:val="00A55ADD"/>
    <w:rsid w:val="00A5758C"/>
    <w:rsid w:val="00A60EBA"/>
    <w:rsid w:val="00A80EA2"/>
    <w:rsid w:val="00A84B1F"/>
    <w:rsid w:val="00A95785"/>
    <w:rsid w:val="00AA1EE5"/>
    <w:rsid w:val="00AB49D1"/>
    <w:rsid w:val="00AC0635"/>
    <w:rsid w:val="00AC3E3F"/>
    <w:rsid w:val="00AD262D"/>
    <w:rsid w:val="00AD3C97"/>
    <w:rsid w:val="00AF40B7"/>
    <w:rsid w:val="00AF77EA"/>
    <w:rsid w:val="00B10E84"/>
    <w:rsid w:val="00B13887"/>
    <w:rsid w:val="00B24056"/>
    <w:rsid w:val="00B27E2B"/>
    <w:rsid w:val="00B32853"/>
    <w:rsid w:val="00B36AE1"/>
    <w:rsid w:val="00B4132C"/>
    <w:rsid w:val="00B4167B"/>
    <w:rsid w:val="00B477D7"/>
    <w:rsid w:val="00B545CC"/>
    <w:rsid w:val="00B61CFC"/>
    <w:rsid w:val="00B63C4E"/>
    <w:rsid w:val="00B64805"/>
    <w:rsid w:val="00B65226"/>
    <w:rsid w:val="00B65F09"/>
    <w:rsid w:val="00B67756"/>
    <w:rsid w:val="00B678A1"/>
    <w:rsid w:val="00B70048"/>
    <w:rsid w:val="00B70927"/>
    <w:rsid w:val="00B7321E"/>
    <w:rsid w:val="00B81707"/>
    <w:rsid w:val="00B92BB5"/>
    <w:rsid w:val="00BC0906"/>
    <w:rsid w:val="00BC3CE0"/>
    <w:rsid w:val="00BD1ECD"/>
    <w:rsid w:val="00BD5DEC"/>
    <w:rsid w:val="00BD62DF"/>
    <w:rsid w:val="00BE1ED6"/>
    <w:rsid w:val="00BF0F3E"/>
    <w:rsid w:val="00BF1FCC"/>
    <w:rsid w:val="00C21E1B"/>
    <w:rsid w:val="00C25134"/>
    <w:rsid w:val="00C27CC8"/>
    <w:rsid w:val="00C34426"/>
    <w:rsid w:val="00C35F08"/>
    <w:rsid w:val="00C44303"/>
    <w:rsid w:val="00C4769B"/>
    <w:rsid w:val="00C54C71"/>
    <w:rsid w:val="00C57657"/>
    <w:rsid w:val="00C57F24"/>
    <w:rsid w:val="00C57F94"/>
    <w:rsid w:val="00C60FDC"/>
    <w:rsid w:val="00C63B16"/>
    <w:rsid w:val="00C675ED"/>
    <w:rsid w:val="00C72C29"/>
    <w:rsid w:val="00C8290D"/>
    <w:rsid w:val="00C85A1C"/>
    <w:rsid w:val="00C946E7"/>
    <w:rsid w:val="00C96F9E"/>
    <w:rsid w:val="00CA1159"/>
    <w:rsid w:val="00CC04E9"/>
    <w:rsid w:val="00CC68A3"/>
    <w:rsid w:val="00CD1645"/>
    <w:rsid w:val="00CD1CCF"/>
    <w:rsid w:val="00CE6965"/>
    <w:rsid w:val="00CF471B"/>
    <w:rsid w:val="00CF7193"/>
    <w:rsid w:val="00D02318"/>
    <w:rsid w:val="00D05FB4"/>
    <w:rsid w:val="00D13101"/>
    <w:rsid w:val="00D17AD6"/>
    <w:rsid w:val="00D21CE6"/>
    <w:rsid w:val="00D22210"/>
    <w:rsid w:val="00D23B6D"/>
    <w:rsid w:val="00D25911"/>
    <w:rsid w:val="00D259AB"/>
    <w:rsid w:val="00D5171F"/>
    <w:rsid w:val="00D525B2"/>
    <w:rsid w:val="00D5486C"/>
    <w:rsid w:val="00D6053E"/>
    <w:rsid w:val="00D61EC1"/>
    <w:rsid w:val="00D63031"/>
    <w:rsid w:val="00D63585"/>
    <w:rsid w:val="00D77266"/>
    <w:rsid w:val="00D77CB6"/>
    <w:rsid w:val="00D912AC"/>
    <w:rsid w:val="00D968CD"/>
    <w:rsid w:val="00DB13B2"/>
    <w:rsid w:val="00DB726B"/>
    <w:rsid w:val="00DC77AD"/>
    <w:rsid w:val="00DD2A4E"/>
    <w:rsid w:val="00DD5E75"/>
    <w:rsid w:val="00DD731D"/>
    <w:rsid w:val="00DE59AB"/>
    <w:rsid w:val="00E052A1"/>
    <w:rsid w:val="00E21C9B"/>
    <w:rsid w:val="00E25F36"/>
    <w:rsid w:val="00E3307F"/>
    <w:rsid w:val="00E41301"/>
    <w:rsid w:val="00E416B7"/>
    <w:rsid w:val="00E559B3"/>
    <w:rsid w:val="00E645E5"/>
    <w:rsid w:val="00E66744"/>
    <w:rsid w:val="00E85CAE"/>
    <w:rsid w:val="00E900EF"/>
    <w:rsid w:val="00EA12A8"/>
    <w:rsid w:val="00EB05F1"/>
    <w:rsid w:val="00EC20C2"/>
    <w:rsid w:val="00EC2D6D"/>
    <w:rsid w:val="00EC4FE5"/>
    <w:rsid w:val="00ED338A"/>
    <w:rsid w:val="00EE27D2"/>
    <w:rsid w:val="00EE50E2"/>
    <w:rsid w:val="00EE624A"/>
    <w:rsid w:val="00EF027A"/>
    <w:rsid w:val="00F0073E"/>
    <w:rsid w:val="00F022EB"/>
    <w:rsid w:val="00F04429"/>
    <w:rsid w:val="00F21448"/>
    <w:rsid w:val="00F21487"/>
    <w:rsid w:val="00F3047B"/>
    <w:rsid w:val="00F31E24"/>
    <w:rsid w:val="00F421D0"/>
    <w:rsid w:val="00F4563A"/>
    <w:rsid w:val="00F465D9"/>
    <w:rsid w:val="00F5153A"/>
    <w:rsid w:val="00F65394"/>
    <w:rsid w:val="00F668F0"/>
    <w:rsid w:val="00F73A7E"/>
    <w:rsid w:val="00F74EF2"/>
    <w:rsid w:val="00F77E31"/>
    <w:rsid w:val="00FA52D8"/>
    <w:rsid w:val="00FA537E"/>
    <w:rsid w:val="00FA5C69"/>
    <w:rsid w:val="00FA733B"/>
    <w:rsid w:val="00FB1F53"/>
    <w:rsid w:val="00FC1AE1"/>
    <w:rsid w:val="00FC783F"/>
    <w:rsid w:val="00FD29D3"/>
    <w:rsid w:val="00FE5BBD"/>
    <w:rsid w:val="00FF46A5"/>
    <w:rsid w:val="00FF657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1F51D0E4"/>
  <w15:docId w15:val="{1EF81744-9F5D-416E-80A7-ED2EE54E63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69CC"/>
  </w:style>
  <w:style w:type="paragraph" w:styleId="Ttulo1">
    <w:name w:val="heading 1"/>
    <w:basedOn w:val="Normal"/>
    <w:next w:val="Normal"/>
    <w:link w:val="Ttulo1Car"/>
    <w:pPr>
      <w:keepNext/>
      <w:keepLines/>
      <w:spacing w:before="480" w:after="120"/>
      <w:outlineLvl w:val="0"/>
    </w:pPr>
    <w:rPr>
      <w:b/>
      <w:sz w:val="48"/>
      <w:szCs w:val="48"/>
    </w:rPr>
  </w:style>
  <w:style w:type="paragraph" w:styleId="Ttulo2">
    <w:name w:val="heading 2"/>
    <w:basedOn w:val="Normal"/>
    <w:next w:val="Normal"/>
    <w:link w:val="Ttulo2Car"/>
    <w:uiPriority w:val="9"/>
    <w:semiHidden/>
    <w:unhideWhenUsed/>
    <w:qFormat/>
    <w:rsid w:val="00170967"/>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aliases w:val="Cita textual"/>
    <w:basedOn w:val="Normal"/>
    <w:next w:val="Normal"/>
    <w:link w:val="PuestoCar"/>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character" w:customStyle="1" w:styleId="Ttulo2Car">
    <w:name w:val="Título 2 Car"/>
    <w:basedOn w:val="Fuentedeprrafopredeter"/>
    <w:link w:val="Ttulo2"/>
    <w:uiPriority w:val="9"/>
    <w:rsid w:val="00170967"/>
    <w:rPr>
      <w:rFonts w:asciiTheme="majorHAnsi" w:eastAsiaTheme="majorEastAsia" w:hAnsiTheme="majorHAnsi" w:cstheme="majorBidi"/>
      <w:color w:val="2E74B5" w:themeColor="accent1" w:themeShade="BF"/>
      <w:sz w:val="26"/>
      <w:szCs w:val="26"/>
      <w:lang w:eastAsia="es-MX"/>
    </w:rPr>
  </w:style>
  <w:style w:type="paragraph" w:styleId="Encabezado">
    <w:name w:val="header"/>
    <w:basedOn w:val="Normal"/>
    <w:link w:val="EncabezadoCar"/>
    <w:uiPriority w:val="99"/>
    <w:unhideWhenUsed/>
    <w:rsid w:val="00170967"/>
    <w:pPr>
      <w:tabs>
        <w:tab w:val="center" w:pos="4419"/>
        <w:tab w:val="right" w:pos="8838"/>
      </w:tabs>
    </w:pPr>
  </w:style>
  <w:style w:type="character" w:customStyle="1" w:styleId="EncabezadoCar">
    <w:name w:val="Encabezado Car"/>
    <w:basedOn w:val="Fuentedeprrafopredeter"/>
    <w:link w:val="Encabezado"/>
    <w:uiPriority w:val="99"/>
    <w:rsid w:val="00170967"/>
    <w:rPr>
      <w:rFonts w:ascii="Times New Roman" w:eastAsia="Times New Roman" w:hAnsi="Times New Roman" w:cs="Times New Roman"/>
      <w:sz w:val="24"/>
      <w:szCs w:val="24"/>
      <w:lang w:eastAsia="es-MX"/>
    </w:rPr>
  </w:style>
  <w:style w:type="paragraph" w:styleId="Piedepgina">
    <w:name w:val="footer"/>
    <w:basedOn w:val="Normal"/>
    <w:link w:val="PiedepginaCar"/>
    <w:uiPriority w:val="99"/>
    <w:unhideWhenUsed/>
    <w:rsid w:val="00170967"/>
    <w:pPr>
      <w:tabs>
        <w:tab w:val="center" w:pos="4419"/>
        <w:tab w:val="right" w:pos="8838"/>
      </w:tabs>
    </w:pPr>
  </w:style>
  <w:style w:type="character" w:customStyle="1" w:styleId="PiedepginaCar">
    <w:name w:val="Pie de página Car"/>
    <w:basedOn w:val="Fuentedeprrafopredeter"/>
    <w:link w:val="Piedepgina"/>
    <w:uiPriority w:val="99"/>
    <w:rsid w:val="00170967"/>
    <w:rPr>
      <w:rFonts w:ascii="Times New Roman" w:eastAsia="Times New Roman" w:hAnsi="Times New Roman" w:cs="Times New Roman"/>
      <w:sz w:val="24"/>
      <w:szCs w:val="24"/>
      <w:lang w:eastAsia="es-MX"/>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170967"/>
    <w:pPr>
      <w:ind w:left="720"/>
      <w:contextualSpacing/>
    </w:pPr>
    <w:rPr>
      <w:rFonts w:ascii="Century Gothic" w:hAnsi="Century Gothic"/>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170967"/>
    <w:rPr>
      <w:rFonts w:ascii="Century Gothic" w:eastAsia="Times New Roman" w:hAnsi="Century Gothic" w:cs="Times New Roman"/>
      <w:sz w:val="24"/>
      <w:szCs w:val="24"/>
      <w:lang w:eastAsia="es-MX"/>
    </w:rPr>
  </w:style>
  <w:style w:type="character" w:styleId="Hipervnculo">
    <w:name w:val="Hyperlink"/>
    <w:aliases w:val="Hipervínculo1,Hipervínculo11,Hipervínculo12,Hipervínculo13,Hipervínculo14,Hipervínculo15"/>
    <w:basedOn w:val="Fuentedeprrafopredeter"/>
    <w:uiPriority w:val="99"/>
    <w:unhideWhenUsed/>
    <w:rsid w:val="00170967"/>
    <w:rPr>
      <w:color w:val="0563C1"/>
      <w:u w:val="single"/>
    </w:rPr>
  </w:style>
  <w:style w:type="paragraph" w:styleId="Sinespaciado">
    <w:name w:val="No Spacing"/>
    <w:aliases w:val="Francesa,INAI"/>
    <w:link w:val="SinespaciadoCar"/>
    <w:uiPriority w:val="1"/>
    <w:qFormat/>
    <w:rsid w:val="00170967"/>
    <w:rPr>
      <w:lang w:eastAsia="es-ES"/>
    </w:rPr>
  </w:style>
  <w:style w:type="character" w:customStyle="1" w:styleId="SinespaciadoCar">
    <w:name w:val="Sin espaciado Car"/>
    <w:aliases w:val="Francesa Car,INAI Car"/>
    <w:link w:val="Sinespaciado"/>
    <w:uiPriority w:val="1"/>
    <w:qFormat/>
    <w:locked/>
    <w:rsid w:val="00170967"/>
    <w:rPr>
      <w:rFonts w:ascii="Times New Roman" w:eastAsia="Times New Roman" w:hAnsi="Times New Roman" w:cs="Times New Roman"/>
      <w:sz w:val="24"/>
      <w:szCs w:val="24"/>
      <w:lang w:eastAsia="es-ES"/>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Pr>
  </w:style>
  <w:style w:type="table" w:customStyle="1" w:styleId="a0">
    <w:basedOn w:val="TableNormal1"/>
    <w:tblPr>
      <w:tblStyleRowBandSize w:val="1"/>
      <w:tblStyleColBandSize w:val="1"/>
      <w:tblCellMar>
        <w:left w:w="115" w:type="dxa"/>
        <w:right w:w="115" w:type="dxa"/>
      </w:tblCellMar>
    </w:tblPr>
  </w:style>
  <w:style w:type="table" w:customStyle="1" w:styleId="a1">
    <w:basedOn w:val="TableNormal1"/>
    <w:tblPr>
      <w:tblStyleRowBandSize w:val="1"/>
      <w:tblStyleColBandSize w:val="1"/>
      <w:tblCellMar>
        <w:left w:w="115" w:type="dxa"/>
        <w:right w:w="115" w:type="dxa"/>
      </w:tblCellMar>
    </w:tblPr>
  </w:style>
  <w:style w:type="table" w:customStyle="1" w:styleId="a2">
    <w:basedOn w:val="TableNormal1"/>
    <w:tblPr>
      <w:tblStyleRowBandSize w:val="1"/>
      <w:tblStyleColBandSize w:val="1"/>
      <w:tblCellMar>
        <w:left w:w="115" w:type="dxa"/>
        <w:right w:w="115" w:type="dxa"/>
      </w:tblCellMar>
    </w:tblPr>
  </w:style>
  <w:style w:type="table" w:customStyle="1" w:styleId="a3">
    <w:basedOn w:val="TableNormal1"/>
    <w:tblPr>
      <w:tblStyleRowBandSize w:val="1"/>
      <w:tblStyleColBandSize w:val="1"/>
      <w:tblCellMar>
        <w:left w:w="115" w:type="dxa"/>
        <w:right w:w="115" w:type="dxa"/>
      </w:tblCellMar>
    </w:tblPr>
  </w:style>
  <w:style w:type="table" w:styleId="Tablaconcuadrcula">
    <w:name w:val="Table Grid"/>
    <w:basedOn w:val="Tablanormal"/>
    <w:uiPriority w:val="39"/>
    <w:qFormat/>
    <w:rsid w:val="00E823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3Car">
    <w:name w:val="Título 3 Car"/>
    <w:basedOn w:val="Fuentedeprrafopredeter"/>
    <w:link w:val="Ttulo3"/>
    <w:rsid w:val="00C262E9"/>
    <w:rPr>
      <w:b/>
      <w:sz w:val="28"/>
      <w:szCs w:val="28"/>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005D6F"/>
    <w:rPr>
      <w:rFonts w:asciiTheme="minorHAnsi" w:eastAsiaTheme="minorHAnsi" w:hAnsiTheme="minorHAnsi" w:cstheme="minorBidi"/>
      <w:sz w:val="20"/>
      <w:szCs w:val="20"/>
      <w:lang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005D6F"/>
    <w:rPr>
      <w:rFonts w:asciiTheme="minorHAnsi" w:eastAsiaTheme="minorHAnsi" w:hAnsiTheme="minorHAnsi" w:cstheme="minorBidi"/>
      <w:sz w:val="20"/>
      <w:szCs w:val="20"/>
      <w:lang w:eastAsia="en-US"/>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f"/>
    <w:basedOn w:val="Fuentedeprrafopredeter"/>
    <w:uiPriority w:val="99"/>
    <w:unhideWhenUsed/>
    <w:qFormat/>
    <w:rsid w:val="00005D6F"/>
    <w:rPr>
      <w:vertAlign w:val="superscript"/>
    </w:rPr>
  </w:style>
  <w:style w:type="paragraph" w:customStyle="1" w:styleId="Texto">
    <w:name w:val="Texto"/>
    <w:basedOn w:val="Normal"/>
    <w:link w:val="TextoCar"/>
    <w:rsid w:val="00005D6F"/>
    <w:pPr>
      <w:spacing w:after="101" w:line="216" w:lineRule="exact"/>
      <w:ind w:firstLine="288"/>
      <w:jc w:val="both"/>
    </w:pPr>
    <w:rPr>
      <w:rFonts w:ascii="Arial" w:hAnsi="Arial" w:cs="Arial"/>
      <w:sz w:val="18"/>
      <w:szCs w:val="20"/>
      <w:lang w:val="es-ES" w:eastAsia="es-ES"/>
    </w:rPr>
  </w:style>
  <w:style w:type="paragraph" w:styleId="Textosinformato">
    <w:name w:val="Plain Text"/>
    <w:basedOn w:val="Normal"/>
    <w:link w:val="TextosinformatoCar"/>
    <w:rsid w:val="00005D6F"/>
    <w:rPr>
      <w:rFonts w:ascii="Courier New" w:hAnsi="Courier New" w:cs="Courier New"/>
      <w:sz w:val="20"/>
      <w:szCs w:val="20"/>
      <w:lang w:val="es-ES" w:eastAsia="es-ES"/>
    </w:rPr>
  </w:style>
  <w:style w:type="character" w:customStyle="1" w:styleId="TextosinformatoCar">
    <w:name w:val="Texto sin formato Car"/>
    <w:basedOn w:val="Fuentedeprrafopredeter"/>
    <w:link w:val="Textosinformato"/>
    <w:rsid w:val="00005D6F"/>
    <w:rPr>
      <w:rFonts w:ascii="Courier New" w:hAnsi="Courier New" w:cs="Courier New"/>
      <w:sz w:val="20"/>
      <w:szCs w:val="20"/>
      <w:lang w:val="es-ES" w:eastAsia="es-ES"/>
    </w:rPr>
  </w:style>
  <w:style w:type="character" w:customStyle="1" w:styleId="TextoCar">
    <w:name w:val="Texto Car"/>
    <w:link w:val="Texto"/>
    <w:locked/>
    <w:rsid w:val="00005D6F"/>
    <w:rPr>
      <w:rFonts w:ascii="Arial" w:hAnsi="Arial" w:cs="Arial"/>
      <w:sz w:val="18"/>
      <w:szCs w:val="20"/>
      <w:lang w:val="es-ES" w:eastAsia="es-ES"/>
    </w:rPr>
  </w:style>
  <w:style w:type="character" w:customStyle="1" w:styleId="PuestoCar">
    <w:name w:val="Puesto Car"/>
    <w:aliases w:val="Cita textual Car"/>
    <w:basedOn w:val="Fuentedeprrafopredeter"/>
    <w:link w:val="Puesto"/>
    <w:uiPriority w:val="10"/>
    <w:rsid w:val="004E049C"/>
    <w:rPr>
      <w:b/>
      <w:sz w:val="72"/>
      <w:szCs w:val="72"/>
    </w:rPr>
  </w:style>
  <w:style w:type="character" w:customStyle="1" w:styleId="Ttulo1Car">
    <w:name w:val="Título 1 Car"/>
    <w:basedOn w:val="Fuentedeprrafopredeter"/>
    <w:link w:val="Ttulo1"/>
    <w:rsid w:val="00AC0C67"/>
    <w:rPr>
      <w:b/>
      <w:sz w:val="48"/>
      <w:szCs w:val="48"/>
    </w:rPr>
  </w:style>
  <w:style w:type="table" w:customStyle="1" w:styleId="a4">
    <w:basedOn w:val="TableNormal1"/>
    <w:tblPr>
      <w:tblStyleRowBandSize w:val="1"/>
      <w:tblStyleColBandSize w:val="1"/>
      <w:tblCellMar>
        <w:left w:w="115" w:type="dxa"/>
        <w:right w:w="115" w:type="dxa"/>
      </w:tblCellMar>
    </w:tblPr>
  </w:style>
  <w:style w:type="table" w:customStyle="1" w:styleId="a5">
    <w:basedOn w:val="TableNormal1"/>
    <w:tblPr>
      <w:tblStyleRowBandSize w:val="1"/>
      <w:tblStyleColBandSize w:val="1"/>
      <w:tblCellMar>
        <w:left w:w="115" w:type="dxa"/>
        <w:right w:w="115" w:type="dxa"/>
      </w:tblCellMar>
    </w:tblPr>
  </w:style>
  <w:style w:type="table" w:customStyle="1" w:styleId="a6">
    <w:basedOn w:val="TableNormal1"/>
    <w:tblPr>
      <w:tblStyleRowBandSize w:val="1"/>
      <w:tblStyleColBandSize w:val="1"/>
      <w:tblCellMar>
        <w:left w:w="115" w:type="dxa"/>
        <w:right w:w="115" w:type="dxa"/>
      </w:tblCellMar>
    </w:tblPr>
  </w:style>
  <w:style w:type="table" w:customStyle="1" w:styleId="a7">
    <w:basedOn w:val="TableNormal1"/>
    <w:tblPr>
      <w:tblStyleRowBandSize w:val="1"/>
      <w:tblStyleColBandSize w:val="1"/>
      <w:tblCellMar>
        <w:left w:w="115" w:type="dxa"/>
        <w:right w:w="115" w:type="dxa"/>
      </w:tblCellMar>
    </w:tblPr>
  </w:style>
  <w:style w:type="table" w:customStyle="1" w:styleId="a8">
    <w:basedOn w:val="TableNormal1"/>
    <w:tblPr>
      <w:tblStyleRowBandSize w:val="1"/>
      <w:tblStyleColBandSize w:val="1"/>
      <w:tblCellMar>
        <w:left w:w="115" w:type="dxa"/>
        <w:right w:w="115" w:type="dxa"/>
      </w:tblCellMar>
    </w:tblPr>
  </w:style>
  <w:style w:type="paragraph" w:styleId="TDC1">
    <w:name w:val="toc 1"/>
    <w:basedOn w:val="Normal"/>
    <w:next w:val="Normal"/>
    <w:autoRedefine/>
    <w:uiPriority w:val="39"/>
    <w:unhideWhenUsed/>
    <w:rsid w:val="0014208A"/>
    <w:pPr>
      <w:spacing w:after="100" w:line="259" w:lineRule="auto"/>
    </w:pPr>
    <w:rPr>
      <w:rFonts w:asciiTheme="minorHAnsi" w:eastAsiaTheme="minorHAnsi" w:hAnsiTheme="minorHAnsi" w:cstheme="minorBidi"/>
      <w:sz w:val="22"/>
      <w:szCs w:val="22"/>
      <w:lang w:eastAsia="en-US"/>
    </w:rPr>
  </w:style>
  <w:style w:type="character" w:styleId="Hipervnculovisitado">
    <w:name w:val="FollowedHyperlink"/>
    <w:basedOn w:val="Fuentedeprrafopredeter"/>
    <w:uiPriority w:val="99"/>
    <w:semiHidden/>
    <w:unhideWhenUsed/>
    <w:rsid w:val="003F54D1"/>
    <w:rPr>
      <w:color w:val="954F72" w:themeColor="followedHyperlink"/>
      <w:u w:val="single"/>
    </w:rPr>
  </w:style>
  <w:style w:type="table" w:customStyle="1" w:styleId="a9">
    <w:basedOn w:val="TableNormal0"/>
    <w:tblPr>
      <w:tblStyleRowBandSize w:val="1"/>
      <w:tblStyleColBandSize w:val="1"/>
      <w:tblCellMar>
        <w:left w:w="115" w:type="dxa"/>
        <w:right w:w="115" w:type="dxa"/>
      </w:tblCellMar>
    </w:tblPr>
  </w:style>
  <w:style w:type="table" w:customStyle="1" w:styleId="aa">
    <w:basedOn w:val="TableNormal0"/>
    <w:tblPr>
      <w:tblStyleRowBandSize w:val="1"/>
      <w:tblStyleColBandSize w:val="1"/>
      <w:tblCellMar>
        <w:left w:w="115" w:type="dxa"/>
        <w:right w:w="115" w:type="dxa"/>
      </w:tblCellMar>
    </w:tblPr>
  </w:style>
  <w:style w:type="table" w:customStyle="1" w:styleId="ab">
    <w:basedOn w:val="TableNormal0"/>
    <w:tblPr>
      <w:tblStyleRowBandSize w:val="1"/>
      <w:tblStyleColBandSize w:val="1"/>
      <w:tblCellMar>
        <w:left w:w="115" w:type="dxa"/>
        <w:right w:w="115" w:type="dxa"/>
      </w:tblCellMar>
    </w:tblPr>
  </w:style>
  <w:style w:type="table" w:customStyle="1" w:styleId="ac">
    <w:basedOn w:val="TableNormal0"/>
    <w:tblPr>
      <w:tblStyleRowBandSize w:val="1"/>
      <w:tblStyleColBandSize w:val="1"/>
      <w:tblCellMar>
        <w:left w:w="115" w:type="dxa"/>
        <w:right w:w="115" w:type="dxa"/>
      </w:tblCellMar>
    </w:tblPr>
  </w:style>
  <w:style w:type="paragraph" w:customStyle="1" w:styleId="Default">
    <w:name w:val="Default"/>
    <w:rsid w:val="00B13887"/>
    <w:pPr>
      <w:autoSpaceDE w:val="0"/>
      <w:autoSpaceDN w:val="0"/>
      <w:adjustRightInd w:val="0"/>
    </w:pPr>
    <w:rPr>
      <w:rFonts w:ascii="Arial" w:eastAsiaTheme="minorHAnsi" w:hAnsi="Arial" w:cs="Arial"/>
      <w:color w:val="000000"/>
      <w:lang w:eastAsia="en-US"/>
    </w:rPr>
  </w:style>
  <w:style w:type="paragraph" w:styleId="Sangradetextonormal">
    <w:name w:val="Body Text Indent"/>
    <w:basedOn w:val="Normal"/>
    <w:link w:val="SangradetextonormalCar"/>
    <w:uiPriority w:val="99"/>
    <w:semiHidden/>
    <w:unhideWhenUsed/>
    <w:rsid w:val="00C72C29"/>
    <w:pPr>
      <w:spacing w:after="120"/>
      <w:ind w:left="283"/>
    </w:pPr>
  </w:style>
  <w:style w:type="character" w:customStyle="1" w:styleId="SangradetextonormalCar">
    <w:name w:val="Sangría de texto normal Car"/>
    <w:basedOn w:val="Fuentedeprrafopredeter"/>
    <w:link w:val="Sangradetextonormal"/>
    <w:uiPriority w:val="99"/>
    <w:semiHidden/>
    <w:rsid w:val="00C72C29"/>
  </w:style>
  <w:style w:type="paragraph" w:styleId="Textoindependienteprimerasangra2">
    <w:name w:val="Body Text First Indent 2"/>
    <w:basedOn w:val="Sangradetextonormal"/>
    <w:link w:val="Textoindependienteprimerasangra2Car"/>
    <w:uiPriority w:val="99"/>
    <w:unhideWhenUsed/>
    <w:rsid w:val="00C72C29"/>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C72C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7198530">
      <w:bodyDiv w:val="1"/>
      <w:marLeft w:val="0"/>
      <w:marRight w:val="0"/>
      <w:marTop w:val="0"/>
      <w:marBottom w:val="0"/>
      <w:divBdr>
        <w:top w:val="none" w:sz="0" w:space="0" w:color="auto"/>
        <w:left w:val="none" w:sz="0" w:space="0" w:color="auto"/>
        <w:bottom w:val="none" w:sz="0" w:space="0" w:color="auto"/>
        <w:right w:val="none" w:sz="0" w:space="0" w:color="auto"/>
      </w:divBdr>
    </w:div>
    <w:div w:id="610431322">
      <w:bodyDiv w:val="1"/>
      <w:marLeft w:val="0"/>
      <w:marRight w:val="0"/>
      <w:marTop w:val="0"/>
      <w:marBottom w:val="0"/>
      <w:divBdr>
        <w:top w:val="none" w:sz="0" w:space="0" w:color="auto"/>
        <w:left w:val="none" w:sz="0" w:space="0" w:color="auto"/>
        <w:bottom w:val="none" w:sz="0" w:space="0" w:color="auto"/>
        <w:right w:val="none" w:sz="0" w:space="0" w:color="auto"/>
      </w:divBdr>
    </w:div>
    <w:div w:id="962418754">
      <w:bodyDiv w:val="1"/>
      <w:marLeft w:val="0"/>
      <w:marRight w:val="0"/>
      <w:marTop w:val="0"/>
      <w:marBottom w:val="0"/>
      <w:divBdr>
        <w:top w:val="none" w:sz="0" w:space="0" w:color="auto"/>
        <w:left w:val="none" w:sz="0" w:space="0" w:color="auto"/>
        <w:bottom w:val="none" w:sz="0" w:space="0" w:color="auto"/>
        <w:right w:val="none" w:sz="0" w:space="0" w:color="auto"/>
      </w:divBdr>
    </w:div>
    <w:div w:id="1066341622">
      <w:bodyDiv w:val="1"/>
      <w:marLeft w:val="0"/>
      <w:marRight w:val="0"/>
      <w:marTop w:val="0"/>
      <w:marBottom w:val="0"/>
      <w:divBdr>
        <w:top w:val="none" w:sz="0" w:space="0" w:color="auto"/>
        <w:left w:val="none" w:sz="0" w:space="0" w:color="auto"/>
        <w:bottom w:val="none" w:sz="0" w:space="0" w:color="auto"/>
        <w:right w:val="none" w:sz="0" w:space="0" w:color="auto"/>
      </w:divBdr>
    </w:div>
    <w:div w:id="1094013092">
      <w:bodyDiv w:val="1"/>
      <w:marLeft w:val="0"/>
      <w:marRight w:val="0"/>
      <w:marTop w:val="0"/>
      <w:marBottom w:val="0"/>
      <w:divBdr>
        <w:top w:val="none" w:sz="0" w:space="0" w:color="auto"/>
        <w:left w:val="none" w:sz="0" w:space="0" w:color="auto"/>
        <w:bottom w:val="none" w:sz="0" w:space="0" w:color="auto"/>
        <w:right w:val="none" w:sz="0" w:space="0" w:color="auto"/>
      </w:divBdr>
    </w:div>
    <w:div w:id="21342024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ortalanterior.ine.mx/archivos2/tutoriales/sistemas/ApoyoInstitucional/SIF/docs/candidatos/folioFiscalFactura.pdf"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dof.gob.mx/nota_detalle.php?codigo=5492254&amp;fecha=28/07/2017"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jN3EHuCfbZMyoq7fEhtCGRXRO3Q==">CgMxLjAyCGguZ2pkZ3hzMgloLjF0M2g1c2YyCWguMzBqMHpsbDIJaC4xZm9iOXRlMgloLjN6bnlzaDcyCWguMmV0OTJwMDIJaC4zZHk2dmttMgloLjE3ZHA4dnU4AHIhMVBlQ2VINzVqdHg5dmtFUDdJSHJsZjlUclZjVDUyRXRa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58</Pages>
  <Words>12263</Words>
  <Characters>67449</Characters>
  <Application>Microsoft Office Word</Application>
  <DocSecurity>0</DocSecurity>
  <Lines>562</Lines>
  <Paragraphs>159</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79553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INFOEM549</dc:creator>
  <cp:lastModifiedBy>INFOEM403</cp:lastModifiedBy>
  <cp:revision>5</cp:revision>
  <dcterms:created xsi:type="dcterms:W3CDTF">2024-12-09T17:52:00Z</dcterms:created>
  <dcterms:modified xsi:type="dcterms:W3CDTF">2025-01-22T17:52:00Z</dcterms:modified>
</cp:coreProperties>
</file>