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E729586"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64493F">
        <w:rPr>
          <w:rFonts w:eastAsia="Palatino Linotype" w:cs="Palatino Linotype"/>
          <w:color w:val="000000"/>
          <w:szCs w:val="24"/>
        </w:rPr>
        <w:t>trece de noviembre</w:t>
      </w:r>
      <w:r w:rsidR="001849F0">
        <w:rPr>
          <w:rFonts w:eastAsia="Palatino Linotype" w:cs="Palatino Linotype"/>
          <w:color w:val="000000"/>
          <w:szCs w:val="24"/>
        </w:rPr>
        <w:t xml:space="preserve"> </w:t>
      </w:r>
      <w:r w:rsidR="00DF6972">
        <w:rPr>
          <w:rFonts w:eastAsia="Palatino Linotype" w:cs="Palatino Linotype"/>
          <w:color w:val="000000"/>
          <w:szCs w:val="24"/>
        </w:rPr>
        <w:t>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8C5C3A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sidR="0064493F">
        <w:rPr>
          <w:rFonts w:eastAsia="Palatino Linotype" w:cs="Palatino Linotype"/>
          <w:b/>
          <w:color w:val="000000"/>
          <w:szCs w:val="24"/>
        </w:rPr>
        <w:t>06340</w:t>
      </w:r>
      <w:r w:rsidRPr="00875B7E">
        <w:rPr>
          <w:rFonts w:eastAsia="Palatino Linotype" w:cs="Palatino Linotype"/>
          <w:b/>
          <w:color w:val="000000"/>
          <w:szCs w:val="24"/>
        </w:rPr>
        <w:t>/INFOEM/IP/RR/202</w:t>
      </w:r>
      <w:r w:rsidR="0064493F">
        <w:rPr>
          <w:rFonts w:eastAsia="Palatino Linotype" w:cs="Palatino Linotype"/>
          <w:b/>
          <w:color w:val="000000"/>
          <w:szCs w:val="24"/>
        </w:rPr>
        <w:t>4</w:t>
      </w:r>
      <w:bookmarkEnd w:id="0"/>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1849F0">
        <w:rPr>
          <w:rFonts w:eastAsia="Palatino Linotype" w:cs="Palatino Linotype"/>
          <w:color w:val="000000"/>
          <w:szCs w:val="24"/>
        </w:rPr>
        <w:t xml:space="preserve"> un particular que no brindo nombre o seudónimo </w:t>
      </w:r>
      <w:r w:rsidR="00B54BC7" w:rsidRPr="00875B7E">
        <w:rPr>
          <w:rFonts w:eastAsia="Palatino Linotype" w:cs="Palatino Linotype"/>
          <w:color w:val="000000"/>
          <w:szCs w:val="24"/>
        </w:rPr>
        <w:t xml:space="preserve">en lo sucesivo </w:t>
      </w:r>
      <w:r w:rsidR="001849F0">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64493F">
        <w:rPr>
          <w:rFonts w:eastAsia="Palatino Linotype" w:cs="Palatino Linotype"/>
          <w:color w:val="000000"/>
          <w:szCs w:val="24"/>
        </w:rPr>
        <w:t xml:space="preserve"> la </w:t>
      </w:r>
      <w:r w:rsidR="0064493F">
        <w:rPr>
          <w:rFonts w:eastAsia="Palatino Linotype" w:cs="Palatino Linotype"/>
          <w:b/>
          <w:color w:val="000000"/>
          <w:szCs w:val="24"/>
        </w:rPr>
        <w:t>Secretaria de Movilidad</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21CCC2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64493F">
        <w:rPr>
          <w:rFonts w:eastAsia="Palatino Linotype" w:cs="Palatino Linotype"/>
          <w:color w:val="000000"/>
          <w:szCs w:val="24"/>
        </w:rPr>
        <w:t>tres de septiembre de dos mil veinticuatro</w:t>
      </w:r>
      <w:r w:rsidR="00B54BC7" w:rsidRPr="006922F5">
        <w:rPr>
          <w:rFonts w:eastAsia="Palatino Linotype" w:cs="Palatino Linotype"/>
          <w:color w:val="000000"/>
          <w:szCs w:val="24"/>
        </w:rPr>
        <w:t xml:space="preserve">, </w:t>
      </w:r>
      <w:r w:rsidR="00BB2B73">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1849F0">
        <w:rPr>
          <w:rFonts w:eastAsia="Palatino Linotype" w:cs="Palatino Linotype"/>
          <w:color w:val="000000"/>
          <w:szCs w:val="24"/>
        </w:rPr>
        <w:t xml:space="preserve"> </w:t>
      </w:r>
      <w:r w:rsidR="0064493F" w:rsidRPr="0064493F">
        <w:rPr>
          <w:b/>
          <w:bCs/>
        </w:rPr>
        <w:t>00611/SMOV/IP/2024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81582E2" w:rsidR="00A970D5" w:rsidRPr="006922F5" w:rsidRDefault="001849F0" w:rsidP="006922F5">
      <w:pPr>
        <w:pStyle w:val="Fundamentos"/>
      </w:pPr>
      <w:r w:rsidRPr="001849F0">
        <w:rPr>
          <w:sz w:val="24"/>
        </w:rPr>
        <w:t>“</w:t>
      </w:r>
      <w:r w:rsidR="0064493F" w:rsidRPr="0064493F">
        <w:rPr>
          <w:sz w:val="24"/>
        </w:rPr>
        <w:t>De conformidad con el artículo 6 de la constitución se solicita las listas de asistencia, de los transportistas que hoy asistieron a la conferencia de prensa con el Secretario Daniel, se solicita el discurso o temas tratados en la conferencia, el video o versión escenográfica de la conferencia, el nombre de los medios de comunicación que asistieron, el monto pagado para que asistiera, la invitación a los medios de comunicación</w:t>
      </w:r>
      <w:r w:rsidR="0064493F" w:rsidRPr="001849F0">
        <w:rPr>
          <w:sz w:val="24"/>
        </w:rPr>
        <w:t xml:space="preserve"> </w:t>
      </w:r>
      <w:r w:rsidRPr="001849F0">
        <w:rPr>
          <w:sz w:val="24"/>
        </w:rPr>
        <w:t>“</w:t>
      </w:r>
      <w:r w:rsidR="00D7260C" w:rsidRPr="001849F0">
        <w:rPr>
          <w:sz w:val="24"/>
        </w:rPr>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603BECA" w14:textId="0C4AD9F8" w:rsidR="00875B7E" w:rsidRPr="0064493F"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A9C7F2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1849F0">
        <w:rPr>
          <w:rFonts w:eastAsia="Palatino Linotype" w:cs="Palatino Linotype"/>
          <w:color w:val="000000"/>
          <w:szCs w:val="24"/>
        </w:rPr>
        <w:t xml:space="preserve">veinticinco de </w:t>
      </w:r>
      <w:r w:rsidR="0064493F">
        <w:rPr>
          <w:rFonts w:eastAsia="Palatino Linotype" w:cs="Palatino Linotype"/>
          <w:color w:val="000000"/>
          <w:szCs w:val="24"/>
        </w:rPr>
        <w:t>septiembre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tbl>
      <w:tblPr>
        <w:tblW w:w="8816" w:type="dxa"/>
        <w:jc w:val="center"/>
        <w:tblCellSpacing w:w="0" w:type="dxa"/>
        <w:tblCellMar>
          <w:left w:w="0" w:type="dxa"/>
          <w:right w:w="0" w:type="dxa"/>
        </w:tblCellMar>
        <w:tblLook w:val="04A0" w:firstRow="1" w:lastRow="0" w:firstColumn="1" w:lastColumn="0" w:noHBand="0" w:noVBand="1"/>
      </w:tblPr>
      <w:tblGrid>
        <w:gridCol w:w="8816"/>
      </w:tblGrid>
      <w:tr w:rsidR="0064493F" w:rsidRPr="0064493F" w14:paraId="3603C0DA" w14:textId="77777777" w:rsidTr="0064493F">
        <w:trPr>
          <w:trHeight w:val="158"/>
          <w:tblCellSpacing w:w="0" w:type="dxa"/>
          <w:jc w:val="center"/>
        </w:trPr>
        <w:tc>
          <w:tcPr>
            <w:tcW w:w="0" w:type="auto"/>
            <w:vAlign w:val="center"/>
            <w:hideMark/>
          </w:tcPr>
          <w:p w14:paraId="1956E7B5" w14:textId="1BA0B7C6" w:rsidR="0064493F" w:rsidRPr="0064493F" w:rsidRDefault="0064493F" w:rsidP="0064493F">
            <w:pPr>
              <w:rPr>
                <w:rFonts w:eastAsia="Times New Roman" w:cs="Times New Roman"/>
                <w:sz w:val="22"/>
                <w:lang w:val="es-MX"/>
              </w:rPr>
            </w:pPr>
            <w:r>
              <w:rPr>
                <w:rFonts w:eastAsia="Times New Roman" w:cs="Times New Roman"/>
                <w:sz w:val="22"/>
                <w:lang w:val="es-MX"/>
              </w:rPr>
              <w:t>“</w:t>
            </w:r>
            <w:r w:rsidRPr="0064493F">
              <w:rPr>
                <w:rFonts w:eastAsia="Times New Roman" w:cs="Times New Roman"/>
                <w:i/>
                <w:sz w:val="22"/>
                <w:lang w:val="es-MX"/>
              </w:rPr>
              <w:t xml:space="preserve">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00611/SMOV/IP/2024, respectivamente en el Sistema de Acceso a la Información (SAIMEX).- mediante la cual solicita:" De conformidad con el artículo 6 de la constitución se solicita las listas de asistencia, de los transportistas que hoy asistieron a la conferencia de prensa con el Secretario Daniel, se solicita el discurso o temas tratados en la conferencia, el video o versión escenográfica de la conferencia, el nombre de los medios de comunicación que asistieron, el monto pagado para que asistiera, la invitación a los medios de comunicación."(SIC).- </w:t>
            </w:r>
            <w:r w:rsidRPr="0064493F">
              <w:rPr>
                <w:rFonts w:eastAsia="Times New Roman" w:cs="Times New Roman"/>
                <w:b/>
                <w:i/>
                <w:sz w:val="22"/>
                <w:lang w:val="es-MX"/>
              </w:rPr>
              <w:t>Al respecto me permito informar que, esta Subsecretaría de Movilidad, no tiene registros de lo solicitado en su petición, no obstante se realizó una búsqueda minuciosa y exhaustiva en los archivos que obran en esta Unidad Administrativa y no se localizó registro alguno de lo solicitado para atender su requerimiento</w:t>
            </w:r>
            <w:proofErr w:type="gramStart"/>
            <w:r w:rsidRPr="0064493F">
              <w:rPr>
                <w:rFonts w:eastAsia="Times New Roman" w:cs="Times New Roman"/>
                <w:i/>
                <w:sz w:val="22"/>
                <w:lang w:val="es-MX"/>
              </w:rPr>
              <w:t>, .</w:t>
            </w:r>
            <w:proofErr w:type="gramEnd"/>
            <w:r w:rsidRPr="0064493F">
              <w:rPr>
                <w:rFonts w:eastAsia="Times New Roman" w:cs="Times New Roman"/>
                <w:i/>
                <w:sz w:val="22"/>
                <w:lang w:val="es-MX"/>
              </w:rPr>
              <w:t>- Sin ,más por el momento me reitero a sus apreciables órdenes.”</w:t>
            </w:r>
          </w:p>
        </w:tc>
      </w:tr>
    </w:tbl>
    <w:p w14:paraId="6611BE26" w14:textId="77777777" w:rsidR="001849F0" w:rsidRDefault="001849F0" w:rsidP="00AA6C98">
      <w:pPr>
        <w:pBdr>
          <w:top w:val="nil"/>
          <w:left w:val="nil"/>
          <w:bottom w:val="nil"/>
          <w:right w:val="nil"/>
          <w:between w:val="nil"/>
        </w:pBdr>
        <w:contextualSpacing/>
        <w:rPr>
          <w:rFonts w:eastAsia="Palatino Linotype" w:cs="Palatino Linotype"/>
          <w:color w:val="000000"/>
          <w:szCs w:val="24"/>
        </w:rPr>
      </w:pPr>
    </w:p>
    <w:p w14:paraId="0328E392" w14:textId="76C1ADD8" w:rsidR="0037112D" w:rsidRPr="001849F0" w:rsidRDefault="001849F0" w:rsidP="00AA6C98">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Sujeto </w:t>
      </w:r>
      <w:r w:rsidR="0037112D" w:rsidRPr="0037112D">
        <w:rPr>
          <w:rFonts w:eastAsia="Palatino Linotype" w:cs="Palatino Linotype"/>
          <w:color w:val="000000"/>
          <w:szCs w:val="24"/>
        </w:rPr>
        <w:t xml:space="preserve">Obligado </w:t>
      </w:r>
      <w:r w:rsidR="0064493F">
        <w:rPr>
          <w:rFonts w:eastAsia="Palatino Linotype" w:cs="Palatino Linotype"/>
          <w:color w:val="000000"/>
          <w:szCs w:val="24"/>
        </w:rPr>
        <w:t xml:space="preserve">no </w:t>
      </w:r>
      <w:r w:rsidR="00AA6C98">
        <w:rPr>
          <w:rFonts w:eastAsia="Palatino Linotype" w:cs="Palatino Linotype"/>
          <w:color w:val="000000"/>
          <w:szCs w:val="24"/>
        </w:rPr>
        <w:t xml:space="preserve">adjuntó a su respuesta </w:t>
      </w:r>
      <w:r w:rsidR="0064493F">
        <w:rPr>
          <w:rFonts w:eastAsia="Palatino Linotype" w:cs="Palatino Linotype"/>
          <w:color w:val="000000"/>
          <w:szCs w:val="24"/>
        </w:rPr>
        <w:t>documentos.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51DB1845" w14:textId="0BBB96B1" w:rsidR="001849F0"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BB2B73">
        <w:rPr>
          <w:rFonts w:eastAsia="Palatino Linotype" w:cs="Palatino Linotype"/>
          <w:color w:val="000000"/>
          <w:szCs w:val="24"/>
        </w:rPr>
        <w:t>la</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64493F">
        <w:rPr>
          <w:rFonts w:eastAsia="Palatino Linotype" w:cs="Palatino Linotype"/>
          <w:color w:val="000000"/>
          <w:szCs w:val="24"/>
        </w:rPr>
        <w:t xml:space="preserve"> </w:t>
      </w:r>
      <w:r w:rsidR="0064493F">
        <w:rPr>
          <w:rFonts w:eastAsia="Palatino Linotype" w:cs="Palatino Linotype"/>
          <w:b/>
          <w:color w:val="000000"/>
          <w:szCs w:val="24"/>
        </w:rPr>
        <w:t>diecisiete de octubre</w:t>
      </w:r>
      <w:r w:rsidR="0064493F" w:rsidRPr="0064493F">
        <w:rPr>
          <w:rFonts w:eastAsia="Palatino Linotype" w:cs="Palatino Linotype"/>
          <w:b/>
          <w:color w:val="000000"/>
          <w:szCs w:val="24"/>
        </w:rPr>
        <w:t xml:space="preserve"> de dos mil veinticuatro</w:t>
      </w:r>
      <w:r w:rsidRPr="006922F5">
        <w:rPr>
          <w:rFonts w:eastAsia="Palatino Linotype" w:cs="Palatino Linotype"/>
          <w:color w:val="000000"/>
          <w:szCs w:val="24"/>
        </w:rPr>
        <w:t xml:space="preserve">, el cual </w:t>
      </w:r>
      <w:r w:rsidRPr="006922F5">
        <w:rPr>
          <w:rFonts w:eastAsia="Palatino Linotype" w:cs="Palatino Linotype"/>
          <w:color w:val="000000"/>
          <w:szCs w:val="24"/>
        </w:rPr>
        <w:lastRenderedPageBreak/>
        <w:t xml:space="preserve">se registró con el expediente número </w:t>
      </w:r>
      <w:r w:rsidR="00AC265B">
        <w:rPr>
          <w:rFonts w:eastAsia="Palatino Linotype" w:cs="Palatino Linotype"/>
          <w:b/>
          <w:color w:val="000000"/>
          <w:szCs w:val="24"/>
        </w:rPr>
        <w:t>0</w:t>
      </w:r>
      <w:r w:rsidR="0064493F">
        <w:rPr>
          <w:rFonts w:eastAsia="Palatino Linotype" w:cs="Palatino Linotype"/>
          <w:b/>
          <w:color w:val="000000"/>
          <w:szCs w:val="24"/>
        </w:rPr>
        <w:t>6340/</w:t>
      </w:r>
      <w:r w:rsidR="00657695">
        <w:rPr>
          <w:rFonts w:eastAsia="Palatino Linotype" w:cs="Palatino Linotype"/>
          <w:b/>
          <w:color w:val="000000"/>
          <w:szCs w:val="24"/>
        </w:rPr>
        <w:t>INFOEM/IP/RR/202</w:t>
      </w:r>
      <w:r w:rsidR="0064493F">
        <w:rPr>
          <w:rFonts w:eastAsia="Palatino Linotype" w:cs="Palatino Linotype"/>
          <w:b/>
          <w:color w:val="000000"/>
          <w:szCs w:val="24"/>
        </w:rPr>
        <w:t>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40BCB05" w:rsidR="00A970D5" w:rsidRPr="006922F5" w:rsidRDefault="001849F0" w:rsidP="006922F5">
      <w:pPr>
        <w:pStyle w:val="Fundamentos"/>
        <w:rPr>
          <w:b/>
        </w:rPr>
      </w:pPr>
      <w:r>
        <w:t>“</w:t>
      </w:r>
      <w:r w:rsidR="0064493F" w:rsidRPr="0064493F">
        <w:rPr>
          <w:sz w:val="24"/>
        </w:rPr>
        <w:t>no entrega la información si las reuniones las publicaron como es que dicen que no existe nada</w:t>
      </w:r>
      <w:r>
        <w:t>”</w:t>
      </w:r>
      <w:r w:rsidR="00BB2B73">
        <w:t xml:space="preserve"> </w:t>
      </w:r>
      <w:r w:rsidR="00A970D5" w:rsidRPr="006922F5">
        <w:t>(Sic)</w:t>
      </w:r>
    </w:p>
    <w:p w14:paraId="359E13C4" w14:textId="77777777" w:rsidR="00BB2B73" w:rsidRDefault="00BB2B73"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6F6F2271" w:rsidR="00A970D5" w:rsidRPr="006922F5" w:rsidRDefault="001849F0" w:rsidP="006922F5">
      <w:pPr>
        <w:pStyle w:val="Fundamentos"/>
      </w:pPr>
      <w:r>
        <w:t>“</w:t>
      </w:r>
      <w:r w:rsidR="0064493F" w:rsidRPr="0064493F">
        <w:rPr>
          <w:sz w:val="24"/>
        </w:rPr>
        <w:t>no entregan lo solicitado</w:t>
      </w:r>
      <w:r>
        <w:t>”</w:t>
      </w:r>
      <w:r w:rsidR="0064493F">
        <w:t xml:space="preserve"> </w:t>
      </w:r>
      <w:r w:rsidR="00A970D5" w:rsidRPr="006922F5">
        <w:t>(Sic)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614E6A7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w:t>
      </w:r>
      <w:r w:rsidRPr="0064493F">
        <w:rPr>
          <w:rFonts w:eastAsia="Palatino Linotype" w:cs="Palatino Linotype"/>
          <w:b/>
          <w:color w:val="000000"/>
          <w:szCs w:val="24"/>
        </w:rPr>
        <w:t>fecha</w:t>
      </w:r>
      <w:r w:rsidR="008A637C" w:rsidRPr="0064493F">
        <w:rPr>
          <w:rFonts w:eastAsia="Palatino Linotype" w:cs="Palatino Linotype"/>
          <w:b/>
          <w:color w:val="000000"/>
          <w:szCs w:val="24"/>
        </w:rPr>
        <w:t xml:space="preserve"> </w:t>
      </w:r>
      <w:r w:rsidR="0064493F">
        <w:rPr>
          <w:rFonts w:eastAsia="Palatino Linotype" w:cs="Palatino Linotype"/>
          <w:b/>
          <w:color w:val="000000"/>
          <w:szCs w:val="24"/>
        </w:rPr>
        <w:t>veintidós de octubre de dos mil veinticuatro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0D3A3B89" w14:textId="77777777" w:rsidR="00824531" w:rsidRDefault="00FE7B8E" w:rsidP="00AC265B">
      <w:pPr>
        <w:pBdr>
          <w:top w:val="nil"/>
          <w:left w:val="nil"/>
          <w:bottom w:val="nil"/>
          <w:right w:val="nil"/>
          <w:between w:val="nil"/>
        </w:pBdr>
        <w:contextualSpacing/>
        <w:rPr>
          <w:rFonts w:eastAsia="Palatino Linotype" w:cs="Palatino Linotype"/>
          <w:color w:val="000000"/>
          <w:szCs w:val="24"/>
        </w:rPr>
      </w:pPr>
      <w:r w:rsidRPr="00A671E7">
        <w:rPr>
          <w:rFonts w:eastAsia="Palatino Linotype" w:cs="Palatino Linotype"/>
          <w:color w:val="000000"/>
          <w:szCs w:val="24"/>
        </w:rPr>
        <w:t xml:space="preserve">Una vez abierta la etapa de instrucción, se observa que el Sujeto Obligado </w:t>
      </w:r>
      <w:r w:rsidR="00824531">
        <w:rPr>
          <w:rFonts w:eastAsia="Palatino Linotype" w:cs="Palatino Linotype"/>
          <w:b/>
          <w:bCs/>
          <w:color w:val="000000"/>
          <w:szCs w:val="24"/>
        </w:rPr>
        <w:t xml:space="preserve">rindió su informe justificado </w:t>
      </w:r>
      <w:r w:rsidR="00824531">
        <w:rPr>
          <w:rFonts w:eastAsia="Palatino Linotype" w:cs="Palatino Linotype"/>
          <w:color w:val="000000"/>
          <w:szCs w:val="24"/>
        </w:rPr>
        <w:t>en fecha treinta de octubre de dos mil veinticuatro, el cual fue puesto a la vista del recurrente en fecha cuatro de noviembre de dos mil veinticuatro; los cuales serán analizados en el considerando respectivo</w:t>
      </w:r>
      <w:r w:rsidRPr="00A671E7">
        <w:rPr>
          <w:rFonts w:eastAsia="Palatino Linotype" w:cs="Palatino Linotype"/>
          <w:color w:val="000000"/>
          <w:szCs w:val="24"/>
        </w:rPr>
        <w:t xml:space="preserve">. </w:t>
      </w:r>
    </w:p>
    <w:p w14:paraId="4B85354C" w14:textId="77777777" w:rsidR="00824531" w:rsidRDefault="00824531" w:rsidP="00AC265B">
      <w:pPr>
        <w:pBdr>
          <w:top w:val="nil"/>
          <w:left w:val="nil"/>
          <w:bottom w:val="nil"/>
          <w:right w:val="nil"/>
          <w:between w:val="nil"/>
        </w:pBdr>
        <w:contextualSpacing/>
        <w:rPr>
          <w:rFonts w:eastAsia="Palatino Linotype" w:cs="Palatino Linotype"/>
          <w:color w:val="000000"/>
          <w:szCs w:val="24"/>
        </w:rPr>
      </w:pPr>
    </w:p>
    <w:p w14:paraId="5B536618" w14:textId="3253F3FC" w:rsidR="00C02596" w:rsidRPr="006922F5" w:rsidRDefault="00824531"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w:t>
      </w:r>
      <w:r w:rsidR="00FE7B8E" w:rsidRPr="00A671E7">
        <w:rPr>
          <w:rFonts w:eastAsia="Palatino Linotype" w:cs="Palatino Linotype"/>
          <w:color w:val="000000"/>
          <w:szCs w:val="24"/>
        </w:rPr>
        <w:t>l Recurrente no realizó manifestaciones, vertió alegatos ni presentó pruebas que a su derecho convinieran.</w:t>
      </w:r>
    </w:p>
    <w:p w14:paraId="65310342" w14:textId="2728A345" w:rsidR="00A970D5" w:rsidRPr="006922F5" w:rsidRDefault="00E27953" w:rsidP="006922F5">
      <w:pPr>
        <w:pStyle w:val="Ttulo2"/>
        <w:rPr>
          <w:rFonts w:eastAsia="Palatino Linotype"/>
        </w:rPr>
      </w:pPr>
      <w:r w:rsidRPr="006922F5">
        <w:rPr>
          <w:rFonts w:eastAsia="Palatino Linotype"/>
        </w:rPr>
        <w:lastRenderedPageBreak/>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4AE8107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64493F">
        <w:rPr>
          <w:rFonts w:eastAsia="Palatino Linotype" w:cs="Palatino Linotype"/>
          <w:b/>
          <w:color w:val="000000"/>
          <w:szCs w:val="24"/>
        </w:rPr>
        <w:t xml:space="preserve"> </w:t>
      </w:r>
      <w:r w:rsidR="00824531">
        <w:rPr>
          <w:rFonts w:eastAsia="Palatino Linotype" w:cs="Palatino Linotype"/>
          <w:b/>
          <w:color w:val="000000"/>
          <w:szCs w:val="24"/>
        </w:rPr>
        <w:t xml:space="preserve">ocho </w:t>
      </w:r>
      <w:r w:rsidR="0064493F">
        <w:rPr>
          <w:rFonts w:eastAsia="Palatino Linotype" w:cs="Palatino Linotype"/>
          <w:b/>
          <w:color w:val="000000"/>
          <w:szCs w:val="24"/>
        </w:rPr>
        <w:t>de noviembre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9CD28FE" w14:textId="77777777" w:rsidR="00BB2B73"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95DF0C7" w14:textId="77777777" w:rsidR="00FE7B8E" w:rsidRPr="00E06B6E" w:rsidRDefault="00FE7B8E" w:rsidP="00FE7B8E">
      <w:pPr>
        <w:pStyle w:val="Ttulo2"/>
        <w:rPr>
          <w:rFonts w:eastAsia="Palatino Linotype"/>
        </w:rPr>
      </w:pPr>
      <w:r w:rsidRPr="00E06B6E">
        <w:rPr>
          <w:rFonts w:eastAsia="Palatino Linotype"/>
        </w:rPr>
        <w:t>TERCERO. Cuestiones de previo y especial pronunciamiento.</w:t>
      </w:r>
    </w:p>
    <w:p w14:paraId="53EAF708" w14:textId="77777777" w:rsidR="00FE7B8E" w:rsidRPr="00FB173E" w:rsidRDefault="00FE7B8E" w:rsidP="00FE7B8E">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13C798" w14:textId="77777777" w:rsidR="00FE7B8E" w:rsidRPr="00FB173E" w:rsidRDefault="00FE7B8E" w:rsidP="00FE7B8E">
      <w:pPr>
        <w:contextualSpacing/>
        <w:rPr>
          <w:rFonts w:eastAsia="Palatino Linotype" w:cs="Palatino Linotype"/>
          <w:szCs w:val="24"/>
        </w:rPr>
      </w:pPr>
    </w:p>
    <w:p w14:paraId="29DCFC52"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DC8910F"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3271B9ED"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4FF68BE5"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619F04"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7C1E3996"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E94273B"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4B1BFF4"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321DABFD"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375BD32A" w14:textId="77777777" w:rsidR="00FE7B8E" w:rsidRPr="00FB173E" w:rsidRDefault="00FE7B8E" w:rsidP="00FE7B8E">
      <w:pPr>
        <w:spacing w:line="240" w:lineRule="auto"/>
        <w:ind w:left="567" w:right="567"/>
        <w:contextualSpacing/>
        <w:rPr>
          <w:rFonts w:eastAsia="Palatino Linotype" w:cs="Palatino Linotype"/>
          <w:i/>
          <w:sz w:val="22"/>
        </w:rPr>
      </w:pPr>
    </w:p>
    <w:p w14:paraId="58C0CC52"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776B4C5D" w14:textId="77777777" w:rsidR="00FE7B8E" w:rsidRPr="00FB173E" w:rsidRDefault="00FE7B8E" w:rsidP="00FE7B8E">
      <w:pPr>
        <w:spacing w:line="240" w:lineRule="auto"/>
        <w:ind w:left="567" w:right="567"/>
        <w:contextualSpacing/>
        <w:rPr>
          <w:rFonts w:eastAsia="Palatino Linotype" w:cs="Palatino Linotype"/>
          <w:i/>
          <w:sz w:val="22"/>
        </w:rPr>
      </w:pPr>
    </w:p>
    <w:p w14:paraId="6A5D7F2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1FE4B0B3" w14:textId="77777777" w:rsidR="00FE7B8E" w:rsidRPr="00FB173E" w:rsidRDefault="00FE7B8E" w:rsidP="00FE7B8E">
      <w:pPr>
        <w:spacing w:line="240" w:lineRule="auto"/>
        <w:ind w:left="567" w:right="567"/>
        <w:contextualSpacing/>
        <w:rPr>
          <w:rFonts w:eastAsia="Palatino Linotype" w:cs="Palatino Linotype"/>
          <w:i/>
          <w:sz w:val="22"/>
        </w:rPr>
      </w:pPr>
    </w:p>
    <w:p w14:paraId="235B8438"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En caso de que el recurso se interponga de manera electrónica no será indispensable que contengan los requisitos establecidos en las fracciones II</w:t>
      </w:r>
      <w:r w:rsidRPr="00FB173E">
        <w:rPr>
          <w:rFonts w:eastAsia="Palatino Linotype" w:cs="Palatino Linotype"/>
          <w:i/>
          <w:sz w:val="22"/>
        </w:rPr>
        <w:t>, IV, VII y VIII.</w:t>
      </w:r>
    </w:p>
    <w:p w14:paraId="5F8FE0E3" w14:textId="77777777" w:rsidR="00FE7B8E" w:rsidRPr="00FB173E" w:rsidRDefault="00FE7B8E" w:rsidP="001849F0">
      <w:pPr>
        <w:ind w:right="567"/>
        <w:contextualSpacing/>
        <w:rPr>
          <w:rFonts w:eastAsia="Palatino Linotype" w:cs="Palatino Linotype"/>
          <w:szCs w:val="24"/>
        </w:rPr>
      </w:pPr>
    </w:p>
    <w:p w14:paraId="2DB34101" w14:textId="77777777" w:rsidR="00FE7B8E" w:rsidRDefault="00FE7B8E" w:rsidP="00FE7B8E">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49965146" w14:textId="77777777" w:rsidR="004E0853" w:rsidRPr="00FB173E" w:rsidRDefault="004E0853" w:rsidP="00FE7B8E">
      <w:pPr>
        <w:ind w:right="49"/>
        <w:contextualSpacing/>
        <w:rPr>
          <w:rFonts w:eastAsia="Palatino Linotype" w:cs="Palatino Linotype"/>
          <w:szCs w:val="24"/>
        </w:rPr>
      </w:pPr>
    </w:p>
    <w:p w14:paraId="50D1835A"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A8F22F" w14:textId="77777777" w:rsidR="00FE7B8E" w:rsidRPr="00FB173E" w:rsidRDefault="00FE7B8E" w:rsidP="00FE7B8E">
      <w:pPr>
        <w:spacing w:line="240" w:lineRule="auto"/>
        <w:ind w:left="567" w:right="567"/>
        <w:contextualSpacing/>
        <w:rPr>
          <w:rFonts w:eastAsia="Palatino Linotype" w:cs="Palatino Linotype"/>
          <w:i/>
          <w:sz w:val="22"/>
        </w:rPr>
      </w:pPr>
    </w:p>
    <w:p w14:paraId="3C5FAA6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D19D7A9" w14:textId="77777777" w:rsidR="00FE7B8E" w:rsidRPr="00FB173E" w:rsidRDefault="00FE7B8E" w:rsidP="00FE7B8E">
      <w:pPr>
        <w:spacing w:line="240" w:lineRule="auto"/>
        <w:ind w:left="567" w:right="567"/>
        <w:contextualSpacing/>
        <w:rPr>
          <w:rFonts w:eastAsia="Palatino Linotype" w:cs="Palatino Linotype"/>
          <w:i/>
          <w:sz w:val="22"/>
        </w:rPr>
      </w:pPr>
    </w:p>
    <w:p w14:paraId="237353D9"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64836D" w14:textId="77777777" w:rsidR="00FE7B8E" w:rsidRPr="00FB173E" w:rsidRDefault="00FE7B8E" w:rsidP="00FE7B8E">
      <w:pPr>
        <w:rPr>
          <w:sz w:val="20"/>
        </w:rPr>
      </w:pPr>
    </w:p>
    <w:p w14:paraId="1D12AD0A" w14:textId="77777777" w:rsidR="00FE7B8E" w:rsidRPr="00FB173E" w:rsidRDefault="00FE7B8E" w:rsidP="00FE7B8E">
      <w:pPr>
        <w:contextualSpacing/>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0851433" w14:textId="77777777" w:rsidR="00FE7B8E" w:rsidRPr="00FB173E" w:rsidRDefault="00FE7B8E" w:rsidP="00FE7B8E">
      <w:pPr>
        <w:contextualSpacing/>
        <w:rPr>
          <w:rFonts w:eastAsia="Palatino Linotype" w:cs="Palatino Linotype"/>
          <w:sz w:val="20"/>
          <w:szCs w:val="24"/>
        </w:rPr>
      </w:pPr>
    </w:p>
    <w:p w14:paraId="3C64D1E1" w14:textId="77777777" w:rsidR="00FE7B8E" w:rsidRDefault="00FE7B8E" w:rsidP="00FE7B8E">
      <w:pPr>
        <w:pBdr>
          <w:top w:val="nil"/>
          <w:left w:val="nil"/>
          <w:bottom w:val="nil"/>
          <w:right w:val="nil"/>
          <w:between w:val="nil"/>
        </w:pBdr>
        <w:contextualSpacing/>
        <w:rPr>
          <w:rFonts w:eastAsia="Palatino Linotype" w:cs="Palatino Linotype"/>
          <w:color w:val="000000"/>
          <w:szCs w:val="24"/>
        </w:rPr>
      </w:pPr>
      <w:r w:rsidRPr="00FB173E">
        <w:rPr>
          <w:rFonts w:eastAsia="Palatino Linotype" w:cs="Palatino Linotype"/>
          <w:color w:val="000000"/>
          <w:szCs w:val="24"/>
        </w:rPr>
        <w:t xml:space="preserve">En conclusión, se cubrieron los requisitos de procedencia y </w:t>
      </w:r>
      <w:proofErr w:type="spellStart"/>
      <w:r w:rsidRPr="00FB173E">
        <w:rPr>
          <w:rFonts w:eastAsia="Palatino Linotype" w:cs="Palatino Linotype"/>
          <w:color w:val="000000"/>
          <w:szCs w:val="24"/>
        </w:rPr>
        <w:t>procedibilidad</w:t>
      </w:r>
      <w:proofErr w:type="spellEnd"/>
      <w:r w:rsidRPr="00FB173E">
        <w:rPr>
          <w:rFonts w:eastAsia="Palatino Linotype" w:cs="Palatino Linotype"/>
          <w:color w:val="000000"/>
          <w:szCs w:val="24"/>
        </w:rPr>
        <w:t xml:space="preserve"> y conforme a las constancias que obran en el expediente.</w:t>
      </w:r>
    </w:p>
    <w:p w14:paraId="0E3DD021"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6D04F852" w14:textId="3EC59BCF" w:rsidR="00A970D5" w:rsidRPr="006922F5" w:rsidRDefault="009758B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593B620" w:rsidR="00A970D5" w:rsidRPr="006922F5" w:rsidRDefault="009758B1"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6922F5">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42C5372" w14:textId="77777777" w:rsidR="0064493F" w:rsidRDefault="00A970D5" w:rsidP="00C006C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1849F0">
        <w:rPr>
          <w:rFonts w:eastAsia="Palatino Linotype" w:cs="Palatino Linotype"/>
          <w:color w:val="000000"/>
          <w:szCs w:val="24"/>
        </w:rPr>
        <w:t>el</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64493F">
        <w:rPr>
          <w:rFonts w:eastAsia="Palatino Linotype" w:cs="Palatino Linotype"/>
          <w:color w:val="000000"/>
          <w:szCs w:val="24"/>
        </w:rPr>
        <w:t xml:space="preserve"> lo siguiente; </w:t>
      </w:r>
    </w:p>
    <w:p w14:paraId="5D38E888" w14:textId="77777777" w:rsidR="008039C5" w:rsidRDefault="008039C5" w:rsidP="00C006C6">
      <w:pPr>
        <w:pBdr>
          <w:top w:val="nil"/>
          <w:left w:val="nil"/>
          <w:bottom w:val="nil"/>
          <w:right w:val="nil"/>
          <w:between w:val="nil"/>
        </w:pBdr>
        <w:contextualSpacing/>
        <w:rPr>
          <w:rFonts w:eastAsia="Palatino Linotype" w:cs="Palatino Linotype"/>
          <w:color w:val="000000"/>
          <w:szCs w:val="24"/>
        </w:rPr>
      </w:pPr>
    </w:p>
    <w:p w14:paraId="3940ECC7" w14:textId="535C2238" w:rsidR="0064493F" w:rsidRPr="0064493F" w:rsidRDefault="0064493F" w:rsidP="0064493F">
      <w:pPr>
        <w:pStyle w:val="Prrafodelista"/>
        <w:numPr>
          <w:ilvl w:val="0"/>
          <w:numId w:val="41"/>
        </w:numPr>
        <w:pBdr>
          <w:top w:val="nil"/>
          <w:left w:val="nil"/>
          <w:bottom w:val="nil"/>
          <w:right w:val="nil"/>
          <w:between w:val="nil"/>
        </w:pBdr>
        <w:contextualSpacing/>
        <w:rPr>
          <w:rFonts w:eastAsia="Palatino Linotype" w:cs="Palatino Linotype"/>
          <w:color w:val="000000"/>
        </w:rPr>
      </w:pPr>
      <w:r w:rsidRPr="0064493F">
        <w:rPr>
          <w:color w:val="000000"/>
        </w:rPr>
        <w:t>Del ev</w:t>
      </w:r>
      <w:r>
        <w:rPr>
          <w:color w:val="000000"/>
        </w:rPr>
        <w:t>ento denominado “conferencia de prensa con el Secretario Daniel” de fecha tres de septiembre de dos mil veinticuatro:</w:t>
      </w:r>
    </w:p>
    <w:p w14:paraId="325200C5" w14:textId="77777777" w:rsidR="0064493F" w:rsidRPr="0064493F" w:rsidRDefault="0064493F"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Listas de asistencia</w:t>
      </w:r>
      <w:r w:rsidRPr="0064493F">
        <w:rPr>
          <w:color w:val="000000"/>
        </w:rPr>
        <w:t xml:space="preserve"> de los transportistas</w:t>
      </w:r>
    </w:p>
    <w:p w14:paraId="355B0F36" w14:textId="77777777" w:rsidR="0064493F" w:rsidRPr="0064493F" w:rsidRDefault="0064493F"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E</w:t>
      </w:r>
      <w:r w:rsidRPr="0064493F">
        <w:rPr>
          <w:color w:val="000000"/>
        </w:rPr>
        <w:t>l discurso o t</w:t>
      </w:r>
      <w:r>
        <w:rPr>
          <w:color w:val="000000"/>
        </w:rPr>
        <w:t>emas tratados en la conferencia</w:t>
      </w:r>
    </w:p>
    <w:p w14:paraId="4A315D74" w14:textId="77777777" w:rsidR="0064493F" w:rsidRPr="0064493F" w:rsidRDefault="0064493F"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E</w:t>
      </w:r>
      <w:r w:rsidRPr="0064493F">
        <w:rPr>
          <w:color w:val="000000"/>
        </w:rPr>
        <w:t>l video o versión e</w:t>
      </w:r>
      <w:r>
        <w:rPr>
          <w:color w:val="000000"/>
        </w:rPr>
        <w:t>scenográfica de la conferencia</w:t>
      </w:r>
    </w:p>
    <w:p w14:paraId="35C8D9C0" w14:textId="77777777" w:rsidR="0064493F" w:rsidRPr="0064493F" w:rsidRDefault="0064493F"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E</w:t>
      </w:r>
      <w:r w:rsidRPr="0064493F">
        <w:rPr>
          <w:color w:val="000000"/>
        </w:rPr>
        <w:t>l nombre de los medios</w:t>
      </w:r>
      <w:r>
        <w:rPr>
          <w:color w:val="000000"/>
        </w:rPr>
        <w:t xml:space="preserve"> de comunicación que asistieron</w:t>
      </w:r>
    </w:p>
    <w:p w14:paraId="3EB776AF" w14:textId="77777777" w:rsidR="008039C5" w:rsidRPr="008039C5" w:rsidRDefault="0064493F"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M</w:t>
      </w:r>
      <w:r w:rsidRPr="0064493F">
        <w:rPr>
          <w:color w:val="000000"/>
        </w:rPr>
        <w:t>onto pagado para que asistiera</w:t>
      </w:r>
      <w:r w:rsidR="008039C5">
        <w:rPr>
          <w:color w:val="000000"/>
        </w:rPr>
        <w:t>n los medios de comunicación</w:t>
      </w:r>
    </w:p>
    <w:p w14:paraId="402535DB" w14:textId="480E073F" w:rsidR="001C4CBF" w:rsidRPr="0064493F" w:rsidRDefault="008039C5" w:rsidP="0064493F">
      <w:pPr>
        <w:pStyle w:val="Prrafodelista"/>
        <w:numPr>
          <w:ilvl w:val="3"/>
          <w:numId w:val="41"/>
        </w:numPr>
        <w:pBdr>
          <w:top w:val="nil"/>
          <w:left w:val="nil"/>
          <w:bottom w:val="nil"/>
          <w:right w:val="nil"/>
          <w:between w:val="nil"/>
        </w:pBdr>
        <w:contextualSpacing/>
        <w:rPr>
          <w:rFonts w:eastAsia="Palatino Linotype" w:cs="Palatino Linotype"/>
          <w:color w:val="000000"/>
        </w:rPr>
      </w:pPr>
      <w:r>
        <w:rPr>
          <w:color w:val="000000"/>
        </w:rPr>
        <w:t>I</w:t>
      </w:r>
      <w:r w:rsidR="0064493F" w:rsidRPr="0064493F">
        <w:rPr>
          <w:color w:val="000000"/>
        </w:rPr>
        <w:t>nvitación a los medios de comunicación</w:t>
      </w:r>
    </w:p>
    <w:p w14:paraId="77F8E3A3" w14:textId="77777777" w:rsidR="00744A98" w:rsidRDefault="00744A98" w:rsidP="00C006C6">
      <w:pPr>
        <w:pBdr>
          <w:top w:val="nil"/>
          <w:left w:val="nil"/>
          <w:bottom w:val="nil"/>
          <w:right w:val="nil"/>
          <w:between w:val="nil"/>
        </w:pBdr>
        <w:contextualSpacing/>
        <w:rPr>
          <w:rFonts w:eastAsia="Palatino Linotype" w:cs="Palatino Linotype"/>
          <w:color w:val="000000"/>
          <w:szCs w:val="24"/>
        </w:rPr>
      </w:pPr>
    </w:p>
    <w:p w14:paraId="34CF62B0" w14:textId="43CCBF22" w:rsidR="00A978AF" w:rsidRPr="00824531" w:rsidRDefault="0040213B" w:rsidP="0082453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00A970D5"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00A970D5" w:rsidRPr="006922F5">
        <w:rPr>
          <w:rFonts w:eastAsia="Palatino Linotype" w:cs="Palatino Linotype"/>
          <w:color w:val="000000"/>
          <w:szCs w:val="24"/>
        </w:rPr>
        <w:t xml:space="preserve">, el Sujeto Obligado </w:t>
      </w:r>
      <w:r w:rsidR="002B3056">
        <w:rPr>
          <w:rFonts w:eastAsia="Palatino Linotype" w:cs="Palatino Linotype"/>
          <w:color w:val="000000"/>
          <w:szCs w:val="24"/>
        </w:rPr>
        <w:t xml:space="preserve">respondió sin adjuntar un documenta manifestando lo siguiente; </w:t>
      </w:r>
    </w:p>
    <w:p w14:paraId="3D21A71C" w14:textId="15951F98" w:rsidR="001849F0" w:rsidRPr="002B3056" w:rsidRDefault="002B3056" w:rsidP="002B3056">
      <w:pPr>
        <w:ind w:left="708"/>
        <w:rPr>
          <w:i/>
          <w:sz w:val="22"/>
        </w:rPr>
      </w:pPr>
      <w:r>
        <w:rPr>
          <w:i/>
          <w:color w:val="000000"/>
          <w:sz w:val="22"/>
        </w:rPr>
        <w:t>“</w:t>
      </w:r>
      <w:r w:rsidRPr="002B3056">
        <w:rPr>
          <w:i/>
          <w:color w:val="000000"/>
          <w:sz w:val="22"/>
        </w:rPr>
        <w:t xml:space="preserve">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00611/SMOV/IP/2024, respectivamente en el Sistema de Acceso a la Información (SAIMEX).- mediante la cual solicita:" De conformidad con el artículo 6 de la constitución se solicita las listas de asistencia, de los transportistas que hoy asistieron a la conferencia de prensa con el Secretario Daniel, se solicita el discurso o temas tratados en la conferencia, el video o versión escenográfica de la conferencia, el nombre de los medios de comunicación que asistieron, el monto </w:t>
      </w:r>
      <w:r w:rsidRPr="002B3056">
        <w:rPr>
          <w:i/>
          <w:color w:val="000000"/>
          <w:sz w:val="22"/>
        </w:rPr>
        <w:lastRenderedPageBreak/>
        <w:t xml:space="preserve">pagado para que asistiera, la invitación a los medios de comunicación."(SIC).- </w:t>
      </w:r>
      <w:r w:rsidRPr="002B3056">
        <w:rPr>
          <w:b/>
          <w:i/>
          <w:color w:val="000000"/>
          <w:sz w:val="22"/>
        </w:rPr>
        <w:t>Al respecto me permito informar que, esta Subsecretaría de Movilidad, no tiene registros de lo solicitado en su petición, no obstante se realizó una búsqueda minuciosa y exhaustiva en los archivos que obran en esta Unidad Administrativa y no se localizó registro alguno de lo solicitado para atender su requerimiento</w:t>
      </w:r>
      <w:r>
        <w:rPr>
          <w:i/>
          <w:color w:val="000000"/>
          <w:sz w:val="22"/>
        </w:rPr>
        <w:t>”</w:t>
      </w:r>
    </w:p>
    <w:p w14:paraId="6B3D91C7" w14:textId="77777777" w:rsidR="008039C5" w:rsidRDefault="008039C5" w:rsidP="001849F0"/>
    <w:p w14:paraId="6128DFF4" w14:textId="61AC2E6D" w:rsidR="00A970D5" w:rsidRPr="002B3056"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Pr>
          <w:rFonts w:eastAsia="Palatino Linotype" w:cs="Palatino Linotype"/>
          <w:color w:val="000000"/>
          <w:szCs w:val="24"/>
        </w:rPr>
        <w:t xml:space="preserve"> </w:t>
      </w:r>
      <w:r w:rsidR="002B3056">
        <w:rPr>
          <w:rFonts w:eastAsia="Palatino Linotype" w:cs="Palatino Linotype"/>
          <w:color w:val="000000"/>
          <w:szCs w:val="24"/>
        </w:rPr>
        <w:t>“</w:t>
      </w:r>
      <w:r w:rsidR="002B3056" w:rsidRPr="002B3056">
        <w:rPr>
          <w:i/>
          <w:color w:val="000000"/>
          <w:szCs w:val="24"/>
        </w:rPr>
        <w:t>no entrega la información si las reuniones las publicaron como es que dicen que no existe nada”</w:t>
      </w:r>
      <w:r w:rsidR="002B3056">
        <w:rPr>
          <w:rFonts w:eastAsia="Palatino Linotype" w:cs="Palatino Linotype"/>
          <w:i/>
          <w:color w:val="000000"/>
          <w:szCs w:val="24"/>
        </w:rPr>
        <w:t xml:space="preserve"> </w:t>
      </w:r>
      <w:r w:rsidR="0040213B">
        <w:rPr>
          <w:rFonts w:eastAsia="Palatino Linotype" w:cs="Palatino Linotype"/>
          <w:color w:val="000000"/>
          <w:szCs w:val="24"/>
        </w:rPr>
        <w:t xml:space="preserve">y </w:t>
      </w:r>
      <w:r w:rsidR="00E41C8A">
        <w:rPr>
          <w:rFonts w:eastAsia="Palatino Linotype" w:cs="Palatino Linotype"/>
          <w:color w:val="000000"/>
          <w:szCs w:val="24"/>
        </w:rPr>
        <w:t xml:space="preserve">dando como </w:t>
      </w:r>
      <w:r w:rsidR="001C2982">
        <w:rPr>
          <w:rFonts w:eastAsia="Palatino Linotype" w:cs="Palatino Linotype"/>
          <w:color w:val="000000"/>
          <w:szCs w:val="24"/>
        </w:rPr>
        <w:t>razones o motivos de inconformida</w:t>
      </w:r>
      <w:r w:rsidR="00E41C8A">
        <w:rPr>
          <w:rFonts w:eastAsia="Palatino Linotype" w:cs="Palatino Linotype"/>
          <w:color w:val="000000"/>
          <w:szCs w:val="24"/>
        </w:rPr>
        <w:t>d</w:t>
      </w:r>
      <w:r w:rsidR="002B3056">
        <w:rPr>
          <w:rFonts w:eastAsia="Palatino Linotype" w:cs="Palatino Linotype"/>
          <w:color w:val="000000"/>
          <w:szCs w:val="24"/>
        </w:rPr>
        <w:t xml:space="preserve"> “</w:t>
      </w:r>
      <w:r w:rsidR="002B3056" w:rsidRPr="002B3056">
        <w:rPr>
          <w:color w:val="000000"/>
          <w:szCs w:val="24"/>
        </w:rPr>
        <w:t>no entregan lo solicitado”</w:t>
      </w:r>
      <w:r w:rsidR="00A85124">
        <w:rPr>
          <w:rFonts w:eastAsia="Palatino Linotype" w:cs="Palatino Linotype"/>
          <w:color w:val="000000"/>
          <w:szCs w:val="24"/>
        </w:rPr>
        <w:t>.</w:t>
      </w:r>
    </w:p>
    <w:p w14:paraId="3AC05501" w14:textId="77777777" w:rsidR="003D372B" w:rsidRPr="006922F5" w:rsidRDefault="003D372B" w:rsidP="006922F5">
      <w:pPr>
        <w:pBdr>
          <w:top w:val="nil"/>
          <w:left w:val="nil"/>
          <w:bottom w:val="nil"/>
          <w:right w:val="nil"/>
          <w:between w:val="nil"/>
        </w:pBdr>
        <w:contextualSpacing/>
        <w:rPr>
          <w:rFonts w:eastAsia="Palatino Linotype" w:cs="Palatino Linotype"/>
          <w:color w:val="000000"/>
          <w:szCs w:val="24"/>
        </w:rPr>
      </w:pPr>
    </w:p>
    <w:p w14:paraId="7712DAB1" w14:textId="07E6F7E0" w:rsidR="004B7D24" w:rsidRDefault="004B7D24" w:rsidP="006922F5">
      <w:pPr>
        <w:pBdr>
          <w:top w:val="nil"/>
          <w:left w:val="nil"/>
          <w:bottom w:val="nil"/>
          <w:right w:val="nil"/>
          <w:between w:val="nil"/>
        </w:pBdr>
        <w:contextualSpacing/>
        <w:rPr>
          <w:szCs w:val="24"/>
        </w:rPr>
      </w:pPr>
      <w:r>
        <w:rPr>
          <w:szCs w:val="24"/>
        </w:rPr>
        <w:t>De lo anterior y en aras de no v</w:t>
      </w:r>
      <w:r w:rsidR="00D16BDE">
        <w:rPr>
          <w:szCs w:val="24"/>
        </w:rPr>
        <w:t xml:space="preserve">ulnerar el derecho al acceso a </w:t>
      </w:r>
      <w:r>
        <w:rPr>
          <w:szCs w:val="24"/>
        </w:rPr>
        <w:t>l</w:t>
      </w:r>
      <w:r w:rsidR="00D16BDE">
        <w:rPr>
          <w:szCs w:val="24"/>
        </w:rPr>
        <w:t>a</w:t>
      </w:r>
      <w:r>
        <w:rPr>
          <w:szCs w:val="24"/>
        </w:rPr>
        <w:t xml:space="preserve"> información del recurrente el Sujeto Obligado envió su informe justificado en los términos siguientes; </w:t>
      </w:r>
    </w:p>
    <w:p w14:paraId="5062AD9F" w14:textId="130907B4" w:rsidR="004B7D24" w:rsidRPr="004B7D24" w:rsidRDefault="004B7D24" w:rsidP="004B7D24">
      <w:pPr>
        <w:pStyle w:val="Prrafodelista"/>
        <w:numPr>
          <w:ilvl w:val="0"/>
          <w:numId w:val="44"/>
        </w:numPr>
        <w:pBdr>
          <w:top w:val="nil"/>
          <w:left w:val="nil"/>
          <w:bottom w:val="nil"/>
          <w:right w:val="nil"/>
          <w:between w:val="nil"/>
        </w:pBdr>
        <w:contextualSpacing/>
        <w:rPr>
          <w:i/>
          <w:iCs/>
        </w:rPr>
      </w:pPr>
      <w:r w:rsidRPr="004B7D24">
        <w:rPr>
          <w:rFonts w:eastAsia="Calibri"/>
          <w:b/>
          <w:bCs/>
          <w:i/>
          <w:iCs/>
        </w:rPr>
        <w:t>OFICIO SPART.pdf</w:t>
      </w:r>
      <w:r>
        <w:rPr>
          <w:rFonts w:eastAsia="Calibri"/>
          <w:b/>
          <w:bCs/>
          <w:i/>
          <w:iCs/>
        </w:rPr>
        <w:t xml:space="preserve">; </w:t>
      </w:r>
      <w:r>
        <w:rPr>
          <w:rFonts w:eastAsia="Calibri"/>
        </w:rPr>
        <w:t xml:space="preserve">Documento que consta de tres fojas en formato PDF de fecha veinticuatro de octubre de dos mil veinticuatro por medio del cual la Secretaria Particular manifiesta que tras una búsqueda exhaustiva de revisión de la agenda del Secretario de Movilidad correspondiente al martes tres de septiembre confirma que no se </w:t>
      </w:r>
      <w:proofErr w:type="spellStart"/>
      <w:r>
        <w:rPr>
          <w:rFonts w:eastAsia="Calibri"/>
        </w:rPr>
        <w:t>llevo</w:t>
      </w:r>
      <w:proofErr w:type="spellEnd"/>
      <w:r>
        <w:rPr>
          <w:rFonts w:eastAsia="Calibri"/>
        </w:rPr>
        <w:t xml:space="preserve"> a cabo ninguna conferencia de prensa con su participación. </w:t>
      </w:r>
    </w:p>
    <w:p w14:paraId="11A30443" w14:textId="77777777" w:rsidR="004B7D24" w:rsidRDefault="004B7D24" w:rsidP="004B7D24">
      <w:pPr>
        <w:pStyle w:val="Prrafodelista"/>
        <w:pBdr>
          <w:top w:val="nil"/>
          <w:left w:val="nil"/>
          <w:bottom w:val="nil"/>
          <w:right w:val="nil"/>
          <w:between w:val="nil"/>
        </w:pBdr>
        <w:ind w:left="720"/>
        <w:contextualSpacing/>
        <w:rPr>
          <w:rFonts w:eastAsia="Calibri"/>
        </w:rPr>
      </w:pPr>
    </w:p>
    <w:p w14:paraId="3474ADE3" w14:textId="167B4216" w:rsidR="004B7D24" w:rsidRDefault="004B7D24" w:rsidP="004B7D24">
      <w:pPr>
        <w:pStyle w:val="Prrafodelista"/>
        <w:pBdr>
          <w:top w:val="nil"/>
          <w:left w:val="nil"/>
          <w:bottom w:val="nil"/>
          <w:right w:val="nil"/>
          <w:between w:val="nil"/>
        </w:pBdr>
        <w:ind w:left="720"/>
        <w:contextualSpacing/>
        <w:rPr>
          <w:rFonts w:eastAsia="Calibri"/>
        </w:rPr>
      </w:pPr>
      <w:r>
        <w:rPr>
          <w:rFonts w:eastAsia="Calibri"/>
        </w:rPr>
        <w:t xml:space="preserve">En este sentido anexa una copia simple de la agenda del servidor público correspondiente a la fecha mencionada. </w:t>
      </w:r>
    </w:p>
    <w:p w14:paraId="011B945A" w14:textId="77777777" w:rsidR="004B7D24" w:rsidRPr="004B7D24" w:rsidRDefault="004B7D24" w:rsidP="004B7D24">
      <w:pPr>
        <w:pBdr>
          <w:top w:val="nil"/>
          <w:left w:val="nil"/>
          <w:bottom w:val="nil"/>
          <w:right w:val="nil"/>
          <w:between w:val="nil"/>
        </w:pBdr>
        <w:contextualSpacing/>
      </w:pPr>
    </w:p>
    <w:p w14:paraId="2268BC2E" w14:textId="3584E368" w:rsidR="004B7D24" w:rsidRPr="002B50CE" w:rsidRDefault="004B7D24" w:rsidP="004B7D24">
      <w:pPr>
        <w:pStyle w:val="Prrafodelista"/>
        <w:numPr>
          <w:ilvl w:val="0"/>
          <w:numId w:val="44"/>
        </w:numPr>
        <w:pBdr>
          <w:top w:val="nil"/>
          <w:left w:val="nil"/>
          <w:bottom w:val="nil"/>
          <w:right w:val="nil"/>
          <w:between w:val="nil"/>
        </w:pBdr>
        <w:contextualSpacing/>
        <w:rPr>
          <w:i/>
          <w:iCs/>
        </w:rPr>
      </w:pPr>
      <w:r w:rsidRPr="004B7D24">
        <w:rPr>
          <w:rFonts w:eastAsia="Calibri"/>
          <w:b/>
          <w:bCs/>
          <w:i/>
          <w:iCs/>
        </w:rPr>
        <w:lastRenderedPageBreak/>
        <w:t>OFICIO 390 RESPUESTA A IMPUGNACIÓN 06340-INFOEM-IP-RR-2024 TRANSPARENCIA.pdf</w:t>
      </w:r>
      <w:r>
        <w:rPr>
          <w:rFonts w:eastAsia="Calibri"/>
          <w:b/>
          <w:bCs/>
          <w:i/>
          <w:iCs/>
        </w:rPr>
        <w:t xml:space="preserve">; </w:t>
      </w:r>
      <w:r>
        <w:rPr>
          <w:rFonts w:eastAsia="Calibri"/>
        </w:rPr>
        <w:t xml:space="preserve">Documento que consta de una foja en formato PDF de fecha veintidós de octubre de dos mil veinticuatro por medio del cual el coordinador de vinculación manifiesta que </w:t>
      </w:r>
      <w:r w:rsidRPr="004B7D24">
        <w:rPr>
          <w:rFonts w:eastAsia="Calibri"/>
          <w:lang w:val="es-ES_tradnl"/>
        </w:rPr>
        <w:t>después de una exhaustiva búsqueda documental, en la Unidad Administrativa no se encontró registro de la información solicitada, derivado a que esta área no realizó dicha reunión, ni su cobertura.</w:t>
      </w:r>
    </w:p>
    <w:p w14:paraId="5C3CB187" w14:textId="77777777" w:rsidR="002B50CE" w:rsidRPr="002B50CE" w:rsidRDefault="002B50CE" w:rsidP="002B50CE">
      <w:pPr>
        <w:pStyle w:val="Prrafodelista"/>
        <w:pBdr>
          <w:top w:val="nil"/>
          <w:left w:val="nil"/>
          <w:bottom w:val="nil"/>
          <w:right w:val="nil"/>
          <w:between w:val="nil"/>
        </w:pBdr>
        <w:ind w:left="720"/>
        <w:contextualSpacing/>
        <w:rPr>
          <w:i/>
          <w:iCs/>
        </w:rPr>
      </w:pPr>
    </w:p>
    <w:p w14:paraId="2C8886E2" w14:textId="230F5199" w:rsidR="002B50CE" w:rsidRDefault="002B50CE" w:rsidP="002B50CE">
      <w:pPr>
        <w:pStyle w:val="Prrafodelista"/>
        <w:pBdr>
          <w:top w:val="nil"/>
          <w:left w:val="nil"/>
          <w:bottom w:val="nil"/>
          <w:right w:val="nil"/>
          <w:between w:val="nil"/>
        </w:pBdr>
        <w:ind w:left="720"/>
        <w:contextualSpacing/>
      </w:pPr>
      <w:r>
        <w:rPr>
          <w:rFonts w:eastAsia="Calibri"/>
        </w:rPr>
        <w:t>De lo anterior el Sujeto Obligado anexo una liga electrónica en formato abierto en los términos siguientes;</w:t>
      </w:r>
      <w:r>
        <w:t xml:space="preserve"> </w:t>
      </w:r>
    </w:p>
    <w:p w14:paraId="1E056F32" w14:textId="640F727E" w:rsidR="002B50CE" w:rsidRPr="002B50CE" w:rsidRDefault="007E12C6" w:rsidP="002B50CE">
      <w:pPr>
        <w:pStyle w:val="Prrafodelista"/>
        <w:numPr>
          <w:ilvl w:val="0"/>
          <w:numId w:val="46"/>
        </w:numPr>
        <w:pBdr>
          <w:top w:val="nil"/>
          <w:left w:val="nil"/>
          <w:bottom w:val="nil"/>
          <w:right w:val="nil"/>
          <w:between w:val="nil"/>
        </w:pBdr>
        <w:contextualSpacing/>
        <w:rPr>
          <w:i/>
          <w:iCs/>
          <w:sz w:val="22"/>
          <w:szCs w:val="22"/>
        </w:rPr>
      </w:pPr>
      <w:hyperlink r:id="rId8" w:history="1">
        <w:r w:rsidR="002B50CE" w:rsidRPr="002B50CE">
          <w:rPr>
            <w:rStyle w:val="Hipervnculo"/>
            <w:i/>
            <w:iCs/>
            <w:sz w:val="22"/>
            <w:szCs w:val="22"/>
          </w:rPr>
          <w:t>https://www.facebook.com/SEMOV.Edomex/posts/pfbid023YLLX5Pv4rW6mGfN2KV4Et8o1bpdHni1MQafjVDB4U6TmPamAjPCUU3uxVMFh7Nvl</w:t>
        </w:r>
      </w:hyperlink>
      <w:r w:rsidR="002B50CE" w:rsidRPr="002B50CE">
        <w:rPr>
          <w:i/>
          <w:iCs/>
          <w:sz w:val="22"/>
          <w:szCs w:val="22"/>
        </w:rPr>
        <w:t xml:space="preserve"> </w:t>
      </w:r>
    </w:p>
    <w:p w14:paraId="6C953B85" w14:textId="77777777" w:rsidR="004B7D24" w:rsidRPr="004B7D24" w:rsidRDefault="004B7D24" w:rsidP="004B7D24">
      <w:pPr>
        <w:pStyle w:val="Prrafodelista"/>
        <w:pBdr>
          <w:top w:val="nil"/>
          <w:left w:val="nil"/>
          <w:bottom w:val="nil"/>
          <w:right w:val="nil"/>
          <w:between w:val="nil"/>
        </w:pBdr>
        <w:ind w:left="720"/>
        <w:contextualSpacing/>
        <w:rPr>
          <w:i/>
          <w:iCs/>
        </w:rPr>
      </w:pPr>
    </w:p>
    <w:p w14:paraId="35695B46" w14:textId="394D38CB" w:rsidR="00C006C6" w:rsidRPr="004B7D24" w:rsidRDefault="004B7D24" w:rsidP="004B7D24">
      <w:pPr>
        <w:pStyle w:val="Prrafodelista"/>
        <w:numPr>
          <w:ilvl w:val="0"/>
          <w:numId w:val="44"/>
        </w:numPr>
        <w:pBdr>
          <w:top w:val="nil"/>
          <w:left w:val="nil"/>
          <w:bottom w:val="nil"/>
          <w:right w:val="nil"/>
          <w:between w:val="nil"/>
        </w:pBdr>
        <w:contextualSpacing/>
        <w:rPr>
          <w:i/>
          <w:iCs/>
        </w:rPr>
      </w:pPr>
      <w:r w:rsidRPr="004B7D24">
        <w:rPr>
          <w:rFonts w:eastAsia="Calibri"/>
          <w:b/>
          <w:bCs/>
          <w:i/>
          <w:iCs/>
        </w:rPr>
        <w:t>INFORME JUSTIFICADO 6340.pdf</w:t>
      </w:r>
      <w:r w:rsidR="002B50CE">
        <w:rPr>
          <w:i/>
          <w:iCs/>
        </w:rPr>
        <w:t>;</w:t>
      </w:r>
      <w:r w:rsidR="002B50CE">
        <w:rPr>
          <w:b/>
          <w:bCs/>
        </w:rPr>
        <w:t xml:space="preserve"> </w:t>
      </w:r>
      <w:r w:rsidR="002B50CE">
        <w:t xml:space="preserve">Documento que consta de cuatro fojas en formato PDF de fecha veintinueve de octubre de dos mil veinticuatro por medio del cual el Titular de la Unidad de Transparencia rinde su informe justificado. </w:t>
      </w:r>
    </w:p>
    <w:p w14:paraId="3EE828DA" w14:textId="77777777" w:rsidR="00E41C8A" w:rsidRDefault="00E41C8A" w:rsidP="006922F5">
      <w:pPr>
        <w:pBdr>
          <w:top w:val="nil"/>
          <w:left w:val="nil"/>
          <w:bottom w:val="nil"/>
          <w:right w:val="nil"/>
          <w:between w:val="nil"/>
        </w:pBdr>
        <w:contextualSpacing/>
        <w:rPr>
          <w:szCs w:val="24"/>
        </w:rPr>
      </w:pPr>
    </w:p>
    <w:p w14:paraId="6E270DBE" w14:textId="641744B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032FBE">
        <w:rPr>
          <w:rFonts w:eastAsia="Palatino Linotype" w:cs="Palatino Linotype"/>
          <w:color w:val="000000"/>
          <w:szCs w:val="24"/>
        </w:rPr>
        <w:t xml:space="preserve"> </w:t>
      </w:r>
      <w:r w:rsidRPr="006922F5">
        <w:rPr>
          <w:rFonts w:eastAsia="Palatino Linotype" w:cs="Palatino Linotype"/>
          <w:color w:val="000000"/>
          <w:szCs w:val="24"/>
        </w:rPr>
        <w:t>l</w:t>
      </w:r>
      <w:r w:rsidR="00032FBE">
        <w:rPr>
          <w:rFonts w:eastAsia="Palatino Linotype" w:cs="Palatino Linotype"/>
          <w:color w:val="000000"/>
          <w:szCs w:val="24"/>
        </w:rPr>
        <w:t>a</w:t>
      </w:r>
      <w:r w:rsidRPr="006922F5">
        <w:rPr>
          <w:rFonts w:eastAsia="Palatino Linotype" w:cs="Palatino Linotype"/>
          <w:color w:val="000000"/>
          <w:szCs w:val="24"/>
        </w:rPr>
        <w:t xml:space="preserve"> Recurrente, así como calificar </w:t>
      </w:r>
      <w:r w:rsidR="001849F0">
        <w:rPr>
          <w:rFonts w:eastAsia="Palatino Linotype" w:cs="Palatino Linotype"/>
          <w:color w:val="000000"/>
          <w:szCs w:val="24"/>
        </w:rPr>
        <w:t xml:space="preserve">el acto impugnado del Recurrente. </w:t>
      </w: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lastRenderedPageBreak/>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lastRenderedPageBreak/>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Default="00A970D5" w:rsidP="006922F5">
      <w:pPr>
        <w:pStyle w:val="Fundamentos"/>
      </w:pPr>
      <w:r w:rsidRPr="006922F5">
        <w:t>La ley establecerá aquella información que se considere reservada o confidencial.</w:t>
      </w:r>
    </w:p>
    <w:p w14:paraId="6BB44612" w14:textId="77777777" w:rsidR="001849F0" w:rsidRPr="006922F5" w:rsidRDefault="001849F0" w:rsidP="006922F5">
      <w:pPr>
        <w:pStyle w:val="Fundamentos"/>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AE0531C" w14:textId="77777777" w:rsidR="00252AA5" w:rsidRDefault="00252AA5" w:rsidP="00383249">
      <w:pPr>
        <w:rPr>
          <w:szCs w:val="24"/>
        </w:rPr>
      </w:pPr>
    </w:p>
    <w:p w14:paraId="31A69E4F" w14:textId="63C1EFBC" w:rsidR="00252AA5" w:rsidRPr="002B50CE" w:rsidRDefault="00252AA5" w:rsidP="002B50CE">
      <w:pPr>
        <w:tabs>
          <w:tab w:val="left" w:pos="709"/>
        </w:tabs>
        <w:contextualSpacing/>
        <w:rPr>
          <w:rFonts w:eastAsia="Times New Roman" w:cs="Arial"/>
        </w:rPr>
      </w:pPr>
      <w:r w:rsidRPr="00252AA5">
        <w:rPr>
          <w:rFonts w:eastAsia="Times New Roman" w:cs="Arial"/>
        </w:rPr>
        <w:t xml:space="preserve">En esta misma tesitura, el derecho de acceso a la información pública, consiste en que la información solicitada conste en un soporte documental en cualquiera de sus formas, a saber: </w:t>
      </w:r>
      <w:r w:rsidRPr="00252AA5">
        <w:rPr>
          <w:rFonts w:eastAsia="Times New Roman" w:cs="Arial"/>
          <w:b/>
          <w:u w:val="single"/>
        </w:rPr>
        <w:t xml:space="preserve">expedientes, reportes, estudios, actas, resoluciones, oficios, correspondencia, acuerdos, directivas, directrices, circulares, contratos, convenios, instructivos, notas, </w:t>
      </w:r>
      <w:r w:rsidRPr="00252AA5">
        <w:rPr>
          <w:rFonts w:eastAsia="Times New Roman" w:cs="Arial"/>
          <w:b/>
          <w:u w:val="single"/>
        </w:rPr>
        <w:lastRenderedPageBreak/>
        <w:t>memorandos, estadísticas o bien, cualquier otro registro que documente el ejercicio de las facultades, funciones y competencias</w:t>
      </w:r>
      <w:r w:rsidRPr="00252AA5">
        <w:rPr>
          <w:rFonts w:eastAsia="Times New Roman"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01408C0" w14:textId="77777777" w:rsidR="00252AA5" w:rsidRPr="00252AA5" w:rsidRDefault="00252AA5" w:rsidP="00252AA5">
      <w:pPr>
        <w:ind w:left="567" w:right="616"/>
        <w:rPr>
          <w:rFonts w:eastAsia="Times New Roman" w:cs="Arial"/>
          <w:i/>
          <w:sz w:val="22"/>
        </w:rPr>
      </w:pPr>
      <w:r w:rsidRPr="00252AA5">
        <w:rPr>
          <w:rFonts w:eastAsia="Times New Roman" w:cs="Arial"/>
          <w:i/>
          <w:sz w:val="22"/>
        </w:rPr>
        <w:t>“</w:t>
      </w:r>
      <w:r w:rsidRPr="00252AA5">
        <w:rPr>
          <w:rFonts w:eastAsia="Times New Roman" w:cs="Arial"/>
          <w:b/>
          <w:i/>
          <w:sz w:val="22"/>
        </w:rPr>
        <w:t xml:space="preserve">Artículo 3. </w:t>
      </w:r>
      <w:r w:rsidRPr="00252AA5">
        <w:rPr>
          <w:rFonts w:eastAsia="Times New Roman" w:cs="Arial"/>
          <w:i/>
          <w:sz w:val="22"/>
        </w:rPr>
        <w:t>Para los efectos de la presente Ley se entenderá por:</w:t>
      </w:r>
    </w:p>
    <w:p w14:paraId="7BA09599" w14:textId="77777777" w:rsidR="00252AA5" w:rsidRPr="00252AA5" w:rsidRDefault="00252AA5" w:rsidP="00252AA5">
      <w:pPr>
        <w:tabs>
          <w:tab w:val="left" w:pos="3555"/>
        </w:tabs>
        <w:ind w:left="567" w:right="616"/>
        <w:rPr>
          <w:rFonts w:eastAsia="Times New Roman" w:cs="Arial"/>
          <w:i/>
          <w:sz w:val="22"/>
        </w:rPr>
      </w:pPr>
      <w:r w:rsidRPr="00252AA5">
        <w:rPr>
          <w:rFonts w:eastAsia="Times New Roman" w:cs="Arial"/>
          <w:i/>
          <w:sz w:val="22"/>
        </w:rPr>
        <w:t>(…)</w:t>
      </w:r>
      <w:r w:rsidRPr="00252AA5">
        <w:rPr>
          <w:rFonts w:eastAsia="Times New Roman" w:cs="Arial"/>
          <w:i/>
          <w:sz w:val="22"/>
        </w:rPr>
        <w:tab/>
      </w:r>
    </w:p>
    <w:p w14:paraId="5A980558" w14:textId="77777777" w:rsidR="00252AA5" w:rsidRPr="00252AA5" w:rsidRDefault="00252AA5" w:rsidP="00252AA5">
      <w:pPr>
        <w:ind w:left="567" w:right="616"/>
        <w:rPr>
          <w:rFonts w:eastAsia="Times New Roman" w:cs="Arial"/>
          <w:i/>
          <w:sz w:val="22"/>
        </w:rPr>
      </w:pPr>
      <w:r w:rsidRPr="00252AA5">
        <w:rPr>
          <w:rFonts w:eastAsia="Times New Roman" w:cs="Arial"/>
          <w:b/>
          <w:i/>
          <w:sz w:val="22"/>
        </w:rPr>
        <w:t>XI. Documento:</w:t>
      </w:r>
      <w:r w:rsidRPr="00252AA5">
        <w:rPr>
          <w:rFonts w:eastAsia="Times New Roman" w:cs="Arial"/>
          <w:i/>
          <w:sz w:val="22"/>
        </w:rPr>
        <w:t xml:space="preserve"> Los expedientes, reportes, estudios, actas, resoluciones, oficios, correspondencia, acuerdos, directivas, directrices, circulares, contratos, convenios, instructivos, notas, memorandos, estadísticas o bien, cualquier otro </w:t>
      </w:r>
      <w:r w:rsidRPr="00252AA5">
        <w:rPr>
          <w:rFonts w:eastAsia="Times New Roman" w:cs="Arial"/>
          <w:b/>
          <w:i/>
          <w:sz w:val="22"/>
          <w:u w:val="single"/>
        </w:rPr>
        <w:t>registro que documente el ejercicio de las facultades, funciones y competencias de los sujetos obligados</w:t>
      </w:r>
      <w:r w:rsidRPr="00252AA5">
        <w:rPr>
          <w:rFonts w:eastAsia="Times New Roman" w:cs="Arial"/>
          <w:i/>
          <w:sz w:val="22"/>
          <w:u w:val="single"/>
        </w:rPr>
        <w:t>,</w:t>
      </w:r>
      <w:r w:rsidRPr="00252AA5">
        <w:rPr>
          <w:rFonts w:eastAsia="Times New Roman" w:cs="Arial"/>
          <w:i/>
          <w:sz w:val="22"/>
        </w:rPr>
        <w:t xml:space="preserve"> sus servidores públicos e integrantes, </w:t>
      </w:r>
      <w:r w:rsidRPr="00252AA5">
        <w:rPr>
          <w:rFonts w:eastAsia="Times New Roman" w:cs="Arial"/>
          <w:b/>
          <w:i/>
          <w:sz w:val="22"/>
          <w:u w:val="single"/>
        </w:rPr>
        <w:t>sin importar su fuente o fecha de elaboración.</w:t>
      </w:r>
      <w:r w:rsidRPr="00252AA5">
        <w:rPr>
          <w:rFonts w:eastAsia="Times New Roman" w:cs="Arial"/>
          <w:i/>
          <w:sz w:val="22"/>
        </w:rPr>
        <w:t xml:space="preserve"> Los documentos podrán estar en cualquier medio, sea escrito, impreso, sonoro, visual, electrónico, informático u holográfico;</w:t>
      </w:r>
    </w:p>
    <w:p w14:paraId="1511D710" w14:textId="77777777" w:rsidR="00252AA5" w:rsidRPr="00252AA5" w:rsidRDefault="00252AA5" w:rsidP="00252AA5">
      <w:pPr>
        <w:ind w:left="567" w:right="616"/>
        <w:rPr>
          <w:rFonts w:eastAsia="Times New Roman" w:cs="Arial"/>
          <w:i/>
          <w:sz w:val="22"/>
        </w:rPr>
      </w:pPr>
      <w:r w:rsidRPr="00252AA5">
        <w:rPr>
          <w:rFonts w:eastAsia="Times New Roman" w:cs="Arial"/>
          <w:i/>
          <w:sz w:val="22"/>
        </w:rPr>
        <w:t>(…)”</w:t>
      </w:r>
    </w:p>
    <w:p w14:paraId="5AE107B3" w14:textId="77777777" w:rsidR="00252AA5" w:rsidRDefault="00252AA5" w:rsidP="00383249"/>
    <w:p w14:paraId="5A619CA9" w14:textId="257DEBBC" w:rsidR="00252AA5" w:rsidRPr="002B3056" w:rsidRDefault="00252AA5" w:rsidP="002B3056">
      <w:pPr>
        <w:spacing w:before="240" w:after="240"/>
        <w:ind w:right="49"/>
        <w:contextualSpacing/>
        <w:rPr>
          <w:rFonts w:eastAsia="MS Mincho" w:cs="Tahoma"/>
        </w:rPr>
      </w:pPr>
      <w:r w:rsidRPr="00252AA5">
        <w:rPr>
          <w:rFonts w:eastAsia="Times New Roman" w:cs="Arial"/>
        </w:rPr>
        <w:t xml:space="preserve">De la misma forma, </w:t>
      </w:r>
      <w:r w:rsidRPr="00252AA5">
        <w:rPr>
          <w:rFonts w:eastAsia="MS Mincho"/>
        </w:rPr>
        <w:t>de acuerdo al contenido del artículo 160,</w:t>
      </w:r>
      <w:r w:rsidRPr="00252AA5">
        <w:rPr>
          <w:rFonts w:eastAsia="Times New Roman" w:cs="Arial"/>
        </w:rPr>
        <w:t xml:space="preserve"> de la Ley </w:t>
      </w:r>
      <w:r w:rsidRPr="00252AA5">
        <w:rPr>
          <w:rFonts w:eastAsia="MS Mincho" w:cs="Tahoma"/>
        </w:rPr>
        <w:t>General de Transparencia y Acceso a la Información Pública que a la letra dispone:</w:t>
      </w:r>
    </w:p>
    <w:p w14:paraId="6DC3EE10" w14:textId="77777777" w:rsidR="00252AA5" w:rsidRPr="00252AA5" w:rsidRDefault="00252AA5" w:rsidP="00252AA5">
      <w:pPr>
        <w:ind w:left="567" w:right="616"/>
        <w:contextualSpacing/>
        <w:rPr>
          <w:rFonts w:eastAsia="Times New Roman" w:cs="Arial"/>
          <w:i/>
          <w:sz w:val="22"/>
          <w:lang w:eastAsia="gl-ES"/>
        </w:rPr>
      </w:pPr>
      <w:r w:rsidRPr="00252AA5">
        <w:rPr>
          <w:rFonts w:eastAsia="Times New Roman" w:cs="Arial"/>
          <w:b/>
          <w:i/>
          <w:sz w:val="22"/>
          <w:lang w:eastAsia="gl-ES"/>
        </w:rPr>
        <w:t>Artículo 160</w:t>
      </w:r>
      <w:r w:rsidRPr="00252AA5">
        <w:rPr>
          <w:rFonts w:eastAsia="Times New Roman"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090C085" w14:textId="77777777" w:rsidR="00252AA5" w:rsidRPr="00252AA5" w:rsidRDefault="00252AA5" w:rsidP="00252AA5">
      <w:pPr>
        <w:spacing w:line="240" w:lineRule="auto"/>
        <w:jc w:val="left"/>
        <w:rPr>
          <w:rFonts w:ascii="Times New Roman" w:eastAsia="Times New Roman" w:hAnsi="Times New Roman" w:cs="Times New Roman"/>
          <w:szCs w:val="24"/>
          <w:lang w:val="es-MX" w:eastAsia="es-ES"/>
        </w:rPr>
      </w:pPr>
    </w:p>
    <w:p w14:paraId="02312951" w14:textId="77777777" w:rsidR="00252AA5" w:rsidRDefault="00252AA5" w:rsidP="00252AA5"/>
    <w:p w14:paraId="0A640C90" w14:textId="641E5B73" w:rsidR="002B3056" w:rsidRDefault="002B3056" w:rsidP="002B3056">
      <w:pPr>
        <w:contextualSpacing/>
        <w:rPr>
          <w:rFonts w:eastAsiaTheme="minorEastAsia" w:cs="Times New Roman"/>
          <w:szCs w:val="24"/>
          <w:lang w:val="es-MX" w:eastAsia="es-ES"/>
        </w:rPr>
      </w:pPr>
      <w:r w:rsidRPr="00864F3B">
        <w:rPr>
          <w:rFonts w:eastAsiaTheme="minorEastAsia" w:cs="Times New Roman"/>
          <w:szCs w:val="24"/>
          <w:lang w:val="es-MX" w:eastAsia="es-ES"/>
        </w:rPr>
        <w:lastRenderedPageBreak/>
        <w:t>Ahora bie</w:t>
      </w:r>
      <w:r>
        <w:rPr>
          <w:rFonts w:eastAsiaTheme="minorEastAsia" w:cs="Times New Roman"/>
          <w:szCs w:val="24"/>
          <w:lang w:val="es-MX" w:eastAsia="es-ES"/>
        </w:rPr>
        <w:t xml:space="preserve">n, es importante mencionar que este Instituto bajo los principios de eficacia y transparencia consagrados en el artículo 9 de la Ley de Transparencia Local </w:t>
      </w:r>
      <w:r w:rsidR="00916D7B">
        <w:rPr>
          <w:rFonts w:eastAsiaTheme="minorEastAsia" w:cs="Times New Roman"/>
          <w:szCs w:val="24"/>
          <w:lang w:val="es-MX" w:eastAsia="es-ES"/>
        </w:rPr>
        <w:t xml:space="preserve">considero pertinente advertir las siguientes notas periodísticas de fechas 3 de septiembre de dos mil veinticuatro; </w:t>
      </w:r>
    </w:p>
    <w:p w14:paraId="7A88D288" w14:textId="097E71FE" w:rsidR="00916D7B" w:rsidRPr="00916D7B" w:rsidRDefault="007E12C6" w:rsidP="00916D7B">
      <w:pPr>
        <w:pStyle w:val="Prrafodelista"/>
        <w:numPr>
          <w:ilvl w:val="0"/>
          <w:numId w:val="42"/>
        </w:numPr>
        <w:contextualSpacing/>
        <w:rPr>
          <w:rFonts w:eastAsiaTheme="minorEastAsia"/>
          <w:lang w:val="es-MX"/>
        </w:rPr>
      </w:pPr>
      <w:hyperlink r:id="rId9" w:history="1">
        <w:r w:rsidR="00916D7B" w:rsidRPr="00916D7B">
          <w:rPr>
            <w:rStyle w:val="Hipervnculo"/>
            <w:rFonts w:eastAsiaTheme="minorEastAsia"/>
            <w:lang w:val="es-MX"/>
          </w:rPr>
          <w:t>https://www.la-prensa.com.mx/metropoli/exigen-transportistas-de-edomex-la-destitucion-de-titular-de-movilidad-12499956.html</w:t>
        </w:r>
      </w:hyperlink>
      <w:r w:rsidR="00916D7B" w:rsidRPr="00916D7B">
        <w:rPr>
          <w:rFonts w:eastAsiaTheme="minorEastAsia"/>
          <w:lang w:val="es-MX"/>
        </w:rPr>
        <w:t xml:space="preserve"> </w:t>
      </w:r>
    </w:p>
    <w:p w14:paraId="109D4351" w14:textId="77777777" w:rsidR="00916D7B" w:rsidRDefault="00916D7B" w:rsidP="002B3056">
      <w:pPr>
        <w:contextualSpacing/>
        <w:rPr>
          <w:rFonts w:eastAsiaTheme="minorEastAsia" w:cs="Times New Roman"/>
          <w:szCs w:val="24"/>
          <w:lang w:val="es-MX" w:eastAsia="es-ES"/>
        </w:rPr>
      </w:pPr>
    </w:p>
    <w:p w14:paraId="479A2B6F" w14:textId="7C18D017" w:rsidR="00916D7B" w:rsidRDefault="007E12C6" w:rsidP="00916D7B">
      <w:pPr>
        <w:pStyle w:val="Prrafodelista"/>
        <w:numPr>
          <w:ilvl w:val="0"/>
          <w:numId w:val="42"/>
        </w:numPr>
        <w:contextualSpacing/>
        <w:rPr>
          <w:rFonts w:eastAsiaTheme="minorEastAsia"/>
          <w:lang w:val="es-MX"/>
        </w:rPr>
      </w:pPr>
      <w:hyperlink r:id="rId10" w:history="1">
        <w:r w:rsidR="00916D7B" w:rsidRPr="00502E89">
          <w:rPr>
            <w:rStyle w:val="Hipervnculo"/>
            <w:rFonts w:eastAsiaTheme="minorEastAsia"/>
            <w:lang w:val="es-MX"/>
          </w:rPr>
          <w:t>https://www.elsoldetoluca.com.mx/local/el-95-del-transporte-publico-del-edomex-esta-en-el-abandono-movimiento-transportista-12499783.html</w:t>
        </w:r>
      </w:hyperlink>
      <w:r w:rsidR="00916D7B" w:rsidRPr="00916D7B">
        <w:rPr>
          <w:rFonts w:eastAsiaTheme="minorEastAsia"/>
          <w:lang w:val="es-MX"/>
        </w:rPr>
        <w:t xml:space="preserve"> </w:t>
      </w:r>
    </w:p>
    <w:p w14:paraId="36D9FC8B" w14:textId="77777777" w:rsidR="002B50CE" w:rsidRDefault="002B50CE" w:rsidP="004A0BEB">
      <w:pPr>
        <w:contextualSpacing/>
        <w:rPr>
          <w:rFonts w:eastAsiaTheme="minorEastAsia"/>
          <w:lang w:val="es-MX"/>
        </w:rPr>
      </w:pPr>
    </w:p>
    <w:p w14:paraId="7BA73971" w14:textId="1A52FEB3" w:rsidR="00531324" w:rsidRDefault="002B50CE" w:rsidP="004A0BEB">
      <w:pPr>
        <w:contextualSpacing/>
        <w:rPr>
          <w:rFonts w:eastAsiaTheme="minorEastAsia"/>
          <w:lang w:val="es-MX"/>
        </w:rPr>
      </w:pPr>
      <w:r>
        <w:rPr>
          <w:rFonts w:eastAsiaTheme="minorEastAsia"/>
          <w:lang w:val="es-MX"/>
        </w:rPr>
        <w:t xml:space="preserve">De lo anterior este Organismo también visito la liga electrónica proporcionada por el Sujeto Obligado en los términos siguientes; </w:t>
      </w:r>
    </w:p>
    <w:p w14:paraId="3C22282C" w14:textId="77777777" w:rsidR="002B50CE" w:rsidRPr="002B50CE" w:rsidRDefault="007E12C6" w:rsidP="002B50CE">
      <w:pPr>
        <w:pStyle w:val="Prrafodelista"/>
        <w:numPr>
          <w:ilvl w:val="0"/>
          <w:numId w:val="46"/>
        </w:numPr>
        <w:pBdr>
          <w:top w:val="nil"/>
          <w:left w:val="nil"/>
          <w:bottom w:val="nil"/>
          <w:right w:val="nil"/>
          <w:between w:val="nil"/>
        </w:pBdr>
        <w:contextualSpacing/>
        <w:rPr>
          <w:i/>
          <w:iCs/>
          <w:sz w:val="22"/>
          <w:szCs w:val="22"/>
        </w:rPr>
      </w:pPr>
      <w:hyperlink r:id="rId11" w:history="1">
        <w:r w:rsidR="002B50CE" w:rsidRPr="002B50CE">
          <w:rPr>
            <w:rStyle w:val="Hipervnculo"/>
            <w:i/>
            <w:iCs/>
            <w:sz w:val="22"/>
            <w:szCs w:val="22"/>
          </w:rPr>
          <w:t>https://www.facebook.com/SEMOV.Edomex/posts/pfbid023YLLX5Pv4rW6mGfN2KV4Et8o1bpdHni1MQafjVDB4U6TmPamAjPCUU3uxVMFh7Nvl</w:t>
        </w:r>
      </w:hyperlink>
      <w:r w:rsidR="002B50CE" w:rsidRPr="002B50CE">
        <w:rPr>
          <w:i/>
          <w:iCs/>
          <w:sz w:val="22"/>
          <w:szCs w:val="22"/>
        </w:rPr>
        <w:t xml:space="preserve"> </w:t>
      </w:r>
    </w:p>
    <w:p w14:paraId="773ACAFE" w14:textId="77777777" w:rsidR="002B50CE" w:rsidRPr="00531324" w:rsidRDefault="002B50CE" w:rsidP="004A0BEB">
      <w:pPr>
        <w:contextualSpacing/>
        <w:rPr>
          <w:rFonts w:eastAsiaTheme="minorEastAsia"/>
          <w:lang w:val="es-MX"/>
        </w:rPr>
      </w:pPr>
    </w:p>
    <w:p w14:paraId="38C4B18C" w14:textId="17DD50AB" w:rsidR="002B3056" w:rsidRDefault="00916D7B" w:rsidP="002B3056">
      <w:pPr>
        <w:contextualSpacing/>
        <w:rPr>
          <w:rFonts w:eastAsiaTheme="minorEastAsia" w:cs="Times New Roman"/>
          <w:szCs w:val="24"/>
          <w:lang w:val="es-MX" w:eastAsia="es-ES"/>
        </w:rPr>
      </w:pPr>
      <w:r>
        <w:rPr>
          <w:rFonts w:eastAsiaTheme="minorEastAsia" w:cs="Times New Roman"/>
          <w:szCs w:val="24"/>
          <w:lang w:val="es-MX" w:eastAsia="es-ES"/>
        </w:rPr>
        <w:t>De lo anterior, l</w:t>
      </w:r>
      <w:r w:rsidR="002B3056" w:rsidRPr="00864F3B">
        <w:rPr>
          <w:rFonts w:eastAsiaTheme="minorEastAsia" w:cs="Times New Roman"/>
          <w:szCs w:val="24"/>
          <w:lang w:val="es-MX" w:eastAsia="es-ES"/>
        </w:rPr>
        <w:t>a información precisada con anterioridad es referente a</w:t>
      </w:r>
      <w:r w:rsidR="002B3056">
        <w:rPr>
          <w:rFonts w:eastAsiaTheme="minorEastAsia" w:cs="Times New Roman"/>
          <w:szCs w:val="24"/>
          <w:lang w:val="es-MX" w:eastAsia="es-ES"/>
        </w:rPr>
        <w:t xml:space="preserve"> un reportaje </w:t>
      </w:r>
      <w:r>
        <w:rPr>
          <w:rFonts w:eastAsiaTheme="minorEastAsia" w:cs="Times New Roman"/>
          <w:szCs w:val="24"/>
          <w:lang w:val="es-MX" w:eastAsia="es-ES"/>
        </w:rPr>
        <w:t>periodístico</w:t>
      </w:r>
      <w:r w:rsidR="002B3056" w:rsidRPr="00864F3B">
        <w:rPr>
          <w:rFonts w:eastAsiaTheme="minorEastAsia" w:cs="Times New Roman"/>
          <w:szCs w:val="24"/>
          <w:lang w:val="es-MX" w:eastAsia="es-ES"/>
        </w:rPr>
        <w:t>, por lo que es de precisarse que, en el caso concreto, las notas periodísticas y los argumentos vertidos en párrafos que preceden, si bien es cierto, carecen de valor probatorio, también lo es que arrojan indicios sobre los hechos a los que se refieren.</w:t>
      </w:r>
    </w:p>
    <w:p w14:paraId="6CDC07EC" w14:textId="77777777" w:rsidR="002B3056" w:rsidRPr="005A23A8" w:rsidRDefault="002B3056" w:rsidP="002B3056">
      <w:pPr>
        <w:contextualSpacing/>
        <w:rPr>
          <w:rFonts w:eastAsiaTheme="minorEastAsia" w:cs="Times New Roman"/>
          <w:szCs w:val="24"/>
          <w:lang w:val="es-MX" w:eastAsia="es-ES"/>
        </w:rPr>
      </w:pPr>
    </w:p>
    <w:p w14:paraId="487ADF2E" w14:textId="18D15F50" w:rsidR="002B3056" w:rsidRPr="00C46672" w:rsidRDefault="002B3056" w:rsidP="002B3056">
      <w:pPr>
        <w:contextualSpacing/>
      </w:pPr>
      <w:r w:rsidRPr="00C46672">
        <w:lastRenderedPageBreak/>
        <w:t>Sirve de apoyo a lo anteriormente señalado, la Jurisprudencia emitida por la Sala Superior de la Suprema Corte de Justicia de la Nación, Tercera Época</w:t>
      </w:r>
      <w:r w:rsidRPr="00C46672">
        <w:rPr>
          <w:vertAlign w:val="superscript"/>
        </w:rPr>
        <w:footnoteReference w:id="3"/>
      </w:r>
      <w:r w:rsidRPr="00C46672">
        <w:t>, que se muestra a continuación:</w:t>
      </w:r>
    </w:p>
    <w:p w14:paraId="2CD0B616" w14:textId="77777777" w:rsidR="002B3056" w:rsidRPr="00C46672" w:rsidRDefault="002B3056" w:rsidP="002B3056">
      <w:pPr>
        <w:pStyle w:val="Citas"/>
        <w:spacing w:before="0" w:after="0" w:line="240" w:lineRule="auto"/>
        <w:rPr>
          <w:b/>
        </w:rPr>
      </w:pPr>
      <w:r w:rsidRPr="002B3056">
        <w:rPr>
          <w:b/>
        </w:rPr>
        <w:t>“NOTAS PERIODÍSTICAS. ELEMENTOS PARA DETERMINAR SU FUERZA INDICIARIA.</w:t>
      </w:r>
      <w:r w:rsidRPr="00C46672">
        <w:rPr>
          <w:b/>
        </w:rPr>
        <w:t xml:space="preserve"> </w:t>
      </w:r>
    </w:p>
    <w:p w14:paraId="5DE643AE" w14:textId="77777777" w:rsidR="002B3056" w:rsidRPr="00C46672" w:rsidRDefault="002B3056" w:rsidP="002B3056">
      <w:pPr>
        <w:pStyle w:val="Citas"/>
        <w:spacing w:before="0" w:after="0" w:line="240" w:lineRule="auto"/>
        <w:ind w:right="899"/>
        <w:rPr>
          <w:rFonts w:eastAsia="Times New Roman"/>
          <w:b/>
          <w:bCs/>
          <w:sz w:val="24"/>
          <w:szCs w:val="24"/>
          <w:lang w:eastAsia="es-MX"/>
        </w:rPr>
      </w:pPr>
      <w:r w:rsidRPr="00C46672">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C46672">
        <w:t>convictivo</w:t>
      </w:r>
      <w:proofErr w:type="spellEnd"/>
      <w:r w:rsidRPr="00C46672">
        <w:t xml:space="preserve">,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C46672">
        <w:rPr>
          <w:b/>
          <w:bCs/>
        </w:rPr>
        <w:t>(Sic)</w:t>
      </w:r>
    </w:p>
    <w:p w14:paraId="10FBB0C6" w14:textId="77777777" w:rsidR="00916D7B" w:rsidRDefault="00916D7B" w:rsidP="002B3056">
      <w:pPr>
        <w:rPr>
          <w:rFonts w:cs="Arial"/>
        </w:rPr>
      </w:pPr>
    </w:p>
    <w:p w14:paraId="1B302539" w14:textId="66E6EE21" w:rsidR="00916D7B" w:rsidRDefault="00916D7B" w:rsidP="0079231F">
      <w:pPr>
        <w:rPr>
          <w:rFonts w:eastAsia="Palatino Linotype" w:cs="Palatino Linotype"/>
          <w:szCs w:val="24"/>
        </w:rPr>
      </w:pPr>
      <w:r w:rsidRPr="00916D7B">
        <w:rPr>
          <w:rFonts w:eastAsia="Palatino Linotype" w:cs="Palatino Linotype"/>
          <w:szCs w:val="24"/>
        </w:rPr>
        <w:t xml:space="preserve">Con base a lo anterior, </w:t>
      </w:r>
      <w:r>
        <w:rPr>
          <w:rFonts w:eastAsia="Palatino Linotype" w:cs="Palatino Linotype"/>
          <w:szCs w:val="24"/>
        </w:rPr>
        <w:t xml:space="preserve">se advierte que en fecha tres de septiembre de dos mil veinticuatro se concretó una reunión por parte del Movimiento de Transportistas Mexiquenses </w:t>
      </w:r>
      <w:r w:rsidR="0079231F">
        <w:rPr>
          <w:rFonts w:eastAsia="Palatino Linotype" w:cs="Palatino Linotype"/>
          <w:szCs w:val="24"/>
        </w:rPr>
        <w:t>con la finalidad de inconformarse de las deficiencias en movilidad sin que se advierta que el Secretar</w:t>
      </w:r>
      <w:r w:rsidR="00D94014">
        <w:rPr>
          <w:rFonts w:eastAsia="Palatino Linotype" w:cs="Palatino Linotype"/>
          <w:szCs w:val="24"/>
        </w:rPr>
        <w:t>i</w:t>
      </w:r>
      <w:r w:rsidR="0079231F">
        <w:rPr>
          <w:rFonts w:eastAsia="Palatino Linotype" w:cs="Palatino Linotype"/>
          <w:szCs w:val="24"/>
        </w:rPr>
        <w:t>o de Movilidad Daniel</w:t>
      </w:r>
      <w:r w:rsidR="004A0BEB">
        <w:rPr>
          <w:rFonts w:eastAsia="Palatino Linotype" w:cs="Palatino Linotype"/>
          <w:szCs w:val="24"/>
        </w:rPr>
        <w:t xml:space="preserve"> Andrés</w:t>
      </w:r>
      <w:r w:rsidR="0079231F">
        <w:rPr>
          <w:rFonts w:eastAsia="Palatino Linotype" w:cs="Palatino Linotype"/>
          <w:szCs w:val="24"/>
        </w:rPr>
        <w:t xml:space="preserve"> Sibaja </w:t>
      </w:r>
      <w:r w:rsidR="004A0BEB">
        <w:rPr>
          <w:rFonts w:eastAsia="Palatino Linotype" w:cs="Palatino Linotype"/>
          <w:szCs w:val="24"/>
        </w:rPr>
        <w:t xml:space="preserve">González </w:t>
      </w:r>
      <w:r w:rsidR="0079231F">
        <w:rPr>
          <w:rFonts w:eastAsia="Palatino Linotype" w:cs="Palatino Linotype"/>
          <w:szCs w:val="24"/>
        </w:rPr>
        <w:t>haya acudido a dicha reunión</w:t>
      </w:r>
      <w:r w:rsidRPr="00916D7B">
        <w:rPr>
          <w:rFonts w:eastAsia="Palatino Linotype" w:cs="Palatino Linotype"/>
          <w:szCs w:val="24"/>
        </w:rPr>
        <w:t xml:space="preserve">, sirve de sustento a lo anterior </w:t>
      </w:r>
      <w:r w:rsidRPr="00916D7B">
        <w:rPr>
          <w:rFonts w:eastAsia="Palatino Linotype" w:cs="Palatino Linotype"/>
          <w:color w:val="000000"/>
          <w:szCs w:val="24"/>
        </w:rPr>
        <w:t>las siguientes tesis jurisprudenciales</w:t>
      </w:r>
      <w:r w:rsidRPr="00916D7B">
        <w:rPr>
          <w:rFonts w:eastAsia="Palatino Linotype" w:cs="Palatino Linotype"/>
          <w:szCs w:val="24"/>
        </w:rPr>
        <w:t>:</w:t>
      </w:r>
    </w:p>
    <w:p w14:paraId="7F5CA4AC" w14:textId="77777777" w:rsidR="00D94014" w:rsidRPr="0079231F" w:rsidRDefault="00D94014" w:rsidP="0079231F">
      <w:pPr>
        <w:rPr>
          <w:rFonts w:eastAsia="Palatino Linotype" w:cs="Palatino Linotype"/>
          <w:szCs w:val="24"/>
        </w:rPr>
      </w:pPr>
    </w:p>
    <w:p w14:paraId="2110CCDB" w14:textId="77777777" w:rsidR="00916D7B" w:rsidRPr="00916D7B" w:rsidRDefault="00916D7B" w:rsidP="00916D7B">
      <w:pPr>
        <w:ind w:left="851" w:right="616"/>
        <w:jc w:val="center"/>
        <w:rPr>
          <w:rFonts w:eastAsia="Palatino Linotype" w:cs="Palatino Linotype"/>
          <w:b/>
          <w:i/>
          <w:sz w:val="22"/>
        </w:rPr>
      </w:pPr>
      <w:r w:rsidRPr="00916D7B">
        <w:rPr>
          <w:rFonts w:eastAsia="Palatino Linotype" w:cs="Palatino Linotype"/>
          <w:b/>
          <w:i/>
          <w:sz w:val="22"/>
        </w:rPr>
        <w:lastRenderedPageBreak/>
        <w:t>HECHOS NOTORIOS. CONCEPTOS GENERAL Y JURÍDICO</w:t>
      </w:r>
    </w:p>
    <w:p w14:paraId="1C8FBC89" w14:textId="77777777" w:rsidR="00916D7B" w:rsidRPr="00916D7B" w:rsidRDefault="00916D7B" w:rsidP="00916D7B">
      <w:pPr>
        <w:ind w:left="851" w:right="616"/>
        <w:rPr>
          <w:rFonts w:eastAsia="Palatino Linotype" w:cs="Palatino Linotype"/>
          <w:i/>
          <w:sz w:val="22"/>
        </w:rPr>
      </w:pPr>
      <w:r w:rsidRPr="00916D7B">
        <w:rPr>
          <w:rFonts w:eastAsia="Palatino Linotype" w:cs="Palatino Linotype"/>
          <w:b/>
          <w:i/>
          <w:sz w:val="22"/>
        </w:rPr>
        <w:t xml:space="preserve">Conforme al artículo </w:t>
      </w:r>
      <w:hyperlink r:id="rId12">
        <w:r w:rsidRPr="00916D7B">
          <w:rPr>
            <w:rFonts w:eastAsia="Palatino Linotype" w:cs="Palatino Linotype"/>
            <w:b/>
            <w:i/>
            <w:sz w:val="22"/>
          </w:rPr>
          <w:t>88 del Código Federal de Procedimientos Civiles</w:t>
        </w:r>
      </w:hyperlink>
      <w:r w:rsidRPr="00916D7B">
        <w:rPr>
          <w:rFonts w:eastAsia="Palatino Linotype" w:cs="Palatino Linotype"/>
          <w:b/>
          <w:i/>
          <w:sz w:val="22"/>
        </w:rPr>
        <w:t xml:space="preserve"> los tribunales pueden invocar hechos notorios aunque no hayan sido alegados ni probados por las partes.</w:t>
      </w:r>
      <w:r w:rsidRPr="00916D7B">
        <w:rPr>
          <w:rFonts w:eastAsia="Palatino Linotype" w:cs="Palatino Linotype"/>
          <w:i/>
          <w:sz w:val="22"/>
        </w:rPr>
        <w:t xml:space="preserve"> Por hechos notorios deben entenderse, en general, aquellos que por el conocimiento humano se consideran ciertos e indiscutibles, ya sea que pertenezcan a la historia, a la ciencia, a la naturaleza</w:t>
      </w:r>
      <w:r w:rsidRPr="00916D7B">
        <w:rPr>
          <w:rFonts w:eastAsia="Palatino Linotype" w:cs="Palatino Linotype"/>
          <w:b/>
          <w:i/>
          <w:sz w:val="22"/>
        </w:rPr>
        <w:t>, a las vicisitudes de la vida pública actual o a circunstancias comúnmente conocidas en un determinado lugar</w:t>
      </w:r>
      <w:r w:rsidRPr="00916D7B">
        <w:rPr>
          <w:rFonts w:eastAsia="Palatino Linotype" w:cs="Palatino Linotype"/>
          <w:i/>
          <w:sz w:val="22"/>
        </w:rPr>
        <w:t xml:space="preserve">, </w:t>
      </w:r>
      <w:r w:rsidRPr="00916D7B">
        <w:rPr>
          <w:rFonts w:eastAsia="Palatino Linotype" w:cs="Palatino Linotype"/>
          <w:b/>
          <w:i/>
          <w:sz w:val="22"/>
        </w:rPr>
        <w:t>de modo que toda persona de ese medio esté en condiciones de saberlo</w:t>
      </w:r>
      <w:r w:rsidRPr="00916D7B">
        <w:rPr>
          <w:rFonts w:eastAsia="Palatino Linotype" w:cs="Palatino Linotype"/>
          <w:i/>
          <w:sz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5140987A" w14:textId="77777777" w:rsidR="00916D7B" w:rsidRPr="00916D7B" w:rsidRDefault="00916D7B" w:rsidP="00916D7B">
      <w:pPr>
        <w:ind w:left="851" w:right="616"/>
        <w:rPr>
          <w:rFonts w:eastAsia="Palatino Linotype" w:cs="Palatino Linotype"/>
          <w:i/>
          <w:sz w:val="22"/>
        </w:rPr>
      </w:pPr>
    </w:p>
    <w:p w14:paraId="36266FD1" w14:textId="77777777" w:rsidR="00916D7B" w:rsidRPr="00916D7B" w:rsidRDefault="00916D7B" w:rsidP="00916D7B">
      <w:pPr>
        <w:ind w:left="851" w:right="616"/>
        <w:rPr>
          <w:rFonts w:eastAsia="Palatino Linotype" w:cs="Palatino Linotype"/>
          <w:i/>
          <w:sz w:val="20"/>
          <w:szCs w:val="20"/>
        </w:rPr>
      </w:pPr>
      <w:r w:rsidRPr="00916D7B">
        <w:rPr>
          <w:rFonts w:eastAsia="Palatino Linotype" w:cs="Palatino Linotype"/>
          <w:i/>
          <w:sz w:val="20"/>
          <w:szCs w:val="20"/>
        </w:rPr>
        <w:t>Controversia constitucional 24/2005. Cámara de Diputados del Congreso de la Unión. 9 de marzo de 2006. Once votos. Ponente: José Ramón Cossío Díaz. Secretarios: Raúl Manuel Mejía Garza y Laura Patricia Rojas Zamudio.</w:t>
      </w:r>
    </w:p>
    <w:p w14:paraId="7B9C6330" w14:textId="77777777" w:rsidR="00916D7B" w:rsidRPr="00916D7B" w:rsidRDefault="00916D7B" w:rsidP="00916D7B">
      <w:pPr>
        <w:ind w:left="851" w:right="616"/>
        <w:rPr>
          <w:rFonts w:eastAsia="Palatino Linotype" w:cs="Palatino Linotype"/>
          <w:i/>
          <w:sz w:val="20"/>
          <w:szCs w:val="20"/>
        </w:rPr>
      </w:pPr>
      <w:r w:rsidRPr="00916D7B">
        <w:rPr>
          <w:rFonts w:eastAsia="Palatino Linotype" w:cs="Palatino Linotype"/>
          <w:i/>
          <w:sz w:val="20"/>
          <w:szCs w:val="20"/>
        </w:rPr>
        <w:t>El Tribunal Pleno, el dieciséis de mayo en curso, aprobó, con el número 74/2006, la tesis jurisprudencial que antecede. México, Distrito Federal, a dieciséis de mayo de dos mil seis.</w:t>
      </w:r>
    </w:p>
    <w:p w14:paraId="39962678" w14:textId="77777777" w:rsidR="00916D7B" w:rsidRPr="00916D7B" w:rsidRDefault="00916D7B" w:rsidP="00916D7B">
      <w:pPr>
        <w:ind w:left="851" w:right="616"/>
        <w:rPr>
          <w:rFonts w:eastAsia="Palatino Linotype" w:cs="Palatino Linotype"/>
          <w:i/>
          <w:sz w:val="22"/>
        </w:rPr>
      </w:pPr>
      <w:r w:rsidRPr="00916D7B">
        <w:rPr>
          <w:rFonts w:eastAsia="Palatino Linotype" w:cs="Palatino Linotype"/>
          <w:i/>
          <w:sz w:val="20"/>
          <w:szCs w:val="20"/>
        </w:rPr>
        <w:t>Nota: Esta tesis fue objeto de la denuncia relativa a la contradicción de tesis 91/2014, desechada por notoriamente improcedente, mediante acuerdo de 24 de marzo de 2014</w:t>
      </w:r>
      <w:r w:rsidRPr="00916D7B">
        <w:rPr>
          <w:rFonts w:eastAsia="Palatino Linotype" w:cs="Palatino Linotype"/>
          <w:i/>
          <w:sz w:val="22"/>
        </w:rPr>
        <w:t>.”</w:t>
      </w:r>
    </w:p>
    <w:p w14:paraId="504E9126" w14:textId="77777777" w:rsidR="00916D7B" w:rsidRPr="00916D7B" w:rsidRDefault="00916D7B" w:rsidP="00916D7B">
      <w:pPr>
        <w:ind w:left="851" w:right="616"/>
        <w:rPr>
          <w:rFonts w:eastAsia="Palatino Linotype" w:cs="Palatino Linotype"/>
          <w:i/>
          <w:sz w:val="22"/>
        </w:rPr>
      </w:pPr>
    </w:p>
    <w:p w14:paraId="206C80F9" w14:textId="77777777" w:rsidR="00916D7B" w:rsidRDefault="00916D7B" w:rsidP="00916D7B">
      <w:pPr>
        <w:widowControl w:val="0"/>
        <w:pBdr>
          <w:top w:val="nil"/>
          <w:left w:val="nil"/>
          <w:bottom w:val="nil"/>
          <w:right w:val="nil"/>
          <w:between w:val="nil"/>
        </w:pBdr>
        <w:shd w:val="clear" w:color="auto" w:fill="FFFFFF"/>
        <w:spacing w:after="120"/>
        <w:ind w:left="851" w:right="567"/>
        <w:rPr>
          <w:rFonts w:eastAsia="Palatino Linotype" w:cs="Palatino Linotype"/>
          <w:i/>
          <w:color w:val="000000"/>
          <w:sz w:val="22"/>
        </w:rPr>
      </w:pPr>
      <w:r w:rsidRPr="00916D7B">
        <w:rPr>
          <w:rFonts w:eastAsia="Palatino Linotype" w:cs="Palatino Linotype"/>
          <w:b/>
          <w:i/>
          <w:color w:val="000000"/>
          <w:sz w:val="22"/>
        </w:rPr>
        <w:t>PÁGINAS WEB O ELECTRÓNICAS. SU CONTENIDO ES UN HECHO NOTORIO Y SUSCEPTIBLE DE SER VALORADO EN UNA DECISIÓN JUDICIAL.</w:t>
      </w:r>
      <w:r w:rsidRPr="00916D7B">
        <w:rPr>
          <w:color w:val="000000"/>
          <w:sz w:val="22"/>
        </w:rPr>
        <w:t xml:space="preserve"> </w:t>
      </w:r>
      <w:r w:rsidRPr="00916D7B">
        <w:rPr>
          <w:rFonts w:eastAsia="Palatino Linotype" w:cs="Palatino Linotype"/>
          <w:i/>
          <w:color w:val="000000"/>
          <w:sz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w:t>
      </w:r>
      <w:r w:rsidRPr="00916D7B">
        <w:rPr>
          <w:rFonts w:eastAsia="Palatino Linotype" w:cs="Palatino Linotype"/>
          <w:i/>
          <w:color w:val="000000"/>
          <w:sz w:val="22"/>
        </w:rPr>
        <w:lastRenderedPageBreak/>
        <w:t xml:space="preserve">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786FDA24" w14:textId="77777777" w:rsidR="00916D7B" w:rsidRDefault="00916D7B" w:rsidP="00916D7B">
      <w:pPr>
        <w:widowControl w:val="0"/>
        <w:pBdr>
          <w:top w:val="nil"/>
          <w:left w:val="nil"/>
          <w:bottom w:val="nil"/>
          <w:right w:val="nil"/>
          <w:between w:val="nil"/>
        </w:pBdr>
        <w:shd w:val="clear" w:color="auto" w:fill="FFFFFF"/>
        <w:spacing w:after="120"/>
        <w:ind w:left="851" w:right="567"/>
        <w:rPr>
          <w:rFonts w:eastAsia="Palatino Linotype" w:cs="Palatino Linotype"/>
          <w:i/>
          <w:color w:val="000000"/>
          <w:sz w:val="20"/>
          <w:szCs w:val="20"/>
        </w:rPr>
      </w:pPr>
      <w:r w:rsidRPr="00916D7B">
        <w:rPr>
          <w:rFonts w:eastAsia="Palatino Linotype" w:cs="Palatino Linotype"/>
          <w:i/>
          <w:color w:val="000000"/>
          <w:sz w:val="20"/>
          <w:szCs w:val="20"/>
        </w:rPr>
        <w:t xml:space="preserve">TERCER TRIBUNAL COLEGIADO EN MATERIA CIVIL DEL PRIMER CIRCUITO. Amparo en revisión 365/2012. </w:t>
      </w:r>
      <w:proofErr w:type="spellStart"/>
      <w:r w:rsidRPr="00916D7B">
        <w:rPr>
          <w:rFonts w:eastAsia="Palatino Linotype" w:cs="Palatino Linotype"/>
          <w:i/>
          <w:color w:val="000000"/>
          <w:sz w:val="20"/>
          <w:szCs w:val="20"/>
        </w:rPr>
        <w:t>Mardygras</w:t>
      </w:r>
      <w:proofErr w:type="spellEnd"/>
      <w:r w:rsidRPr="00916D7B">
        <w:rPr>
          <w:rFonts w:eastAsia="Palatino Linotype" w:cs="Palatino Linotype"/>
          <w:i/>
          <w:color w:val="000000"/>
          <w:sz w:val="20"/>
          <w:szCs w:val="20"/>
        </w:rPr>
        <w:t xml:space="preserve">, S.A. de C.V. 7 de diciembre de 2012. Unanimidad de votos. Ponente: Neófito López Ramos. Secretaria: Ana Lilia Osorno Arroyo. </w:t>
      </w:r>
    </w:p>
    <w:p w14:paraId="72D0D632" w14:textId="77777777" w:rsidR="00916D7B" w:rsidRDefault="00916D7B" w:rsidP="00916D7B">
      <w:pPr>
        <w:widowControl w:val="0"/>
        <w:pBdr>
          <w:top w:val="nil"/>
          <w:left w:val="nil"/>
          <w:bottom w:val="nil"/>
          <w:right w:val="nil"/>
          <w:between w:val="nil"/>
        </w:pBdr>
        <w:shd w:val="clear" w:color="auto" w:fill="FFFFFF"/>
        <w:spacing w:after="120"/>
        <w:ind w:left="851" w:right="567"/>
        <w:rPr>
          <w:rFonts w:eastAsia="Palatino Linotype" w:cs="Palatino Linotype"/>
          <w:i/>
          <w:color w:val="000000"/>
          <w:sz w:val="20"/>
          <w:szCs w:val="20"/>
        </w:rPr>
      </w:pPr>
    </w:p>
    <w:p w14:paraId="1B25B35F" w14:textId="29EB2CD0" w:rsidR="00916D7B" w:rsidRPr="0079231F" w:rsidRDefault="00916D7B" w:rsidP="00531324">
      <w:pPr>
        <w:spacing w:before="240" w:after="240"/>
        <w:rPr>
          <w:rFonts w:eastAsia="Palatino Linotype" w:cs="Palatino Linotype"/>
          <w:szCs w:val="24"/>
        </w:rPr>
      </w:pPr>
      <w:r w:rsidRPr="0079231F">
        <w:rPr>
          <w:rFonts w:eastAsia="Palatino Linotype" w:cs="Palatino Linotype"/>
          <w:szCs w:val="24"/>
        </w:rPr>
        <w:t xml:space="preserve">Bajo ese contexto, el </w:t>
      </w:r>
      <w:r w:rsidRPr="0079231F">
        <w:rPr>
          <w:rFonts w:eastAsia="Palatino Linotype" w:cs="Palatino Linotype"/>
          <w:b/>
          <w:szCs w:val="24"/>
        </w:rPr>
        <w:t>SUJETO OBLIGADO</w:t>
      </w:r>
      <w:r w:rsidRPr="0079231F">
        <w:rPr>
          <w:rFonts w:eastAsia="Palatino Linotype" w:cs="Palatino Linotype"/>
          <w:szCs w:val="24"/>
        </w:rPr>
        <w:t xml:space="preserve"> tiene la obligación de documentar todo lo relacionado con sus atribuciones, en cualquier soporte documental, 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7724B5C" w14:textId="5D44DD42" w:rsidR="00916D7B" w:rsidRPr="00531324" w:rsidRDefault="00916D7B" w:rsidP="00531324">
      <w:pPr>
        <w:ind w:left="851" w:right="899"/>
        <w:rPr>
          <w:rFonts w:eastAsia="Palatino Linotype" w:cs="Palatino Linotype"/>
          <w:b/>
          <w:i/>
          <w:sz w:val="22"/>
        </w:rPr>
      </w:pPr>
      <w:r>
        <w:rPr>
          <w:rFonts w:eastAsia="Palatino Linotype" w:cs="Palatino Linotype"/>
          <w:b/>
          <w:sz w:val="22"/>
        </w:rPr>
        <w:lastRenderedPageBreak/>
        <w:t>“</w:t>
      </w:r>
      <w:r>
        <w:rPr>
          <w:rFonts w:eastAsia="Palatino Linotype" w:cs="Palatino Linotype"/>
          <w:b/>
          <w:i/>
          <w:sz w:val="22"/>
        </w:rPr>
        <w:t>CRITERIO 0002-11</w:t>
      </w:r>
      <w:r w:rsidR="00531324">
        <w:rPr>
          <w:rFonts w:eastAsia="Palatino Linotype" w:cs="Palatino Linotype"/>
          <w:b/>
          <w:i/>
          <w:sz w:val="22"/>
        </w:rPr>
        <w:t xml:space="preserve"> </w:t>
      </w:r>
      <w:r>
        <w:rPr>
          <w:rFonts w:eastAsia="Palatino Linotype" w:cs="Palatino Linotype"/>
          <w:b/>
          <w:i/>
          <w:sz w:val="22"/>
        </w:rPr>
        <w:t>INFORMACIÓN PÚBLICA, CONCEPTO DE, EN MATERIA DE TRANSPARENCIA. INTERPRETACIÓN SISTEMÁTICA DE LOS ARTÍCULOS 2°, FRACCIÓN V, XV, Y XVI, 3°, 4°, 11 Y 41.</w:t>
      </w:r>
      <w:r>
        <w:rPr>
          <w:rFonts w:eastAsia="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6C1C27D" w14:textId="77777777" w:rsidR="00916D7B" w:rsidRDefault="00916D7B" w:rsidP="00916D7B">
      <w:pPr>
        <w:ind w:left="851" w:right="899"/>
        <w:rPr>
          <w:rFonts w:eastAsia="Palatino Linotype" w:cs="Palatino Linotype"/>
          <w:i/>
          <w:sz w:val="22"/>
        </w:rPr>
      </w:pPr>
      <w:r>
        <w:rPr>
          <w:rFonts w:eastAsia="Palatino Linotype" w:cs="Palatino Linotype"/>
          <w:i/>
          <w:sz w:val="22"/>
        </w:rPr>
        <w:t>En consecuencia el acceso a la información se refiere a que se cumplan cualquiera de los siguientes tres supuestos:</w:t>
      </w:r>
    </w:p>
    <w:p w14:paraId="324F2CD9" w14:textId="77777777" w:rsidR="00916D7B" w:rsidRDefault="00916D7B" w:rsidP="00916D7B">
      <w:pPr>
        <w:ind w:left="851" w:right="899"/>
        <w:rPr>
          <w:rFonts w:eastAsia="Palatino Linotype" w:cs="Palatino Linotype"/>
          <w:i/>
          <w:sz w:val="22"/>
        </w:rPr>
      </w:pPr>
      <w:r>
        <w:rPr>
          <w:rFonts w:eastAsia="Palatino Linotype" w:cs="Palatino Linotype"/>
          <w:i/>
          <w:sz w:val="22"/>
        </w:rPr>
        <w:t>1) Que se trate de información registrada en cualquier soporte documental, que en ejercicio de las atribuciones conferidas, sea generada por los Sujetos Obligados;</w:t>
      </w:r>
    </w:p>
    <w:p w14:paraId="227848D7" w14:textId="77777777" w:rsidR="00916D7B" w:rsidRDefault="00916D7B" w:rsidP="00916D7B">
      <w:pPr>
        <w:ind w:left="851" w:right="899"/>
        <w:rPr>
          <w:rFonts w:eastAsia="Palatino Linotype" w:cs="Palatino Linotype"/>
          <w:b/>
          <w:i/>
          <w:sz w:val="22"/>
        </w:rPr>
      </w:pPr>
      <w:r>
        <w:rPr>
          <w:rFonts w:eastAsia="Palatino Linotype" w:cs="Palatino Linotype"/>
          <w:b/>
          <w:i/>
          <w:sz w:val="22"/>
        </w:rPr>
        <w:t>2) Que se trate de información registrada en cualquier soporte documental, que en ejercicio de las atribuciones conferidas, sea administrada por los Sujetos Obligados, y</w:t>
      </w:r>
    </w:p>
    <w:p w14:paraId="7B8F28EF" w14:textId="77777777" w:rsidR="00916D7B" w:rsidRDefault="00916D7B" w:rsidP="00916D7B">
      <w:pPr>
        <w:ind w:left="851" w:right="899"/>
        <w:rPr>
          <w:rFonts w:eastAsia="Palatino Linotype" w:cs="Palatino Linotype"/>
          <w:b/>
          <w:i/>
          <w:sz w:val="22"/>
        </w:rPr>
      </w:pPr>
      <w:r>
        <w:rPr>
          <w:rFonts w:eastAsia="Palatino Linotype" w:cs="Palatino Linotype"/>
          <w:b/>
          <w:i/>
          <w:sz w:val="22"/>
        </w:rPr>
        <w:t>3) Que se trate de información registrada en cualquier soporte documental, que en ejercicio de las atribuciones conferidas, se encuentre en posesión de los Sujetos Obligados.”(Sic)</w:t>
      </w:r>
    </w:p>
    <w:p w14:paraId="3E2247F1" w14:textId="77777777" w:rsidR="00916D7B" w:rsidRDefault="00916D7B" w:rsidP="00916D7B">
      <w:pPr>
        <w:rPr>
          <w:rFonts w:eastAsia="Palatino Linotype" w:cs="Palatino Linotype"/>
          <w:sz w:val="22"/>
        </w:rPr>
      </w:pPr>
    </w:p>
    <w:p w14:paraId="78123C54" w14:textId="71FF9A56" w:rsidR="002B3056" w:rsidRPr="00D94014" w:rsidRDefault="00916D7B" w:rsidP="002B3056">
      <w:pPr>
        <w:rPr>
          <w:rFonts w:eastAsia="Palatino Linotype" w:cs="Palatino Linotype"/>
          <w:szCs w:val="24"/>
        </w:rPr>
      </w:pPr>
      <w:r w:rsidRPr="0079231F">
        <w:rPr>
          <w:rFonts w:eastAsia="Palatino Linotype" w:cs="Palatino Linotype"/>
          <w:szCs w:val="24"/>
        </w:rPr>
        <w:t xml:space="preserve">Por consiguiente, es responsabilidad del </w:t>
      </w:r>
      <w:r w:rsidRPr="0079231F">
        <w:rPr>
          <w:rFonts w:eastAsia="Palatino Linotype" w:cs="Palatino Linotype"/>
          <w:b/>
          <w:szCs w:val="24"/>
        </w:rPr>
        <w:t>SUJETO OBLIGADO</w:t>
      </w:r>
      <w:r w:rsidRPr="0079231F">
        <w:rPr>
          <w:rFonts w:eastAsia="Palatino Linotype" w:cs="Palatino Linotype"/>
          <w:szCs w:val="24"/>
        </w:rPr>
        <w:t xml:space="preserve"> de conservar todos los soportes documentales en el ejercicio de sus atribuciones, así como en cualquier otra que se administró.</w:t>
      </w:r>
      <w:r w:rsidR="00D94014">
        <w:rPr>
          <w:rFonts w:eastAsia="Palatino Linotype" w:cs="Palatino Linotype"/>
          <w:szCs w:val="24"/>
        </w:rPr>
        <w:t xml:space="preserve"> </w:t>
      </w:r>
      <w:r w:rsidR="002B3056" w:rsidRPr="00C46672">
        <w:rPr>
          <w:rFonts w:cs="Arial"/>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EA1565A" w14:textId="77777777" w:rsidR="002B3056" w:rsidRPr="00C46672" w:rsidRDefault="002B3056" w:rsidP="002B3056">
      <w:pPr>
        <w:pStyle w:val="Citas"/>
        <w:spacing w:before="0" w:after="0" w:line="240" w:lineRule="auto"/>
      </w:pPr>
    </w:p>
    <w:p w14:paraId="3E7AB401" w14:textId="77777777" w:rsidR="002B3056" w:rsidRDefault="002B3056" w:rsidP="002B3056">
      <w:pPr>
        <w:pStyle w:val="Citas"/>
        <w:spacing w:before="0" w:after="0" w:line="240" w:lineRule="auto"/>
        <w:ind w:right="899"/>
      </w:pPr>
      <w:r w:rsidRPr="00C46672">
        <w:lastRenderedPageBreak/>
        <w:t>“</w:t>
      </w:r>
      <w:r w:rsidRPr="00C46672">
        <w:rPr>
          <w:b/>
        </w:rPr>
        <w:t>Artículo 18.</w:t>
      </w:r>
      <w:r w:rsidRPr="00C46672">
        <w:t xml:space="preserve"> Los sujetos obligados deberán documentar todo acto que derive del ejercicio de sus facultades, competencias o funciones, considerando desde su origen la eventual publicidad y reutilización de la información que generen. </w:t>
      </w:r>
    </w:p>
    <w:p w14:paraId="35E90219" w14:textId="77777777" w:rsidR="00531324" w:rsidRPr="00C46672" w:rsidRDefault="00531324" w:rsidP="002B3056">
      <w:pPr>
        <w:pStyle w:val="Citas"/>
        <w:spacing w:before="0" w:after="0" w:line="240" w:lineRule="auto"/>
        <w:ind w:right="899"/>
      </w:pPr>
    </w:p>
    <w:p w14:paraId="04586734" w14:textId="77777777" w:rsidR="002B3056" w:rsidRDefault="002B3056" w:rsidP="002B3056">
      <w:pPr>
        <w:pStyle w:val="Citas"/>
        <w:spacing w:before="0" w:after="0" w:line="240" w:lineRule="auto"/>
        <w:ind w:right="899"/>
      </w:pPr>
      <w:r w:rsidRPr="00C46672">
        <w:rPr>
          <w:b/>
        </w:rPr>
        <w:t xml:space="preserve">Artículo 19. </w:t>
      </w:r>
      <w:r w:rsidRPr="00C46672">
        <w:t xml:space="preserve">Se presume que la información debe existir si se refiere a las facultades, competencias y funciones que los ordenamientos jurídicos aplicables otorgan a los sujetos obligados. </w:t>
      </w:r>
    </w:p>
    <w:p w14:paraId="0B88E8E9" w14:textId="77777777" w:rsidR="00531324" w:rsidRPr="00C46672" w:rsidRDefault="00531324" w:rsidP="002B3056">
      <w:pPr>
        <w:pStyle w:val="Citas"/>
        <w:spacing w:before="0" w:after="0" w:line="240" w:lineRule="auto"/>
        <w:ind w:right="899"/>
      </w:pPr>
    </w:p>
    <w:p w14:paraId="4E7BEB64" w14:textId="77777777" w:rsidR="002B3056" w:rsidRPr="00C46672" w:rsidRDefault="002B3056" w:rsidP="002B3056">
      <w:pPr>
        <w:pStyle w:val="Citas"/>
        <w:spacing w:before="0" w:after="0" w:line="240" w:lineRule="auto"/>
        <w:ind w:right="899"/>
      </w:pPr>
      <w:r w:rsidRPr="00C46672">
        <w:t xml:space="preserve">En los casos en que ciertas facultades, competencias o funciones no se hayan ejercido, se debe motivar la respuesta en función de las causas que motiven tal circunstancia. </w:t>
      </w:r>
    </w:p>
    <w:p w14:paraId="04F858BB" w14:textId="3B6E24DC" w:rsidR="002B3056" w:rsidRPr="00531324" w:rsidRDefault="002B3056" w:rsidP="00531324">
      <w:pPr>
        <w:pStyle w:val="Citas"/>
        <w:spacing w:before="0" w:after="0" w:line="240" w:lineRule="auto"/>
        <w:ind w:right="899"/>
      </w:pPr>
      <w:r w:rsidRPr="00C46672">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00531324">
        <w:t xml:space="preserve"> </w:t>
      </w:r>
      <w:r w:rsidRPr="00C46672">
        <w:rPr>
          <w:b/>
          <w:bCs/>
        </w:rPr>
        <w:t>(</w:t>
      </w:r>
      <w:r>
        <w:rPr>
          <w:b/>
          <w:bCs/>
        </w:rPr>
        <w:t>Énfasis añadido)</w:t>
      </w:r>
    </w:p>
    <w:p w14:paraId="11487502" w14:textId="77777777" w:rsidR="002B3056" w:rsidRDefault="002B3056" w:rsidP="00252AA5"/>
    <w:p w14:paraId="054E1D5E" w14:textId="4A0DE83D" w:rsidR="00F72CAA" w:rsidRPr="00F72CAA" w:rsidRDefault="00252AA5" w:rsidP="00F72CAA">
      <w:r>
        <w:t xml:space="preserve">De tal forma </w:t>
      </w:r>
      <w:r w:rsidR="00531324">
        <w:t xml:space="preserve">resulta imprescindible traer a colación </w:t>
      </w:r>
      <w:r w:rsidR="0079231F">
        <w:t xml:space="preserve">los artículos 6 y 7 fracciones XV, XVIII, XLII, XLIII, XLIV </w:t>
      </w:r>
      <w:r w:rsidR="00FF2894">
        <w:t xml:space="preserve"> del Reglamento Interior de la Secretaria de Movilidad </w:t>
      </w:r>
      <w:r w:rsidR="0079231F">
        <w:t xml:space="preserve">en los que se describe que la persona titular de la Secretaría </w:t>
      </w:r>
      <w:r w:rsidR="00F72CAA">
        <w:t>s</w:t>
      </w:r>
      <w:r w:rsidR="00F72CAA" w:rsidRPr="00F72CAA">
        <w:rPr>
          <w:szCs w:val="24"/>
        </w:rPr>
        <w:t>uscribir acuerdos, convenios y contratos con los sectores público, social y privado, en los asuntos competencia de la Secretaría, de conformidad con las disposiciones jurídicas aplicables</w:t>
      </w:r>
      <w:r w:rsidR="00F72CAA">
        <w:rPr>
          <w:szCs w:val="24"/>
        </w:rPr>
        <w:t xml:space="preserve">, </w:t>
      </w:r>
      <w:r w:rsidR="00F72CAA" w:rsidRPr="00F72CAA">
        <w:rPr>
          <w:b/>
        </w:rPr>
        <w:t>p</w:t>
      </w:r>
      <w:r w:rsidR="00F72CAA" w:rsidRPr="00F72CAA">
        <w:rPr>
          <w:b/>
          <w:szCs w:val="24"/>
        </w:rPr>
        <w:t>articipar en las reuniones a las que fuere convocada y que le correspondan en el ámbito de su competencia</w:t>
      </w:r>
      <w:r w:rsidR="00F72CAA">
        <w:rPr>
          <w:szCs w:val="24"/>
        </w:rPr>
        <w:t xml:space="preserve"> así como </w:t>
      </w:r>
      <w:r w:rsidR="00F72CAA" w:rsidRPr="00F72CAA">
        <w:rPr>
          <w:szCs w:val="24"/>
        </w:rPr>
        <w:t xml:space="preserve">probar las concesiones, permisos o autorizaciones, según corresponda, para la prestación del servicio público de pasajeros colectivo, individual, mixto, y el servicio de arrastre, salvamento, guarda, </w:t>
      </w:r>
      <w:r w:rsidR="00F72CAA">
        <w:rPr>
          <w:szCs w:val="24"/>
        </w:rPr>
        <w:t xml:space="preserve">custodia y depósito de vehículos conforme los siguiente; </w:t>
      </w:r>
    </w:p>
    <w:p w14:paraId="48FC4963" w14:textId="77777777" w:rsidR="00531324" w:rsidRPr="00531324" w:rsidRDefault="00531324" w:rsidP="00531324">
      <w:pPr>
        <w:rPr>
          <w:i/>
        </w:rPr>
      </w:pPr>
    </w:p>
    <w:p w14:paraId="0B351FA2" w14:textId="77777777" w:rsidR="00531324" w:rsidRPr="0079231F" w:rsidRDefault="00531324" w:rsidP="00531324">
      <w:pPr>
        <w:ind w:left="708"/>
        <w:rPr>
          <w:b/>
          <w:i/>
          <w:sz w:val="22"/>
        </w:rPr>
      </w:pPr>
      <w:r w:rsidRPr="0079231F">
        <w:rPr>
          <w:b/>
          <w:i/>
          <w:sz w:val="22"/>
        </w:rPr>
        <w:t xml:space="preserve">De la Persona Titular de la Secretaría </w:t>
      </w:r>
    </w:p>
    <w:p w14:paraId="1BA3E106" w14:textId="77777777" w:rsidR="00531324" w:rsidRPr="0079231F" w:rsidRDefault="00531324" w:rsidP="00531324">
      <w:pPr>
        <w:ind w:left="708"/>
        <w:rPr>
          <w:i/>
          <w:sz w:val="22"/>
        </w:rPr>
      </w:pPr>
      <w:r w:rsidRPr="0079231F">
        <w:rPr>
          <w:b/>
          <w:i/>
          <w:sz w:val="22"/>
        </w:rPr>
        <w:t>Artículo 6.</w:t>
      </w:r>
      <w:r w:rsidRPr="0079231F">
        <w:rPr>
          <w:i/>
          <w:sz w:val="22"/>
        </w:rPr>
        <w:t xml:space="preserve"> El estudio, planeación, trámite y resolución de los asuntos competencia de la Secretaría, así como su representación, corresponden originalmente a su titular, quien, para su mejor atención y despacho, podrá delegar sus facultades y atribuciones en las personas servidoras públicas </w:t>
      </w:r>
      <w:r w:rsidRPr="0079231F">
        <w:rPr>
          <w:i/>
          <w:sz w:val="22"/>
        </w:rPr>
        <w:lastRenderedPageBreak/>
        <w:t xml:space="preserve">subalternas que determine, sin perder por ello la posibilidad de su ejercicio directo, excepto aquellas que por disposición de Ley o de este Reglamento Interior, deban ser ejercidas en forma directa por la persona titular de la Secretaría. </w:t>
      </w:r>
    </w:p>
    <w:p w14:paraId="06CE3797" w14:textId="77777777" w:rsidR="00531324" w:rsidRPr="0079231F" w:rsidRDefault="00531324" w:rsidP="00531324">
      <w:pPr>
        <w:ind w:left="708"/>
        <w:rPr>
          <w:i/>
          <w:sz w:val="22"/>
        </w:rPr>
      </w:pPr>
    </w:p>
    <w:p w14:paraId="119838EE" w14:textId="7B559CC0" w:rsidR="00531324" w:rsidRPr="0079231F" w:rsidRDefault="00531324" w:rsidP="00531324">
      <w:pPr>
        <w:ind w:left="708"/>
        <w:rPr>
          <w:i/>
          <w:sz w:val="22"/>
        </w:rPr>
      </w:pPr>
      <w:r w:rsidRPr="0079231F">
        <w:rPr>
          <w:i/>
          <w:sz w:val="22"/>
        </w:rPr>
        <w:t>Cuando las leyes y reglamentos otorguen atribuciones a la Secretaría y estas no se encuentren asignadas en el presente Reglamento Interior, se entenderá que corresponden a la persona titular de la Secretaría, quien las podrá delegar mediante acuerdo, de manera general o específica, por tiempo definido o de forma permanente en las unidades administrativas o áreas que forman parte de la Secretaría</w:t>
      </w:r>
      <w:r w:rsidR="00D8659F" w:rsidRPr="0079231F">
        <w:rPr>
          <w:i/>
          <w:sz w:val="22"/>
        </w:rPr>
        <w:t>.</w:t>
      </w:r>
    </w:p>
    <w:p w14:paraId="1E6B5A34" w14:textId="77777777" w:rsidR="00D8659F" w:rsidRPr="0079231F" w:rsidRDefault="00D8659F" w:rsidP="00531324">
      <w:pPr>
        <w:ind w:left="708"/>
        <w:rPr>
          <w:i/>
          <w:sz w:val="22"/>
        </w:rPr>
      </w:pPr>
    </w:p>
    <w:p w14:paraId="17703876" w14:textId="0B1F1740" w:rsidR="00D8659F" w:rsidRPr="0079231F" w:rsidRDefault="00D8659F" w:rsidP="00531324">
      <w:pPr>
        <w:ind w:left="708"/>
        <w:rPr>
          <w:i/>
          <w:sz w:val="22"/>
        </w:rPr>
      </w:pPr>
      <w:r w:rsidRPr="0079231F">
        <w:rPr>
          <w:b/>
          <w:i/>
          <w:sz w:val="22"/>
        </w:rPr>
        <w:t>Artículo 7</w:t>
      </w:r>
      <w:r w:rsidRPr="0079231F">
        <w:rPr>
          <w:i/>
          <w:sz w:val="22"/>
        </w:rPr>
        <w:t>. Corresponden a la persona titular de la Secretaría las atribuciones siguientes:</w:t>
      </w:r>
    </w:p>
    <w:p w14:paraId="40122896" w14:textId="435F6A94" w:rsidR="00D8659F" w:rsidRPr="0079231F" w:rsidRDefault="00D8659F" w:rsidP="00531324">
      <w:pPr>
        <w:ind w:left="708"/>
        <w:rPr>
          <w:i/>
          <w:sz w:val="22"/>
        </w:rPr>
      </w:pPr>
      <w:r w:rsidRPr="0079231F">
        <w:rPr>
          <w:i/>
          <w:sz w:val="22"/>
        </w:rPr>
        <w:t>…</w:t>
      </w:r>
    </w:p>
    <w:p w14:paraId="497E6886" w14:textId="74C18B83" w:rsidR="00D8659F" w:rsidRPr="0079231F" w:rsidRDefault="00D8659F" w:rsidP="00531324">
      <w:pPr>
        <w:ind w:left="708"/>
        <w:rPr>
          <w:i/>
          <w:sz w:val="22"/>
        </w:rPr>
      </w:pPr>
      <w:r w:rsidRPr="0079231F">
        <w:rPr>
          <w:i/>
          <w:sz w:val="22"/>
        </w:rPr>
        <w:t xml:space="preserve">XV. </w:t>
      </w:r>
      <w:r w:rsidRPr="0079231F">
        <w:rPr>
          <w:b/>
          <w:i/>
          <w:sz w:val="22"/>
        </w:rPr>
        <w:t>Suscribir acuerdos, convenios y contratos</w:t>
      </w:r>
      <w:r w:rsidRPr="0079231F">
        <w:rPr>
          <w:i/>
          <w:sz w:val="22"/>
        </w:rPr>
        <w:t xml:space="preserve"> con los sectores público, </w:t>
      </w:r>
      <w:r w:rsidRPr="0079231F">
        <w:rPr>
          <w:b/>
          <w:i/>
          <w:sz w:val="22"/>
        </w:rPr>
        <w:t>social y privado</w:t>
      </w:r>
      <w:r w:rsidRPr="0079231F">
        <w:rPr>
          <w:i/>
          <w:sz w:val="22"/>
        </w:rPr>
        <w:t>, en los asuntos competencia de la Secretaría, de conformidad con las disposiciones jurídicas aplicables;</w:t>
      </w:r>
    </w:p>
    <w:p w14:paraId="3E887F1D" w14:textId="513E9699" w:rsidR="00D8659F" w:rsidRPr="0079231F" w:rsidRDefault="00D8659F" w:rsidP="00531324">
      <w:pPr>
        <w:ind w:left="708"/>
        <w:rPr>
          <w:i/>
          <w:sz w:val="22"/>
        </w:rPr>
      </w:pPr>
      <w:r w:rsidRPr="0079231F">
        <w:rPr>
          <w:i/>
          <w:sz w:val="22"/>
        </w:rPr>
        <w:t>…</w:t>
      </w:r>
    </w:p>
    <w:p w14:paraId="692452C2" w14:textId="5E3C6F93" w:rsidR="00D8659F" w:rsidRPr="0079231F" w:rsidRDefault="00D8659F" w:rsidP="00531324">
      <w:pPr>
        <w:ind w:left="708"/>
        <w:rPr>
          <w:i/>
          <w:sz w:val="22"/>
        </w:rPr>
      </w:pPr>
      <w:r w:rsidRPr="0079231F">
        <w:rPr>
          <w:i/>
          <w:sz w:val="22"/>
        </w:rPr>
        <w:t xml:space="preserve">XVIII. </w:t>
      </w:r>
      <w:r w:rsidRPr="0079231F">
        <w:rPr>
          <w:b/>
          <w:i/>
          <w:sz w:val="22"/>
        </w:rPr>
        <w:t>Participar en</w:t>
      </w:r>
      <w:r w:rsidRPr="0079231F">
        <w:rPr>
          <w:i/>
          <w:sz w:val="22"/>
        </w:rPr>
        <w:t xml:space="preserve"> los comités, consejos, comisiones </w:t>
      </w:r>
      <w:r w:rsidRPr="0079231F">
        <w:rPr>
          <w:b/>
          <w:i/>
          <w:sz w:val="22"/>
        </w:rPr>
        <w:t>o reuniones a las que fuere convocada</w:t>
      </w:r>
      <w:r w:rsidRPr="0079231F">
        <w:rPr>
          <w:i/>
          <w:sz w:val="22"/>
        </w:rPr>
        <w:t xml:space="preserve"> y que le correspondan en el ámbito de su competencia, asimismo, participar en las sesiones en las que tenga intervención por la relevancia de los asuntos, en términos de las disposiciones jurídicas aplicables y, en su caso, designar a sus suplentes o representantes;</w:t>
      </w:r>
    </w:p>
    <w:p w14:paraId="4F91555C" w14:textId="69DA5F1F" w:rsidR="00D8659F" w:rsidRPr="0079231F" w:rsidRDefault="00D8659F" w:rsidP="00531324">
      <w:pPr>
        <w:ind w:left="708"/>
        <w:rPr>
          <w:i/>
          <w:sz w:val="22"/>
        </w:rPr>
      </w:pPr>
      <w:r w:rsidRPr="0079231F">
        <w:rPr>
          <w:i/>
          <w:sz w:val="22"/>
        </w:rPr>
        <w:t>…</w:t>
      </w:r>
    </w:p>
    <w:p w14:paraId="79802670" w14:textId="062F3E27" w:rsidR="00D8659F" w:rsidRPr="0079231F" w:rsidRDefault="00D8659F" w:rsidP="00531324">
      <w:pPr>
        <w:ind w:left="708"/>
        <w:rPr>
          <w:i/>
          <w:sz w:val="22"/>
        </w:rPr>
      </w:pPr>
      <w:r w:rsidRPr="0079231F">
        <w:rPr>
          <w:i/>
          <w:sz w:val="22"/>
        </w:rPr>
        <w:t>XLII. Aprobar las concesiones, permisos o autorizaciones, según corresponda, para la prestación del servicio público de pasajeros colectivo, individual, mixto, y el servicio de arrastre, salvamento, guarda, custodia y depósito de vehículos;</w:t>
      </w:r>
    </w:p>
    <w:p w14:paraId="18760988" w14:textId="77777777" w:rsidR="0079231F" w:rsidRPr="0079231F" w:rsidRDefault="0079231F" w:rsidP="00531324">
      <w:pPr>
        <w:ind w:left="708"/>
        <w:rPr>
          <w:i/>
          <w:sz w:val="22"/>
        </w:rPr>
      </w:pPr>
    </w:p>
    <w:p w14:paraId="4A2CAEE7" w14:textId="77777777" w:rsidR="003B1F43" w:rsidRPr="0079231F" w:rsidRDefault="003B1F43" w:rsidP="00531324">
      <w:pPr>
        <w:ind w:left="708"/>
        <w:rPr>
          <w:i/>
          <w:sz w:val="22"/>
        </w:rPr>
      </w:pPr>
      <w:r w:rsidRPr="0079231F">
        <w:rPr>
          <w:i/>
          <w:sz w:val="22"/>
        </w:rPr>
        <w:t xml:space="preserve">XLIII. Definir disposiciones de carácter general para el otorgamiento de concesiones, permisos o autorizaciones, y para la construcción, ampliación, rehabilitación, mantenimiento, administración </w:t>
      </w:r>
      <w:r w:rsidRPr="0079231F">
        <w:rPr>
          <w:i/>
          <w:sz w:val="22"/>
        </w:rPr>
        <w:lastRenderedPageBreak/>
        <w:t xml:space="preserve">y operación de la infraestructura vial primaria de cuota y de los sistemas de transporte masivo o de alta capacidad, ejerciendo los derechos de rescate y reversión; </w:t>
      </w:r>
    </w:p>
    <w:p w14:paraId="14F2A240" w14:textId="77777777" w:rsidR="003B1F43" w:rsidRPr="0079231F" w:rsidRDefault="003B1F43" w:rsidP="00531324">
      <w:pPr>
        <w:ind w:left="708"/>
        <w:rPr>
          <w:i/>
          <w:sz w:val="22"/>
        </w:rPr>
      </w:pPr>
    </w:p>
    <w:p w14:paraId="117CC9C7" w14:textId="2F3EBD58" w:rsidR="00D8659F" w:rsidRDefault="003B1F43" w:rsidP="00531324">
      <w:pPr>
        <w:ind w:left="708"/>
        <w:rPr>
          <w:i/>
          <w:sz w:val="22"/>
        </w:rPr>
      </w:pPr>
      <w:r w:rsidRPr="0079231F">
        <w:rPr>
          <w:i/>
          <w:sz w:val="22"/>
        </w:rPr>
        <w:t>XLIV. Determinar el otorgamiento, modificación, revocación, rescate, sustitución, cancelación o terminación de las concesiones, permisos o autorizaciones,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para el ejercicio de los derechos de rescate y reversión;</w:t>
      </w:r>
    </w:p>
    <w:p w14:paraId="69A029C4" w14:textId="49AEE17F" w:rsidR="00F72CAA" w:rsidRPr="0079231F" w:rsidRDefault="00F72CAA" w:rsidP="00531324">
      <w:pPr>
        <w:ind w:left="708"/>
        <w:rPr>
          <w:i/>
          <w:sz w:val="22"/>
        </w:rPr>
      </w:pPr>
      <w:r>
        <w:rPr>
          <w:i/>
          <w:sz w:val="22"/>
        </w:rPr>
        <w:t>….”</w:t>
      </w:r>
    </w:p>
    <w:p w14:paraId="636F355F" w14:textId="77777777" w:rsidR="00FF2894" w:rsidRDefault="00FF2894" w:rsidP="00531324">
      <w:pPr>
        <w:rPr>
          <w:i/>
          <w:sz w:val="22"/>
        </w:rPr>
      </w:pPr>
    </w:p>
    <w:p w14:paraId="6EC95BA6" w14:textId="77777777" w:rsidR="00D94014" w:rsidRDefault="00FF2894" w:rsidP="00FF2894">
      <w:r w:rsidRPr="00FF2894">
        <w:rPr>
          <w:iCs/>
          <w:szCs w:val="24"/>
        </w:rPr>
        <w:t xml:space="preserve">Por su parte </w:t>
      </w:r>
      <w:r>
        <w:rPr>
          <w:iCs/>
          <w:szCs w:val="24"/>
        </w:rPr>
        <w:t>M</w:t>
      </w:r>
      <w:r w:rsidRPr="00FF2894">
        <w:rPr>
          <w:iCs/>
          <w:szCs w:val="24"/>
        </w:rPr>
        <w:t xml:space="preserve">anual </w:t>
      </w:r>
      <w:r>
        <w:rPr>
          <w:iCs/>
          <w:szCs w:val="24"/>
        </w:rPr>
        <w:t>G</w:t>
      </w:r>
      <w:r w:rsidRPr="00FF2894">
        <w:rPr>
          <w:iCs/>
          <w:szCs w:val="24"/>
        </w:rPr>
        <w:t xml:space="preserve">eneral de </w:t>
      </w:r>
      <w:r>
        <w:rPr>
          <w:iCs/>
          <w:szCs w:val="24"/>
        </w:rPr>
        <w:t>O</w:t>
      </w:r>
      <w:r w:rsidRPr="00FF2894">
        <w:rPr>
          <w:iCs/>
          <w:szCs w:val="24"/>
        </w:rPr>
        <w:t xml:space="preserve">rganización de la </w:t>
      </w:r>
      <w:r>
        <w:rPr>
          <w:iCs/>
          <w:szCs w:val="24"/>
        </w:rPr>
        <w:t>S</w:t>
      </w:r>
      <w:r w:rsidRPr="00FF2894">
        <w:rPr>
          <w:iCs/>
          <w:szCs w:val="24"/>
        </w:rPr>
        <w:t>ecretar</w:t>
      </w:r>
      <w:r>
        <w:rPr>
          <w:iCs/>
          <w:szCs w:val="24"/>
        </w:rPr>
        <w:t>í</w:t>
      </w:r>
      <w:r w:rsidRPr="00FF2894">
        <w:rPr>
          <w:iCs/>
          <w:szCs w:val="24"/>
        </w:rPr>
        <w:t xml:space="preserve">a de </w:t>
      </w:r>
      <w:r>
        <w:rPr>
          <w:iCs/>
          <w:szCs w:val="24"/>
        </w:rPr>
        <w:t>M</w:t>
      </w:r>
      <w:r w:rsidRPr="00FF2894">
        <w:rPr>
          <w:iCs/>
          <w:szCs w:val="24"/>
        </w:rPr>
        <w:t>ovilidad</w:t>
      </w:r>
      <w:r>
        <w:rPr>
          <w:iCs/>
          <w:szCs w:val="24"/>
        </w:rPr>
        <w:t xml:space="preserve"> establece que la Coordinación de Vinculación tiene como objetivo </w:t>
      </w:r>
      <w:r w:rsidRPr="00FF2894">
        <w:t>mecanismos de vinculación interinstitucional e intergubernamental</w:t>
      </w:r>
      <w:r>
        <w:t xml:space="preserve"> entre las </w:t>
      </w:r>
      <w:r w:rsidRPr="00FF2894">
        <w:t>organizaciones de la sociedad civil</w:t>
      </w:r>
      <w:r>
        <w:t xml:space="preserve"> así </w:t>
      </w:r>
      <w:r w:rsidR="00D94014">
        <w:t>c</w:t>
      </w:r>
      <w:r>
        <w:t xml:space="preserve">omo coordinar las actividades tendientes a la cobertura y recopilación de información en audio, video </w:t>
      </w:r>
      <w:r w:rsidR="00D94014">
        <w:t>así</w:t>
      </w:r>
      <w:r>
        <w:t xml:space="preserve"> como </w:t>
      </w:r>
      <w:r w:rsidR="00D94014">
        <w:t>difundir información apoyándose de los medios masivos.</w:t>
      </w:r>
    </w:p>
    <w:p w14:paraId="1C31509A" w14:textId="77777777" w:rsidR="00D94014" w:rsidRDefault="00D94014" w:rsidP="00FF2894"/>
    <w:p w14:paraId="23614920" w14:textId="1EB4745B" w:rsidR="00FF2894" w:rsidRDefault="00D94014" w:rsidP="00FF2894">
      <w:r>
        <w:t>Al respecto la Secretaría Particular tiene como función o</w:t>
      </w:r>
      <w:r w:rsidRPr="00D94014">
        <w:t xml:space="preserve">rganizar y controlar la agenda de del titular de la Secretaría, </w:t>
      </w:r>
      <w:r w:rsidRPr="00D94014">
        <w:rPr>
          <w:b/>
          <w:bCs/>
        </w:rPr>
        <w:t>registrando los compromisos</w:t>
      </w:r>
      <w:r w:rsidRPr="00D94014">
        <w:t xml:space="preserve">, audiencias, acuerdos, </w:t>
      </w:r>
      <w:r w:rsidRPr="00D94014">
        <w:rPr>
          <w:b/>
          <w:bCs/>
        </w:rPr>
        <w:t>visitas</w:t>
      </w:r>
      <w:r w:rsidRPr="00D94014">
        <w:t xml:space="preserve">, giras, </w:t>
      </w:r>
      <w:r w:rsidRPr="00D94014">
        <w:rPr>
          <w:b/>
          <w:bCs/>
        </w:rPr>
        <w:t>entrevistas</w:t>
      </w:r>
      <w:r w:rsidRPr="00D94014">
        <w:t>, así como informarle sobre los eventos en los que tenga que participar</w:t>
      </w:r>
      <w:r>
        <w:t xml:space="preserve">  en los términos siguientes; </w:t>
      </w:r>
    </w:p>
    <w:p w14:paraId="218D3D8D" w14:textId="427F1261" w:rsidR="00D94014" w:rsidRPr="00D94014" w:rsidRDefault="00D94014" w:rsidP="00D94014">
      <w:pPr>
        <w:jc w:val="center"/>
        <w:rPr>
          <w:b/>
          <w:bCs/>
          <w:i/>
          <w:sz w:val="22"/>
        </w:rPr>
      </w:pPr>
      <w:r w:rsidRPr="00D94014">
        <w:rPr>
          <w:b/>
          <w:bCs/>
          <w:i/>
          <w:sz w:val="22"/>
        </w:rPr>
        <w:t>Coordinación de Vinculación</w:t>
      </w:r>
    </w:p>
    <w:p w14:paraId="1B8A1FBD" w14:textId="1B0309D4" w:rsidR="00FF2894" w:rsidRPr="00FF2894" w:rsidRDefault="00FF2894" w:rsidP="00FF2894">
      <w:pPr>
        <w:ind w:left="708"/>
        <w:rPr>
          <w:i/>
          <w:iCs/>
          <w:sz w:val="22"/>
        </w:rPr>
      </w:pPr>
      <w:r w:rsidRPr="00FF2894">
        <w:rPr>
          <w:i/>
          <w:iCs/>
          <w:sz w:val="22"/>
        </w:rPr>
        <w:t xml:space="preserve">OBJETIVO: Desarrollar estrategias de comunicación y mecanismos de vinculación interinstitucional e intergubernamental que propicien una coordinación eficiente entre las </w:t>
      </w:r>
      <w:r w:rsidRPr="00FF2894">
        <w:rPr>
          <w:i/>
          <w:iCs/>
          <w:sz w:val="22"/>
        </w:rPr>
        <w:lastRenderedPageBreak/>
        <w:t>dependencias y organismos auxiliares del Poder Ejecutivo, el Poder Legislativo, instituciones de los Gobiernos Federal, Estatal y Municipal; así como organizaciones de la sociedad civil, para el desarrollo de los programas y proyectos estratégicos encomendados a la Secretaría de Movilidad.</w:t>
      </w:r>
    </w:p>
    <w:p w14:paraId="3F8E4BE4" w14:textId="77777777" w:rsidR="00FF2894" w:rsidRPr="00FF2894" w:rsidRDefault="00FF2894" w:rsidP="00FF2894">
      <w:pPr>
        <w:ind w:left="708"/>
        <w:rPr>
          <w:i/>
          <w:iCs/>
          <w:sz w:val="22"/>
        </w:rPr>
      </w:pPr>
    </w:p>
    <w:p w14:paraId="60497903" w14:textId="608CBBDB" w:rsidR="00FF2894" w:rsidRDefault="00FF2894" w:rsidP="00FF2894">
      <w:pPr>
        <w:ind w:left="708"/>
        <w:rPr>
          <w:i/>
          <w:iCs/>
          <w:sz w:val="22"/>
        </w:rPr>
      </w:pPr>
      <w:r w:rsidRPr="00FF2894">
        <w:rPr>
          <w:i/>
          <w:iCs/>
          <w:sz w:val="22"/>
        </w:rPr>
        <w:t>FUNCIONES:</w:t>
      </w:r>
    </w:p>
    <w:p w14:paraId="0B4D2B61" w14:textId="610F6CAA" w:rsidR="00FF2894" w:rsidRPr="00FF2894" w:rsidRDefault="00FF2894" w:rsidP="00FF2894">
      <w:pPr>
        <w:ind w:left="708"/>
        <w:rPr>
          <w:i/>
          <w:iCs/>
          <w:sz w:val="22"/>
        </w:rPr>
      </w:pPr>
      <w:r>
        <w:rPr>
          <w:i/>
          <w:iCs/>
          <w:sz w:val="22"/>
        </w:rPr>
        <w:tab/>
        <w:t>……</w:t>
      </w:r>
    </w:p>
    <w:p w14:paraId="668B071B" w14:textId="77777777" w:rsidR="00FF2894" w:rsidRPr="00FF2894" w:rsidRDefault="00FF2894" w:rsidP="00FF2894">
      <w:pPr>
        <w:pStyle w:val="Prrafodelista"/>
        <w:numPr>
          <w:ilvl w:val="0"/>
          <w:numId w:val="46"/>
        </w:numPr>
        <w:rPr>
          <w:i/>
          <w:iCs/>
          <w:sz w:val="22"/>
          <w:szCs w:val="22"/>
        </w:rPr>
      </w:pPr>
      <w:r w:rsidRPr="00FF2894">
        <w:rPr>
          <w:i/>
          <w:iCs/>
          <w:sz w:val="22"/>
          <w:szCs w:val="22"/>
        </w:rPr>
        <w:t xml:space="preserve">Difundir apoyándose en los medios masivos de comunicación y de redes sociales la información relacionada con las actividades de la Secretaría, a efecto de que sean conocidas por la población en general, incluido el personal de las unidades administrativas. </w:t>
      </w:r>
    </w:p>
    <w:p w14:paraId="57BC06E0" w14:textId="77777777" w:rsidR="00FF2894" w:rsidRPr="00FF2894" w:rsidRDefault="00FF2894" w:rsidP="00FF2894">
      <w:pPr>
        <w:pStyle w:val="Prrafodelista"/>
        <w:numPr>
          <w:ilvl w:val="0"/>
          <w:numId w:val="46"/>
        </w:numPr>
        <w:rPr>
          <w:i/>
          <w:iCs/>
          <w:sz w:val="22"/>
          <w:szCs w:val="22"/>
        </w:rPr>
      </w:pPr>
      <w:r w:rsidRPr="00FF2894">
        <w:rPr>
          <w:i/>
          <w:iCs/>
          <w:sz w:val="22"/>
          <w:szCs w:val="22"/>
        </w:rPr>
        <w:t xml:space="preserve">Organizar y convocar, cuando se le solicite, a conferencias de prensa y/o entrevistas para dar a conocer las acciones y programas de la Secretaría. </w:t>
      </w:r>
    </w:p>
    <w:p w14:paraId="5BA825C0" w14:textId="7E9C92E3" w:rsidR="00FF2894" w:rsidRDefault="00FF2894" w:rsidP="00FF2894">
      <w:pPr>
        <w:pStyle w:val="Prrafodelista"/>
        <w:numPr>
          <w:ilvl w:val="0"/>
          <w:numId w:val="46"/>
        </w:numPr>
        <w:rPr>
          <w:i/>
          <w:iCs/>
          <w:sz w:val="22"/>
          <w:szCs w:val="22"/>
        </w:rPr>
      </w:pPr>
      <w:r w:rsidRPr="00FF2894">
        <w:rPr>
          <w:i/>
          <w:iCs/>
          <w:sz w:val="22"/>
          <w:szCs w:val="22"/>
        </w:rPr>
        <w:t>Coordinar las actividades tendientes a la cobertura y recopilación de información, así como la producción de material en audio, video generada en los actos, ceremonias, giras, eventos, programas de trabajo y actividades desarrolladas en que intervienen de manera directa servidoras y servidores públicos de la Secretaría, para su difusión en los medios de comunicación y medios sociales.</w:t>
      </w:r>
    </w:p>
    <w:p w14:paraId="2E35E2D2" w14:textId="263E8D5D" w:rsidR="00D94014" w:rsidRPr="00FF2894" w:rsidRDefault="00D94014" w:rsidP="00D94014">
      <w:pPr>
        <w:pStyle w:val="Prrafodelista"/>
        <w:ind w:left="1440"/>
        <w:rPr>
          <w:i/>
          <w:iCs/>
          <w:sz w:val="22"/>
          <w:szCs w:val="22"/>
        </w:rPr>
      </w:pPr>
      <w:r>
        <w:rPr>
          <w:i/>
          <w:iCs/>
          <w:sz w:val="22"/>
          <w:szCs w:val="22"/>
        </w:rPr>
        <w:t>…..</w:t>
      </w:r>
    </w:p>
    <w:p w14:paraId="09E2F44A" w14:textId="77777777" w:rsidR="00D94014" w:rsidRDefault="00D94014" w:rsidP="00D94014">
      <w:pPr>
        <w:rPr>
          <w:szCs w:val="24"/>
        </w:rPr>
      </w:pPr>
    </w:p>
    <w:p w14:paraId="59C57D6F" w14:textId="598990DE" w:rsidR="00D94014" w:rsidRPr="00D94014" w:rsidRDefault="00D94014" w:rsidP="00D94014">
      <w:pPr>
        <w:ind w:left="708"/>
        <w:jc w:val="center"/>
        <w:rPr>
          <w:b/>
          <w:bCs/>
          <w:i/>
          <w:iCs/>
          <w:sz w:val="22"/>
        </w:rPr>
      </w:pPr>
      <w:r w:rsidRPr="00D94014">
        <w:rPr>
          <w:b/>
          <w:bCs/>
          <w:i/>
          <w:iCs/>
          <w:sz w:val="22"/>
        </w:rPr>
        <w:t>SECRETARÍA PARTICULAR</w:t>
      </w:r>
    </w:p>
    <w:p w14:paraId="512B9C80" w14:textId="62C279BF" w:rsidR="00D94014" w:rsidRPr="00D94014" w:rsidRDefault="00D94014" w:rsidP="00D94014">
      <w:pPr>
        <w:ind w:left="708"/>
        <w:rPr>
          <w:i/>
          <w:iCs/>
          <w:sz w:val="22"/>
        </w:rPr>
      </w:pPr>
      <w:r w:rsidRPr="00D94014">
        <w:rPr>
          <w:i/>
          <w:iCs/>
          <w:sz w:val="22"/>
        </w:rPr>
        <w:t>OBJETIVO: Apoyar a la o al titular de la Secretaría de Movilidad en el cumplimiento y desarrollo de sus funciones ejecutivas e informarle permanentemente sobre los compromisos oficiales contraídos y el avance en el cumplimiento de los mismos, así como concertar con grupos sociales la atención de sus demandas relacionadas con el sector.</w:t>
      </w:r>
    </w:p>
    <w:p w14:paraId="7A91592C" w14:textId="77777777" w:rsidR="00D94014" w:rsidRPr="00D94014" w:rsidRDefault="00D94014" w:rsidP="00D94014">
      <w:pPr>
        <w:ind w:left="708"/>
        <w:rPr>
          <w:i/>
          <w:iCs/>
          <w:sz w:val="22"/>
        </w:rPr>
      </w:pPr>
    </w:p>
    <w:p w14:paraId="6554E237" w14:textId="56B1811B" w:rsidR="00D94014" w:rsidRPr="00D94014" w:rsidRDefault="00D94014" w:rsidP="00D94014">
      <w:pPr>
        <w:ind w:left="708"/>
        <w:rPr>
          <w:i/>
          <w:iCs/>
          <w:sz w:val="22"/>
        </w:rPr>
      </w:pPr>
      <w:r w:rsidRPr="00D94014">
        <w:rPr>
          <w:i/>
          <w:iCs/>
          <w:sz w:val="22"/>
        </w:rPr>
        <w:t>FUNCIONES:</w:t>
      </w:r>
    </w:p>
    <w:p w14:paraId="7AAD55B4" w14:textId="41D7DE0C" w:rsidR="00D94014" w:rsidRPr="00D94014" w:rsidRDefault="00D94014" w:rsidP="002B50CE">
      <w:pPr>
        <w:pStyle w:val="Prrafodelista"/>
        <w:numPr>
          <w:ilvl w:val="0"/>
          <w:numId w:val="46"/>
        </w:numPr>
        <w:rPr>
          <w:i/>
          <w:iCs/>
          <w:sz w:val="22"/>
          <w:szCs w:val="22"/>
        </w:rPr>
      </w:pPr>
      <w:r w:rsidRPr="00D94014">
        <w:rPr>
          <w:i/>
          <w:iCs/>
          <w:sz w:val="22"/>
          <w:szCs w:val="22"/>
          <w:lang w:val="es-ES_tradnl"/>
        </w:rPr>
        <w:lastRenderedPageBreak/>
        <w:t>Organizar y controlar la agenda de la o del titular de la Secretaría, registrando los compromisos, audiencias, acuerdos, visitas, giras, entrevistas y demás asuntos que realice en el desarrollo de sus funciones, así como informarle sobre los eventos en los que tenga que participar</w:t>
      </w:r>
    </w:p>
    <w:p w14:paraId="4C3DB6ED" w14:textId="6ED28736" w:rsidR="00D94014" w:rsidRPr="00D94014" w:rsidRDefault="00D94014" w:rsidP="00D94014">
      <w:pPr>
        <w:pStyle w:val="Prrafodelista"/>
        <w:ind w:left="1440"/>
        <w:rPr>
          <w:i/>
          <w:iCs/>
        </w:rPr>
      </w:pPr>
      <w:r>
        <w:rPr>
          <w:i/>
          <w:iCs/>
          <w:lang w:val="es-ES_tradnl"/>
        </w:rPr>
        <w:t>…..</w:t>
      </w:r>
    </w:p>
    <w:p w14:paraId="784E0F3D" w14:textId="77777777" w:rsidR="00D94014" w:rsidRDefault="00D94014" w:rsidP="002B50CE">
      <w:pPr>
        <w:rPr>
          <w:szCs w:val="24"/>
        </w:rPr>
      </w:pPr>
    </w:p>
    <w:p w14:paraId="4DCDC65C" w14:textId="215275E4" w:rsidR="002B50CE" w:rsidRPr="00586EDB" w:rsidRDefault="002B50CE" w:rsidP="002B50CE">
      <w:pPr>
        <w:rPr>
          <w:szCs w:val="24"/>
        </w:rPr>
      </w:pPr>
      <w:r w:rsidRPr="00380701">
        <w:rPr>
          <w:szCs w:val="24"/>
        </w:rPr>
        <w:t xml:space="preserve">Una vez precisado lo anterior, y derivado que en respuesta </w:t>
      </w:r>
      <w:r w:rsidR="00D94014" w:rsidRPr="00380701">
        <w:rPr>
          <w:b/>
          <w:szCs w:val="24"/>
        </w:rPr>
        <w:t xml:space="preserve">el </w:t>
      </w:r>
      <w:r w:rsidR="00D94014">
        <w:rPr>
          <w:b/>
          <w:szCs w:val="24"/>
        </w:rPr>
        <w:t>S</w:t>
      </w:r>
      <w:r w:rsidR="00D94014" w:rsidRPr="00380701">
        <w:rPr>
          <w:b/>
          <w:szCs w:val="24"/>
        </w:rPr>
        <w:t xml:space="preserve">ujeto </w:t>
      </w:r>
      <w:r w:rsidR="00D94014">
        <w:rPr>
          <w:b/>
          <w:szCs w:val="24"/>
        </w:rPr>
        <w:t>O</w:t>
      </w:r>
      <w:r w:rsidR="00D94014" w:rsidRPr="00380701">
        <w:rPr>
          <w:b/>
          <w:szCs w:val="24"/>
        </w:rPr>
        <w:t xml:space="preserve">bligado </w:t>
      </w:r>
      <w:r w:rsidRPr="00380701">
        <w:rPr>
          <w:szCs w:val="24"/>
        </w:rPr>
        <w:t xml:space="preserve">proporcionó una liga electrónica </w:t>
      </w:r>
      <w:r w:rsidR="00E47622">
        <w:rPr>
          <w:szCs w:val="24"/>
        </w:rPr>
        <w:t xml:space="preserve">en informe justificado </w:t>
      </w:r>
      <w:r w:rsidRPr="00380701">
        <w:rPr>
          <w:szCs w:val="24"/>
        </w:rPr>
        <w:t xml:space="preserve">la cual </w:t>
      </w:r>
      <w:r w:rsidR="00E47622">
        <w:rPr>
          <w:szCs w:val="24"/>
        </w:rPr>
        <w:t xml:space="preserve">pretende corroborar que </w:t>
      </w:r>
      <w:r w:rsidR="00E47622" w:rsidRPr="00E47622">
        <w:rPr>
          <w:szCs w:val="24"/>
        </w:rPr>
        <w:t xml:space="preserve">a no realizó </w:t>
      </w:r>
      <w:r w:rsidR="00E47622">
        <w:rPr>
          <w:szCs w:val="24"/>
        </w:rPr>
        <w:t xml:space="preserve">la </w:t>
      </w:r>
      <w:r w:rsidR="00E47622" w:rsidRPr="00E47622">
        <w:rPr>
          <w:szCs w:val="24"/>
        </w:rPr>
        <w:t xml:space="preserve">reunión, ni </w:t>
      </w:r>
      <w:r w:rsidR="00E47622">
        <w:rPr>
          <w:szCs w:val="24"/>
        </w:rPr>
        <w:t xml:space="preserve">se realizó una </w:t>
      </w:r>
      <w:r w:rsidR="00E47622" w:rsidRPr="00E47622">
        <w:rPr>
          <w:szCs w:val="24"/>
        </w:rPr>
        <w:t>su cobertura</w:t>
      </w:r>
      <w:r w:rsidR="00E47622">
        <w:rPr>
          <w:szCs w:val="24"/>
        </w:rPr>
        <w:t xml:space="preserve"> del evento solicitado pues no se </w:t>
      </w:r>
      <w:proofErr w:type="spellStart"/>
      <w:r w:rsidR="00E47622">
        <w:rPr>
          <w:szCs w:val="24"/>
        </w:rPr>
        <w:t>llevo</w:t>
      </w:r>
      <w:proofErr w:type="spellEnd"/>
      <w:r w:rsidR="00E47622">
        <w:rPr>
          <w:szCs w:val="24"/>
        </w:rPr>
        <w:t xml:space="preserve"> a cabo con la presencia del Secretario, </w:t>
      </w:r>
      <w:r w:rsidRPr="00380701">
        <w:rPr>
          <w:szCs w:val="24"/>
        </w:rPr>
        <w:t>por lo que es prudente entonces recordar lo estipulado en los artículos 11 y 161 de la Ley de Transparencia y Acceso a la Información Pública del</w:t>
      </w:r>
      <w:r>
        <w:rPr>
          <w:szCs w:val="24"/>
        </w:rPr>
        <w:t xml:space="preserve"> </w:t>
      </w:r>
      <w:r w:rsidRPr="00380701">
        <w:rPr>
          <w:szCs w:val="24"/>
        </w:rPr>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6A3F8CB0" w14:textId="77777777" w:rsidR="002B50CE" w:rsidRPr="00FD1013" w:rsidRDefault="002B50CE" w:rsidP="002B50CE">
      <w:pPr>
        <w:ind w:left="708"/>
        <w:rPr>
          <w:i/>
          <w:sz w:val="22"/>
        </w:rPr>
      </w:pPr>
      <w:r w:rsidRPr="00FD1013">
        <w:rPr>
          <w:i/>
          <w:sz w:val="22"/>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230530E7" w14:textId="77777777" w:rsidR="002B50CE" w:rsidRPr="00FD1013" w:rsidRDefault="002B50CE" w:rsidP="002B50CE">
      <w:pPr>
        <w:ind w:left="708"/>
        <w:rPr>
          <w:i/>
          <w:sz w:val="22"/>
        </w:rPr>
      </w:pPr>
      <w:r w:rsidRPr="00FD1013">
        <w:rPr>
          <w:i/>
          <w:sz w:val="22"/>
        </w:rPr>
        <w:t xml:space="preserve">(…) </w:t>
      </w:r>
    </w:p>
    <w:p w14:paraId="1931D627" w14:textId="77777777" w:rsidR="002B50CE" w:rsidRPr="00FD1013" w:rsidRDefault="002B50CE" w:rsidP="002B50CE">
      <w:pPr>
        <w:ind w:left="708"/>
        <w:rPr>
          <w:i/>
          <w:sz w:val="22"/>
          <w:u w:val="single"/>
        </w:rPr>
      </w:pPr>
      <w:r w:rsidRPr="00FD1013">
        <w:rPr>
          <w:i/>
          <w:sz w:val="22"/>
        </w:rPr>
        <w:t xml:space="preserve">Artículo 161. </w:t>
      </w:r>
      <w:r w:rsidRPr="00FD1013">
        <w:rPr>
          <w:b/>
          <w:i/>
          <w:sz w:val="22"/>
        </w:rPr>
        <w:t xml:space="preserve">Cuando la información requerida por el solicitante ya esté disponible al público </w:t>
      </w:r>
      <w:r w:rsidRPr="00FD1013">
        <w:rPr>
          <w:i/>
          <w:sz w:val="22"/>
        </w:rPr>
        <w:t xml:space="preserve">en medios impresos, tales como libros, compendios, trípticos, registros públicos, en formatos electrónicos disponibles en Internet o en cualquier otro medio, </w:t>
      </w:r>
      <w:r w:rsidRPr="00FD1013">
        <w:rPr>
          <w:i/>
          <w:sz w:val="22"/>
          <w:u w:val="single"/>
        </w:rPr>
        <w:t xml:space="preserve">se le hará saber por el medio requerido por el solicitante la fuente, el lugar y la forma en que puede consultar, reproducir o </w:t>
      </w:r>
      <w:r w:rsidRPr="00FD1013">
        <w:rPr>
          <w:i/>
          <w:sz w:val="22"/>
          <w:u w:val="single"/>
        </w:rPr>
        <w:lastRenderedPageBreak/>
        <w:t>adquirir dicha información en un plazo no mayor a cinco días hábiles. La fuente deberá ser precisa y concreta y no debe implicar que el solicitante realice una búsqueda en toda la información que se encuentre disponible</w:t>
      </w:r>
    </w:p>
    <w:p w14:paraId="27F14D8B" w14:textId="77777777" w:rsidR="002B50CE" w:rsidRDefault="002B50CE" w:rsidP="002B50CE">
      <w:pPr>
        <w:rPr>
          <w:szCs w:val="24"/>
        </w:rPr>
      </w:pPr>
    </w:p>
    <w:p w14:paraId="3C5BA92D" w14:textId="7381776E" w:rsidR="00D94014" w:rsidRPr="00C07CBF" w:rsidRDefault="002B50CE" w:rsidP="002B50CE">
      <w:pPr>
        <w:rPr>
          <w:szCs w:val="24"/>
        </w:rPr>
      </w:pPr>
      <w:r w:rsidRPr="00C07CBF">
        <w:rPr>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70EB2BD" w14:textId="77777777" w:rsidR="002B50CE" w:rsidRPr="00FD1013" w:rsidRDefault="002B50CE" w:rsidP="002B50CE">
      <w:pPr>
        <w:rPr>
          <w:sz w:val="22"/>
        </w:rPr>
      </w:pPr>
      <w:r w:rsidRPr="00FD1013">
        <w:rPr>
          <w:sz w:val="22"/>
        </w:rPr>
        <w:t xml:space="preserve"> a) La fuente </w:t>
      </w:r>
    </w:p>
    <w:p w14:paraId="39EBDE71" w14:textId="77777777" w:rsidR="002B50CE" w:rsidRPr="00FD1013" w:rsidRDefault="002B50CE" w:rsidP="002B50CE">
      <w:pPr>
        <w:rPr>
          <w:sz w:val="22"/>
        </w:rPr>
      </w:pPr>
      <w:r w:rsidRPr="00FD1013">
        <w:rPr>
          <w:sz w:val="22"/>
        </w:rPr>
        <w:t xml:space="preserve">b) El lugar y </w:t>
      </w:r>
    </w:p>
    <w:p w14:paraId="28C17077" w14:textId="77777777" w:rsidR="002B50CE" w:rsidRPr="00FD1013" w:rsidRDefault="002B50CE" w:rsidP="002B50CE">
      <w:pPr>
        <w:rPr>
          <w:sz w:val="22"/>
        </w:rPr>
      </w:pPr>
      <w:r w:rsidRPr="00FD1013">
        <w:rPr>
          <w:sz w:val="22"/>
        </w:rPr>
        <w:t xml:space="preserve">c) La forma </w:t>
      </w:r>
    </w:p>
    <w:p w14:paraId="20044FC9" w14:textId="77777777" w:rsidR="002B50CE" w:rsidRPr="00FD1013" w:rsidRDefault="002B50CE" w:rsidP="002B50CE">
      <w:pPr>
        <w:rPr>
          <w:sz w:val="22"/>
        </w:rPr>
      </w:pPr>
      <w:r w:rsidRPr="00FD1013">
        <w:rPr>
          <w:sz w:val="22"/>
        </w:rPr>
        <w:t>Asimismo, se establece que la fuente de la información deberá ser:</w:t>
      </w:r>
    </w:p>
    <w:p w14:paraId="6075A197" w14:textId="77777777" w:rsidR="002B50CE" w:rsidRPr="00FD1013" w:rsidRDefault="002B50CE" w:rsidP="002B50CE">
      <w:pPr>
        <w:rPr>
          <w:b/>
          <w:bCs/>
          <w:sz w:val="22"/>
        </w:rPr>
      </w:pPr>
      <w:r w:rsidRPr="00FD1013">
        <w:rPr>
          <w:b/>
          <w:bCs/>
          <w:sz w:val="22"/>
        </w:rPr>
        <w:t xml:space="preserve"> a) Precisa </w:t>
      </w:r>
    </w:p>
    <w:p w14:paraId="1BC51A50" w14:textId="77777777" w:rsidR="002B50CE" w:rsidRPr="00FD1013" w:rsidRDefault="002B50CE" w:rsidP="002B50CE">
      <w:pPr>
        <w:rPr>
          <w:sz w:val="22"/>
        </w:rPr>
      </w:pPr>
      <w:r w:rsidRPr="00FD1013">
        <w:rPr>
          <w:sz w:val="22"/>
        </w:rPr>
        <w:t xml:space="preserve">b) Concreta </w:t>
      </w:r>
    </w:p>
    <w:p w14:paraId="738F3D96" w14:textId="77777777" w:rsidR="002B50CE" w:rsidRDefault="002B50CE" w:rsidP="002B50CE">
      <w:pPr>
        <w:rPr>
          <w:b/>
          <w:sz w:val="22"/>
        </w:rPr>
      </w:pPr>
      <w:r w:rsidRPr="00FD1013">
        <w:rPr>
          <w:b/>
          <w:sz w:val="22"/>
        </w:rPr>
        <w:t>c) Y no debe implicar que el solicitante realice una búsqueda en toda la información que se encuentre disponible.</w:t>
      </w:r>
    </w:p>
    <w:p w14:paraId="35F7DFD5" w14:textId="77777777" w:rsidR="002B50CE" w:rsidRDefault="002B50CE" w:rsidP="002B50CE">
      <w:pPr>
        <w:rPr>
          <w:rFonts w:eastAsiaTheme="minorEastAsia" w:cs="Arial"/>
          <w:i/>
          <w:szCs w:val="24"/>
        </w:rPr>
      </w:pPr>
    </w:p>
    <w:p w14:paraId="0152B15E" w14:textId="28F961D0" w:rsidR="002B50CE" w:rsidRDefault="002B50CE" w:rsidP="002B50CE">
      <w:pPr>
        <w:rPr>
          <w:rFonts w:cs="Arial"/>
          <w:szCs w:val="24"/>
        </w:rPr>
      </w:pPr>
      <w:r w:rsidRPr="00C07CBF">
        <w:rPr>
          <w:rFonts w:cs="Arial"/>
          <w:szCs w:val="24"/>
        </w:rPr>
        <w:t xml:space="preserve">Aunado a lo anterior, se destaca que la liga electrónica proporcionada se encuentra en formato </w:t>
      </w:r>
      <w:r w:rsidR="00E47622">
        <w:rPr>
          <w:rFonts w:cs="Arial"/>
          <w:szCs w:val="24"/>
        </w:rPr>
        <w:t>abierto</w:t>
      </w:r>
      <w:r w:rsidRPr="00C07CBF">
        <w:rPr>
          <w:rFonts w:cs="Arial"/>
          <w:szCs w:val="24"/>
        </w:rPr>
        <w:t xml:space="preserve">; es decir, implica que el particular </w:t>
      </w:r>
      <w:r w:rsidR="00E47622">
        <w:rPr>
          <w:rFonts w:cs="Arial"/>
          <w:szCs w:val="24"/>
        </w:rPr>
        <w:t xml:space="preserve">ya no deba de </w:t>
      </w:r>
      <w:r w:rsidRPr="00C07CBF">
        <w:rPr>
          <w:rFonts w:cs="Arial"/>
          <w:szCs w:val="24"/>
        </w:rPr>
        <w:t xml:space="preserve">transcriba el mismo, </w:t>
      </w:r>
      <w:r w:rsidR="00E47622">
        <w:rPr>
          <w:rFonts w:cs="Arial"/>
          <w:szCs w:val="24"/>
        </w:rPr>
        <w:t xml:space="preserve">lo que </w:t>
      </w:r>
      <w:r w:rsidRPr="00C07CBF">
        <w:rPr>
          <w:rFonts w:cs="Arial"/>
          <w:szCs w:val="24"/>
        </w:rPr>
        <w:t>hace</w:t>
      </w:r>
      <w:r w:rsidR="00E47622">
        <w:rPr>
          <w:rFonts w:cs="Arial"/>
          <w:szCs w:val="24"/>
        </w:rPr>
        <w:t xml:space="preserve"> </w:t>
      </w:r>
      <w:r w:rsidRPr="00C07CBF">
        <w:rPr>
          <w:rFonts w:cs="Arial"/>
          <w:szCs w:val="24"/>
        </w:rPr>
        <w:t xml:space="preserve">posible su consulta. </w:t>
      </w:r>
    </w:p>
    <w:p w14:paraId="5C6B2575" w14:textId="77777777" w:rsidR="002B50CE" w:rsidRPr="00C07CBF" w:rsidRDefault="002B50CE" w:rsidP="002B50CE">
      <w:pPr>
        <w:rPr>
          <w:rFonts w:cs="Arial"/>
          <w:szCs w:val="24"/>
        </w:rPr>
      </w:pPr>
      <w:r w:rsidRPr="00C07CBF">
        <w:rPr>
          <w:rFonts w:cs="Arial"/>
          <w:szCs w:val="24"/>
        </w:rPr>
        <w:t xml:space="preserve"> </w:t>
      </w:r>
    </w:p>
    <w:p w14:paraId="1588F032" w14:textId="414AB035" w:rsidR="002B50CE" w:rsidRDefault="002B50CE" w:rsidP="002B50CE">
      <w:pPr>
        <w:rPr>
          <w:szCs w:val="24"/>
        </w:rPr>
      </w:pPr>
      <w:r w:rsidRPr="00C07CBF">
        <w:rPr>
          <w:rFonts w:eastAsiaTheme="minorEastAsia" w:cs="Arial"/>
          <w:szCs w:val="24"/>
        </w:rPr>
        <w:t>De lo descrito con anterioridad</w:t>
      </w:r>
      <w:r w:rsidRPr="00C07CBF">
        <w:rPr>
          <w:szCs w:val="24"/>
        </w:rPr>
        <w:t xml:space="preserve"> es necesario precisar que entonces para tener acceso a la</w:t>
      </w:r>
      <w:r>
        <w:rPr>
          <w:szCs w:val="24"/>
        </w:rPr>
        <w:t xml:space="preserve"> </w:t>
      </w:r>
      <w:r w:rsidRPr="00C07CBF">
        <w:rPr>
          <w:szCs w:val="24"/>
        </w:rPr>
        <w:t>liga proporcionada</w:t>
      </w:r>
      <w:r w:rsidR="00E47622">
        <w:rPr>
          <w:szCs w:val="24"/>
        </w:rPr>
        <w:t xml:space="preserve"> ya no es</w:t>
      </w:r>
      <w:r w:rsidRPr="00C07CBF">
        <w:rPr>
          <w:szCs w:val="24"/>
        </w:rPr>
        <w:t xml:space="preserve"> necesario capturar la dirección electrónica carácter por </w:t>
      </w:r>
      <w:r w:rsidRPr="00C07CBF">
        <w:rPr>
          <w:szCs w:val="24"/>
        </w:rPr>
        <w:lastRenderedPageBreak/>
        <w:t>carácter, ya que el documento digitalizado a través del cual se proporcionó la liga permite editar, mod</w:t>
      </w:r>
      <w:r>
        <w:rPr>
          <w:szCs w:val="24"/>
        </w:rPr>
        <w:t xml:space="preserve">ificar o procesar su contenido. </w:t>
      </w:r>
      <w:r w:rsidRPr="00C07CBF">
        <w:rPr>
          <w:szCs w:val="24"/>
        </w:rPr>
        <w:t>Asimismo, se debe establecer que al proporcionar información es necesario que sea en un formato que no tenga ninguna restricción en el acceso o reutilización, por lo que, es necesario que los datos digitales (como ligas electrónicas), se proporcionen en un formato abierto.</w:t>
      </w:r>
    </w:p>
    <w:p w14:paraId="41736250" w14:textId="77777777" w:rsidR="002B50CE" w:rsidRPr="00C07CBF" w:rsidRDefault="002B50CE" w:rsidP="002B50CE">
      <w:pPr>
        <w:rPr>
          <w:szCs w:val="24"/>
        </w:rPr>
      </w:pPr>
    </w:p>
    <w:p w14:paraId="028F8117" w14:textId="77777777" w:rsidR="002B50CE" w:rsidRDefault="002B50CE" w:rsidP="002B50CE">
      <w:pPr>
        <w:rPr>
          <w:rFonts w:cs="Tahoma"/>
          <w:b/>
          <w:bCs/>
          <w:i/>
          <w:szCs w:val="24"/>
        </w:rPr>
      </w:pPr>
      <w:r w:rsidRPr="00C07CBF">
        <w:rPr>
          <w:rFonts w:cs="Tahoma"/>
          <w:bCs/>
          <w:szCs w:val="24"/>
        </w:rPr>
        <w:t>Derivado de lo anterior, se considera necesario precisar que datos abiertos, conforme a la Carta Internacional de Datos Abiertos</w:t>
      </w:r>
      <w:r w:rsidRPr="00C07CBF">
        <w:rPr>
          <w:rStyle w:val="Refdenotaalpie"/>
          <w:rFonts w:cs="Tahoma"/>
          <w:bCs/>
          <w:szCs w:val="24"/>
        </w:rPr>
        <w:footnoteReference w:id="4"/>
      </w:r>
      <w:r w:rsidRPr="00C07CBF">
        <w:rPr>
          <w:rFonts w:cs="Tahoma"/>
          <w:bCs/>
          <w:szCs w:val="24"/>
        </w:rPr>
        <w:t xml:space="preserve"> </w:t>
      </w:r>
      <w:r w:rsidRPr="00C07CBF">
        <w:rPr>
          <w:rFonts w:cs="Tahoma"/>
          <w:bCs/>
          <w:i/>
          <w:szCs w:val="24"/>
        </w:rPr>
        <w:t xml:space="preserve">son datos digitales que son puestos a disposición con las características técnicas y jurídicas necesarias para que </w:t>
      </w:r>
      <w:r w:rsidRPr="00C07CBF">
        <w:rPr>
          <w:rFonts w:cs="Tahoma"/>
          <w:b/>
          <w:bCs/>
          <w:i/>
          <w:szCs w:val="24"/>
        </w:rPr>
        <w:t xml:space="preserve">puedan ser </w:t>
      </w:r>
      <w:r w:rsidRPr="00C07CBF">
        <w:rPr>
          <w:rFonts w:cs="Tahoma"/>
          <w:b/>
          <w:bCs/>
          <w:i/>
          <w:szCs w:val="24"/>
          <w:u w:val="single"/>
        </w:rPr>
        <w:t>usados, reutilizados y redistribuidos</w:t>
      </w:r>
      <w:r w:rsidRPr="00C07CBF">
        <w:rPr>
          <w:rFonts w:cs="Tahoma"/>
          <w:b/>
          <w:bCs/>
          <w:i/>
          <w:szCs w:val="24"/>
        </w:rPr>
        <w:t xml:space="preserve"> libremente por cualquier persona, en cualquier momento y en cualquier lugar.</w:t>
      </w:r>
    </w:p>
    <w:p w14:paraId="565803A8" w14:textId="77777777" w:rsidR="002B50CE" w:rsidRPr="00C07CBF" w:rsidRDefault="002B50CE" w:rsidP="002B50CE">
      <w:pPr>
        <w:rPr>
          <w:rFonts w:cs="Tahoma"/>
          <w:b/>
          <w:bCs/>
          <w:i/>
          <w:szCs w:val="24"/>
        </w:rPr>
      </w:pPr>
    </w:p>
    <w:p w14:paraId="099115A2" w14:textId="77777777" w:rsidR="002B50CE" w:rsidRPr="00C07CBF" w:rsidRDefault="002B50CE" w:rsidP="002B50CE">
      <w:pPr>
        <w:rPr>
          <w:szCs w:val="24"/>
        </w:rPr>
      </w:pPr>
      <w:r w:rsidRPr="00C07CBF">
        <w:rPr>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DF7AAEA" w14:textId="77777777" w:rsidR="002B50CE" w:rsidRPr="00FD1013" w:rsidRDefault="002B50CE" w:rsidP="002B50CE">
      <w:pPr>
        <w:ind w:left="720"/>
        <w:rPr>
          <w:i/>
          <w:sz w:val="22"/>
        </w:rPr>
      </w:pPr>
      <w:r w:rsidRPr="00A22028">
        <w:t xml:space="preserve">·         </w:t>
      </w:r>
      <w:r w:rsidRPr="00FD1013">
        <w:rPr>
          <w:b/>
          <w:bCs/>
          <w:i/>
          <w:sz w:val="22"/>
        </w:rPr>
        <w:t xml:space="preserve">Dato abierto: </w:t>
      </w:r>
      <w:r w:rsidRPr="00FD1013">
        <w:rPr>
          <w:i/>
          <w:sz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1649C4A" w14:textId="77777777" w:rsidR="002B50CE" w:rsidRPr="00FD1013" w:rsidRDefault="002B50CE" w:rsidP="002B50CE">
      <w:pPr>
        <w:rPr>
          <w:i/>
          <w:sz w:val="22"/>
        </w:rPr>
      </w:pPr>
    </w:p>
    <w:p w14:paraId="4BCC8F16" w14:textId="77777777" w:rsidR="002B50CE" w:rsidRPr="00FD1013" w:rsidRDefault="002B50CE" w:rsidP="002B50CE">
      <w:pPr>
        <w:ind w:left="720"/>
        <w:rPr>
          <w:i/>
          <w:sz w:val="22"/>
        </w:rPr>
      </w:pPr>
      <w:r w:rsidRPr="00FD1013">
        <w:rPr>
          <w:i/>
          <w:sz w:val="22"/>
        </w:rPr>
        <w:t xml:space="preserve">·         </w:t>
      </w:r>
      <w:r w:rsidRPr="00FD1013">
        <w:rPr>
          <w:b/>
          <w:bCs/>
          <w:i/>
          <w:sz w:val="22"/>
        </w:rPr>
        <w:t xml:space="preserve">Formato accesible: </w:t>
      </w:r>
      <w:r w:rsidRPr="00FD1013">
        <w:rPr>
          <w:i/>
          <w:sz w:val="22"/>
        </w:rPr>
        <w:t xml:space="preserve">Conjunto de características técnicas y de presentación de la información que corresponden a la estructura lógica usada para almacenar datos de forma integral y facilitan </w:t>
      </w:r>
      <w:r w:rsidRPr="00FD1013">
        <w:rPr>
          <w:i/>
          <w:sz w:val="22"/>
        </w:rPr>
        <w:lastRenderedPageBreak/>
        <w:t>su procesamiento digital, cuyas especificaciones estás disponibles públicamente y que permite el acceso sin restricción de uso por parte de los usuarios.</w:t>
      </w:r>
    </w:p>
    <w:p w14:paraId="019A0E6C" w14:textId="77777777" w:rsidR="002B50CE" w:rsidRPr="00920AAE" w:rsidRDefault="002B50CE" w:rsidP="002B50CE">
      <w:pPr>
        <w:ind w:left="720"/>
        <w:rPr>
          <w:i/>
        </w:rPr>
      </w:pPr>
    </w:p>
    <w:p w14:paraId="0E27E708" w14:textId="40964AE8" w:rsidR="002B50CE" w:rsidRPr="00C07CBF" w:rsidRDefault="002B50CE" w:rsidP="002B50CE">
      <w:pPr>
        <w:rPr>
          <w:rFonts w:cs="Tahoma"/>
          <w:bCs/>
          <w:szCs w:val="24"/>
        </w:rPr>
      </w:pPr>
      <w:r w:rsidRPr="00C07CBF">
        <w:rPr>
          <w:rFonts w:cs="Tahoma"/>
          <w:bCs/>
          <w:szCs w:val="24"/>
        </w:rPr>
        <w:t xml:space="preserve">En este sentido, los datos abiertos cumplen con la finalidad de poder ser utilizados, </w:t>
      </w:r>
      <w:r w:rsidRPr="00C07CBF">
        <w:rPr>
          <w:rFonts w:cs="Tahoma"/>
          <w:b/>
          <w:bCs/>
          <w:szCs w:val="24"/>
          <w:u w:val="single"/>
        </w:rPr>
        <w:t xml:space="preserve">reutilizados </w:t>
      </w:r>
      <w:r w:rsidRPr="00C07CBF">
        <w:rPr>
          <w:rFonts w:cs="Tahoma"/>
          <w:bCs/>
          <w:szCs w:val="24"/>
        </w:rPr>
        <w:t xml:space="preserve">y redistribuidos; y que el formato de datos abiertos, </w:t>
      </w:r>
      <w:r w:rsidRPr="00C07CBF">
        <w:rPr>
          <w:rFonts w:cs="Tahoma"/>
          <w:b/>
          <w:bCs/>
          <w:szCs w:val="24"/>
        </w:rPr>
        <w:t>debe permitir la aplicación y reproducción</w:t>
      </w:r>
      <w:r w:rsidRPr="00C07CBF">
        <w:rPr>
          <w:rFonts w:cs="Tahoma"/>
          <w:bCs/>
          <w:szCs w:val="24"/>
        </w:rPr>
        <w:t xml:space="preserve"> de la información sin estar condicionados a contraprestaciones; lo anterior no debe traducirse en la posibilidad de alteración, edición o modificación del original; entonces, </w:t>
      </w:r>
      <w:r w:rsidRPr="00E47622">
        <w:rPr>
          <w:rFonts w:cs="Tahoma"/>
          <w:bCs/>
          <w:szCs w:val="24"/>
          <w:u w:val="single"/>
        </w:rPr>
        <w:t>podemos advertir que el documento entregado permite seleccionar texto, copiarlo y pegarlo</w:t>
      </w:r>
      <w:r w:rsidRPr="00C07CBF">
        <w:rPr>
          <w:rFonts w:cs="Tahoma"/>
          <w:bCs/>
          <w:szCs w:val="24"/>
        </w:rPr>
        <w:t>; por tanto, permite que la información pueda ser utilizada, reutilizada o redistribuida.</w:t>
      </w:r>
    </w:p>
    <w:p w14:paraId="2BD6CE50" w14:textId="77777777" w:rsidR="002B50CE" w:rsidRPr="00C07CBF" w:rsidRDefault="002B50CE" w:rsidP="002B50CE">
      <w:pPr>
        <w:rPr>
          <w:rFonts w:cs="Tahoma"/>
          <w:bCs/>
          <w:szCs w:val="24"/>
        </w:rPr>
      </w:pPr>
    </w:p>
    <w:p w14:paraId="6AB59F13" w14:textId="75136560" w:rsidR="002B50CE" w:rsidRDefault="002B50CE" w:rsidP="002B50CE">
      <w:pPr>
        <w:rPr>
          <w:szCs w:val="24"/>
        </w:rPr>
      </w:pPr>
      <w:r w:rsidRPr="00C07CBF">
        <w:rPr>
          <w:rFonts w:cs="Arial"/>
          <w:szCs w:val="24"/>
        </w:rPr>
        <w:t>Ahora bien, cabe precisar que</w:t>
      </w:r>
      <w:r w:rsidR="00E47622">
        <w:rPr>
          <w:rFonts w:cs="Arial"/>
          <w:szCs w:val="24"/>
        </w:rPr>
        <w:t xml:space="preserve"> </w:t>
      </w:r>
      <w:r w:rsidRPr="00C07CBF">
        <w:rPr>
          <w:rFonts w:cs="Arial"/>
          <w:szCs w:val="24"/>
        </w:rPr>
        <w:t xml:space="preserve">el </w:t>
      </w:r>
      <w:r w:rsidRPr="00C07CBF">
        <w:rPr>
          <w:rFonts w:cs="Arial"/>
          <w:b/>
          <w:szCs w:val="24"/>
        </w:rPr>
        <w:t xml:space="preserve">SUJETO OBLIGADO </w:t>
      </w:r>
      <w:r w:rsidRPr="00C07CBF">
        <w:rPr>
          <w:rFonts w:cs="Arial"/>
          <w:szCs w:val="24"/>
        </w:rPr>
        <w:t>atendió el derecho de acceso a la información dado que la liga electrónica</w:t>
      </w:r>
      <w:r>
        <w:rPr>
          <w:rFonts w:cs="Arial"/>
          <w:szCs w:val="24"/>
        </w:rPr>
        <w:t xml:space="preserve"> se encuentra</w:t>
      </w:r>
      <w:r w:rsidRPr="00C07CBF">
        <w:rPr>
          <w:rFonts w:cs="Arial"/>
          <w:szCs w:val="24"/>
        </w:rPr>
        <w:t xml:space="preserve"> en formato</w:t>
      </w:r>
      <w:r w:rsidR="00E47622">
        <w:rPr>
          <w:rFonts w:cs="Arial"/>
          <w:szCs w:val="24"/>
        </w:rPr>
        <w:t xml:space="preserve"> abierto.</w:t>
      </w:r>
    </w:p>
    <w:p w14:paraId="6E5063FC" w14:textId="77777777" w:rsidR="002B50CE" w:rsidRDefault="002B50CE" w:rsidP="00A02A9F">
      <w:pPr>
        <w:pBdr>
          <w:top w:val="nil"/>
          <w:left w:val="nil"/>
          <w:bottom w:val="nil"/>
          <w:right w:val="nil"/>
          <w:between w:val="nil"/>
        </w:pBdr>
        <w:contextualSpacing/>
      </w:pPr>
    </w:p>
    <w:p w14:paraId="3CBB633B" w14:textId="4F76DA1E" w:rsidR="00A02A9F" w:rsidRDefault="00E47622" w:rsidP="00A02A9F">
      <w:pPr>
        <w:pBdr>
          <w:top w:val="nil"/>
          <w:left w:val="nil"/>
          <w:bottom w:val="nil"/>
          <w:right w:val="nil"/>
          <w:between w:val="nil"/>
        </w:pBdr>
        <w:contextualSpacing/>
      </w:pPr>
      <w:r>
        <w:t xml:space="preserve">Ahora bien, como </w:t>
      </w:r>
      <w:r w:rsidR="00252AA5">
        <w:t xml:space="preserve">se puede observar, </w:t>
      </w:r>
      <w:r w:rsidR="0079231F">
        <w:t xml:space="preserve">la Secretaria de Movilidad </w:t>
      </w:r>
      <w:r w:rsidR="00F72CAA">
        <w:t xml:space="preserve">en el ámbito de su competencia puede acudir a las reuniones, comités o consejos que tengan competencia con la movilidad sin </w:t>
      </w:r>
      <w:r w:rsidR="00A02A9F">
        <w:t>embargo, el Sujeto Obligado manifestó que en los archivos que</w:t>
      </w:r>
      <w:r w:rsidR="00A02A9F">
        <w:rPr>
          <w:rFonts w:eastAsia="Palatino Linotype" w:cs="Palatino Linotype"/>
          <w:color w:val="000000"/>
        </w:rPr>
        <w:t xml:space="preserve"> </w:t>
      </w:r>
      <w:r w:rsidR="00A02A9F">
        <w:rPr>
          <w:rFonts w:eastAsia="Palatino Linotype" w:cs="Palatino Linotype"/>
          <w:b/>
          <w:color w:val="000000"/>
        </w:rPr>
        <w:t>la Subsecretaria de Movilidad no tiene registros de lo solicitado, que habiendo realizado una búsqueda exhaustiva y minuciosa en los archivos de su unidad administrativa no se localizó registro de lo solicitado</w:t>
      </w:r>
      <w:r w:rsidR="00A02A9F" w:rsidRPr="003E3CFD">
        <w:rPr>
          <w:rFonts w:eastAsia="Palatino Linotype" w:cs="Palatino Linotype"/>
          <w:color w:val="000000"/>
        </w:rPr>
        <w:t xml:space="preserve">, </w:t>
      </w:r>
      <w:r w:rsidR="00A02A9F">
        <w:t>por ende, al manifestar que no se cuenta con</w:t>
      </w:r>
      <w:r w:rsidR="00A02A9F" w:rsidRPr="00A02A9F">
        <w:rPr>
          <w:color w:val="000000"/>
        </w:rPr>
        <w:t xml:space="preserve"> </w:t>
      </w:r>
      <w:r w:rsidR="00A02A9F">
        <w:rPr>
          <w:color w:val="000000"/>
        </w:rPr>
        <w:t>las l</w:t>
      </w:r>
      <w:r w:rsidR="00A02A9F" w:rsidRPr="00A02A9F">
        <w:rPr>
          <w:color w:val="000000"/>
        </w:rPr>
        <w:t>istas de asistencia de los transportistas</w:t>
      </w:r>
      <w:r w:rsidR="00A02A9F">
        <w:rPr>
          <w:color w:val="000000"/>
        </w:rPr>
        <w:t xml:space="preserve">, </w:t>
      </w:r>
      <w:r w:rsidR="00A02A9F">
        <w:rPr>
          <w:rFonts w:eastAsia="Palatino Linotype" w:cs="Palatino Linotype"/>
          <w:color w:val="000000"/>
        </w:rPr>
        <w:t>e</w:t>
      </w:r>
      <w:r w:rsidR="00A02A9F" w:rsidRPr="00A02A9F">
        <w:rPr>
          <w:color w:val="000000"/>
        </w:rPr>
        <w:t>l discurso o temas tratados en la conferencia</w:t>
      </w:r>
      <w:r w:rsidR="00A02A9F">
        <w:rPr>
          <w:color w:val="000000"/>
        </w:rPr>
        <w:t xml:space="preserve">, </w:t>
      </w:r>
      <w:r w:rsidR="00A02A9F">
        <w:rPr>
          <w:rFonts w:eastAsia="Palatino Linotype" w:cs="Palatino Linotype"/>
          <w:color w:val="000000"/>
        </w:rPr>
        <w:t>e</w:t>
      </w:r>
      <w:r w:rsidR="00A02A9F" w:rsidRPr="00A02A9F">
        <w:rPr>
          <w:color w:val="000000"/>
        </w:rPr>
        <w:t>l video o versión escenográfica de la conferencia</w:t>
      </w:r>
      <w:r w:rsidR="00A02A9F">
        <w:rPr>
          <w:color w:val="000000"/>
        </w:rPr>
        <w:t>, e</w:t>
      </w:r>
      <w:r w:rsidR="00A02A9F" w:rsidRPr="00A02A9F">
        <w:rPr>
          <w:color w:val="000000"/>
        </w:rPr>
        <w:t>l nombre de los medios de comunicación que asistieron</w:t>
      </w:r>
      <w:r w:rsidR="00A02A9F">
        <w:rPr>
          <w:rFonts w:eastAsia="Palatino Linotype" w:cs="Palatino Linotype"/>
          <w:color w:val="000000"/>
        </w:rPr>
        <w:t>, el m</w:t>
      </w:r>
      <w:r w:rsidR="00A02A9F" w:rsidRPr="00A02A9F">
        <w:rPr>
          <w:color w:val="000000"/>
        </w:rPr>
        <w:t>onto pagado para que asistieran los medios de comunicación</w:t>
      </w:r>
      <w:r w:rsidR="00A02A9F">
        <w:rPr>
          <w:rFonts w:eastAsia="Palatino Linotype" w:cs="Palatino Linotype"/>
          <w:color w:val="000000"/>
        </w:rPr>
        <w:t xml:space="preserve"> así como la i</w:t>
      </w:r>
      <w:r w:rsidR="00A02A9F" w:rsidRPr="00A02A9F">
        <w:rPr>
          <w:color w:val="000000"/>
        </w:rPr>
        <w:t>nvitac</w:t>
      </w:r>
      <w:r w:rsidR="00A02A9F">
        <w:rPr>
          <w:color w:val="000000"/>
        </w:rPr>
        <w:t>ión a los medios de comunicación d</w:t>
      </w:r>
      <w:r w:rsidR="00A02A9F" w:rsidRPr="00A02A9F">
        <w:rPr>
          <w:color w:val="000000"/>
        </w:rPr>
        <w:t xml:space="preserve">el evento denominado “conferencia de prensa </w:t>
      </w:r>
      <w:r w:rsidR="00A02A9F" w:rsidRPr="00A02A9F">
        <w:rPr>
          <w:color w:val="000000"/>
        </w:rPr>
        <w:lastRenderedPageBreak/>
        <w:t>con el Secretario Daniel” de fecha tres de septiembre de</w:t>
      </w:r>
      <w:r w:rsidR="00A02A9F">
        <w:rPr>
          <w:color w:val="000000"/>
        </w:rPr>
        <w:t xml:space="preserve"> dos mil veinticuatro, en este sentido</w:t>
      </w:r>
      <w:r w:rsidR="00A02A9F">
        <w:t xml:space="preserve"> se estima que la respuesta a dicho requerimiento consiste en hechos negativos. </w:t>
      </w:r>
    </w:p>
    <w:p w14:paraId="4C47EC27" w14:textId="77777777" w:rsidR="00E47622" w:rsidRDefault="00E47622" w:rsidP="00A02A9F">
      <w:pPr>
        <w:pBdr>
          <w:top w:val="nil"/>
          <w:left w:val="nil"/>
          <w:bottom w:val="nil"/>
          <w:right w:val="nil"/>
          <w:between w:val="nil"/>
        </w:pBdr>
        <w:contextualSpacing/>
      </w:pPr>
    </w:p>
    <w:p w14:paraId="7BDAA44C" w14:textId="3FE6A674" w:rsidR="00A02A9F" w:rsidRDefault="00D94014" w:rsidP="00FF2894">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Resultando imprescindible traer a colación las manifestaciones realizadas por los servidores públicos habilitados de </w:t>
      </w:r>
      <w:r w:rsidR="00E47622">
        <w:rPr>
          <w:rFonts w:eastAsia="Palatino Linotype" w:cs="Palatino Linotype"/>
          <w:color w:val="000000"/>
        </w:rPr>
        <w:t xml:space="preserve">la Secretaria Particular y el Coordinador de Vinculación </w:t>
      </w:r>
      <w:r>
        <w:rPr>
          <w:rFonts w:eastAsia="Palatino Linotype" w:cs="Palatino Linotype"/>
          <w:color w:val="000000"/>
        </w:rPr>
        <w:t xml:space="preserve"> pues </w:t>
      </w:r>
      <w:r w:rsidR="00E47622">
        <w:rPr>
          <w:rFonts w:eastAsia="Palatino Linotype" w:cs="Palatino Linotype"/>
          <w:color w:val="000000"/>
        </w:rPr>
        <w:t>también se manifestaron en sentido negativo</w:t>
      </w:r>
      <w:r>
        <w:rPr>
          <w:rFonts w:eastAsia="Palatino Linotype" w:cs="Palatino Linotype"/>
          <w:color w:val="000000"/>
        </w:rPr>
        <w:t>;</w:t>
      </w:r>
      <w:r w:rsidR="00E47622">
        <w:rPr>
          <w:rFonts w:eastAsia="Palatino Linotype" w:cs="Palatino Linotype"/>
          <w:color w:val="000000"/>
        </w:rPr>
        <w:t xml:space="preserve"> por una parte la Secretaria Particular realizo una </w:t>
      </w:r>
      <w:r w:rsidR="00E47622">
        <w:t xml:space="preserve">búsqueda exhaustiva de revisión de la agenda del Secretario de Movilidad correspondiente al martes tres de septiembre en la que confirma que </w:t>
      </w:r>
      <w:r w:rsidR="00E47622" w:rsidRPr="00D94014">
        <w:rPr>
          <w:b/>
          <w:bCs/>
        </w:rPr>
        <w:t xml:space="preserve">no se </w:t>
      </w:r>
      <w:r w:rsidR="00FF2894" w:rsidRPr="00D94014">
        <w:rPr>
          <w:b/>
          <w:bCs/>
        </w:rPr>
        <w:t>llevó</w:t>
      </w:r>
      <w:r w:rsidR="00E47622" w:rsidRPr="00D94014">
        <w:rPr>
          <w:b/>
          <w:bCs/>
        </w:rPr>
        <w:t xml:space="preserve"> a cabo ninguna conferencia de prensa con su participación</w:t>
      </w:r>
      <w:r w:rsidR="00E47622">
        <w:t xml:space="preserve"> y el </w:t>
      </w:r>
      <w:r w:rsidR="00FF2894">
        <w:rPr>
          <w:rFonts w:eastAsia="Palatino Linotype" w:cs="Palatino Linotype"/>
          <w:color w:val="000000"/>
        </w:rPr>
        <w:t xml:space="preserve">Coordinador de Vinculación manifestó </w:t>
      </w:r>
      <w:r w:rsidR="00FF2894" w:rsidRPr="00FF2894">
        <w:t xml:space="preserve">que después de una exhaustiva búsqueda documental, en la Unidad Administrativa </w:t>
      </w:r>
      <w:r w:rsidR="00FF2894" w:rsidRPr="00D94014">
        <w:rPr>
          <w:b/>
          <w:bCs/>
        </w:rPr>
        <w:t>no se encontró registro de la información solicitada</w:t>
      </w:r>
      <w:r w:rsidR="00FF2894" w:rsidRPr="00FF2894">
        <w:t xml:space="preserve">, derivado a que esta </w:t>
      </w:r>
      <w:r w:rsidR="00FF2894">
        <w:t xml:space="preserve">su área </w:t>
      </w:r>
      <w:r w:rsidR="00FF2894" w:rsidRPr="00FF2894">
        <w:t>no realizó dicha reunión, ni su cobertura.</w:t>
      </w:r>
    </w:p>
    <w:p w14:paraId="2EF04F95" w14:textId="77777777" w:rsidR="00FF2894" w:rsidRPr="00FF2894" w:rsidRDefault="00FF2894" w:rsidP="00FF2894">
      <w:pPr>
        <w:pBdr>
          <w:top w:val="nil"/>
          <w:left w:val="nil"/>
          <w:bottom w:val="nil"/>
          <w:right w:val="nil"/>
          <w:between w:val="nil"/>
        </w:pBdr>
        <w:contextualSpacing/>
        <w:rPr>
          <w:rFonts w:eastAsia="Palatino Linotype" w:cs="Palatino Linotype"/>
          <w:color w:val="000000"/>
        </w:rPr>
      </w:pPr>
    </w:p>
    <w:p w14:paraId="0DDDFDF6" w14:textId="77777777" w:rsidR="00A02A9F" w:rsidRPr="001721FE" w:rsidRDefault="00A02A9F" w:rsidP="00A02A9F">
      <w:pPr>
        <w:autoSpaceDE w:val="0"/>
        <w:autoSpaceDN w:val="0"/>
        <w:adjustRightInd w:val="0"/>
        <w:rPr>
          <w:rFonts w:cs="Arial"/>
        </w:rPr>
      </w:pPr>
      <w:r w:rsidRPr="001721FE">
        <w:rPr>
          <w:rFonts w:cs="Arial"/>
        </w:rPr>
        <w:t>Es conveniente, invocar la tesis con número de registro 267287, de la Sexta Época, Instancia: Segunda Sala, publicada en el Semanario Judicial de la Federación, Volumen LII, Tercera Parte, Materia Común, que indica lo siguiente:</w:t>
      </w:r>
    </w:p>
    <w:p w14:paraId="18646DB5" w14:textId="77777777" w:rsidR="00A02A9F" w:rsidRPr="001721FE" w:rsidRDefault="00A02A9F" w:rsidP="00A02A9F">
      <w:pPr>
        <w:autoSpaceDE w:val="0"/>
        <w:autoSpaceDN w:val="0"/>
        <w:adjustRightInd w:val="0"/>
        <w:spacing w:line="276" w:lineRule="auto"/>
        <w:ind w:left="567" w:right="850"/>
        <w:rPr>
          <w:rFonts w:eastAsiaTheme="minorHAnsi" w:cs="Palatino Linotype"/>
          <w:i/>
          <w:color w:val="000000"/>
          <w:sz w:val="22"/>
          <w:szCs w:val="20"/>
          <w:lang w:val="es-MX" w:eastAsia="en-US"/>
        </w:rPr>
      </w:pPr>
    </w:p>
    <w:p w14:paraId="5FD17A17" w14:textId="77777777" w:rsidR="00A02A9F" w:rsidRPr="001721FE" w:rsidRDefault="00A02A9F" w:rsidP="00A02A9F">
      <w:pPr>
        <w:autoSpaceDE w:val="0"/>
        <w:autoSpaceDN w:val="0"/>
        <w:adjustRightInd w:val="0"/>
        <w:spacing w:line="276" w:lineRule="auto"/>
        <w:ind w:left="567" w:right="850"/>
        <w:rPr>
          <w:rFonts w:eastAsiaTheme="minorHAnsi" w:cs="Palatino Linotype"/>
          <w:i/>
          <w:color w:val="000000"/>
          <w:sz w:val="22"/>
          <w:szCs w:val="20"/>
          <w:lang w:val="es-MX" w:eastAsia="en-US"/>
        </w:rPr>
      </w:pPr>
      <w:r w:rsidRPr="001721FE">
        <w:rPr>
          <w:rFonts w:eastAsiaTheme="minorHAnsi" w:cs="Palatino Linotype"/>
          <w:i/>
          <w:color w:val="000000"/>
          <w:sz w:val="22"/>
          <w:szCs w:val="20"/>
          <w:lang w:val="es-MX" w:eastAsia="en-US"/>
        </w:rPr>
        <w:t>“</w:t>
      </w:r>
      <w:r w:rsidRPr="001721FE">
        <w:rPr>
          <w:rFonts w:eastAsiaTheme="minorHAnsi" w:cs="Palatino Linotype"/>
          <w:b/>
          <w:i/>
          <w:color w:val="000000"/>
          <w:sz w:val="22"/>
          <w:szCs w:val="20"/>
          <w:lang w:val="es-MX" w:eastAsia="en-US"/>
        </w:rPr>
        <w:t>HECHOS NEGATIVOS, NO SON SUSCEPTIBLES DE DEMOSTRACION</w:t>
      </w:r>
      <w:r w:rsidRPr="001721FE">
        <w:rPr>
          <w:rFonts w:eastAsiaTheme="minorHAnsi"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4CCEFC5C" w14:textId="77777777" w:rsidR="00A02A9F" w:rsidRDefault="00A02A9F" w:rsidP="00A02A9F">
      <w:pPr>
        <w:pBdr>
          <w:top w:val="nil"/>
          <w:left w:val="nil"/>
          <w:bottom w:val="nil"/>
          <w:right w:val="nil"/>
          <w:between w:val="nil"/>
        </w:pBdr>
        <w:contextualSpacing/>
        <w:rPr>
          <w:rFonts w:cs="Times New Roman"/>
        </w:rPr>
      </w:pPr>
    </w:p>
    <w:p w14:paraId="0245AD2F" w14:textId="77777777" w:rsidR="00A02A9F" w:rsidRPr="00820BB7" w:rsidRDefault="00A02A9F" w:rsidP="00A02A9F">
      <w:pPr>
        <w:pBdr>
          <w:top w:val="nil"/>
          <w:left w:val="nil"/>
          <w:bottom w:val="nil"/>
          <w:right w:val="nil"/>
          <w:between w:val="nil"/>
        </w:pBdr>
        <w:contextualSpacing/>
        <w:rPr>
          <w:rFonts w:eastAsia="Palatino Linotype" w:cs="Palatino Linotype"/>
          <w:szCs w:val="24"/>
        </w:rPr>
      </w:pPr>
      <w:r w:rsidRPr="00820BB7">
        <w:rPr>
          <w:rFonts w:cs="Times New Roman"/>
        </w:rPr>
        <w:t xml:space="preserve">Además, de conformidad con lo establecido en el artículo 12 de la Ley de la materia, el Sujeto Obligado sólo proporcionará la información que obra en sus archivos, lo que </w:t>
      </w:r>
      <w:r w:rsidRPr="00820BB7">
        <w:rPr>
          <w:rFonts w:cs="Times New Roman"/>
          <w:i/>
        </w:rPr>
        <w:t xml:space="preserve">a </w:t>
      </w:r>
      <w:r w:rsidRPr="00820BB7">
        <w:rPr>
          <w:rFonts w:cs="Times New Roman"/>
          <w:i/>
        </w:rPr>
        <w:lastRenderedPageBreak/>
        <w:t>contrario sensu</w:t>
      </w:r>
      <w:r w:rsidRPr="00820BB7">
        <w:rPr>
          <w:rFonts w:cs="Times New Roman"/>
        </w:rPr>
        <w:t xml:space="preserve"> significa que no está obligado a proporcionar lo que no obre en sus archivos.</w:t>
      </w:r>
    </w:p>
    <w:p w14:paraId="46119BF8" w14:textId="77777777" w:rsidR="00A02A9F" w:rsidRPr="00820BB7" w:rsidRDefault="00A02A9F" w:rsidP="00A02A9F">
      <w:pPr>
        <w:pBdr>
          <w:top w:val="nil"/>
          <w:left w:val="nil"/>
          <w:bottom w:val="nil"/>
          <w:right w:val="nil"/>
          <w:between w:val="nil"/>
        </w:pBdr>
        <w:contextualSpacing/>
        <w:rPr>
          <w:rFonts w:eastAsia="Palatino Linotype" w:cs="Palatino Linotype"/>
          <w:szCs w:val="24"/>
        </w:rPr>
      </w:pPr>
    </w:p>
    <w:p w14:paraId="2C996645" w14:textId="77777777" w:rsidR="00A02A9F" w:rsidRDefault="00A02A9F" w:rsidP="00A02A9F">
      <w:r w:rsidRPr="00820BB7">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w:t>
      </w:r>
      <w:r>
        <w:t>a Ley de la Materia que lo faculte para ello.</w:t>
      </w:r>
    </w:p>
    <w:p w14:paraId="475BF84E" w14:textId="77777777" w:rsidR="00F72CAA" w:rsidRDefault="00F72CAA" w:rsidP="00BB4373">
      <w:pPr>
        <w:contextualSpacing/>
      </w:pPr>
    </w:p>
    <w:p w14:paraId="0B90F7FD" w14:textId="4BB48C5E" w:rsidR="00F72CAA" w:rsidRDefault="00A02A9F" w:rsidP="00BB4373">
      <w:pPr>
        <w:contextualSpacing/>
        <w:rPr>
          <w:color w:val="000000"/>
        </w:rPr>
      </w:pPr>
      <w:r>
        <w:t xml:space="preserve">De lo anterior es de precisarse que si bien se llevó a cabo una conferencia de prensa en la fecha señalada por el Recurrente también lo es que a dicho evento únicamente asistieron los trasportistas del “Movimiento Transportistas Mexiquense” como un grupo organizado de transportistas que ejercieron su derecho a la asociación, mismos que puntualizaron su incertidumbre e inconformidades de la Secretaria de Movilidad. Entonces el Servidor Público referido por el Recurrente no acudió a dicho evento de prensa por lo que la Secretaria de Movilidad no posee, genera ni administra la información correspondiente al </w:t>
      </w:r>
      <w:r w:rsidRPr="00A02A9F">
        <w:rPr>
          <w:color w:val="000000"/>
        </w:rPr>
        <w:t>evento denominado “conferencia de prensa con el Secretario Daniel” de fecha tres de septiembre de</w:t>
      </w:r>
      <w:r>
        <w:rPr>
          <w:color w:val="000000"/>
        </w:rPr>
        <w:t xml:space="preserve"> dos mil veinticuatro.</w:t>
      </w:r>
    </w:p>
    <w:p w14:paraId="6879D5E0" w14:textId="77777777" w:rsidR="00A02A9F" w:rsidRDefault="00A02A9F" w:rsidP="00BB4373">
      <w:pPr>
        <w:contextualSpacing/>
        <w:rPr>
          <w:color w:val="000000"/>
        </w:rPr>
      </w:pPr>
    </w:p>
    <w:p w14:paraId="42E65937" w14:textId="77777777" w:rsidR="00D94014" w:rsidRDefault="00CE1870" w:rsidP="00CE1870">
      <w:pPr>
        <w:rPr>
          <w:rFonts w:eastAsia="Palatino Linotype"/>
          <w:bCs/>
        </w:rPr>
      </w:pPr>
      <w:r w:rsidRPr="00CE1870">
        <w:rPr>
          <w:rFonts w:eastAsia="Palatino Linotype"/>
          <w:bCs/>
        </w:rPr>
        <w:t>En consecuencia, al hacer del conocimiento del Recurrente en respuesta que no se generan, poseen o administran las estadísticas referidas en la solicitud de información, este Instituto estima que se colmó plenamente la pretensión del Recurrente.</w:t>
      </w:r>
      <w:r>
        <w:rPr>
          <w:rFonts w:eastAsia="Palatino Linotype"/>
          <w:bCs/>
        </w:rPr>
        <w:t xml:space="preserve"> </w:t>
      </w:r>
    </w:p>
    <w:p w14:paraId="299A14B9" w14:textId="77777777" w:rsidR="00B76DD7" w:rsidRDefault="00B76DD7" w:rsidP="00CE1870">
      <w:pPr>
        <w:rPr>
          <w:rFonts w:eastAsia="Palatino Linotype"/>
          <w:bCs/>
        </w:rPr>
      </w:pPr>
    </w:p>
    <w:p w14:paraId="343AC861" w14:textId="31104314" w:rsidR="00B76DD7" w:rsidRPr="00E373E8" w:rsidRDefault="00CE1870" w:rsidP="00B76DD7">
      <w:pPr>
        <w:rPr>
          <w:rFonts w:eastAsia="Palatino Linotype" w:cs="Palatino Linotype"/>
          <w:color w:val="000000"/>
          <w:szCs w:val="24"/>
        </w:rPr>
      </w:pPr>
      <w:r w:rsidRPr="00E373E8">
        <w:rPr>
          <w:rFonts w:eastAsia="Palatino Linotype" w:cs="Palatino Linotype"/>
          <w:szCs w:val="24"/>
        </w:rPr>
        <w:t xml:space="preserve">Por lo argumentado en los párrafos que anteceden, </w:t>
      </w:r>
      <w:r w:rsidRPr="00E373E8">
        <w:rPr>
          <w:rFonts w:eastAsia="Palatino Linotype" w:cs="Palatino Linotype"/>
          <w:color w:val="000000"/>
          <w:szCs w:val="24"/>
        </w:rPr>
        <w:t>este Instituto estima que el Sujeto Obligado colmó las pretensiones d</w:t>
      </w:r>
      <w:r w:rsidR="00B76DD7" w:rsidRPr="00E373E8">
        <w:rPr>
          <w:rFonts w:eastAsia="Palatino Linotype" w:cs="Palatino Linotype"/>
          <w:color w:val="000000"/>
          <w:szCs w:val="24"/>
        </w:rPr>
        <w:t xml:space="preserve">el Recurrente con su respuesta abonando mayor </w:t>
      </w:r>
      <w:r w:rsidR="00B76DD7" w:rsidRPr="00E373E8">
        <w:rPr>
          <w:rFonts w:eastAsia="Palatino Linotype" w:cs="Palatino Linotype"/>
          <w:color w:val="000000"/>
          <w:szCs w:val="24"/>
        </w:rPr>
        <w:lastRenderedPageBreak/>
        <w:t>información en su Informe Justificado</w:t>
      </w:r>
      <w:r w:rsidRPr="00E373E8">
        <w:rPr>
          <w:rFonts w:eastAsia="Palatino Linotype" w:cs="Palatino Linotype"/>
          <w:color w:val="000000"/>
          <w:szCs w:val="24"/>
        </w:rPr>
        <w:t>, por tanto, los motivos de inconformidad planteados por el particular devienen infundados</w:t>
      </w:r>
      <w:r w:rsidR="00B76DD7" w:rsidRPr="00E373E8">
        <w:rPr>
          <w:rFonts w:eastAsia="Palatino Linotype" w:cs="Palatino Linotype"/>
          <w:color w:val="000000"/>
          <w:szCs w:val="24"/>
        </w:rPr>
        <w:t xml:space="preserve">  por lo que </w:t>
      </w:r>
      <w:r w:rsidR="00705C7F" w:rsidRPr="00E373E8">
        <w:rPr>
          <w:rFonts w:eastAsia="Palatino Linotype" w:cs="Palatino Linotype"/>
          <w:color w:val="000000"/>
          <w:szCs w:val="24"/>
        </w:rPr>
        <w:t xml:space="preserve"> es de precisarse que </w:t>
      </w:r>
      <w:r w:rsidR="00B76DD7" w:rsidRPr="00E373E8">
        <w:rPr>
          <w:rFonts w:eastAsia="Palatino Linotype" w:cs="Palatino Linotype"/>
          <w:color w:val="000000"/>
          <w:szCs w:val="24"/>
        </w:rPr>
        <w:t xml:space="preserve">en informe justificado se modificó el acto que dio origen al presente recurso de revisión pues </w:t>
      </w:r>
      <w:r w:rsidR="00B76DD7" w:rsidRPr="00E373E8">
        <w:rPr>
          <w:rFonts w:eastAsia="Palatino Linotype" w:cs="Palatino Linotype"/>
          <w:bCs/>
          <w:color w:val="000000"/>
        </w:rPr>
        <w:t xml:space="preserve">el servidor público habilitado al manifestarse en sentido negativo </w:t>
      </w:r>
      <w:r w:rsidR="00831531" w:rsidRPr="00E373E8">
        <w:rPr>
          <w:rFonts w:eastAsia="Palatino Linotype" w:cs="Palatino Linotype"/>
          <w:bCs/>
          <w:color w:val="000000"/>
        </w:rPr>
        <w:t xml:space="preserve">respecto la reunión del Secretario de Movilidad con los transportistas </w:t>
      </w:r>
      <w:r w:rsidR="00B76DD7" w:rsidRPr="00E373E8">
        <w:rPr>
          <w:rFonts w:eastAsia="Palatino Linotype" w:cs="Palatino Linotype"/>
          <w:bCs/>
          <w:color w:val="000000"/>
        </w:rPr>
        <w:t xml:space="preserve">se </w:t>
      </w:r>
      <w:r w:rsidR="00B76DD7" w:rsidRPr="00E373E8">
        <w:t xml:space="preserve">actualiza lo establecido por la fracción III del artículo 192 de la Ley de Transparencia Local el recurso de revisión debe ser sobreseído conforme lo siguientes; </w:t>
      </w:r>
    </w:p>
    <w:p w14:paraId="4E261125" w14:textId="77777777" w:rsidR="00B76DD7" w:rsidRPr="00E373E8" w:rsidRDefault="00B76DD7" w:rsidP="002E2C24"/>
    <w:p w14:paraId="256CA577" w14:textId="77777777" w:rsidR="00B76DD7" w:rsidRPr="00E373E8" w:rsidRDefault="00B76DD7" w:rsidP="00B76DD7">
      <w:pPr>
        <w:ind w:left="708"/>
        <w:contextualSpacing/>
        <w:rPr>
          <w:i/>
          <w:iCs/>
          <w:sz w:val="22"/>
        </w:rPr>
      </w:pPr>
      <w:r w:rsidRPr="00E373E8">
        <w:rPr>
          <w:i/>
          <w:iCs/>
          <w:sz w:val="22"/>
        </w:rPr>
        <w:t>Artículo 192. El recurso será sobreseído, en todo o en parte, cuando una vez admitido, se actualicen alguno de los siguientes supuestos:</w:t>
      </w:r>
    </w:p>
    <w:p w14:paraId="541484B8" w14:textId="77777777" w:rsidR="00B76DD7" w:rsidRPr="00E373E8" w:rsidRDefault="00B76DD7" w:rsidP="00B76DD7">
      <w:pPr>
        <w:pStyle w:val="Prrafodelista"/>
        <w:numPr>
          <w:ilvl w:val="0"/>
          <w:numId w:val="48"/>
        </w:numPr>
        <w:contextualSpacing/>
        <w:rPr>
          <w:i/>
          <w:iCs/>
          <w:sz w:val="22"/>
          <w:szCs w:val="22"/>
        </w:rPr>
      </w:pPr>
      <w:r w:rsidRPr="00E373E8">
        <w:rPr>
          <w:i/>
          <w:iCs/>
          <w:sz w:val="22"/>
          <w:szCs w:val="22"/>
        </w:rPr>
        <w:t>El recurrente se desista expresamente del recurso;</w:t>
      </w:r>
    </w:p>
    <w:p w14:paraId="3234736A" w14:textId="77777777" w:rsidR="00B76DD7" w:rsidRPr="00E373E8" w:rsidRDefault="00B76DD7" w:rsidP="00B76DD7">
      <w:pPr>
        <w:pStyle w:val="Prrafodelista"/>
        <w:numPr>
          <w:ilvl w:val="0"/>
          <w:numId w:val="48"/>
        </w:numPr>
        <w:contextualSpacing/>
        <w:rPr>
          <w:i/>
          <w:iCs/>
          <w:sz w:val="22"/>
          <w:szCs w:val="22"/>
        </w:rPr>
      </w:pPr>
      <w:r w:rsidRPr="00E373E8">
        <w:rPr>
          <w:i/>
          <w:iCs/>
          <w:sz w:val="22"/>
          <w:szCs w:val="22"/>
        </w:rPr>
        <w:t xml:space="preserve"> El recurrente fallezca o, tratándose de personas jurídicas colectivas, se disuelva; </w:t>
      </w:r>
    </w:p>
    <w:p w14:paraId="213C8AEB" w14:textId="77777777" w:rsidR="00B76DD7" w:rsidRPr="00E373E8" w:rsidRDefault="00B76DD7" w:rsidP="00B76DD7">
      <w:pPr>
        <w:pStyle w:val="Prrafodelista"/>
        <w:numPr>
          <w:ilvl w:val="0"/>
          <w:numId w:val="48"/>
        </w:numPr>
        <w:contextualSpacing/>
        <w:rPr>
          <w:i/>
          <w:iCs/>
          <w:sz w:val="22"/>
          <w:szCs w:val="22"/>
        </w:rPr>
      </w:pPr>
      <w:r w:rsidRPr="00E373E8">
        <w:rPr>
          <w:b/>
          <w:bCs/>
          <w:i/>
          <w:iCs/>
          <w:sz w:val="22"/>
          <w:szCs w:val="22"/>
        </w:rPr>
        <w:t>El sujeto obligado responsable del acto lo modifique o revoque de tal manera que el recurso de revisión quede sin materia</w:t>
      </w:r>
      <w:r w:rsidRPr="00E373E8">
        <w:rPr>
          <w:i/>
          <w:iCs/>
          <w:sz w:val="22"/>
          <w:szCs w:val="22"/>
        </w:rPr>
        <w:t xml:space="preserve">; </w:t>
      </w:r>
    </w:p>
    <w:p w14:paraId="2AAA11F2" w14:textId="77777777" w:rsidR="00B76DD7" w:rsidRPr="00E373E8" w:rsidRDefault="00B76DD7" w:rsidP="00B76DD7">
      <w:pPr>
        <w:pStyle w:val="Prrafodelista"/>
        <w:numPr>
          <w:ilvl w:val="0"/>
          <w:numId w:val="48"/>
        </w:numPr>
        <w:contextualSpacing/>
        <w:rPr>
          <w:i/>
          <w:iCs/>
          <w:sz w:val="22"/>
          <w:szCs w:val="22"/>
        </w:rPr>
      </w:pPr>
      <w:r w:rsidRPr="00E373E8">
        <w:rPr>
          <w:i/>
          <w:iCs/>
          <w:sz w:val="22"/>
          <w:szCs w:val="22"/>
        </w:rPr>
        <w:t xml:space="preserve"> Admitido el recurso de revisión, aparezca alguna causal de improcedencia en los términos de la presente Ley; y </w:t>
      </w:r>
    </w:p>
    <w:p w14:paraId="597F29B5" w14:textId="77777777" w:rsidR="00B76DD7" w:rsidRPr="00E373E8" w:rsidRDefault="00B76DD7" w:rsidP="00B76DD7">
      <w:pPr>
        <w:pStyle w:val="Prrafodelista"/>
        <w:numPr>
          <w:ilvl w:val="0"/>
          <w:numId w:val="48"/>
        </w:numPr>
        <w:contextualSpacing/>
        <w:rPr>
          <w:i/>
          <w:iCs/>
          <w:sz w:val="22"/>
          <w:szCs w:val="22"/>
        </w:rPr>
      </w:pPr>
      <w:r w:rsidRPr="00E373E8">
        <w:rPr>
          <w:i/>
          <w:iCs/>
          <w:sz w:val="22"/>
          <w:szCs w:val="22"/>
        </w:rPr>
        <w:t>Cuando por cualquier motivo quede sin materia el recurso</w:t>
      </w:r>
    </w:p>
    <w:p w14:paraId="7E6FF8D0" w14:textId="77777777" w:rsidR="00B76DD7" w:rsidRPr="00E373E8" w:rsidRDefault="00B76DD7" w:rsidP="00B76DD7">
      <w:pPr>
        <w:contextualSpacing/>
        <w:rPr>
          <w:rFonts w:eastAsia="Palatino Linotype" w:cs="Palatino Linotype"/>
          <w:color w:val="000000"/>
          <w:szCs w:val="24"/>
        </w:rPr>
      </w:pPr>
    </w:p>
    <w:p w14:paraId="28A951A1" w14:textId="248B4228" w:rsidR="00B76DD7" w:rsidRPr="00E373E8" w:rsidRDefault="00B76DD7" w:rsidP="00B76DD7">
      <w:pPr>
        <w:contextualSpacing/>
        <w:rPr>
          <w:bCs/>
        </w:rPr>
      </w:pPr>
      <w:r w:rsidRPr="00E373E8">
        <w:rPr>
          <w:rFonts w:eastAsia="Palatino Linotype" w:cs="Palatino Linotype"/>
          <w:color w:val="000000"/>
          <w:szCs w:val="24"/>
        </w:rPr>
        <w:t xml:space="preserve">Así, con fundamento en </w:t>
      </w:r>
      <w:r w:rsidRPr="00E373E8">
        <w:rPr>
          <w:rFonts w:eastAsia="Palatino Linotype" w:cs="Palatino Linotype"/>
          <w:i/>
          <w:iCs/>
          <w:color w:val="000000"/>
          <w:szCs w:val="24"/>
        </w:rPr>
        <w:t>segunda hipótesis</w:t>
      </w:r>
      <w:r w:rsidRPr="00E373E8">
        <w:rPr>
          <w:rFonts w:eastAsia="Palatino Linotype" w:cs="Palatino Linotype"/>
          <w:color w:val="000000"/>
          <w:szCs w:val="24"/>
        </w:rPr>
        <w:t xml:space="preserve"> del artículo 186 fracción I, se </w:t>
      </w:r>
      <w:r w:rsidRPr="00E373E8">
        <w:rPr>
          <w:rFonts w:eastAsia="Palatino Linotype" w:cs="Palatino Linotype"/>
          <w:b/>
          <w:bCs/>
          <w:color w:val="000000"/>
          <w:szCs w:val="24"/>
        </w:rPr>
        <w:t xml:space="preserve">SOBRESEE </w:t>
      </w:r>
      <w:r w:rsidRPr="00E373E8">
        <w:rPr>
          <w:rFonts w:eastAsia="Palatino Linotype" w:cs="Palatino Linotype"/>
          <w:color w:val="000000"/>
          <w:szCs w:val="24"/>
        </w:rPr>
        <w:t xml:space="preserve"> el recurso de revisión </w:t>
      </w:r>
      <w:r w:rsidRPr="00E373E8">
        <w:rPr>
          <w:rFonts w:eastAsia="Palatino Linotype" w:cs="Palatino Linotype"/>
          <w:b/>
          <w:color w:val="000000"/>
          <w:szCs w:val="24"/>
        </w:rPr>
        <w:t xml:space="preserve">06340/INFOEM/IP/RR/2024 </w:t>
      </w:r>
      <w:r w:rsidRPr="00E373E8">
        <w:rPr>
          <w:rFonts w:eastAsia="Palatino Linotype" w:cs="Palatino Linotype"/>
          <w:bCs/>
          <w:color w:val="000000"/>
          <w:szCs w:val="24"/>
        </w:rPr>
        <w:t>por haberse modificado el acto que dio origen al recurso de revisión q</w:t>
      </w:r>
      <w:r w:rsidRPr="00E373E8">
        <w:rPr>
          <w:rFonts w:eastAsia="Palatino Linotype" w:cs="Palatino Linotype"/>
          <w:szCs w:val="24"/>
        </w:rPr>
        <w:t xml:space="preserve">ue </w:t>
      </w:r>
      <w:r w:rsidRPr="00E373E8">
        <w:rPr>
          <w:rFonts w:eastAsia="Palatino Linotype" w:cs="Palatino Linotype"/>
          <w:color w:val="000000"/>
          <w:szCs w:val="24"/>
        </w:rPr>
        <w:t xml:space="preserve">han sido materia del presente fallo, por lo que este Pleno resuelve; </w:t>
      </w:r>
    </w:p>
    <w:p w14:paraId="58A18C22" w14:textId="3E4D3D70" w:rsidR="00CE1870" w:rsidRPr="00E373E8" w:rsidRDefault="00CE1870" w:rsidP="00BB4373">
      <w:pPr>
        <w:contextualSpacing/>
        <w:rPr>
          <w:rFonts w:eastAsia="Palatino Linotype" w:cs="Palatino Linotype"/>
          <w:color w:val="000000"/>
          <w:szCs w:val="24"/>
        </w:rPr>
      </w:pPr>
    </w:p>
    <w:p w14:paraId="5CE14DA7" w14:textId="77777777" w:rsidR="00B76DD7" w:rsidRPr="00E373E8" w:rsidRDefault="00B76DD7" w:rsidP="00B76DD7">
      <w:pPr>
        <w:pStyle w:val="Ttulo1"/>
        <w:rPr>
          <w:rFonts w:eastAsia="Palatino Linotype"/>
          <w:szCs w:val="28"/>
        </w:rPr>
      </w:pPr>
      <w:r w:rsidRPr="00E373E8">
        <w:rPr>
          <w:rFonts w:eastAsia="Palatino Linotype"/>
          <w:szCs w:val="28"/>
        </w:rPr>
        <w:lastRenderedPageBreak/>
        <w:t>R E S U E L V E</w:t>
      </w:r>
    </w:p>
    <w:p w14:paraId="4A6CEF50" w14:textId="77777777" w:rsidR="00B76DD7" w:rsidRPr="00E373E8" w:rsidRDefault="00B76DD7" w:rsidP="00B76DD7">
      <w:pPr>
        <w:rPr>
          <w:rFonts w:eastAsiaTheme="minorHAnsi" w:cstheme="minorHAnsi"/>
          <w:lang w:eastAsia="en-US"/>
        </w:rPr>
      </w:pPr>
    </w:p>
    <w:p w14:paraId="50259C44" w14:textId="438B9C6C" w:rsidR="00B76DD7" w:rsidRPr="00E373E8" w:rsidRDefault="00B76DD7" w:rsidP="00B76DD7">
      <w:pPr>
        <w:rPr>
          <w:rFonts w:eastAsiaTheme="minorHAnsi" w:cs="Arial"/>
          <w:lang w:val="es-MX" w:eastAsia="en-US"/>
        </w:rPr>
      </w:pPr>
      <w:r w:rsidRPr="00E373E8">
        <w:rPr>
          <w:rFonts w:eastAsiaTheme="minorHAnsi" w:cs="Arial"/>
          <w:b/>
          <w:sz w:val="28"/>
          <w:lang w:val="es-MX" w:eastAsia="en-US"/>
        </w:rPr>
        <w:t>PRIMERO.</w:t>
      </w:r>
      <w:r w:rsidRPr="00E373E8">
        <w:rPr>
          <w:rFonts w:eastAsiaTheme="minorHAnsi" w:cs="Arial"/>
          <w:sz w:val="28"/>
          <w:lang w:val="es-MX" w:eastAsia="en-US"/>
        </w:rPr>
        <w:t xml:space="preserve"> </w:t>
      </w:r>
      <w:r w:rsidRPr="00E373E8">
        <w:rPr>
          <w:rFonts w:eastAsiaTheme="minorHAnsi" w:cs="Arial"/>
          <w:lang w:val="es-MX" w:eastAsia="en-US"/>
        </w:rPr>
        <w:t xml:space="preserve">Se </w:t>
      </w:r>
      <w:r w:rsidRPr="00E373E8">
        <w:rPr>
          <w:rFonts w:eastAsiaTheme="minorHAnsi" w:cs="Arial"/>
          <w:b/>
          <w:lang w:val="es-MX" w:eastAsia="en-US"/>
        </w:rPr>
        <w:t>SOBRESEE</w:t>
      </w:r>
      <w:r w:rsidRPr="00E373E8">
        <w:rPr>
          <w:rFonts w:eastAsiaTheme="minorHAnsi" w:cs="Arial"/>
          <w:lang w:val="es-MX" w:eastAsia="en-US"/>
        </w:rPr>
        <w:t xml:space="preserve"> el recurso de revisión número </w:t>
      </w:r>
      <w:r w:rsidRPr="00E373E8">
        <w:rPr>
          <w:rFonts w:eastAsiaTheme="minorHAnsi" w:cs="Arial"/>
          <w:b/>
          <w:lang w:val="es-MX" w:eastAsia="en-US"/>
        </w:rPr>
        <w:t>06340/INFOEM/IP/RR/2024</w:t>
      </w:r>
      <w:r w:rsidRPr="00E373E8">
        <w:rPr>
          <w:rFonts w:eastAsiaTheme="minorHAnsi" w:cs="Arial"/>
          <w:lang w:val="es-MX" w:eastAsia="en-US"/>
        </w:rPr>
        <w:t xml:space="preserve">, por modificarse el acto que dio origen al recurso de revisión mediante informe justificado, se actualizo la causal prevista en el artículo </w:t>
      </w:r>
      <w:r w:rsidRPr="00E373E8">
        <w:rPr>
          <w:rFonts w:eastAsia="Palatino Linotype" w:cs="Palatino Linotype"/>
          <w:color w:val="000000"/>
        </w:rPr>
        <w:t>192 fracción III en armonía con el artículo 186 fracción I</w:t>
      </w:r>
      <w:r w:rsidRPr="00E373E8">
        <w:rPr>
          <w:rFonts w:eastAsiaTheme="minorHAnsi" w:cs="Arial"/>
          <w:lang w:val="es-MX" w:eastAsia="en-US"/>
        </w:rPr>
        <w:t xml:space="preserve"> de la Ley de Transparencia y Acceso a la Información Pública del Estado de México y Municipios, en términos del </w:t>
      </w:r>
      <w:r w:rsidRPr="00E373E8">
        <w:rPr>
          <w:rFonts w:eastAsiaTheme="minorHAnsi" w:cs="Arial"/>
          <w:b/>
          <w:bCs/>
          <w:lang w:val="es-MX" w:eastAsia="en-US"/>
        </w:rPr>
        <w:t>Considerando QUINTO</w:t>
      </w:r>
      <w:r w:rsidRPr="00E373E8">
        <w:rPr>
          <w:rFonts w:eastAsiaTheme="minorHAnsi" w:cs="Arial"/>
          <w:lang w:val="es-MX" w:eastAsia="en-US"/>
        </w:rPr>
        <w:t xml:space="preserve"> de la presente resolución.</w:t>
      </w:r>
    </w:p>
    <w:p w14:paraId="4DE8AC20" w14:textId="77777777" w:rsidR="00B76DD7" w:rsidRPr="00E373E8" w:rsidRDefault="00B76DD7" w:rsidP="00B76DD7">
      <w:pPr>
        <w:rPr>
          <w:rFonts w:eastAsiaTheme="minorHAnsi" w:cs="Arial"/>
          <w:lang w:val="es-MX" w:eastAsia="en-US"/>
        </w:rPr>
      </w:pPr>
    </w:p>
    <w:p w14:paraId="72203624" w14:textId="77777777" w:rsidR="00B76DD7" w:rsidRPr="00E373E8" w:rsidRDefault="00B76DD7" w:rsidP="00B76DD7">
      <w:pPr>
        <w:rPr>
          <w:rFonts w:eastAsiaTheme="minorHAnsi" w:cs="Arial"/>
          <w:lang w:val="es-MX" w:eastAsia="en-US"/>
        </w:rPr>
      </w:pPr>
      <w:r w:rsidRPr="00E373E8">
        <w:rPr>
          <w:rFonts w:eastAsiaTheme="minorHAnsi" w:cs="Arial"/>
          <w:b/>
          <w:sz w:val="28"/>
          <w:lang w:val="es-MX" w:eastAsia="en-US"/>
        </w:rPr>
        <w:t>SEGUNDO</w:t>
      </w:r>
      <w:r w:rsidRPr="00E373E8">
        <w:rPr>
          <w:rFonts w:eastAsiaTheme="minorHAnsi" w:cs="Arial"/>
          <w:sz w:val="28"/>
          <w:lang w:val="es-MX" w:eastAsia="en-US"/>
        </w:rPr>
        <w:t xml:space="preserve">. </w:t>
      </w:r>
      <w:r w:rsidRPr="00E373E8">
        <w:rPr>
          <w:rFonts w:eastAsiaTheme="minorHAnsi" w:cs="Arial"/>
          <w:lang w:val="es-MX" w:eastAsia="en-US"/>
        </w:rPr>
        <w:t xml:space="preserve">Notifíquese </w:t>
      </w:r>
      <w:r w:rsidRPr="00E373E8">
        <w:rPr>
          <w:rFonts w:eastAsiaTheme="minorHAnsi" w:cs="Arial"/>
          <w:lang w:eastAsia="en-US"/>
        </w:rPr>
        <w:t>a través del</w:t>
      </w:r>
      <w:r w:rsidRPr="00E373E8">
        <w:rPr>
          <w:rFonts w:eastAsiaTheme="minorHAnsi" w:cs="Arial"/>
          <w:b/>
          <w:lang w:eastAsia="en-US"/>
        </w:rPr>
        <w:t xml:space="preserve"> </w:t>
      </w:r>
      <w:r w:rsidRPr="00E373E8">
        <w:rPr>
          <w:rFonts w:eastAsiaTheme="minorHAnsi" w:cs="Arial"/>
          <w:lang w:eastAsia="en-US"/>
        </w:rPr>
        <w:t>Sistema de Acceso a la Información Mexiquense</w:t>
      </w:r>
      <w:r w:rsidRPr="00E373E8">
        <w:rPr>
          <w:rFonts w:eastAsiaTheme="minorHAnsi" w:cs="Arial"/>
          <w:lang w:val="es-MX" w:eastAsia="en-US"/>
        </w:rPr>
        <w:t xml:space="preserve"> </w:t>
      </w:r>
      <w:r w:rsidRPr="00E373E8">
        <w:rPr>
          <w:rFonts w:eastAsiaTheme="minorHAnsi" w:cs="Arial"/>
          <w:b/>
          <w:bCs/>
          <w:lang w:val="es-MX" w:eastAsia="en-US"/>
        </w:rPr>
        <w:t>(</w:t>
      </w:r>
      <w:r w:rsidRPr="00E373E8">
        <w:rPr>
          <w:rFonts w:eastAsiaTheme="minorHAnsi" w:cs="Arial"/>
          <w:b/>
          <w:lang w:val="es-MX" w:eastAsia="en-US"/>
        </w:rPr>
        <w:t>SAIMEX)</w:t>
      </w:r>
      <w:r w:rsidRPr="00E373E8">
        <w:rPr>
          <w:rFonts w:eastAsiaTheme="minorHAnsi" w:cstheme="minorBidi"/>
          <w:b/>
          <w:lang w:val="es-MX" w:eastAsia="en-US"/>
        </w:rPr>
        <w:t xml:space="preserve"> </w:t>
      </w:r>
      <w:r w:rsidRPr="00E373E8">
        <w:rPr>
          <w:rFonts w:eastAsiaTheme="minorHAnsi" w:cs="Arial"/>
          <w:lang w:val="es-MX" w:eastAsia="en-US"/>
        </w:rPr>
        <w:t>la presente resolución al</w:t>
      </w:r>
      <w:r w:rsidRPr="00E373E8">
        <w:rPr>
          <w:rFonts w:eastAsiaTheme="minorHAnsi" w:cstheme="minorBidi"/>
          <w:lang w:val="es-MX" w:eastAsia="en-US"/>
        </w:rPr>
        <w:t xml:space="preserve"> </w:t>
      </w:r>
      <w:r w:rsidRPr="00E373E8">
        <w:rPr>
          <w:rFonts w:eastAsiaTheme="minorHAnsi" w:cs="Arial"/>
          <w:lang w:val="es-MX" w:eastAsia="en-US"/>
        </w:rPr>
        <w:t>Titular</w:t>
      </w:r>
      <w:r w:rsidRPr="00E373E8">
        <w:rPr>
          <w:rFonts w:eastAsiaTheme="minorHAnsi" w:cstheme="minorBidi"/>
          <w:lang w:val="es-MX" w:eastAsia="en-US"/>
        </w:rPr>
        <w:t xml:space="preserve"> </w:t>
      </w:r>
      <w:r w:rsidRPr="00E373E8">
        <w:rPr>
          <w:rFonts w:eastAsiaTheme="minorHAnsi" w:cs="Arial"/>
          <w:lang w:val="es-MX" w:eastAsia="en-US"/>
        </w:rPr>
        <w:t xml:space="preserve">de la Unidad de Transparencia del </w:t>
      </w:r>
      <w:r w:rsidRPr="00E373E8">
        <w:rPr>
          <w:rFonts w:eastAsiaTheme="minorHAnsi" w:cs="Arial"/>
          <w:b/>
          <w:lang w:val="es-MX" w:eastAsia="en-US"/>
        </w:rPr>
        <w:t>Sujeto Obligado</w:t>
      </w:r>
      <w:r w:rsidRPr="00E373E8">
        <w:rPr>
          <w:rFonts w:eastAsiaTheme="minorHAnsi" w:cs="Arial"/>
          <w:lang w:val="es-MX" w:eastAsia="en-US"/>
        </w:rPr>
        <w:t>.</w:t>
      </w:r>
    </w:p>
    <w:p w14:paraId="58CA0035" w14:textId="77777777" w:rsidR="00B76DD7" w:rsidRPr="00E373E8" w:rsidRDefault="00B76DD7" w:rsidP="00B76DD7">
      <w:pPr>
        <w:rPr>
          <w:rFonts w:eastAsiaTheme="minorHAnsi" w:cs="Arial"/>
          <w:lang w:val="es-MX" w:eastAsia="en-US"/>
        </w:rPr>
      </w:pPr>
    </w:p>
    <w:p w14:paraId="5876D847" w14:textId="77777777" w:rsidR="00B76DD7" w:rsidRPr="00454C31" w:rsidRDefault="00B76DD7" w:rsidP="00B76DD7">
      <w:pPr>
        <w:ind w:right="51"/>
        <w:rPr>
          <w:rFonts w:eastAsiaTheme="minorHAnsi" w:cs="Arial"/>
          <w:lang w:val="es-MX" w:eastAsia="en-US"/>
        </w:rPr>
      </w:pPr>
      <w:r w:rsidRPr="00E373E8">
        <w:rPr>
          <w:rFonts w:eastAsiaTheme="minorHAnsi" w:cs="Arial"/>
          <w:b/>
          <w:sz w:val="28"/>
          <w:lang w:val="es-MX" w:eastAsia="en-US"/>
        </w:rPr>
        <w:t>TERCERO</w:t>
      </w:r>
      <w:r w:rsidRPr="00E373E8">
        <w:rPr>
          <w:rFonts w:eastAsiaTheme="minorHAnsi" w:cs="Arial"/>
          <w:sz w:val="28"/>
          <w:lang w:val="es-MX" w:eastAsia="en-US"/>
        </w:rPr>
        <w:t xml:space="preserve">. </w:t>
      </w:r>
      <w:r w:rsidRPr="00E373E8">
        <w:rPr>
          <w:rFonts w:eastAsiaTheme="minorHAnsi" w:cs="Arial"/>
          <w:lang w:val="es-MX" w:eastAsia="en-US"/>
        </w:rPr>
        <w:t xml:space="preserve">Notifíquese a la parte </w:t>
      </w:r>
      <w:r w:rsidRPr="00E373E8">
        <w:rPr>
          <w:rFonts w:eastAsiaTheme="minorHAnsi" w:cs="Arial"/>
          <w:b/>
          <w:lang w:val="es-MX" w:eastAsia="en-US"/>
        </w:rPr>
        <w:t>Recurrente</w:t>
      </w:r>
      <w:r w:rsidRPr="00E373E8">
        <w:rPr>
          <w:rFonts w:eastAsiaTheme="minorHAnsi" w:cs="Arial"/>
          <w:lang w:val="es-MX" w:eastAsia="en-US"/>
        </w:rPr>
        <w:t xml:space="preserve"> mediante el Sistema de Acceso a la Información Mexiquense </w:t>
      </w:r>
      <w:r w:rsidRPr="00E373E8">
        <w:rPr>
          <w:rFonts w:eastAsiaTheme="minorHAnsi" w:cs="Arial"/>
          <w:b/>
          <w:bCs/>
          <w:lang w:val="es-MX" w:eastAsia="en-US"/>
        </w:rPr>
        <w:t>(</w:t>
      </w:r>
      <w:r w:rsidRPr="00E373E8">
        <w:rPr>
          <w:rFonts w:eastAsiaTheme="minorHAnsi" w:cs="Arial"/>
          <w:b/>
          <w:lang w:val="es-MX" w:eastAsia="en-US"/>
        </w:rPr>
        <w:t>SAIMEX)</w:t>
      </w:r>
      <w:r w:rsidRPr="00E373E8">
        <w:rPr>
          <w:rFonts w:eastAsiaTheme="minorHAnsi" w:cs="Arial"/>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7104208D" w14:textId="62EEF2FE" w:rsidR="00B76DD7" w:rsidRDefault="00B76DD7" w:rsidP="00BB4373">
      <w:pPr>
        <w:contextualSpacing/>
        <w:rPr>
          <w:rFonts w:eastAsia="Palatino Linotype" w:cs="Palatino Linotype"/>
          <w:color w:val="000000"/>
          <w:szCs w:val="24"/>
        </w:rPr>
      </w:pPr>
    </w:p>
    <w:p w14:paraId="03ECDA8F" w14:textId="58731F2F" w:rsidR="00E25F2A" w:rsidRDefault="00E25F2A" w:rsidP="00BB4373">
      <w:pPr>
        <w:contextualSpacing/>
        <w:rPr>
          <w:rFonts w:eastAsia="Palatino Linotype" w:cs="Palatino Linotype"/>
          <w:color w:val="000000"/>
          <w:szCs w:val="24"/>
        </w:rPr>
      </w:pPr>
    </w:p>
    <w:p w14:paraId="5380364C" w14:textId="5F342CF1" w:rsidR="00E25F2A" w:rsidRDefault="00E25F2A" w:rsidP="00BB4373">
      <w:pPr>
        <w:contextualSpacing/>
        <w:rPr>
          <w:rFonts w:eastAsia="Palatino Linotype" w:cs="Palatino Linotype"/>
          <w:color w:val="000000"/>
          <w:szCs w:val="24"/>
        </w:rPr>
      </w:pPr>
    </w:p>
    <w:p w14:paraId="6FAD1541" w14:textId="5C288320" w:rsidR="00E25F2A" w:rsidRDefault="00E25F2A" w:rsidP="00BB4373">
      <w:pPr>
        <w:contextualSpacing/>
        <w:rPr>
          <w:rFonts w:eastAsia="Palatino Linotype" w:cs="Palatino Linotype"/>
          <w:color w:val="000000"/>
          <w:szCs w:val="24"/>
        </w:rPr>
      </w:pPr>
    </w:p>
    <w:p w14:paraId="193B5558" w14:textId="77777777" w:rsidR="00E25F2A" w:rsidRDefault="00E25F2A" w:rsidP="00BB4373">
      <w:pPr>
        <w:contextualSpacing/>
        <w:rPr>
          <w:rFonts w:eastAsia="Palatino Linotype" w:cs="Palatino Linotype"/>
          <w:color w:val="000000"/>
          <w:szCs w:val="24"/>
        </w:rPr>
      </w:pPr>
    </w:p>
    <w:p w14:paraId="4661A540" w14:textId="77777777" w:rsidR="00B76DD7" w:rsidRPr="004E2A83" w:rsidRDefault="00B76DD7" w:rsidP="00BB4373">
      <w:pPr>
        <w:contextualSpacing/>
        <w:rPr>
          <w:rFonts w:cs="Palatino Linotype"/>
          <w:sz w:val="22"/>
        </w:rPr>
      </w:pPr>
    </w:p>
    <w:p w14:paraId="20573BFF" w14:textId="008DF1C8"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w:t>
      </w:r>
      <w:r w:rsidR="00247FE8">
        <w:rPr>
          <w:rFonts w:eastAsia="Palatino Linotype" w:cs="Palatino Linotype"/>
          <w:color w:val="000000"/>
          <w:szCs w:val="24"/>
        </w:rPr>
        <w:t xml:space="preserve"> POR </w:t>
      </w:r>
      <w:r w:rsidR="00247FE8" w:rsidRPr="006A3D46">
        <w:rPr>
          <w:rFonts w:eastAsia="Palatino Linotype" w:cs="Palatino Linotype"/>
          <w:b/>
          <w:color w:val="000000"/>
          <w:szCs w:val="24"/>
        </w:rPr>
        <w:t>UNANIMIDAD</w:t>
      </w:r>
      <w:r w:rsidRPr="006A3D46">
        <w:rPr>
          <w:rFonts w:eastAsia="Palatino Linotype" w:cs="Palatino Linotype"/>
          <w:b/>
          <w:color w:val="000000"/>
          <w:szCs w:val="24"/>
        </w:rPr>
        <w:t xml:space="preserve"> </w:t>
      </w:r>
      <w:r w:rsidR="006922F5" w:rsidRPr="006A3D46">
        <w:rPr>
          <w:rFonts w:eastAsia="Palatino Linotype" w:cs="Palatino Linotype"/>
          <w:b/>
          <w:color w:val="000000"/>
          <w:szCs w:val="24"/>
        </w:rPr>
        <w:t>DE VOTOS</w:t>
      </w:r>
      <w:r w:rsidR="006922F5">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E373E8">
        <w:rPr>
          <w:rFonts w:eastAsia="Palatino Linotype" w:cs="Palatino Linotype"/>
          <w:b/>
          <w:color w:val="000000"/>
          <w:szCs w:val="24"/>
        </w:rPr>
        <w:t>TRIGÉ</w:t>
      </w:r>
      <w:r w:rsidR="006A3D46">
        <w:rPr>
          <w:rFonts w:eastAsia="Palatino Linotype" w:cs="Palatino Linotype"/>
          <w:b/>
          <w:color w:val="000000"/>
          <w:szCs w:val="24"/>
        </w:rPr>
        <w:t>SIMA NOVEN</w:t>
      </w:r>
      <w:r w:rsidR="00252AA5" w:rsidRPr="006A3D46">
        <w:rPr>
          <w:rFonts w:eastAsia="Palatino Linotype" w:cs="Palatino Linotype"/>
          <w:b/>
          <w:color w:val="000000"/>
          <w:szCs w:val="24"/>
        </w:rPr>
        <w:t>A</w:t>
      </w:r>
      <w:r w:rsidR="00A00BD1" w:rsidRPr="006A3D46">
        <w:rPr>
          <w:rFonts w:eastAsia="Palatino Linotype" w:cs="Palatino Linotype"/>
          <w:b/>
          <w:color w:val="000000"/>
          <w:szCs w:val="24"/>
        </w:rPr>
        <w:t xml:space="preserve"> </w:t>
      </w:r>
      <w:r w:rsidR="006922F5" w:rsidRPr="006A3D46">
        <w:rPr>
          <w:rFonts w:eastAsia="Palatino Linotype" w:cs="Palatino Linotype"/>
          <w:b/>
          <w:color w:val="000000"/>
          <w:szCs w:val="24"/>
        </w:rPr>
        <w:t>SESIÓN ORDINARIA CELEBRADA EL</w:t>
      </w:r>
      <w:r w:rsidR="00DF6972" w:rsidRPr="006A3D46">
        <w:rPr>
          <w:rFonts w:eastAsia="Palatino Linotype" w:cs="Palatino Linotype"/>
          <w:b/>
          <w:color w:val="000000"/>
          <w:szCs w:val="24"/>
        </w:rPr>
        <w:t xml:space="preserve"> </w:t>
      </w:r>
      <w:r w:rsidR="006A3D46">
        <w:rPr>
          <w:rFonts w:eastAsia="Palatino Linotype" w:cs="Palatino Linotype"/>
          <w:b/>
          <w:color w:val="000000"/>
          <w:szCs w:val="24"/>
        </w:rPr>
        <w:t xml:space="preserve">TRECE DE </w:t>
      </w:r>
      <w:r w:rsidR="00E373E8">
        <w:rPr>
          <w:rFonts w:eastAsia="Palatino Linotype" w:cs="Palatino Linotype"/>
          <w:b/>
          <w:color w:val="000000"/>
          <w:szCs w:val="24"/>
        </w:rPr>
        <w:t>NOVIEMBRE</w:t>
      </w:r>
      <w:r w:rsidR="00DF6972" w:rsidRPr="006A3D46">
        <w:rPr>
          <w:rFonts w:eastAsia="Palatino Linotype" w:cs="Palatino Linotype"/>
          <w:b/>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52AA5">
        <w:rPr>
          <w:rFonts w:eastAsia="Palatino Linotype" w:cs="Palatino Linotype"/>
          <w:color w:val="000000"/>
          <w:szCs w:val="24"/>
        </w:rPr>
        <w:t>----------------------------------------------------------------------------------------------------------------------------------------------------------------------------------------------------------------------------------------------------------------------------------------------------------------------------------------------------------------</w:t>
      </w:r>
      <w:r w:rsidR="00A970D5" w:rsidRPr="006922F5">
        <w:rPr>
          <w:rFonts w:eastAsia="Palatino Linotype" w:cs="Palatino Linotype"/>
          <w:color w:val="000000"/>
          <w:szCs w:val="24"/>
        </w:rPr>
        <w:t>-----</w:t>
      </w:r>
      <w:r w:rsidR="00252AA5">
        <w:rPr>
          <w:rFonts w:eastAsia="Palatino Linotype" w:cs="Palatino Linotype"/>
          <w:color w:val="000000"/>
          <w:szCs w:val="24"/>
        </w:rPr>
        <w:t>--------------------------------------------------------------------------</w:t>
      </w:r>
      <w:r w:rsidR="00E25F2A" w:rsidRPr="00E25F2A">
        <w:rPr>
          <w:rFonts w:eastAsiaTheme="minorEastAsia"/>
          <w:color w:val="000000" w:themeColor="text1"/>
          <w:szCs w:val="24"/>
          <w:lang w:eastAsia="es-ES"/>
        </w:rPr>
        <w:t xml:space="preserve"> </w:t>
      </w:r>
      <w:r w:rsidR="00E25F2A" w:rsidRPr="00BC334D">
        <w:rPr>
          <w:rFonts w:eastAsiaTheme="minorEastAsia"/>
          <w:color w:val="000000" w:themeColor="text1"/>
          <w:szCs w:val="24"/>
          <w:lang w:eastAsia="es-ES"/>
        </w:rPr>
        <w:t>-----------------------------------------------------------------------------------------------------------------------------------------------------------------------------------------------------------------------------------------------------------------------------------------------------------------------------------------------------------------------------------------------------------------------------------------------------------------------------------------------------------------------------------------------------------------------------------------------------------------------------------------------------------------------------------------------------------------------------------------------------------------------------------------------------------------------------------------------------------------------------------------------------------------------------------------------------------------------------------------------------------------------------------------------------------------------------------------------------------------------------------------------------------------------------------------------------------------------------------------------------------------------------------------------------------------</w:t>
      </w:r>
      <w:r w:rsidR="00E25F2A">
        <w:rPr>
          <w:rFonts w:eastAsiaTheme="minorEastAsia"/>
          <w:color w:val="000000" w:themeColor="text1"/>
          <w:szCs w:val="24"/>
          <w:lang w:eastAsia="es-ES"/>
        </w:rPr>
        <w:t>----------------------</w:t>
      </w:r>
    </w:p>
    <w:p w14:paraId="4DA57669" w14:textId="0321B289" w:rsidR="00A970D5" w:rsidRPr="004B7011" w:rsidRDefault="00D31886" w:rsidP="006922F5">
      <w:pPr>
        <w:pBdr>
          <w:top w:val="nil"/>
          <w:left w:val="nil"/>
          <w:bottom w:val="nil"/>
          <w:right w:val="nil"/>
          <w:between w:val="nil"/>
        </w:pBdr>
        <w:spacing w:line="240" w:lineRule="auto"/>
        <w:contextualSpacing/>
        <w:rPr>
          <w:rFonts w:eastAsia="Palatino Linotype" w:cs="Palatino Linotype"/>
          <w:color w:val="000000"/>
          <w:sz w:val="20"/>
          <w:szCs w:val="20"/>
        </w:rPr>
      </w:pPr>
      <w:r>
        <w:rPr>
          <w:rFonts w:eastAsia="Palatino Linotype" w:cs="Palatino Linotype"/>
          <w:color w:val="000000"/>
          <w:sz w:val="20"/>
          <w:szCs w:val="20"/>
        </w:rPr>
        <w:t>JMV/CCR/NJMB</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Default="00D718B8" w:rsidP="006922F5"/>
    <w:p w14:paraId="6AEA631D" w14:textId="77777777" w:rsidR="006A3D46" w:rsidRDefault="006A3D46" w:rsidP="006922F5"/>
    <w:p w14:paraId="3CE93E81" w14:textId="77777777" w:rsidR="006A3D46" w:rsidRDefault="006A3D46" w:rsidP="006922F5"/>
    <w:p w14:paraId="5B0FB527" w14:textId="77777777" w:rsidR="006A3D46" w:rsidRDefault="006A3D46" w:rsidP="006922F5"/>
    <w:p w14:paraId="04A56E4A" w14:textId="77777777" w:rsidR="006A3D46" w:rsidRDefault="006A3D46" w:rsidP="006922F5"/>
    <w:p w14:paraId="5984CD8B" w14:textId="77777777" w:rsidR="006A3D46" w:rsidRDefault="006A3D46" w:rsidP="006922F5"/>
    <w:p w14:paraId="56CE4455" w14:textId="77777777" w:rsidR="006A3D46" w:rsidRDefault="006A3D46" w:rsidP="006922F5"/>
    <w:p w14:paraId="42204DDD" w14:textId="77777777" w:rsidR="006A3D46" w:rsidRDefault="006A3D46" w:rsidP="006922F5"/>
    <w:p w14:paraId="6C580115" w14:textId="77777777" w:rsidR="006A3D46" w:rsidRDefault="006A3D46" w:rsidP="006922F5"/>
    <w:p w14:paraId="072E6EC1" w14:textId="77777777" w:rsidR="006A3D46" w:rsidRDefault="006A3D46" w:rsidP="006922F5"/>
    <w:p w14:paraId="1B5B99CA" w14:textId="77777777" w:rsidR="006A3D46" w:rsidRDefault="006A3D46" w:rsidP="006922F5"/>
    <w:p w14:paraId="24278C49" w14:textId="77777777" w:rsidR="006A3D46" w:rsidRDefault="006A3D46" w:rsidP="006922F5"/>
    <w:p w14:paraId="1C3DA550" w14:textId="77777777" w:rsidR="006A3D46" w:rsidRDefault="006A3D46" w:rsidP="006922F5"/>
    <w:p w14:paraId="03FBAAE9" w14:textId="77777777" w:rsidR="006A3D46" w:rsidRPr="004B7011" w:rsidRDefault="006A3D46" w:rsidP="006922F5"/>
    <w:sectPr w:rsidR="006A3D46" w:rsidRPr="004B7011" w:rsidSect="00640D5F">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1B60" w14:textId="77777777" w:rsidR="00E26AB5" w:rsidRDefault="00E26AB5" w:rsidP="00F2498E">
      <w:pPr>
        <w:spacing w:line="240" w:lineRule="auto"/>
      </w:pPr>
      <w:r>
        <w:separator/>
      </w:r>
    </w:p>
  </w:endnote>
  <w:endnote w:type="continuationSeparator" w:id="0">
    <w:p w14:paraId="0E82AD1F" w14:textId="77777777" w:rsidR="00E26AB5" w:rsidRDefault="00E26AB5" w:rsidP="00F2498E">
      <w:pPr>
        <w:spacing w:line="240" w:lineRule="auto"/>
      </w:pPr>
      <w:r>
        <w:continuationSeparator/>
      </w:r>
    </w:p>
  </w:endnote>
  <w:endnote w:type="continuationNotice" w:id="1">
    <w:p w14:paraId="72F04751" w14:textId="77777777" w:rsidR="00E26AB5" w:rsidRDefault="00E26A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356A2B3" w:rsidR="00A02A9F" w:rsidRPr="00871A91" w:rsidRDefault="00A02A9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E12C6">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E12C6">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032A8EC" w:rsidR="00A02A9F" w:rsidRPr="00871A91" w:rsidRDefault="00A02A9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E12C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E12C6">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BE7AA" w14:textId="77777777" w:rsidR="00E26AB5" w:rsidRDefault="00E26AB5" w:rsidP="00F2498E">
      <w:pPr>
        <w:spacing w:line="240" w:lineRule="auto"/>
      </w:pPr>
      <w:r>
        <w:separator/>
      </w:r>
    </w:p>
  </w:footnote>
  <w:footnote w:type="continuationSeparator" w:id="0">
    <w:p w14:paraId="14B56A9E" w14:textId="77777777" w:rsidR="00E26AB5" w:rsidRDefault="00E26AB5" w:rsidP="00F2498E">
      <w:pPr>
        <w:spacing w:line="240" w:lineRule="auto"/>
      </w:pPr>
      <w:r>
        <w:continuationSeparator/>
      </w:r>
    </w:p>
  </w:footnote>
  <w:footnote w:type="continuationNotice" w:id="1">
    <w:p w14:paraId="2488865C" w14:textId="77777777" w:rsidR="00E26AB5" w:rsidRDefault="00E26AB5">
      <w:pPr>
        <w:spacing w:line="240" w:lineRule="auto"/>
      </w:pPr>
    </w:p>
  </w:footnote>
  <w:footnote w:id="2">
    <w:p w14:paraId="2348F3B8" w14:textId="77777777" w:rsidR="00A02A9F" w:rsidRPr="0031280C" w:rsidRDefault="00A02A9F"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A02A9F" w:rsidRPr="0031280C" w:rsidRDefault="00A02A9F"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A02A9F" w:rsidRPr="0031280C" w:rsidRDefault="00A02A9F"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A02A9F" w:rsidRPr="0031280C" w:rsidRDefault="00A02A9F"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670AFEA" w14:textId="77777777" w:rsidR="00A02A9F" w:rsidRDefault="00A02A9F" w:rsidP="002B3056">
      <w:pPr>
        <w:pStyle w:val="Textonotapie"/>
        <w:rPr>
          <w:sz w:val="18"/>
          <w:szCs w:val="18"/>
          <w:u w:val="single"/>
        </w:rPr>
      </w:pPr>
      <w:r w:rsidRPr="000F0A6E">
        <w:rPr>
          <w:rFonts w:eastAsia="Times New Roman"/>
          <w:vertAlign w:val="superscript"/>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3"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6C197465" w14:textId="77777777" w:rsidR="00A02A9F" w:rsidRDefault="00A02A9F" w:rsidP="002B3056">
      <w:pPr>
        <w:pStyle w:val="Textonotapie"/>
      </w:pPr>
    </w:p>
  </w:footnote>
  <w:footnote w:id="4">
    <w:p w14:paraId="54A49373" w14:textId="77777777" w:rsidR="002B50CE" w:rsidRPr="00BA61D0" w:rsidRDefault="002B50CE" w:rsidP="002B50CE">
      <w:pPr>
        <w:pStyle w:val="Textonotapie"/>
        <w:rPr>
          <w:i/>
          <w:iCs/>
          <w:sz w:val="18"/>
          <w:szCs w:val="18"/>
        </w:rPr>
      </w:pPr>
      <w:r>
        <w:rPr>
          <w:rStyle w:val="Refdenotaalpie"/>
          <w:rFonts w:eastAsiaTheme="majorEastAsia"/>
        </w:rPr>
        <w:footnoteRef/>
      </w:r>
      <w:r>
        <w:t xml:space="preserve"> </w:t>
      </w:r>
      <w:hyperlink r:id="rId4" w:history="1">
        <w:r w:rsidRPr="00BA61D0">
          <w:rPr>
            <w:rStyle w:val="Hipervnculo"/>
            <w:rFonts w:cs="Tahoma"/>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02A9F" w:rsidRDefault="007E12C6">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A02A9F" w:rsidRPr="00B17577" w14:paraId="37B9EBDE" w14:textId="77777777" w:rsidTr="005F2892">
      <w:trPr>
        <w:trHeight w:val="227"/>
      </w:trPr>
      <w:tc>
        <w:tcPr>
          <w:tcW w:w="4678" w:type="dxa"/>
          <w:hideMark/>
        </w:tcPr>
        <w:p w14:paraId="4964FBC5" w14:textId="54CDA645" w:rsidR="00A02A9F" w:rsidRPr="00096248" w:rsidRDefault="00A02A9F"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6103F7B8" w:rsidR="00A02A9F" w:rsidRPr="00096248" w:rsidRDefault="00A02A9F" w:rsidP="00011C4D">
          <w:pPr>
            <w:spacing w:after="120" w:line="240" w:lineRule="auto"/>
            <w:ind w:right="71"/>
            <w:jc w:val="right"/>
            <w:rPr>
              <w:rFonts w:cs="Arial"/>
              <w:b/>
              <w:szCs w:val="24"/>
            </w:rPr>
          </w:pPr>
          <w:r>
            <w:rPr>
              <w:rFonts w:cs="Arial"/>
              <w:b/>
              <w:bCs/>
              <w:szCs w:val="24"/>
            </w:rPr>
            <w:t>06340</w:t>
          </w:r>
          <w:r w:rsidRPr="00096248">
            <w:rPr>
              <w:rFonts w:cs="Arial"/>
              <w:b/>
              <w:bCs/>
              <w:szCs w:val="24"/>
            </w:rPr>
            <w:t>/INFOEM/IP/RR/202</w:t>
          </w:r>
          <w:r>
            <w:rPr>
              <w:rFonts w:cs="Arial"/>
              <w:b/>
              <w:bCs/>
              <w:szCs w:val="24"/>
            </w:rPr>
            <w:t>4</w:t>
          </w:r>
        </w:p>
      </w:tc>
    </w:tr>
    <w:tr w:rsidR="00A02A9F" w14:paraId="7591D3C9" w14:textId="77777777" w:rsidTr="005F2892">
      <w:trPr>
        <w:trHeight w:val="242"/>
      </w:trPr>
      <w:tc>
        <w:tcPr>
          <w:tcW w:w="4678" w:type="dxa"/>
          <w:hideMark/>
        </w:tcPr>
        <w:p w14:paraId="729A65A8" w14:textId="77777777" w:rsidR="00A02A9F" w:rsidRPr="00096248" w:rsidRDefault="00A02A9F"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6C8E6400" w:rsidR="00A02A9F" w:rsidRPr="0064493F" w:rsidRDefault="00A02A9F" w:rsidP="00011C4D">
          <w:pPr>
            <w:spacing w:after="120" w:line="240" w:lineRule="auto"/>
            <w:ind w:left="-81" w:right="71"/>
            <w:jc w:val="right"/>
            <w:rPr>
              <w:rFonts w:cs="Arial"/>
              <w:b/>
              <w:szCs w:val="24"/>
            </w:rPr>
          </w:pPr>
          <w:r w:rsidRPr="0064493F">
            <w:rPr>
              <w:rFonts w:cs="Arial"/>
              <w:b/>
              <w:szCs w:val="24"/>
            </w:rPr>
            <w:t>Secretaria de Movilidad</w:t>
          </w:r>
        </w:p>
      </w:tc>
    </w:tr>
    <w:tr w:rsidR="00A02A9F" w:rsidRPr="00F63239" w14:paraId="037E914D" w14:textId="77777777" w:rsidTr="005F2892">
      <w:trPr>
        <w:trHeight w:val="342"/>
      </w:trPr>
      <w:tc>
        <w:tcPr>
          <w:tcW w:w="4678" w:type="dxa"/>
          <w:hideMark/>
        </w:tcPr>
        <w:p w14:paraId="7676B68F" w14:textId="64D69EAF" w:rsidR="00A02A9F" w:rsidRPr="00096248" w:rsidRDefault="00A02A9F"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A02A9F" w:rsidRDefault="00A02A9F"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02A9F" w:rsidRPr="00711916" w:rsidRDefault="00A02A9F" w:rsidP="00011C4D">
          <w:pPr>
            <w:spacing w:after="120" w:line="240" w:lineRule="auto"/>
            <w:ind w:left="-486" w:right="71" w:firstLine="567"/>
            <w:jc w:val="right"/>
            <w:rPr>
              <w:rFonts w:cs="Arial"/>
              <w:sz w:val="2"/>
              <w:szCs w:val="2"/>
            </w:rPr>
          </w:pPr>
        </w:p>
      </w:tc>
    </w:tr>
  </w:tbl>
  <w:p w14:paraId="2998DBFD" w14:textId="27EDB763" w:rsidR="00A02A9F" w:rsidRPr="00871A91" w:rsidRDefault="007E12C6">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15pt;margin-top:-152.6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02A9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A02A9F" w14:paraId="0F9FE9B6" w14:textId="77777777" w:rsidTr="005F2892">
      <w:trPr>
        <w:trHeight w:val="227"/>
      </w:trPr>
      <w:tc>
        <w:tcPr>
          <w:tcW w:w="4678" w:type="dxa"/>
          <w:hideMark/>
        </w:tcPr>
        <w:p w14:paraId="6D1D9D71" w14:textId="11150E5A" w:rsidR="00A02A9F" w:rsidRPr="00663A37" w:rsidRDefault="00A02A9F"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7327EDA7" w:rsidR="00A02A9F" w:rsidRPr="00C81ECD" w:rsidRDefault="00A02A9F" w:rsidP="00011C4D">
          <w:pPr>
            <w:spacing w:after="120" w:line="240" w:lineRule="auto"/>
            <w:ind w:left="-486" w:right="68" w:firstLine="558"/>
            <w:jc w:val="right"/>
            <w:rPr>
              <w:rFonts w:cs="Arial"/>
              <w:b/>
              <w:szCs w:val="24"/>
            </w:rPr>
          </w:pPr>
          <w:r>
            <w:rPr>
              <w:rFonts w:cs="Arial"/>
              <w:b/>
              <w:bCs/>
              <w:szCs w:val="24"/>
            </w:rPr>
            <w:t>06340/INFOEM/IP/RR/2024</w:t>
          </w:r>
        </w:p>
      </w:tc>
    </w:tr>
    <w:tr w:rsidR="00A02A9F" w:rsidRPr="001F57CD" w14:paraId="1377D264" w14:textId="77777777" w:rsidTr="005F2892">
      <w:trPr>
        <w:trHeight w:val="196"/>
      </w:trPr>
      <w:tc>
        <w:tcPr>
          <w:tcW w:w="4678" w:type="dxa"/>
          <w:hideMark/>
        </w:tcPr>
        <w:p w14:paraId="04D597A1" w14:textId="77777777" w:rsidR="00A02A9F" w:rsidRPr="00663A37" w:rsidRDefault="00A02A9F"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03E19C57" w:rsidR="00A02A9F" w:rsidRPr="00663A37" w:rsidRDefault="007E12C6" w:rsidP="001849F0">
          <w:pPr>
            <w:spacing w:after="120" w:line="240" w:lineRule="auto"/>
            <w:ind w:right="68"/>
            <w:jc w:val="right"/>
            <w:rPr>
              <w:rFonts w:cs="Arial"/>
              <w:szCs w:val="24"/>
            </w:rPr>
          </w:pPr>
          <w:r>
            <w:rPr>
              <w:rFonts w:cs="Arial"/>
              <w:szCs w:val="24"/>
            </w:rPr>
            <w:t>XXXX</w:t>
          </w:r>
        </w:p>
      </w:tc>
    </w:tr>
    <w:tr w:rsidR="00A02A9F" w14:paraId="4DC11993" w14:textId="77777777" w:rsidTr="005F2892">
      <w:trPr>
        <w:trHeight w:val="242"/>
      </w:trPr>
      <w:tc>
        <w:tcPr>
          <w:tcW w:w="4678" w:type="dxa"/>
          <w:hideMark/>
        </w:tcPr>
        <w:p w14:paraId="76CEF1B5" w14:textId="77777777" w:rsidR="00A02A9F" w:rsidRPr="00663A37" w:rsidRDefault="00A02A9F"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10139DBC" w:rsidR="00A02A9F" w:rsidRPr="0064493F" w:rsidRDefault="00A02A9F" w:rsidP="00011C4D">
          <w:pPr>
            <w:spacing w:after="120" w:line="240" w:lineRule="auto"/>
            <w:ind w:left="-70" w:right="68"/>
            <w:jc w:val="right"/>
            <w:rPr>
              <w:rFonts w:cs="Arial"/>
              <w:b/>
              <w:szCs w:val="24"/>
            </w:rPr>
          </w:pPr>
          <w:r w:rsidRPr="0064493F">
            <w:rPr>
              <w:rFonts w:cs="Arial"/>
              <w:b/>
              <w:szCs w:val="24"/>
            </w:rPr>
            <w:t>Secretaria de Movilidad</w:t>
          </w:r>
        </w:p>
      </w:tc>
    </w:tr>
    <w:tr w:rsidR="00A02A9F" w14:paraId="5C2B511D" w14:textId="77777777" w:rsidTr="005F2892">
      <w:trPr>
        <w:trHeight w:val="342"/>
      </w:trPr>
      <w:tc>
        <w:tcPr>
          <w:tcW w:w="4678" w:type="dxa"/>
          <w:hideMark/>
        </w:tcPr>
        <w:p w14:paraId="03FEF68C" w14:textId="45E91CF4" w:rsidR="00A02A9F" w:rsidRPr="00663A37" w:rsidRDefault="00A02A9F"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A02A9F" w:rsidRPr="00663A37" w:rsidRDefault="00A02A9F"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F7B15A2" w:rsidR="00A02A9F" w:rsidRPr="00871A91" w:rsidRDefault="007E12C6">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1pt;margin-top:-167.8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02A9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4276F"/>
    <w:multiLevelType w:val="hybridMultilevel"/>
    <w:tmpl w:val="8192345A"/>
    <w:lvl w:ilvl="0" w:tplc="A9B896BE">
      <w:numFmt w:val="bullet"/>
      <w:lvlText w:val="-"/>
      <w:lvlJc w:val="left"/>
      <w:pPr>
        <w:ind w:left="1440" w:hanging="360"/>
      </w:pPr>
      <w:rPr>
        <w:rFonts w:ascii="Palatino Linotype" w:eastAsia="Times New Roman" w:hAnsi="Palatino Linotyp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2635D4"/>
    <w:multiLevelType w:val="hybridMultilevel"/>
    <w:tmpl w:val="B3900F78"/>
    <w:lvl w:ilvl="0" w:tplc="748C7C9A">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80E9F"/>
    <w:multiLevelType w:val="hybridMultilevel"/>
    <w:tmpl w:val="F49244D2"/>
    <w:lvl w:ilvl="0" w:tplc="F34431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6775B9"/>
    <w:multiLevelType w:val="hybridMultilevel"/>
    <w:tmpl w:val="2A88EEDA"/>
    <w:lvl w:ilvl="0" w:tplc="C888BEAA">
      <w:start w:val="3"/>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046BC7"/>
    <w:multiLevelType w:val="hybridMultilevel"/>
    <w:tmpl w:val="4FDAC52C"/>
    <w:lvl w:ilvl="0" w:tplc="ED187A0A">
      <w:numFmt w:val="bullet"/>
      <w:lvlText w:val=""/>
      <w:lvlJc w:val="left"/>
      <w:pPr>
        <w:ind w:left="720" w:hanging="360"/>
      </w:pPr>
      <w:rPr>
        <w:rFonts w:ascii="Symbol" w:eastAsia="Calibri" w:hAnsi="Symbol"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A81835"/>
    <w:multiLevelType w:val="hybridMultilevel"/>
    <w:tmpl w:val="217E2AD8"/>
    <w:lvl w:ilvl="0" w:tplc="C8DAF4F6">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3" w15:restartNumberingAfterBreak="0">
    <w:nsid w:val="125462A0"/>
    <w:multiLevelType w:val="hybridMultilevel"/>
    <w:tmpl w:val="A524CB18"/>
    <w:lvl w:ilvl="0" w:tplc="31DC0E4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D83240"/>
    <w:multiLevelType w:val="hybridMultilevel"/>
    <w:tmpl w:val="D62AB1B4"/>
    <w:lvl w:ilvl="0" w:tplc="1D36E3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B17443"/>
    <w:multiLevelType w:val="hybridMultilevel"/>
    <w:tmpl w:val="A524CB18"/>
    <w:lvl w:ilvl="0" w:tplc="31DC0E4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4081682F"/>
    <w:multiLevelType w:val="hybridMultilevel"/>
    <w:tmpl w:val="98404C74"/>
    <w:lvl w:ilvl="0" w:tplc="94E20FE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867F36"/>
    <w:multiLevelType w:val="hybridMultilevel"/>
    <w:tmpl w:val="BEC41072"/>
    <w:lvl w:ilvl="0" w:tplc="A9A4A490">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2E7221D"/>
    <w:multiLevelType w:val="hybridMultilevel"/>
    <w:tmpl w:val="99B673D2"/>
    <w:lvl w:ilvl="0" w:tplc="7A1031F2">
      <w:start w:val="1"/>
      <w:numFmt w:val="bullet"/>
      <w:lvlText w:val="-"/>
      <w:lvlJc w:val="left"/>
      <w:pPr>
        <w:ind w:left="720" w:hanging="360"/>
      </w:pPr>
      <w:rPr>
        <w:rFonts w:ascii="Palatino Linotype" w:eastAsiaTheme="minorEastAsia"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02721"/>
    <w:multiLevelType w:val="hybridMultilevel"/>
    <w:tmpl w:val="F49244D2"/>
    <w:lvl w:ilvl="0" w:tplc="F34431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017636"/>
    <w:multiLevelType w:val="hybridMultilevel"/>
    <w:tmpl w:val="83780FD8"/>
    <w:lvl w:ilvl="0" w:tplc="F1B8B89A">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0B3C2C"/>
    <w:multiLevelType w:val="hybridMultilevel"/>
    <w:tmpl w:val="B1C8D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33"/>
  </w:num>
  <w:num w:numId="4">
    <w:abstractNumId w:val="16"/>
  </w:num>
  <w:num w:numId="5">
    <w:abstractNumId w:val="41"/>
  </w:num>
  <w:num w:numId="6">
    <w:abstractNumId w:val="5"/>
  </w:num>
  <w:num w:numId="7">
    <w:abstractNumId w:val="34"/>
  </w:num>
  <w:num w:numId="8">
    <w:abstractNumId w:val="14"/>
  </w:num>
  <w:num w:numId="9">
    <w:abstractNumId w:val="3"/>
  </w:num>
  <w:num w:numId="10">
    <w:abstractNumId w:val="21"/>
  </w:num>
  <w:num w:numId="11">
    <w:abstractNumId w:val="22"/>
  </w:num>
  <w:num w:numId="12">
    <w:abstractNumId w:val="44"/>
  </w:num>
  <w:num w:numId="13">
    <w:abstractNumId w:val="40"/>
  </w:num>
  <w:num w:numId="14">
    <w:abstractNumId w:val="28"/>
  </w:num>
  <w:num w:numId="15">
    <w:abstractNumId w:val="32"/>
  </w:num>
  <w:num w:numId="16">
    <w:abstractNumId w:val="18"/>
  </w:num>
  <w:num w:numId="17">
    <w:abstractNumId w:val="37"/>
  </w:num>
  <w:num w:numId="18">
    <w:abstractNumId w:val="31"/>
  </w:num>
  <w:num w:numId="19">
    <w:abstractNumId w:val="46"/>
  </w:num>
  <w:num w:numId="20">
    <w:abstractNumId w:val="27"/>
  </w:num>
  <w:num w:numId="21">
    <w:abstractNumId w:val="39"/>
  </w:num>
  <w:num w:numId="22">
    <w:abstractNumId w:val="9"/>
  </w:num>
  <w:num w:numId="23">
    <w:abstractNumId w:val="36"/>
  </w:num>
  <w:num w:numId="24">
    <w:abstractNumId w:val="10"/>
  </w:num>
  <w:num w:numId="25">
    <w:abstractNumId w:val="35"/>
  </w:num>
  <w:num w:numId="26">
    <w:abstractNumId w:val="43"/>
  </w:num>
  <w:num w:numId="27">
    <w:abstractNumId w:val="0"/>
  </w:num>
  <w:num w:numId="28">
    <w:abstractNumId w:val="2"/>
  </w:num>
  <w:num w:numId="29">
    <w:abstractNumId w:val="24"/>
  </w:num>
  <w:num w:numId="30">
    <w:abstractNumId w:val="19"/>
  </w:num>
  <w:num w:numId="31">
    <w:abstractNumId w:val="23"/>
  </w:num>
  <w:num w:numId="32">
    <w:abstractNumId w:val="11"/>
  </w:num>
  <w:num w:numId="33">
    <w:abstractNumId w:val="26"/>
  </w:num>
  <w:num w:numId="34">
    <w:abstractNumId w:val="42"/>
  </w:num>
  <w:num w:numId="35">
    <w:abstractNumId w:val="25"/>
  </w:num>
  <w:num w:numId="36">
    <w:abstractNumId w:val="4"/>
  </w:num>
  <w:num w:numId="37">
    <w:abstractNumId w:val="17"/>
  </w:num>
  <w:num w:numId="38">
    <w:abstractNumId w:val="6"/>
  </w:num>
  <w:num w:numId="39">
    <w:abstractNumId w:val="38"/>
  </w:num>
  <w:num w:numId="40">
    <w:abstractNumId w:val="47"/>
  </w:num>
  <w:num w:numId="41">
    <w:abstractNumId w:val="20"/>
  </w:num>
  <w:num w:numId="42">
    <w:abstractNumId w:val="30"/>
  </w:num>
  <w:num w:numId="43">
    <w:abstractNumId w:val="13"/>
  </w:num>
  <w:num w:numId="44">
    <w:abstractNumId w:val="8"/>
  </w:num>
  <w:num w:numId="45">
    <w:abstractNumId w:val="45"/>
  </w:num>
  <w:num w:numId="46">
    <w:abstractNumId w:val="1"/>
  </w:num>
  <w:num w:numId="47">
    <w:abstractNumId w:val="7"/>
  </w:num>
  <w:num w:numId="48">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67CB5"/>
    <w:rsid w:val="0007107B"/>
    <w:rsid w:val="000739AF"/>
    <w:rsid w:val="00073E10"/>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1FA1"/>
    <w:rsid w:val="00092681"/>
    <w:rsid w:val="00092D82"/>
    <w:rsid w:val="0009320C"/>
    <w:rsid w:val="0009328A"/>
    <w:rsid w:val="0009397B"/>
    <w:rsid w:val="00094B23"/>
    <w:rsid w:val="00094FD7"/>
    <w:rsid w:val="000951B9"/>
    <w:rsid w:val="00095F45"/>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BC"/>
    <w:rsid w:val="000E513A"/>
    <w:rsid w:val="000E57E9"/>
    <w:rsid w:val="000E57FC"/>
    <w:rsid w:val="000E74D7"/>
    <w:rsid w:val="000E75E5"/>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9F0"/>
    <w:rsid w:val="00184AEA"/>
    <w:rsid w:val="0018577B"/>
    <w:rsid w:val="00185C61"/>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2AA5"/>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85E3D"/>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056"/>
    <w:rsid w:val="002B317E"/>
    <w:rsid w:val="002B3CE2"/>
    <w:rsid w:val="002B3EA9"/>
    <w:rsid w:val="002B40FF"/>
    <w:rsid w:val="002B44C4"/>
    <w:rsid w:val="002B50CE"/>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1943"/>
    <w:rsid w:val="002E2C24"/>
    <w:rsid w:val="002E2D8A"/>
    <w:rsid w:val="002E37DA"/>
    <w:rsid w:val="002E40AD"/>
    <w:rsid w:val="002E55C9"/>
    <w:rsid w:val="002E5AFA"/>
    <w:rsid w:val="002E72F0"/>
    <w:rsid w:val="002F368E"/>
    <w:rsid w:val="002F3AAF"/>
    <w:rsid w:val="002F40FF"/>
    <w:rsid w:val="002F5101"/>
    <w:rsid w:val="002F5C83"/>
    <w:rsid w:val="002F713F"/>
    <w:rsid w:val="002F799E"/>
    <w:rsid w:val="002F7D3E"/>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4F09"/>
    <w:rsid w:val="00325C6E"/>
    <w:rsid w:val="003265D6"/>
    <w:rsid w:val="003275F8"/>
    <w:rsid w:val="0033067E"/>
    <w:rsid w:val="0033070B"/>
    <w:rsid w:val="00331513"/>
    <w:rsid w:val="0033491A"/>
    <w:rsid w:val="00335A61"/>
    <w:rsid w:val="0033687B"/>
    <w:rsid w:val="00337088"/>
    <w:rsid w:val="00337638"/>
    <w:rsid w:val="003402FB"/>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0C18"/>
    <w:rsid w:val="00352677"/>
    <w:rsid w:val="0035393E"/>
    <w:rsid w:val="00355981"/>
    <w:rsid w:val="00360189"/>
    <w:rsid w:val="0036188D"/>
    <w:rsid w:val="00362013"/>
    <w:rsid w:val="00362136"/>
    <w:rsid w:val="003623F5"/>
    <w:rsid w:val="0036336C"/>
    <w:rsid w:val="003637A1"/>
    <w:rsid w:val="00363EA3"/>
    <w:rsid w:val="003647C3"/>
    <w:rsid w:val="00364C0A"/>
    <w:rsid w:val="00365C97"/>
    <w:rsid w:val="003703A3"/>
    <w:rsid w:val="0037112D"/>
    <w:rsid w:val="003713C2"/>
    <w:rsid w:val="0037172A"/>
    <w:rsid w:val="0037269A"/>
    <w:rsid w:val="00374179"/>
    <w:rsid w:val="0037526D"/>
    <w:rsid w:val="0037545E"/>
    <w:rsid w:val="00376405"/>
    <w:rsid w:val="00380A66"/>
    <w:rsid w:val="0038157C"/>
    <w:rsid w:val="0038209B"/>
    <w:rsid w:val="00383249"/>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1F43"/>
    <w:rsid w:val="003B279D"/>
    <w:rsid w:val="003B2AAD"/>
    <w:rsid w:val="003B3474"/>
    <w:rsid w:val="003B4BBE"/>
    <w:rsid w:val="003B4EE5"/>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400915"/>
    <w:rsid w:val="0040187C"/>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5E3"/>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62CD"/>
    <w:rsid w:val="00497395"/>
    <w:rsid w:val="004A0BEB"/>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671"/>
    <w:rsid w:val="004B7011"/>
    <w:rsid w:val="004B7D24"/>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1324"/>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77E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2892"/>
    <w:rsid w:val="005F30F1"/>
    <w:rsid w:val="005F3103"/>
    <w:rsid w:val="005F3144"/>
    <w:rsid w:val="005F4D3D"/>
    <w:rsid w:val="005F5B10"/>
    <w:rsid w:val="005F6CAB"/>
    <w:rsid w:val="0060129A"/>
    <w:rsid w:val="0060244C"/>
    <w:rsid w:val="006055AB"/>
    <w:rsid w:val="00610274"/>
    <w:rsid w:val="00610A95"/>
    <w:rsid w:val="00611CEF"/>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D5F"/>
    <w:rsid w:val="00640E61"/>
    <w:rsid w:val="0064159F"/>
    <w:rsid w:val="006424D3"/>
    <w:rsid w:val="00642A8B"/>
    <w:rsid w:val="006439D3"/>
    <w:rsid w:val="0064493F"/>
    <w:rsid w:val="006468ED"/>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3D46"/>
    <w:rsid w:val="006A4224"/>
    <w:rsid w:val="006A53BF"/>
    <w:rsid w:val="006A56F0"/>
    <w:rsid w:val="006A585F"/>
    <w:rsid w:val="006A721D"/>
    <w:rsid w:val="006A7CE2"/>
    <w:rsid w:val="006A7E3C"/>
    <w:rsid w:val="006B11C6"/>
    <w:rsid w:val="006B279D"/>
    <w:rsid w:val="006B3A5C"/>
    <w:rsid w:val="006B4CA4"/>
    <w:rsid w:val="006B4DCD"/>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31A2"/>
    <w:rsid w:val="00704693"/>
    <w:rsid w:val="0070491A"/>
    <w:rsid w:val="00704AB9"/>
    <w:rsid w:val="00705051"/>
    <w:rsid w:val="007054D8"/>
    <w:rsid w:val="0070561D"/>
    <w:rsid w:val="00705C7F"/>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4BA4"/>
    <w:rsid w:val="007550BD"/>
    <w:rsid w:val="007551E4"/>
    <w:rsid w:val="00756698"/>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31F"/>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E0B5E"/>
    <w:rsid w:val="007E0C9C"/>
    <w:rsid w:val="007E0FE3"/>
    <w:rsid w:val="007E12C6"/>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9C5"/>
    <w:rsid w:val="008058D0"/>
    <w:rsid w:val="00806045"/>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31"/>
    <w:rsid w:val="00824570"/>
    <w:rsid w:val="00824E58"/>
    <w:rsid w:val="008275DC"/>
    <w:rsid w:val="0082778F"/>
    <w:rsid w:val="00827D60"/>
    <w:rsid w:val="008302C5"/>
    <w:rsid w:val="00830D47"/>
    <w:rsid w:val="00831531"/>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F1C22"/>
    <w:rsid w:val="008F2554"/>
    <w:rsid w:val="008F2C23"/>
    <w:rsid w:val="008F31A7"/>
    <w:rsid w:val="008F47DC"/>
    <w:rsid w:val="008F52B5"/>
    <w:rsid w:val="008F635E"/>
    <w:rsid w:val="008F738E"/>
    <w:rsid w:val="009002CE"/>
    <w:rsid w:val="009025FB"/>
    <w:rsid w:val="009029DB"/>
    <w:rsid w:val="0090338F"/>
    <w:rsid w:val="009038A8"/>
    <w:rsid w:val="009042E8"/>
    <w:rsid w:val="00905C6E"/>
    <w:rsid w:val="0090753F"/>
    <w:rsid w:val="00910529"/>
    <w:rsid w:val="009118BA"/>
    <w:rsid w:val="00913E51"/>
    <w:rsid w:val="00914986"/>
    <w:rsid w:val="00914DFE"/>
    <w:rsid w:val="0091549C"/>
    <w:rsid w:val="0091614B"/>
    <w:rsid w:val="00916AA3"/>
    <w:rsid w:val="00916CEC"/>
    <w:rsid w:val="00916D7B"/>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2CD"/>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2A9F"/>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0C0"/>
    <w:rsid w:val="00A40E66"/>
    <w:rsid w:val="00A40FB6"/>
    <w:rsid w:val="00A42629"/>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80BB6"/>
    <w:rsid w:val="00A80C68"/>
    <w:rsid w:val="00A8147A"/>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562"/>
    <w:rsid w:val="00AB3885"/>
    <w:rsid w:val="00AB49EA"/>
    <w:rsid w:val="00AB4F00"/>
    <w:rsid w:val="00AB5F3B"/>
    <w:rsid w:val="00AB7D47"/>
    <w:rsid w:val="00AC004D"/>
    <w:rsid w:val="00AC0079"/>
    <w:rsid w:val="00AC09F1"/>
    <w:rsid w:val="00AC265B"/>
    <w:rsid w:val="00AC2BD0"/>
    <w:rsid w:val="00AC38A9"/>
    <w:rsid w:val="00AC4BF6"/>
    <w:rsid w:val="00AC5375"/>
    <w:rsid w:val="00AC5AF0"/>
    <w:rsid w:val="00AC6797"/>
    <w:rsid w:val="00AC6A7A"/>
    <w:rsid w:val="00AC6F68"/>
    <w:rsid w:val="00AC73CA"/>
    <w:rsid w:val="00AC7896"/>
    <w:rsid w:val="00AD104E"/>
    <w:rsid w:val="00AD124D"/>
    <w:rsid w:val="00AD1EAE"/>
    <w:rsid w:val="00AD2280"/>
    <w:rsid w:val="00AD26C0"/>
    <w:rsid w:val="00AD34FD"/>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76DD7"/>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4373"/>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4C5"/>
    <w:rsid w:val="00C12F0F"/>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5D53"/>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3E0"/>
    <w:rsid w:val="00CD55DB"/>
    <w:rsid w:val="00CD63AD"/>
    <w:rsid w:val="00CE1045"/>
    <w:rsid w:val="00CE12F6"/>
    <w:rsid w:val="00CE167E"/>
    <w:rsid w:val="00CE1870"/>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16BDE"/>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886"/>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403B"/>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59F"/>
    <w:rsid w:val="00D8663B"/>
    <w:rsid w:val="00D86696"/>
    <w:rsid w:val="00D878B6"/>
    <w:rsid w:val="00D87FC0"/>
    <w:rsid w:val="00D90C1B"/>
    <w:rsid w:val="00D90FB3"/>
    <w:rsid w:val="00D910B9"/>
    <w:rsid w:val="00D925D1"/>
    <w:rsid w:val="00D92668"/>
    <w:rsid w:val="00D93AD4"/>
    <w:rsid w:val="00D94014"/>
    <w:rsid w:val="00D94BE4"/>
    <w:rsid w:val="00D94F27"/>
    <w:rsid w:val="00D95B37"/>
    <w:rsid w:val="00D979CF"/>
    <w:rsid w:val="00DA04CA"/>
    <w:rsid w:val="00DA0B8F"/>
    <w:rsid w:val="00DA17F7"/>
    <w:rsid w:val="00DA1A7B"/>
    <w:rsid w:val="00DA1F2A"/>
    <w:rsid w:val="00DA432C"/>
    <w:rsid w:val="00DA4677"/>
    <w:rsid w:val="00DA49CC"/>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4BA9"/>
    <w:rsid w:val="00E157C4"/>
    <w:rsid w:val="00E1701F"/>
    <w:rsid w:val="00E2168A"/>
    <w:rsid w:val="00E22FD4"/>
    <w:rsid w:val="00E23A0E"/>
    <w:rsid w:val="00E23EE3"/>
    <w:rsid w:val="00E245A1"/>
    <w:rsid w:val="00E24831"/>
    <w:rsid w:val="00E25228"/>
    <w:rsid w:val="00E25F2A"/>
    <w:rsid w:val="00E26AB5"/>
    <w:rsid w:val="00E27953"/>
    <w:rsid w:val="00E31001"/>
    <w:rsid w:val="00E314BF"/>
    <w:rsid w:val="00E34A4E"/>
    <w:rsid w:val="00E35198"/>
    <w:rsid w:val="00E373E8"/>
    <w:rsid w:val="00E41087"/>
    <w:rsid w:val="00E41A97"/>
    <w:rsid w:val="00E41C8A"/>
    <w:rsid w:val="00E41D06"/>
    <w:rsid w:val="00E41D0D"/>
    <w:rsid w:val="00E41E33"/>
    <w:rsid w:val="00E4260A"/>
    <w:rsid w:val="00E426BD"/>
    <w:rsid w:val="00E43C83"/>
    <w:rsid w:val="00E45508"/>
    <w:rsid w:val="00E46685"/>
    <w:rsid w:val="00E47622"/>
    <w:rsid w:val="00E507BE"/>
    <w:rsid w:val="00E50A06"/>
    <w:rsid w:val="00E51D63"/>
    <w:rsid w:val="00E52141"/>
    <w:rsid w:val="00E5265D"/>
    <w:rsid w:val="00E528E2"/>
    <w:rsid w:val="00E540BC"/>
    <w:rsid w:val="00E5413A"/>
    <w:rsid w:val="00E545D0"/>
    <w:rsid w:val="00E546D8"/>
    <w:rsid w:val="00E55480"/>
    <w:rsid w:val="00E55759"/>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3276"/>
    <w:rsid w:val="00E93457"/>
    <w:rsid w:val="00E93F35"/>
    <w:rsid w:val="00E942A6"/>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0658"/>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2CAA"/>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894"/>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paragraph" w:customStyle="1" w:styleId="Citas">
    <w:name w:val="Citas"/>
    <w:basedOn w:val="Normal"/>
    <w:qFormat/>
    <w:rsid w:val="00BB4373"/>
    <w:pPr>
      <w:spacing w:before="240" w:after="160"/>
      <w:ind w:left="851" w:right="851"/>
    </w:pPr>
    <w:rPr>
      <w:rFonts w:eastAsiaTheme="minorHAnsi" w:cs="Arial"/>
      <w:i/>
      <w:sz w:val="22"/>
      <w:lang w:val="es-MX" w:eastAsia="en-US"/>
    </w:rPr>
  </w:style>
  <w:style w:type="character" w:customStyle="1" w:styleId="UnresolvedMention">
    <w:name w:val="Unresolved Mention"/>
    <w:basedOn w:val="Fuentedeprrafopredeter"/>
    <w:uiPriority w:val="99"/>
    <w:semiHidden/>
    <w:unhideWhenUsed/>
    <w:rsid w:val="004B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38013307">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13153288">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71000991">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MOV.Edomex/posts/pfbid023YLLX5Pv4rW6mGfN2KV4Et8o1bpdHni1MQafjVDB4U6TmPamAjPCUU3uxVMFh7Nv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MOV.Edomex/posts/pfbid023YLLX5Pv4rW6mGfN2KV4Et8o1bpdHni1MQafjVDB4U6TmPamAjPCUU3uxVMFh7Nv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lsoldetoluca.com.mx/local/el-95-del-transporte-publico-del-edomex-esta-en-el-abandono-movimiento-transportista-1249978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prensa.com.mx/metropoli/exigen-transportistas-de-edomex-la-destitucion-de-titular-de-movilidad-12499956.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jf.scjn.gob.mx/sjfsist/Paginas/DetalleGeneralV2.aspx?ID=1000830&amp;Clase=DetalleTesisBL&amp;Semanario=0"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07F6-E02E-4907-8391-AB19394A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8675</Words>
  <Characters>47717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2019-06-13T15:30:00Z</cp:lastPrinted>
  <dcterms:created xsi:type="dcterms:W3CDTF">2024-11-13T21:02:00Z</dcterms:created>
  <dcterms:modified xsi:type="dcterms:W3CDTF">2024-12-06T20:27:00Z</dcterms:modified>
</cp:coreProperties>
</file>