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B65" w:rsidRPr="00B349BB" w:rsidRDefault="000F1B65">
      <w:pPr>
        <w:widowControl w:val="0"/>
        <w:pBdr>
          <w:top w:val="nil"/>
          <w:left w:val="nil"/>
          <w:bottom w:val="nil"/>
          <w:right w:val="nil"/>
          <w:between w:val="nil"/>
        </w:pBdr>
        <w:spacing w:line="276" w:lineRule="auto"/>
        <w:rPr>
          <w:rFonts w:ascii="Palatino Linotype" w:hAnsi="Palatino Linotype"/>
          <w:sz w:val="22"/>
          <w:szCs w:val="22"/>
        </w:rPr>
      </w:pPr>
    </w:p>
    <w:p w:rsidR="000F1B65" w:rsidRPr="00B349BB" w:rsidRDefault="005E216F">
      <w:pPr>
        <w:spacing w:line="360" w:lineRule="auto"/>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catorce (14) de agosto de dos mil veinticuatro.</w:t>
      </w:r>
    </w:p>
    <w:p w:rsidR="000F1B65" w:rsidRPr="00B349BB" w:rsidRDefault="000F1B65">
      <w:pPr>
        <w:spacing w:line="360" w:lineRule="auto"/>
        <w:jc w:val="both"/>
        <w:rPr>
          <w:rFonts w:ascii="Palatino Linotype" w:eastAsia="Palatino Linotype" w:hAnsi="Palatino Linotype" w:cs="Palatino Linotype"/>
          <w:sz w:val="22"/>
          <w:szCs w:val="22"/>
        </w:rPr>
      </w:pPr>
    </w:p>
    <w:p w:rsidR="000F1B65" w:rsidRPr="00B349BB" w:rsidRDefault="005E216F">
      <w:pPr>
        <w:spacing w:line="360" w:lineRule="auto"/>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b/>
          <w:sz w:val="22"/>
          <w:szCs w:val="22"/>
        </w:rPr>
        <w:t>VISTO</w:t>
      </w:r>
      <w:r w:rsidRPr="00B349BB">
        <w:rPr>
          <w:rFonts w:ascii="Palatino Linotype" w:eastAsia="Palatino Linotype" w:hAnsi="Palatino Linotype" w:cs="Palatino Linotype"/>
          <w:sz w:val="22"/>
          <w:szCs w:val="22"/>
        </w:rPr>
        <w:t xml:space="preserve"> el expediente electrónico formado con motivo del recurso de revisión </w:t>
      </w:r>
      <w:r w:rsidRPr="00B349BB">
        <w:rPr>
          <w:rFonts w:ascii="Palatino Linotype" w:eastAsia="Palatino Linotype" w:hAnsi="Palatino Linotype" w:cs="Palatino Linotype"/>
          <w:b/>
          <w:sz w:val="22"/>
          <w:szCs w:val="22"/>
        </w:rPr>
        <w:t xml:space="preserve">08088/INFOEM/IP/RR/2023, </w:t>
      </w:r>
      <w:r w:rsidRPr="00B349BB">
        <w:rPr>
          <w:rFonts w:ascii="Palatino Linotype" w:eastAsia="Palatino Linotype" w:hAnsi="Palatino Linotype" w:cs="Palatino Linotype"/>
          <w:sz w:val="22"/>
          <w:szCs w:val="22"/>
        </w:rPr>
        <w:t>promovido por un usuario que no registro nombre alguno, en adelante se identific</w:t>
      </w:r>
      <w:r w:rsidR="000026D7">
        <w:rPr>
          <w:rFonts w:ascii="Palatino Linotype" w:eastAsia="Palatino Linotype" w:hAnsi="Palatino Linotype" w:cs="Palatino Linotype"/>
          <w:sz w:val="22"/>
          <w:szCs w:val="22"/>
        </w:rPr>
        <w:t xml:space="preserve">ará como el </w:t>
      </w:r>
      <w:r w:rsidRPr="00B349BB">
        <w:rPr>
          <w:rFonts w:ascii="Palatino Linotype" w:eastAsia="Palatino Linotype" w:hAnsi="Palatino Linotype" w:cs="Palatino Linotype"/>
          <w:b/>
          <w:sz w:val="22"/>
          <w:szCs w:val="22"/>
        </w:rPr>
        <w:t>RECURRENTE</w:t>
      </w:r>
      <w:r w:rsidRPr="00B349BB">
        <w:rPr>
          <w:rFonts w:ascii="Palatino Linotype" w:eastAsia="Palatino Linotype" w:hAnsi="Palatino Linotype" w:cs="Palatino Linotype"/>
          <w:sz w:val="22"/>
          <w:szCs w:val="22"/>
        </w:rPr>
        <w:t xml:space="preserve">, en contra de la respuesta del </w:t>
      </w:r>
      <w:r w:rsidRPr="00B349BB">
        <w:rPr>
          <w:rFonts w:ascii="Palatino Linotype" w:eastAsia="Palatino Linotype" w:hAnsi="Palatino Linotype" w:cs="Palatino Linotype"/>
          <w:b/>
          <w:sz w:val="22"/>
          <w:szCs w:val="22"/>
        </w:rPr>
        <w:t xml:space="preserve">Tecnológico de Estudios Superiores de Coacalco, </w:t>
      </w:r>
      <w:r w:rsidRPr="00B349BB">
        <w:rPr>
          <w:rFonts w:ascii="Palatino Linotype" w:eastAsia="Palatino Linotype" w:hAnsi="Palatino Linotype" w:cs="Palatino Linotype"/>
          <w:sz w:val="22"/>
          <w:szCs w:val="22"/>
        </w:rPr>
        <w:t>en lo sucesivo el</w:t>
      </w:r>
      <w:r w:rsidRPr="00B349BB">
        <w:rPr>
          <w:rFonts w:ascii="Palatino Linotype" w:eastAsia="Palatino Linotype" w:hAnsi="Palatino Linotype" w:cs="Palatino Linotype"/>
          <w:b/>
          <w:sz w:val="22"/>
          <w:szCs w:val="22"/>
        </w:rPr>
        <w:t xml:space="preserve"> SUJETO OBLIGADO</w:t>
      </w:r>
      <w:r w:rsidRPr="00B349BB">
        <w:rPr>
          <w:rFonts w:ascii="Palatino Linotype" w:eastAsia="Palatino Linotype" w:hAnsi="Palatino Linotype" w:cs="Palatino Linotype"/>
          <w:sz w:val="22"/>
          <w:szCs w:val="22"/>
        </w:rPr>
        <w:t>, por lo que se procede a dictar la presente resolución, con base en los siguientes:</w:t>
      </w:r>
    </w:p>
    <w:p w:rsidR="000F1B65" w:rsidRPr="00B349BB" w:rsidRDefault="005E216F">
      <w:pPr>
        <w:keepNext/>
        <w:keepLines/>
        <w:spacing w:line="360" w:lineRule="auto"/>
        <w:jc w:val="center"/>
        <w:rPr>
          <w:rFonts w:ascii="Palatino Linotype" w:eastAsia="Palatino Linotype" w:hAnsi="Palatino Linotype" w:cs="Palatino Linotype"/>
          <w:b/>
          <w:sz w:val="22"/>
          <w:szCs w:val="22"/>
        </w:rPr>
      </w:pPr>
      <w:bookmarkStart w:id="0" w:name="_heading=h.gjdgxs" w:colFirst="0" w:colLast="0"/>
      <w:bookmarkEnd w:id="0"/>
      <w:r w:rsidRPr="00B349BB">
        <w:rPr>
          <w:rFonts w:ascii="Palatino Linotype" w:eastAsia="Palatino Linotype" w:hAnsi="Palatino Linotype" w:cs="Palatino Linotype"/>
          <w:b/>
          <w:sz w:val="22"/>
          <w:szCs w:val="22"/>
        </w:rPr>
        <w:t>A N T E C E D E N T E S</w:t>
      </w: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5E216F">
      <w:pPr>
        <w:numPr>
          <w:ilvl w:val="0"/>
          <w:numId w:val="1"/>
        </w:numPr>
        <w:spacing w:line="360" w:lineRule="auto"/>
        <w:ind w:left="0"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sz w:val="22"/>
          <w:szCs w:val="22"/>
        </w:rPr>
        <w:t>El diecisiete de octubre de dos mil veintitrés, el</w:t>
      </w:r>
      <w:r w:rsidRPr="00B349BB">
        <w:rPr>
          <w:rFonts w:ascii="Palatino Linotype" w:eastAsia="Palatino Linotype" w:hAnsi="Palatino Linotype" w:cs="Palatino Linotype"/>
          <w:b/>
          <w:sz w:val="22"/>
          <w:szCs w:val="22"/>
        </w:rPr>
        <w:t xml:space="preserve"> RECURRENTE </w:t>
      </w:r>
      <w:r w:rsidRPr="00B349BB">
        <w:rPr>
          <w:rFonts w:ascii="Palatino Linotype" w:eastAsia="Palatino Linotype" w:hAnsi="Palatino Linotype" w:cs="Palatino Linotype"/>
          <w:sz w:val="22"/>
          <w:szCs w:val="22"/>
        </w:rPr>
        <w:t xml:space="preserve">ante el </w:t>
      </w:r>
      <w:r w:rsidRPr="00B349BB">
        <w:rPr>
          <w:rFonts w:ascii="Palatino Linotype" w:eastAsia="Palatino Linotype" w:hAnsi="Palatino Linotype" w:cs="Palatino Linotype"/>
          <w:b/>
          <w:sz w:val="22"/>
          <w:szCs w:val="22"/>
        </w:rPr>
        <w:t>SUJETO OBLIGADO</w:t>
      </w:r>
      <w:r w:rsidRPr="00B349BB">
        <w:rPr>
          <w:rFonts w:ascii="Palatino Linotype" w:eastAsia="Palatino Linotype" w:hAnsi="Palatino Linotype" w:cs="Palatino Linotype"/>
          <w:sz w:val="22"/>
          <w:szCs w:val="22"/>
        </w:rPr>
        <w:t xml:space="preserve"> vía Sistema de Acceso a la Información Mexiquense (</w:t>
      </w:r>
      <w:r w:rsidRPr="00B349BB">
        <w:rPr>
          <w:rFonts w:ascii="Palatino Linotype" w:eastAsia="Palatino Linotype" w:hAnsi="Palatino Linotype" w:cs="Palatino Linotype"/>
          <w:b/>
          <w:sz w:val="22"/>
          <w:szCs w:val="22"/>
        </w:rPr>
        <w:t>SAIMEX)</w:t>
      </w:r>
      <w:r w:rsidRPr="00B349BB">
        <w:rPr>
          <w:rFonts w:ascii="Palatino Linotype" w:eastAsia="Palatino Linotype" w:hAnsi="Palatino Linotype" w:cs="Palatino Linotype"/>
          <w:sz w:val="22"/>
          <w:szCs w:val="22"/>
        </w:rPr>
        <w:t xml:space="preserve">, presentó una solicitud de información registrada con el número </w:t>
      </w:r>
      <w:r w:rsidRPr="00B349BB">
        <w:rPr>
          <w:rFonts w:ascii="Palatino Linotype" w:eastAsia="Palatino Linotype" w:hAnsi="Palatino Linotype" w:cs="Palatino Linotype"/>
          <w:b/>
          <w:sz w:val="22"/>
          <w:szCs w:val="22"/>
        </w:rPr>
        <w:t xml:space="preserve">00020/TESCO/IP/2023, </w:t>
      </w:r>
      <w:r w:rsidRPr="00B349BB">
        <w:rPr>
          <w:rFonts w:ascii="Palatino Linotype" w:eastAsia="Palatino Linotype" w:hAnsi="Palatino Linotype" w:cs="Palatino Linotype"/>
          <w:sz w:val="22"/>
          <w:szCs w:val="22"/>
        </w:rPr>
        <w:t>en la que se solicitó lo siguiente:</w:t>
      </w:r>
    </w:p>
    <w:p w:rsidR="000F1B65" w:rsidRPr="00B349BB" w:rsidRDefault="000F1B65">
      <w:pPr>
        <w:ind w:left="567" w:right="539"/>
        <w:jc w:val="both"/>
        <w:rPr>
          <w:rFonts w:ascii="Palatino Linotype" w:eastAsia="Palatino Linotype" w:hAnsi="Palatino Linotype" w:cs="Palatino Linotype"/>
          <w:i/>
          <w:sz w:val="22"/>
          <w:szCs w:val="22"/>
        </w:rPr>
      </w:pPr>
    </w:p>
    <w:p w:rsidR="000F1B65" w:rsidRPr="00B349BB" w:rsidRDefault="005E216F">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B349BB">
        <w:rPr>
          <w:rFonts w:ascii="Palatino Linotype" w:eastAsia="Palatino Linotype" w:hAnsi="Palatino Linotype" w:cs="Palatino Linotype"/>
          <w:i/>
          <w:color w:val="000000"/>
          <w:sz w:val="22"/>
          <w:szCs w:val="22"/>
        </w:rPr>
        <w:t xml:space="preserve">“base de datos de los alumnos que estén en proceso de titulación y motivos por los cuales no se han titulado, que acciones toma </w:t>
      </w:r>
      <w:proofErr w:type="spellStart"/>
      <w:r w:rsidRPr="00B349BB">
        <w:rPr>
          <w:rFonts w:ascii="Palatino Linotype" w:eastAsia="Palatino Linotype" w:hAnsi="Palatino Linotype" w:cs="Palatino Linotype"/>
          <w:i/>
          <w:color w:val="000000"/>
          <w:sz w:val="22"/>
          <w:szCs w:val="22"/>
        </w:rPr>
        <w:t>Tesco</w:t>
      </w:r>
      <w:proofErr w:type="spellEnd"/>
      <w:r w:rsidRPr="00B349BB">
        <w:rPr>
          <w:rFonts w:ascii="Palatino Linotype" w:eastAsia="Palatino Linotype" w:hAnsi="Palatino Linotype" w:cs="Palatino Linotype"/>
          <w:i/>
          <w:color w:val="000000"/>
          <w:sz w:val="22"/>
          <w:szCs w:val="22"/>
        </w:rPr>
        <w:t xml:space="preserve"> ante estas situaciones” (Sic) </w:t>
      </w:r>
    </w:p>
    <w:p w:rsidR="000F1B65" w:rsidRPr="00B349BB" w:rsidRDefault="000F1B65">
      <w:pPr>
        <w:ind w:right="567"/>
        <w:jc w:val="both"/>
        <w:rPr>
          <w:rFonts w:ascii="Palatino Linotype" w:eastAsia="Palatino Linotype" w:hAnsi="Palatino Linotype" w:cs="Palatino Linotype"/>
          <w:i/>
          <w:color w:val="000000"/>
          <w:sz w:val="22"/>
          <w:szCs w:val="22"/>
        </w:rPr>
      </w:pPr>
    </w:p>
    <w:p w:rsidR="000F1B65" w:rsidRPr="00B349BB" w:rsidRDefault="005E216F">
      <w:pPr>
        <w:pBdr>
          <w:top w:val="nil"/>
          <w:left w:val="nil"/>
          <w:bottom w:val="nil"/>
          <w:right w:val="nil"/>
          <w:between w:val="nil"/>
        </w:pBdr>
        <w:ind w:left="567" w:right="567"/>
        <w:jc w:val="both"/>
        <w:rPr>
          <w:rFonts w:ascii="Palatino Linotype" w:eastAsia="Palatino Linotype" w:hAnsi="Palatino Linotype" w:cs="Palatino Linotype"/>
          <w:color w:val="000000"/>
          <w:sz w:val="22"/>
          <w:szCs w:val="22"/>
        </w:rPr>
      </w:pPr>
      <w:r w:rsidRPr="00B349BB">
        <w:rPr>
          <w:rFonts w:ascii="Palatino Linotype" w:eastAsia="Palatino Linotype" w:hAnsi="Palatino Linotype" w:cs="Palatino Linotype"/>
          <w:color w:val="000000"/>
          <w:sz w:val="22"/>
          <w:szCs w:val="22"/>
        </w:rPr>
        <w:t xml:space="preserve">Modalidad de entrega de la información: </w:t>
      </w:r>
      <w:r w:rsidRPr="00B349BB">
        <w:rPr>
          <w:rFonts w:ascii="Palatino Linotype" w:eastAsia="Palatino Linotype" w:hAnsi="Palatino Linotype" w:cs="Palatino Linotype"/>
          <w:b/>
          <w:color w:val="000000"/>
          <w:sz w:val="22"/>
          <w:szCs w:val="22"/>
        </w:rPr>
        <w:t>SAIMEX.</w:t>
      </w:r>
    </w:p>
    <w:p w:rsidR="000F1B65" w:rsidRPr="00B349BB" w:rsidRDefault="000F1B65">
      <w:pPr>
        <w:spacing w:line="360" w:lineRule="auto"/>
        <w:jc w:val="both"/>
        <w:rPr>
          <w:rFonts w:ascii="Palatino Linotype" w:eastAsia="Palatino Linotype" w:hAnsi="Palatino Linotype" w:cs="Palatino Linotype"/>
          <w:sz w:val="22"/>
          <w:szCs w:val="22"/>
        </w:rPr>
      </w:pPr>
    </w:p>
    <w:p w:rsidR="000F1B65" w:rsidRDefault="005E216F">
      <w:pPr>
        <w:numPr>
          <w:ilvl w:val="0"/>
          <w:numId w:val="1"/>
        </w:numPr>
        <w:spacing w:line="360" w:lineRule="auto"/>
        <w:ind w:left="0"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sz w:val="22"/>
          <w:szCs w:val="22"/>
        </w:rPr>
        <w:t xml:space="preserve">El ocho de noviembre de dos mil veintitrés, el </w:t>
      </w:r>
      <w:r w:rsidRPr="00B349BB">
        <w:rPr>
          <w:rFonts w:ascii="Palatino Linotype" w:eastAsia="Palatino Linotype" w:hAnsi="Palatino Linotype" w:cs="Palatino Linotype"/>
          <w:b/>
          <w:sz w:val="22"/>
          <w:szCs w:val="22"/>
        </w:rPr>
        <w:t>SUJETO OBLIGADO</w:t>
      </w:r>
      <w:r w:rsidRPr="00B349BB">
        <w:rPr>
          <w:rFonts w:ascii="Palatino Linotype" w:eastAsia="Palatino Linotype" w:hAnsi="Palatino Linotype" w:cs="Palatino Linotype"/>
          <w:sz w:val="22"/>
          <w:szCs w:val="22"/>
        </w:rPr>
        <w:t xml:space="preserve"> notificó una prórroga para atender la solicitud de información, en los siguientes términos:</w:t>
      </w:r>
    </w:p>
    <w:p w:rsidR="00D0312C" w:rsidRPr="00B349BB" w:rsidRDefault="00D0312C" w:rsidP="00D0312C">
      <w:pPr>
        <w:spacing w:line="360" w:lineRule="auto"/>
        <w:jc w:val="both"/>
        <w:rPr>
          <w:rFonts w:ascii="Palatino Linotype" w:eastAsia="Palatino Linotype" w:hAnsi="Palatino Linotype" w:cs="Palatino Linotype"/>
          <w:sz w:val="22"/>
          <w:szCs w:val="22"/>
        </w:rPr>
      </w:pPr>
    </w:p>
    <w:p w:rsidR="000F1B65" w:rsidRDefault="005E216F" w:rsidP="00A873B4">
      <w:pPr>
        <w:ind w:left="567"/>
        <w:jc w:val="both"/>
        <w:rPr>
          <w:rFonts w:ascii="Palatino Linotype" w:eastAsia="Palatino Linotype" w:hAnsi="Palatino Linotype" w:cs="Palatino Linotype"/>
          <w:i/>
          <w:color w:val="000000"/>
          <w:sz w:val="22"/>
          <w:szCs w:val="22"/>
        </w:rPr>
      </w:pPr>
      <w:r w:rsidRPr="00B349BB">
        <w:rPr>
          <w:rFonts w:ascii="Palatino Linotype" w:eastAsia="Palatino Linotype" w:hAnsi="Palatino Linotype" w:cs="Palatino Linotype"/>
          <w:i/>
          <w:color w:val="000000"/>
          <w:sz w:val="22"/>
          <w:szCs w:val="22"/>
        </w:rPr>
        <w:t>“Se aprueba el periodo de prórroga de 7 días para atender la solicitud” (Sic)</w:t>
      </w:r>
    </w:p>
    <w:p w:rsidR="00D0312C" w:rsidRPr="00B349BB" w:rsidRDefault="00D0312C" w:rsidP="00D0312C">
      <w:pPr>
        <w:jc w:val="both"/>
        <w:rPr>
          <w:rFonts w:ascii="Palatino Linotype" w:eastAsia="Palatino Linotype" w:hAnsi="Palatino Linotype" w:cs="Palatino Linotype"/>
          <w:i/>
          <w:sz w:val="22"/>
          <w:szCs w:val="22"/>
        </w:rPr>
      </w:pPr>
    </w:p>
    <w:p w:rsidR="000F1B65" w:rsidRPr="00B349BB" w:rsidRDefault="005E216F">
      <w:pPr>
        <w:numPr>
          <w:ilvl w:val="0"/>
          <w:numId w:val="1"/>
        </w:numPr>
        <w:spacing w:line="360" w:lineRule="auto"/>
        <w:ind w:left="0"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sz w:val="22"/>
          <w:szCs w:val="22"/>
        </w:rPr>
        <w:lastRenderedPageBreak/>
        <w:t xml:space="preserve">El diecisiete de noviembre de dos mil veintitrés, el </w:t>
      </w:r>
      <w:r w:rsidRPr="00B349BB">
        <w:rPr>
          <w:rFonts w:ascii="Palatino Linotype" w:eastAsia="Palatino Linotype" w:hAnsi="Palatino Linotype" w:cs="Palatino Linotype"/>
          <w:b/>
          <w:sz w:val="22"/>
          <w:szCs w:val="22"/>
        </w:rPr>
        <w:t>SUJETO OBLIGADO</w:t>
      </w:r>
      <w:r w:rsidRPr="00B349BB">
        <w:rPr>
          <w:rFonts w:ascii="Palatino Linotype" w:eastAsia="Palatino Linotype" w:hAnsi="Palatino Linotype" w:cs="Palatino Linotype"/>
          <w:sz w:val="22"/>
          <w:szCs w:val="22"/>
        </w:rPr>
        <w:t xml:space="preserve"> dio respuesta a la solicitud de información, en los siguientes términos:</w:t>
      </w:r>
    </w:p>
    <w:p w:rsidR="00A873B4" w:rsidRPr="00B349BB" w:rsidRDefault="00A873B4" w:rsidP="00A873B4">
      <w:pPr>
        <w:jc w:val="both"/>
        <w:rPr>
          <w:rFonts w:ascii="Palatino Linotype" w:eastAsia="Palatino Linotype" w:hAnsi="Palatino Linotype" w:cs="Palatino Linotype"/>
          <w:sz w:val="22"/>
          <w:szCs w:val="22"/>
        </w:rPr>
      </w:pPr>
    </w:p>
    <w:p w:rsidR="000F1B65" w:rsidRPr="00B349BB" w:rsidRDefault="005E216F" w:rsidP="00A873B4">
      <w:pPr>
        <w:ind w:left="567" w:right="539"/>
        <w:jc w:val="both"/>
        <w:rPr>
          <w:rFonts w:ascii="Palatino Linotype" w:eastAsia="Palatino Linotype" w:hAnsi="Palatino Linotype" w:cs="Palatino Linotype"/>
          <w:i/>
          <w:color w:val="000000"/>
          <w:sz w:val="22"/>
          <w:szCs w:val="22"/>
        </w:rPr>
      </w:pPr>
      <w:r w:rsidRPr="00B349BB">
        <w:rPr>
          <w:rFonts w:ascii="Palatino Linotype" w:eastAsia="Palatino Linotype" w:hAnsi="Palatino Linotype" w:cs="Palatino Linotype"/>
          <w:sz w:val="22"/>
          <w:szCs w:val="22"/>
        </w:rPr>
        <w:t>“Se envía información solicitada</w:t>
      </w:r>
      <w:r w:rsidRPr="00B349BB">
        <w:rPr>
          <w:rFonts w:ascii="Palatino Linotype" w:eastAsia="Palatino Linotype" w:hAnsi="Palatino Linotype" w:cs="Palatino Linotype"/>
          <w:i/>
          <w:color w:val="000000"/>
          <w:sz w:val="22"/>
          <w:szCs w:val="22"/>
        </w:rPr>
        <w:t>” (Sic)</w:t>
      </w:r>
    </w:p>
    <w:p w:rsidR="000F1B65" w:rsidRPr="00B349BB" w:rsidRDefault="000F1B65" w:rsidP="00A873B4">
      <w:pPr>
        <w:ind w:right="539"/>
        <w:jc w:val="both"/>
        <w:rPr>
          <w:rFonts w:ascii="Palatino Linotype" w:eastAsia="Palatino Linotype" w:hAnsi="Palatino Linotype" w:cs="Palatino Linotype"/>
          <w:sz w:val="22"/>
          <w:szCs w:val="22"/>
        </w:rPr>
      </w:pPr>
    </w:p>
    <w:p w:rsidR="00A873B4" w:rsidRPr="00B349BB" w:rsidRDefault="005E216F">
      <w:pPr>
        <w:spacing w:line="360" w:lineRule="auto"/>
        <w:ind w:right="567"/>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sz w:val="22"/>
          <w:szCs w:val="22"/>
        </w:rPr>
        <w:t>Se adjuntan los siguientes archivos electrónicos:</w:t>
      </w:r>
    </w:p>
    <w:p w:rsidR="00A873B4" w:rsidRPr="00B349BB" w:rsidRDefault="00A873B4" w:rsidP="00A873B4">
      <w:pPr>
        <w:ind w:right="567"/>
        <w:jc w:val="both"/>
        <w:rPr>
          <w:rFonts w:ascii="Palatino Linotype" w:eastAsia="Palatino Linotype" w:hAnsi="Palatino Linotype" w:cs="Palatino Linotype"/>
          <w:sz w:val="22"/>
          <w:szCs w:val="22"/>
        </w:rPr>
      </w:pPr>
    </w:p>
    <w:p w:rsidR="000F1B65" w:rsidRPr="00B349BB" w:rsidRDefault="00D8589B" w:rsidP="00A873B4">
      <w:pPr>
        <w:ind w:left="567" w:right="567"/>
        <w:jc w:val="both"/>
        <w:rPr>
          <w:rFonts w:ascii="Palatino Linotype" w:eastAsia="Palatino Linotype" w:hAnsi="Palatino Linotype" w:cs="Palatino Linotype"/>
          <w:b/>
          <w:sz w:val="22"/>
          <w:szCs w:val="22"/>
        </w:rPr>
      </w:pPr>
      <w:hyperlink r:id="rId8">
        <w:r w:rsidR="005E216F" w:rsidRPr="00B349BB">
          <w:rPr>
            <w:rFonts w:ascii="Palatino Linotype" w:eastAsia="Palatino Linotype" w:hAnsi="Palatino Linotype" w:cs="Palatino Linotype"/>
            <w:b/>
            <w:color w:val="000000"/>
            <w:sz w:val="22"/>
            <w:szCs w:val="22"/>
          </w:rPr>
          <w:t>Respuesta IP-0020-2023.pdf</w:t>
        </w:r>
      </w:hyperlink>
      <w:r w:rsidR="005E216F" w:rsidRPr="00B349BB">
        <w:rPr>
          <w:rFonts w:ascii="Palatino Linotype" w:eastAsia="Palatino Linotype" w:hAnsi="Palatino Linotype" w:cs="Palatino Linotype"/>
          <w:b/>
          <w:sz w:val="22"/>
          <w:szCs w:val="22"/>
        </w:rPr>
        <w:t xml:space="preserve">: </w:t>
      </w:r>
      <w:r w:rsidR="005E216F" w:rsidRPr="00B349BB">
        <w:rPr>
          <w:rFonts w:ascii="Palatino Linotype" w:eastAsia="Palatino Linotype" w:hAnsi="Palatino Linotype" w:cs="Palatino Linotype"/>
          <w:sz w:val="22"/>
          <w:szCs w:val="22"/>
        </w:rPr>
        <w:t xml:space="preserve">Oficio 00020/TESCO/IP/2023, suscrito por el Subdirector de Planeación y Apoyos Tecnológicos y Titular de la Unidad de Transparencia, por medio del cual, refirió hacer entrega de lo solicitado, asimismo, que los “motivos” por los cuales no se han titulado los alumnos, son ajenos al Sujeto Obligado. </w:t>
      </w:r>
    </w:p>
    <w:p w:rsidR="000F1B65" w:rsidRPr="00B349BB" w:rsidRDefault="000F1B65" w:rsidP="00A873B4">
      <w:pPr>
        <w:ind w:left="567" w:right="567"/>
        <w:jc w:val="both"/>
        <w:rPr>
          <w:rFonts w:ascii="Palatino Linotype" w:eastAsia="Palatino Linotype" w:hAnsi="Palatino Linotype" w:cs="Palatino Linotype"/>
          <w:b/>
          <w:sz w:val="22"/>
          <w:szCs w:val="22"/>
        </w:rPr>
      </w:pPr>
    </w:p>
    <w:p w:rsidR="000F1B65" w:rsidRPr="00B349BB" w:rsidRDefault="00D8589B" w:rsidP="00A873B4">
      <w:pPr>
        <w:ind w:left="567" w:right="567"/>
        <w:jc w:val="both"/>
        <w:rPr>
          <w:rFonts w:ascii="Palatino Linotype" w:eastAsia="Palatino Linotype" w:hAnsi="Palatino Linotype" w:cs="Palatino Linotype"/>
          <w:b/>
          <w:sz w:val="22"/>
          <w:szCs w:val="22"/>
        </w:rPr>
      </w:pPr>
      <w:hyperlink r:id="rId9">
        <w:r w:rsidR="005E216F" w:rsidRPr="00B349BB">
          <w:rPr>
            <w:rFonts w:ascii="Palatino Linotype" w:eastAsia="Palatino Linotype" w:hAnsi="Palatino Linotype" w:cs="Palatino Linotype"/>
            <w:b/>
            <w:color w:val="000000"/>
            <w:sz w:val="22"/>
            <w:szCs w:val="22"/>
          </w:rPr>
          <w:t>PROCESO DE TITULACION.xlsx</w:t>
        </w:r>
      </w:hyperlink>
      <w:r w:rsidR="005E216F" w:rsidRPr="00B349BB">
        <w:rPr>
          <w:rFonts w:ascii="Palatino Linotype" w:eastAsia="Palatino Linotype" w:hAnsi="Palatino Linotype" w:cs="Palatino Linotype"/>
          <w:b/>
          <w:sz w:val="22"/>
          <w:szCs w:val="22"/>
        </w:rPr>
        <w:t xml:space="preserve">: </w:t>
      </w:r>
      <w:r w:rsidR="005E216F" w:rsidRPr="00B349BB">
        <w:rPr>
          <w:rFonts w:ascii="Palatino Linotype" w:eastAsia="Palatino Linotype" w:hAnsi="Palatino Linotype" w:cs="Palatino Linotype"/>
          <w:sz w:val="22"/>
          <w:szCs w:val="22"/>
        </w:rPr>
        <w:t xml:space="preserve">Registro de alumnos bajo los siguientes rubros: NO., NOMBRE y CARRERA. </w:t>
      </w:r>
    </w:p>
    <w:p w:rsidR="000F1B65" w:rsidRPr="00B349BB" w:rsidRDefault="000F1B65">
      <w:pPr>
        <w:spacing w:line="360" w:lineRule="auto"/>
        <w:ind w:right="567"/>
        <w:jc w:val="both"/>
        <w:rPr>
          <w:rFonts w:ascii="Palatino Linotype" w:eastAsia="Palatino Linotype" w:hAnsi="Palatino Linotype" w:cs="Palatino Linotype"/>
          <w:b/>
          <w:sz w:val="22"/>
          <w:szCs w:val="22"/>
        </w:rPr>
      </w:pPr>
    </w:p>
    <w:p w:rsidR="000F1B65" w:rsidRPr="00B349BB" w:rsidRDefault="005E216F">
      <w:pPr>
        <w:numPr>
          <w:ilvl w:val="0"/>
          <w:numId w:val="1"/>
        </w:numPr>
        <w:spacing w:line="360" w:lineRule="auto"/>
        <w:ind w:left="0" w:firstLine="0"/>
        <w:jc w:val="both"/>
        <w:rPr>
          <w:rFonts w:ascii="Palatino Linotype" w:eastAsia="Palatino Linotype" w:hAnsi="Palatino Linotype" w:cs="Palatino Linotype"/>
          <w:sz w:val="22"/>
          <w:szCs w:val="22"/>
        </w:rPr>
      </w:pPr>
      <w:bookmarkStart w:id="1" w:name="_heading=h.30j0zll" w:colFirst="0" w:colLast="0"/>
      <w:bookmarkEnd w:id="1"/>
      <w:r w:rsidRPr="00B349BB">
        <w:rPr>
          <w:rFonts w:ascii="Palatino Linotype" w:eastAsia="Palatino Linotype" w:hAnsi="Palatino Linotype" w:cs="Palatino Linotype"/>
          <w:sz w:val="22"/>
          <w:szCs w:val="22"/>
        </w:rPr>
        <w:t>El veintidós de noviembre de dos mil veintitrés,</w:t>
      </w:r>
      <w:r w:rsidRPr="00B349BB">
        <w:rPr>
          <w:rFonts w:ascii="Palatino Linotype" w:eastAsia="Palatino Linotype" w:hAnsi="Palatino Linotype" w:cs="Palatino Linotype"/>
          <w:b/>
          <w:sz w:val="22"/>
          <w:szCs w:val="22"/>
        </w:rPr>
        <w:t xml:space="preserve"> </w:t>
      </w:r>
      <w:r w:rsidRPr="00B349BB">
        <w:rPr>
          <w:rFonts w:ascii="Palatino Linotype" w:eastAsia="Palatino Linotype" w:hAnsi="Palatino Linotype" w:cs="Palatino Linotype"/>
          <w:sz w:val="22"/>
          <w:szCs w:val="22"/>
        </w:rPr>
        <w:t xml:space="preserve">el </w:t>
      </w:r>
      <w:r w:rsidRPr="00B349BB">
        <w:rPr>
          <w:rFonts w:ascii="Palatino Linotype" w:eastAsia="Palatino Linotype" w:hAnsi="Palatino Linotype" w:cs="Palatino Linotype"/>
          <w:b/>
          <w:sz w:val="22"/>
          <w:szCs w:val="22"/>
        </w:rPr>
        <w:t>RECURRENTE</w:t>
      </w:r>
      <w:r w:rsidRPr="00B349BB">
        <w:rPr>
          <w:rFonts w:ascii="Palatino Linotype" w:eastAsia="Palatino Linotype" w:hAnsi="Palatino Linotype" w:cs="Palatino Linotype"/>
          <w:sz w:val="22"/>
          <w:szCs w:val="22"/>
        </w:rPr>
        <w:t xml:space="preserve"> interpuso el recurso de revisión en contra de la respuesta, señalando como:</w:t>
      </w:r>
    </w:p>
    <w:p w:rsidR="00A873B4" w:rsidRPr="00B349BB" w:rsidRDefault="00A873B4" w:rsidP="00A873B4">
      <w:pPr>
        <w:jc w:val="both"/>
        <w:rPr>
          <w:rFonts w:ascii="Palatino Linotype" w:eastAsia="Palatino Linotype" w:hAnsi="Palatino Linotype" w:cs="Palatino Linotype"/>
          <w:sz w:val="22"/>
          <w:szCs w:val="22"/>
        </w:rPr>
      </w:pPr>
    </w:p>
    <w:p w:rsidR="000F1B65" w:rsidRPr="00B349BB" w:rsidRDefault="005E216F" w:rsidP="00A873B4">
      <w:pPr>
        <w:ind w:left="567" w:right="567"/>
        <w:jc w:val="both"/>
        <w:rPr>
          <w:rFonts w:ascii="Palatino Linotype" w:eastAsia="Palatino Linotype" w:hAnsi="Palatino Linotype" w:cs="Palatino Linotype"/>
          <w:i/>
          <w:color w:val="000000"/>
          <w:sz w:val="22"/>
          <w:szCs w:val="22"/>
        </w:rPr>
      </w:pPr>
      <w:r w:rsidRPr="00B349BB">
        <w:rPr>
          <w:rFonts w:ascii="Palatino Linotype" w:eastAsia="Palatino Linotype" w:hAnsi="Palatino Linotype" w:cs="Palatino Linotype"/>
          <w:b/>
          <w:sz w:val="22"/>
          <w:szCs w:val="22"/>
        </w:rPr>
        <w:t>Acto impugnado</w:t>
      </w:r>
      <w:r w:rsidRPr="00B349BB">
        <w:rPr>
          <w:rFonts w:ascii="Palatino Linotype" w:eastAsia="Palatino Linotype" w:hAnsi="Palatino Linotype" w:cs="Palatino Linotype"/>
          <w:b/>
          <w:i/>
          <w:sz w:val="22"/>
          <w:szCs w:val="22"/>
        </w:rPr>
        <w:t>:</w:t>
      </w:r>
      <w:r w:rsidRPr="00B349BB">
        <w:rPr>
          <w:rFonts w:ascii="Palatino Linotype" w:eastAsia="Palatino Linotype" w:hAnsi="Palatino Linotype" w:cs="Palatino Linotype"/>
          <w:i/>
          <w:color w:val="000000"/>
          <w:sz w:val="22"/>
          <w:szCs w:val="22"/>
        </w:rPr>
        <w:t xml:space="preserve"> </w:t>
      </w:r>
      <w:r w:rsidRPr="00B349BB">
        <w:rPr>
          <w:rFonts w:ascii="Palatino Linotype" w:eastAsia="Palatino Linotype" w:hAnsi="Palatino Linotype" w:cs="Palatino Linotype"/>
          <w:b/>
          <w:i/>
          <w:color w:val="000000"/>
          <w:sz w:val="22"/>
          <w:szCs w:val="22"/>
        </w:rPr>
        <w:t>“</w:t>
      </w:r>
      <w:proofErr w:type="spellStart"/>
      <w:r w:rsidRPr="00B349BB">
        <w:rPr>
          <w:rFonts w:ascii="Palatino Linotype" w:eastAsia="Palatino Linotype" w:hAnsi="Palatino Linotype" w:cs="Palatino Linotype"/>
          <w:i/>
          <w:color w:val="000000"/>
          <w:sz w:val="22"/>
          <w:szCs w:val="22"/>
        </w:rPr>
        <w:t>Informacion</w:t>
      </w:r>
      <w:proofErr w:type="spellEnd"/>
      <w:r w:rsidRPr="00B349BB">
        <w:rPr>
          <w:rFonts w:ascii="Palatino Linotype" w:eastAsia="Palatino Linotype" w:hAnsi="Palatino Linotype" w:cs="Palatino Linotype"/>
          <w:i/>
          <w:color w:val="000000"/>
          <w:sz w:val="22"/>
          <w:szCs w:val="22"/>
        </w:rPr>
        <w:t xml:space="preserve"> INCOMPLETA, Nuevamente la negligencia de los servidores </w:t>
      </w:r>
      <w:proofErr w:type="spellStart"/>
      <w:r w:rsidRPr="00B349BB">
        <w:rPr>
          <w:rFonts w:ascii="Palatino Linotype" w:eastAsia="Palatino Linotype" w:hAnsi="Palatino Linotype" w:cs="Palatino Linotype"/>
          <w:i/>
          <w:color w:val="000000"/>
          <w:sz w:val="22"/>
          <w:szCs w:val="22"/>
        </w:rPr>
        <w:t>publicos</w:t>
      </w:r>
      <w:proofErr w:type="spellEnd"/>
      <w:r w:rsidRPr="00B349BB">
        <w:rPr>
          <w:rFonts w:ascii="Palatino Linotype" w:eastAsia="Palatino Linotype" w:hAnsi="Palatino Linotype" w:cs="Palatino Linotype"/>
          <w:i/>
          <w:color w:val="000000"/>
          <w:sz w:val="22"/>
          <w:szCs w:val="22"/>
        </w:rPr>
        <w:t xml:space="preserve"> en enviar datos personales violentando contra sus alumnos.” (Sic)</w:t>
      </w:r>
    </w:p>
    <w:p w:rsidR="00A873B4" w:rsidRPr="00B349BB" w:rsidRDefault="00A873B4" w:rsidP="00A873B4">
      <w:pPr>
        <w:ind w:left="567" w:right="567"/>
        <w:jc w:val="both"/>
        <w:rPr>
          <w:rFonts w:ascii="Palatino Linotype" w:eastAsia="Palatino Linotype" w:hAnsi="Palatino Linotype" w:cs="Palatino Linotype"/>
          <w:sz w:val="22"/>
          <w:szCs w:val="22"/>
        </w:rPr>
      </w:pPr>
    </w:p>
    <w:p w:rsidR="000F1B65" w:rsidRPr="00B349BB" w:rsidRDefault="005E216F" w:rsidP="00A873B4">
      <w:pPr>
        <w:ind w:left="567" w:right="567"/>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b/>
          <w:sz w:val="22"/>
          <w:szCs w:val="22"/>
        </w:rPr>
        <w:t xml:space="preserve">Razones o Motivos de inconformidad: </w:t>
      </w:r>
      <w:r w:rsidRPr="00B349BB">
        <w:rPr>
          <w:rFonts w:ascii="Palatino Linotype" w:eastAsia="Palatino Linotype" w:hAnsi="Palatino Linotype" w:cs="Palatino Linotype"/>
          <w:i/>
          <w:sz w:val="22"/>
          <w:szCs w:val="22"/>
        </w:rPr>
        <w:t>“</w:t>
      </w:r>
      <w:proofErr w:type="spellStart"/>
      <w:r w:rsidRPr="00B349BB">
        <w:rPr>
          <w:rFonts w:ascii="Palatino Linotype" w:eastAsia="Palatino Linotype" w:hAnsi="Palatino Linotype" w:cs="Palatino Linotype"/>
          <w:i/>
          <w:color w:val="000000"/>
          <w:sz w:val="22"/>
          <w:szCs w:val="22"/>
        </w:rPr>
        <w:t>Informacion</w:t>
      </w:r>
      <w:proofErr w:type="spellEnd"/>
      <w:r w:rsidRPr="00B349BB">
        <w:rPr>
          <w:rFonts w:ascii="Palatino Linotype" w:eastAsia="Palatino Linotype" w:hAnsi="Palatino Linotype" w:cs="Palatino Linotype"/>
          <w:i/>
          <w:color w:val="000000"/>
          <w:sz w:val="22"/>
          <w:szCs w:val="22"/>
        </w:rPr>
        <w:t xml:space="preserve"> INCOMPLETA, Nuevamente la negligencia de los servidores </w:t>
      </w:r>
      <w:proofErr w:type="spellStart"/>
      <w:r w:rsidRPr="00B349BB">
        <w:rPr>
          <w:rFonts w:ascii="Palatino Linotype" w:eastAsia="Palatino Linotype" w:hAnsi="Palatino Linotype" w:cs="Palatino Linotype"/>
          <w:i/>
          <w:color w:val="000000"/>
          <w:sz w:val="22"/>
          <w:szCs w:val="22"/>
        </w:rPr>
        <w:t>publicos</w:t>
      </w:r>
      <w:proofErr w:type="spellEnd"/>
      <w:r w:rsidRPr="00B349BB">
        <w:rPr>
          <w:rFonts w:ascii="Palatino Linotype" w:eastAsia="Palatino Linotype" w:hAnsi="Palatino Linotype" w:cs="Palatino Linotype"/>
          <w:i/>
          <w:color w:val="000000"/>
          <w:sz w:val="22"/>
          <w:szCs w:val="22"/>
        </w:rPr>
        <w:t xml:space="preserve"> en enviar datos personales violentando contra sus alumnos.” (Sic)</w:t>
      </w:r>
    </w:p>
    <w:p w:rsidR="000F1B65" w:rsidRPr="00B349BB" w:rsidRDefault="000F1B65" w:rsidP="00A873B4">
      <w:pPr>
        <w:tabs>
          <w:tab w:val="left" w:pos="6197"/>
        </w:tabs>
        <w:jc w:val="both"/>
        <w:rPr>
          <w:rFonts w:ascii="Palatino Linotype" w:eastAsia="Palatino Linotype" w:hAnsi="Palatino Linotype" w:cs="Palatino Linotype"/>
          <w:sz w:val="22"/>
          <w:szCs w:val="22"/>
        </w:rPr>
      </w:pPr>
    </w:p>
    <w:p w:rsidR="000F1B65" w:rsidRPr="00B349BB" w:rsidRDefault="005E216F" w:rsidP="00A873B4">
      <w:pPr>
        <w:numPr>
          <w:ilvl w:val="0"/>
          <w:numId w:val="1"/>
        </w:numPr>
        <w:spacing w:line="360" w:lineRule="auto"/>
        <w:ind w:left="0"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B349BB">
        <w:rPr>
          <w:rFonts w:ascii="Palatino Linotype" w:eastAsia="Palatino Linotype" w:hAnsi="Palatino Linotype" w:cs="Palatino Linotype"/>
          <w:b/>
          <w:sz w:val="22"/>
          <w:szCs w:val="22"/>
        </w:rPr>
        <w:t xml:space="preserve">Ley de Transparencia y Acceso a la Información Pública del Estado de México y Municipios </w:t>
      </w:r>
      <w:r w:rsidRPr="00B349BB">
        <w:rPr>
          <w:rFonts w:ascii="Palatino Linotype" w:eastAsia="Palatino Linotype" w:hAnsi="Palatino Linotype" w:cs="Palatino Linotype"/>
          <w:sz w:val="22"/>
          <w:szCs w:val="22"/>
        </w:rPr>
        <w:t xml:space="preserve">se turna a la </w:t>
      </w:r>
      <w:r w:rsidRPr="00B349BB">
        <w:rPr>
          <w:rFonts w:ascii="Palatino Linotype" w:eastAsia="Palatino Linotype" w:hAnsi="Palatino Linotype" w:cs="Palatino Linotype"/>
          <w:b/>
          <w:sz w:val="22"/>
          <w:szCs w:val="22"/>
        </w:rPr>
        <w:t xml:space="preserve">Comisionada María del Rosario Mejía Ayala, </w:t>
      </w:r>
      <w:r w:rsidRPr="00B349BB">
        <w:rPr>
          <w:rFonts w:ascii="Palatino Linotype" w:eastAsia="Palatino Linotype" w:hAnsi="Palatino Linotype" w:cs="Palatino Linotype"/>
          <w:sz w:val="22"/>
          <w:szCs w:val="22"/>
        </w:rPr>
        <w:t xml:space="preserve">para su análisis. </w:t>
      </w:r>
    </w:p>
    <w:p w:rsidR="000F1B65" w:rsidRPr="00B349BB" w:rsidRDefault="005E216F">
      <w:pPr>
        <w:numPr>
          <w:ilvl w:val="0"/>
          <w:numId w:val="1"/>
        </w:numPr>
        <w:spacing w:line="360" w:lineRule="auto"/>
        <w:ind w:left="0" w:firstLine="0"/>
        <w:jc w:val="both"/>
        <w:rPr>
          <w:rFonts w:ascii="Palatino Linotype" w:eastAsia="Palatino Linotype" w:hAnsi="Palatino Linotype" w:cs="Palatino Linotype"/>
          <w:color w:val="000000"/>
          <w:sz w:val="22"/>
          <w:szCs w:val="22"/>
        </w:rPr>
      </w:pPr>
      <w:r w:rsidRPr="00B349BB">
        <w:rPr>
          <w:rFonts w:ascii="Palatino Linotype" w:eastAsia="Palatino Linotype" w:hAnsi="Palatino Linotype" w:cs="Palatino Linotype"/>
          <w:sz w:val="22"/>
          <w:szCs w:val="22"/>
        </w:rPr>
        <w:t xml:space="preserve">El Comisionado Ponente con fundamento en lo dispuesto por el artículo 185 fracción II de la ley de la materia, a través del acuerdo de admisión del veintisiete de noviembre de dos </w:t>
      </w:r>
      <w:r w:rsidRPr="00B349BB">
        <w:rPr>
          <w:rFonts w:ascii="Palatino Linotype" w:eastAsia="Palatino Linotype" w:hAnsi="Palatino Linotype" w:cs="Palatino Linotype"/>
          <w:sz w:val="22"/>
          <w:szCs w:val="22"/>
        </w:rPr>
        <w:lastRenderedPageBreak/>
        <w:t xml:space="preserve">mil veintitrés, puso a disposición de las partes el expediente electrónico vía </w:t>
      </w:r>
      <w:r w:rsidRPr="00B349BB">
        <w:rPr>
          <w:rFonts w:ascii="Palatino Linotype" w:eastAsia="Palatino Linotype" w:hAnsi="Palatino Linotype" w:cs="Palatino Linotype"/>
          <w:b/>
          <w:sz w:val="22"/>
          <w:szCs w:val="22"/>
        </w:rPr>
        <w:t xml:space="preserve">SAIMEX </w:t>
      </w:r>
      <w:r w:rsidRPr="00B349BB">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B349BB">
        <w:rPr>
          <w:rFonts w:ascii="Palatino Linotype" w:eastAsia="Palatino Linotype" w:hAnsi="Palatino Linotype" w:cs="Palatino Linotype"/>
          <w:b/>
          <w:sz w:val="22"/>
          <w:szCs w:val="22"/>
        </w:rPr>
        <w:t>SUJETO OBLIGADO</w:t>
      </w:r>
      <w:r w:rsidRPr="00B349BB">
        <w:rPr>
          <w:rFonts w:ascii="Palatino Linotype" w:eastAsia="Palatino Linotype" w:hAnsi="Palatino Linotype" w:cs="Palatino Linotype"/>
          <w:sz w:val="22"/>
          <w:szCs w:val="22"/>
        </w:rPr>
        <w:t xml:space="preserve"> presentará el informe justificado procedente. </w:t>
      </w:r>
    </w:p>
    <w:p w:rsidR="000F1B65" w:rsidRPr="00B349BB" w:rsidRDefault="000F1B65">
      <w:pPr>
        <w:rPr>
          <w:rFonts w:ascii="Palatino Linotype" w:eastAsia="Palatino Linotype" w:hAnsi="Palatino Linotype" w:cs="Palatino Linotype"/>
          <w:sz w:val="22"/>
          <w:szCs w:val="22"/>
        </w:rPr>
      </w:pPr>
    </w:p>
    <w:p w:rsidR="000F1B65" w:rsidRPr="00B349BB" w:rsidRDefault="005E216F">
      <w:pPr>
        <w:numPr>
          <w:ilvl w:val="0"/>
          <w:numId w:val="1"/>
        </w:numPr>
        <w:spacing w:line="360" w:lineRule="auto"/>
        <w:ind w:left="0"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sz w:val="22"/>
          <w:szCs w:val="22"/>
        </w:rPr>
        <w:t xml:space="preserve">El veintiséis de abril de dos mil veintitrés, el </w:t>
      </w:r>
      <w:r w:rsidRPr="00B349BB">
        <w:rPr>
          <w:rFonts w:ascii="Palatino Linotype" w:eastAsia="Palatino Linotype" w:hAnsi="Palatino Linotype" w:cs="Palatino Linotype"/>
          <w:b/>
          <w:sz w:val="22"/>
          <w:szCs w:val="22"/>
        </w:rPr>
        <w:t>SUJETO OBLIGADO</w:t>
      </w:r>
      <w:r w:rsidRPr="00B349BB">
        <w:rPr>
          <w:rFonts w:ascii="Palatino Linotype" w:eastAsia="Palatino Linotype" w:hAnsi="Palatino Linotype" w:cs="Palatino Linotype"/>
          <w:sz w:val="22"/>
          <w:szCs w:val="22"/>
        </w:rPr>
        <w:t xml:space="preserve"> rindió el informe justificado correspondiente, por medio </w:t>
      </w:r>
      <w:proofErr w:type="gramStart"/>
      <w:r w:rsidRPr="00B349BB">
        <w:rPr>
          <w:rFonts w:ascii="Palatino Linotype" w:eastAsia="Palatino Linotype" w:hAnsi="Palatino Linotype" w:cs="Palatino Linotype"/>
          <w:sz w:val="22"/>
          <w:szCs w:val="22"/>
        </w:rPr>
        <w:t>de los archivo electrónico denominado</w:t>
      </w:r>
      <w:proofErr w:type="gramEnd"/>
      <w:r w:rsidRPr="00B349BB">
        <w:rPr>
          <w:rFonts w:ascii="Palatino Linotype" w:eastAsia="Palatino Linotype" w:hAnsi="Palatino Linotype" w:cs="Palatino Linotype"/>
          <w:b/>
          <w:sz w:val="22"/>
          <w:szCs w:val="22"/>
        </w:rPr>
        <w:t xml:space="preserve"> “Informe Justificap.pdf</w:t>
      </w:r>
      <w:r w:rsidRPr="00B349BB">
        <w:rPr>
          <w:rFonts w:ascii="Palatino Linotype" w:eastAsia="Palatino Linotype" w:hAnsi="Palatino Linotype" w:cs="Palatino Linotype"/>
          <w:sz w:val="22"/>
          <w:szCs w:val="22"/>
        </w:rPr>
        <w:t xml:space="preserve">”, consistente en el oficio suscrito por el Subdirector de Planeación y Apoyos Tecnológicos y Titular de la Unidad de Transparencia, por medio del cual, </w:t>
      </w:r>
      <w:r w:rsidRPr="00B349BB">
        <w:rPr>
          <w:rFonts w:ascii="Palatino Linotype" w:eastAsia="Palatino Linotype" w:hAnsi="Palatino Linotype" w:cs="Palatino Linotype"/>
          <w:b/>
          <w:sz w:val="22"/>
          <w:szCs w:val="22"/>
        </w:rPr>
        <w:t>refirió que se emitió respuesta a la solicitud de información y solicitó sobreseer el recurso de revisión.</w:t>
      </w:r>
    </w:p>
    <w:p w:rsidR="000F1B65" w:rsidRPr="00B349BB" w:rsidRDefault="000F1B65">
      <w:pPr>
        <w:spacing w:line="360" w:lineRule="auto"/>
        <w:jc w:val="both"/>
        <w:rPr>
          <w:rFonts w:ascii="Palatino Linotype" w:eastAsia="Palatino Linotype" w:hAnsi="Palatino Linotype" w:cs="Palatino Linotype"/>
          <w:b/>
          <w:color w:val="000000"/>
          <w:sz w:val="22"/>
          <w:szCs w:val="22"/>
          <w:u w:val="single"/>
        </w:rPr>
      </w:pPr>
    </w:p>
    <w:p w:rsidR="000F1B65" w:rsidRPr="00EC6783" w:rsidRDefault="00A873B4">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EC6783">
        <w:rPr>
          <w:rFonts w:ascii="Palatino Linotype" w:eastAsia="Palatino Linotype" w:hAnsi="Palatino Linotype" w:cs="Palatino Linotype"/>
          <w:color w:val="000000"/>
          <w:sz w:val="22"/>
          <w:szCs w:val="22"/>
        </w:rPr>
        <w:t>El veinte</w:t>
      </w:r>
      <w:r w:rsidR="00A856CE" w:rsidRPr="00EC6783">
        <w:rPr>
          <w:rFonts w:ascii="Palatino Linotype" w:eastAsia="Palatino Linotype" w:hAnsi="Palatino Linotype" w:cs="Palatino Linotype"/>
          <w:color w:val="000000"/>
          <w:sz w:val="22"/>
          <w:szCs w:val="22"/>
        </w:rPr>
        <w:t xml:space="preserve"> de marzo de dos mil veinticuatro</w:t>
      </w:r>
      <w:r w:rsidR="005E216F" w:rsidRPr="00EC6783">
        <w:rPr>
          <w:rFonts w:ascii="Palatino Linotype" w:eastAsia="Palatino Linotype" w:hAnsi="Palatino Linotype" w:cs="Palatino Linotype"/>
          <w:color w:val="000000"/>
          <w:sz w:val="22"/>
          <w:szCs w:val="22"/>
        </w:rPr>
        <w:t>, se notificó el acuerdo mediante el cual se amplió el plazo para emitir resolución por un periodo de quince días hábiles.</w:t>
      </w:r>
    </w:p>
    <w:p w:rsidR="000F1B65" w:rsidRPr="00B349BB" w:rsidRDefault="000F1B65">
      <w:pPr>
        <w:pBdr>
          <w:top w:val="nil"/>
          <w:left w:val="nil"/>
          <w:bottom w:val="nil"/>
          <w:right w:val="nil"/>
          <w:between w:val="nil"/>
        </w:pBdr>
        <w:tabs>
          <w:tab w:val="left" w:pos="426"/>
        </w:tabs>
        <w:spacing w:line="360" w:lineRule="auto"/>
        <w:rPr>
          <w:rFonts w:ascii="Palatino Linotype" w:eastAsia="Palatino Linotype" w:hAnsi="Palatino Linotype" w:cs="Palatino Linotype"/>
          <w:color w:val="000000"/>
          <w:sz w:val="22"/>
          <w:szCs w:val="22"/>
        </w:rPr>
      </w:pPr>
    </w:p>
    <w:p w:rsidR="000F1B65" w:rsidRDefault="005E216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B349BB">
        <w:rPr>
          <w:rFonts w:ascii="Palatino Linotype" w:eastAsia="Palatino Linotype" w:hAnsi="Palatino Linotype" w:cs="Palatino Linotype"/>
          <w:color w:val="000000"/>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D0312C" w:rsidRPr="00B349BB" w:rsidRDefault="00D0312C" w:rsidP="00D0312C">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0F1B65" w:rsidRPr="00B349BB" w:rsidRDefault="005E216F">
      <w:pPr>
        <w:numPr>
          <w:ilvl w:val="0"/>
          <w:numId w:val="1"/>
        </w:numPr>
        <w:pBdr>
          <w:top w:val="nil"/>
          <w:left w:val="nil"/>
          <w:bottom w:val="nil"/>
          <w:right w:val="nil"/>
          <w:between w:val="nil"/>
        </w:pBdr>
        <w:spacing w:line="360" w:lineRule="auto"/>
        <w:ind w:left="0" w:hanging="11"/>
        <w:jc w:val="both"/>
        <w:rPr>
          <w:rFonts w:ascii="Palatino Linotype" w:eastAsia="Palatino Linotype" w:hAnsi="Palatino Linotype" w:cs="Palatino Linotype"/>
          <w:b/>
          <w:color w:val="000000"/>
          <w:sz w:val="22"/>
          <w:szCs w:val="22"/>
        </w:rPr>
      </w:pPr>
      <w:r w:rsidRPr="00B349BB">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0F1B65" w:rsidRPr="00B349BB" w:rsidRDefault="000F1B65">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rsidR="000F1B65" w:rsidRPr="00B349BB"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349BB">
        <w:rPr>
          <w:rFonts w:ascii="Palatino Linotype" w:eastAsia="Palatino Linotype" w:hAnsi="Palatino Linotype" w:cs="Palatino Linotype"/>
          <w:color w:val="000000"/>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0F1B65" w:rsidRPr="00B349BB" w:rsidRDefault="000F1B65">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rsidR="000F1B65" w:rsidRPr="00B349BB"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349BB">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0F1B65" w:rsidRPr="00B349BB" w:rsidRDefault="000F1B65">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rsidR="000F1B65" w:rsidRPr="00B349BB"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349BB">
        <w:rPr>
          <w:rFonts w:ascii="Palatino Linotype" w:eastAsia="Palatino Linotype" w:hAnsi="Palatino Linotype" w:cs="Palatino Linotype"/>
          <w:color w:val="000000"/>
          <w:sz w:val="22"/>
          <w:szCs w:val="22"/>
        </w:rPr>
        <w:t>Por ello, excepcionalmente, si un asunto es resuelto con posterioridad a los plazos señalados por la norma debe analizarse la razonabilidad del tiempo necesario para su resolución, atentos a los siguientes criterios:</w:t>
      </w:r>
    </w:p>
    <w:p w:rsidR="00F43972" w:rsidRPr="00B349BB" w:rsidRDefault="00F43972" w:rsidP="00F43972">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0F1B65" w:rsidRPr="00B349BB" w:rsidRDefault="005E216F">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sidRPr="00B349BB">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rsidR="000F1B65" w:rsidRPr="00B349BB" w:rsidRDefault="005E216F">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sidRPr="00B349BB">
        <w:rPr>
          <w:rFonts w:ascii="Palatino Linotype" w:eastAsia="Palatino Linotype" w:hAnsi="Palatino Linotype" w:cs="Palatino Linotype"/>
          <w:color w:val="000000"/>
          <w:sz w:val="22"/>
          <w:szCs w:val="22"/>
        </w:rPr>
        <w:t>b) Actividad Procesal del interesado: Acciones u omisiones del interesado.</w:t>
      </w:r>
    </w:p>
    <w:p w:rsidR="000F1B65" w:rsidRPr="00B349BB" w:rsidRDefault="005E216F">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sidRPr="00B349BB">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0F1B65" w:rsidRPr="00B349BB" w:rsidRDefault="005E216F">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sidRPr="00B349BB">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0F1B65" w:rsidRPr="00B349BB" w:rsidRDefault="000F1B65">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rsidR="000F1B65" w:rsidRPr="00B349BB"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349BB">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0F1B65" w:rsidRPr="00B349BB" w:rsidRDefault="000F1B65">
      <w:pPr>
        <w:pBdr>
          <w:top w:val="nil"/>
          <w:left w:val="nil"/>
          <w:bottom w:val="nil"/>
          <w:right w:val="nil"/>
          <w:between w:val="nil"/>
        </w:pBdr>
        <w:spacing w:line="360" w:lineRule="auto"/>
        <w:ind w:left="644"/>
        <w:jc w:val="both"/>
        <w:rPr>
          <w:rFonts w:ascii="Palatino Linotype" w:eastAsia="Palatino Linotype" w:hAnsi="Palatino Linotype" w:cs="Palatino Linotype"/>
          <w:sz w:val="22"/>
          <w:szCs w:val="22"/>
        </w:rPr>
      </w:pPr>
    </w:p>
    <w:p w:rsidR="000F1B65" w:rsidRPr="00B349BB"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349BB">
        <w:rPr>
          <w:rFonts w:ascii="Palatino Linotype" w:eastAsia="Palatino Linotype" w:hAnsi="Palatino Linotype" w:cs="Palatino Linotype"/>
          <w:color w:val="000000"/>
          <w:sz w:val="22"/>
          <w:szCs w:val="22"/>
        </w:rPr>
        <w:lastRenderedPageBreak/>
        <w:t xml:space="preserve">Argumento que encuentra sustento en la jurisprudencia P./J. 32/92 emitida por el Pleno de la Suprema Corte de Justicia de la Nación </w:t>
      </w:r>
      <w:r w:rsidRPr="00B349BB">
        <w:rPr>
          <w:rFonts w:ascii="Palatino Linotype" w:eastAsia="Palatino Linotype" w:hAnsi="Palatino Linotype" w:cs="Palatino Linotype"/>
          <w:sz w:val="22"/>
          <w:szCs w:val="22"/>
        </w:rPr>
        <w:t>del rubro</w:t>
      </w:r>
      <w:r w:rsidRPr="00B349BB">
        <w:rPr>
          <w:rFonts w:ascii="Palatino Linotype" w:eastAsia="Palatino Linotype" w:hAnsi="Palatino Linotype" w:cs="Palatino Linotype"/>
          <w:color w:val="000000"/>
          <w:sz w:val="22"/>
          <w:szCs w:val="22"/>
        </w:rPr>
        <w:t xml:space="preserve">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rsidR="000F1B65" w:rsidRPr="00B349BB" w:rsidRDefault="000F1B65">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rsidR="000F1B65" w:rsidRPr="00B349BB"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349BB">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0F1B65" w:rsidRPr="00B349BB" w:rsidRDefault="000F1B6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0F1B65" w:rsidRPr="00B349BB" w:rsidRDefault="005E216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349BB">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F43972" w:rsidRPr="00B349BB" w:rsidRDefault="00F43972" w:rsidP="00F43972">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0F1B65" w:rsidRPr="00B349BB" w:rsidRDefault="005E216F">
      <w:pPr>
        <w:pBdr>
          <w:top w:val="nil"/>
          <w:left w:val="nil"/>
          <w:bottom w:val="nil"/>
          <w:right w:val="nil"/>
          <w:between w:val="nil"/>
        </w:pBdr>
        <w:ind w:left="567" w:right="399"/>
        <w:rPr>
          <w:rFonts w:ascii="Palatino Linotype" w:eastAsia="Palatino Linotype" w:hAnsi="Palatino Linotype" w:cs="Palatino Linotype"/>
          <w:color w:val="000000"/>
          <w:sz w:val="22"/>
          <w:szCs w:val="22"/>
        </w:rPr>
      </w:pPr>
      <w:r w:rsidRPr="00B349BB">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rsidR="000F1B65" w:rsidRPr="00B349BB" w:rsidRDefault="000F1B65">
      <w:pPr>
        <w:pBdr>
          <w:top w:val="nil"/>
          <w:left w:val="nil"/>
          <w:bottom w:val="nil"/>
          <w:right w:val="nil"/>
          <w:between w:val="nil"/>
        </w:pBdr>
        <w:ind w:left="567" w:right="399"/>
        <w:rPr>
          <w:rFonts w:ascii="Palatino Linotype" w:eastAsia="Palatino Linotype" w:hAnsi="Palatino Linotype" w:cs="Palatino Linotype"/>
          <w:sz w:val="22"/>
          <w:szCs w:val="22"/>
        </w:rPr>
      </w:pPr>
    </w:p>
    <w:p w:rsidR="000F1B65" w:rsidRPr="00B349BB" w:rsidRDefault="005E216F">
      <w:pPr>
        <w:pBdr>
          <w:top w:val="nil"/>
          <w:left w:val="nil"/>
          <w:bottom w:val="nil"/>
          <w:right w:val="nil"/>
          <w:between w:val="nil"/>
        </w:pBdr>
        <w:spacing w:after="240"/>
        <w:ind w:left="567" w:right="399"/>
        <w:rPr>
          <w:rFonts w:ascii="Palatino Linotype" w:eastAsia="Palatino Linotype" w:hAnsi="Palatino Linotype" w:cs="Palatino Linotype"/>
          <w:color w:val="000000"/>
          <w:sz w:val="22"/>
          <w:szCs w:val="22"/>
        </w:rPr>
      </w:pPr>
      <w:r w:rsidRPr="00B349BB">
        <w:rPr>
          <w:rFonts w:ascii="Palatino Linotype" w:eastAsia="Palatino Linotype" w:hAnsi="Palatino Linotype" w:cs="Palatino Linotype"/>
          <w:color w:val="000000"/>
          <w:sz w:val="22"/>
          <w:szCs w:val="22"/>
        </w:rPr>
        <w:lastRenderedPageBreak/>
        <w:t>“PLAZO RAZONABLE PARA RESOLVER. CONCEPTO Y ELEMENTOS QUE LO INTEGRAN A LA LUZ DEL DERECHO INTERNACIONAL DE LOS DERECHOS HUMANOS.”, visible en el Seminario Judicial de la Federación y su gaceta, con el registro digital 2002350.</w:t>
      </w:r>
    </w:p>
    <w:p w:rsidR="000F1B65" w:rsidRPr="00B349BB" w:rsidRDefault="000F1B65">
      <w:pPr>
        <w:spacing w:before="240" w:after="240"/>
        <w:rPr>
          <w:rFonts w:ascii="Palatino Linotype" w:eastAsia="Palatino Linotype" w:hAnsi="Palatino Linotype" w:cs="Palatino Linotype"/>
          <w:sz w:val="22"/>
          <w:szCs w:val="22"/>
        </w:rPr>
      </w:pPr>
    </w:p>
    <w:p w:rsidR="000F1B65" w:rsidRPr="00B349BB" w:rsidRDefault="005E216F">
      <w:pPr>
        <w:numPr>
          <w:ilvl w:val="0"/>
          <w:numId w:val="1"/>
        </w:numPr>
        <w:spacing w:line="360" w:lineRule="auto"/>
        <w:ind w:left="0" w:firstLine="0"/>
        <w:jc w:val="both"/>
        <w:rPr>
          <w:rFonts w:ascii="Palatino Linotype" w:eastAsia="Palatino Linotype" w:hAnsi="Palatino Linotype" w:cs="Palatino Linotype"/>
          <w:b/>
          <w:sz w:val="22"/>
          <w:szCs w:val="22"/>
        </w:rPr>
      </w:pPr>
      <w:r w:rsidRPr="00B349BB">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rsidR="000F1B65" w:rsidRPr="00B349BB" w:rsidRDefault="000F1B65">
      <w:pPr>
        <w:spacing w:line="360" w:lineRule="auto"/>
        <w:jc w:val="both"/>
        <w:rPr>
          <w:rFonts w:ascii="Palatino Linotype" w:eastAsia="Palatino Linotype" w:hAnsi="Palatino Linotype" w:cs="Palatino Linotype"/>
          <w:b/>
          <w:sz w:val="22"/>
          <w:szCs w:val="22"/>
          <w:u w:val="single"/>
        </w:rPr>
      </w:pPr>
    </w:p>
    <w:p w:rsidR="000F1B65" w:rsidRPr="00B349BB" w:rsidRDefault="005E216F">
      <w:pPr>
        <w:numPr>
          <w:ilvl w:val="0"/>
          <w:numId w:val="1"/>
        </w:numPr>
        <w:spacing w:line="360" w:lineRule="auto"/>
        <w:ind w:left="0" w:firstLine="0"/>
        <w:jc w:val="both"/>
        <w:rPr>
          <w:rFonts w:ascii="Palatino Linotype" w:eastAsia="Palatino Linotype" w:hAnsi="Palatino Linotype" w:cs="Palatino Linotype"/>
          <w:b/>
          <w:sz w:val="22"/>
          <w:szCs w:val="22"/>
        </w:rPr>
      </w:pPr>
      <w:bookmarkStart w:id="2" w:name="_heading=h.1fob9te" w:colFirst="0" w:colLast="0"/>
      <w:bookmarkEnd w:id="2"/>
      <w:r w:rsidRPr="00B349BB">
        <w:rPr>
          <w:rFonts w:ascii="Palatino Linotype" w:eastAsia="Palatino Linotype" w:hAnsi="Palatino Linotype" w:cs="Palatino Linotype"/>
          <w:sz w:val="22"/>
          <w:szCs w:val="22"/>
        </w:rPr>
        <w:t xml:space="preserve">La Comisionada Ponente decretó el cierre de instrucción mediante el acuerdo del siete de agosto de dos mil </w:t>
      </w:r>
      <w:proofErr w:type="gramStart"/>
      <w:r w:rsidRPr="00B349BB">
        <w:rPr>
          <w:rFonts w:ascii="Palatino Linotype" w:eastAsia="Palatino Linotype" w:hAnsi="Palatino Linotype" w:cs="Palatino Linotype"/>
          <w:sz w:val="22"/>
          <w:szCs w:val="22"/>
        </w:rPr>
        <w:t>veinticuatro.--------------------------------------------------------</w:t>
      </w:r>
      <w:proofErr w:type="gramEnd"/>
    </w:p>
    <w:p w:rsidR="000F1B65" w:rsidRPr="00B349BB" w:rsidRDefault="000F1B65">
      <w:pPr>
        <w:spacing w:line="360" w:lineRule="auto"/>
        <w:jc w:val="both"/>
        <w:rPr>
          <w:rFonts w:ascii="Palatino Linotype" w:eastAsia="Palatino Linotype" w:hAnsi="Palatino Linotype" w:cs="Palatino Linotype"/>
          <w:b/>
          <w:sz w:val="22"/>
          <w:szCs w:val="22"/>
          <w:u w:val="single"/>
        </w:rPr>
      </w:pPr>
    </w:p>
    <w:p w:rsidR="000F1B65" w:rsidRPr="00B349BB" w:rsidRDefault="005E216F">
      <w:pPr>
        <w:keepNext/>
        <w:keepLines/>
        <w:spacing w:line="360" w:lineRule="auto"/>
        <w:jc w:val="center"/>
        <w:rPr>
          <w:rFonts w:ascii="Palatino Linotype" w:eastAsia="Palatino Linotype" w:hAnsi="Palatino Linotype" w:cs="Palatino Linotype"/>
          <w:sz w:val="22"/>
          <w:szCs w:val="22"/>
        </w:rPr>
      </w:pPr>
      <w:r w:rsidRPr="00B349BB">
        <w:rPr>
          <w:rFonts w:ascii="Palatino Linotype" w:eastAsia="Palatino Linotype" w:hAnsi="Palatino Linotype" w:cs="Palatino Linotype"/>
          <w:b/>
          <w:sz w:val="22"/>
          <w:szCs w:val="22"/>
        </w:rPr>
        <w:t xml:space="preserve">C O N S I D E R A N D O </w:t>
      </w: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5E216F">
      <w:pPr>
        <w:keepNext/>
        <w:keepLines/>
        <w:spacing w:line="360" w:lineRule="auto"/>
        <w:rPr>
          <w:rFonts w:ascii="Palatino Linotype" w:eastAsia="Palatino Linotype" w:hAnsi="Palatino Linotype" w:cs="Palatino Linotype"/>
          <w:b/>
          <w:sz w:val="22"/>
          <w:szCs w:val="22"/>
        </w:rPr>
      </w:pPr>
      <w:bookmarkStart w:id="3" w:name="_heading=h.3znysh7" w:colFirst="0" w:colLast="0"/>
      <w:bookmarkEnd w:id="3"/>
      <w:r w:rsidRPr="00B349BB">
        <w:rPr>
          <w:rFonts w:ascii="Palatino Linotype" w:eastAsia="Palatino Linotype" w:hAnsi="Palatino Linotype" w:cs="Palatino Linotype"/>
          <w:b/>
          <w:sz w:val="22"/>
          <w:szCs w:val="22"/>
        </w:rPr>
        <w:t>PRIMERO. De la competencia</w:t>
      </w:r>
    </w:p>
    <w:p w:rsidR="000F1B65" w:rsidRPr="00B349BB" w:rsidRDefault="005E216F">
      <w:pPr>
        <w:numPr>
          <w:ilvl w:val="0"/>
          <w:numId w:val="1"/>
        </w:numPr>
        <w:spacing w:line="360" w:lineRule="auto"/>
        <w:ind w:left="0"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rsidR="000F1B65" w:rsidRPr="00B349BB" w:rsidRDefault="000F1B65">
      <w:pPr>
        <w:spacing w:line="360" w:lineRule="auto"/>
        <w:jc w:val="both"/>
        <w:rPr>
          <w:rFonts w:ascii="Palatino Linotype" w:eastAsia="Palatino Linotype" w:hAnsi="Palatino Linotype" w:cs="Palatino Linotype"/>
          <w:sz w:val="22"/>
          <w:szCs w:val="22"/>
        </w:rPr>
      </w:pPr>
    </w:p>
    <w:p w:rsidR="000F1B65" w:rsidRPr="00B349BB" w:rsidRDefault="005E216F">
      <w:pPr>
        <w:keepNext/>
        <w:keepLines/>
        <w:spacing w:line="360" w:lineRule="auto"/>
        <w:rPr>
          <w:rFonts w:ascii="Palatino Linotype" w:eastAsia="Palatino Linotype" w:hAnsi="Palatino Linotype" w:cs="Palatino Linotype"/>
          <w:b/>
          <w:sz w:val="22"/>
          <w:szCs w:val="22"/>
        </w:rPr>
      </w:pPr>
      <w:bookmarkStart w:id="4" w:name="_heading=h.2et92p0" w:colFirst="0" w:colLast="0"/>
      <w:bookmarkEnd w:id="4"/>
      <w:r w:rsidRPr="00B349BB">
        <w:rPr>
          <w:rFonts w:ascii="Palatino Linotype" w:eastAsia="Palatino Linotype" w:hAnsi="Palatino Linotype" w:cs="Palatino Linotype"/>
          <w:b/>
          <w:sz w:val="22"/>
          <w:szCs w:val="22"/>
        </w:rPr>
        <w:lastRenderedPageBreak/>
        <w:t>SEGUNDO. De la oportunidad y procedencia.</w:t>
      </w:r>
    </w:p>
    <w:p w:rsidR="000F1B65" w:rsidRPr="00B349BB"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sz w:val="22"/>
          <w:szCs w:val="22"/>
        </w:rPr>
        <w:t xml:space="preserve">El medio de impugnación fue presentado a través del </w:t>
      </w:r>
      <w:r w:rsidRPr="00B349BB">
        <w:rPr>
          <w:rFonts w:ascii="Palatino Linotype" w:eastAsia="Palatino Linotype" w:hAnsi="Palatino Linotype" w:cs="Palatino Linotype"/>
          <w:b/>
          <w:sz w:val="22"/>
          <w:szCs w:val="22"/>
        </w:rPr>
        <w:t>SAIMEX,</w:t>
      </w:r>
      <w:r w:rsidRPr="00B349BB">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B349BB">
        <w:rPr>
          <w:rFonts w:ascii="Palatino Linotype" w:eastAsia="Palatino Linotype" w:hAnsi="Palatino Linotype" w:cs="Palatino Linotype"/>
          <w:b/>
          <w:sz w:val="22"/>
          <w:szCs w:val="22"/>
        </w:rPr>
        <w:t>SUJETO OBLIGADO</w:t>
      </w:r>
      <w:r w:rsidRPr="00B349BB">
        <w:rPr>
          <w:rFonts w:ascii="Palatino Linotype" w:eastAsia="Palatino Linotype" w:hAnsi="Palatino Linotype" w:cs="Palatino Linotype"/>
          <w:sz w:val="22"/>
          <w:szCs w:val="22"/>
        </w:rPr>
        <w:t xml:space="preserve"> entregó respuesta a la solicitud el diecisiete de noviembre de dos mil veintitrés, de tal forma que el plazo para interponer el recurso de revisión transcurrió del veintiuno de noviembre al once de diciembre de dos mil veintitrés; en consecuencia, presentó su inconformidad el veintidós de noviembre de dos mil veintitrés, por lo que se encuentra dentro de los márgenes temporales previstos en el artículo 178 de la </w:t>
      </w:r>
      <w:r w:rsidRPr="00B349BB">
        <w:rPr>
          <w:rFonts w:ascii="Palatino Linotype" w:eastAsia="Palatino Linotype" w:hAnsi="Palatino Linotype" w:cs="Palatino Linotype"/>
          <w:b/>
          <w:sz w:val="22"/>
          <w:szCs w:val="22"/>
        </w:rPr>
        <w:t xml:space="preserve">Ley de Transparencia y Acceso a la Información Pública del Estado de México y Municipios </w:t>
      </w:r>
      <w:r w:rsidRPr="00B349BB">
        <w:rPr>
          <w:rFonts w:ascii="Palatino Linotype" w:eastAsia="Palatino Linotype" w:hAnsi="Palatino Linotype" w:cs="Palatino Linotype"/>
          <w:sz w:val="22"/>
          <w:szCs w:val="22"/>
        </w:rPr>
        <w:t>vigente.</w:t>
      </w: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bookmarkStart w:id="5" w:name="_heading=h.3dy6vkm" w:colFirst="0" w:colLast="0"/>
      <w:bookmarkEnd w:id="5"/>
      <w:r w:rsidRPr="00B349BB">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EC6783" w:rsidRDefault="005E216F">
      <w:pPr>
        <w:keepNext/>
        <w:keepLines/>
        <w:spacing w:line="360" w:lineRule="auto"/>
        <w:ind w:right="48"/>
        <w:rPr>
          <w:rFonts w:ascii="Palatino Linotype" w:eastAsia="Palatino Linotype" w:hAnsi="Palatino Linotype" w:cs="Palatino Linotype"/>
          <w:b/>
          <w:sz w:val="22"/>
          <w:szCs w:val="22"/>
        </w:rPr>
      </w:pPr>
      <w:r w:rsidRPr="00EC6783">
        <w:rPr>
          <w:rFonts w:ascii="Palatino Linotype" w:eastAsia="Palatino Linotype" w:hAnsi="Palatino Linotype" w:cs="Palatino Linotype"/>
          <w:b/>
          <w:sz w:val="22"/>
          <w:szCs w:val="22"/>
        </w:rPr>
        <w:t xml:space="preserve">TERCERO. </w:t>
      </w:r>
      <w:r w:rsidR="00F43972" w:rsidRPr="00EC6783">
        <w:rPr>
          <w:rFonts w:ascii="Palatino Linotype" w:hAnsi="Palatino Linotype"/>
          <w:b/>
          <w:sz w:val="22"/>
          <w:szCs w:val="22"/>
        </w:rPr>
        <w:t>De las causales del sobreseimiento.</w:t>
      </w:r>
    </w:p>
    <w:p w:rsidR="00F43972" w:rsidRPr="00EC6783" w:rsidRDefault="00F43972" w:rsidP="00F43972">
      <w:pPr>
        <w:spacing w:line="360" w:lineRule="auto"/>
        <w:ind w:right="49"/>
        <w:jc w:val="both"/>
        <w:rPr>
          <w:rFonts w:ascii="Palatino Linotype" w:eastAsia="Palatino Linotype" w:hAnsi="Palatino Linotype" w:cs="Palatino Linotype"/>
          <w:sz w:val="22"/>
          <w:szCs w:val="22"/>
        </w:rPr>
      </w:pPr>
    </w:p>
    <w:p w:rsidR="00F43972" w:rsidRPr="00EC6783" w:rsidRDefault="00F43972" w:rsidP="00F43972">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sz w:val="22"/>
          <w:szCs w:val="22"/>
        </w:rPr>
        <w:t xml:space="preserve">El </w:t>
      </w:r>
      <w:r w:rsidRPr="00EC6783">
        <w:rPr>
          <w:rFonts w:ascii="Palatino Linotype" w:hAnsi="Palatino Linotype" w:cs="Arial"/>
          <w:iCs/>
          <w:sz w:val="22"/>
          <w:szCs w:val="22"/>
        </w:rPr>
        <w:t xml:space="preserve">recurso revisión tiene como finalidad reparar cualquier posible afectación al Derecho de Acceso a la Información Pública en términos del Título Octavo de la Ley de </w:t>
      </w:r>
      <w:r w:rsidRPr="00EC6783">
        <w:rPr>
          <w:rFonts w:ascii="Palatino Linotype" w:eastAsia="Calibri" w:hAnsi="Palatino Linotype" w:cs="Arial"/>
          <w:iCs/>
          <w:sz w:val="22"/>
          <w:szCs w:val="22"/>
        </w:rPr>
        <w:t>Transparencia, Acceso a la Información Pública del Estado de México y Municipios</w:t>
      </w:r>
      <w:r w:rsidRPr="00EC6783">
        <w:rPr>
          <w:rFonts w:ascii="Palatino Linotype" w:hAnsi="Palatino Linotype" w:cs="Arial"/>
          <w:iCs/>
          <w:sz w:val="22"/>
          <w:szCs w:val="22"/>
        </w:rPr>
        <w:t xml:space="preserve">, y determinar la confirmación; revocación o modificación; </w:t>
      </w:r>
      <w:proofErr w:type="spellStart"/>
      <w:r w:rsidRPr="00EC6783">
        <w:rPr>
          <w:rFonts w:ascii="Palatino Linotype" w:hAnsi="Palatino Linotype" w:cs="Arial"/>
          <w:iCs/>
          <w:sz w:val="22"/>
          <w:szCs w:val="22"/>
        </w:rPr>
        <w:t>desechamiento</w:t>
      </w:r>
      <w:proofErr w:type="spellEnd"/>
      <w:r w:rsidRPr="00EC6783">
        <w:rPr>
          <w:rFonts w:ascii="Palatino Linotype" w:hAnsi="Palatino Linotype" w:cs="Arial"/>
          <w:iCs/>
          <w:sz w:val="22"/>
          <w:szCs w:val="22"/>
        </w:rPr>
        <w:t xml:space="preserve"> o </w:t>
      </w:r>
      <w:r w:rsidRPr="00EC6783">
        <w:rPr>
          <w:rFonts w:ascii="Palatino Linotype" w:hAnsi="Palatino Linotype" w:cs="Arial"/>
          <w:b/>
          <w:iCs/>
          <w:sz w:val="22"/>
          <w:szCs w:val="22"/>
          <w:u w:val="single"/>
        </w:rPr>
        <w:t>sobreseimiento</w:t>
      </w:r>
      <w:r w:rsidRPr="00EC6783">
        <w:rPr>
          <w:rFonts w:ascii="Palatino Linotype" w:hAnsi="Palatino Linotype" w:cs="Arial"/>
          <w:iCs/>
          <w:sz w:val="22"/>
          <w:szCs w:val="22"/>
        </w:rPr>
        <w:t>; y, en su caso</w:t>
      </w:r>
      <w:r w:rsidRPr="00EC6783">
        <w:rPr>
          <w:rFonts w:ascii="Palatino Linotype" w:hAnsi="Palatino Linotype" w:cs="Arial"/>
          <w:sz w:val="22"/>
          <w:szCs w:val="22"/>
        </w:rPr>
        <w:t xml:space="preserve">, ordenar la entrega de la información respecto a la falta de respuesta por parte del </w:t>
      </w:r>
      <w:r w:rsidRPr="00EC6783">
        <w:rPr>
          <w:rFonts w:ascii="Palatino Linotype" w:hAnsi="Palatino Linotype" w:cs="Arial"/>
          <w:b/>
          <w:sz w:val="22"/>
          <w:szCs w:val="22"/>
        </w:rPr>
        <w:t>SUJETO</w:t>
      </w:r>
      <w:r w:rsidRPr="00EC6783">
        <w:rPr>
          <w:rFonts w:ascii="Palatino Linotype" w:hAnsi="Palatino Linotype" w:cs="Arial"/>
          <w:sz w:val="22"/>
          <w:szCs w:val="22"/>
        </w:rPr>
        <w:t xml:space="preserve"> </w:t>
      </w:r>
      <w:r w:rsidRPr="00EC6783">
        <w:rPr>
          <w:rFonts w:ascii="Palatino Linotype" w:hAnsi="Palatino Linotype" w:cs="Arial"/>
          <w:b/>
          <w:sz w:val="22"/>
          <w:szCs w:val="22"/>
        </w:rPr>
        <w:t>OBLIGADO</w:t>
      </w:r>
      <w:r w:rsidRPr="00EC6783">
        <w:rPr>
          <w:rFonts w:ascii="Palatino Linotype" w:hAnsi="Palatino Linotype" w:cs="Arial"/>
          <w:sz w:val="22"/>
          <w:szCs w:val="22"/>
        </w:rPr>
        <w:t>.</w:t>
      </w:r>
    </w:p>
    <w:p w:rsidR="00F43972" w:rsidRPr="00EC6783" w:rsidRDefault="00F43972" w:rsidP="00F43972">
      <w:pPr>
        <w:spacing w:line="360" w:lineRule="auto"/>
        <w:ind w:right="49"/>
        <w:jc w:val="both"/>
        <w:rPr>
          <w:rFonts w:ascii="Palatino Linotype" w:eastAsia="Palatino Linotype" w:hAnsi="Palatino Linotype" w:cs="Palatino Linotype"/>
          <w:sz w:val="22"/>
          <w:szCs w:val="22"/>
        </w:rPr>
      </w:pPr>
    </w:p>
    <w:p w:rsidR="00F43972" w:rsidRPr="00EC6783" w:rsidRDefault="00F43972" w:rsidP="00F43972">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Calibri" w:hAnsi="Palatino Linotype" w:cs="Tahoma"/>
          <w:iCs/>
          <w:sz w:val="22"/>
          <w:szCs w:val="22"/>
          <w:lang w:val="es-ES" w:eastAsia="es-ES_tradnl"/>
        </w:rPr>
        <w:lastRenderedPageBreak/>
        <w:t xml:space="preserve">De </w:t>
      </w:r>
      <w:r w:rsidRPr="00EC6783">
        <w:rPr>
          <w:rFonts w:ascii="Palatino Linotype" w:eastAsia="Calibri" w:hAnsi="Palatino Linotype"/>
          <w:sz w:val="22"/>
          <w:szCs w:val="22"/>
        </w:rPr>
        <w:t xml:space="preserve">acuerdo con el precepto legal contenido en la fracción IV del artículo 192 de la </w:t>
      </w:r>
      <w:r w:rsidRPr="00EC6783">
        <w:rPr>
          <w:rFonts w:ascii="Palatino Linotype" w:eastAsia="Calibri" w:hAnsi="Palatino Linotype"/>
          <w:b/>
          <w:sz w:val="22"/>
          <w:szCs w:val="22"/>
        </w:rPr>
        <w:t>Ley de Transparencia y Acceso a la Información Pública del Estado de México y Municipios</w:t>
      </w:r>
      <w:r w:rsidRPr="00EC6783">
        <w:rPr>
          <w:rFonts w:ascii="Palatino Linotype" w:eastAsia="Calibri" w:hAnsi="Palatino Linotype"/>
          <w:sz w:val="22"/>
          <w:szCs w:val="22"/>
        </w:rPr>
        <w:t>, el recurso será sobreseído, cuando una vez admitido, aparezca alguna causal de improcedencia en términos de la misma Ley.</w:t>
      </w:r>
    </w:p>
    <w:p w:rsidR="00F43972" w:rsidRPr="00EC6783" w:rsidRDefault="00F43972" w:rsidP="00F43972">
      <w:pPr>
        <w:spacing w:line="360" w:lineRule="auto"/>
        <w:ind w:right="49"/>
        <w:jc w:val="both"/>
        <w:rPr>
          <w:rFonts w:ascii="Palatino Linotype" w:eastAsia="Palatino Linotype" w:hAnsi="Palatino Linotype" w:cs="Palatino Linotype"/>
          <w:sz w:val="22"/>
          <w:szCs w:val="22"/>
        </w:rPr>
      </w:pPr>
    </w:p>
    <w:p w:rsidR="00F43972" w:rsidRPr="00EC6783" w:rsidRDefault="00F43972" w:rsidP="00CE3DAE">
      <w:pPr>
        <w:keepNext/>
        <w:keepLines/>
        <w:numPr>
          <w:ilvl w:val="1"/>
          <w:numId w:val="9"/>
        </w:numPr>
        <w:spacing w:line="360" w:lineRule="auto"/>
        <w:ind w:left="567" w:right="-28" w:firstLine="0"/>
        <w:outlineLvl w:val="1"/>
        <w:rPr>
          <w:rFonts w:ascii="Palatino Linotype" w:eastAsiaTheme="majorEastAsia" w:hAnsi="Palatino Linotype" w:cstheme="majorBidi"/>
          <w:b/>
          <w:iCs/>
          <w:sz w:val="22"/>
          <w:szCs w:val="22"/>
        </w:rPr>
      </w:pPr>
      <w:bookmarkStart w:id="6" w:name="_Toc365136"/>
      <w:r w:rsidRPr="00EC6783">
        <w:rPr>
          <w:rFonts w:ascii="Palatino Linotype" w:eastAsiaTheme="majorEastAsia" w:hAnsi="Palatino Linotype" w:cstheme="majorBidi"/>
          <w:b/>
          <w:iCs/>
          <w:sz w:val="22"/>
          <w:szCs w:val="22"/>
        </w:rPr>
        <w:t>De la solicitud de información</w:t>
      </w:r>
      <w:bookmarkEnd w:id="6"/>
      <w:r w:rsidRPr="00EC6783">
        <w:rPr>
          <w:rFonts w:ascii="Palatino Linotype" w:eastAsiaTheme="majorEastAsia" w:hAnsi="Palatino Linotype" w:cstheme="majorBidi"/>
          <w:b/>
          <w:iCs/>
          <w:sz w:val="22"/>
          <w:szCs w:val="22"/>
        </w:rPr>
        <w:t xml:space="preserve"> </w:t>
      </w:r>
    </w:p>
    <w:p w:rsidR="00F43972" w:rsidRPr="00EC6783" w:rsidRDefault="00F43972" w:rsidP="00F43972">
      <w:pPr>
        <w:spacing w:line="360" w:lineRule="auto"/>
        <w:ind w:right="49"/>
        <w:jc w:val="both"/>
        <w:rPr>
          <w:rFonts w:ascii="Palatino Linotype" w:eastAsia="Palatino Linotype" w:hAnsi="Palatino Linotype" w:cs="Palatino Linotype"/>
          <w:sz w:val="22"/>
          <w:szCs w:val="22"/>
        </w:rPr>
      </w:pPr>
    </w:p>
    <w:p w:rsidR="000F1B65" w:rsidRPr="00EC6783" w:rsidRDefault="00CE3DAE" w:rsidP="00CE3DAE">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sz w:val="22"/>
          <w:szCs w:val="22"/>
        </w:rPr>
        <w:t xml:space="preserve">Como ya se ha señalado, </w:t>
      </w:r>
      <w:r w:rsidRPr="00EC6783">
        <w:rPr>
          <w:rFonts w:ascii="Palatino Linotype" w:eastAsia="Palatino Linotype" w:hAnsi="Palatino Linotype" w:cs="Palatino Linotype"/>
          <w:color w:val="000000"/>
          <w:sz w:val="22"/>
          <w:szCs w:val="22"/>
        </w:rPr>
        <w:t>e</w:t>
      </w:r>
      <w:r w:rsidR="005E216F" w:rsidRPr="00EC6783">
        <w:rPr>
          <w:rFonts w:ascii="Palatino Linotype" w:eastAsia="Palatino Linotype" w:hAnsi="Palatino Linotype" w:cs="Palatino Linotype"/>
          <w:color w:val="000000"/>
          <w:sz w:val="22"/>
          <w:szCs w:val="22"/>
        </w:rPr>
        <w:t xml:space="preserve">l </w:t>
      </w:r>
      <w:r w:rsidR="005E216F" w:rsidRPr="00EC6783">
        <w:rPr>
          <w:rFonts w:ascii="Palatino Linotype" w:eastAsia="Palatino Linotype" w:hAnsi="Palatino Linotype" w:cs="Palatino Linotype"/>
          <w:b/>
          <w:color w:val="000000"/>
          <w:sz w:val="22"/>
          <w:szCs w:val="22"/>
        </w:rPr>
        <w:t>RECURRENTE</w:t>
      </w:r>
      <w:r w:rsidR="005E216F" w:rsidRPr="00EC6783">
        <w:rPr>
          <w:rFonts w:ascii="Palatino Linotype" w:eastAsia="Palatino Linotype" w:hAnsi="Palatino Linotype" w:cs="Palatino Linotype"/>
          <w:color w:val="000000"/>
          <w:sz w:val="22"/>
          <w:szCs w:val="22"/>
        </w:rPr>
        <w:t xml:space="preserve"> solicitó la base de datos de los alumnos que están en proceso de titulación, así como, conocer los motivos por los cuales no se han titulado y las acciones </w:t>
      </w:r>
      <w:r w:rsidR="005E216F" w:rsidRPr="00EC6783">
        <w:rPr>
          <w:rFonts w:ascii="Palatino Linotype" w:eastAsia="Palatino Linotype" w:hAnsi="Palatino Linotype" w:cs="Palatino Linotype"/>
          <w:sz w:val="22"/>
          <w:szCs w:val="22"/>
        </w:rPr>
        <w:t>tomadas</w:t>
      </w:r>
      <w:r w:rsidR="005E216F" w:rsidRPr="00EC6783">
        <w:rPr>
          <w:rFonts w:ascii="Palatino Linotype" w:eastAsia="Palatino Linotype" w:hAnsi="Palatino Linotype" w:cs="Palatino Linotype"/>
          <w:color w:val="000000"/>
          <w:sz w:val="22"/>
          <w:szCs w:val="22"/>
        </w:rPr>
        <w:t xml:space="preserve"> ante dicha situación.</w:t>
      </w:r>
    </w:p>
    <w:p w:rsidR="000F1B65" w:rsidRPr="00EC6783" w:rsidRDefault="000F1B65">
      <w:pPr>
        <w:spacing w:line="360" w:lineRule="auto"/>
        <w:ind w:right="49"/>
        <w:jc w:val="both"/>
        <w:rPr>
          <w:rFonts w:ascii="Palatino Linotype" w:eastAsia="Palatino Linotype" w:hAnsi="Palatino Linotype" w:cs="Palatino Linotype"/>
          <w:i/>
          <w:sz w:val="22"/>
          <w:szCs w:val="22"/>
        </w:rPr>
      </w:pPr>
    </w:p>
    <w:p w:rsidR="000F1B65" w:rsidRPr="00EC6783"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color w:val="000000"/>
          <w:sz w:val="22"/>
          <w:szCs w:val="22"/>
        </w:rPr>
        <w:t xml:space="preserve">En respuesta, el </w:t>
      </w:r>
      <w:r w:rsidRPr="00EC6783">
        <w:rPr>
          <w:rFonts w:ascii="Palatino Linotype" w:eastAsia="Palatino Linotype" w:hAnsi="Palatino Linotype" w:cs="Palatino Linotype"/>
          <w:b/>
          <w:color w:val="000000"/>
          <w:sz w:val="22"/>
          <w:szCs w:val="22"/>
        </w:rPr>
        <w:t>SUJETO OBLIGADO</w:t>
      </w:r>
      <w:r w:rsidRPr="00EC6783">
        <w:rPr>
          <w:rFonts w:ascii="Palatino Linotype" w:eastAsia="Palatino Linotype" w:hAnsi="Palatino Linotype" w:cs="Palatino Linotype"/>
          <w:color w:val="000000"/>
          <w:sz w:val="22"/>
          <w:szCs w:val="22"/>
        </w:rPr>
        <w:t xml:space="preserve"> remitió un registro de alumnos en formato </w:t>
      </w:r>
      <w:r w:rsidR="00F43972" w:rsidRPr="00EC6783">
        <w:rPr>
          <w:rFonts w:ascii="Palatino Linotype" w:eastAsia="Palatino Linotype" w:hAnsi="Palatino Linotype" w:cs="Palatino Linotype"/>
          <w:color w:val="000000"/>
          <w:sz w:val="22"/>
          <w:szCs w:val="22"/>
        </w:rPr>
        <w:t>Excel</w:t>
      </w:r>
      <w:r w:rsidRPr="00EC6783">
        <w:rPr>
          <w:rFonts w:ascii="Palatino Linotype" w:eastAsia="Palatino Linotype" w:hAnsi="Palatino Linotype" w:cs="Palatino Linotype"/>
          <w:color w:val="000000"/>
          <w:sz w:val="22"/>
          <w:szCs w:val="22"/>
        </w:rPr>
        <w:t xml:space="preserve">, asimismo, informó que </w:t>
      </w:r>
      <w:r w:rsidRPr="00EC6783">
        <w:rPr>
          <w:rFonts w:ascii="Palatino Linotype" w:eastAsia="Palatino Linotype" w:hAnsi="Palatino Linotype" w:cs="Palatino Linotype"/>
          <w:sz w:val="22"/>
          <w:szCs w:val="22"/>
        </w:rPr>
        <w:t>los “motivos” por los cuales no se han titulado los alumnos, son ajenos al Tecnológico de Estudios Superiores de Coacalco.</w:t>
      </w:r>
    </w:p>
    <w:p w:rsidR="000F1B65" w:rsidRPr="00EC6783" w:rsidRDefault="000F1B65" w:rsidP="00545C40">
      <w:pPr>
        <w:spacing w:line="360" w:lineRule="auto"/>
        <w:ind w:right="49"/>
        <w:jc w:val="both"/>
        <w:rPr>
          <w:rFonts w:ascii="Palatino Linotype" w:eastAsia="Palatino Linotype" w:hAnsi="Palatino Linotype" w:cs="Palatino Linotype"/>
          <w:i/>
          <w:sz w:val="22"/>
          <w:szCs w:val="22"/>
        </w:rPr>
      </w:pPr>
    </w:p>
    <w:p w:rsidR="000F1B65" w:rsidRPr="00EC6783" w:rsidRDefault="005E216F" w:rsidP="00545C40">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color w:val="000000"/>
          <w:sz w:val="22"/>
          <w:szCs w:val="22"/>
        </w:rPr>
        <w:t xml:space="preserve">No obstante, el </w:t>
      </w:r>
      <w:r w:rsidRPr="00EC6783">
        <w:rPr>
          <w:rFonts w:ascii="Palatino Linotype" w:eastAsia="Palatino Linotype" w:hAnsi="Palatino Linotype" w:cs="Palatino Linotype"/>
          <w:b/>
          <w:color w:val="000000"/>
          <w:sz w:val="22"/>
          <w:szCs w:val="22"/>
        </w:rPr>
        <w:t>RECURRENTE</w:t>
      </w:r>
      <w:r w:rsidRPr="00EC6783">
        <w:rPr>
          <w:rFonts w:ascii="Palatino Linotype" w:eastAsia="Palatino Linotype" w:hAnsi="Palatino Linotype" w:cs="Palatino Linotype"/>
          <w:color w:val="000000"/>
          <w:sz w:val="22"/>
          <w:szCs w:val="22"/>
        </w:rPr>
        <w:t xml:space="preserve"> impugnó la respuesta mediante recurso de revisión, en el que refirió como razones o motivos de inconformidad</w:t>
      </w:r>
      <w:r w:rsidR="003E212D" w:rsidRPr="00EC6783">
        <w:rPr>
          <w:rFonts w:ascii="Palatino Linotype" w:eastAsia="Palatino Linotype" w:hAnsi="Palatino Linotype" w:cs="Palatino Linotype"/>
          <w:b/>
          <w:color w:val="000000"/>
          <w:sz w:val="22"/>
          <w:szCs w:val="22"/>
        </w:rPr>
        <w:t>:</w:t>
      </w:r>
      <w:r w:rsidR="003E212D" w:rsidRPr="00EC6783">
        <w:rPr>
          <w:rFonts w:ascii="Palatino Linotype" w:eastAsia="Palatino Linotype" w:hAnsi="Palatino Linotype" w:cs="Palatino Linotype"/>
          <w:sz w:val="22"/>
          <w:szCs w:val="22"/>
        </w:rPr>
        <w:t xml:space="preserve"> </w:t>
      </w:r>
      <w:r w:rsidR="003E212D" w:rsidRPr="00EC6783">
        <w:rPr>
          <w:rFonts w:ascii="Palatino Linotype" w:eastAsia="Palatino Linotype" w:hAnsi="Palatino Linotype" w:cs="Palatino Linotype"/>
          <w:b/>
          <w:i/>
          <w:sz w:val="22"/>
          <w:szCs w:val="22"/>
        </w:rPr>
        <w:t>“</w:t>
      </w:r>
      <w:proofErr w:type="spellStart"/>
      <w:r w:rsidR="003E212D" w:rsidRPr="00EC6783">
        <w:rPr>
          <w:rFonts w:ascii="Palatino Linotype" w:hAnsi="Palatino Linotype"/>
          <w:b/>
          <w:i/>
          <w:color w:val="000000"/>
          <w:sz w:val="22"/>
          <w:szCs w:val="22"/>
        </w:rPr>
        <w:t>Informacion</w:t>
      </w:r>
      <w:proofErr w:type="spellEnd"/>
      <w:r w:rsidR="003E212D" w:rsidRPr="00EC6783">
        <w:rPr>
          <w:rFonts w:ascii="Palatino Linotype" w:hAnsi="Palatino Linotype"/>
          <w:b/>
          <w:i/>
          <w:color w:val="000000"/>
          <w:sz w:val="22"/>
          <w:szCs w:val="22"/>
        </w:rPr>
        <w:t xml:space="preserve"> INCOMPLETA, Nuevamente la negligencia de los servidores </w:t>
      </w:r>
      <w:proofErr w:type="spellStart"/>
      <w:r w:rsidR="003E212D" w:rsidRPr="00EC6783">
        <w:rPr>
          <w:rFonts w:ascii="Palatino Linotype" w:hAnsi="Palatino Linotype"/>
          <w:b/>
          <w:i/>
          <w:color w:val="000000"/>
          <w:sz w:val="22"/>
          <w:szCs w:val="22"/>
        </w:rPr>
        <w:t>publicos</w:t>
      </w:r>
      <w:proofErr w:type="spellEnd"/>
      <w:r w:rsidR="003E212D" w:rsidRPr="00EC6783">
        <w:rPr>
          <w:rFonts w:ascii="Palatino Linotype" w:hAnsi="Palatino Linotype"/>
          <w:b/>
          <w:i/>
          <w:color w:val="000000"/>
          <w:sz w:val="22"/>
          <w:szCs w:val="22"/>
        </w:rPr>
        <w:t xml:space="preserve"> en enviar datos personales violentando contra sus alumnos.” (Sic)</w:t>
      </w:r>
    </w:p>
    <w:p w:rsidR="003E212D" w:rsidRPr="00EC6783" w:rsidRDefault="003E212D" w:rsidP="00545C40">
      <w:pPr>
        <w:spacing w:line="360" w:lineRule="auto"/>
        <w:ind w:right="49"/>
        <w:jc w:val="both"/>
        <w:rPr>
          <w:rFonts w:ascii="Palatino Linotype" w:eastAsia="Palatino Linotype" w:hAnsi="Palatino Linotype" w:cs="Palatino Linotype"/>
          <w:i/>
          <w:sz w:val="22"/>
          <w:szCs w:val="22"/>
        </w:rPr>
      </w:pPr>
    </w:p>
    <w:p w:rsidR="00545C40" w:rsidRPr="00EC6783" w:rsidRDefault="00545C40" w:rsidP="00545C40">
      <w:pPr>
        <w:numPr>
          <w:ilvl w:val="0"/>
          <w:numId w:val="1"/>
        </w:numPr>
        <w:spacing w:line="360" w:lineRule="auto"/>
        <w:ind w:left="0" w:right="49" w:firstLine="0"/>
        <w:contextualSpacing/>
        <w:jc w:val="both"/>
        <w:rPr>
          <w:rFonts w:ascii="Palatino Linotype" w:hAnsi="Palatino Linotype"/>
          <w:color w:val="000000"/>
          <w:sz w:val="22"/>
          <w:szCs w:val="22"/>
        </w:rPr>
      </w:pPr>
      <w:r w:rsidRPr="00EC6783">
        <w:rPr>
          <w:rFonts w:ascii="Palatino Linotype" w:hAnsi="Palatino Linotype"/>
          <w:color w:val="000000"/>
          <w:sz w:val="22"/>
          <w:szCs w:val="22"/>
        </w:rPr>
        <w:t>Expuesto lo anterior, este Instituto de Transparencia</w:t>
      </w:r>
      <w:r w:rsidRPr="00EC6783">
        <w:rPr>
          <w:rFonts w:ascii="Palatino Linotype" w:hAnsi="Palatino Linotype"/>
          <w:sz w:val="22"/>
          <w:szCs w:val="22"/>
        </w:rPr>
        <w:t xml:space="preserve">, procederá a verificar la información remitida por el </w:t>
      </w:r>
      <w:r w:rsidRPr="00EC6783">
        <w:rPr>
          <w:rFonts w:ascii="Palatino Linotype" w:hAnsi="Palatino Linotype"/>
          <w:b/>
          <w:bCs/>
          <w:sz w:val="22"/>
          <w:szCs w:val="22"/>
        </w:rPr>
        <w:t xml:space="preserve">SUJETO OBLIGADO </w:t>
      </w:r>
      <w:r w:rsidRPr="00EC6783">
        <w:rPr>
          <w:rFonts w:ascii="Palatino Linotype" w:hAnsi="Palatino Linotype"/>
          <w:sz w:val="22"/>
          <w:szCs w:val="22"/>
        </w:rPr>
        <w:t xml:space="preserve">y las manifestaciones realizadas por el </w:t>
      </w:r>
      <w:r w:rsidRPr="00EC6783">
        <w:rPr>
          <w:rFonts w:ascii="Palatino Linotype" w:hAnsi="Palatino Linotype"/>
          <w:b/>
          <w:bCs/>
          <w:sz w:val="22"/>
          <w:szCs w:val="22"/>
        </w:rPr>
        <w:t>RECURRENTE</w:t>
      </w:r>
      <w:r w:rsidRPr="00EC6783">
        <w:rPr>
          <w:rFonts w:ascii="Palatino Linotype" w:hAnsi="Palatino Linotype"/>
          <w:sz w:val="22"/>
          <w:szCs w:val="22"/>
        </w:rPr>
        <w:t xml:space="preserve"> a</w:t>
      </w:r>
      <w:r w:rsidRPr="00EC6783">
        <w:rPr>
          <w:rFonts w:ascii="Palatino Linotype" w:hAnsi="Palatino Linotype"/>
          <w:color w:val="000000"/>
          <w:sz w:val="22"/>
          <w:szCs w:val="22"/>
        </w:rPr>
        <w:t xml:space="preserve"> </w:t>
      </w:r>
      <w:r w:rsidRPr="00EC6783">
        <w:rPr>
          <w:rFonts w:ascii="Palatino Linotype" w:hAnsi="Palatino Linotype"/>
          <w:sz w:val="22"/>
          <w:szCs w:val="22"/>
        </w:rPr>
        <w:t>efecto de determinar si la información proporcionada se encuentra apegada a lo que establece la Ley en materia de transparencia.</w:t>
      </w:r>
    </w:p>
    <w:p w:rsidR="00545C40" w:rsidRPr="00EC6783" w:rsidRDefault="00545C40" w:rsidP="00545C40">
      <w:pPr>
        <w:spacing w:line="360" w:lineRule="auto"/>
        <w:ind w:right="49"/>
        <w:jc w:val="both"/>
        <w:rPr>
          <w:rFonts w:ascii="Palatino Linotype" w:eastAsia="Palatino Linotype" w:hAnsi="Palatino Linotype" w:cs="Palatino Linotype"/>
          <w:sz w:val="22"/>
          <w:szCs w:val="22"/>
        </w:rPr>
      </w:pPr>
      <w:bookmarkStart w:id="7" w:name="_heading=h.lnxbz9" w:colFirst="0" w:colLast="0"/>
      <w:bookmarkEnd w:id="7"/>
    </w:p>
    <w:p w:rsidR="000F1B65" w:rsidRPr="00EC6783" w:rsidRDefault="003E212D">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sz w:val="22"/>
          <w:szCs w:val="22"/>
        </w:rPr>
        <w:lastRenderedPageBreak/>
        <w:t>En este sentido</w:t>
      </w:r>
      <w:r w:rsidR="005E216F" w:rsidRPr="00EC6783">
        <w:rPr>
          <w:rFonts w:ascii="Palatino Linotype" w:eastAsia="Palatino Linotype" w:hAnsi="Palatino Linotype" w:cs="Palatino Linotype"/>
          <w:sz w:val="22"/>
          <w:szCs w:val="22"/>
        </w:rPr>
        <w:t xml:space="preserve">, de las constancias que integran los expedientes electrónicos relacionados con el recurso de revisión materia de estudio, se colige que el </w:t>
      </w:r>
      <w:r w:rsidR="005E216F" w:rsidRPr="00EC6783">
        <w:rPr>
          <w:rFonts w:ascii="Palatino Linotype" w:eastAsia="Palatino Linotype" w:hAnsi="Palatino Linotype" w:cs="Palatino Linotype"/>
          <w:b/>
          <w:sz w:val="22"/>
          <w:szCs w:val="22"/>
        </w:rPr>
        <w:t>SUJETO OBLIGADO</w:t>
      </w:r>
      <w:r w:rsidR="005E216F" w:rsidRPr="00EC6783">
        <w:rPr>
          <w:rFonts w:ascii="Palatino Linotype" w:eastAsia="Palatino Linotype" w:hAnsi="Palatino Linotype" w:cs="Palatino Linotype"/>
          <w:sz w:val="22"/>
          <w:szCs w:val="22"/>
        </w:rPr>
        <w:t xml:space="preserve"> no niega la competencia para conocer de la información solicitada, por el contrario, con la respuesta pronunciada asevera que es competente para conocer de la solicitud de información, lo anterior es así, ya que el estudio enunciado tiene por objeto determinar si los Sujetos Obligados generan, poseen o administran  la información solicitada, sin embargo, en aquellos casos en que estos han asumido la competencia, sería ocioso y a nada práctico nos conduciría su estudio, ya que, se insiste, el ente obligado asumió la competencia referida.</w:t>
      </w:r>
    </w:p>
    <w:p w:rsidR="000F1B65" w:rsidRPr="00EC6783" w:rsidRDefault="000F1B65">
      <w:pPr>
        <w:rPr>
          <w:rFonts w:ascii="Palatino Linotype" w:eastAsia="Palatino Linotype" w:hAnsi="Palatino Linotype" w:cs="Palatino Linotype"/>
          <w:sz w:val="22"/>
          <w:szCs w:val="22"/>
        </w:rPr>
      </w:pPr>
    </w:p>
    <w:p w:rsidR="000F1B65" w:rsidRPr="00EC6783"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sz w:val="22"/>
          <w:szCs w:val="22"/>
        </w:rPr>
        <w:t xml:space="preserve">Asimismo, del análisis del requerimiento planteado por la persona solicitante y la respuesta proporcionada por el </w:t>
      </w:r>
      <w:r w:rsidRPr="00EC6783">
        <w:rPr>
          <w:rFonts w:ascii="Palatino Linotype" w:eastAsia="Palatino Linotype" w:hAnsi="Palatino Linotype" w:cs="Palatino Linotype"/>
          <w:b/>
          <w:sz w:val="22"/>
          <w:szCs w:val="22"/>
        </w:rPr>
        <w:t>SUJETO OBLIGADO</w:t>
      </w:r>
      <w:r w:rsidRPr="00EC6783">
        <w:rPr>
          <w:rFonts w:ascii="Palatino Linotype" w:eastAsia="Palatino Linotype" w:hAnsi="Palatino Linotype" w:cs="Palatino Linotype"/>
          <w:sz w:val="22"/>
          <w:szCs w:val="22"/>
        </w:rPr>
        <w:t xml:space="preserve">, se tiene a bien referir que, </w:t>
      </w:r>
      <w:r w:rsidRPr="00EC6783">
        <w:rPr>
          <w:rFonts w:ascii="Palatino Linotype" w:eastAsia="Palatino Linotype" w:hAnsi="Palatino Linotype" w:cs="Palatino Linotype"/>
          <w:b/>
          <w:sz w:val="22"/>
          <w:szCs w:val="22"/>
          <w:u w:val="single"/>
        </w:rPr>
        <w:t>con las documentales entregadas se satisfizo lo requerido.</w:t>
      </w:r>
      <w:r w:rsidRPr="00EC6783">
        <w:rPr>
          <w:rFonts w:ascii="Palatino Linotype" w:eastAsia="Palatino Linotype" w:hAnsi="Palatino Linotype" w:cs="Palatino Linotype"/>
          <w:sz w:val="22"/>
          <w:szCs w:val="22"/>
        </w:rPr>
        <w:t xml:space="preserve"> </w:t>
      </w:r>
      <w:r w:rsidRPr="00EC6783">
        <w:rPr>
          <w:rFonts w:ascii="Palatino Linotype" w:eastAsia="Palatino Linotype" w:hAnsi="Palatino Linotype" w:cs="Palatino Linotype"/>
          <w:b/>
          <w:sz w:val="22"/>
          <w:szCs w:val="22"/>
        </w:rPr>
        <w:t xml:space="preserve">No obstante, se advierte también, que se vulneraron datos personales susceptibles de ser clasificados, como lo es, </w:t>
      </w:r>
      <w:r w:rsidRPr="00EC6783">
        <w:rPr>
          <w:rFonts w:ascii="Palatino Linotype" w:eastAsia="Palatino Linotype" w:hAnsi="Palatino Linotype" w:cs="Palatino Linotype"/>
          <w:b/>
          <w:sz w:val="22"/>
          <w:szCs w:val="22"/>
          <w:u w:val="single"/>
        </w:rPr>
        <w:t>el nombre de particulares</w:t>
      </w:r>
      <w:r w:rsidRPr="00EC6783">
        <w:rPr>
          <w:rFonts w:ascii="Palatino Linotype" w:eastAsia="Palatino Linotype" w:hAnsi="Palatino Linotype" w:cs="Palatino Linotype"/>
          <w:b/>
          <w:sz w:val="22"/>
          <w:szCs w:val="22"/>
        </w:rPr>
        <w:t>, en el caso específico, de estudiantes en proceso de titulación.</w:t>
      </w:r>
    </w:p>
    <w:p w:rsidR="00545C40" w:rsidRPr="00EC6783" w:rsidRDefault="00545C40" w:rsidP="00545C40">
      <w:pPr>
        <w:spacing w:line="360" w:lineRule="auto"/>
        <w:ind w:right="49"/>
        <w:jc w:val="both"/>
        <w:rPr>
          <w:rFonts w:ascii="Palatino Linotype" w:eastAsia="Palatino Linotype" w:hAnsi="Palatino Linotype" w:cs="Palatino Linotype"/>
          <w:sz w:val="22"/>
          <w:szCs w:val="22"/>
        </w:rPr>
      </w:pPr>
    </w:p>
    <w:p w:rsidR="000F1B65" w:rsidRPr="00EC6783" w:rsidRDefault="003E212D">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sz w:val="22"/>
          <w:szCs w:val="22"/>
        </w:rPr>
        <w:t>Aunado a lo anterior</w:t>
      </w:r>
      <w:r w:rsidR="005E216F" w:rsidRPr="00EC6783">
        <w:rPr>
          <w:rFonts w:ascii="Palatino Linotype" w:eastAsia="Palatino Linotype" w:hAnsi="Palatino Linotype" w:cs="Palatino Linotype"/>
          <w:sz w:val="22"/>
          <w:szCs w:val="22"/>
        </w:rPr>
        <w:t xml:space="preserve">, </w:t>
      </w:r>
      <w:r w:rsidR="005E216F" w:rsidRPr="00EC6783">
        <w:rPr>
          <w:rFonts w:ascii="Palatino Linotype" w:eastAsia="Palatino Linotype" w:hAnsi="Palatino Linotype" w:cs="Palatino Linotype"/>
          <w:color w:val="000000"/>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0F1B65" w:rsidRPr="00EC6783" w:rsidRDefault="000F1B65">
      <w:pPr>
        <w:spacing w:line="360" w:lineRule="auto"/>
        <w:ind w:right="49"/>
        <w:jc w:val="both"/>
        <w:rPr>
          <w:rFonts w:ascii="Palatino Linotype" w:eastAsia="Palatino Linotype" w:hAnsi="Palatino Linotype" w:cs="Palatino Linotype"/>
          <w:sz w:val="22"/>
          <w:szCs w:val="22"/>
        </w:rPr>
      </w:pPr>
    </w:p>
    <w:p w:rsidR="000F1B65" w:rsidRPr="00EC6783"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color w:val="000000"/>
          <w:sz w:val="22"/>
          <w:szCs w:val="22"/>
        </w:rPr>
        <w:lastRenderedPageBreak/>
        <w:t xml:space="preserve">En este sentido, para </w:t>
      </w:r>
      <w:r w:rsidRPr="00EC6783">
        <w:rPr>
          <w:rFonts w:ascii="Palatino Linotype" w:eastAsia="Palatino Linotype" w:hAnsi="Palatino Linotype" w:cs="Palatino Linotype"/>
          <w:sz w:val="22"/>
          <w:szCs w:val="22"/>
        </w:rPr>
        <w:t>atender las solicitudes de información, los Sujetos Obligados contarán con un área denominada Unidad de Transparencia</w:t>
      </w:r>
      <w:r w:rsidRPr="00EC6783">
        <w:rPr>
          <w:rFonts w:ascii="Palatino Linotype" w:eastAsia="Palatino Linotype" w:hAnsi="Palatino Linotype" w:cs="Palatino Linotype"/>
          <w:sz w:val="22"/>
          <w:szCs w:val="22"/>
          <w:vertAlign w:val="superscript"/>
        </w:rPr>
        <w:footnoteReference w:id="1"/>
      </w:r>
      <w:r w:rsidRPr="00EC6783">
        <w:rPr>
          <w:rFonts w:ascii="Palatino Linotype" w:eastAsia="Palatino Linotype" w:hAnsi="Palatino Linotype" w:cs="Palatino Linotype"/>
          <w:sz w:val="22"/>
          <w:szCs w:val="22"/>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EC6783">
        <w:rPr>
          <w:rFonts w:ascii="Palatino Linotype" w:eastAsia="Palatino Linotype" w:hAnsi="Palatino Linotype" w:cs="Palatino Linotype"/>
          <w:b/>
          <w:sz w:val="22"/>
          <w:szCs w:val="22"/>
        </w:rPr>
        <w:t xml:space="preserve"> </w:t>
      </w:r>
      <w:r w:rsidRPr="00EC6783">
        <w:rPr>
          <w:rFonts w:ascii="Palatino Linotype" w:eastAsia="Palatino Linotype" w:hAnsi="Palatino Linotype" w:cs="Palatino Linotype"/>
          <w:sz w:val="22"/>
          <w:szCs w:val="22"/>
        </w:rPr>
        <w:t>en los términos de la Ley General y la Ley de Transparencia y Acceso a la Información Pública del Estado de México y Municipios</w:t>
      </w:r>
      <w:r w:rsidRPr="00EC6783">
        <w:rPr>
          <w:rFonts w:ascii="Palatino Linotype" w:eastAsia="Palatino Linotype" w:hAnsi="Palatino Linotype" w:cs="Palatino Linotype"/>
          <w:sz w:val="22"/>
          <w:szCs w:val="22"/>
          <w:vertAlign w:val="superscript"/>
        </w:rPr>
        <w:footnoteReference w:id="2"/>
      </w:r>
      <w:r w:rsidRPr="00EC6783">
        <w:rPr>
          <w:rFonts w:ascii="Palatino Linotype" w:eastAsia="Palatino Linotype" w:hAnsi="Palatino Linotype" w:cs="Palatino Linotype"/>
          <w:sz w:val="22"/>
          <w:szCs w:val="22"/>
        </w:rPr>
        <w:t>.</w:t>
      </w:r>
    </w:p>
    <w:p w:rsidR="000F1B65" w:rsidRPr="00EC6783" w:rsidRDefault="000F1B65">
      <w:pPr>
        <w:rPr>
          <w:rFonts w:ascii="Palatino Linotype" w:eastAsia="Palatino Linotype" w:hAnsi="Palatino Linotype" w:cs="Palatino Linotype"/>
          <w:color w:val="000000"/>
          <w:sz w:val="22"/>
          <w:szCs w:val="22"/>
        </w:rPr>
      </w:pPr>
    </w:p>
    <w:p w:rsidR="000F1B65" w:rsidRPr="00EC6783"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color w:val="000000"/>
          <w:sz w:val="22"/>
          <w:szCs w:val="22"/>
        </w:rPr>
        <w:t>De conformidad con lo dispuesto en la Ley de Transparencia y Acceso a la Información Pública del Estado de México y Municipios, las Unidades de Transparencia tendrán, entre sus atribuciones, las siguientes:</w:t>
      </w:r>
    </w:p>
    <w:p w:rsidR="000F1B65" w:rsidRPr="00EC6783" w:rsidRDefault="005E216F">
      <w:pPr>
        <w:numPr>
          <w:ilvl w:val="1"/>
          <w:numId w:val="7"/>
        </w:numPr>
        <w:pBdr>
          <w:top w:val="nil"/>
          <w:left w:val="nil"/>
          <w:bottom w:val="nil"/>
          <w:right w:val="nil"/>
          <w:between w:val="nil"/>
        </w:pBdr>
        <w:spacing w:before="240"/>
        <w:ind w:left="709" w:right="616" w:hanging="142"/>
        <w:jc w:val="both"/>
        <w:rPr>
          <w:rFonts w:ascii="Palatino Linotype" w:eastAsia="Palatino Linotype" w:hAnsi="Palatino Linotype" w:cs="Palatino Linotype"/>
          <w:color w:val="000000"/>
          <w:sz w:val="22"/>
          <w:szCs w:val="22"/>
        </w:rPr>
      </w:pPr>
      <w:r w:rsidRPr="00EC6783">
        <w:rPr>
          <w:rFonts w:ascii="Palatino Linotype" w:eastAsia="Palatino Linotype" w:hAnsi="Palatino Linotype" w:cs="Palatino Linotype"/>
          <w:color w:val="000000"/>
          <w:sz w:val="22"/>
          <w:szCs w:val="22"/>
        </w:rPr>
        <w:t>Recibir, tramitar y dar respuesta a las solicitudes de acceso a la información;</w:t>
      </w:r>
    </w:p>
    <w:p w:rsidR="000F1B65" w:rsidRPr="00EC6783" w:rsidRDefault="005E216F">
      <w:pPr>
        <w:numPr>
          <w:ilvl w:val="1"/>
          <w:numId w:val="7"/>
        </w:numPr>
        <w:pBdr>
          <w:top w:val="nil"/>
          <w:left w:val="nil"/>
          <w:bottom w:val="nil"/>
          <w:right w:val="nil"/>
          <w:between w:val="nil"/>
        </w:pBdr>
        <w:ind w:left="709" w:right="616" w:hanging="142"/>
        <w:jc w:val="both"/>
        <w:rPr>
          <w:rFonts w:ascii="Palatino Linotype" w:eastAsia="Palatino Linotype" w:hAnsi="Palatino Linotype" w:cs="Palatino Linotype"/>
          <w:color w:val="000000"/>
          <w:sz w:val="22"/>
          <w:szCs w:val="22"/>
        </w:rPr>
      </w:pPr>
      <w:r w:rsidRPr="00EC6783">
        <w:rPr>
          <w:rFonts w:ascii="Palatino Linotype" w:eastAsia="Palatino Linotype" w:hAnsi="Palatino Linotype" w:cs="Palatino Linotype"/>
          <w:color w:val="000000"/>
          <w:sz w:val="22"/>
          <w:szCs w:val="22"/>
        </w:rPr>
        <w:t xml:space="preserve">Realizar, con efectividad, los trámites internos necesarios para la atención de las solicitudes de acceso a la información; </w:t>
      </w:r>
    </w:p>
    <w:p w:rsidR="000F1B65" w:rsidRPr="00EC6783" w:rsidRDefault="005E216F">
      <w:pPr>
        <w:numPr>
          <w:ilvl w:val="1"/>
          <w:numId w:val="7"/>
        </w:numPr>
        <w:pBdr>
          <w:top w:val="nil"/>
          <w:left w:val="nil"/>
          <w:bottom w:val="nil"/>
          <w:right w:val="nil"/>
          <w:between w:val="nil"/>
        </w:pBdr>
        <w:ind w:left="709" w:right="616" w:hanging="142"/>
        <w:jc w:val="both"/>
        <w:rPr>
          <w:rFonts w:ascii="Palatino Linotype" w:eastAsia="Palatino Linotype" w:hAnsi="Palatino Linotype" w:cs="Palatino Linotype"/>
          <w:color w:val="000000"/>
          <w:sz w:val="22"/>
          <w:szCs w:val="22"/>
        </w:rPr>
      </w:pPr>
      <w:r w:rsidRPr="00EC6783">
        <w:rPr>
          <w:rFonts w:ascii="Palatino Linotype" w:eastAsia="Palatino Linotype" w:hAnsi="Palatino Linotype" w:cs="Palatino Linotype"/>
          <w:color w:val="000000"/>
          <w:sz w:val="22"/>
          <w:szCs w:val="22"/>
        </w:rPr>
        <w:t xml:space="preserve">Entregar, en su caso, a los particulares la información solicitada; y </w:t>
      </w:r>
    </w:p>
    <w:p w:rsidR="000F1B65" w:rsidRPr="00EC6783" w:rsidRDefault="005E216F">
      <w:pPr>
        <w:numPr>
          <w:ilvl w:val="1"/>
          <w:numId w:val="7"/>
        </w:numPr>
        <w:pBdr>
          <w:top w:val="nil"/>
          <w:left w:val="nil"/>
          <w:bottom w:val="nil"/>
          <w:right w:val="nil"/>
          <w:between w:val="nil"/>
        </w:pBdr>
        <w:spacing w:after="240"/>
        <w:ind w:left="709" w:right="616" w:hanging="142"/>
        <w:jc w:val="both"/>
        <w:rPr>
          <w:rFonts w:ascii="Palatino Linotype" w:eastAsia="Palatino Linotype" w:hAnsi="Palatino Linotype" w:cs="Palatino Linotype"/>
          <w:color w:val="000000"/>
          <w:sz w:val="22"/>
          <w:szCs w:val="22"/>
        </w:rPr>
      </w:pPr>
      <w:r w:rsidRPr="00EC6783">
        <w:rPr>
          <w:rFonts w:ascii="Palatino Linotype" w:eastAsia="Palatino Linotype" w:hAnsi="Palatino Linotype" w:cs="Palatino Linotype"/>
          <w:color w:val="000000"/>
          <w:sz w:val="22"/>
          <w:szCs w:val="22"/>
        </w:rPr>
        <w:t>Efectuar las notificaciones a los solicitantes.</w:t>
      </w:r>
    </w:p>
    <w:p w:rsidR="000F1B65" w:rsidRPr="00EC6783" w:rsidRDefault="000F1B65">
      <w:pPr>
        <w:spacing w:line="360" w:lineRule="auto"/>
        <w:ind w:right="49"/>
        <w:jc w:val="both"/>
        <w:rPr>
          <w:rFonts w:ascii="Palatino Linotype" w:eastAsia="Palatino Linotype" w:hAnsi="Palatino Linotype" w:cs="Palatino Linotype"/>
          <w:sz w:val="22"/>
          <w:szCs w:val="22"/>
        </w:rPr>
      </w:pPr>
    </w:p>
    <w:p w:rsidR="000F1B65" w:rsidRPr="00EC6783"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color w:val="000000"/>
          <w:sz w:val="22"/>
          <w:szCs w:val="22"/>
        </w:rPr>
        <w:t xml:space="preserve">Otros sujetos del proceso de atención a las solicitudes de información son los servidores públicos habilitados, quienes serán designados por el titular del </w:t>
      </w:r>
      <w:r w:rsidRPr="00EC6783">
        <w:rPr>
          <w:rFonts w:ascii="Palatino Linotype" w:eastAsia="Palatino Linotype" w:hAnsi="Palatino Linotype" w:cs="Palatino Linotype"/>
          <w:b/>
          <w:color w:val="000000"/>
          <w:sz w:val="22"/>
          <w:szCs w:val="22"/>
        </w:rPr>
        <w:t xml:space="preserve">SUJETO OBLIGADO </w:t>
      </w:r>
      <w:r w:rsidRPr="00EC6783">
        <w:rPr>
          <w:rFonts w:ascii="Palatino Linotype" w:eastAsia="Palatino Linotype" w:hAnsi="Palatino Linotype" w:cs="Palatino Linotype"/>
          <w:color w:val="000000"/>
          <w:sz w:val="22"/>
          <w:szCs w:val="22"/>
        </w:rPr>
        <w:t>a propuesta del responsable de la Unidad de Transparencia</w:t>
      </w:r>
      <w:r w:rsidRPr="00EC6783">
        <w:rPr>
          <w:rFonts w:ascii="Palatino Linotype" w:eastAsia="Palatino Linotype" w:hAnsi="Palatino Linotype" w:cs="Palatino Linotype"/>
          <w:color w:val="000000"/>
          <w:sz w:val="22"/>
          <w:szCs w:val="22"/>
          <w:vertAlign w:val="superscript"/>
        </w:rPr>
        <w:footnoteReference w:id="3"/>
      </w:r>
      <w:r w:rsidRPr="00EC6783">
        <w:rPr>
          <w:rFonts w:ascii="Palatino Linotype" w:eastAsia="Palatino Linotype" w:hAnsi="Palatino Linotype" w:cs="Palatino Linotype"/>
          <w:color w:val="000000"/>
          <w:sz w:val="22"/>
          <w:szCs w:val="22"/>
        </w:rPr>
        <w:t xml:space="preserve"> y tendrán, entre sus atribuciones, las siguientes</w:t>
      </w:r>
      <w:r w:rsidRPr="00EC6783">
        <w:rPr>
          <w:rFonts w:ascii="Palatino Linotype" w:eastAsia="Palatino Linotype" w:hAnsi="Palatino Linotype" w:cs="Palatino Linotype"/>
          <w:color w:val="000000"/>
          <w:sz w:val="22"/>
          <w:szCs w:val="22"/>
          <w:vertAlign w:val="superscript"/>
        </w:rPr>
        <w:footnoteReference w:id="4"/>
      </w:r>
      <w:r w:rsidRPr="00EC6783">
        <w:rPr>
          <w:rFonts w:ascii="Palatino Linotype" w:eastAsia="Palatino Linotype" w:hAnsi="Palatino Linotype" w:cs="Palatino Linotype"/>
          <w:color w:val="000000"/>
          <w:sz w:val="22"/>
          <w:szCs w:val="22"/>
        </w:rPr>
        <w:t>:</w:t>
      </w:r>
    </w:p>
    <w:p w:rsidR="000F1B65" w:rsidRPr="00EC6783" w:rsidRDefault="005E216F">
      <w:pPr>
        <w:numPr>
          <w:ilvl w:val="1"/>
          <w:numId w:val="8"/>
        </w:numPr>
        <w:pBdr>
          <w:top w:val="nil"/>
          <w:left w:val="nil"/>
          <w:bottom w:val="nil"/>
          <w:right w:val="nil"/>
          <w:between w:val="nil"/>
        </w:pBdr>
        <w:spacing w:before="240"/>
        <w:ind w:left="709" w:right="565" w:hanging="142"/>
        <w:jc w:val="both"/>
        <w:rPr>
          <w:rFonts w:ascii="Palatino Linotype" w:eastAsia="Palatino Linotype" w:hAnsi="Palatino Linotype" w:cs="Palatino Linotype"/>
          <w:color w:val="000000"/>
          <w:sz w:val="22"/>
          <w:szCs w:val="22"/>
        </w:rPr>
      </w:pPr>
      <w:r w:rsidRPr="00EC6783">
        <w:rPr>
          <w:rFonts w:ascii="Palatino Linotype" w:eastAsia="Palatino Linotype" w:hAnsi="Palatino Linotype" w:cs="Palatino Linotype"/>
          <w:color w:val="000000"/>
          <w:sz w:val="22"/>
          <w:szCs w:val="22"/>
        </w:rPr>
        <w:t>Localizar la información que le solicite la Unidad de Transparencia;</w:t>
      </w:r>
      <w:r w:rsidRPr="00EC6783">
        <w:rPr>
          <w:rFonts w:ascii="Palatino Linotype" w:eastAsia="Palatino Linotype" w:hAnsi="Palatino Linotype" w:cs="Palatino Linotype"/>
          <w:sz w:val="22"/>
          <w:szCs w:val="22"/>
        </w:rPr>
        <w:t xml:space="preserve"> </w:t>
      </w:r>
      <w:r w:rsidRPr="00EC6783">
        <w:rPr>
          <w:rFonts w:ascii="Palatino Linotype" w:eastAsia="Palatino Linotype" w:hAnsi="Palatino Linotype" w:cs="Palatino Linotype"/>
          <w:color w:val="000000"/>
          <w:sz w:val="22"/>
          <w:szCs w:val="22"/>
        </w:rPr>
        <w:t>y</w:t>
      </w:r>
    </w:p>
    <w:p w:rsidR="000F1B65" w:rsidRPr="00EC6783" w:rsidRDefault="005E216F">
      <w:pPr>
        <w:numPr>
          <w:ilvl w:val="1"/>
          <w:numId w:val="8"/>
        </w:numPr>
        <w:pBdr>
          <w:top w:val="nil"/>
          <w:left w:val="nil"/>
          <w:bottom w:val="nil"/>
          <w:right w:val="nil"/>
          <w:between w:val="nil"/>
        </w:pBdr>
        <w:spacing w:after="240"/>
        <w:ind w:left="709" w:right="565" w:hanging="142"/>
        <w:jc w:val="both"/>
        <w:rPr>
          <w:rFonts w:ascii="Palatino Linotype" w:eastAsia="Palatino Linotype" w:hAnsi="Palatino Linotype" w:cs="Palatino Linotype"/>
          <w:color w:val="000000"/>
          <w:sz w:val="22"/>
          <w:szCs w:val="22"/>
        </w:rPr>
      </w:pPr>
      <w:r w:rsidRPr="00EC6783">
        <w:rPr>
          <w:rFonts w:ascii="Palatino Linotype" w:eastAsia="Palatino Linotype" w:hAnsi="Palatino Linotype" w:cs="Palatino Linotype"/>
          <w:color w:val="000000"/>
          <w:sz w:val="22"/>
          <w:szCs w:val="22"/>
        </w:rPr>
        <w:lastRenderedPageBreak/>
        <w:t>Proporcionar la información que obre en los archivos y que le sea solicitada por la Unidad de Transparencia.</w:t>
      </w:r>
    </w:p>
    <w:p w:rsidR="000F1B65" w:rsidRPr="00EC6783" w:rsidRDefault="000F1B65">
      <w:pPr>
        <w:spacing w:line="360" w:lineRule="auto"/>
        <w:ind w:right="49"/>
        <w:jc w:val="both"/>
        <w:rPr>
          <w:rFonts w:ascii="Palatino Linotype" w:eastAsia="Palatino Linotype" w:hAnsi="Palatino Linotype" w:cs="Palatino Linotype"/>
          <w:sz w:val="22"/>
          <w:szCs w:val="22"/>
        </w:rPr>
      </w:pPr>
    </w:p>
    <w:p w:rsidR="000F1B65" w:rsidRPr="00EC6783"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color w:val="000000"/>
          <w:sz w:val="22"/>
          <w:szCs w:val="22"/>
        </w:rPr>
        <w:t xml:space="preserve">De tal manera que cada una de las áreas administrativas del </w:t>
      </w:r>
      <w:r w:rsidRPr="00EC6783">
        <w:rPr>
          <w:rFonts w:ascii="Palatino Linotype" w:eastAsia="Palatino Linotype" w:hAnsi="Palatino Linotype" w:cs="Palatino Linotype"/>
          <w:b/>
          <w:color w:val="000000"/>
          <w:sz w:val="22"/>
          <w:szCs w:val="22"/>
        </w:rPr>
        <w:t>SUJETO OBLIGADO</w:t>
      </w:r>
      <w:r w:rsidRPr="00EC6783">
        <w:rPr>
          <w:rFonts w:ascii="Palatino Linotype" w:eastAsia="Palatino Linotype" w:hAnsi="Palatino Linotype" w:cs="Palatino Linotype"/>
          <w:color w:val="000000"/>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0F1B65" w:rsidRPr="00EC6783" w:rsidRDefault="000F1B65">
      <w:pPr>
        <w:spacing w:line="360" w:lineRule="auto"/>
        <w:ind w:right="49"/>
        <w:jc w:val="both"/>
        <w:rPr>
          <w:rFonts w:ascii="Palatino Linotype" w:eastAsia="Palatino Linotype" w:hAnsi="Palatino Linotype" w:cs="Palatino Linotype"/>
          <w:sz w:val="22"/>
          <w:szCs w:val="22"/>
        </w:rPr>
      </w:pPr>
    </w:p>
    <w:p w:rsidR="000F1B65" w:rsidRPr="00EC6783"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color w:val="000000"/>
          <w:sz w:val="22"/>
          <w:szCs w:val="22"/>
        </w:rPr>
        <w:t>Aunado a lo anterior, la Ley de Transparencia y Acceso a la Información Pública del Estado de México y Municipios, en su artículo 53, establece las funciones correspondientes a esta Unidad; mismas que se inserta a continuación:</w:t>
      </w:r>
    </w:p>
    <w:p w:rsidR="000F1B65" w:rsidRPr="00EC6783" w:rsidRDefault="005E216F">
      <w:pPr>
        <w:pBdr>
          <w:top w:val="nil"/>
          <w:left w:val="nil"/>
          <w:bottom w:val="nil"/>
          <w:right w:val="nil"/>
          <w:between w:val="nil"/>
        </w:pBdr>
        <w:tabs>
          <w:tab w:val="left" w:pos="426"/>
        </w:tabs>
        <w:spacing w:before="240"/>
        <w:ind w:left="567" w:right="616"/>
        <w:jc w:val="both"/>
        <w:rPr>
          <w:rFonts w:ascii="Palatino Linotype" w:eastAsia="Palatino Linotype" w:hAnsi="Palatino Linotype" w:cs="Palatino Linotype"/>
          <w:i/>
          <w:color w:val="000000"/>
          <w:sz w:val="22"/>
          <w:szCs w:val="22"/>
        </w:rPr>
      </w:pPr>
      <w:r w:rsidRPr="00EC6783">
        <w:rPr>
          <w:rFonts w:ascii="Palatino Linotype" w:eastAsia="Palatino Linotype" w:hAnsi="Palatino Linotype" w:cs="Palatino Linotype"/>
          <w:b/>
          <w:i/>
          <w:color w:val="000000"/>
          <w:sz w:val="22"/>
          <w:szCs w:val="22"/>
        </w:rPr>
        <w:t>“Artículo 53</w:t>
      </w:r>
      <w:r w:rsidRPr="00EC6783">
        <w:rPr>
          <w:rFonts w:ascii="Palatino Linotype" w:eastAsia="Palatino Linotype" w:hAnsi="Palatino Linotype" w:cs="Palatino Linotype"/>
          <w:i/>
          <w:color w:val="000000"/>
          <w:sz w:val="22"/>
          <w:szCs w:val="22"/>
        </w:rPr>
        <w:t xml:space="preserve">. Las Unidades de Transparencia tendrán las siguientes funciones: </w:t>
      </w:r>
    </w:p>
    <w:p w:rsidR="000F1B65" w:rsidRPr="00EC6783" w:rsidRDefault="000F1B65">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p>
    <w:p w:rsidR="000F1B65" w:rsidRPr="00EC6783"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EC6783">
        <w:rPr>
          <w:rFonts w:ascii="Palatino Linotype" w:eastAsia="Palatino Linotype" w:hAnsi="Palatino Linotype" w:cs="Palatino Linotype"/>
          <w:i/>
          <w:color w:val="000000"/>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0F1B65" w:rsidRPr="00EC6783"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b/>
          <w:i/>
          <w:color w:val="000000"/>
          <w:sz w:val="22"/>
          <w:szCs w:val="22"/>
        </w:rPr>
      </w:pPr>
      <w:r w:rsidRPr="00EC6783">
        <w:rPr>
          <w:rFonts w:ascii="Palatino Linotype" w:eastAsia="Palatino Linotype" w:hAnsi="Palatino Linotype" w:cs="Palatino Linotype"/>
          <w:b/>
          <w:i/>
          <w:color w:val="000000"/>
          <w:sz w:val="22"/>
          <w:szCs w:val="22"/>
        </w:rPr>
        <w:t xml:space="preserve">II. Recibir, tramitar y dar respuesta a las solicitudes de acceso a la información; </w:t>
      </w:r>
    </w:p>
    <w:p w:rsidR="000F1B65" w:rsidRPr="00EC6783"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EC6783">
        <w:rPr>
          <w:rFonts w:ascii="Palatino Linotype" w:eastAsia="Palatino Linotype" w:hAnsi="Palatino Linotype" w:cs="Palatino Linotype"/>
          <w:i/>
          <w:color w:val="000000"/>
          <w:sz w:val="22"/>
          <w:szCs w:val="22"/>
        </w:rPr>
        <w:t xml:space="preserve">III. Auxiliar a los particulares en la elaboración de solicitudes de acceso a la información y, en su caso, orientarlos sobre los sujetos obligados competentes conforme a la normatividad aplicable; </w:t>
      </w:r>
    </w:p>
    <w:p w:rsidR="000F1B65" w:rsidRPr="00EC6783"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b/>
          <w:i/>
          <w:color w:val="000000"/>
          <w:sz w:val="22"/>
          <w:szCs w:val="22"/>
        </w:rPr>
      </w:pPr>
      <w:r w:rsidRPr="00EC6783">
        <w:rPr>
          <w:rFonts w:ascii="Palatino Linotype" w:eastAsia="Palatino Linotype" w:hAnsi="Palatino Linotype" w:cs="Palatino Linotype"/>
          <w:b/>
          <w:i/>
          <w:color w:val="000000"/>
          <w:sz w:val="22"/>
          <w:szCs w:val="22"/>
        </w:rPr>
        <w:t xml:space="preserve">IV. Realizar, con efectividad, los trámites internos necesarios para la atención de las solicitudes de acceso a la información; </w:t>
      </w:r>
    </w:p>
    <w:p w:rsidR="000F1B65" w:rsidRPr="00EC6783"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EC6783">
        <w:rPr>
          <w:rFonts w:ascii="Palatino Linotype" w:eastAsia="Palatino Linotype" w:hAnsi="Palatino Linotype" w:cs="Palatino Linotype"/>
          <w:i/>
          <w:color w:val="000000"/>
          <w:sz w:val="22"/>
          <w:szCs w:val="22"/>
        </w:rPr>
        <w:t xml:space="preserve">V. Entregar, en su caso, a los particulares la información solicitada; </w:t>
      </w:r>
    </w:p>
    <w:p w:rsidR="000F1B65" w:rsidRPr="00EC6783"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EC6783">
        <w:rPr>
          <w:rFonts w:ascii="Palatino Linotype" w:eastAsia="Palatino Linotype" w:hAnsi="Palatino Linotype" w:cs="Palatino Linotype"/>
          <w:i/>
          <w:color w:val="000000"/>
          <w:sz w:val="22"/>
          <w:szCs w:val="22"/>
        </w:rPr>
        <w:t xml:space="preserve">VI. Efectuar las notificaciones a los solicitantes; </w:t>
      </w:r>
    </w:p>
    <w:p w:rsidR="000F1B65" w:rsidRPr="00EC6783"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EC6783">
        <w:rPr>
          <w:rFonts w:ascii="Palatino Linotype" w:eastAsia="Palatino Linotype" w:hAnsi="Palatino Linotype" w:cs="Palatino Linotype"/>
          <w:i/>
          <w:color w:val="000000"/>
          <w:sz w:val="22"/>
          <w:szCs w:val="22"/>
        </w:rPr>
        <w:t xml:space="preserve">VII. Proponer al Comité de Transparencia, los procedimientos internos que aseguren la mayor eficiencia en la gestión de las solicitudes de acceso a la información, conforme a la normatividad aplicable; </w:t>
      </w:r>
    </w:p>
    <w:p w:rsidR="000F1B65" w:rsidRPr="00EC6783"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EC6783">
        <w:rPr>
          <w:rFonts w:ascii="Palatino Linotype" w:eastAsia="Palatino Linotype" w:hAnsi="Palatino Linotype" w:cs="Palatino Linotype"/>
          <w:i/>
          <w:color w:val="000000"/>
          <w:sz w:val="22"/>
          <w:szCs w:val="22"/>
        </w:rPr>
        <w:t xml:space="preserve">VIII. Proponer a quien preside el Comité de Transparencia, personal habilitado que sea necesario para recibir y dar trámite a las solicitudes de acceso a la información; </w:t>
      </w:r>
    </w:p>
    <w:p w:rsidR="000F1B65" w:rsidRPr="00EC6783"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b/>
          <w:i/>
          <w:color w:val="000000"/>
          <w:sz w:val="22"/>
          <w:szCs w:val="22"/>
        </w:rPr>
      </w:pPr>
      <w:r w:rsidRPr="00EC6783">
        <w:rPr>
          <w:rFonts w:ascii="Palatino Linotype" w:eastAsia="Palatino Linotype" w:hAnsi="Palatino Linotype" w:cs="Palatino Linotype"/>
          <w:b/>
          <w:i/>
          <w:color w:val="000000"/>
          <w:sz w:val="22"/>
          <w:szCs w:val="22"/>
        </w:rPr>
        <w:lastRenderedPageBreak/>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0F1B65" w:rsidRPr="00EC6783"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EC6783">
        <w:rPr>
          <w:rFonts w:ascii="Palatino Linotype" w:eastAsia="Palatino Linotype" w:hAnsi="Palatino Linotype" w:cs="Palatino Linotype"/>
          <w:i/>
          <w:color w:val="000000"/>
          <w:sz w:val="22"/>
          <w:szCs w:val="22"/>
        </w:rPr>
        <w:t xml:space="preserve">X. Presentar ante el Comité, el proyecto de clasificación de información; </w:t>
      </w:r>
    </w:p>
    <w:p w:rsidR="000F1B65" w:rsidRPr="00EC6783"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EC6783">
        <w:rPr>
          <w:rFonts w:ascii="Palatino Linotype" w:eastAsia="Palatino Linotype" w:hAnsi="Palatino Linotype" w:cs="Palatino Linotype"/>
          <w:i/>
          <w:color w:val="000000"/>
          <w:sz w:val="22"/>
          <w:szCs w:val="22"/>
        </w:rPr>
        <w:t xml:space="preserve">XI. Promover e implementar políticas de transparencia proactiva procurando su accesibilidad; </w:t>
      </w:r>
    </w:p>
    <w:p w:rsidR="000F1B65" w:rsidRPr="00EC6783"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EC6783">
        <w:rPr>
          <w:rFonts w:ascii="Palatino Linotype" w:eastAsia="Palatino Linotype" w:hAnsi="Palatino Linotype" w:cs="Palatino Linotype"/>
          <w:i/>
          <w:color w:val="000000"/>
          <w:sz w:val="22"/>
          <w:szCs w:val="22"/>
        </w:rPr>
        <w:t xml:space="preserve">XII. Fomentar la transparencia y accesibilidad al interior del sujeto obligado; </w:t>
      </w:r>
    </w:p>
    <w:p w:rsidR="000F1B65" w:rsidRPr="00EC6783"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EC6783">
        <w:rPr>
          <w:rFonts w:ascii="Palatino Linotype" w:eastAsia="Palatino Linotype" w:hAnsi="Palatino Linotype" w:cs="Palatino Linotype"/>
          <w:i/>
          <w:color w:val="000000"/>
          <w:sz w:val="22"/>
          <w:szCs w:val="22"/>
        </w:rPr>
        <w:t>XIII. Hacer del conocimiento de la instancia competente la probable responsabilidad por el incumplimiento de las obligaciones previstas en la presente Ley; y</w:t>
      </w:r>
    </w:p>
    <w:p w:rsidR="000F1B65" w:rsidRPr="00EC6783" w:rsidRDefault="005E216F">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EC6783">
        <w:rPr>
          <w:rFonts w:ascii="Palatino Linotype" w:eastAsia="Palatino Linotype" w:hAnsi="Palatino Linotype" w:cs="Palatino Linotype"/>
          <w:i/>
          <w:color w:val="000000"/>
          <w:sz w:val="22"/>
          <w:szCs w:val="22"/>
        </w:rPr>
        <w:t>XIV. Las demás que resulten necesarias para facilitar el acceso a la información y aquellas que se desprenden de la presente Ley y demás disposiciones jurídicas aplicables. (…)</w:t>
      </w:r>
    </w:p>
    <w:p w:rsidR="000F1B65" w:rsidRPr="00EC6783" w:rsidRDefault="005E216F">
      <w:pPr>
        <w:pBdr>
          <w:top w:val="nil"/>
          <w:left w:val="nil"/>
          <w:bottom w:val="nil"/>
          <w:right w:val="nil"/>
          <w:between w:val="nil"/>
        </w:pBdr>
        <w:tabs>
          <w:tab w:val="left" w:pos="426"/>
        </w:tabs>
        <w:spacing w:after="240"/>
        <w:ind w:left="567" w:right="616"/>
        <w:jc w:val="both"/>
        <w:rPr>
          <w:rFonts w:ascii="Palatino Linotype" w:eastAsia="Palatino Linotype" w:hAnsi="Palatino Linotype" w:cs="Palatino Linotype"/>
          <w:i/>
          <w:color w:val="000000"/>
          <w:sz w:val="22"/>
          <w:szCs w:val="22"/>
        </w:rPr>
      </w:pPr>
      <w:r w:rsidRPr="00EC6783">
        <w:rPr>
          <w:rFonts w:ascii="Palatino Linotype" w:eastAsia="Palatino Linotype" w:hAnsi="Palatino Linotype" w:cs="Palatino Linotype"/>
          <w:i/>
          <w:color w:val="000000"/>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rsidR="000F1B65" w:rsidRPr="00EC6783" w:rsidRDefault="000F1B65">
      <w:pPr>
        <w:rPr>
          <w:rFonts w:ascii="Palatino Linotype" w:eastAsia="Palatino Linotype" w:hAnsi="Palatino Linotype" w:cs="Palatino Linotype"/>
          <w:color w:val="000000"/>
          <w:sz w:val="22"/>
          <w:szCs w:val="22"/>
        </w:rPr>
      </w:pPr>
    </w:p>
    <w:p w:rsidR="000F1B65" w:rsidRPr="00EC6783"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color w:val="000000"/>
          <w:sz w:val="22"/>
          <w:szCs w:val="22"/>
        </w:rPr>
        <w:t xml:space="preserve">De lo expuesto y con relación a lo solicitado, se tiene que, en efecto, la Unidad de Transparencia es la encargada de </w:t>
      </w:r>
      <w:r w:rsidRPr="00EC6783">
        <w:rPr>
          <w:rFonts w:ascii="Palatino Linotype" w:eastAsia="Palatino Linotype" w:hAnsi="Palatino Linotype" w:cs="Palatino Linotype"/>
          <w:sz w:val="22"/>
          <w:szCs w:val="22"/>
        </w:rPr>
        <w:t xml:space="preserve">recibir, tramitar y dar respuesta a las solicitudes de acceso a la información. Así, en el presente caso, se advierte que el Titular de la Unidad de Transparencia turnar la solicitud de información al </w:t>
      </w:r>
      <w:r w:rsidRPr="00EC6783">
        <w:rPr>
          <w:rFonts w:ascii="Palatino Linotype" w:eastAsia="Palatino Linotype" w:hAnsi="Palatino Linotype" w:cs="Palatino Linotype"/>
          <w:b/>
          <w:sz w:val="22"/>
          <w:szCs w:val="22"/>
        </w:rPr>
        <w:t xml:space="preserve">Servidor Público Habilitado de la Dirección Académica, </w:t>
      </w:r>
      <w:r w:rsidRPr="00EC6783">
        <w:rPr>
          <w:rFonts w:ascii="Palatino Linotype" w:eastAsia="Palatino Linotype" w:hAnsi="Palatino Linotype" w:cs="Palatino Linotype"/>
          <w:sz w:val="22"/>
          <w:szCs w:val="22"/>
        </w:rPr>
        <w:t>como se observa.</w:t>
      </w:r>
    </w:p>
    <w:p w:rsidR="000F1B65" w:rsidRPr="00EC6783" w:rsidRDefault="000F1B65" w:rsidP="003E212D">
      <w:pPr>
        <w:spacing w:line="360" w:lineRule="auto"/>
        <w:ind w:right="49"/>
        <w:jc w:val="both"/>
        <w:rPr>
          <w:rFonts w:ascii="Palatino Linotype" w:eastAsia="Palatino Linotype" w:hAnsi="Palatino Linotype" w:cs="Palatino Linotype"/>
          <w:sz w:val="22"/>
          <w:szCs w:val="22"/>
        </w:rPr>
      </w:pPr>
    </w:p>
    <w:p w:rsidR="000F1B65" w:rsidRPr="00EC6783" w:rsidRDefault="005E216F">
      <w:pPr>
        <w:spacing w:line="360" w:lineRule="auto"/>
        <w:ind w:right="49"/>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noProof/>
          <w:sz w:val="22"/>
          <w:szCs w:val="22"/>
        </w:rPr>
        <w:drawing>
          <wp:inline distT="0" distB="0" distL="0" distR="0">
            <wp:extent cx="5742940" cy="489585"/>
            <wp:effectExtent l="19050" t="19050" r="10160" b="2476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42940" cy="489585"/>
                    </a:xfrm>
                    <a:prstGeom prst="rect">
                      <a:avLst/>
                    </a:prstGeom>
                    <a:ln>
                      <a:solidFill>
                        <a:schemeClr val="tx1"/>
                      </a:solidFill>
                    </a:ln>
                  </pic:spPr>
                </pic:pic>
              </a:graphicData>
            </a:graphic>
          </wp:inline>
        </w:drawing>
      </w:r>
    </w:p>
    <w:p w:rsidR="000F1B65" w:rsidRPr="00EC6783" w:rsidRDefault="000F1B65">
      <w:pPr>
        <w:spacing w:line="360" w:lineRule="auto"/>
        <w:ind w:right="49"/>
        <w:jc w:val="both"/>
        <w:rPr>
          <w:rFonts w:ascii="Palatino Linotype" w:eastAsia="Palatino Linotype" w:hAnsi="Palatino Linotype" w:cs="Palatino Linotype"/>
          <w:sz w:val="22"/>
          <w:szCs w:val="22"/>
        </w:rPr>
      </w:pPr>
    </w:p>
    <w:p w:rsidR="000F1B65" w:rsidRPr="00EC6783"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color w:val="000000"/>
          <w:sz w:val="22"/>
          <w:szCs w:val="22"/>
        </w:rPr>
        <w:t xml:space="preserve">En este sentido, </w:t>
      </w:r>
      <w:r w:rsidRPr="00EC6783">
        <w:rPr>
          <w:rFonts w:ascii="Palatino Linotype" w:eastAsia="Palatino Linotype" w:hAnsi="Palatino Linotype" w:cs="Palatino Linotype"/>
          <w:sz w:val="22"/>
          <w:szCs w:val="22"/>
        </w:rPr>
        <w:t xml:space="preserve">se reitera que existe un pronunciamiento por parte del </w:t>
      </w:r>
      <w:r w:rsidRPr="00EC6783">
        <w:rPr>
          <w:rFonts w:ascii="Palatino Linotype" w:eastAsia="Palatino Linotype" w:hAnsi="Palatino Linotype" w:cs="Palatino Linotype"/>
          <w:b/>
          <w:sz w:val="22"/>
          <w:szCs w:val="22"/>
        </w:rPr>
        <w:t>SUJETO OBLIGADO</w:t>
      </w:r>
      <w:r w:rsidRPr="00EC6783">
        <w:rPr>
          <w:rFonts w:ascii="Palatino Linotype" w:eastAsia="Palatino Linotype" w:hAnsi="Palatino Linotype" w:cs="Palatino Linotype"/>
          <w:sz w:val="22"/>
          <w:szCs w:val="22"/>
        </w:rPr>
        <w:t xml:space="preserve">, específicamente del Servidor Público Habilitado competente </w:t>
      </w:r>
      <w:r w:rsidRPr="00EC6783">
        <w:rPr>
          <w:rFonts w:ascii="Palatino Linotype" w:eastAsia="Palatino Linotype" w:hAnsi="Palatino Linotype" w:cs="Palatino Linotype"/>
          <w:color w:val="000000"/>
          <w:sz w:val="22"/>
          <w:szCs w:val="22"/>
        </w:rPr>
        <w:t xml:space="preserve">de </w:t>
      </w:r>
      <w:r w:rsidRPr="00EC6783">
        <w:rPr>
          <w:rFonts w:ascii="Palatino Linotype" w:eastAsia="Palatino Linotype" w:hAnsi="Palatino Linotype" w:cs="Palatino Linotype"/>
          <w:b/>
          <w:color w:val="000000"/>
          <w:sz w:val="22"/>
          <w:szCs w:val="22"/>
        </w:rPr>
        <w:t xml:space="preserve">la Dirección </w:t>
      </w:r>
      <w:r w:rsidRPr="00EC6783">
        <w:rPr>
          <w:rFonts w:ascii="Palatino Linotype" w:eastAsia="Palatino Linotype" w:hAnsi="Palatino Linotype" w:cs="Palatino Linotype"/>
          <w:b/>
          <w:color w:val="000000"/>
          <w:sz w:val="22"/>
          <w:szCs w:val="22"/>
        </w:rPr>
        <w:lastRenderedPageBreak/>
        <w:t xml:space="preserve">Académica, </w:t>
      </w:r>
      <w:r w:rsidRPr="00EC6783">
        <w:rPr>
          <w:rFonts w:ascii="Palatino Linotype" w:eastAsia="Palatino Linotype" w:hAnsi="Palatino Linotype" w:cs="Palatino Linotype"/>
          <w:sz w:val="22"/>
          <w:szCs w:val="22"/>
        </w:rPr>
        <w:t>área administrativa que de conformidad con Manual General de Organización del Tecnológico de Estudios Superiores de Coacalco, tiene por objeto, coordinar controlar y evaluar la ejecución de los planes y programas de estudio de licenciatura y posgrado, de los programas de investigación, proyectos de extensión y servicio externo de la institución, así como participar en la certificación de la documentación oficial que avale los estudios profesionales que el Tecnológico ofrece, como son títulos, grados académicos, certificados y diplomas. Asimismo, cuenta con las siguientes funciones:</w:t>
      </w:r>
    </w:p>
    <w:p w:rsidR="00545C40" w:rsidRPr="00EC6783" w:rsidRDefault="00545C40" w:rsidP="00545C40">
      <w:pPr>
        <w:spacing w:line="360" w:lineRule="auto"/>
        <w:ind w:right="49"/>
        <w:jc w:val="both"/>
        <w:rPr>
          <w:rFonts w:ascii="Palatino Linotype" w:eastAsia="Palatino Linotype" w:hAnsi="Palatino Linotype" w:cs="Palatino Linotype"/>
          <w:sz w:val="22"/>
          <w:szCs w:val="22"/>
        </w:rPr>
      </w:pPr>
    </w:p>
    <w:p w:rsidR="000F1B65" w:rsidRPr="00EC6783" w:rsidRDefault="005E216F">
      <w:pPr>
        <w:ind w:left="567" w:right="539"/>
        <w:jc w:val="both"/>
        <w:rPr>
          <w:rFonts w:ascii="Palatino Linotype" w:eastAsia="Palatino Linotype" w:hAnsi="Palatino Linotype" w:cs="Palatino Linotype"/>
          <w:b/>
          <w:i/>
          <w:sz w:val="22"/>
          <w:szCs w:val="22"/>
        </w:rPr>
      </w:pPr>
      <w:r w:rsidRPr="00EC6783">
        <w:rPr>
          <w:rFonts w:ascii="Palatino Linotype" w:eastAsia="Palatino Linotype" w:hAnsi="Palatino Linotype" w:cs="Palatino Linotype"/>
          <w:b/>
          <w:i/>
          <w:sz w:val="22"/>
          <w:szCs w:val="22"/>
        </w:rPr>
        <w:t xml:space="preserve">FUNCIONES: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 xml:space="preserve">-Investigar y coordinar acciones para el mejoramiento continuo de los programas de estudio de licenciatura y posgrado, contribuyendo al óptimo empleo de los recursos en materia de formación profesional.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 xml:space="preserve">-Programar y llevar a cabo los proyectos de extensión institucionales.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 xml:space="preserve">-Coordinar y supervisar los proyectos de investigación y desarrollo tecnológico que se desarrollen en el organismo.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 xml:space="preserve">-Coordinar y participar en el diseño, adecuación e implantación de los planes y programas de estudio, así como en la evaluación curricular de los mismos.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 xml:space="preserve">-Establecer mecanismos básicos para el fortalecimiento del desarrollo curricular, señalando los compromisos del profesorado en materia de investigación para la docencia y para la vinculación entre ambas.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 xml:space="preserve">-Planear y coordinar las actividades de seguimiento y evaluación de los proyectos académicos.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 xml:space="preserve">-Programar, coordinar y supervisar la elaboración de los documentos de evaluación académica requeridos por la Secretaría de Educación Pública y la Secretaría de Educación, así como validar en conjunto con la Subdirección de Planeación y Apoyos Tecnológicos, las estadísticas institucionales solicitadas por estas dependencias.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 xml:space="preserve">-Planear, desarrollar y dirigir programas de formación y actualización del personal docente y de investigación, con el propósito de fortalecer el proceso educativo.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-Organizar, proponer y promover programas de orientación vocacional para el alumnado y de apoyo al desarrollo de sus capacidades y habilidades.</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 xml:space="preserve">-Establecer criterios normativos para la selección y ejecución de proyectos de investigación, en apoyo a los procesos educativos que imparte el Tecnológico.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lastRenderedPageBreak/>
        <w:t xml:space="preserve">-Desarrollar metodologías básicas para la detección de las necesidades de servicios de educación superior, con características específicas de tecnología que demande el mercado laboral de la región.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 xml:space="preserve">-Definir, en coordinación con la Dirección General, los lineamientos, normas y políticas a que deben sujetarse las actividades de docencia, investigación y desarrollo tecnológico.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 xml:space="preserve">-Coordinar, verificar y evaluar la investigación, diseño y utilización de los materiales y auxiliares didácticos requeridos para el desarrollo del proceso educativo.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 xml:space="preserve">-Analizar y evaluar el cumplimiento de los programas de trabajo establecidos para cada una de las unidades administrativas a su cargo.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 xml:space="preserve">-Evaluar el proceso educativo que aplican las Divisiones de Carrera, a fin de impulsar mejoras continuas acordes con las necesidades de la región y las disposiciones en la materia.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 xml:space="preserve">-Propugnar por la celebración de convenios, con el objeto de mejorar o desarrollar los programas académicos de la Institución y lograr una cobertura más amplia de desarrollo institucional.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 xml:space="preserve">-Participar en el Consejo Consultivo Académico del Tecnológico.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 xml:space="preserve">-Participar en el diseño y ejecución de los programas de educación continua del Tecnológico, en coordinación con la Subdirección de Vinculación y Extensión del organismo. </w:t>
      </w:r>
    </w:p>
    <w:p w:rsidR="000F1B65" w:rsidRPr="00EC6783" w:rsidRDefault="005E216F">
      <w:pPr>
        <w:ind w:left="567" w:right="539"/>
        <w:jc w:val="both"/>
        <w:rPr>
          <w:rFonts w:ascii="Palatino Linotype" w:eastAsia="Palatino Linotype" w:hAnsi="Palatino Linotype" w:cs="Palatino Linotype"/>
          <w:i/>
          <w:sz w:val="22"/>
          <w:szCs w:val="22"/>
        </w:rPr>
      </w:pPr>
      <w:r w:rsidRPr="00EC6783">
        <w:rPr>
          <w:rFonts w:ascii="Palatino Linotype" w:eastAsia="Palatino Linotype" w:hAnsi="Palatino Linotype" w:cs="Palatino Linotype"/>
          <w:i/>
          <w:sz w:val="22"/>
          <w:szCs w:val="22"/>
        </w:rPr>
        <w:t>-Desarrollar las demás funciones inherentes al área de su competencia.</w:t>
      </w:r>
    </w:p>
    <w:p w:rsidR="000F1B65" w:rsidRPr="00EC6783" w:rsidRDefault="000F1B65">
      <w:pPr>
        <w:spacing w:line="360" w:lineRule="auto"/>
        <w:ind w:right="49"/>
        <w:jc w:val="both"/>
        <w:rPr>
          <w:rFonts w:ascii="Palatino Linotype" w:eastAsia="Palatino Linotype" w:hAnsi="Palatino Linotype" w:cs="Palatino Linotype"/>
          <w:sz w:val="22"/>
          <w:szCs w:val="22"/>
        </w:rPr>
      </w:pPr>
    </w:p>
    <w:p w:rsidR="000F1B65" w:rsidRPr="00EC6783"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sz w:val="22"/>
          <w:szCs w:val="22"/>
        </w:rPr>
        <w:t xml:space="preserve">Así, con el afán de dar cumplimiento con lo requerido, se reitera que, el </w:t>
      </w:r>
      <w:r w:rsidRPr="00EC6783">
        <w:rPr>
          <w:rFonts w:ascii="Palatino Linotype" w:eastAsia="Palatino Linotype" w:hAnsi="Palatino Linotype" w:cs="Palatino Linotype"/>
          <w:b/>
          <w:sz w:val="22"/>
          <w:szCs w:val="22"/>
        </w:rPr>
        <w:t>SUJETO OBLIGADO</w:t>
      </w:r>
      <w:r w:rsidRPr="00EC6783">
        <w:rPr>
          <w:rFonts w:ascii="Palatino Linotype" w:eastAsia="Palatino Linotype" w:hAnsi="Palatino Linotype" w:cs="Palatino Linotype"/>
          <w:sz w:val="22"/>
          <w:szCs w:val="22"/>
        </w:rPr>
        <w:t xml:space="preserve"> por medio Servidor Público Habilitado competente,</w:t>
      </w:r>
      <w:r w:rsidRPr="00EC6783">
        <w:rPr>
          <w:rFonts w:ascii="Palatino Linotype" w:eastAsia="Palatino Linotype" w:hAnsi="Palatino Linotype" w:cs="Palatino Linotype"/>
          <w:color w:val="000000"/>
          <w:sz w:val="22"/>
          <w:szCs w:val="22"/>
        </w:rPr>
        <w:t xml:space="preserve"> </w:t>
      </w:r>
      <w:r w:rsidRPr="00EC6783">
        <w:rPr>
          <w:rFonts w:ascii="Palatino Linotype" w:eastAsia="Palatino Linotype" w:hAnsi="Palatino Linotype" w:cs="Palatino Linotype"/>
          <w:sz w:val="22"/>
          <w:szCs w:val="22"/>
        </w:rPr>
        <w:t>es dable sostener que, este Instituto no está facultado para manifestarse sobre la veracidad de este, pues no existe precepto legal alguno en la Ley de la materia que lo faculte para que, vía recurso de revisión, pueda pronunciarse al respecto.</w:t>
      </w:r>
    </w:p>
    <w:p w:rsidR="000F1B65" w:rsidRPr="00EC6783" w:rsidRDefault="000F1B65">
      <w:pPr>
        <w:spacing w:line="360" w:lineRule="auto"/>
        <w:ind w:right="49"/>
        <w:jc w:val="both"/>
        <w:rPr>
          <w:rFonts w:ascii="Palatino Linotype" w:eastAsia="Palatino Linotype" w:hAnsi="Palatino Linotype" w:cs="Palatino Linotype"/>
          <w:sz w:val="22"/>
          <w:szCs w:val="22"/>
        </w:rPr>
      </w:pPr>
    </w:p>
    <w:p w:rsidR="000F1B65" w:rsidRPr="00EC6783"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color w:val="000000"/>
          <w:sz w:val="22"/>
          <w:szCs w:val="22"/>
        </w:rPr>
        <w:t xml:space="preserve">Sirve </w:t>
      </w:r>
      <w:r w:rsidRPr="00EC6783">
        <w:rPr>
          <w:rFonts w:ascii="Palatino Linotype" w:eastAsia="Palatino Linotype" w:hAnsi="Palatino Linotype" w:cs="Palatino Linotype"/>
          <w:sz w:val="22"/>
          <w:szCs w:val="22"/>
        </w:rPr>
        <w:t>de apoyo a lo anterior, por analogía el criterio 31-10 emitido por el entonces Instituto Federal de Acceso a la Información ahora Instituto Nacional de Transparencia, Acceso a la Información y Protección de Datos Personales (INAI) que a la letra dice:</w:t>
      </w:r>
    </w:p>
    <w:p w:rsidR="00545C40" w:rsidRPr="00EC6783" w:rsidRDefault="00545C40" w:rsidP="00545C40">
      <w:pPr>
        <w:spacing w:line="360" w:lineRule="auto"/>
        <w:ind w:right="49"/>
        <w:jc w:val="both"/>
        <w:rPr>
          <w:rFonts w:ascii="Palatino Linotype" w:eastAsia="Palatino Linotype" w:hAnsi="Palatino Linotype" w:cs="Palatino Linotype"/>
          <w:sz w:val="22"/>
          <w:szCs w:val="22"/>
        </w:rPr>
      </w:pPr>
    </w:p>
    <w:p w:rsidR="000F1B65" w:rsidRPr="00EC6783" w:rsidRDefault="005E216F">
      <w:pPr>
        <w:tabs>
          <w:tab w:val="left" w:pos="709"/>
        </w:tabs>
        <w:ind w:left="567" w:right="565"/>
        <w:jc w:val="both"/>
        <w:rPr>
          <w:rFonts w:ascii="Palatino Linotype" w:eastAsia="Palatino Linotype" w:hAnsi="Palatino Linotype" w:cs="Palatino Linotype"/>
          <w:b/>
          <w:i/>
          <w:sz w:val="22"/>
          <w:szCs w:val="22"/>
        </w:rPr>
      </w:pPr>
      <w:r w:rsidRPr="00EC6783">
        <w:rPr>
          <w:rFonts w:ascii="Palatino Linotype" w:eastAsia="Palatino Linotype" w:hAnsi="Palatino Linotype" w:cs="Palatino Linotype"/>
          <w:b/>
          <w:i/>
          <w:sz w:val="22"/>
          <w:szCs w:val="22"/>
        </w:rPr>
        <w:t xml:space="preserve">“El Instituto Federal de Acceso a la Información y Protección de Datos no cuenta con facultades para pronunciarse respecto de la veracidad de los documentos </w:t>
      </w:r>
      <w:r w:rsidRPr="00EC6783">
        <w:rPr>
          <w:rFonts w:ascii="Palatino Linotype" w:eastAsia="Palatino Linotype" w:hAnsi="Palatino Linotype" w:cs="Palatino Linotype"/>
          <w:b/>
          <w:i/>
          <w:sz w:val="22"/>
          <w:szCs w:val="22"/>
        </w:rPr>
        <w:lastRenderedPageBreak/>
        <w:t>proporcionados por los sujetos obligados</w:t>
      </w:r>
      <w:r w:rsidRPr="00EC6783">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EC6783">
        <w:rPr>
          <w:rFonts w:ascii="Palatino Linotype" w:eastAsia="Palatino Linotype" w:hAnsi="Palatino Linotype" w:cs="Palatino Linotype"/>
          <w:b/>
          <w:i/>
          <w:sz w:val="22"/>
          <w:szCs w:val="22"/>
        </w:rPr>
        <w:t>”</w:t>
      </w:r>
    </w:p>
    <w:p w:rsidR="000F1B65" w:rsidRPr="00EC6783" w:rsidRDefault="000F1B65" w:rsidP="008A7050">
      <w:pPr>
        <w:spacing w:line="360" w:lineRule="auto"/>
        <w:ind w:right="49"/>
        <w:jc w:val="both"/>
        <w:rPr>
          <w:rFonts w:ascii="Palatino Linotype" w:eastAsia="Palatino Linotype" w:hAnsi="Palatino Linotype" w:cs="Palatino Linotype"/>
          <w:sz w:val="22"/>
          <w:szCs w:val="22"/>
        </w:rPr>
      </w:pPr>
    </w:p>
    <w:p w:rsidR="008A7050" w:rsidRPr="00EC6783" w:rsidRDefault="003E212D" w:rsidP="008A7050">
      <w:pPr>
        <w:numPr>
          <w:ilvl w:val="0"/>
          <w:numId w:val="1"/>
        </w:numPr>
        <w:spacing w:line="360" w:lineRule="auto"/>
        <w:ind w:left="0" w:right="49" w:firstLine="0"/>
        <w:jc w:val="both"/>
        <w:rPr>
          <w:rFonts w:ascii="Palatino Linotype" w:eastAsia="Palatino Linotype" w:hAnsi="Palatino Linotype" w:cs="Palatino Linotype"/>
          <w:b/>
          <w:i/>
          <w:sz w:val="22"/>
          <w:szCs w:val="22"/>
        </w:rPr>
      </w:pPr>
      <w:r w:rsidRPr="00EC6783">
        <w:rPr>
          <w:rFonts w:ascii="Palatino Linotype" w:eastAsia="Palatino Linotype" w:hAnsi="Palatino Linotype" w:cs="Palatino Linotype"/>
          <w:sz w:val="22"/>
          <w:szCs w:val="22"/>
        </w:rPr>
        <w:t xml:space="preserve">No </w:t>
      </w:r>
      <w:proofErr w:type="gramStart"/>
      <w:r w:rsidRPr="00EC6783">
        <w:rPr>
          <w:rFonts w:ascii="Palatino Linotype" w:eastAsia="Palatino Linotype" w:hAnsi="Palatino Linotype" w:cs="Palatino Linotype"/>
          <w:sz w:val="22"/>
          <w:szCs w:val="22"/>
        </w:rPr>
        <w:t>obstante</w:t>
      </w:r>
      <w:proofErr w:type="gramEnd"/>
      <w:r w:rsidRPr="00EC6783">
        <w:rPr>
          <w:rFonts w:ascii="Palatino Linotype" w:eastAsia="Palatino Linotype" w:hAnsi="Palatino Linotype" w:cs="Palatino Linotype"/>
          <w:sz w:val="22"/>
          <w:szCs w:val="22"/>
        </w:rPr>
        <w:t xml:space="preserve"> a lo anterior, debemos reiterar que</w:t>
      </w:r>
      <w:r w:rsidR="00045FD4" w:rsidRPr="00EC6783">
        <w:rPr>
          <w:rFonts w:ascii="Palatino Linotype" w:eastAsia="Palatino Linotype" w:hAnsi="Palatino Linotype" w:cs="Palatino Linotype"/>
          <w:sz w:val="22"/>
          <w:szCs w:val="22"/>
        </w:rPr>
        <w:t>,</w:t>
      </w:r>
      <w:r w:rsidRPr="00EC6783">
        <w:rPr>
          <w:rFonts w:ascii="Palatino Linotype" w:eastAsia="Palatino Linotype" w:hAnsi="Palatino Linotype" w:cs="Palatino Linotype"/>
          <w:sz w:val="22"/>
          <w:szCs w:val="22"/>
        </w:rPr>
        <w:t xml:space="preserve"> </w:t>
      </w:r>
      <w:r w:rsidR="008A7050" w:rsidRPr="00EC6783">
        <w:rPr>
          <w:rFonts w:ascii="Palatino Linotype" w:eastAsia="Palatino Linotype" w:hAnsi="Palatino Linotype" w:cs="Palatino Linotype"/>
          <w:sz w:val="22"/>
          <w:szCs w:val="22"/>
        </w:rPr>
        <w:t xml:space="preserve">por medio de la respuesta </w:t>
      </w:r>
      <w:r w:rsidR="00D0312C" w:rsidRPr="00EC6783">
        <w:rPr>
          <w:rFonts w:ascii="Palatino Linotype" w:eastAsia="Palatino Linotype" w:hAnsi="Palatino Linotype" w:cs="Palatino Linotype"/>
          <w:sz w:val="22"/>
          <w:szCs w:val="22"/>
        </w:rPr>
        <w:t xml:space="preserve">emitida por </w:t>
      </w:r>
      <w:r w:rsidRPr="00EC6783">
        <w:rPr>
          <w:rFonts w:ascii="Palatino Linotype" w:eastAsia="Palatino Linotype" w:hAnsi="Palatino Linotype" w:cs="Palatino Linotype"/>
          <w:sz w:val="22"/>
          <w:szCs w:val="22"/>
        </w:rPr>
        <w:t xml:space="preserve">el </w:t>
      </w:r>
      <w:r w:rsidRPr="00EC6783">
        <w:rPr>
          <w:rFonts w:ascii="Palatino Linotype" w:eastAsia="Palatino Linotype" w:hAnsi="Palatino Linotype" w:cs="Palatino Linotype"/>
          <w:b/>
          <w:sz w:val="22"/>
          <w:szCs w:val="22"/>
        </w:rPr>
        <w:t>SUJETO OBLIGADO</w:t>
      </w:r>
      <w:r w:rsidR="00D0312C" w:rsidRPr="00EC6783">
        <w:rPr>
          <w:rFonts w:ascii="Palatino Linotype" w:eastAsia="Palatino Linotype" w:hAnsi="Palatino Linotype" w:cs="Palatino Linotype"/>
          <w:b/>
          <w:sz w:val="22"/>
          <w:szCs w:val="22"/>
        </w:rPr>
        <w:t xml:space="preserve">, </w:t>
      </w:r>
      <w:r w:rsidR="008A7050" w:rsidRPr="00EC6783">
        <w:rPr>
          <w:rFonts w:ascii="Palatino Linotype" w:eastAsia="Palatino Linotype" w:hAnsi="Palatino Linotype" w:cs="Palatino Linotype"/>
          <w:sz w:val="22"/>
          <w:szCs w:val="22"/>
        </w:rPr>
        <w:t>se</w:t>
      </w:r>
      <w:r w:rsidRPr="00EC6783">
        <w:rPr>
          <w:rFonts w:ascii="Palatino Linotype" w:eastAsia="Palatino Linotype" w:hAnsi="Palatino Linotype" w:cs="Palatino Linotype"/>
          <w:sz w:val="22"/>
          <w:szCs w:val="22"/>
        </w:rPr>
        <w:t xml:space="preserve"> vu</w:t>
      </w:r>
      <w:r w:rsidR="008A7050" w:rsidRPr="00EC6783">
        <w:rPr>
          <w:rFonts w:ascii="Palatino Linotype" w:eastAsia="Palatino Linotype" w:hAnsi="Palatino Linotype" w:cs="Palatino Linotype"/>
          <w:sz w:val="22"/>
          <w:szCs w:val="22"/>
        </w:rPr>
        <w:t>lneraron</w:t>
      </w:r>
      <w:r w:rsidRPr="00EC6783">
        <w:rPr>
          <w:rFonts w:ascii="Palatino Linotype" w:eastAsia="Palatino Linotype" w:hAnsi="Palatino Linotype" w:cs="Palatino Linotype"/>
          <w:sz w:val="22"/>
          <w:szCs w:val="22"/>
        </w:rPr>
        <w:t xml:space="preserve"> datos susceptibles de ser clasificados como confidenciales, de manera </w:t>
      </w:r>
      <w:r w:rsidR="008A7050" w:rsidRPr="00EC6783">
        <w:rPr>
          <w:rFonts w:ascii="Palatino Linotype" w:eastAsia="Palatino Linotype" w:hAnsi="Palatino Linotype" w:cs="Palatino Linotype"/>
          <w:sz w:val="22"/>
          <w:szCs w:val="22"/>
        </w:rPr>
        <w:t xml:space="preserve">específica </w:t>
      </w:r>
      <w:r w:rsidRPr="00EC6783">
        <w:rPr>
          <w:rFonts w:ascii="Palatino Linotype" w:eastAsia="Palatino Linotype" w:hAnsi="Palatino Linotype" w:cs="Palatino Linotype"/>
          <w:sz w:val="22"/>
          <w:szCs w:val="22"/>
        </w:rPr>
        <w:t xml:space="preserve">el nombre de </w:t>
      </w:r>
      <w:r w:rsidR="008A7050" w:rsidRPr="00EC6783">
        <w:rPr>
          <w:rFonts w:ascii="Palatino Linotype" w:eastAsia="Palatino Linotype" w:hAnsi="Palatino Linotype" w:cs="Palatino Linotype"/>
          <w:sz w:val="22"/>
          <w:szCs w:val="22"/>
        </w:rPr>
        <w:t xml:space="preserve">los </w:t>
      </w:r>
      <w:r w:rsidRPr="00EC6783">
        <w:rPr>
          <w:rFonts w:ascii="Palatino Linotype" w:eastAsia="Palatino Linotype" w:hAnsi="Palatino Linotype" w:cs="Palatino Linotype"/>
          <w:sz w:val="22"/>
          <w:szCs w:val="22"/>
        </w:rPr>
        <w:t>alumnos en proceso de titulación; motivo</w:t>
      </w:r>
      <w:r w:rsidR="008A7050" w:rsidRPr="00EC6783">
        <w:rPr>
          <w:rFonts w:ascii="Palatino Linotype" w:eastAsia="Palatino Linotype" w:hAnsi="Palatino Linotype" w:cs="Palatino Linotype"/>
          <w:sz w:val="22"/>
          <w:szCs w:val="22"/>
        </w:rPr>
        <w:t xml:space="preserve"> de inconformidad del </w:t>
      </w:r>
      <w:r w:rsidR="008A7050" w:rsidRPr="00EC6783">
        <w:rPr>
          <w:rFonts w:ascii="Palatino Linotype" w:eastAsia="Palatino Linotype" w:hAnsi="Palatino Linotype" w:cs="Palatino Linotype"/>
          <w:b/>
          <w:sz w:val="22"/>
          <w:szCs w:val="22"/>
        </w:rPr>
        <w:t>RECURRENTE</w:t>
      </w:r>
      <w:r w:rsidR="008A7050" w:rsidRPr="00EC6783">
        <w:rPr>
          <w:rFonts w:ascii="Palatino Linotype" w:eastAsia="Palatino Linotype" w:hAnsi="Palatino Linotype" w:cs="Palatino Linotype"/>
          <w:sz w:val="22"/>
          <w:szCs w:val="22"/>
        </w:rPr>
        <w:t>, en los siguientes términos:</w:t>
      </w:r>
      <w:r w:rsidRPr="00EC6783">
        <w:rPr>
          <w:rFonts w:ascii="Palatino Linotype" w:eastAsia="Palatino Linotype" w:hAnsi="Palatino Linotype" w:cs="Palatino Linotype"/>
          <w:sz w:val="22"/>
          <w:szCs w:val="22"/>
        </w:rPr>
        <w:t xml:space="preserve"> “</w:t>
      </w:r>
      <w:r w:rsidRPr="00EC6783">
        <w:rPr>
          <w:rFonts w:ascii="Palatino Linotype" w:hAnsi="Palatino Linotype"/>
          <w:b/>
          <w:i/>
          <w:color w:val="000000"/>
          <w:sz w:val="22"/>
          <w:szCs w:val="22"/>
        </w:rPr>
        <w:t xml:space="preserve">Nuevamente la negligencia de los servidores </w:t>
      </w:r>
      <w:proofErr w:type="spellStart"/>
      <w:r w:rsidRPr="00EC6783">
        <w:rPr>
          <w:rFonts w:ascii="Palatino Linotype" w:hAnsi="Palatino Linotype"/>
          <w:b/>
          <w:i/>
          <w:color w:val="000000"/>
          <w:sz w:val="22"/>
          <w:szCs w:val="22"/>
        </w:rPr>
        <w:t>publicos</w:t>
      </w:r>
      <w:proofErr w:type="spellEnd"/>
      <w:r w:rsidRPr="00EC6783">
        <w:rPr>
          <w:rFonts w:ascii="Palatino Linotype" w:hAnsi="Palatino Linotype"/>
          <w:b/>
          <w:i/>
          <w:color w:val="000000"/>
          <w:sz w:val="22"/>
          <w:szCs w:val="22"/>
        </w:rPr>
        <w:t xml:space="preserve"> en enviar datos personales violentando contra sus alumnos.” (Sic)</w:t>
      </w:r>
    </w:p>
    <w:p w:rsidR="008A7050" w:rsidRPr="00EC6783" w:rsidRDefault="008A7050" w:rsidP="008A7050">
      <w:pPr>
        <w:tabs>
          <w:tab w:val="left" w:pos="1087"/>
        </w:tabs>
        <w:spacing w:line="360" w:lineRule="auto"/>
        <w:ind w:right="49"/>
        <w:jc w:val="both"/>
        <w:rPr>
          <w:rFonts w:ascii="Palatino Linotype" w:eastAsia="Palatino Linotype" w:hAnsi="Palatino Linotype" w:cs="Palatino Linotype"/>
          <w:sz w:val="22"/>
          <w:szCs w:val="22"/>
        </w:rPr>
      </w:pPr>
    </w:p>
    <w:p w:rsidR="008A7050" w:rsidRPr="00EC6783" w:rsidRDefault="008A7050" w:rsidP="00045FD4">
      <w:pPr>
        <w:numPr>
          <w:ilvl w:val="0"/>
          <w:numId w:val="1"/>
        </w:numPr>
        <w:spacing w:line="360" w:lineRule="auto"/>
        <w:ind w:left="0" w:right="49" w:firstLine="0"/>
        <w:jc w:val="both"/>
        <w:rPr>
          <w:rFonts w:ascii="Palatino Linotype" w:eastAsia="Palatino Linotype" w:hAnsi="Palatino Linotype" w:cs="Palatino Linotype"/>
          <w:sz w:val="22"/>
          <w:szCs w:val="22"/>
        </w:rPr>
      </w:pPr>
      <w:r w:rsidRPr="00EC6783">
        <w:rPr>
          <w:rFonts w:ascii="Palatino Linotype" w:eastAsia="Palatino Linotype" w:hAnsi="Palatino Linotype" w:cs="Palatino Linotype"/>
          <w:sz w:val="22"/>
          <w:szCs w:val="22"/>
        </w:rPr>
        <w:t xml:space="preserve">En consecuencia, se advierte que si bien </w:t>
      </w:r>
      <w:r w:rsidR="00045FD4" w:rsidRPr="00EC6783">
        <w:rPr>
          <w:rFonts w:ascii="Palatino Linotype" w:eastAsia="Palatino Linotype" w:hAnsi="Palatino Linotype" w:cs="Palatino Linotype"/>
          <w:sz w:val="22"/>
          <w:szCs w:val="22"/>
        </w:rPr>
        <w:t xml:space="preserve">existe un pronunciamiento por parte del </w:t>
      </w:r>
      <w:r w:rsidR="00045FD4" w:rsidRPr="00EC6783">
        <w:rPr>
          <w:rFonts w:ascii="Palatino Linotype" w:eastAsia="Palatino Linotype" w:hAnsi="Palatino Linotype" w:cs="Palatino Linotype"/>
          <w:b/>
          <w:sz w:val="22"/>
          <w:szCs w:val="22"/>
        </w:rPr>
        <w:t>SUJETO OBLIGADO</w:t>
      </w:r>
      <w:r w:rsidR="00045FD4" w:rsidRPr="00EC6783">
        <w:rPr>
          <w:rFonts w:ascii="Palatino Linotype" w:eastAsia="Palatino Linotype" w:hAnsi="Palatino Linotype" w:cs="Palatino Linotype"/>
          <w:sz w:val="22"/>
          <w:szCs w:val="22"/>
        </w:rPr>
        <w:t>, no se realizó la versión pública respectiva del documento denominado “</w:t>
      </w:r>
      <w:hyperlink r:id="rId11">
        <w:r w:rsidR="00045FD4" w:rsidRPr="00EC6783">
          <w:rPr>
            <w:rFonts w:ascii="Palatino Linotype" w:eastAsia="Palatino Linotype" w:hAnsi="Palatino Linotype" w:cs="Palatino Linotype"/>
            <w:b/>
            <w:color w:val="000000"/>
            <w:sz w:val="22"/>
            <w:szCs w:val="22"/>
          </w:rPr>
          <w:t>PROCESO DE TITULACION.xlsx</w:t>
        </w:r>
      </w:hyperlink>
      <w:r w:rsidR="00045FD4" w:rsidRPr="00EC6783">
        <w:rPr>
          <w:rFonts w:ascii="Palatino Linotype" w:eastAsia="Palatino Linotype" w:hAnsi="Palatino Linotype" w:cs="Palatino Linotype"/>
          <w:b/>
          <w:color w:val="000000"/>
          <w:sz w:val="22"/>
          <w:szCs w:val="22"/>
        </w:rPr>
        <w:t>”</w:t>
      </w:r>
      <w:r w:rsidR="00045FD4" w:rsidRPr="00EC6783">
        <w:rPr>
          <w:rFonts w:ascii="Palatino Linotype" w:eastAsia="Palatino Linotype" w:hAnsi="Palatino Linotype" w:cs="Palatino Linotype"/>
          <w:sz w:val="22"/>
          <w:szCs w:val="22"/>
        </w:rPr>
        <w:t>, remitido mediante respuesta.</w:t>
      </w:r>
    </w:p>
    <w:p w:rsidR="008A7050" w:rsidRPr="00EC6783" w:rsidRDefault="008A7050" w:rsidP="008A7050">
      <w:pPr>
        <w:rPr>
          <w:rFonts w:ascii="Palatino Linotype" w:eastAsia="Palatino Linotype" w:hAnsi="Palatino Linotype" w:cs="Palatino Linotype"/>
          <w:sz w:val="22"/>
          <w:szCs w:val="22"/>
        </w:rPr>
      </w:pPr>
    </w:p>
    <w:p w:rsidR="008A7050" w:rsidRPr="00EC6783" w:rsidRDefault="008A7050" w:rsidP="008A7050">
      <w:pPr>
        <w:numPr>
          <w:ilvl w:val="0"/>
          <w:numId w:val="1"/>
        </w:numPr>
        <w:spacing w:line="360" w:lineRule="auto"/>
        <w:ind w:left="0" w:right="49" w:firstLine="0"/>
        <w:jc w:val="both"/>
        <w:rPr>
          <w:rFonts w:ascii="Palatino Linotype" w:eastAsia="Palatino Linotype" w:hAnsi="Palatino Linotype" w:cs="Palatino Linotype"/>
          <w:b/>
          <w:i/>
          <w:sz w:val="22"/>
          <w:szCs w:val="22"/>
        </w:rPr>
      </w:pPr>
      <w:r w:rsidRPr="00EC6783">
        <w:rPr>
          <w:rFonts w:ascii="Palatino Linotype" w:eastAsia="Palatino Linotype" w:hAnsi="Palatino Linotype" w:cs="Palatino Linotype"/>
          <w:sz w:val="22"/>
          <w:szCs w:val="22"/>
        </w:rPr>
        <w:t xml:space="preserve">En </w:t>
      </w:r>
      <w:r w:rsidRPr="00EC6783">
        <w:rPr>
          <w:rFonts w:ascii="Palatino Linotype" w:hAnsi="Palatino Linotype"/>
          <w:color w:val="000000"/>
          <w:sz w:val="22"/>
          <w:szCs w:val="22"/>
        </w:rPr>
        <w:t xml:space="preserve">este sentido, si bien </w:t>
      </w:r>
      <w:r w:rsidRPr="00EC6783">
        <w:rPr>
          <w:rFonts w:ascii="Palatino Linotype" w:hAnsi="Palatino Linotype"/>
          <w:sz w:val="22"/>
          <w:szCs w:val="22"/>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w:t>
      </w:r>
      <w:proofErr w:type="spellStart"/>
      <w:r w:rsidRPr="00EC6783">
        <w:rPr>
          <w:rFonts w:ascii="Palatino Linotype" w:hAnsi="Palatino Linotype"/>
          <w:sz w:val="22"/>
          <w:szCs w:val="22"/>
        </w:rPr>
        <w:t>desechamiento</w:t>
      </w:r>
      <w:proofErr w:type="spellEnd"/>
      <w:r w:rsidRPr="00EC6783">
        <w:rPr>
          <w:rFonts w:ascii="Palatino Linotype" w:hAnsi="Palatino Linotype"/>
          <w:sz w:val="22"/>
          <w:szCs w:val="22"/>
        </w:rPr>
        <w:t xml:space="preserve"> o sobreseimiento; y, en su caso, ordenar la entrega de la información respecto a la respuesta emitida por el </w:t>
      </w:r>
      <w:r w:rsidRPr="00EC6783">
        <w:rPr>
          <w:rFonts w:ascii="Palatino Linotype" w:hAnsi="Palatino Linotype"/>
          <w:b/>
          <w:bCs/>
          <w:sz w:val="22"/>
          <w:szCs w:val="22"/>
        </w:rPr>
        <w:t>SUJETO OBLIGADO,</w:t>
      </w:r>
      <w:r w:rsidRPr="00EC6783">
        <w:rPr>
          <w:rFonts w:ascii="Palatino Linotype" w:hAnsi="Palatino Linotype"/>
          <w:sz w:val="22"/>
          <w:szCs w:val="22"/>
        </w:rPr>
        <w:t xml:space="preserve"> lo cierto, es que este Órgano Garante advierte que se </w:t>
      </w:r>
      <w:r w:rsidRPr="00EC6783">
        <w:rPr>
          <w:rFonts w:ascii="Palatino Linotype" w:hAnsi="Palatino Linotype"/>
          <w:sz w:val="22"/>
          <w:szCs w:val="22"/>
        </w:rPr>
        <w:lastRenderedPageBreak/>
        <w:t xml:space="preserve">actualiza la causal de sobreseimiento prevista en la fracción V del artículo 192 de la Ley de Transparencia y Acceso a la Información Pública del Estado de México y Municipios, como se expone a continuación: </w:t>
      </w:r>
    </w:p>
    <w:p w:rsidR="008A7050" w:rsidRPr="00EC6783" w:rsidRDefault="008A7050" w:rsidP="008A7050">
      <w:pPr>
        <w:pStyle w:val="Prrafodelista"/>
        <w:rPr>
          <w:rFonts w:ascii="Palatino Linotype" w:hAnsi="Palatino Linotype"/>
          <w:szCs w:val="22"/>
        </w:rPr>
      </w:pPr>
    </w:p>
    <w:p w:rsidR="008A7050" w:rsidRPr="00EC6783" w:rsidRDefault="008A7050" w:rsidP="008A7050">
      <w:pPr>
        <w:ind w:left="567" w:right="539"/>
        <w:contextualSpacing/>
        <w:jc w:val="both"/>
        <w:rPr>
          <w:rFonts w:ascii="Palatino Linotype" w:hAnsi="Palatino Linotype"/>
          <w:i/>
          <w:iCs/>
          <w:sz w:val="22"/>
          <w:szCs w:val="22"/>
        </w:rPr>
      </w:pPr>
      <w:r w:rsidRPr="00EC6783">
        <w:rPr>
          <w:rFonts w:ascii="Palatino Linotype" w:hAnsi="Palatino Linotype"/>
          <w:b/>
          <w:bCs/>
          <w:i/>
          <w:iCs/>
          <w:sz w:val="22"/>
          <w:szCs w:val="22"/>
        </w:rPr>
        <w:t>“Artículo 192.</w:t>
      </w:r>
      <w:r w:rsidRPr="00EC6783">
        <w:rPr>
          <w:rFonts w:ascii="Palatino Linotype" w:hAnsi="Palatino Linotype"/>
          <w:i/>
          <w:iCs/>
          <w:sz w:val="22"/>
          <w:szCs w:val="22"/>
        </w:rPr>
        <w:t xml:space="preserve"> El recurso será sobreseído, en todo o en parte, cuando una vez admitido, se actualicen alguno de los siguientes supuestos: </w:t>
      </w:r>
    </w:p>
    <w:p w:rsidR="00045FD4" w:rsidRPr="00EC6783" w:rsidRDefault="008A7050" w:rsidP="00045FD4">
      <w:pPr>
        <w:ind w:left="567" w:right="539"/>
        <w:contextualSpacing/>
        <w:jc w:val="both"/>
        <w:rPr>
          <w:rFonts w:ascii="Palatino Linotype" w:hAnsi="Palatino Linotype"/>
          <w:i/>
          <w:iCs/>
          <w:sz w:val="22"/>
          <w:szCs w:val="22"/>
        </w:rPr>
      </w:pPr>
      <w:r w:rsidRPr="00EC6783">
        <w:rPr>
          <w:rFonts w:ascii="Palatino Linotype" w:hAnsi="Palatino Linotype"/>
          <w:i/>
          <w:iCs/>
          <w:sz w:val="22"/>
          <w:szCs w:val="22"/>
        </w:rPr>
        <w:t xml:space="preserve">(…) </w:t>
      </w:r>
    </w:p>
    <w:p w:rsidR="00B349BB" w:rsidRDefault="008A7050" w:rsidP="00D0312C">
      <w:pPr>
        <w:ind w:left="567" w:right="539"/>
        <w:contextualSpacing/>
        <w:jc w:val="both"/>
        <w:rPr>
          <w:rFonts w:ascii="Palatino Linotype" w:hAnsi="Palatino Linotype"/>
          <w:b/>
          <w:bCs/>
          <w:i/>
          <w:iCs/>
          <w:sz w:val="22"/>
          <w:szCs w:val="22"/>
        </w:rPr>
      </w:pPr>
      <w:r w:rsidRPr="00EC6783">
        <w:rPr>
          <w:rFonts w:ascii="Palatino Linotype" w:hAnsi="Palatino Linotype"/>
          <w:b/>
          <w:bCs/>
          <w:i/>
          <w:iCs/>
          <w:sz w:val="22"/>
          <w:szCs w:val="22"/>
        </w:rPr>
        <w:t>V. Cuando por cualquier motivo se quede sin materia.”</w:t>
      </w:r>
    </w:p>
    <w:p w:rsidR="00D0312C" w:rsidRDefault="00D0312C" w:rsidP="00D0312C">
      <w:pPr>
        <w:ind w:right="539"/>
        <w:contextualSpacing/>
        <w:jc w:val="both"/>
        <w:rPr>
          <w:rFonts w:ascii="Palatino Linotype" w:hAnsi="Palatino Linotype"/>
          <w:b/>
          <w:bCs/>
          <w:i/>
          <w:iCs/>
          <w:sz w:val="22"/>
          <w:szCs w:val="22"/>
        </w:rPr>
      </w:pPr>
    </w:p>
    <w:p w:rsidR="00D0312C" w:rsidRPr="00B349BB" w:rsidRDefault="00D0312C" w:rsidP="00D0312C">
      <w:pPr>
        <w:ind w:right="539"/>
        <w:contextualSpacing/>
        <w:jc w:val="both"/>
        <w:rPr>
          <w:rFonts w:ascii="Palatino Linotype" w:eastAsia="Palatino Linotype" w:hAnsi="Palatino Linotype" w:cs="Palatino Linotype"/>
          <w:sz w:val="22"/>
          <w:szCs w:val="22"/>
        </w:rPr>
      </w:pPr>
    </w:p>
    <w:p w:rsidR="00B349BB" w:rsidRDefault="005E216F" w:rsidP="00D0312C">
      <w:pPr>
        <w:pStyle w:val="Prrafodelista"/>
        <w:numPr>
          <w:ilvl w:val="1"/>
          <w:numId w:val="9"/>
        </w:numPr>
        <w:pBdr>
          <w:top w:val="nil"/>
          <w:left w:val="nil"/>
          <w:bottom w:val="nil"/>
          <w:right w:val="nil"/>
          <w:between w:val="nil"/>
        </w:pBdr>
        <w:spacing w:line="360" w:lineRule="auto"/>
        <w:ind w:left="1418" w:right="49"/>
        <w:jc w:val="both"/>
        <w:rPr>
          <w:rFonts w:ascii="Palatino Linotype" w:eastAsia="Palatino Linotype" w:hAnsi="Palatino Linotype" w:cs="Palatino Linotype"/>
          <w:b/>
          <w:color w:val="000000"/>
          <w:szCs w:val="22"/>
        </w:rPr>
      </w:pPr>
      <w:r w:rsidRPr="00D0312C">
        <w:rPr>
          <w:rFonts w:ascii="Palatino Linotype" w:eastAsia="Palatino Linotype" w:hAnsi="Palatino Linotype" w:cs="Palatino Linotype"/>
          <w:b/>
          <w:color w:val="000000"/>
          <w:szCs w:val="22"/>
        </w:rPr>
        <w:t>De las manifestaciones subjetivas</w:t>
      </w:r>
      <w:r w:rsidR="00D0312C">
        <w:rPr>
          <w:rFonts w:ascii="Palatino Linotype" w:eastAsia="Palatino Linotype" w:hAnsi="Palatino Linotype" w:cs="Palatino Linotype"/>
          <w:b/>
          <w:color w:val="000000"/>
          <w:szCs w:val="22"/>
        </w:rPr>
        <w:t>.</w:t>
      </w:r>
    </w:p>
    <w:p w:rsidR="00D0312C" w:rsidRPr="00D0312C" w:rsidRDefault="00D0312C" w:rsidP="00D0312C">
      <w:pPr>
        <w:pBdr>
          <w:top w:val="nil"/>
          <w:left w:val="nil"/>
          <w:bottom w:val="nil"/>
          <w:right w:val="nil"/>
          <w:between w:val="nil"/>
        </w:pBdr>
        <w:ind w:right="49"/>
        <w:jc w:val="both"/>
        <w:rPr>
          <w:rFonts w:ascii="Palatino Linotype" w:eastAsia="Palatino Linotype" w:hAnsi="Palatino Linotype" w:cs="Palatino Linotype"/>
          <w:b/>
          <w:color w:val="000000"/>
          <w:sz w:val="22"/>
          <w:szCs w:val="22"/>
        </w:rPr>
      </w:pPr>
    </w:p>
    <w:p w:rsidR="000F1B65" w:rsidRPr="00B349BB" w:rsidRDefault="00B349BB">
      <w:pPr>
        <w:numPr>
          <w:ilvl w:val="0"/>
          <w:numId w:val="1"/>
        </w:numPr>
        <w:spacing w:line="360" w:lineRule="auto"/>
        <w:ind w:left="0" w:right="49" w:firstLine="0"/>
        <w:jc w:val="both"/>
        <w:rPr>
          <w:rFonts w:ascii="Palatino Linotype" w:eastAsia="Palatino Linotype" w:hAnsi="Palatino Linotype" w:cs="Palatino Linotype"/>
          <w:b/>
          <w:sz w:val="22"/>
          <w:szCs w:val="22"/>
        </w:rPr>
      </w:pPr>
      <w:r w:rsidRPr="00B349BB">
        <w:rPr>
          <w:rFonts w:ascii="Palatino Linotype" w:eastAsia="Palatino Linotype" w:hAnsi="Palatino Linotype" w:cs="Palatino Linotype"/>
          <w:sz w:val="22"/>
          <w:szCs w:val="22"/>
        </w:rPr>
        <w:t>Ahora bien</w:t>
      </w:r>
      <w:r w:rsidR="005E216F" w:rsidRPr="00B349BB">
        <w:rPr>
          <w:rFonts w:ascii="Palatino Linotype" w:eastAsia="Palatino Linotype" w:hAnsi="Palatino Linotype" w:cs="Palatino Linotype"/>
          <w:sz w:val="22"/>
          <w:szCs w:val="22"/>
        </w:rPr>
        <w:t>,</w:t>
      </w:r>
      <w:r w:rsidRPr="00B349BB">
        <w:rPr>
          <w:rFonts w:ascii="Palatino Linotype" w:eastAsia="Palatino Linotype" w:hAnsi="Palatino Linotype" w:cs="Palatino Linotype"/>
          <w:sz w:val="22"/>
          <w:szCs w:val="22"/>
        </w:rPr>
        <w:t xml:space="preserve"> no pasa desapercibido mencionar que, </w:t>
      </w:r>
      <w:r w:rsidR="005E216F" w:rsidRPr="00B349BB">
        <w:rPr>
          <w:rFonts w:ascii="Palatino Linotype" w:eastAsia="Palatino Linotype" w:hAnsi="Palatino Linotype" w:cs="Palatino Linotype"/>
          <w:sz w:val="22"/>
          <w:szCs w:val="22"/>
        </w:rPr>
        <w:t xml:space="preserve">el </w:t>
      </w:r>
      <w:r w:rsidR="005E216F" w:rsidRPr="00B349BB">
        <w:rPr>
          <w:rFonts w:ascii="Palatino Linotype" w:eastAsia="Palatino Linotype" w:hAnsi="Palatino Linotype" w:cs="Palatino Linotype"/>
          <w:b/>
          <w:color w:val="000000"/>
          <w:sz w:val="22"/>
          <w:szCs w:val="22"/>
        </w:rPr>
        <w:t xml:space="preserve">RECURRENTE </w:t>
      </w:r>
      <w:r w:rsidRPr="00B349BB">
        <w:rPr>
          <w:rFonts w:ascii="Palatino Linotype" w:eastAsia="Palatino Linotype" w:hAnsi="Palatino Linotype" w:cs="Palatino Linotype"/>
          <w:color w:val="000000"/>
          <w:sz w:val="22"/>
          <w:szCs w:val="22"/>
        </w:rPr>
        <w:t>solicitó también</w:t>
      </w:r>
      <w:r w:rsidR="005E216F" w:rsidRPr="00B349BB">
        <w:rPr>
          <w:rFonts w:ascii="Palatino Linotype" w:eastAsia="Palatino Linotype" w:hAnsi="Palatino Linotype" w:cs="Palatino Linotype"/>
          <w:color w:val="000000"/>
          <w:sz w:val="22"/>
          <w:szCs w:val="22"/>
        </w:rPr>
        <w:t xml:space="preserve">, lo siguiente: </w:t>
      </w:r>
      <w:r w:rsidR="005E216F" w:rsidRPr="00B349BB">
        <w:rPr>
          <w:rFonts w:ascii="Palatino Linotype" w:eastAsia="Palatino Linotype" w:hAnsi="Palatino Linotype" w:cs="Palatino Linotype"/>
          <w:b/>
          <w:i/>
          <w:color w:val="000000"/>
          <w:sz w:val="22"/>
          <w:szCs w:val="22"/>
        </w:rPr>
        <w:t xml:space="preserve">“…motivos por los cuales no se han titulado, que acciones toma </w:t>
      </w:r>
      <w:proofErr w:type="spellStart"/>
      <w:r w:rsidR="005E216F" w:rsidRPr="00B349BB">
        <w:rPr>
          <w:rFonts w:ascii="Palatino Linotype" w:eastAsia="Palatino Linotype" w:hAnsi="Palatino Linotype" w:cs="Palatino Linotype"/>
          <w:b/>
          <w:i/>
          <w:color w:val="000000"/>
          <w:sz w:val="22"/>
          <w:szCs w:val="22"/>
        </w:rPr>
        <w:t>Tesco</w:t>
      </w:r>
      <w:proofErr w:type="spellEnd"/>
      <w:r w:rsidR="005E216F" w:rsidRPr="00B349BB">
        <w:rPr>
          <w:rFonts w:ascii="Palatino Linotype" w:eastAsia="Palatino Linotype" w:hAnsi="Palatino Linotype" w:cs="Palatino Linotype"/>
          <w:b/>
          <w:i/>
          <w:color w:val="000000"/>
          <w:sz w:val="22"/>
          <w:szCs w:val="22"/>
        </w:rPr>
        <w:t xml:space="preserve"> ante estas situaciones” (Sic) </w:t>
      </w: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B349BB">
      <w:pPr>
        <w:numPr>
          <w:ilvl w:val="0"/>
          <w:numId w:val="1"/>
        </w:numPr>
        <w:spacing w:line="360" w:lineRule="auto"/>
        <w:ind w:left="0" w:right="49"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sz w:val="22"/>
          <w:szCs w:val="22"/>
        </w:rPr>
        <w:t>De lo anterior</w:t>
      </w:r>
      <w:r w:rsidR="005E216F" w:rsidRPr="00B349BB">
        <w:rPr>
          <w:rFonts w:ascii="Palatino Linotype" w:eastAsia="Palatino Linotype" w:hAnsi="Palatino Linotype" w:cs="Palatino Linotype"/>
          <w:sz w:val="22"/>
          <w:szCs w:val="22"/>
        </w:rPr>
        <w:t>,</w:t>
      </w:r>
      <w:r w:rsidRPr="00B349BB">
        <w:rPr>
          <w:rFonts w:ascii="Palatino Linotype" w:eastAsia="Palatino Linotype" w:hAnsi="Palatino Linotype" w:cs="Palatino Linotype"/>
          <w:sz w:val="22"/>
          <w:szCs w:val="22"/>
        </w:rPr>
        <w:t xml:space="preserve"> se aprecia a simple vista que </w:t>
      </w:r>
      <w:r w:rsidR="005E216F" w:rsidRPr="00B349BB">
        <w:rPr>
          <w:rFonts w:ascii="Palatino Linotype" w:eastAsia="Palatino Linotype" w:hAnsi="Palatino Linotype" w:cs="Palatino Linotype"/>
          <w:sz w:val="22"/>
          <w:szCs w:val="22"/>
        </w:rPr>
        <w:t xml:space="preserve">el requerimiento no constituye un derecho de acceso a la información pública, por lo tanto, no es atendible mediante una solicitud de Acceso a la Información, porque se trata de manifestaciones subjetivas vertidas por el </w:t>
      </w:r>
      <w:r w:rsidR="005E216F" w:rsidRPr="00B349BB">
        <w:rPr>
          <w:rFonts w:ascii="Palatino Linotype" w:eastAsia="Palatino Linotype" w:hAnsi="Palatino Linotype" w:cs="Palatino Linotype"/>
          <w:b/>
          <w:sz w:val="22"/>
          <w:szCs w:val="22"/>
        </w:rPr>
        <w:t>RECURRENTE</w:t>
      </w:r>
      <w:r w:rsidR="005E216F" w:rsidRPr="00B349BB">
        <w:rPr>
          <w:rFonts w:ascii="Palatino Linotype" w:eastAsia="Palatino Linotype" w:hAnsi="Palatino Linotype" w:cs="Palatino Linotype"/>
          <w:sz w:val="22"/>
          <w:szCs w:val="22"/>
        </w:rPr>
        <w:t xml:space="preserve">, interrogantes y declaraciones que, en efecto, no se colman con la entrega de documentos, situación que conlleva a afirmar que se está en presencia del ejercicio del derecho de petición, como lo refirió en respuesta el </w:t>
      </w:r>
      <w:r w:rsidR="005E216F" w:rsidRPr="00B349BB">
        <w:rPr>
          <w:rFonts w:ascii="Palatino Linotype" w:eastAsia="Palatino Linotype" w:hAnsi="Palatino Linotype" w:cs="Palatino Linotype"/>
          <w:b/>
          <w:sz w:val="22"/>
          <w:szCs w:val="22"/>
        </w:rPr>
        <w:t>SUJETO OBLIGADO.</w:t>
      </w:r>
    </w:p>
    <w:p w:rsidR="003E212D" w:rsidRPr="00B349BB" w:rsidRDefault="003E212D" w:rsidP="003E212D">
      <w:pPr>
        <w:spacing w:line="360" w:lineRule="auto"/>
        <w:ind w:right="49"/>
        <w:jc w:val="both"/>
        <w:rPr>
          <w:rFonts w:ascii="Palatino Linotype" w:eastAsia="Palatino Linotype" w:hAnsi="Palatino Linotype" w:cs="Palatino Linotype"/>
          <w:sz w:val="22"/>
          <w:szCs w:val="22"/>
        </w:rPr>
      </w:pPr>
    </w:p>
    <w:p w:rsidR="000F1B65" w:rsidRPr="00B349BB"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color w:val="000000"/>
          <w:sz w:val="22"/>
          <w:szCs w:val="22"/>
        </w:rPr>
        <w:t xml:space="preserve">Por lo que, </w:t>
      </w:r>
      <w:r w:rsidRPr="00B349BB">
        <w:rPr>
          <w:rFonts w:ascii="Palatino Linotype" w:eastAsia="Palatino Linotype" w:hAnsi="Palatino Linotype" w:cs="Palatino Linotype"/>
          <w:sz w:val="22"/>
          <w:szCs w:val="22"/>
        </w:rPr>
        <w:t xml:space="preserve">lo que la entrega de una razón o un razonamiento por parte del </w:t>
      </w:r>
      <w:r w:rsidRPr="00B349BB">
        <w:rPr>
          <w:rFonts w:ascii="Palatino Linotype" w:eastAsia="Palatino Linotype" w:hAnsi="Palatino Linotype" w:cs="Palatino Linotype"/>
          <w:b/>
          <w:sz w:val="22"/>
          <w:szCs w:val="22"/>
        </w:rPr>
        <w:t>SUJETO OBLIGADO</w:t>
      </w:r>
      <w:r w:rsidRPr="00B349BB">
        <w:rPr>
          <w:rFonts w:ascii="Palatino Linotype" w:eastAsia="Palatino Linotype" w:hAnsi="Palatino Linotype" w:cs="Palatino Linotype"/>
          <w:sz w:val="22"/>
          <w:szCs w:val="22"/>
        </w:rPr>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w:t>
      </w:r>
    </w:p>
    <w:p w:rsidR="000F1B65" w:rsidRPr="00B349BB" w:rsidRDefault="000F1B65">
      <w:pPr>
        <w:rPr>
          <w:rFonts w:ascii="Palatino Linotype" w:eastAsia="Palatino Linotype" w:hAnsi="Palatino Linotype" w:cs="Palatino Linotype"/>
          <w:color w:val="000000"/>
          <w:sz w:val="22"/>
          <w:szCs w:val="22"/>
        </w:rPr>
      </w:pPr>
    </w:p>
    <w:p w:rsidR="000F1B65" w:rsidRPr="00B349BB"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color w:val="000000"/>
          <w:sz w:val="22"/>
          <w:szCs w:val="22"/>
        </w:rPr>
        <w:lastRenderedPageBreak/>
        <w:t xml:space="preserve">En este sentido, </w:t>
      </w:r>
      <w:r w:rsidRPr="00B349BB">
        <w:rPr>
          <w:rFonts w:ascii="Palatino Linotype" w:eastAsia="Palatino Linotype" w:hAnsi="Palatino Linotype" w:cs="Palatino Linotype"/>
          <w:sz w:val="22"/>
          <w:szCs w:val="22"/>
        </w:rPr>
        <w:t>es importante dejar en claro lo que debe entenderse por derecho de petición y por derecho de acceso a la información pública.</w:t>
      </w:r>
    </w:p>
    <w:p w:rsidR="000F1B65" w:rsidRPr="00B349BB" w:rsidRDefault="000F1B65">
      <w:pPr>
        <w:spacing w:line="360" w:lineRule="auto"/>
        <w:ind w:right="49"/>
        <w:jc w:val="both"/>
        <w:rPr>
          <w:rFonts w:ascii="Palatino Linotype" w:eastAsia="Palatino Linotype" w:hAnsi="Palatino Linotype" w:cs="Palatino Linotype"/>
          <w:color w:val="000000"/>
          <w:sz w:val="22"/>
          <w:szCs w:val="22"/>
        </w:rPr>
      </w:pPr>
    </w:p>
    <w:p w:rsidR="000F1B65" w:rsidRDefault="005E216F">
      <w:pPr>
        <w:numPr>
          <w:ilvl w:val="0"/>
          <w:numId w:val="3"/>
        </w:num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r w:rsidRPr="00B349BB">
        <w:rPr>
          <w:rFonts w:ascii="Palatino Linotype" w:eastAsia="Palatino Linotype" w:hAnsi="Palatino Linotype" w:cs="Palatino Linotype"/>
          <w:b/>
          <w:color w:val="000000"/>
          <w:sz w:val="22"/>
          <w:szCs w:val="22"/>
        </w:rPr>
        <w:t>El derecho de petición y acceso a la información pública.</w:t>
      </w:r>
    </w:p>
    <w:p w:rsidR="00D0312C" w:rsidRPr="00B349BB" w:rsidRDefault="00D0312C" w:rsidP="00D0312C">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sz w:val="22"/>
          <w:szCs w:val="22"/>
        </w:rPr>
      </w:pPr>
    </w:p>
    <w:p w:rsidR="000F1B65" w:rsidRPr="00B349BB"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color w:val="000000"/>
          <w:sz w:val="22"/>
          <w:szCs w:val="22"/>
        </w:rPr>
        <w:t xml:space="preserve">Por </w:t>
      </w:r>
      <w:r w:rsidRPr="00B349BB">
        <w:rPr>
          <w:rFonts w:ascii="Palatino Linotype" w:eastAsia="Palatino Linotype" w:hAnsi="Palatino Linotype" w:cs="Palatino Linotype"/>
          <w:sz w:val="22"/>
          <w:szCs w:val="22"/>
        </w:rPr>
        <w:t>lo que respecta a la definición de derecho de petición, el Maestro Ignacio Burgoa Orihuela refiere: “…</w:t>
      </w:r>
      <w:r w:rsidRPr="00B349BB">
        <w:rPr>
          <w:rFonts w:ascii="Palatino Linotype" w:eastAsia="Palatino Linotype" w:hAnsi="Palatino Linotype" w:cs="Palatino Linotype"/>
          <w:i/>
          <w:sz w:val="22"/>
          <w:szCs w:val="22"/>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B349BB">
        <w:rPr>
          <w:rFonts w:ascii="Palatino Linotype" w:eastAsia="Palatino Linotype" w:hAnsi="Palatino Linotype" w:cs="Palatino Linotype"/>
          <w:i/>
          <w:sz w:val="22"/>
          <w:szCs w:val="22"/>
          <w:vertAlign w:val="superscript"/>
        </w:rPr>
        <w:footnoteReference w:id="5"/>
      </w:r>
      <w:r w:rsidRPr="00B349BB">
        <w:rPr>
          <w:rFonts w:ascii="Palatino Linotype" w:eastAsia="Palatino Linotype" w:hAnsi="Palatino Linotype" w:cs="Palatino Linotype"/>
          <w:i/>
          <w:sz w:val="22"/>
          <w:szCs w:val="22"/>
        </w:rPr>
        <w:t xml:space="preserve">  “</w:t>
      </w:r>
      <w:r w:rsidRPr="00B349BB">
        <w:rPr>
          <w:rFonts w:ascii="Palatino Linotype" w:eastAsia="Palatino Linotype" w:hAnsi="Palatino Linotype" w:cs="Palatino Linotype"/>
          <w:sz w:val="22"/>
          <w:szCs w:val="22"/>
        </w:rPr>
        <w:t>.</w:t>
      </w: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color w:val="000000"/>
          <w:sz w:val="22"/>
          <w:szCs w:val="22"/>
        </w:rPr>
        <w:t xml:space="preserve">Por su parte, </w:t>
      </w:r>
      <w:r w:rsidRPr="00B349BB">
        <w:rPr>
          <w:rFonts w:ascii="Palatino Linotype" w:eastAsia="Palatino Linotype" w:hAnsi="Palatino Linotype" w:cs="Palatino Linotype"/>
          <w:sz w:val="22"/>
          <w:szCs w:val="22"/>
        </w:rPr>
        <w:t xml:space="preserve">David Cienfuegos Salgado, concibe al derecho de petición como </w:t>
      </w:r>
      <w:r w:rsidRPr="00B349BB">
        <w:rPr>
          <w:rFonts w:ascii="Palatino Linotype" w:eastAsia="Palatino Linotype" w:hAnsi="Palatino Linotype" w:cs="Palatino Linotype"/>
          <w:i/>
          <w:sz w:val="22"/>
          <w:szCs w:val="22"/>
        </w:rPr>
        <w:t xml:space="preserve">“el derecho de toda persona a ser escuchado por quienes ejercen el poder público. </w:t>
      </w:r>
      <w:r w:rsidRPr="00B349BB">
        <w:rPr>
          <w:rFonts w:ascii="Palatino Linotype" w:eastAsia="Palatino Linotype" w:hAnsi="Palatino Linotype" w:cs="Palatino Linotype"/>
          <w:i/>
          <w:sz w:val="22"/>
          <w:szCs w:val="22"/>
          <w:vertAlign w:val="superscript"/>
        </w:rPr>
        <w:footnoteReference w:id="6"/>
      </w:r>
      <w:r w:rsidRPr="00B349BB">
        <w:rPr>
          <w:rFonts w:ascii="Palatino Linotype" w:eastAsia="Palatino Linotype" w:hAnsi="Palatino Linotype" w:cs="Palatino Linotype"/>
          <w:i/>
          <w:sz w:val="22"/>
          <w:szCs w:val="22"/>
        </w:rPr>
        <w:t>” (Sic)</w:t>
      </w: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color w:val="000000"/>
          <w:sz w:val="22"/>
          <w:szCs w:val="22"/>
        </w:rPr>
        <w:t xml:space="preserve">Lego entonces, </w:t>
      </w:r>
      <w:r w:rsidRPr="00B349BB">
        <w:rPr>
          <w:rFonts w:ascii="Palatino Linotype" w:eastAsia="Palatino Linotype" w:hAnsi="Palatino Linotype" w:cs="Palatino Linotype"/>
          <w:sz w:val="22"/>
          <w:szCs w:val="22"/>
        </w:rPr>
        <w:t xml:space="preserve">para diferenciar el derecho de petición al derecho de acceso a la información, resulta conducente señalar que José Guadalupe Robles, conceptualiza el derecho a la información como </w:t>
      </w:r>
      <w:r w:rsidRPr="00B349BB">
        <w:rPr>
          <w:rFonts w:ascii="Palatino Linotype" w:eastAsia="Palatino Linotype" w:hAnsi="Palatino Linotype" w:cs="Palatino Linotype"/>
          <w:i/>
          <w:sz w:val="22"/>
          <w:szCs w:val="22"/>
        </w:rPr>
        <w:t xml:space="preserve">“un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B349BB">
        <w:rPr>
          <w:rFonts w:ascii="Palatino Linotype" w:eastAsia="Palatino Linotype" w:hAnsi="Palatino Linotype" w:cs="Palatino Linotype"/>
          <w:i/>
          <w:sz w:val="22"/>
          <w:szCs w:val="22"/>
          <w:vertAlign w:val="superscript"/>
        </w:rPr>
        <w:footnoteReference w:id="7"/>
      </w:r>
      <w:r w:rsidRPr="00B349BB">
        <w:rPr>
          <w:rFonts w:ascii="Palatino Linotype" w:eastAsia="Palatino Linotype" w:hAnsi="Palatino Linotype" w:cs="Palatino Linotype"/>
          <w:i/>
          <w:sz w:val="22"/>
          <w:szCs w:val="22"/>
        </w:rPr>
        <w:t>“(Sic)</w:t>
      </w:r>
    </w:p>
    <w:p w:rsidR="000F1B65" w:rsidRPr="00B349BB" w:rsidRDefault="000F1B65">
      <w:pPr>
        <w:rPr>
          <w:rFonts w:ascii="Palatino Linotype" w:eastAsia="Palatino Linotype" w:hAnsi="Palatino Linotype" w:cs="Palatino Linotype"/>
          <w:color w:val="000000"/>
          <w:sz w:val="22"/>
          <w:szCs w:val="22"/>
        </w:rPr>
      </w:pPr>
    </w:p>
    <w:p w:rsidR="000F1B65" w:rsidRPr="00B349BB"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color w:val="000000"/>
          <w:sz w:val="22"/>
          <w:szCs w:val="22"/>
        </w:rPr>
        <w:t xml:space="preserve">Además, </w:t>
      </w:r>
      <w:r w:rsidRPr="00B349BB">
        <w:rPr>
          <w:rFonts w:ascii="Palatino Linotype" w:eastAsia="Palatino Linotype" w:hAnsi="Palatino Linotype" w:cs="Palatino Linotype"/>
          <w:sz w:val="22"/>
          <w:szCs w:val="22"/>
        </w:rPr>
        <w:t xml:space="preserve">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00B349BB">
        <w:rPr>
          <w:rFonts w:ascii="Palatino Linotype" w:eastAsia="Palatino Linotype" w:hAnsi="Palatino Linotype" w:cs="Palatino Linotype"/>
          <w:sz w:val="22"/>
          <w:szCs w:val="22"/>
        </w:rPr>
        <w:t>Villanueva</w:t>
      </w:r>
      <w:proofErr w:type="spellEnd"/>
      <w:r w:rsidRPr="00B349BB">
        <w:rPr>
          <w:rFonts w:ascii="Palatino Linotype" w:eastAsia="Palatino Linotype" w:hAnsi="Palatino Linotype" w:cs="Palatino Linotype"/>
          <w:sz w:val="22"/>
          <w:szCs w:val="22"/>
        </w:rPr>
        <w:t xml:space="preserve"> que dice:</w:t>
      </w:r>
      <w:r w:rsidRPr="00B349BB">
        <w:rPr>
          <w:rFonts w:ascii="Palatino Linotype" w:eastAsia="Palatino Linotype" w:hAnsi="Palatino Linotype" w:cs="Palatino Linotype"/>
          <w:i/>
          <w:sz w:val="22"/>
          <w:szCs w:val="22"/>
        </w:rPr>
        <w:t xml:space="preserve"> “la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B349BB">
        <w:rPr>
          <w:rFonts w:ascii="Palatino Linotype" w:eastAsia="Palatino Linotype" w:hAnsi="Palatino Linotype" w:cs="Palatino Linotype"/>
          <w:i/>
          <w:sz w:val="22"/>
          <w:szCs w:val="22"/>
          <w:vertAlign w:val="superscript"/>
        </w:rPr>
        <w:footnoteReference w:id="8"/>
      </w:r>
      <w:r w:rsidRPr="00B349BB">
        <w:rPr>
          <w:rFonts w:ascii="Palatino Linotype" w:eastAsia="Palatino Linotype" w:hAnsi="Palatino Linotype" w:cs="Palatino Linotype"/>
          <w:i/>
          <w:sz w:val="22"/>
          <w:szCs w:val="22"/>
        </w:rPr>
        <w:t xml:space="preserve">” (Sic) </w:t>
      </w:r>
    </w:p>
    <w:p w:rsidR="000F1B65" w:rsidRPr="00B349BB" w:rsidRDefault="000F1B65">
      <w:pPr>
        <w:rPr>
          <w:rFonts w:ascii="Palatino Linotype" w:eastAsia="Palatino Linotype" w:hAnsi="Palatino Linotype" w:cs="Palatino Linotype"/>
          <w:color w:val="000000"/>
          <w:sz w:val="22"/>
          <w:szCs w:val="22"/>
        </w:rPr>
      </w:pPr>
    </w:p>
    <w:p w:rsidR="000F1B65" w:rsidRPr="00B349BB"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color w:val="000000"/>
          <w:sz w:val="22"/>
          <w:szCs w:val="22"/>
        </w:rPr>
        <w:t xml:space="preserve">Ahora bien, </w:t>
      </w:r>
      <w:r w:rsidRPr="00B349BB">
        <w:rPr>
          <w:rFonts w:ascii="Palatino Linotype" w:eastAsia="Palatino Linotype" w:hAnsi="Palatino Linotype" w:cs="Palatino Linotype"/>
          <w:sz w:val="22"/>
          <w:szCs w:val="22"/>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0F1B65" w:rsidRPr="00B349BB" w:rsidRDefault="000F1B65">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0F1B65" w:rsidRPr="00B349BB" w:rsidRDefault="005E216F">
      <w:pPr>
        <w:tabs>
          <w:tab w:val="left" w:pos="8222"/>
        </w:tabs>
        <w:ind w:left="567" w:right="567"/>
        <w:jc w:val="center"/>
        <w:rPr>
          <w:rFonts w:ascii="Palatino Linotype" w:eastAsia="Palatino Linotype" w:hAnsi="Palatino Linotype" w:cs="Palatino Linotype"/>
          <w:b/>
          <w:i/>
          <w:sz w:val="22"/>
          <w:szCs w:val="22"/>
        </w:rPr>
      </w:pPr>
      <w:r w:rsidRPr="00B349BB">
        <w:rPr>
          <w:rFonts w:ascii="Palatino Linotype" w:eastAsia="Palatino Linotype" w:hAnsi="Palatino Linotype" w:cs="Palatino Linotype"/>
          <w:b/>
          <w:i/>
          <w:sz w:val="22"/>
          <w:szCs w:val="22"/>
        </w:rPr>
        <w:t>“CRITERIO 0002-11</w:t>
      </w:r>
    </w:p>
    <w:p w:rsidR="000F1B65" w:rsidRPr="00B349BB" w:rsidRDefault="005E216F">
      <w:pPr>
        <w:tabs>
          <w:tab w:val="left" w:pos="8222"/>
        </w:tabs>
        <w:ind w:left="567" w:right="567"/>
        <w:jc w:val="both"/>
        <w:rPr>
          <w:rFonts w:ascii="Palatino Linotype" w:eastAsia="Palatino Linotype" w:hAnsi="Palatino Linotype" w:cs="Palatino Linotype"/>
          <w:i/>
          <w:sz w:val="22"/>
          <w:szCs w:val="22"/>
        </w:rPr>
      </w:pPr>
      <w:r w:rsidRPr="00B349BB">
        <w:rPr>
          <w:rFonts w:ascii="Palatino Linotype" w:eastAsia="Palatino Linotype" w:hAnsi="Palatino Linotype" w:cs="Palatino Linotype"/>
          <w:b/>
          <w:i/>
          <w:sz w:val="22"/>
          <w:szCs w:val="22"/>
        </w:rPr>
        <w:t>INFORMACIÓN PÚBLICA, CONCEPTO DE, EN MATERIA DE TRANSPARENCIA. INTERPRETACIÓN TEMÁTICA DE LOS ARTÍCULOS 2, FRACCIÓN V, XV, Y XVI, 3, 4, 11 Y 41.</w:t>
      </w:r>
      <w:r w:rsidRPr="00B349BB">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0F1B65" w:rsidRPr="00B349BB" w:rsidRDefault="005E216F">
      <w:pPr>
        <w:tabs>
          <w:tab w:val="left" w:pos="8222"/>
        </w:tabs>
        <w:ind w:left="567" w:right="539"/>
        <w:jc w:val="both"/>
        <w:rPr>
          <w:rFonts w:ascii="Palatino Linotype" w:eastAsia="Palatino Linotype" w:hAnsi="Palatino Linotype" w:cs="Palatino Linotype"/>
          <w:i/>
          <w:sz w:val="22"/>
          <w:szCs w:val="22"/>
        </w:rPr>
      </w:pPr>
      <w:r w:rsidRPr="00B349BB">
        <w:rPr>
          <w:rFonts w:ascii="Palatino Linotype" w:eastAsia="Palatino Linotype" w:hAnsi="Palatino Linotype" w:cs="Palatino Linotype"/>
          <w:i/>
          <w:sz w:val="22"/>
          <w:szCs w:val="22"/>
        </w:rPr>
        <w:t xml:space="preserve">En </w:t>
      </w:r>
      <w:proofErr w:type="gramStart"/>
      <w:r w:rsidRPr="00B349BB">
        <w:rPr>
          <w:rFonts w:ascii="Palatino Linotype" w:eastAsia="Palatino Linotype" w:hAnsi="Palatino Linotype" w:cs="Palatino Linotype"/>
          <w:i/>
          <w:sz w:val="22"/>
          <w:szCs w:val="22"/>
        </w:rPr>
        <w:t>consecuencia</w:t>
      </w:r>
      <w:proofErr w:type="gramEnd"/>
      <w:r w:rsidRPr="00B349BB">
        <w:rPr>
          <w:rFonts w:ascii="Palatino Linotype" w:eastAsia="Palatino Linotype" w:hAnsi="Palatino Linotype" w:cs="Palatino Linotype"/>
          <w:i/>
          <w:sz w:val="22"/>
          <w:szCs w:val="22"/>
        </w:rPr>
        <w:t xml:space="preserve"> el acceso a la información se refiere a que se cumplan cualquiera de los siguientes tres supuestos:</w:t>
      </w:r>
    </w:p>
    <w:p w:rsidR="000F1B65" w:rsidRPr="00B349BB" w:rsidRDefault="000F1B65">
      <w:pPr>
        <w:tabs>
          <w:tab w:val="left" w:pos="8222"/>
        </w:tabs>
        <w:ind w:left="567" w:right="539"/>
        <w:jc w:val="both"/>
        <w:rPr>
          <w:rFonts w:ascii="Palatino Linotype" w:eastAsia="Palatino Linotype" w:hAnsi="Palatino Linotype" w:cs="Palatino Linotype"/>
          <w:i/>
          <w:sz w:val="22"/>
          <w:szCs w:val="22"/>
        </w:rPr>
      </w:pPr>
    </w:p>
    <w:p w:rsidR="000F1B65" w:rsidRPr="00B349BB" w:rsidRDefault="005E216F">
      <w:pPr>
        <w:tabs>
          <w:tab w:val="left" w:pos="8222"/>
        </w:tabs>
        <w:ind w:left="567" w:right="539"/>
        <w:jc w:val="both"/>
        <w:rPr>
          <w:rFonts w:ascii="Palatino Linotype" w:eastAsia="Palatino Linotype" w:hAnsi="Palatino Linotype" w:cs="Palatino Linotype"/>
          <w:i/>
          <w:sz w:val="22"/>
          <w:szCs w:val="22"/>
        </w:rPr>
      </w:pPr>
      <w:r w:rsidRPr="00B349BB">
        <w:rPr>
          <w:rFonts w:ascii="Palatino Linotype" w:eastAsia="Palatino Linotype" w:hAnsi="Palatino Linotype" w:cs="Palatino Linotype"/>
          <w:i/>
          <w:sz w:val="22"/>
          <w:szCs w:val="22"/>
        </w:rPr>
        <w:t xml:space="preserve">Que se trate de información registrada en cualquier soporte documental, </w:t>
      </w:r>
      <w:proofErr w:type="gramStart"/>
      <w:r w:rsidRPr="00B349BB">
        <w:rPr>
          <w:rFonts w:ascii="Palatino Linotype" w:eastAsia="Palatino Linotype" w:hAnsi="Palatino Linotype" w:cs="Palatino Linotype"/>
          <w:i/>
          <w:sz w:val="22"/>
          <w:szCs w:val="22"/>
        </w:rPr>
        <w:t>que</w:t>
      </w:r>
      <w:proofErr w:type="gramEnd"/>
      <w:r w:rsidRPr="00B349BB">
        <w:rPr>
          <w:rFonts w:ascii="Palatino Linotype" w:eastAsia="Palatino Linotype" w:hAnsi="Palatino Linotype" w:cs="Palatino Linotype"/>
          <w:i/>
          <w:sz w:val="22"/>
          <w:szCs w:val="22"/>
        </w:rPr>
        <w:t xml:space="preserve"> en ejercicio de las atribuciones conferidas, sea generada por los Sujetos Obligados;</w:t>
      </w:r>
    </w:p>
    <w:p w:rsidR="000F1B65" w:rsidRPr="00B349BB" w:rsidRDefault="000F1B65">
      <w:pPr>
        <w:tabs>
          <w:tab w:val="left" w:pos="8222"/>
        </w:tabs>
        <w:ind w:left="567" w:right="539"/>
        <w:jc w:val="both"/>
        <w:rPr>
          <w:rFonts w:ascii="Palatino Linotype" w:eastAsia="Palatino Linotype" w:hAnsi="Palatino Linotype" w:cs="Palatino Linotype"/>
          <w:i/>
          <w:sz w:val="22"/>
          <w:szCs w:val="22"/>
        </w:rPr>
      </w:pPr>
    </w:p>
    <w:p w:rsidR="000F1B65" w:rsidRPr="00B349BB" w:rsidRDefault="005E216F">
      <w:pPr>
        <w:tabs>
          <w:tab w:val="left" w:pos="8222"/>
        </w:tabs>
        <w:ind w:left="567" w:right="539"/>
        <w:jc w:val="both"/>
        <w:rPr>
          <w:rFonts w:ascii="Palatino Linotype" w:eastAsia="Palatino Linotype" w:hAnsi="Palatino Linotype" w:cs="Palatino Linotype"/>
          <w:i/>
          <w:sz w:val="22"/>
          <w:szCs w:val="22"/>
        </w:rPr>
      </w:pPr>
      <w:r w:rsidRPr="00B349BB">
        <w:rPr>
          <w:rFonts w:ascii="Palatino Linotype" w:eastAsia="Palatino Linotype" w:hAnsi="Palatino Linotype" w:cs="Palatino Linotype"/>
          <w:i/>
          <w:sz w:val="22"/>
          <w:szCs w:val="22"/>
        </w:rPr>
        <w:lastRenderedPageBreak/>
        <w:t xml:space="preserve">Que se trate de información registrada en cualquier soporte documental, </w:t>
      </w:r>
      <w:proofErr w:type="gramStart"/>
      <w:r w:rsidRPr="00B349BB">
        <w:rPr>
          <w:rFonts w:ascii="Palatino Linotype" w:eastAsia="Palatino Linotype" w:hAnsi="Palatino Linotype" w:cs="Palatino Linotype"/>
          <w:i/>
          <w:sz w:val="22"/>
          <w:szCs w:val="22"/>
        </w:rPr>
        <w:t>que</w:t>
      </w:r>
      <w:proofErr w:type="gramEnd"/>
      <w:r w:rsidRPr="00B349BB">
        <w:rPr>
          <w:rFonts w:ascii="Palatino Linotype" w:eastAsia="Palatino Linotype" w:hAnsi="Palatino Linotype" w:cs="Palatino Linotype"/>
          <w:i/>
          <w:sz w:val="22"/>
          <w:szCs w:val="22"/>
        </w:rPr>
        <w:t xml:space="preserve"> en ejercicio de las atribuciones conferidas, sea administrada por los Sujetos Obligados, y</w:t>
      </w:r>
    </w:p>
    <w:p w:rsidR="000F1B65" w:rsidRPr="00B349BB" w:rsidRDefault="000F1B65">
      <w:pPr>
        <w:tabs>
          <w:tab w:val="left" w:pos="8222"/>
        </w:tabs>
        <w:ind w:left="567" w:right="539"/>
        <w:jc w:val="both"/>
        <w:rPr>
          <w:rFonts w:ascii="Palatino Linotype" w:eastAsia="Palatino Linotype" w:hAnsi="Palatino Linotype" w:cs="Palatino Linotype"/>
          <w:i/>
          <w:sz w:val="22"/>
          <w:szCs w:val="22"/>
        </w:rPr>
      </w:pPr>
    </w:p>
    <w:p w:rsidR="000F1B65" w:rsidRPr="00B349BB" w:rsidRDefault="005E216F">
      <w:pPr>
        <w:ind w:left="567" w:right="539"/>
        <w:jc w:val="both"/>
        <w:rPr>
          <w:rFonts w:ascii="Palatino Linotype" w:eastAsia="Palatino Linotype" w:hAnsi="Palatino Linotype" w:cs="Palatino Linotype"/>
          <w:color w:val="000000"/>
          <w:sz w:val="22"/>
          <w:szCs w:val="22"/>
        </w:rPr>
      </w:pPr>
      <w:r w:rsidRPr="00B349BB">
        <w:rPr>
          <w:rFonts w:ascii="Palatino Linotype" w:eastAsia="Palatino Linotype" w:hAnsi="Palatino Linotype" w:cs="Palatino Linotype"/>
          <w:i/>
          <w:sz w:val="22"/>
          <w:szCs w:val="22"/>
        </w:rPr>
        <w:t xml:space="preserve">Que se trate de información registrada en cualquier soporte documental, </w:t>
      </w:r>
      <w:proofErr w:type="gramStart"/>
      <w:r w:rsidRPr="00B349BB">
        <w:rPr>
          <w:rFonts w:ascii="Palatino Linotype" w:eastAsia="Palatino Linotype" w:hAnsi="Palatino Linotype" w:cs="Palatino Linotype"/>
          <w:i/>
          <w:sz w:val="22"/>
          <w:szCs w:val="22"/>
        </w:rPr>
        <w:t>que</w:t>
      </w:r>
      <w:proofErr w:type="gramEnd"/>
      <w:r w:rsidRPr="00B349BB">
        <w:rPr>
          <w:rFonts w:ascii="Palatino Linotype" w:eastAsia="Palatino Linotype" w:hAnsi="Palatino Linotype" w:cs="Palatino Linotype"/>
          <w:i/>
          <w:sz w:val="22"/>
          <w:szCs w:val="22"/>
        </w:rPr>
        <w:t xml:space="preserve"> en ejercicio de las atribuciones conferidas, se encuentre en posesión de los Sujetos Obligados</w:t>
      </w:r>
      <w:r w:rsidRPr="00B349BB">
        <w:rPr>
          <w:rFonts w:ascii="Palatino Linotype" w:eastAsia="Palatino Linotype" w:hAnsi="Palatino Linotype" w:cs="Palatino Linotype"/>
          <w:sz w:val="22"/>
          <w:szCs w:val="22"/>
        </w:rPr>
        <w:t>.”</w:t>
      </w:r>
    </w:p>
    <w:p w:rsidR="000F1B65" w:rsidRPr="00B349BB" w:rsidRDefault="000F1B65">
      <w:pPr>
        <w:spacing w:line="360" w:lineRule="auto"/>
        <w:ind w:right="49"/>
        <w:jc w:val="both"/>
        <w:rPr>
          <w:rFonts w:ascii="Palatino Linotype" w:eastAsia="Palatino Linotype" w:hAnsi="Palatino Linotype" w:cs="Palatino Linotype"/>
          <w:i/>
          <w:sz w:val="22"/>
          <w:szCs w:val="22"/>
        </w:rPr>
      </w:pPr>
    </w:p>
    <w:p w:rsidR="000F1B65" w:rsidRPr="00B349BB" w:rsidRDefault="005E216F">
      <w:pPr>
        <w:numPr>
          <w:ilvl w:val="0"/>
          <w:numId w:val="1"/>
        </w:numPr>
        <w:spacing w:line="360" w:lineRule="auto"/>
        <w:ind w:left="0" w:right="49"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color w:val="000000"/>
          <w:sz w:val="22"/>
          <w:szCs w:val="22"/>
        </w:rPr>
        <w:t xml:space="preserve">De </w:t>
      </w:r>
      <w:r w:rsidRPr="00B349BB">
        <w:rPr>
          <w:rFonts w:ascii="Palatino Linotype" w:eastAsia="Palatino Linotype" w:hAnsi="Palatino Linotype" w:cs="Palatino Linotype"/>
          <w:sz w:val="22"/>
          <w:szCs w:val="22"/>
        </w:rPr>
        <w:t>lo anterior, se puede concluir que la distinción entre el derecho de petición y el derecho de acceso a la información estriba, principalmente, en que en el primero de ellos la pretensión del peticionario consiste generalmente en obligar a la autoridad responsable a que actúe en el sentido de contestar lo solicitado; mientras que en el segundo supuesto, la petición se encamina primordialmente a permitir el acceso a datos, registros y todo tipo de información pública que consten en documentos, sea generada o se encuentre en posesión de la autoridad.</w:t>
      </w:r>
    </w:p>
    <w:p w:rsidR="000F1B65" w:rsidRPr="00B349BB" w:rsidRDefault="000F1B65">
      <w:pPr>
        <w:spacing w:line="360" w:lineRule="auto"/>
        <w:ind w:right="-28"/>
        <w:jc w:val="both"/>
        <w:rPr>
          <w:rFonts w:ascii="Palatino Linotype" w:eastAsia="Palatino Linotype" w:hAnsi="Palatino Linotype" w:cs="Palatino Linotype"/>
          <w:sz w:val="22"/>
          <w:szCs w:val="22"/>
        </w:rPr>
      </w:pPr>
    </w:p>
    <w:p w:rsidR="003E212D" w:rsidRDefault="005E216F">
      <w:pPr>
        <w:keepNext/>
        <w:keepLines/>
        <w:spacing w:line="360" w:lineRule="auto"/>
        <w:ind w:right="48"/>
        <w:rPr>
          <w:rFonts w:ascii="Palatino Linotype" w:eastAsia="Palatino Linotype" w:hAnsi="Palatino Linotype" w:cs="Palatino Linotype"/>
          <w:b/>
          <w:sz w:val="22"/>
          <w:szCs w:val="22"/>
        </w:rPr>
      </w:pPr>
      <w:r w:rsidRPr="00B349BB">
        <w:rPr>
          <w:rFonts w:ascii="Palatino Linotype" w:eastAsia="Palatino Linotype" w:hAnsi="Palatino Linotype" w:cs="Palatino Linotype"/>
          <w:b/>
          <w:sz w:val="22"/>
          <w:szCs w:val="22"/>
        </w:rPr>
        <w:t>CUARTO. Vista a la Dirección de Protección de Datos Personales.</w:t>
      </w:r>
    </w:p>
    <w:p w:rsidR="00D0312C" w:rsidRPr="00B349BB" w:rsidRDefault="00D0312C">
      <w:pPr>
        <w:keepNext/>
        <w:keepLines/>
        <w:spacing w:line="360" w:lineRule="auto"/>
        <w:ind w:right="48"/>
        <w:rPr>
          <w:rFonts w:ascii="Palatino Linotype" w:eastAsia="Palatino Linotype" w:hAnsi="Palatino Linotype" w:cs="Palatino Linotype"/>
          <w:b/>
          <w:sz w:val="22"/>
          <w:szCs w:val="22"/>
        </w:rPr>
      </w:pPr>
    </w:p>
    <w:p w:rsidR="000F1B65" w:rsidRPr="00B349BB" w:rsidRDefault="005E216F">
      <w:pPr>
        <w:numPr>
          <w:ilvl w:val="0"/>
          <w:numId w:val="1"/>
        </w:numPr>
        <w:spacing w:line="360" w:lineRule="auto"/>
        <w:ind w:left="0" w:right="-28"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sz w:val="22"/>
          <w:szCs w:val="22"/>
        </w:rPr>
        <w:t xml:space="preserve">Es necesario resaltar que el recurso de revisión previsto en la Ley de la materia no es el medio para investigar y, en su caso, sancionar a servidores públicos por la falta de cuidado de la protección de datos personales; es así que, se aprecia que se vulneraron datos personales de particulares; como lo es, </w:t>
      </w:r>
      <w:r w:rsidRPr="00B349BB">
        <w:rPr>
          <w:rFonts w:ascii="Palatino Linotype" w:eastAsia="Palatino Linotype" w:hAnsi="Palatino Linotype" w:cs="Palatino Linotype"/>
          <w:b/>
          <w:sz w:val="22"/>
          <w:szCs w:val="22"/>
        </w:rPr>
        <w:t>el nombre,</w:t>
      </w:r>
      <w:r w:rsidRPr="00B349BB">
        <w:rPr>
          <w:rFonts w:ascii="Palatino Linotype" w:eastAsia="Palatino Linotype" w:hAnsi="Palatino Linotype" w:cs="Palatino Linotype"/>
          <w:sz w:val="22"/>
          <w:szCs w:val="22"/>
        </w:rPr>
        <w:t xml:space="preserve"> por lo que, es necesario dar vista al área competente para que en ejercicio de sus atribuciones realice las investigaciones pertinentes por las omisiones detectadas atribuibles al </w:t>
      </w:r>
      <w:r w:rsidRPr="00B349BB">
        <w:rPr>
          <w:rFonts w:ascii="Palatino Linotype" w:eastAsia="Palatino Linotype" w:hAnsi="Palatino Linotype" w:cs="Palatino Linotype"/>
          <w:b/>
          <w:sz w:val="22"/>
          <w:szCs w:val="22"/>
        </w:rPr>
        <w:t>SUJETO OBLIGADO.</w:t>
      </w:r>
    </w:p>
    <w:p w:rsidR="000F1B65" w:rsidRPr="00B349BB" w:rsidRDefault="000F1B65">
      <w:pPr>
        <w:spacing w:line="360" w:lineRule="auto"/>
        <w:ind w:right="-28"/>
        <w:jc w:val="both"/>
        <w:rPr>
          <w:rFonts w:ascii="Palatino Linotype" w:eastAsia="Palatino Linotype" w:hAnsi="Palatino Linotype" w:cs="Palatino Linotype"/>
          <w:i/>
          <w:sz w:val="22"/>
          <w:szCs w:val="22"/>
        </w:rPr>
      </w:pPr>
    </w:p>
    <w:p w:rsidR="000F1B65" w:rsidRPr="00B349BB" w:rsidRDefault="005E216F">
      <w:pPr>
        <w:numPr>
          <w:ilvl w:val="0"/>
          <w:numId w:val="1"/>
        </w:numPr>
        <w:spacing w:line="360" w:lineRule="auto"/>
        <w:ind w:left="0" w:right="-28"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color w:val="000000"/>
          <w:sz w:val="22"/>
          <w:szCs w:val="22"/>
        </w:rPr>
        <w:t xml:space="preserve">Por </w:t>
      </w:r>
      <w:r w:rsidRPr="00B349BB">
        <w:rPr>
          <w:rFonts w:ascii="Palatino Linotype" w:eastAsia="Palatino Linotype" w:hAnsi="Palatino Linotype" w:cs="Palatino Linotype"/>
          <w:sz w:val="22"/>
          <w:szCs w:val="22"/>
        </w:rPr>
        <w:t>ello, es conveniente señalar las fracciones XIV, XXII, XXIII y XXV, del artículo 82, de la Ley de Protección de Datos Personales en Posesión de Sujetos Obligados del Estado de México y Municipios, que establece:</w:t>
      </w:r>
    </w:p>
    <w:p w:rsidR="000F1B65" w:rsidRPr="00B349BB" w:rsidRDefault="005E216F">
      <w:pPr>
        <w:pBdr>
          <w:top w:val="nil"/>
          <w:left w:val="nil"/>
          <w:bottom w:val="nil"/>
          <w:right w:val="nil"/>
          <w:between w:val="nil"/>
        </w:pBdr>
        <w:tabs>
          <w:tab w:val="left" w:pos="426"/>
        </w:tabs>
        <w:spacing w:before="240"/>
        <w:ind w:left="567" w:right="539"/>
        <w:jc w:val="both"/>
        <w:rPr>
          <w:rFonts w:ascii="Palatino Linotype" w:eastAsia="Palatino Linotype" w:hAnsi="Palatino Linotype" w:cs="Palatino Linotype"/>
          <w:b/>
          <w:i/>
          <w:color w:val="000000"/>
          <w:sz w:val="22"/>
          <w:szCs w:val="22"/>
        </w:rPr>
      </w:pPr>
      <w:r w:rsidRPr="00B349BB">
        <w:rPr>
          <w:rFonts w:ascii="Palatino Linotype" w:eastAsia="Palatino Linotype" w:hAnsi="Palatino Linotype" w:cs="Palatino Linotype"/>
          <w:b/>
          <w:i/>
          <w:color w:val="000000"/>
          <w:sz w:val="22"/>
          <w:szCs w:val="22"/>
        </w:rPr>
        <w:t xml:space="preserve">Atribuciones del Instituto </w:t>
      </w:r>
    </w:p>
    <w:p w:rsidR="000F1B65" w:rsidRPr="00B349BB" w:rsidRDefault="005E216F">
      <w:pPr>
        <w:pBdr>
          <w:top w:val="nil"/>
          <w:left w:val="nil"/>
          <w:bottom w:val="nil"/>
          <w:right w:val="nil"/>
          <w:between w:val="nil"/>
        </w:pBdr>
        <w:tabs>
          <w:tab w:val="left" w:pos="426"/>
        </w:tabs>
        <w:ind w:left="567" w:right="539"/>
        <w:jc w:val="both"/>
        <w:rPr>
          <w:rFonts w:ascii="Palatino Linotype" w:eastAsia="Palatino Linotype" w:hAnsi="Palatino Linotype" w:cs="Palatino Linotype"/>
          <w:i/>
          <w:color w:val="000000"/>
          <w:sz w:val="22"/>
          <w:szCs w:val="22"/>
        </w:rPr>
      </w:pPr>
      <w:r w:rsidRPr="00B349BB">
        <w:rPr>
          <w:rFonts w:ascii="Palatino Linotype" w:eastAsia="Palatino Linotype" w:hAnsi="Palatino Linotype" w:cs="Palatino Linotype"/>
          <w:b/>
          <w:i/>
          <w:color w:val="000000"/>
          <w:sz w:val="22"/>
          <w:szCs w:val="22"/>
        </w:rPr>
        <w:lastRenderedPageBreak/>
        <w:t>“Artículo 82.</w:t>
      </w:r>
      <w:r w:rsidRPr="00B349BB">
        <w:rPr>
          <w:rFonts w:ascii="Palatino Linotype" w:eastAsia="Palatino Linotype" w:hAnsi="Palatino Linotype" w:cs="Palatino Linotype"/>
          <w:i/>
          <w:color w:val="000000"/>
          <w:sz w:val="22"/>
          <w:szCs w:val="22"/>
        </w:rPr>
        <w:t xml:space="preserve"> El Instituto, además de las atribuciones encomendadas por la Ley de Transparencia y normatividad aplicable, tendrá las atribuciones siguientes: </w:t>
      </w:r>
    </w:p>
    <w:p w:rsidR="000F1B65" w:rsidRPr="00B349BB" w:rsidRDefault="005E216F">
      <w:pPr>
        <w:pBdr>
          <w:top w:val="nil"/>
          <w:left w:val="nil"/>
          <w:bottom w:val="nil"/>
          <w:right w:val="nil"/>
          <w:between w:val="nil"/>
        </w:pBdr>
        <w:tabs>
          <w:tab w:val="left" w:pos="426"/>
        </w:tabs>
        <w:ind w:left="567" w:right="539"/>
        <w:jc w:val="both"/>
        <w:rPr>
          <w:rFonts w:ascii="Palatino Linotype" w:eastAsia="Palatino Linotype" w:hAnsi="Palatino Linotype" w:cs="Palatino Linotype"/>
          <w:i/>
          <w:color w:val="000000"/>
          <w:sz w:val="22"/>
          <w:szCs w:val="22"/>
        </w:rPr>
      </w:pPr>
      <w:r w:rsidRPr="00B349BB">
        <w:rPr>
          <w:rFonts w:ascii="Palatino Linotype" w:eastAsia="Palatino Linotype" w:hAnsi="Palatino Linotype" w:cs="Palatino Linotype"/>
          <w:i/>
          <w:color w:val="000000"/>
          <w:sz w:val="22"/>
          <w:szCs w:val="22"/>
        </w:rPr>
        <w:t xml:space="preserve">(…) </w:t>
      </w:r>
    </w:p>
    <w:p w:rsidR="000F1B65" w:rsidRPr="00B349BB" w:rsidRDefault="005E216F">
      <w:pPr>
        <w:pBdr>
          <w:top w:val="nil"/>
          <w:left w:val="nil"/>
          <w:bottom w:val="nil"/>
          <w:right w:val="nil"/>
          <w:between w:val="nil"/>
        </w:pBdr>
        <w:tabs>
          <w:tab w:val="left" w:pos="426"/>
        </w:tabs>
        <w:ind w:left="567" w:right="539"/>
        <w:jc w:val="both"/>
        <w:rPr>
          <w:rFonts w:ascii="Palatino Linotype" w:eastAsia="Palatino Linotype" w:hAnsi="Palatino Linotype" w:cs="Palatino Linotype"/>
          <w:i/>
          <w:color w:val="000000"/>
          <w:sz w:val="22"/>
          <w:szCs w:val="22"/>
        </w:rPr>
      </w:pPr>
      <w:r w:rsidRPr="00B349BB">
        <w:rPr>
          <w:rFonts w:ascii="Palatino Linotype" w:eastAsia="Palatino Linotype" w:hAnsi="Palatino Linotype" w:cs="Palatino Linotype"/>
          <w:b/>
          <w:i/>
          <w:color w:val="000000"/>
          <w:sz w:val="22"/>
          <w:szCs w:val="22"/>
        </w:rPr>
        <w:t>XIV. Formular observaciones y recomendaciones</w:t>
      </w:r>
      <w:r w:rsidRPr="00B349BB">
        <w:rPr>
          <w:rFonts w:ascii="Palatino Linotype" w:eastAsia="Palatino Linotype" w:hAnsi="Palatino Linotype" w:cs="Palatino Linotype"/>
          <w:i/>
          <w:color w:val="000000"/>
          <w:sz w:val="22"/>
          <w:szCs w:val="22"/>
        </w:rPr>
        <w:t xml:space="preserve"> a los sujetos obligados que incumplan esta Ley. </w:t>
      </w:r>
    </w:p>
    <w:p w:rsidR="000F1B65" w:rsidRPr="00B349BB" w:rsidRDefault="005E216F">
      <w:pPr>
        <w:pBdr>
          <w:top w:val="nil"/>
          <w:left w:val="nil"/>
          <w:bottom w:val="nil"/>
          <w:right w:val="nil"/>
          <w:between w:val="nil"/>
        </w:pBdr>
        <w:tabs>
          <w:tab w:val="left" w:pos="426"/>
        </w:tabs>
        <w:ind w:left="567" w:right="539"/>
        <w:jc w:val="both"/>
        <w:rPr>
          <w:rFonts w:ascii="Palatino Linotype" w:eastAsia="Palatino Linotype" w:hAnsi="Palatino Linotype" w:cs="Palatino Linotype"/>
          <w:i/>
          <w:color w:val="000000"/>
          <w:sz w:val="22"/>
          <w:szCs w:val="22"/>
        </w:rPr>
      </w:pPr>
      <w:r w:rsidRPr="00B349BB">
        <w:rPr>
          <w:rFonts w:ascii="Palatino Linotype" w:eastAsia="Palatino Linotype" w:hAnsi="Palatino Linotype" w:cs="Palatino Linotype"/>
          <w:i/>
          <w:color w:val="000000"/>
          <w:sz w:val="22"/>
          <w:szCs w:val="22"/>
        </w:rPr>
        <w:t xml:space="preserve">(…) </w:t>
      </w:r>
    </w:p>
    <w:p w:rsidR="000F1B65" w:rsidRPr="00B349BB" w:rsidRDefault="005E216F">
      <w:pPr>
        <w:pBdr>
          <w:top w:val="nil"/>
          <w:left w:val="nil"/>
          <w:bottom w:val="nil"/>
          <w:right w:val="nil"/>
          <w:between w:val="nil"/>
        </w:pBdr>
        <w:tabs>
          <w:tab w:val="left" w:pos="426"/>
        </w:tabs>
        <w:ind w:left="567" w:right="539"/>
        <w:jc w:val="both"/>
        <w:rPr>
          <w:rFonts w:ascii="Palatino Linotype" w:eastAsia="Palatino Linotype" w:hAnsi="Palatino Linotype" w:cs="Palatino Linotype"/>
          <w:i/>
          <w:color w:val="000000"/>
          <w:sz w:val="22"/>
          <w:szCs w:val="22"/>
        </w:rPr>
      </w:pPr>
      <w:r w:rsidRPr="00B349BB">
        <w:rPr>
          <w:rFonts w:ascii="Palatino Linotype" w:eastAsia="Palatino Linotype" w:hAnsi="Palatino Linotype" w:cs="Palatino Linotype"/>
          <w:b/>
          <w:i/>
          <w:color w:val="000000"/>
          <w:sz w:val="22"/>
          <w:szCs w:val="22"/>
        </w:rPr>
        <w:t>XXII. Verificar el cumplimiento</w:t>
      </w:r>
      <w:r w:rsidRPr="00B349BB">
        <w:rPr>
          <w:rFonts w:ascii="Palatino Linotype" w:eastAsia="Palatino Linotype" w:hAnsi="Palatino Linotype" w:cs="Palatino Linotype"/>
          <w:i/>
          <w:color w:val="000000"/>
          <w:sz w:val="22"/>
          <w:szCs w:val="22"/>
        </w:rPr>
        <w:t xml:space="preserve"> de las disposiciones previstas en esta Ley a través de los procedimientos de revisión que resulten compatibles con las disposiciones de esta Ley. </w:t>
      </w:r>
    </w:p>
    <w:p w:rsidR="000F1B65" w:rsidRPr="00B349BB" w:rsidRDefault="005E216F">
      <w:pPr>
        <w:pBdr>
          <w:top w:val="nil"/>
          <w:left w:val="nil"/>
          <w:bottom w:val="nil"/>
          <w:right w:val="nil"/>
          <w:between w:val="nil"/>
        </w:pBdr>
        <w:tabs>
          <w:tab w:val="left" w:pos="426"/>
        </w:tabs>
        <w:ind w:left="567" w:right="539"/>
        <w:jc w:val="both"/>
        <w:rPr>
          <w:rFonts w:ascii="Palatino Linotype" w:eastAsia="Palatino Linotype" w:hAnsi="Palatino Linotype" w:cs="Palatino Linotype"/>
          <w:i/>
          <w:color w:val="000000"/>
          <w:sz w:val="22"/>
          <w:szCs w:val="22"/>
        </w:rPr>
      </w:pPr>
      <w:r w:rsidRPr="00B349BB">
        <w:rPr>
          <w:rFonts w:ascii="Palatino Linotype" w:eastAsia="Palatino Linotype" w:hAnsi="Palatino Linotype" w:cs="Palatino Linotype"/>
          <w:b/>
          <w:i/>
          <w:color w:val="000000"/>
          <w:sz w:val="22"/>
          <w:szCs w:val="22"/>
        </w:rPr>
        <w:t>XXIII. Implementar los procedimientos</w:t>
      </w:r>
      <w:r w:rsidRPr="00B349BB">
        <w:rPr>
          <w:rFonts w:ascii="Palatino Linotype" w:eastAsia="Palatino Linotype" w:hAnsi="Palatino Linotype" w:cs="Palatino Linotype"/>
          <w:i/>
          <w:color w:val="000000"/>
          <w:sz w:val="22"/>
          <w:szCs w:val="22"/>
        </w:rPr>
        <w:t xml:space="preserve"> que resulten necesarios para el cumplimiento de las disposiciones de esta Ley y para asegurar la protección de datos personales de los titulares. </w:t>
      </w:r>
    </w:p>
    <w:p w:rsidR="000F1B65" w:rsidRPr="00B349BB" w:rsidRDefault="005E216F">
      <w:pPr>
        <w:pBdr>
          <w:top w:val="nil"/>
          <w:left w:val="nil"/>
          <w:bottom w:val="nil"/>
          <w:right w:val="nil"/>
          <w:between w:val="nil"/>
        </w:pBdr>
        <w:tabs>
          <w:tab w:val="left" w:pos="426"/>
        </w:tabs>
        <w:ind w:left="567" w:right="539"/>
        <w:jc w:val="both"/>
        <w:rPr>
          <w:rFonts w:ascii="Palatino Linotype" w:eastAsia="Palatino Linotype" w:hAnsi="Palatino Linotype" w:cs="Palatino Linotype"/>
          <w:i/>
          <w:color w:val="000000"/>
          <w:sz w:val="22"/>
          <w:szCs w:val="22"/>
        </w:rPr>
      </w:pPr>
      <w:r w:rsidRPr="00B349BB">
        <w:rPr>
          <w:rFonts w:ascii="Palatino Linotype" w:eastAsia="Palatino Linotype" w:hAnsi="Palatino Linotype" w:cs="Palatino Linotype"/>
          <w:i/>
          <w:color w:val="000000"/>
          <w:sz w:val="22"/>
          <w:szCs w:val="22"/>
        </w:rPr>
        <w:t xml:space="preserve">(…) </w:t>
      </w:r>
    </w:p>
    <w:p w:rsidR="000F1B65" w:rsidRPr="00B349BB" w:rsidRDefault="005E216F">
      <w:pPr>
        <w:pBdr>
          <w:top w:val="nil"/>
          <w:left w:val="nil"/>
          <w:bottom w:val="nil"/>
          <w:right w:val="nil"/>
          <w:between w:val="nil"/>
        </w:pBdr>
        <w:tabs>
          <w:tab w:val="left" w:pos="426"/>
        </w:tabs>
        <w:ind w:left="567" w:right="539"/>
        <w:jc w:val="both"/>
        <w:rPr>
          <w:rFonts w:ascii="Palatino Linotype" w:eastAsia="Palatino Linotype" w:hAnsi="Palatino Linotype" w:cs="Palatino Linotype"/>
          <w:i/>
          <w:color w:val="000000"/>
          <w:sz w:val="22"/>
          <w:szCs w:val="22"/>
        </w:rPr>
      </w:pPr>
      <w:r w:rsidRPr="00B349BB">
        <w:rPr>
          <w:rFonts w:ascii="Palatino Linotype" w:eastAsia="Palatino Linotype" w:hAnsi="Palatino Linotype" w:cs="Palatino Linotype"/>
          <w:b/>
          <w:i/>
          <w:color w:val="000000"/>
          <w:sz w:val="22"/>
          <w:szCs w:val="22"/>
        </w:rPr>
        <w:t>XXV. Investigar las posibles violaciones</w:t>
      </w:r>
      <w:r w:rsidRPr="00B349BB">
        <w:rPr>
          <w:rFonts w:ascii="Palatino Linotype" w:eastAsia="Palatino Linotype" w:hAnsi="Palatino Linotype" w:cs="Palatino Linotype"/>
          <w:i/>
          <w:color w:val="000000"/>
          <w:sz w:val="22"/>
          <w:szCs w:val="22"/>
        </w:rPr>
        <w:t xml:space="preserve"> a la seguridad de los datos personales a fin de determinar la práctica de verificaciones. </w:t>
      </w:r>
    </w:p>
    <w:p w:rsidR="000F1B65" w:rsidRPr="00B349BB" w:rsidRDefault="005E216F">
      <w:pPr>
        <w:pBdr>
          <w:top w:val="nil"/>
          <w:left w:val="nil"/>
          <w:bottom w:val="nil"/>
          <w:right w:val="nil"/>
          <w:between w:val="nil"/>
        </w:pBdr>
        <w:tabs>
          <w:tab w:val="left" w:pos="426"/>
        </w:tabs>
        <w:spacing w:after="240"/>
        <w:ind w:left="567" w:right="539"/>
        <w:jc w:val="both"/>
        <w:rPr>
          <w:rFonts w:ascii="Palatino Linotype" w:eastAsia="Palatino Linotype" w:hAnsi="Palatino Linotype" w:cs="Palatino Linotype"/>
          <w:i/>
          <w:color w:val="000000"/>
          <w:sz w:val="22"/>
          <w:szCs w:val="22"/>
        </w:rPr>
      </w:pPr>
      <w:r w:rsidRPr="00B349BB">
        <w:rPr>
          <w:rFonts w:ascii="Palatino Linotype" w:eastAsia="Palatino Linotype" w:hAnsi="Palatino Linotype" w:cs="Palatino Linotype"/>
          <w:i/>
          <w:color w:val="000000"/>
          <w:sz w:val="22"/>
          <w:szCs w:val="22"/>
        </w:rPr>
        <w:t xml:space="preserve">(…)” </w:t>
      </w:r>
    </w:p>
    <w:p w:rsidR="000F1B65" w:rsidRPr="00B349BB" w:rsidRDefault="000F1B65">
      <w:pPr>
        <w:spacing w:line="360" w:lineRule="auto"/>
        <w:ind w:right="-28"/>
        <w:jc w:val="both"/>
        <w:rPr>
          <w:rFonts w:ascii="Palatino Linotype" w:eastAsia="Palatino Linotype" w:hAnsi="Palatino Linotype" w:cs="Palatino Linotype"/>
          <w:i/>
          <w:sz w:val="22"/>
          <w:szCs w:val="22"/>
        </w:rPr>
      </w:pPr>
    </w:p>
    <w:p w:rsidR="000F1B65" w:rsidRPr="00B349BB" w:rsidRDefault="005E216F">
      <w:pPr>
        <w:numPr>
          <w:ilvl w:val="0"/>
          <w:numId w:val="1"/>
        </w:numPr>
        <w:spacing w:line="360" w:lineRule="auto"/>
        <w:ind w:left="0" w:right="-28"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sz w:val="22"/>
          <w:szCs w:val="22"/>
        </w:rPr>
        <w:t xml:space="preserve">Por lo tanto, es menester dar vista a la Dirección de Protección de Datos Personales de este Instituto para que en ejercicio de sus atribuciones atiendan las directivas marcadas en la propia Ley de la materia, con fundamento en el artículo 82 de la Ley de la materia, el cual señala la atribución de este Órgano Garante para Investigar las posibles violaciones a la seguridad de los datos personales a fin de determinar la práctica de verificaciones. </w:t>
      </w:r>
    </w:p>
    <w:p w:rsidR="000F1B65" w:rsidRPr="00B349BB" w:rsidRDefault="000F1B65">
      <w:pPr>
        <w:spacing w:line="360" w:lineRule="auto"/>
        <w:ind w:right="-28"/>
        <w:jc w:val="both"/>
        <w:rPr>
          <w:rFonts w:ascii="Palatino Linotype" w:eastAsia="Palatino Linotype" w:hAnsi="Palatino Linotype" w:cs="Palatino Linotype"/>
          <w:i/>
          <w:sz w:val="22"/>
          <w:szCs w:val="22"/>
        </w:rPr>
      </w:pPr>
    </w:p>
    <w:p w:rsidR="000F1B65" w:rsidRPr="00B349BB" w:rsidRDefault="005E216F">
      <w:pPr>
        <w:numPr>
          <w:ilvl w:val="0"/>
          <w:numId w:val="1"/>
        </w:numPr>
        <w:spacing w:line="360" w:lineRule="auto"/>
        <w:ind w:left="0" w:right="-28" w:firstLine="0"/>
        <w:jc w:val="both"/>
        <w:rPr>
          <w:rFonts w:ascii="Palatino Linotype" w:eastAsia="Palatino Linotype" w:hAnsi="Palatino Linotype" w:cs="Palatino Linotype"/>
          <w:sz w:val="22"/>
          <w:szCs w:val="22"/>
        </w:rPr>
      </w:pPr>
      <w:r w:rsidRPr="00B349BB">
        <w:rPr>
          <w:rFonts w:ascii="Palatino Linotype" w:eastAsia="Palatino Linotype" w:hAnsi="Palatino Linotype" w:cs="Palatino Linotype"/>
          <w:sz w:val="22"/>
          <w:szCs w:val="22"/>
        </w:rPr>
        <w:t xml:space="preserve">Por último y no menos importante, se debe enfatizar que tal y como se mencionó en este considerando, el </w:t>
      </w:r>
      <w:r w:rsidRPr="00B349BB">
        <w:rPr>
          <w:rFonts w:ascii="Palatino Linotype" w:eastAsia="Palatino Linotype" w:hAnsi="Palatino Linotype" w:cs="Palatino Linotype"/>
          <w:b/>
          <w:sz w:val="22"/>
          <w:szCs w:val="22"/>
        </w:rPr>
        <w:t>SUJETO OBLIGADO</w:t>
      </w:r>
      <w:r w:rsidRPr="00B349BB">
        <w:rPr>
          <w:rFonts w:ascii="Palatino Linotype" w:eastAsia="Palatino Linotype" w:hAnsi="Palatino Linotype" w:cs="Palatino Linotype"/>
          <w:sz w:val="22"/>
          <w:szCs w:val="22"/>
        </w:rPr>
        <w:t xml:space="preserve"> realizó un pronunciamiento que debió ser clasificado como confidencial. Por dicha información, es menester hacer del conocimiento de la persona que solicitó la información, que ahora se encuentra sujeto a la </w:t>
      </w:r>
      <w:r w:rsidRPr="00B349BB">
        <w:rPr>
          <w:rFonts w:ascii="Palatino Linotype" w:eastAsia="Palatino Linotype" w:hAnsi="Palatino Linotype" w:cs="Palatino Linotype"/>
          <w:b/>
          <w:sz w:val="22"/>
          <w:szCs w:val="22"/>
        </w:rPr>
        <w:t>LEY FEDERAL DE PROTECCIÓN DE DATOS PERSONALES EN POSESIÓN DE LOS PARTICULARES</w:t>
      </w:r>
      <w:r w:rsidRPr="00B349BB">
        <w:rPr>
          <w:rFonts w:ascii="Palatino Linotype" w:eastAsia="Palatino Linotype" w:hAnsi="Palatino Linotype" w:cs="Palatino Linotype"/>
          <w:sz w:val="22"/>
          <w:szCs w:val="22"/>
        </w:rPr>
        <w:t xml:space="preserve"> que señala puntualmente en su artículo lo siguiente: </w:t>
      </w:r>
    </w:p>
    <w:p w:rsidR="00B349BB" w:rsidRPr="00B349BB" w:rsidRDefault="00B349BB" w:rsidP="00B349BB">
      <w:pPr>
        <w:spacing w:line="360" w:lineRule="auto"/>
        <w:ind w:right="-28"/>
        <w:jc w:val="both"/>
        <w:rPr>
          <w:rFonts w:ascii="Palatino Linotype" w:eastAsia="Palatino Linotype" w:hAnsi="Palatino Linotype" w:cs="Palatino Linotype"/>
          <w:sz w:val="22"/>
          <w:szCs w:val="22"/>
        </w:rPr>
      </w:pPr>
    </w:p>
    <w:p w:rsidR="000F1B65" w:rsidRPr="00B349BB" w:rsidRDefault="005E216F">
      <w:pPr>
        <w:ind w:left="567" w:right="539"/>
        <w:jc w:val="both"/>
        <w:rPr>
          <w:rFonts w:ascii="Palatino Linotype" w:eastAsia="Palatino Linotype" w:hAnsi="Palatino Linotype" w:cs="Palatino Linotype"/>
          <w:i/>
          <w:sz w:val="22"/>
          <w:szCs w:val="22"/>
        </w:rPr>
      </w:pPr>
      <w:r w:rsidRPr="00B349BB">
        <w:rPr>
          <w:rFonts w:ascii="Palatino Linotype" w:eastAsia="Palatino Linotype" w:hAnsi="Palatino Linotype" w:cs="Palatino Linotype"/>
          <w:b/>
          <w:i/>
          <w:sz w:val="22"/>
          <w:szCs w:val="22"/>
        </w:rPr>
        <w:lastRenderedPageBreak/>
        <w:t>“Artículo 1.-</w:t>
      </w:r>
      <w:r w:rsidRPr="00B349BB">
        <w:rPr>
          <w:rFonts w:ascii="Palatino Linotype" w:eastAsia="Palatino Linotype" w:hAnsi="Palatino Linotype" w:cs="Palatino Linotype"/>
          <w:i/>
          <w:sz w:val="22"/>
          <w:szCs w:val="22"/>
        </w:rPr>
        <w:t xml:space="preserve"> La presente Ley es de orden público y de observancia general en toda la República y tiene por objeto la protección de los datos personales en posesión de los particulares, con la finalidad de regular su tratamiento legítimo, controlado e informado, a efecto de garantizar la privacidad y el derecho a la autodeterminación informativa de las personas.”</w:t>
      </w:r>
    </w:p>
    <w:p w:rsidR="000F1B65" w:rsidRPr="00B349BB" w:rsidRDefault="000F1B65">
      <w:pPr>
        <w:spacing w:line="360" w:lineRule="auto"/>
        <w:ind w:right="-28"/>
        <w:jc w:val="both"/>
        <w:rPr>
          <w:rFonts w:ascii="Palatino Linotype" w:eastAsia="Palatino Linotype" w:hAnsi="Palatino Linotype" w:cs="Palatino Linotype"/>
          <w:i/>
          <w:sz w:val="22"/>
          <w:szCs w:val="22"/>
        </w:rPr>
      </w:pPr>
    </w:p>
    <w:p w:rsidR="00B349BB" w:rsidRPr="000026D7" w:rsidRDefault="005E216F">
      <w:pPr>
        <w:keepNext/>
        <w:keepLines/>
        <w:spacing w:line="360" w:lineRule="auto"/>
        <w:ind w:right="48"/>
        <w:rPr>
          <w:rFonts w:ascii="Palatino Linotype" w:eastAsia="Palatino Linotype" w:hAnsi="Palatino Linotype" w:cs="Palatino Linotype"/>
          <w:b/>
          <w:sz w:val="22"/>
          <w:szCs w:val="22"/>
        </w:rPr>
      </w:pPr>
      <w:r w:rsidRPr="000026D7">
        <w:rPr>
          <w:rFonts w:ascii="Palatino Linotype" w:eastAsia="Palatino Linotype" w:hAnsi="Palatino Linotype" w:cs="Palatino Linotype"/>
          <w:b/>
          <w:sz w:val="22"/>
          <w:szCs w:val="22"/>
        </w:rPr>
        <w:t>QUINTO. Decisión.</w:t>
      </w:r>
    </w:p>
    <w:p w:rsidR="00B349BB" w:rsidRPr="000026D7" w:rsidRDefault="00B349BB">
      <w:pPr>
        <w:keepNext/>
        <w:keepLines/>
        <w:spacing w:line="360" w:lineRule="auto"/>
        <w:ind w:right="48"/>
        <w:rPr>
          <w:rFonts w:ascii="Palatino Linotype" w:eastAsia="Palatino Linotype" w:hAnsi="Palatino Linotype" w:cs="Palatino Linotype"/>
          <w:b/>
          <w:sz w:val="22"/>
          <w:szCs w:val="22"/>
        </w:rPr>
      </w:pPr>
    </w:p>
    <w:p w:rsidR="00B349BB" w:rsidRPr="000026D7" w:rsidRDefault="00B349BB" w:rsidP="00B349BB">
      <w:pPr>
        <w:numPr>
          <w:ilvl w:val="0"/>
          <w:numId w:val="1"/>
        </w:numPr>
        <w:spacing w:line="360" w:lineRule="auto"/>
        <w:ind w:left="0" w:right="-28" w:firstLine="0"/>
        <w:jc w:val="both"/>
        <w:rPr>
          <w:rFonts w:ascii="Palatino Linotype" w:eastAsia="Palatino Linotype" w:hAnsi="Palatino Linotype" w:cs="Palatino Linotype"/>
          <w:color w:val="000000"/>
          <w:sz w:val="22"/>
          <w:szCs w:val="22"/>
        </w:rPr>
      </w:pPr>
      <w:r w:rsidRPr="000026D7">
        <w:rPr>
          <w:rFonts w:ascii="Palatino Linotype" w:eastAsia="Palatino Linotype" w:hAnsi="Palatino Linotype" w:cs="Palatino Linotype"/>
          <w:color w:val="000000"/>
          <w:sz w:val="22"/>
          <w:szCs w:val="22"/>
        </w:rPr>
        <w:t>L</w:t>
      </w:r>
      <w:r w:rsidRPr="000026D7">
        <w:rPr>
          <w:rFonts w:ascii="Palatino Linotype" w:hAnsi="Palatino Linotype"/>
          <w:sz w:val="22"/>
          <w:szCs w:val="22"/>
        </w:rPr>
        <w:t xml:space="preserve">uego de analizar las actuaciones realizadas por las partes en el expediente radicado en el Sistema de Acceso a la Información Mexiquense </w:t>
      </w:r>
      <w:r w:rsidRPr="000026D7">
        <w:rPr>
          <w:rFonts w:ascii="Palatino Linotype" w:hAnsi="Palatino Linotype"/>
          <w:b/>
          <w:bCs/>
          <w:sz w:val="22"/>
          <w:szCs w:val="22"/>
        </w:rPr>
        <w:t>(SAIMEX),</w:t>
      </w:r>
      <w:r w:rsidRPr="000026D7">
        <w:rPr>
          <w:rFonts w:ascii="Palatino Linotype" w:hAnsi="Palatino Linotype"/>
          <w:sz w:val="22"/>
          <w:szCs w:val="22"/>
        </w:rPr>
        <w:t xml:space="preserve"> bajo el número </w:t>
      </w:r>
      <w:r w:rsidRPr="000026D7">
        <w:rPr>
          <w:rFonts w:ascii="Palatino Linotype" w:hAnsi="Palatino Linotype"/>
          <w:b/>
          <w:bCs/>
          <w:sz w:val="22"/>
          <w:szCs w:val="22"/>
        </w:rPr>
        <w:t>08088/INFOEM/IP/RR/2023</w:t>
      </w:r>
      <w:r w:rsidRPr="000026D7">
        <w:rPr>
          <w:rFonts w:ascii="Palatino Linotype" w:hAnsi="Palatino Linotype"/>
          <w:sz w:val="22"/>
          <w:szCs w:val="22"/>
        </w:rPr>
        <w:t xml:space="preserve"> con fundamento en la fracción V del artículo 192, de la Ley de Transparencia y Acceso a la Información Pública del Estado de México y Municipios, se </w:t>
      </w:r>
      <w:r w:rsidRPr="000026D7">
        <w:rPr>
          <w:rFonts w:ascii="Palatino Linotype" w:hAnsi="Palatino Linotype"/>
          <w:b/>
          <w:bCs/>
          <w:sz w:val="22"/>
          <w:szCs w:val="22"/>
        </w:rPr>
        <w:t>SOBRESEE</w:t>
      </w:r>
      <w:r w:rsidRPr="000026D7">
        <w:rPr>
          <w:rFonts w:ascii="Palatino Linotype" w:hAnsi="Palatino Linotype"/>
          <w:sz w:val="22"/>
          <w:szCs w:val="22"/>
        </w:rPr>
        <w:t xml:space="preserve"> el recurso de revisión, </w:t>
      </w:r>
      <w:r w:rsidRPr="000026D7">
        <w:rPr>
          <w:rFonts w:ascii="Palatino Linotype" w:hAnsi="Palatino Linotype"/>
          <w:b/>
          <w:sz w:val="22"/>
          <w:szCs w:val="22"/>
        </w:rPr>
        <w:t>por quedar sin materia.</w:t>
      </w:r>
    </w:p>
    <w:p w:rsidR="00B349BB" w:rsidRPr="000026D7" w:rsidRDefault="00B349BB" w:rsidP="00B349BB">
      <w:pPr>
        <w:spacing w:line="360" w:lineRule="auto"/>
        <w:ind w:right="-28"/>
        <w:jc w:val="both"/>
        <w:rPr>
          <w:rFonts w:ascii="Palatino Linotype" w:eastAsia="Palatino Linotype" w:hAnsi="Palatino Linotype" w:cs="Palatino Linotype"/>
          <w:color w:val="000000"/>
          <w:sz w:val="22"/>
          <w:szCs w:val="22"/>
        </w:rPr>
      </w:pPr>
    </w:p>
    <w:p w:rsidR="000F1B65" w:rsidRPr="000026D7" w:rsidRDefault="005E216F">
      <w:pPr>
        <w:numPr>
          <w:ilvl w:val="0"/>
          <w:numId w:val="1"/>
        </w:numPr>
        <w:spacing w:line="360" w:lineRule="auto"/>
        <w:ind w:left="0" w:right="-28" w:firstLine="0"/>
        <w:jc w:val="both"/>
        <w:rPr>
          <w:rFonts w:ascii="Palatino Linotype" w:eastAsia="Palatino Linotype" w:hAnsi="Palatino Linotype" w:cs="Palatino Linotype"/>
          <w:sz w:val="22"/>
          <w:szCs w:val="22"/>
        </w:rPr>
      </w:pPr>
      <w:r w:rsidRPr="000026D7">
        <w:rPr>
          <w:rFonts w:ascii="Palatino Linotype" w:eastAsia="Palatino Linotype" w:hAnsi="Palatino Linotype" w:cs="Palatino Linotype"/>
          <w:color w:val="000000"/>
          <w:sz w:val="22"/>
          <w:szCs w:val="22"/>
        </w:rPr>
        <w:t xml:space="preserve">Por lo anteriormente expuesto y fundado, este </w:t>
      </w:r>
      <w:r w:rsidRPr="000026D7">
        <w:rPr>
          <w:rFonts w:ascii="Palatino Linotype" w:eastAsia="Palatino Linotype" w:hAnsi="Palatino Linotype" w:cs="Palatino Linotype"/>
          <w:b/>
          <w:color w:val="000000"/>
          <w:sz w:val="22"/>
          <w:szCs w:val="22"/>
        </w:rPr>
        <w:t>ÓRGANO GARANTE</w:t>
      </w:r>
      <w:r w:rsidRPr="000026D7">
        <w:rPr>
          <w:rFonts w:ascii="Palatino Linotype" w:eastAsia="Palatino Linotype" w:hAnsi="Palatino Linotype" w:cs="Palatino Linotype"/>
          <w:color w:val="000000"/>
          <w:sz w:val="22"/>
          <w:szCs w:val="22"/>
        </w:rPr>
        <w:t xml:space="preserve"> emite los siguientes:</w:t>
      </w:r>
    </w:p>
    <w:p w:rsidR="000F1B65" w:rsidRPr="00B349BB" w:rsidRDefault="000F1B65">
      <w:pPr>
        <w:spacing w:line="360" w:lineRule="auto"/>
        <w:ind w:right="49"/>
        <w:jc w:val="both"/>
        <w:rPr>
          <w:rFonts w:ascii="Palatino Linotype" w:eastAsia="Palatino Linotype" w:hAnsi="Palatino Linotype" w:cs="Palatino Linotype"/>
          <w:i/>
          <w:sz w:val="22"/>
          <w:szCs w:val="22"/>
        </w:rPr>
      </w:pPr>
    </w:p>
    <w:p w:rsidR="000F1B65" w:rsidRPr="00B349BB" w:rsidRDefault="005E216F">
      <w:pPr>
        <w:keepNext/>
        <w:keepLines/>
        <w:spacing w:line="360" w:lineRule="auto"/>
        <w:jc w:val="center"/>
        <w:rPr>
          <w:rFonts w:ascii="Palatino Linotype" w:eastAsia="Palatino Linotype" w:hAnsi="Palatino Linotype" w:cs="Palatino Linotype"/>
          <w:b/>
          <w:color w:val="000000"/>
          <w:sz w:val="22"/>
          <w:szCs w:val="22"/>
        </w:rPr>
      </w:pPr>
      <w:bookmarkStart w:id="8" w:name="_heading=h.3rdcrjn" w:colFirst="0" w:colLast="0"/>
      <w:bookmarkEnd w:id="8"/>
      <w:r w:rsidRPr="00B349BB">
        <w:rPr>
          <w:rFonts w:ascii="Palatino Linotype" w:eastAsia="Palatino Linotype" w:hAnsi="Palatino Linotype" w:cs="Palatino Linotype"/>
          <w:b/>
          <w:color w:val="000000"/>
          <w:sz w:val="22"/>
          <w:szCs w:val="22"/>
        </w:rPr>
        <w:t>R E S O L U T I V O S</w:t>
      </w:r>
    </w:p>
    <w:p w:rsidR="000F1B65" w:rsidRPr="00B349BB" w:rsidRDefault="000F1B65">
      <w:pPr>
        <w:keepNext/>
        <w:keepLines/>
        <w:spacing w:line="360" w:lineRule="auto"/>
        <w:jc w:val="center"/>
        <w:rPr>
          <w:rFonts w:ascii="Palatino Linotype" w:eastAsia="Palatino Linotype" w:hAnsi="Palatino Linotype" w:cs="Palatino Linotype"/>
          <w:b/>
          <w:color w:val="000000"/>
          <w:sz w:val="22"/>
          <w:szCs w:val="22"/>
        </w:rPr>
      </w:pPr>
    </w:p>
    <w:p w:rsidR="00B349BB" w:rsidRPr="00B349BB" w:rsidRDefault="00B349BB" w:rsidP="00B349BB">
      <w:pPr>
        <w:spacing w:line="360" w:lineRule="auto"/>
        <w:jc w:val="both"/>
        <w:rPr>
          <w:rFonts w:ascii="Palatino Linotype" w:hAnsi="Palatino Linotype"/>
          <w:bCs/>
          <w:sz w:val="22"/>
          <w:szCs w:val="22"/>
        </w:rPr>
      </w:pPr>
      <w:bookmarkStart w:id="9" w:name="_GoBack"/>
      <w:bookmarkEnd w:id="9"/>
      <w:r w:rsidRPr="00EC6783">
        <w:rPr>
          <w:rFonts w:ascii="Palatino Linotype" w:hAnsi="Palatino Linotype" w:cs="Arial"/>
          <w:b/>
          <w:sz w:val="22"/>
          <w:szCs w:val="22"/>
        </w:rPr>
        <w:t xml:space="preserve">PRIMERO. </w:t>
      </w:r>
      <w:r w:rsidRPr="00EC6783">
        <w:rPr>
          <w:rFonts w:ascii="Palatino Linotype" w:hAnsi="Palatino Linotype"/>
          <w:sz w:val="22"/>
          <w:szCs w:val="22"/>
        </w:rPr>
        <w:t xml:space="preserve">Se </w:t>
      </w:r>
      <w:r w:rsidRPr="00EC6783">
        <w:rPr>
          <w:rFonts w:ascii="Palatino Linotype" w:hAnsi="Palatino Linotype"/>
          <w:b/>
          <w:sz w:val="22"/>
          <w:szCs w:val="22"/>
        </w:rPr>
        <w:t xml:space="preserve">SOBRESEE </w:t>
      </w:r>
      <w:r w:rsidRPr="00EC6783">
        <w:rPr>
          <w:rFonts w:ascii="Palatino Linotype" w:hAnsi="Palatino Linotype"/>
          <w:sz w:val="22"/>
          <w:szCs w:val="22"/>
        </w:rPr>
        <w:t xml:space="preserve">el recurso de revisión número </w:t>
      </w:r>
      <w:r w:rsidRPr="00EC6783">
        <w:rPr>
          <w:rFonts w:ascii="Palatino Linotype" w:hAnsi="Palatino Linotype"/>
          <w:b/>
          <w:sz w:val="22"/>
          <w:szCs w:val="22"/>
        </w:rPr>
        <w:t xml:space="preserve">08088/INFOEM/IP/RR/2023 </w:t>
      </w:r>
      <w:r w:rsidRPr="00EC6783">
        <w:rPr>
          <w:rFonts w:ascii="Palatino Linotype" w:hAnsi="Palatino Linotype"/>
          <w:bCs/>
          <w:sz w:val="22"/>
          <w:szCs w:val="22"/>
        </w:rPr>
        <w:t>de conformidad con la fracción V del artículo 192 de la Ley de Transparencia y Acceso a la Información Pública del Estado de México y Municipios</w:t>
      </w:r>
      <w:r w:rsidRPr="00EC6783">
        <w:rPr>
          <w:rFonts w:ascii="Palatino Linotype" w:hAnsi="Palatino Linotype"/>
          <w:sz w:val="22"/>
          <w:szCs w:val="22"/>
        </w:rPr>
        <w:t xml:space="preserve">, en términos del </w:t>
      </w:r>
      <w:r w:rsidRPr="00EC6783">
        <w:rPr>
          <w:rFonts w:ascii="Palatino Linotype" w:hAnsi="Palatino Linotype"/>
          <w:b/>
          <w:sz w:val="22"/>
          <w:szCs w:val="22"/>
        </w:rPr>
        <w:t>Considerando TERCERO</w:t>
      </w:r>
      <w:r w:rsidRPr="00EC6783">
        <w:rPr>
          <w:rFonts w:ascii="Palatino Linotype" w:hAnsi="Palatino Linotype"/>
          <w:sz w:val="22"/>
          <w:szCs w:val="22"/>
        </w:rPr>
        <w:t xml:space="preserve"> de la presente resolución.</w:t>
      </w:r>
    </w:p>
    <w:p w:rsidR="00B349BB" w:rsidRPr="00B349BB" w:rsidRDefault="00B349BB" w:rsidP="00B349BB">
      <w:pPr>
        <w:spacing w:line="360" w:lineRule="auto"/>
        <w:jc w:val="both"/>
        <w:rPr>
          <w:rFonts w:ascii="Palatino Linotype" w:hAnsi="Palatino Linotype"/>
          <w:sz w:val="22"/>
          <w:szCs w:val="22"/>
        </w:rPr>
      </w:pPr>
    </w:p>
    <w:p w:rsidR="00B349BB" w:rsidRPr="00B349BB" w:rsidRDefault="00B349BB" w:rsidP="00B349BB">
      <w:pPr>
        <w:pStyle w:val="Sinespaciado"/>
        <w:spacing w:line="360" w:lineRule="auto"/>
        <w:jc w:val="both"/>
        <w:rPr>
          <w:rFonts w:ascii="Palatino Linotype" w:eastAsia="Calibri" w:hAnsi="Palatino Linotype" w:cs="Arial"/>
          <w:bCs/>
          <w:sz w:val="22"/>
          <w:szCs w:val="22"/>
          <w:lang w:val="es-ES"/>
        </w:rPr>
      </w:pPr>
      <w:r w:rsidRPr="00B349BB">
        <w:rPr>
          <w:rFonts w:ascii="Palatino Linotype" w:eastAsia="Calibri" w:hAnsi="Palatino Linotype" w:cs="Arial"/>
          <w:b/>
          <w:bCs/>
          <w:sz w:val="22"/>
          <w:szCs w:val="22"/>
          <w:lang w:val="es-ES"/>
        </w:rPr>
        <w:t xml:space="preserve">SEGUNDO. Notifíquese </w:t>
      </w:r>
      <w:r w:rsidRPr="00B349BB">
        <w:rPr>
          <w:rFonts w:ascii="Palatino Linotype" w:eastAsia="Calibri" w:hAnsi="Palatino Linotype" w:cs="Arial"/>
          <w:bCs/>
          <w:sz w:val="22"/>
          <w:szCs w:val="22"/>
          <w:lang w:val="es-ES"/>
        </w:rPr>
        <w:t xml:space="preserve">a través del Sistema de Acceso a la Información Mexiquense </w:t>
      </w:r>
      <w:r w:rsidRPr="00B349BB">
        <w:rPr>
          <w:rFonts w:ascii="Palatino Linotype" w:eastAsia="Calibri" w:hAnsi="Palatino Linotype" w:cs="Arial"/>
          <w:b/>
          <w:bCs/>
          <w:sz w:val="22"/>
          <w:szCs w:val="22"/>
          <w:lang w:val="es-ES"/>
        </w:rPr>
        <w:t xml:space="preserve">(SAIMEX) </w:t>
      </w:r>
      <w:r w:rsidRPr="00B349BB">
        <w:rPr>
          <w:rFonts w:ascii="Palatino Linotype" w:eastAsia="Calibri" w:hAnsi="Palatino Linotype" w:cs="Arial"/>
          <w:bCs/>
          <w:sz w:val="22"/>
          <w:szCs w:val="22"/>
          <w:lang w:val="es-ES"/>
        </w:rPr>
        <w:t>la presente resolución al Titular de la Unidad de Transparencia del</w:t>
      </w:r>
      <w:r w:rsidRPr="00B349BB">
        <w:rPr>
          <w:rFonts w:ascii="Palatino Linotype" w:eastAsia="Calibri" w:hAnsi="Palatino Linotype" w:cs="Arial"/>
          <w:b/>
          <w:bCs/>
          <w:sz w:val="22"/>
          <w:szCs w:val="22"/>
          <w:lang w:val="es-ES"/>
        </w:rPr>
        <w:t xml:space="preserve"> SUJETO OBLIGADO.</w:t>
      </w:r>
    </w:p>
    <w:p w:rsidR="00B349BB" w:rsidRPr="00B349BB" w:rsidRDefault="00B349BB" w:rsidP="00B349BB">
      <w:pPr>
        <w:tabs>
          <w:tab w:val="left" w:pos="993"/>
        </w:tabs>
        <w:spacing w:line="360" w:lineRule="auto"/>
        <w:ind w:right="-28"/>
        <w:jc w:val="both"/>
        <w:rPr>
          <w:rFonts w:ascii="Palatino Linotype" w:hAnsi="Palatino Linotype" w:cs="Tahoma"/>
          <w:bCs/>
          <w:iCs/>
          <w:sz w:val="22"/>
          <w:szCs w:val="22"/>
        </w:rPr>
      </w:pPr>
    </w:p>
    <w:p w:rsidR="00D0312C" w:rsidRDefault="00B349BB" w:rsidP="00B349BB">
      <w:pPr>
        <w:tabs>
          <w:tab w:val="left" w:pos="8080"/>
        </w:tabs>
        <w:spacing w:line="360" w:lineRule="auto"/>
        <w:ind w:right="49"/>
        <w:contextualSpacing/>
        <w:jc w:val="both"/>
        <w:rPr>
          <w:rFonts w:ascii="Palatino Linotype" w:eastAsia="Calibri" w:hAnsi="Palatino Linotype" w:cs="Arial"/>
          <w:bCs/>
          <w:sz w:val="22"/>
          <w:szCs w:val="22"/>
          <w:lang w:val="es-ES"/>
        </w:rPr>
      </w:pPr>
      <w:r w:rsidRPr="00B349BB">
        <w:rPr>
          <w:rFonts w:ascii="Palatino Linotype" w:eastAsia="Palatino Linotype" w:hAnsi="Palatino Linotype" w:cs="Palatino Linotype"/>
          <w:b/>
          <w:sz w:val="22"/>
          <w:szCs w:val="22"/>
        </w:rPr>
        <w:t xml:space="preserve">TERCERO. </w:t>
      </w:r>
      <w:r w:rsidRPr="00B349BB">
        <w:rPr>
          <w:rFonts w:ascii="Palatino Linotype" w:hAnsi="Palatino Linotype"/>
          <w:b/>
          <w:bCs/>
          <w:sz w:val="22"/>
          <w:szCs w:val="22"/>
          <w:lang w:val="es-ES"/>
        </w:rPr>
        <w:t xml:space="preserve">Notifíquese </w:t>
      </w:r>
      <w:r w:rsidRPr="00B349BB">
        <w:rPr>
          <w:rFonts w:ascii="Palatino Linotype" w:hAnsi="Palatino Linotype"/>
          <w:bCs/>
          <w:sz w:val="22"/>
          <w:szCs w:val="22"/>
          <w:lang w:val="es-ES"/>
        </w:rPr>
        <w:t xml:space="preserve">al </w:t>
      </w:r>
      <w:r w:rsidRPr="00B349BB">
        <w:rPr>
          <w:rFonts w:ascii="Palatino Linotype" w:hAnsi="Palatino Linotype"/>
          <w:b/>
          <w:bCs/>
          <w:sz w:val="22"/>
          <w:szCs w:val="22"/>
          <w:lang w:val="es-ES"/>
        </w:rPr>
        <w:t>RECURRENTE</w:t>
      </w:r>
      <w:r w:rsidRPr="00B349BB">
        <w:rPr>
          <w:rFonts w:ascii="Palatino Linotype" w:hAnsi="Palatino Linotype"/>
          <w:sz w:val="22"/>
          <w:szCs w:val="22"/>
        </w:rPr>
        <w:t xml:space="preserve"> a </w:t>
      </w:r>
      <w:r w:rsidRPr="00B349BB">
        <w:rPr>
          <w:rFonts w:ascii="Palatino Linotype" w:eastAsia="Calibri" w:hAnsi="Palatino Linotype" w:cs="Arial"/>
          <w:bCs/>
          <w:sz w:val="22"/>
          <w:szCs w:val="22"/>
          <w:lang w:val="es-ES"/>
        </w:rPr>
        <w:t xml:space="preserve">través del Sistema de Acceso a la Información Mexiquense </w:t>
      </w:r>
      <w:r w:rsidRPr="00B349BB">
        <w:rPr>
          <w:rFonts w:ascii="Palatino Linotype" w:eastAsia="Calibri" w:hAnsi="Palatino Linotype" w:cs="Arial"/>
          <w:b/>
          <w:bCs/>
          <w:sz w:val="22"/>
          <w:szCs w:val="22"/>
          <w:lang w:val="es-ES"/>
        </w:rPr>
        <w:t xml:space="preserve">(SAIMEX) </w:t>
      </w:r>
      <w:r w:rsidRPr="00B349BB">
        <w:rPr>
          <w:rFonts w:ascii="Palatino Linotype" w:eastAsia="Calibri" w:hAnsi="Palatino Linotype" w:cs="Arial"/>
          <w:bCs/>
          <w:sz w:val="22"/>
          <w:szCs w:val="22"/>
          <w:lang w:val="es-ES"/>
        </w:rPr>
        <w:t>la presente resolución.</w:t>
      </w:r>
    </w:p>
    <w:p w:rsidR="00D0312C" w:rsidRPr="00D0312C" w:rsidRDefault="00D0312C" w:rsidP="00B349BB">
      <w:pPr>
        <w:tabs>
          <w:tab w:val="left" w:pos="8080"/>
        </w:tabs>
        <w:spacing w:line="360" w:lineRule="auto"/>
        <w:ind w:right="49"/>
        <w:contextualSpacing/>
        <w:jc w:val="both"/>
        <w:rPr>
          <w:rFonts w:ascii="Palatino Linotype" w:eastAsia="Calibri" w:hAnsi="Palatino Linotype" w:cs="Arial"/>
          <w:bCs/>
          <w:sz w:val="22"/>
          <w:szCs w:val="22"/>
          <w:lang w:val="es-ES"/>
        </w:rPr>
      </w:pPr>
    </w:p>
    <w:p w:rsidR="00B349BB" w:rsidRPr="00B349BB" w:rsidRDefault="00B349BB" w:rsidP="00B349BB">
      <w:pPr>
        <w:pStyle w:val="Sinespaciado"/>
        <w:spacing w:line="360" w:lineRule="auto"/>
        <w:jc w:val="both"/>
        <w:rPr>
          <w:rFonts w:ascii="Palatino Linotype" w:eastAsia="MS Mincho" w:hAnsi="Palatino Linotype"/>
          <w:sz w:val="22"/>
          <w:szCs w:val="22"/>
          <w:lang w:val="es-ES"/>
        </w:rPr>
      </w:pPr>
      <w:r w:rsidRPr="00B349BB">
        <w:rPr>
          <w:rFonts w:ascii="Palatino Linotype" w:hAnsi="Palatino Linotype" w:cs="Arial"/>
          <w:b/>
          <w:sz w:val="22"/>
          <w:szCs w:val="22"/>
        </w:rPr>
        <w:t xml:space="preserve">CUARTO. </w:t>
      </w:r>
      <w:r w:rsidRPr="00B349BB">
        <w:rPr>
          <w:rFonts w:ascii="Palatino Linotype" w:eastAsia="MS Mincho" w:hAnsi="Palatino Linotype"/>
          <w:sz w:val="22"/>
          <w:szCs w:val="22"/>
          <w:lang w:val="es-ES"/>
        </w:rPr>
        <w:t xml:space="preserve">Se hace del conocimiento del </w:t>
      </w:r>
      <w:r w:rsidRPr="00B349BB">
        <w:rPr>
          <w:rFonts w:ascii="Palatino Linotype" w:hAnsi="Palatino Linotype"/>
          <w:b/>
          <w:bCs/>
          <w:sz w:val="22"/>
          <w:szCs w:val="22"/>
          <w:lang w:val="es-ES"/>
        </w:rPr>
        <w:t>RECURRENTE</w:t>
      </w:r>
      <w:r w:rsidRPr="00B349BB">
        <w:rPr>
          <w:rFonts w:ascii="Palatino Linotype" w:hAnsi="Palatino Linotype"/>
          <w:sz w:val="22"/>
          <w:szCs w:val="22"/>
        </w:rPr>
        <w:t xml:space="preserve"> </w:t>
      </w:r>
      <w:r w:rsidRPr="00B349BB">
        <w:rPr>
          <w:rFonts w:ascii="Palatino Linotype" w:eastAsia="MS Mincho" w:hAnsi="Palatino Linotype"/>
          <w:sz w:val="22"/>
          <w:szCs w:val="22"/>
          <w:lang w:val="es-ES"/>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B349BB">
        <w:rPr>
          <w:rFonts w:ascii="Palatino Linotype" w:eastAsia="MS Mincho" w:hAnsi="Palatino Linotype"/>
          <w:bCs/>
          <w:sz w:val="22"/>
          <w:szCs w:val="22"/>
          <w:lang w:val="es-ES"/>
        </w:rPr>
        <w:t>vía juicio de amparo</w:t>
      </w:r>
      <w:r w:rsidRPr="00B349BB">
        <w:rPr>
          <w:rFonts w:ascii="Palatino Linotype" w:eastAsia="MS Mincho" w:hAnsi="Palatino Linotype"/>
          <w:sz w:val="22"/>
          <w:szCs w:val="22"/>
          <w:lang w:val="es-ES"/>
        </w:rPr>
        <w:t> en los términos de las leyes aplicables.</w:t>
      </w:r>
    </w:p>
    <w:p w:rsidR="00B349BB" w:rsidRPr="00B349BB" w:rsidRDefault="00B349BB" w:rsidP="00B349BB">
      <w:pPr>
        <w:pStyle w:val="Sinespaciado"/>
        <w:spacing w:line="360" w:lineRule="auto"/>
        <w:jc w:val="both"/>
        <w:rPr>
          <w:rFonts w:ascii="Palatino Linotype" w:eastAsia="MS Mincho" w:hAnsi="Palatino Linotype"/>
          <w:sz w:val="22"/>
          <w:szCs w:val="22"/>
          <w:lang w:val="es-ES"/>
        </w:rPr>
      </w:pPr>
    </w:p>
    <w:p w:rsidR="00B349BB" w:rsidRPr="00B349BB" w:rsidRDefault="00B349BB" w:rsidP="00B349BB">
      <w:pPr>
        <w:spacing w:line="360" w:lineRule="auto"/>
        <w:jc w:val="both"/>
        <w:rPr>
          <w:rFonts w:ascii="Palatino Linotype" w:eastAsiaTheme="minorHAnsi" w:hAnsi="Palatino Linotype" w:cstheme="minorBidi"/>
          <w:sz w:val="22"/>
          <w:szCs w:val="22"/>
          <w:lang w:eastAsia="es-ES_tradnl"/>
        </w:rPr>
      </w:pPr>
      <w:r w:rsidRPr="00B349BB">
        <w:rPr>
          <w:rFonts w:ascii="Palatino Linotype" w:eastAsia="MS Mincho" w:hAnsi="Palatino Linotype"/>
          <w:b/>
          <w:sz w:val="22"/>
          <w:szCs w:val="22"/>
        </w:rPr>
        <w:t>QUINTO.</w:t>
      </w:r>
      <w:r w:rsidRPr="00B349BB">
        <w:rPr>
          <w:rFonts w:ascii="Palatino Linotype" w:eastAsiaTheme="minorHAnsi" w:hAnsi="Palatino Linotype" w:cstheme="minorBidi"/>
          <w:b/>
          <w:sz w:val="22"/>
          <w:szCs w:val="22"/>
          <w:lang w:eastAsia="es-ES_tradnl"/>
        </w:rPr>
        <w:t xml:space="preserve"> Gírese</w:t>
      </w:r>
      <w:r w:rsidRPr="00B349BB">
        <w:rPr>
          <w:rFonts w:ascii="Palatino Linotype" w:eastAsiaTheme="minorHAnsi" w:hAnsi="Palatino Linotype" w:cstheme="minorBidi"/>
          <w:sz w:val="22"/>
          <w:szCs w:val="22"/>
          <w:lang w:eastAsia="es-ES_tradnl"/>
        </w:rPr>
        <w:t xml:space="preserve"> oficio al Titular de la Dirección General de Protección de Datos Personales, en atención al artículo 82, fracción XXVII de la Ley de Protección de Datos Personales del Estado de México y Municipios en términos de lo señalado en el </w:t>
      </w:r>
      <w:r w:rsidRPr="00B349BB">
        <w:rPr>
          <w:rFonts w:ascii="Palatino Linotype" w:eastAsiaTheme="minorHAnsi" w:hAnsi="Palatino Linotype" w:cstheme="minorBidi"/>
          <w:b/>
          <w:bCs/>
          <w:sz w:val="22"/>
          <w:szCs w:val="22"/>
          <w:lang w:eastAsia="es-ES_tradnl"/>
        </w:rPr>
        <w:t>Considerando QUINTO</w:t>
      </w:r>
      <w:r w:rsidRPr="00B349BB">
        <w:rPr>
          <w:rFonts w:ascii="Palatino Linotype" w:eastAsiaTheme="minorHAnsi" w:hAnsi="Palatino Linotype" w:cstheme="minorBidi"/>
          <w:sz w:val="22"/>
          <w:szCs w:val="22"/>
          <w:lang w:eastAsia="es-ES_tradnl"/>
        </w:rPr>
        <w:t xml:space="preserve"> de la presente resolución.</w:t>
      </w:r>
    </w:p>
    <w:p w:rsidR="000F1B65" w:rsidRPr="00B349BB" w:rsidRDefault="000F1B65">
      <w:pPr>
        <w:spacing w:line="360" w:lineRule="auto"/>
        <w:ind w:right="48"/>
        <w:jc w:val="both"/>
        <w:rPr>
          <w:rFonts w:ascii="Palatino Linotype" w:eastAsia="Palatino Linotype" w:hAnsi="Palatino Linotype" w:cs="Palatino Linotype"/>
          <w:sz w:val="22"/>
          <w:szCs w:val="22"/>
        </w:rPr>
      </w:pPr>
    </w:p>
    <w:p w:rsidR="000026D7" w:rsidRDefault="000026D7" w:rsidP="000026D7">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w:t>
      </w:r>
      <w:r w:rsidRPr="003C7186">
        <w:rPr>
          <w:rFonts w:ascii="Palatino Linotype" w:hAnsi="Palatino Linotype"/>
        </w:rPr>
        <w:t xml:space="preserve">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ind w:right="49"/>
        <w:jc w:val="both"/>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p w:rsidR="000F1B65" w:rsidRPr="00B349BB" w:rsidRDefault="000F1B65">
      <w:pPr>
        <w:spacing w:line="360" w:lineRule="auto"/>
        <w:rPr>
          <w:rFonts w:ascii="Palatino Linotype" w:eastAsia="Palatino Linotype" w:hAnsi="Palatino Linotype" w:cs="Palatino Linotype"/>
          <w:sz w:val="22"/>
          <w:szCs w:val="22"/>
        </w:rPr>
      </w:pPr>
    </w:p>
    <w:sectPr w:rsidR="000F1B65" w:rsidRPr="00B349BB">
      <w:headerReference w:type="even" r:id="rId12"/>
      <w:headerReference w:type="default" r:id="rId13"/>
      <w:footerReference w:type="default" r:id="rId14"/>
      <w:headerReference w:type="first" r:id="rId15"/>
      <w:footerReference w:type="first" r:id="rId16"/>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89B" w:rsidRDefault="00D8589B">
      <w:r>
        <w:separator/>
      </w:r>
    </w:p>
  </w:endnote>
  <w:endnote w:type="continuationSeparator" w:id="0">
    <w:p w:rsidR="00D8589B" w:rsidRDefault="00D8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BB" w:rsidRDefault="00B349B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C6783">
      <w:rPr>
        <w:b/>
        <w:noProof/>
        <w:color w:val="000000"/>
      </w:rPr>
      <w:t>9</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C6783">
      <w:rPr>
        <w:b/>
        <w:noProof/>
        <w:color w:val="000000"/>
      </w:rPr>
      <w:t>23</w:t>
    </w:r>
    <w:r>
      <w:rPr>
        <w:b/>
        <w:color w:val="000000"/>
      </w:rPr>
      <w:fldChar w:fldCharType="end"/>
    </w:r>
  </w:p>
  <w:p w:rsidR="00B349BB" w:rsidRDefault="00B349B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BB" w:rsidRDefault="00B349B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C6783">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C6783">
      <w:rPr>
        <w:b/>
        <w:noProof/>
        <w:color w:val="000000"/>
      </w:rPr>
      <w:t>23</w:t>
    </w:r>
    <w:r>
      <w:rPr>
        <w:b/>
        <w:color w:val="000000"/>
      </w:rPr>
      <w:fldChar w:fldCharType="end"/>
    </w:r>
  </w:p>
  <w:p w:rsidR="00B349BB" w:rsidRDefault="00B349B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89B" w:rsidRDefault="00D8589B">
      <w:r>
        <w:separator/>
      </w:r>
    </w:p>
  </w:footnote>
  <w:footnote w:type="continuationSeparator" w:id="0">
    <w:p w:rsidR="00D8589B" w:rsidRDefault="00D8589B">
      <w:r>
        <w:continuationSeparator/>
      </w:r>
    </w:p>
  </w:footnote>
  <w:footnote w:id="1">
    <w:p w:rsidR="00B349BB" w:rsidRDefault="00B349B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2">
    <w:p w:rsidR="00B349BB" w:rsidRDefault="00B349B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3">
    <w:p w:rsidR="00B349BB" w:rsidRDefault="00B349B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4">
    <w:p w:rsidR="00B349BB" w:rsidRDefault="00B349B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 w:id="5">
    <w:p w:rsidR="00B349BB" w:rsidRDefault="00B349B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 xml:space="preserve">BURGOA ORIHUELA Ignacio. </w:t>
      </w:r>
      <w:r>
        <w:rPr>
          <w:rFonts w:ascii="Palatino Linotype" w:eastAsia="Palatino Linotype" w:hAnsi="Palatino Linotype" w:cs="Palatino Linotype"/>
          <w:i/>
          <w:color w:val="000000"/>
          <w:sz w:val="16"/>
          <w:szCs w:val="16"/>
        </w:rPr>
        <w:t>Diccionario De Derecho Constitucional, Garantías y Amparo</w:t>
      </w:r>
      <w:r>
        <w:rPr>
          <w:rFonts w:ascii="Palatino Linotype" w:eastAsia="Palatino Linotype" w:hAnsi="Palatino Linotype" w:cs="Palatino Linotype"/>
          <w:color w:val="000000"/>
          <w:sz w:val="16"/>
          <w:szCs w:val="16"/>
        </w:rPr>
        <w:t>. Ed. Porrúa, S.A., México. 1992. p. 115.</w:t>
      </w:r>
    </w:p>
  </w:footnote>
  <w:footnote w:id="6">
    <w:p w:rsidR="00B349BB" w:rsidRDefault="00B349B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 xml:space="preserve">CIENFUEGOS SALGADO David. </w:t>
      </w:r>
      <w:r>
        <w:rPr>
          <w:rFonts w:ascii="Palatino Linotype" w:eastAsia="Palatino Linotype" w:hAnsi="Palatino Linotype" w:cs="Palatino Linotype"/>
          <w:i/>
          <w:color w:val="000000"/>
          <w:sz w:val="16"/>
          <w:szCs w:val="16"/>
        </w:rPr>
        <w:t xml:space="preserve">El Derecho de Petición en México. </w:t>
      </w:r>
      <w:r>
        <w:rPr>
          <w:rFonts w:ascii="Palatino Linotype" w:eastAsia="Palatino Linotype" w:hAnsi="Palatino Linotype" w:cs="Palatino Linotype"/>
          <w:color w:val="000000"/>
          <w:sz w:val="16"/>
          <w:szCs w:val="16"/>
        </w:rPr>
        <w:t>Ed. Instituto de Investigaciones Jurídica UNAM. México 2004. p. 31</w:t>
      </w:r>
    </w:p>
  </w:footnote>
  <w:footnote w:id="7">
    <w:p w:rsidR="00B349BB" w:rsidRDefault="00B349B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 xml:space="preserve">ROBLES HERNÁNDEZ José Guadalupe. </w:t>
      </w:r>
      <w:r>
        <w:rPr>
          <w:rFonts w:ascii="Palatino Linotype" w:eastAsia="Palatino Linotype" w:hAnsi="Palatino Linotype" w:cs="Palatino Linotype"/>
          <w:i/>
          <w:color w:val="000000"/>
          <w:sz w:val="16"/>
          <w:szCs w:val="16"/>
        </w:rPr>
        <w:t xml:space="preserve">Derecho de la Información y Comunicación Pública. </w:t>
      </w:r>
      <w:r>
        <w:rPr>
          <w:rFonts w:ascii="Palatino Linotype" w:eastAsia="Palatino Linotype" w:hAnsi="Palatino Linotype" w:cs="Palatino Linotype"/>
          <w:color w:val="000000"/>
          <w:sz w:val="16"/>
          <w:szCs w:val="16"/>
        </w:rPr>
        <w:t>Ed. Universidad de Occidente. México. 2004, p. 72</w:t>
      </w:r>
    </w:p>
  </w:footnote>
  <w:footnote w:id="8">
    <w:p w:rsidR="00B349BB" w:rsidRDefault="00B349B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16"/>
          <w:szCs w:val="16"/>
        </w:rPr>
        <w:t xml:space="preserve">VILLANUEVA </w:t>
      </w:r>
      <w:proofErr w:type="spellStart"/>
      <w:r>
        <w:rPr>
          <w:rFonts w:ascii="Palatino Linotype" w:eastAsia="Palatino Linotype" w:hAnsi="Palatino Linotype" w:cs="Palatino Linotype"/>
          <w:color w:val="000000"/>
          <w:sz w:val="16"/>
          <w:szCs w:val="16"/>
        </w:rPr>
        <w:t>VILLANUEVA</w:t>
      </w:r>
      <w:proofErr w:type="spellEnd"/>
      <w:r>
        <w:rPr>
          <w:rFonts w:ascii="Palatino Linotype" w:eastAsia="Palatino Linotype" w:hAnsi="Palatino Linotype" w:cs="Palatino Linotype"/>
          <w:color w:val="000000"/>
          <w:sz w:val="16"/>
          <w:szCs w:val="16"/>
        </w:rPr>
        <w:t xml:space="preserve"> Ernesto. Derecho de la Información, Ed. Porrúa. S.A., México. 2006. p. 270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BB" w:rsidRDefault="00D8589B">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BB" w:rsidRDefault="00B349BB">
    <w:pPr>
      <w:widowControl w:val="0"/>
      <w:pBdr>
        <w:top w:val="nil"/>
        <w:left w:val="nil"/>
        <w:bottom w:val="nil"/>
        <w:right w:val="nil"/>
        <w:between w:val="nil"/>
      </w:pBdr>
      <w:spacing w:line="276" w:lineRule="auto"/>
      <w:rPr>
        <w:color w:val="000000"/>
      </w:rPr>
    </w:pPr>
  </w:p>
  <w:tbl>
    <w:tblPr>
      <w:tblStyle w:val="a4"/>
      <w:tblW w:w="9214" w:type="dxa"/>
      <w:tblInd w:w="0" w:type="dxa"/>
      <w:tblLayout w:type="fixed"/>
      <w:tblLook w:val="0400" w:firstRow="0" w:lastRow="0" w:firstColumn="0" w:lastColumn="0" w:noHBand="0" w:noVBand="1"/>
    </w:tblPr>
    <w:tblGrid>
      <w:gridCol w:w="2268"/>
      <w:gridCol w:w="6946"/>
    </w:tblGrid>
    <w:tr w:rsidR="00B349BB">
      <w:trPr>
        <w:trHeight w:val="1734"/>
      </w:trPr>
      <w:tc>
        <w:tcPr>
          <w:tcW w:w="2268" w:type="dxa"/>
          <w:shd w:val="clear" w:color="auto" w:fill="auto"/>
        </w:tcPr>
        <w:p w:rsidR="00B349BB" w:rsidRDefault="00B349BB">
          <w:pPr>
            <w:tabs>
              <w:tab w:val="right" w:pos="4273"/>
            </w:tabs>
            <w:rPr>
              <w:rFonts w:ascii="Garamond" w:eastAsia="Garamond" w:hAnsi="Garamond" w:cs="Garamond"/>
              <w:sz w:val="16"/>
              <w:szCs w:val="16"/>
            </w:rPr>
          </w:pPr>
        </w:p>
      </w:tc>
      <w:tc>
        <w:tcPr>
          <w:tcW w:w="6946" w:type="dxa"/>
          <w:shd w:val="clear" w:color="auto" w:fill="auto"/>
        </w:tcPr>
        <w:p w:rsidR="00B349BB" w:rsidRDefault="00B349BB"/>
        <w:tbl>
          <w:tblPr>
            <w:tblStyle w:val="a5"/>
            <w:tblW w:w="6660" w:type="dxa"/>
            <w:tblInd w:w="40" w:type="dxa"/>
            <w:tblLayout w:type="fixed"/>
            <w:tblLook w:val="0400" w:firstRow="0" w:lastRow="0" w:firstColumn="0" w:lastColumn="0" w:noHBand="0" w:noVBand="1"/>
          </w:tblPr>
          <w:tblGrid>
            <w:gridCol w:w="2715"/>
            <w:gridCol w:w="3945"/>
          </w:tblGrid>
          <w:tr w:rsidR="00B349BB">
            <w:trPr>
              <w:trHeight w:val="150"/>
            </w:trPr>
            <w:tc>
              <w:tcPr>
                <w:tcW w:w="2715" w:type="dxa"/>
                <w:shd w:val="clear" w:color="auto" w:fill="auto"/>
              </w:tcPr>
              <w:p w:rsidR="00B349BB" w:rsidRDefault="00B349B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45" w:type="dxa"/>
                <w:shd w:val="clear" w:color="auto" w:fill="auto"/>
              </w:tcPr>
              <w:p w:rsidR="00B349BB" w:rsidRDefault="00B349BB">
                <w:pPr>
                  <w:ind w:left="-108" w:right="-11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08088/INFOEM/IP/RR/2023</w:t>
                </w:r>
              </w:p>
            </w:tc>
          </w:tr>
          <w:tr w:rsidR="00B349BB">
            <w:trPr>
              <w:trHeight w:val="295"/>
            </w:trPr>
            <w:tc>
              <w:tcPr>
                <w:tcW w:w="2715" w:type="dxa"/>
                <w:shd w:val="clear" w:color="auto" w:fill="auto"/>
              </w:tcPr>
              <w:p w:rsidR="00B349BB" w:rsidRDefault="00B349B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45" w:type="dxa"/>
                <w:shd w:val="clear" w:color="auto" w:fill="auto"/>
              </w:tcPr>
              <w:p w:rsidR="00B349BB" w:rsidRDefault="00B349BB">
                <w:pPr>
                  <w:ind w:left="-108" w:right="-1113"/>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Tecnológico de Estudios Superiores de Coacalco</w:t>
                </w:r>
              </w:p>
            </w:tc>
          </w:tr>
          <w:tr w:rsidR="00B349BB">
            <w:trPr>
              <w:trHeight w:val="295"/>
            </w:trPr>
            <w:tc>
              <w:tcPr>
                <w:tcW w:w="2715" w:type="dxa"/>
                <w:shd w:val="clear" w:color="auto" w:fill="auto"/>
              </w:tcPr>
              <w:p w:rsidR="00B349BB" w:rsidRDefault="00B349B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45" w:type="dxa"/>
                <w:shd w:val="clear" w:color="auto" w:fill="auto"/>
              </w:tcPr>
              <w:p w:rsidR="00B349BB" w:rsidRDefault="00B349BB">
                <w:pPr>
                  <w:ind w:left="-108" w:right="-111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B349BB" w:rsidRDefault="00B349BB">
                <w:pPr>
                  <w:ind w:left="-108" w:right="-1113"/>
                  <w:rPr>
                    <w:rFonts w:ascii="Palatino Linotype" w:eastAsia="Palatino Linotype" w:hAnsi="Palatino Linotype" w:cs="Palatino Linotype"/>
                    <w:b/>
                    <w:sz w:val="22"/>
                    <w:szCs w:val="22"/>
                  </w:rPr>
                </w:pPr>
              </w:p>
            </w:tc>
          </w:tr>
        </w:tbl>
        <w:p w:rsidR="00B349BB" w:rsidRDefault="00B349BB">
          <w:pPr>
            <w:tabs>
              <w:tab w:val="right" w:pos="8838"/>
            </w:tabs>
            <w:ind w:left="-28"/>
            <w:jc w:val="both"/>
            <w:rPr>
              <w:rFonts w:ascii="Arial" w:eastAsia="Arial" w:hAnsi="Arial" w:cs="Arial"/>
              <w:b/>
              <w:sz w:val="22"/>
              <w:szCs w:val="22"/>
            </w:rPr>
          </w:pPr>
        </w:p>
      </w:tc>
    </w:tr>
  </w:tbl>
  <w:p w:rsidR="00B349BB" w:rsidRDefault="00D8589B">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BB" w:rsidRDefault="00B349BB">
    <w:pPr>
      <w:widowControl w:val="0"/>
      <w:pBdr>
        <w:top w:val="nil"/>
        <w:left w:val="nil"/>
        <w:bottom w:val="nil"/>
        <w:right w:val="nil"/>
        <w:between w:val="nil"/>
      </w:pBdr>
      <w:spacing w:line="276" w:lineRule="auto"/>
      <w:rPr>
        <w:color w:val="000000"/>
        <w:sz w:val="14"/>
        <w:szCs w:val="14"/>
      </w:rPr>
    </w:pPr>
  </w:p>
  <w:tbl>
    <w:tblPr>
      <w:tblStyle w:val="a6"/>
      <w:tblW w:w="9870" w:type="dxa"/>
      <w:tblInd w:w="0" w:type="dxa"/>
      <w:tblLayout w:type="fixed"/>
      <w:tblLook w:val="0400" w:firstRow="0" w:lastRow="0" w:firstColumn="0" w:lastColumn="0" w:noHBand="0" w:noVBand="1"/>
    </w:tblPr>
    <w:tblGrid>
      <w:gridCol w:w="2265"/>
      <w:gridCol w:w="7605"/>
    </w:tblGrid>
    <w:tr w:rsidR="00B349BB">
      <w:trPr>
        <w:trHeight w:val="1435"/>
      </w:trPr>
      <w:tc>
        <w:tcPr>
          <w:tcW w:w="2265" w:type="dxa"/>
          <w:shd w:val="clear" w:color="auto" w:fill="auto"/>
        </w:tcPr>
        <w:p w:rsidR="00B349BB" w:rsidRDefault="00B349BB">
          <w:pPr>
            <w:tabs>
              <w:tab w:val="right" w:pos="4273"/>
            </w:tabs>
            <w:rPr>
              <w:rFonts w:ascii="Garamond" w:eastAsia="Garamond" w:hAnsi="Garamond" w:cs="Garamond"/>
              <w:sz w:val="22"/>
              <w:szCs w:val="22"/>
            </w:rPr>
          </w:pPr>
        </w:p>
      </w:tc>
      <w:tc>
        <w:tcPr>
          <w:tcW w:w="7605" w:type="dxa"/>
          <w:shd w:val="clear" w:color="auto" w:fill="auto"/>
        </w:tcPr>
        <w:p w:rsidR="00B349BB" w:rsidRDefault="00B349BB">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7"/>
            <w:tblW w:w="7305" w:type="dxa"/>
            <w:tblInd w:w="40" w:type="dxa"/>
            <w:tblLayout w:type="fixed"/>
            <w:tblLook w:val="0400" w:firstRow="0" w:lastRow="0" w:firstColumn="0" w:lastColumn="0" w:noHBand="0" w:noVBand="1"/>
          </w:tblPr>
          <w:tblGrid>
            <w:gridCol w:w="2445"/>
            <w:gridCol w:w="4860"/>
          </w:tblGrid>
          <w:tr w:rsidR="00B349BB">
            <w:trPr>
              <w:trHeight w:val="311"/>
            </w:trPr>
            <w:tc>
              <w:tcPr>
                <w:tcW w:w="2445" w:type="dxa"/>
                <w:shd w:val="clear" w:color="auto" w:fill="auto"/>
              </w:tcPr>
              <w:p w:rsidR="00B349BB" w:rsidRDefault="00B349BB">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60" w:type="dxa"/>
                <w:shd w:val="clear" w:color="auto" w:fill="auto"/>
              </w:tcPr>
              <w:p w:rsidR="00B349BB" w:rsidRDefault="00B349BB">
                <w:pPr>
                  <w:tabs>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08088/INFOEM/IP/RR/2023</w:t>
                </w:r>
              </w:p>
            </w:tc>
          </w:tr>
          <w:tr w:rsidR="00B349BB">
            <w:trPr>
              <w:trHeight w:val="144"/>
            </w:trPr>
            <w:tc>
              <w:tcPr>
                <w:tcW w:w="2445" w:type="dxa"/>
                <w:shd w:val="clear" w:color="auto" w:fill="auto"/>
              </w:tcPr>
              <w:p w:rsidR="00B349BB" w:rsidRDefault="00B349B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860" w:type="dxa"/>
                <w:shd w:val="clear" w:color="auto" w:fill="auto"/>
              </w:tcPr>
              <w:p w:rsidR="00B349BB" w:rsidRDefault="00B349BB">
                <w:pPr>
                  <w:tabs>
                    <w:tab w:val="left" w:pos="3122"/>
                    <w:tab w:val="right" w:pos="8838"/>
                  </w:tabs>
                  <w:ind w:right="-560"/>
                  <w:rPr>
                    <w:rFonts w:ascii="Palatino Linotype" w:eastAsia="Palatino Linotype" w:hAnsi="Palatino Linotype" w:cs="Palatino Linotype"/>
                    <w:sz w:val="22"/>
                    <w:szCs w:val="22"/>
                  </w:rPr>
                </w:pPr>
              </w:p>
            </w:tc>
          </w:tr>
          <w:tr w:rsidR="00B349BB">
            <w:trPr>
              <w:trHeight w:val="283"/>
            </w:trPr>
            <w:tc>
              <w:tcPr>
                <w:tcW w:w="2445" w:type="dxa"/>
                <w:shd w:val="clear" w:color="auto" w:fill="auto"/>
              </w:tcPr>
              <w:p w:rsidR="00B349BB" w:rsidRDefault="00B349B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60" w:type="dxa"/>
                <w:shd w:val="clear" w:color="auto" w:fill="auto"/>
              </w:tcPr>
              <w:p w:rsidR="00B349BB" w:rsidRDefault="00B349BB">
                <w:pPr>
                  <w:tabs>
                    <w:tab w:val="left" w:pos="2834"/>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Tecnológico de Estudios Superiores de Coacalco</w:t>
                </w:r>
              </w:p>
            </w:tc>
          </w:tr>
          <w:tr w:rsidR="00B349BB">
            <w:trPr>
              <w:trHeight w:val="283"/>
            </w:trPr>
            <w:tc>
              <w:tcPr>
                <w:tcW w:w="2445" w:type="dxa"/>
                <w:shd w:val="clear" w:color="auto" w:fill="auto"/>
              </w:tcPr>
              <w:p w:rsidR="00B349BB" w:rsidRDefault="00B349B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60" w:type="dxa"/>
                <w:shd w:val="clear" w:color="auto" w:fill="auto"/>
              </w:tcPr>
              <w:p w:rsidR="00B349BB" w:rsidRDefault="00B349BB">
                <w:pPr>
                  <w:tabs>
                    <w:tab w:val="right" w:pos="8838"/>
                  </w:tabs>
                  <w:ind w:left="-74" w:right="-5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B349BB" w:rsidRDefault="00B349BB">
                <w:pPr>
                  <w:tabs>
                    <w:tab w:val="right" w:pos="8838"/>
                  </w:tabs>
                  <w:ind w:left="-74" w:right="-560"/>
                  <w:rPr>
                    <w:rFonts w:ascii="Palatino Linotype" w:eastAsia="Palatino Linotype" w:hAnsi="Palatino Linotype" w:cs="Palatino Linotype"/>
                    <w:b/>
                    <w:sz w:val="22"/>
                    <w:szCs w:val="22"/>
                  </w:rPr>
                </w:pPr>
              </w:p>
            </w:tc>
          </w:tr>
        </w:tbl>
        <w:p w:rsidR="00B349BB" w:rsidRDefault="00B349BB">
          <w:pPr>
            <w:tabs>
              <w:tab w:val="right" w:pos="8838"/>
            </w:tabs>
            <w:ind w:left="-28"/>
            <w:jc w:val="both"/>
            <w:rPr>
              <w:rFonts w:ascii="Arial" w:eastAsia="Arial" w:hAnsi="Arial" w:cs="Arial"/>
              <w:b/>
              <w:sz w:val="22"/>
              <w:szCs w:val="22"/>
            </w:rPr>
          </w:pPr>
        </w:p>
      </w:tc>
    </w:tr>
  </w:tbl>
  <w:p w:rsidR="00B349BB" w:rsidRDefault="00D8589B">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322"/>
    <w:multiLevelType w:val="multilevel"/>
    <w:tmpl w:val="F050C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DE53E4"/>
    <w:multiLevelType w:val="multilevel"/>
    <w:tmpl w:val="0D864EB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DE5BB9"/>
    <w:multiLevelType w:val="multilevel"/>
    <w:tmpl w:val="12ACA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694CE0"/>
    <w:multiLevelType w:val="multilevel"/>
    <w:tmpl w:val="01A0A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7502F2"/>
    <w:multiLevelType w:val="multilevel"/>
    <w:tmpl w:val="43069FEC"/>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691E4E"/>
    <w:multiLevelType w:val="multilevel"/>
    <w:tmpl w:val="A5F89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9F4A32"/>
    <w:multiLevelType w:val="multilevel"/>
    <w:tmpl w:val="63FE7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860B9B"/>
    <w:multiLevelType w:val="multilevel"/>
    <w:tmpl w:val="C92656B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9B3977"/>
    <w:multiLevelType w:val="multilevel"/>
    <w:tmpl w:val="B4DC13B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6"/>
  </w:num>
  <w:num w:numId="4">
    <w:abstractNumId w:val="3"/>
  </w:num>
  <w:num w:numId="5">
    <w:abstractNumId w:val="0"/>
  </w:num>
  <w:num w:numId="6">
    <w:abstractNumId w:val="1"/>
  </w:num>
  <w:num w:numId="7">
    <w:abstractNumId w:val="9"/>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65"/>
    <w:rsid w:val="000026D7"/>
    <w:rsid w:val="00045FD4"/>
    <w:rsid w:val="000F1B65"/>
    <w:rsid w:val="003E212D"/>
    <w:rsid w:val="00545C40"/>
    <w:rsid w:val="005E216F"/>
    <w:rsid w:val="006E2F77"/>
    <w:rsid w:val="007B2708"/>
    <w:rsid w:val="008A7050"/>
    <w:rsid w:val="009B3750"/>
    <w:rsid w:val="009C550F"/>
    <w:rsid w:val="00A856CE"/>
    <w:rsid w:val="00A873B4"/>
    <w:rsid w:val="00AC7BBB"/>
    <w:rsid w:val="00B349BB"/>
    <w:rsid w:val="00C6242A"/>
    <w:rsid w:val="00CE3DAE"/>
    <w:rsid w:val="00D0312C"/>
    <w:rsid w:val="00D8589B"/>
    <w:rsid w:val="00EC6783"/>
    <w:rsid w:val="00F439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ED71D29-F4A4-4E4A-AF0F-BEB3FC9E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F5"/>
  </w:style>
  <w:style w:type="paragraph" w:styleId="Ttulo1">
    <w:name w:val="heading 1"/>
    <w:basedOn w:val="Normal"/>
    <w:next w:val="Normal"/>
    <w:link w:val="Ttulo1Car"/>
    <w:uiPriority w:val="9"/>
    <w:qFormat/>
    <w:rsid w:val="00CE3E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3EF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3EF5"/>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CE3EF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E3EF5"/>
    <w:pPr>
      <w:tabs>
        <w:tab w:val="center" w:pos="4419"/>
        <w:tab w:val="right" w:pos="8838"/>
      </w:tabs>
    </w:pPr>
  </w:style>
  <w:style w:type="character" w:customStyle="1" w:styleId="EncabezadoCar">
    <w:name w:val="Encabezado Car"/>
    <w:basedOn w:val="Fuentedeprrafopredeter"/>
    <w:link w:val="Encabezado"/>
    <w:uiPriority w:val="99"/>
    <w:rsid w:val="00CE3EF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E3EF5"/>
    <w:pPr>
      <w:tabs>
        <w:tab w:val="center" w:pos="4419"/>
        <w:tab w:val="right" w:pos="8838"/>
      </w:tabs>
    </w:pPr>
  </w:style>
  <w:style w:type="character" w:customStyle="1" w:styleId="PiedepginaCar">
    <w:name w:val="Pie de página Car"/>
    <w:basedOn w:val="Fuentedeprrafopredeter"/>
    <w:link w:val="Piedepgina"/>
    <w:uiPriority w:val="99"/>
    <w:rsid w:val="00CE3EF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3EF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E3EF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E3EF5"/>
    <w:rPr>
      <w:color w:val="0563C1"/>
      <w:u w:val="single"/>
    </w:rPr>
  </w:style>
  <w:style w:type="paragraph" w:styleId="Sinespaciado">
    <w:name w:val="No Spacing"/>
    <w:aliases w:val="Francesa,INAI"/>
    <w:link w:val="SinespaciadoCar"/>
    <w:uiPriority w:val="1"/>
    <w:qFormat/>
    <w:rsid w:val="00CE3EF5"/>
  </w:style>
  <w:style w:type="character" w:customStyle="1" w:styleId="SinespaciadoCar">
    <w:name w:val="Sin espaciado Car"/>
    <w:aliases w:val="Francesa Car,INAI Car"/>
    <w:link w:val="Sinespaciado"/>
    <w:uiPriority w:val="1"/>
    <w:locked/>
    <w:rsid w:val="00CE3EF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CE3EF5"/>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E3E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E3E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CE3EF5"/>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243D8E"/>
    <w:rPr>
      <w:color w:val="954F72" w:themeColor="followedHyperlink"/>
      <w:u w:val="single"/>
    </w:rPr>
  </w:style>
  <w:style w:type="table" w:styleId="Tabladecuadrcula6concolores">
    <w:name w:val="Grid Table 6 Colorful"/>
    <w:basedOn w:val="Tablanormal"/>
    <w:uiPriority w:val="51"/>
    <w:rsid w:val="00DC69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5227B"/>
    <w:pPr>
      <w:autoSpaceDE w:val="0"/>
      <w:autoSpaceDN w:val="0"/>
      <w:adjustRightInd w:val="0"/>
    </w:pPr>
    <w:rPr>
      <w:rFonts w:ascii="Arial" w:hAnsi="Arial" w:cs="Arial"/>
      <w:color w:val="000000"/>
    </w:rPr>
  </w:style>
  <w:style w:type="character" w:customStyle="1" w:styleId="markedcontent">
    <w:name w:val="markedcontent"/>
    <w:basedOn w:val="Fuentedeprrafopredeter"/>
    <w:rsid w:val="00AD0C84"/>
  </w:style>
  <w:style w:type="numbering" w:customStyle="1" w:styleId="Estiloimportado1">
    <w:name w:val="Estilo importado 1"/>
    <w:rsid w:val="008B5F61"/>
  </w:style>
  <w:style w:type="table" w:customStyle="1" w:styleId="Tablanormal13">
    <w:name w:val="Tabla normal 13"/>
    <w:basedOn w:val="Tablanormal"/>
    <w:next w:val="Tablanormal1"/>
    <w:uiPriority w:val="41"/>
    <w:rsid w:val="002023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2023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rPr>
      <w:color w:val="000000"/>
    </w:rPr>
    <w:tblPr>
      <w:tblStyleRowBandSize w:val="1"/>
      <w:tblStyleColBandSize w:val="1"/>
      <w:tblCellMar>
        <w:left w:w="115" w:type="dxa"/>
        <w:right w:w="115" w:type="dxa"/>
      </w:tblCellMar>
    </w:tblPr>
  </w:style>
  <w:style w:type="table" w:customStyle="1" w:styleId="a5">
    <w:basedOn w:val="TableNormal0"/>
    <w:rPr>
      <w:color w:val="000000"/>
    </w:rPr>
    <w:tblPr>
      <w:tblStyleRowBandSize w:val="1"/>
      <w:tblStyleColBandSize w:val="1"/>
      <w:tblCellMar>
        <w:left w:w="115" w:type="dxa"/>
        <w:right w:w="115" w:type="dxa"/>
      </w:tblCellMar>
    </w:tblPr>
  </w:style>
  <w:style w:type="table" w:customStyle="1" w:styleId="a6">
    <w:basedOn w:val="TableNormal0"/>
    <w:rPr>
      <w:color w:val="000000"/>
    </w:rPr>
    <w:tblPr>
      <w:tblStyleRowBandSize w:val="1"/>
      <w:tblStyleColBandSize w:val="1"/>
      <w:tblCellMar>
        <w:left w:w="115" w:type="dxa"/>
        <w:right w:w="115" w:type="dxa"/>
      </w:tblCellMar>
    </w:tblPr>
  </w:style>
  <w:style w:type="table" w:customStyle="1" w:styleId="a7">
    <w:basedOn w:val="TableNormal0"/>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59042.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59043.pag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1959043.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3Vl3NwHYLWJ9iKLjKFCjxcK1w==">CgMxLjAyCGguZ2pkZ3hzMgloLjMwajB6bGwyCWguMWZvYjl0ZTIJaC4zem55c2g3MgloLjJldDkycDAyCWguM2R5NnZrbTIIaC5sbnhiejkyCWguMzVua3VuMjIJaC4zcmRjcmpuMgloLjFrc3Y0dXY4AHIhMU1Vb1pxMm45U1FENlVMVUo5djJaMFlmLUZJQklFdDdQ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5790</Words>
  <Characters>31848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luisa</cp:lastModifiedBy>
  <cp:revision>4</cp:revision>
  <cp:lastPrinted>2024-08-16T05:06:00Z</cp:lastPrinted>
  <dcterms:created xsi:type="dcterms:W3CDTF">2024-08-13T18:38:00Z</dcterms:created>
  <dcterms:modified xsi:type="dcterms:W3CDTF">2024-08-16T05:06:00Z</dcterms:modified>
</cp:coreProperties>
</file>