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147B3ED0"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B2B9A">
        <w:rPr>
          <w:rFonts w:ascii="Palatino Linotype" w:eastAsia="Times New Roman" w:hAnsi="Palatino Linotype" w:cs="Arial"/>
          <w:color w:val="000000"/>
          <w:sz w:val="24"/>
          <w:szCs w:val="24"/>
          <w:lang w:eastAsia="es-MX"/>
        </w:rPr>
        <w:t>veintiuno</w:t>
      </w:r>
      <w:r w:rsidR="00BF1FF6">
        <w:rPr>
          <w:rFonts w:ascii="Palatino Linotype" w:eastAsia="Times New Roman" w:hAnsi="Palatino Linotype" w:cs="Arial"/>
          <w:color w:val="000000"/>
          <w:sz w:val="24"/>
          <w:szCs w:val="24"/>
          <w:lang w:eastAsia="es-MX"/>
        </w:rPr>
        <w:t xml:space="preserve"> </w:t>
      </w:r>
      <w:r w:rsidR="004C7B52">
        <w:rPr>
          <w:rFonts w:ascii="Palatino Linotype" w:eastAsia="Times New Roman" w:hAnsi="Palatino Linotype" w:cs="Arial"/>
          <w:color w:val="000000"/>
          <w:sz w:val="24"/>
          <w:szCs w:val="24"/>
          <w:lang w:eastAsia="es-MX"/>
        </w:rPr>
        <w:t xml:space="preserve">de agosto de dos mil veinticuatro. </w:t>
      </w:r>
      <w:r w:rsidR="00D31EFF">
        <w:rPr>
          <w:rFonts w:ascii="Palatino Linotype" w:eastAsia="Times New Roman" w:hAnsi="Palatino Linotype" w:cs="Arial"/>
          <w:color w:val="000000"/>
          <w:sz w:val="24"/>
          <w:szCs w:val="24"/>
          <w:lang w:eastAsia="es-MX"/>
        </w:rPr>
        <w:t xml:space="preserve"> </w:t>
      </w:r>
      <w:r w:rsidR="00E4562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75B5949C" w14:textId="4C590B67" w:rsidR="00BF1FF6" w:rsidRPr="00BF1FF6" w:rsidRDefault="00870B18" w:rsidP="00D31EFF">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D31EFF">
        <w:rPr>
          <w:rFonts w:ascii="Palatino Linotype" w:hAnsi="Palatino Linotype" w:cs="Arial"/>
          <w:b/>
          <w:bCs/>
          <w:sz w:val="24"/>
          <w:lang w:eastAsia="es-MX"/>
        </w:rPr>
        <w:t>0</w:t>
      </w:r>
      <w:r w:rsidR="00BF1FF6">
        <w:rPr>
          <w:rFonts w:ascii="Palatino Linotype" w:hAnsi="Palatino Linotype" w:cs="Arial"/>
          <w:b/>
          <w:bCs/>
          <w:sz w:val="24"/>
          <w:lang w:eastAsia="es-MX"/>
        </w:rPr>
        <w:t>4045</w:t>
      </w:r>
      <w:r w:rsidR="004C7B52">
        <w:rPr>
          <w:rFonts w:ascii="Palatino Linotype" w:hAnsi="Palatino Linotype" w:cs="Arial"/>
          <w:b/>
          <w:bCs/>
          <w:sz w:val="24"/>
          <w:lang w:eastAsia="es-MX"/>
        </w:rPr>
        <w:t xml:space="preserve">/INFOEM/IP/RR/2024, </w:t>
      </w:r>
      <w:r w:rsidR="004C7B52">
        <w:rPr>
          <w:rFonts w:ascii="Palatino Linotype" w:hAnsi="Palatino Linotype" w:cs="Arial"/>
          <w:sz w:val="24"/>
          <w:lang w:eastAsia="es-MX"/>
        </w:rPr>
        <w:t>interpuesto po</w:t>
      </w:r>
      <w:bookmarkStart w:id="0" w:name="_GoBack"/>
      <w:bookmarkEnd w:id="0"/>
      <w:r w:rsidR="004C7B52">
        <w:rPr>
          <w:rFonts w:ascii="Palatino Linotype" w:hAnsi="Palatino Linotype" w:cs="Arial"/>
          <w:sz w:val="24"/>
          <w:lang w:eastAsia="es-MX"/>
        </w:rPr>
        <w:t xml:space="preserve">r </w:t>
      </w:r>
      <w:r w:rsidR="00BF1FF6">
        <w:rPr>
          <w:rFonts w:ascii="Palatino Linotype" w:hAnsi="Palatino Linotype" w:cs="Arial"/>
          <w:sz w:val="24"/>
          <w:lang w:eastAsia="es-MX"/>
        </w:rPr>
        <w:t xml:space="preserve">un particular, en lo sucesivo </w:t>
      </w:r>
      <w:r w:rsidR="00BF1FF6">
        <w:rPr>
          <w:rFonts w:ascii="Palatino Linotype" w:hAnsi="Palatino Linotype" w:cs="Arial"/>
          <w:b/>
          <w:bCs/>
          <w:sz w:val="24"/>
          <w:lang w:eastAsia="es-MX"/>
        </w:rPr>
        <w:t xml:space="preserve">El Recurrente, </w:t>
      </w:r>
      <w:r w:rsidR="00BF1FF6">
        <w:rPr>
          <w:rFonts w:ascii="Palatino Linotype" w:hAnsi="Palatino Linotype" w:cs="Arial"/>
          <w:sz w:val="24"/>
          <w:lang w:eastAsia="es-MX"/>
        </w:rPr>
        <w:t xml:space="preserve">en contra de la respuesta del </w:t>
      </w:r>
      <w:r w:rsidR="00BF1FF6">
        <w:rPr>
          <w:rFonts w:ascii="Palatino Linotype" w:hAnsi="Palatino Linotype" w:cs="Arial"/>
          <w:b/>
          <w:bCs/>
          <w:sz w:val="24"/>
          <w:lang w:eastAsia="es-MX"/>
        </w:rPr>
        <w:t xml:space="preserve">Ayuntamiento de Ecatepec de Morelos, </w:t>
      </w:r>
      <w:r w:rsidR="00BF1FF6">
        <w:rPr>
          <w:rFonts w:ascii="Palatino Linotype" w:hAnsi="Palatino Linotype" w:cs="Arial"/>
          <w:sz w:val="24"/>
          <w:lang w:eastAsia="es-MX"/>
        </w:rPr>
        <w:t xml:space="preserve">en lo subsecuente </w:t>
      </w:r>
      <w:r w:rsidR="00BF1FF6">
        <w:rPr>
          <w:rFonts w:ascii="Palatino Linotype" w:hAnsi="Palatino Linotype" w:cs="Arial"/>
          <w:b/>
          <w:bCs/>
          <w:sz w:val="24"/>
          <w:lang w:eastAsia="es-MX"/>
        </w:rPr>
        <w:t xml:space="preserve">El Sujeto Obligado, </w:t>
      </w:r>
      <w:r w:rsidR="00BF1FF6">
        <w:rPr>
          <w:rFonts w:ascii="Palatino Linotype" w:hAnsi="Palatino Linotype" w:cs="Arial"/>
          <w:sz w:val="24"/>
          <w:lang w:eastAsia="es-MX"/>
        </w:rPr>
        <w:t xml:space="preserve">se procede a dictar la presente resolución. </w:t>
      </w:r>
    </w:p>
    <w:p w14:paraId="1FA04049" w14:textId="77777777" w:rsidR="00D31EFF" w:rsidRDefault="00D31EFF" w:rsidP="00D31EFF">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222EEB23" w14:textId="18315D89" w:rsidR="00BF1FF6" w:rsidRDefault="00870B18" w:rsidP="00BF1FF6">
      <w:pPr>
        <w:spacing w:before="240" w:line="360" w:lineRule="auto"/>
        <w:jc w:val="both"/>
        <w:rPr>
          <w:rFonts w:ascii="Palatino Linotype" w:hAnsi="Palatino Linotype" w:cs="Arial"/>
          <w:sz w:val="24"/>
        </w:rPr>
      </w:pPr>
      <w:r>
        <w:rPr>
          <w:rFonts w:ascii="Palatino Linotype" w:hAnsi="Palatino Linotype" w:cs="Arial"/>
          <w:sz w:val="24"/>
        </w:rPr>
        <w:t>Con fecha</w:t>
      </w:r>
      <w:r w:rsidR="00F919F5">
        <w:rPr>
          <w:rFonts w:ascii="Palatino Linotype" w:hAnsi="Palatino Linotype" w:cs="Arial"/>
          <w:sz w:val="24"/>
        </w:rPr>
        <w:t xml:space="preserve"> </w:t>
      </w:r>
      <w:r w:rsidR="00BF1FF6">
        <w:rPr>
          <w:rFonts w:ascii="Palatino Linotype" w:hAnsi="Palatino Linotype" w:cs="Arial"/>
          <w:b/>
          <w:bCs/>
          <w:sz w:val="24"/>
        </w:rPr>
        <w:t xml:space="preserve">treinta de mayo de dos mil veinticuatro, El Recurrente, </w:t>
      </w:r>
      <w:r w:rsidR="00BF1FF6">
        <w:rPr>
          <w:rFonts w:ascii="Palatino Linotype" w:hAnsi="Palatino Linotype" w:cs="Arial"/>
          <w:sz w:val="24"/>
        </w:rPr>
        <w:t>presentó a través del Sistema de Acceso a la Información Mexiquense (</w:t>
      </w:r>
      <w:r w:rsidR="00BF1FF6">
        <w:rPr>
          <w:rFonts w:ascii="Palatino Linotype" w:hAnsi="Palatino Linotype" w:cs="Arial"/>
          <w:b/>
          <w:sz w:val="24"/>
        </w:rPr>
        <w:t>SAIMEX)</w:t>
      </w:r>
      <w:r w:rsidR="00BF1FF6">
        <w:rPr>
          <w:rFonts w:ascii="Palatino Linotype" w:hAnsi="Palatino Linotype" w:cs="Arial"/>
          <w:sz w:val="24"/>
        </w:rPr>
        <w:t xml:space="preserve"> ante </w:t>
      </w:r>
      <w:r w:rsidR="00BF1FF6">
        <w:rPr>
          <w:rFonts w:ascii="Palatino Linotype" w:hAnsi="Palatino Linotype" w:cs="Arial"/>
          <w:b/>
          <w:sz w:val="24"/>
        </w:rPr>
        <w:t>El Sujeto Obligado</w:t>
      </w:r>
      <w:r w:rsidR="00BF1FF6">
        <w:rPr>
          <w:rFonts w:ascii="Palatino Linotype" w:hAnsi="Palatino Linotype" w:cs="Arial"/>
          <w:sz w:val="24"/>
        </w:rPr>
        <w:t xml:space="preserve">, solicitud de acceso a la información pública, registrada bajo el número de expediente </w:t>
      </w:r>
      <w:r w:rsidR="00BF1FF6">
        <w:rPr>
          <w:rFonts w:ascii="Palatino Linotype" w:hAnsi="Palatino Linotype" w:cs="Arial"/>
          <w:b/>
          <w:bCs/>
          <w:sz w:val="24"/>
        </w:rPr>
        <w:t xml:space="preserve">00599/ECATEPEC/IP/2024, </w:t>
      </w:r>
      <w:r w:rsidR="00BF1FF6">
        <w:rPr>
          <w:rFonts w:ascii="Palatino Linotype" w:hAnsi="Palatino Linotype" w:cs="Arial"/>
          <w:sz w:val="24"/>
        </w:rPr>
        <w:t>mediante la cual solicitó información en el tenor siguiente:</w:t>
      </w:r>
    </w:p>
    <w:p w14:paraId="3B5AF3C5" w14:textId="08C3A698" w:rsidR="00BF1FF6" w:rsidRPr="00BF1FF6" w:rsidRDefault="00BF1FF6" w:rsidP="00BF1FF6">
      <w:pPr>
        <w:pStyle w:val="Citas"/>
        <w:rPr>
          <w:b/>
          <w:bCs/>
        </w:rPr>
      </w:pPr>
      <w:r>
        <w:t>“</w:t>
      </w:r>
      <w:r w:rsidRPr="00BF1FF6">
        <w:t xml:space="preserve">En relación con la Comité de Información, previsto en el Bando Municipal del Ayuntamiento de Ecatepec de Morelos 2024, solicito la siguiente información del periodo del 1 enero al 31 de diciembre de 2024: 1.- Fundamento legal 2.- Reglamento, reglas de organización y funcionamiento o similar 3.- Nombre del área responsable 4.- Nombre de la persona servidora pública titular del área responsable 5.- Datos de </w:t>
      </w:r>
      <w:r w:rsidRPr="00BF1FF6">
        <w:lastRenderedPageBreak/>
        <w:t>contacto (teléfono, correo electrónico, dirección de oficina) de la persona servidora pública titular del área responsabl</w:t>
      </w:r>
      <w:r>
        <w:t xml:space="preserve">e” </w:t>
      </w:r>
      <w:r>
        <w:rPr>
          <w:b/>
          <w:bCs/>
        </w:rPr>
        <w:t>(Sic)</w:t>
      </w:r>
    </w:p>
    <w:p w14:paraId="3DFD50C0" w14:textId="54DABC1B"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3B30DA">
        <w:rPr>
          <w:rFonts w:ascii="Palatino Linotype" w:eastAsia="Times New Roman" w:hAnsi="Palatino Linotype" w:cs="Times New Roman"/>
          <w:sz w:val="24"/>
          <w:szCs w:val="24"/>
          <w:lang w:val="es-ES_tradnl" w:eastAsia="es-ES"/>
        </w:rPr>
        <w:t xml:space="preserve"> </w:t>
      </w:r>
    </w:p>
    <w:p w14:paraId="008B38DA" w14:textId="77777777" w:rsidR="00E45623" w:rsidRDefault="00E45623" w:rsidP="00870B18">
      <w:pPr>
        <w:spacing w:before="240" w:line="360" w:lineRule="auto"/>
        <w:jc w:val="both"/>
        <w:rPr>
          <w:rFonts w:ascii="Palatino Linotype" w:hAnsi="Palatino Linotype" w:cs="Arial"/>
          <w:b/>
          <w:sz w:val="28"/>
          <w:lang w:val="es-ES_tradnl"/>
        </w:rPr>
      </w:pPr>
    </w:p>
    <w:p w14:paraId="609B2597" w14:textId="3BE45E56" w:rsidR="00870B18" w:rsidRDefault="00BF1FF6"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04E108B0" w14:textId="31EE4FA8" w:rsidR="00BF1FF6"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4C7B52">
        <w:rPr>
          <w:rFonts w:ascii="Palatino Linotype" w:hAnsi="Palatino Linotype" w:cs="Arial"/>
          <w:sz w:val="24"/>
          <w:szCs w:val="24"/>
        </w:rPr>
        <w:t xml:space="preserve"> </w:t>
      </w:r>
      <w:r w:rsidR="00BF1FF6">
        <w:rPr>
          <w:rFonts w:ascii="Palatino Linotype" w:hAnsi="Palatino Linotype" w:cs="Arial"/>
          <w:b/>
          <w:bCs/>
          <w:sz w:val="24"/>
          <w:szCs w:val="24"/>
        </w:rPr>
        <w:t xml:space="preserve">veintiuno de junio de dos mil veinticuatro, El Sujeto Obligado </w:t>
      </w:r>
      <w:r w:rsidR="00BF1FF6">
        <w:rPr>
          <w:rFonts w:ascii="Palatino Linotype" w:hAnsi="Palatino Linotype" w:cs="Arial"/>
          <w:sz w:val="24"/>
          <w:szCs w:val="24"/>
        </w:rPr>
        <w:t xml:space="preserve">dio respuesta a la solicitud de información </w:t>
      </w:r>
      <w:r w:rsidR="00BF1FF6">
        <w:rPr>
          <w:rFonts w:ascii="Palatino Linotype" w:hAnsi="Palatino Linotype" w:cs="Arial"/>
          <w:b/>
          <w:bCs/>
          <w:sz w:val="24"/>
          <w:szCs w:val="24"/>
        </w:rPr>
        <w:t xml:space="preserve">00599/ECATEPEC/IP/2024, </w:t>
      </w:r>
      <w:r w:rsidR="00BF1FF6">
        <w:rPr>
          <w:rFonts w:ascii="Palatino Linotype" w:hAnsi="Palatino Linotype" w:cs="Arial"/>
          <w:sz w:val="24"/>
          <w:szCs w:val="24"/>
        </w:rPr>
        <w:t>resultando de nuestro interés lo siguiente:</w:t>
      </w:r>
    </w:p>
    <w:p w14:paraId="331D8881" w14:textId="2E0FB0F4" w:rsidR="00BF1FF6" w:rsidRDefault="00BF1FF6" w:rsidP="00BF1FF6">
      <w:pPr>
        <w:pStyle w:val="Citas"/>
      </w:pPr>
      <w:r>
        <w:t>“</w:t>
      </w:r>
      <w:r w:rsidRPr="00BF1FF6">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ECC4E9A" w14:textId="5627C77D" w:rsidR="00BF1FF6" w:rsidRPr="00BF1FF6" w:rsidRDefault="00BF1FF6" w:rsidP="00BF1FF6">
      <w:pPr>
        <w:pStyle w:val="Citas"/>
        <w:rPr>
          <w:b/>
          <w:bCs/>
        </w:rPr>
      </w:pPr>
      <w:r w:rsidRPr="00BF1FF6">
        <w:t>EL H. AYUNTAMIENTO CONSTITUCIONAL DE ECATEPEC DE MORELOS, HACE DE SU CONOCIMIENTO LA RESPUESTA EMITIDA POR LA UNIDAD DE TRANSPARENCIA, LA CUAL SE ANEXA AL PRESENTE EN FORMATO PD</w:t>
      </w:r>
      <w:r>
        <w:t xml:space="preserve">F” </w:t>
      </w:r>
      <w:r>
        <w:rPr>
          <w:b/>
          <w:bCs/>
        </w:rPr>
        <w:t>(Sic)</w:t>
      </w:r>
    </w:p>
    <w:p w14:paraId="237A55EA" w14:textId="0FBADE7E" w:rsidR="00BF1FF6" w:rsidRPr="00BF1FF6" w:rsidRDefault="004B71ED"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para tal efecto </w:t>
      </w:r>
      <w:r w:rsidR="00BF1FF6">
        <w:rPr>
          <w:rFonts w:ascii="Palatino Linotype" w:hAnsi="Palatino Linotype" w:cs="Arial"/>
          <w:sz w:val="24"/>
          <w:szCs w:val="24"/>
        </w:rPr>
        <w:t xml:space="preserve">el documento electrónico </w:t>
      </w:r>
      <w:r w:rsidR="00BF1FF6">
        <w:rPr>
          <w:rFonts w:ascii="Palatino Linotype" w:hAnsi="Palatino Linotype" w:cs="Arial"/>
          <w:b/>
          <w:bCs/>
          <w:sz w:val="24"/>
          <w:szCs w:val="24"/>
        </w:rPr>
        <w:t xml:space="preserve">“RESPUESTA 00599.pdf”, </w:t>
      </w:r>
      <w:r w:rsidR="00BF1FF6">
        <w:rPr>
          <w:rFonts w:ascii="Palatino Linotype" w:hAnsi="Palatino Linotype" w:cs="Arial"/>
          <w:sz w:val="24"/>
          <w:szCs w:val="24"/>
        </w:rPr>
        <w:t xml:space="preserve">cuyo contenido será materia de estudio en el considerando respectivo. </w:t>
      </w:r>
    </w:p>
    <w:p w14:paraId="2A81AAA9" w14:textId="77777777" w:rsidR="00BF1FF6" w:rsidRDefault="00BF1FF6" w:rsidP="00870B18">
      <w:pPr>
        <w:spacing w:before="240" w:line="360" w:lineRule="auto"/>
        <w:jc w:val="both"/>
        <w:rPr>
          <w:rFonts w:ascii="Palatino Linotype" w:hAnsi="Palatino Linotype" w:cs="Arial"/>
          <w:sz w:val="24"/>
          <w:szCs w:val="24"/>
        </w:rPr>
      </w:pPr>
    </w:p>
    <w:p w14:paraId="29E656F0" w14:textId="77777777" w:rsidR="00D31EFF" w:rsidRDefault="00D31EFF" w:rsidP="00870B18">
      <w:pPr>
        <w:spacing w:before="240" w:line="360" w:lineRule="auto"/>
        <w:jc w:val="both"/>
        <w:rPr>
          <w:rFonts w:ascii="Palatino Linotype" w:hAnsi="Palatino Linotype" w:cs="Arial"/>
          <w:sz w:val="24"/>
          <w:szCs w:val="24"/>
        </w:rPr>
      </w:pPr>
    </w:p>
    <w:p w14:paraId="2F3F8225" w14:textId="2A2CCA45" w:rsidR="00870B18" w:rsidRDefault="00BF1FF6" w:rsidP="00870B18">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4760AD4C" w14:textId="08951FBA" w:rsidR="00BF1FF6"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BF1FF6">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BF1FF6">
        <w:rPr>
          <w:rFonts w:ascii="Palatino Linotype" w:hAnsi="Palatino Linotype" w:cs="Arial"/>
          <w:b/>
          <w:sz w:val="24"/>
          <w:szCs w:val="24"/>
        </w:rPr>
        <w:t xml:space="preserve">dos de julio de dos mil veinticuatro, </w:t>
      </w:r>
      <w:r w:rsidR="00BF1FF6">
        <w:rPr>
          <w:rFonts w:ascii="Palatino Linotype" w:hAnsi="Palatino Linotype" w:cs="Arial"/>
          <w:bCs/>
          <w:sz w:val="24"/>
          <w:szCs w:val="24"/>
        </w:rPr>
        <w:t xml:space="preserve">el cual fue registrado en el sistema electrónico con el expediente </w:t>
      </w:r>
      <w:r w:rsidR="00BF1FF6">
        <w:rPr>
          <w:rFonts w:ascii="Palatino Linotype" w:hAnsi="Palatino Linotype" w:cs="Arial"/>
          <w:b/>
          <w:sz w:val="24"/>
          <w:szCs w:val="24"/>
        </w:rPr>
        <w:t xml:space="preserve">04045/INFOEM/IP/RR/2024, </w:t>
      </w:r>
      <w:r w:rsidR="00BF1FF6">
        <w:rPr>
          <w:rFonts w:ascii="Palatino Linotype" w:hAnsi="Palatino Linotype" w:cs="Arial"/>
          <w:bCs/>
          <w:sz w:val="24"/>
          <w:szCs w:val="24"/>
        </w:rPr>
        <w:t xml:space="preserve">en el cual arguye las siguientes manifestaciones: </w:t>
      </w:r>
    </w:p>
    <w:p w14:paraId="12ED6FBB" w14:textId="6F66580E" w:rsidR="00BF1FF6" w:rsidRPr="00CE3EB5" w:rsidRDefault="00BF1FF6" w:rsidP="00BF1FF6">
      <w:pPr>
        <w:pStyle w:val="Citas"/>
        <w:rPr>
          <w:b/>
          <w:bCs/>
          <w:sz w:val="24"/>
        </w:rPr>
      </w:pPr>
      <w:r w:rsidRPr="006B5DF5">
        <w:t>“</w:t>
      </w:r>
      <w:r w:rsidRPr="00BF1FF6">
        <w:t>Niegan la información y se atribuyen facultades la titular de transparencia para dar respuesta a mi solicitud</w:t>
      </w:r>
      <w:r w:rsidRPr="006B5DF5">
        <w:t>”</w:t>
      </w:r>
      <w:r>
        <w:t xml:space="preserve"> </w:t>
      </w:r>
      <w:r>
        <w:rPr>
          <w:b/>
          <w:bCs/>
        </w:rPr>
        <w:t>(Sic)</w:t>
      </w:r>
    </w:p>
    <w:p w14:paraId="0367EB26" w14:textId="77777777" w:rsidR="001B0A17" w:rsidRPr="001B0A17" w:rsidRDefault="001B0A17" w:rsidP="00870B18">
      <w:pPr>
        <w:spacing w:before="240" w:line="360" w:lineRule="auto"/>
        <w:jc w:val="both"/>
        <w:rPr>
          <w:rFonts w:ascii="Palatino Linotype" w:hAnsi="Palatino Linotype" w:cs="Arial"/>
          <w:b/>
          <w:sz w:val="24"/>
          <w:szCs w:val="24"/>
        </w:rPr>
      </w:pPr>
    </w:p>
    <w:p w14:paraId="25E4EEBD" w14:textId="4F1EBE9F" w:rsidR="00870B18" w:rsidRDefault="006A31E8"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5B870AEE"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Pr>
          <w:rFonts w:ascii="Palatino Linotype" w:hAnsi="Palatino Linotype" w:cs="Arial"/>
          <w:sz w:val="24"/>
          <w:szCs w:val="24"/>
        </w:rPr>
        <w:t xml:space="preserve"> </w:t>
      </w:r>
      <w:r w:rsidR="00BF1FF6">
        <w:rPr>
          <w:rFonts w:ascii="Palatino Linotype" w:hAnsi="Palatino Linotype" w:cs="Arial"/>
          <w:b/>
          <w:bCs/>
          <w:sz w:val="24"/>
          <w:szCs w:val="24"/>
        </w:rPr>
        <w:t xml:space="preserve">nueve de julio del presente, </w:t>
      </w:r>
      <w:r>
        <w:rPr>
          <w:rFonts w:ascii="Palatino Linotype" w:hAnsi="Palatino Linotype" w:cs="Arial"/>
          <w:sz w:val="24"/>
          <w:szCs w:val="24"/>
        </w:rPr>
        <w:t>determinándose en él, un plazo de siete días para que las partes manifestaran lo que a su derecho corresponda en términos del numeral ya citado.</w:t>
      </w:r>
    </w:p>
    <w:p w14:paraId="7F6D0AD7" w14:textId="77777777" w:rsidR="003B30DA" w:rsidRDefault="003B30DA" w:rsidP="00870B18">
      <w:pPr>
        <w:spacing w:before="240" w:line="360" w:lineRule="auto"/>
        <w:jc w:val="both"/>
        <w:rPr>
          <w:rFonts w:ascii="Palatino Linotype" w:hAnsi="Palatino Linotype" w:cs="Arial"/>
          <w:b/>
          <w:sz w:val="28"/>
        </w:rPr>
      </w:pPr>
    </w:p>
    <w:p w14:paraId="27FA6121" w14:textId="2481A9B9" w:rsidR="00870B18" w:rsidRPr="00B07D6D" w:rsidRDefault="006A31E8"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1CEC265C" w14:textId="0DBA775C" w:rsidR="004B71ED" w:rsidRPr="00BF1FF6"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lastRenderedPageBreak/>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4B71ED">
        <w:rPr>
          <w:rFonts w:ascii="Palatino Linotype" w:hAnsi="Palatino Linotype" w:cs="Arial"/>
          <w:bCs/>
          <w:sz w:val="24"/>
          <w:szCs w:val="24"/>
        </w:rPr>
        <w:t xml:space="preserve">rindió su informe justificado en fecha </w:t>
      </w:r>
      <w:r w:rsidR="00BF1FF6">
        <w:rPr>
          <w:rFonts w:ascii="Palatino Linotype" w:hAnsi="Palatino Linotype" w:cs="Arial"/>
          <w:b/>
          <w:sz w:val="24"/>
          <w:szCs w:val="24"/>
        </w:rPr>
        <w:t xml:space="preserve">dieciocho de julio del presente, </w:t>
      </w:r>
      <w:r w:rsidR="00BF1FF6">
        <w:rPr>
          <w:rFonts w:ascii="Palatino Linotype" w:hAnsi="Palatino Linotype" w:cs="Arial"/>
          <w:bCs/>
          <w:sz w:val="24"/>
          <w:szCs w:val="24"/>
        </w:rPr>
        <w:t xml:space="preserve">mismo que fue puesto a la vista el </w:t>
      </w:r>
      <w:r w:rsidR="00BF1FF6">
        <w:rPr>
          <w:rFonts w:ascii="Palatino Linotype" w:hAnsi="Palatino Linotype" w:cs="Arial"/>
          <w:b/>
          <w:sz w:val="24"/>
          <w:szCs w:val="24"/>
        </w:rPr>
        <w:t xml:space="preserve">diecinueve de julio de los corrientes. </w:t>
      </w:r>
    </w:p>
    <w:p w14:paraId="1E1FE654" w14:textId="00AAD43B" w:rsidR="00602C89" w:rsidRDefault="00602C89" w:rsidP="00602C89">
      <w:pPr>
        <w:spacing w:before="240" w:line="360" w:lineRule="auto"/>
        <w:jc w:val="both"/>
        <w:rPr>
          <w:rFonts w:ascii="Palatino Linotype" w:hAnsi="Palatino Linotype" w:cs="Arial"/>
          <w:sz w:val="24"/>
          <w:szCs w:val="24"/>
        </w:rPr>
      </w:pPr>
      <w:r w:rsidRPr="0037314A">
        <w:rPr>
          <w:rFonts w:ascii="Palatino Linotype" w:hAnsi="Palatino Linotype" w:cs="Arial"/>
          <w:bCs/>
          <w:sz w:val="24"/>
          <w:szCs w:val="24"/>
        </w:rPr>
        <w:t xml:space="preserve">Por lo cual </w:t>
      </w:r>
      <w:r w:rsidRPr="007653A0">
        <w:rPr>
          <w:rFonts w:ascii="Palatino Linotype" w:hAnsi="Palatino Linotype" w:cs="Arial"/>
          <w:bCs/>
          <w:sz w:val="24"/>
          <w:szCs w:val="24"/>
        </w:rPr>
        <w:t xml:space="preserve">se decretó el cierre de instrucción con fecha </w:t>
      </w:r>
      <w:r w:rsidR="00203D96">
        <w:rPr>
          <w:rFonts w:ascii="Palatino Linotype" w:hAnsi="Palatino Linotype" w:cs="Arial"/>
          <w:b/>
          <w:sz w:val="24"/>
          <w:szCs w:val="24"/>
        </w:rPr>
        <w:t>nueve de agosto</w:t>
      </w:r>
      <w:r>
        <w:rPr>
          <w:rFonts w:ascii="Palatino Linotype" w:hAnsi="Palatino Linotype" w:cs="Arial"/>
          <w:b/>
          <w:sz w:val="24"/>
          <w:szCs w:val="24"/>
        </w:rPr>
        <w:t xml:space="preserve"> de dos mil veinticuatro, </w:t>
      </w:r>
      <w:r w:rsidRPr="007653A0">
        <w:rPr>
          <w:rFonts w:ascii="Palatino Linotype" w:hAnsi="Palatino Linotype" w:cs="Arial"/>
          <w:bCs/>
          <w:sz w:val="24"/>
          <w:szCs w:val="24"/>
        </w:rPr>
        <w:t>en</w:t>
      </w:r>
      <w:r w:rsidRPr="007653A0">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5DB8F512" w14:textId="77777777" w:rsidR="00A452EB" w:rsidRDefault="00A452EB" w:rsidP="00870B18">
      <w:pPr>
        <w:spacing w:before="240" w:line="360" w:lineRule="auto"/>
        <w:jc w:val="center"/>
        <w:rPr>
          <w:rFonts w:ascii="Palatino Linotype" w:hAnsi="Palatino Linotype" w:cs="Arial"/>
          <w:b/>
          <w:sz w:val="24"/>
        </w:rPr>
      </w:pPr>
    </w:p>
    <w:p w14:paraId="34D2D0F1" w14:textId="3820CF2E"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3B3A02CF" w14:textId="3DB10B2B" w:rsidR="005B595E" w:rsidRPr="00F6461C"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0E3D8C">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E4610B4" w14:textId="69B005E4"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198D86" w14:textId="77777777" w:rsidR="00EE5F57"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41735AF2" w14:textId="77777777" w:rsidR="00C06FA6" w:rsidRPr="003721AF" w:rsidRDefault="00C06FA6" w:rsidP="00C06FA6">
      <w:pPr>
        <w:autoSpaceDE w:val="0"/>
        <w:autoSpaceDN w:val="0"/>
        <w:adjustRightInd w:val="0"/>
        <w:spacing w:after="0" w:line="360" w:lineRule="auto"/>
        <w:jc w:val="both"/>
        <w:rPr>
          <w:rFonts w:ascii="Palatino Linotype" w:hAnsi="Palatino Linotype" w:cs="Arial"/>
          <w:b/>
        </w:rPr>
      </w:pPr>
      <w:r w:rsidRPr="003721AF">
        <w:rPr>
          <w:rFonts w:ascii="Palatino Linotype" w:hAnsi="Palatino Linotype" w:cs="Arial"/>
          <w:b/>
          <w:sz w:val="28"/>
        </w:rPr>
        <w:t>TERCERO. Cuestiones de previo y especial pronunciamiento</w:t>
      </w:r>
      <w:r w:rsidRPr="003721AF">
        <w:rPr>
          <w:rFonts w:ascii="Palatino Linotype" w:hAnsi="Palatino Linotype" w:cs="Arial"/>
          <w:b/>
        </w:rPr>
        <w:t>.</w:t>
      </w:r>
    </w:p>
    <w:p w14:paraId="0174DFCB" w14:textId="77777777" w:rsidR="00C06FA6" w:rsidRPr="00705FE6" w:rsidRDefault="00C06FA6" w:rsidP="00C06FA6">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BBA151B"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lang w:eastAsia="es-ES"/>
        </w:rPr>
        <w:t xml:space="preserve">“Artículo 180. </w:t>
      </w:r>
      <w:r w:rsidRPr="00705FE6">
        <w:rPr>
          <w:rFonts w:ascii="Palatino Linotype" w:eastAsia="Times New Roman" w:hAnsi="Palatino Linotype" w:cs="Arial"/>
          <w:i/>
          <w:lang w:eastAsia="es-ES"/>
        </w:rPr>
        <w:t>El recurso de revisión contendrá:</w:t>
      </w:r>
    </w:p>
    <w:p w14:paraId="2CC8AD03"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 El sujeto obligado ante la cual se presentó la solicitud;</w:t>
      </w:r>
    </w:p>
    <w:p w14:paraId="29A22961"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u w:val="single"/>
          <w:lang w:eastAsia="es-ES"/>
        </w:rPr>
        <w:t>II. El nombre del solicitante que recurre</w:t>
      </w:r>
      <w:r w:rsidRPr="00705FE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D1A272F"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III. El número de folio de respuesta de la solicitud de acceso;</w:t>
      </w:r>
    </w:p>
    <w:p w14:paraId="7F5E11B5"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56DA5293"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 El acto que se recurre;</w:t>
      </w:r>
    </w:p>
    <w:p w14:paraId="109EBB21"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 Las razones o motivos de inconformidad;</w:t>
      </w:r>
    </w:p>
    <w:p w14:paraId="347D9FC7"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2677760"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VIII. Firma del recurrente, en su caso, cuando se presente por escrito, requisito sin el cual se dará trámite al recurso.</w:t>
      </w:r>
    </w:p>
    <w:p w14:paraId="665B6ECC"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Adicionalmente, se podrán anexar las pruebas y demás elementos que considere procedentes someter a juicio del Instituto.</w:t>
      </w:r>
    </w:p>
    <w:p w14:paraId="5CB6688A"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En ningún caso será necesario que el particular ratifique el recurso de revisión interpuesto.</w:t>
      </w:r>
    </w:p>
    <w:p w14:paraId="5CD56D91" w14:textId="77777777" w:rsidR="00C06FA6" w:rsidRPr="00705FE6" w:rsidRDefault="00C06FA6" w:rsidP="00C06FA6">
      <w:pPr>
        <w:spacing w:before="240" w:line="360" w:lineRule="auto"/>
        <w:ind w:left="851" w:right="851"/>
        <w:jc w:val="both"/>
        <w:rPr>
          <w:rFonts w:ascii="Palatino Linotype" w:eastAsia="Times New Roman" w:hAnsi="Palatino Linotype" w:cs="Arial"/>
          <w:i/>
          <w:sz w:val="24"/>
          <w:szCs w:val="24"/>
          <w:lang w:eastAsia="es-ES"/>
        </w:rPr>
      </w:pPr>
      <w:r w:rsidRPr="00705FE6">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705FE6">
        <w:rPr>
          <w:rFonts w:ascii="Palatino Linotype" w:eastAsia="Times New Roman" w:hAnsi="Palatino Linotype" w:cs="Arial"/>
          <w:b/>
          <w:i/>
          <w:lang w:eastAsia="es-ES"/>
        </w:rPr>
        <w:t xml:space="preserve"> [Sic] </w:t>
      </w:r>
    </w:p>
    <w:p w14:paraId="02D9420D" w14:textId="77777777" w:rsidR="00C06FA6" w:rsidRPr="00705FE6" w:rsidRDefault="00C06FA6" w:rsidP="00C06FA6">
      <w:pPr>
        <w:spacing w:after="0" w:line="360" w:lineRule="auto"/>
        <w:jc w:val="both"/>
        <w:rPr>
          <w:rFonts w:ascii="Palatino Linotype" w:eastAsia="Times New Roman" w:hAnsi="Palatino Linotype" w:cs="Arial"/>
          <w:b/>
          <w:i/>
          <w:sz w:val="24"/>
          <w:szCs w:val="24"/>
          <w:lang w:eastAsia="es-ES"/>
        </w:rPr>
      </w:pPr>
    </w:p>
    <w:p w14:paraId="63C78F30" w14:textId="77777777" w:rsidR="00C06FA6" w:rsidRPr="00705FE6" w:rsidRDefault="00C06FA6" w:rsidP="00C06FA6">
      <w:pPr>
        <w:spacing w:after="0" w:line="360" w:lineRule="auto"/>
        <w:jc w:val="both"/>
        <w:rPr>
          <w:rFonts w:ascii="Palatino Linotype" w:hAnsi="Palatino Linotype" w:cs="Arial"/>
          <w:sz w:val="24"/>
          <w:szCs w:val="24"/>
          <w:lang w:eastAsia="es-ES"/>
        </w:rPr>
      </w:pPr>
      <w:r w:rsidRPr="00705FE6">
        <w:rPr>
          <w:rFonts w:ascii="Palatino Linotype" w:hAnsi="Palatino Linotype" w:cs="Segoe UI"/>
          <w:sz w:val="24"/>
          <w:szCs w:val="24"/>
          <w:lang w:eastAsia="es-ES"/>
        </w:rPr>
        <w:t xml:space="preserve">Cabe señalar que </w:t>
      </w:r>
      <w:r w:rsidRPr="00705FE6">
        <w:rPr>
          <w:rFonts w:ascii="Palatino Linotype" w:hAnsi="Palatino Linotype" w:cs="Segoe UI"/>
          <w:b/>
          <w:sz w:val="24"/>
          <w:szCs w:val="24"/>
          <w:lang w:eastAsia="es-ES"/>
        </w:rPr>
        <w:t>El Recurrente</w:t>
      </w:r>
      <w:r w:rsidRPr="00705FE6">
        <w:rPr>
          <w:rFonts w:ascii="Palatino Linotype" w:hAnsi="Palatino Linotype" w:cs="Segoe UI"/>
          <w:sz w:val="24"/>
          <w:szCs w:val="24"/>
          <w:lang w:eastAsia="es-ES"/>
        </w:rPr>
        <w:t xml:space="preserve"> ejerció de manera anónima su derecho de acceso a la información pública</w:t>
      </w:r>
      <w:r w:rsidRPr="00705FE6">
        <w:rPr>
          <w:rFonts w:ascii="Palatino Linotype" w:hAnsi="Palatino Linotype" w:cs="Times New Roman"/>
          <w:sz w:val="24"/>
          <w:szCs w:val="24"/>
          <w:lang w:eastAsia="es-ES"/>
        </w:rPr>
        <w:t xml:space="preserve">, sin embargo, no es motivo para desechar las </w:t>
      </w:r>
      <w:r w:rsidRPr="00705FE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9CD138E" w14:textId="77777777" w:rsidR="00C06FA6" w:rsidRPr="00705FE6" w:rsidRDefault="00C06FA6" w:rsidP="00C06FA6">
      <w:pPr>
        <w:spacing w:before="240" w:line="360" w:lineRule="auto"/>
        <w:ind w:left="851" w:right="851"/>
        <w:jc w:val="both"/>
        <w:rPr>
          <w:rFonts w:ascii="Palatino Linotype" w:hAnsi="Palatino Linotype" w:cs="Arial"/>
          <w:b/>
          <w:i/>
          <w:lang w:eastAsia="es-ES"/>
        </w:rPr>
      </w:pPr>
      <w:r w:rsidRPr="00705FE6">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05FE6">
        <w:rPr>
          <w:rFonts w:ascii="Palatino Linotype" w:hAnsi="Palatino Linotype" w:cs="Arial"/>
          <w:b/>
          <w:i/>
          <w:lang w:eastAsia="es-ES"/>
        </w:rPr>
        <w:t>[Sic]</w:t>
      </w:r>
    </w:p>
    <w:p w14:paraId="4B742DBD" w14:textId="77777777" w:rsidR="00C06FA6" w:rsidRPr="00705FE6" w:rsidRDefault="00C06FA6" w:rsidP="00C06FA6">
      <w:pPr>
        <w:spacing w:before="240" w:line="360" w:lineRule="auto"/>
        <w:ind w:left="851" w:right="851"/>
        <w:jc w:val="both"/>
        <w:rPr>
          <w:rFonts w:ascii="Palatino Linotype" w:hAnsi="Palatino Linotype" w:cs="Arial"/>
          <w:b/>
          <w:i/>
          <w:lang w:eastAsia="es-ES"/>
        </w:rPr>
      </w:pPr>
    </w:p>
    <w:p w14:paraId="430B8EF1" w14:textId="77777777" w:rsidR="00C06FA6" w:rsidRPr="00705FE6" w:rsidRDefault="00C06FA6" w:rsidP="00C06FA6">
      <w:pPr>
        <w:spacing w:after="0" w:line="360" w:lineRule="auto"/>
        <w:jc w:val="both"/>
        <w:rPr>
          <w:rFonts w:ascii="Palatino Linotype" w:hAnsi="Palatino Linotype" w:cs="Times New Roman"/>
          <w:sz w:val="24"/>
          <w:szCs w:val="24"/>
          <w:lang w:eastAsia="es-ES"/>
        </w:rPr>
      </w:pPr>
      <w:r w:rsidRPr="00705FE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705FE6">
        <w:rPr>
          <w:rFonts w:ascii="Palatino Linotype" w:hAnsi="Palatino Linotype" w:cs="Arial"/>
          <w:sz w:val="24"/>
          <w:szCs w:val="24"/>
          <w:lang w:eastAsia="es-ES"/>
        </w:rPr>
        <w:t>vigésimo, vigésimo primero</w:t>
      </w:r>
      <w:r w:rsidRPr="00705FE6">
        <w:rPr>
          <w:rFonts w:ascii="Palatino Linotype" w:eastAsia="Times New Roman" w:hAnsi="Palatino Linotype" w:cs="Arial"/>
          <w:sz w:val="24"/>
          <w:szCs w:val="24"/>
          <w:lang w:eastAsia="es-ES"/>
        </w:rPr>
        <w:t xml:space="preserve"> y vigésimo segundo</w:t>
      </w:r>
      <w:r w:rsidRPr="00705FE6">
        <w:rPr>
          <w:rFonts w:ascii="Palatino Linotype" w:hAnsi="Palatino Linotype" w:cs="Times New Roman"/>
          <w:sz w:val="24"/>
          <w:szCs w:val="24"/>
          <w:lang w:eastAsia="es-ES"/>
        </w:rPr>
        <w:t>, de la Constitución Política del Estado Libre y Soberano de México, se establece lo siguiente:</w:t>
      </w:r>
    </w:p>
    <w:p w14:paraId="2D7780E1" w14:textId="77777777" w:rsidR="00C06FA6" w:rsidRPr="00705FE6"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 los Estados Unidos Mexicanos</w:t>
      </w:r>
    </w:p>
    <w:p w14:paraId="5C97FC99"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6</w:t>
      </w:r>
      <w:r w:rsidRPr="00705FE6">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C250A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329CCCB1"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Para efectos de lo dispuesto en el presente artículo se observará lo siguiente: </w:t>
      </w:r>
    </w:p>
    <w:p w14:paraId="44657AB7"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421A53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19CBBD38"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3826D474" w14:textId="77777777" w:rsidR="00C06FA6" w:rsidRPr="00705FE6" w:rsidRDefault="00C06FA6" w:rsidP="00C06FA6">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05FE6">
        <w:rPr>
          <w:rFonts w:ascii="Palatino Linotype" w:eastAsia="Times New Roman" w:hAnsi="Palatino Linotype" w:cs="Times New Roman"/>
          <w:b/>
          <w:i/>
          <w:lang w:eastAsia="es-ES"/>
        </w:rPr>
        <w:t>[Sic]</w:t>
      </w:r>
    </w:p>
    <w:p w14:paraId="44B12814" w14:textId="77777777" w:rsidR="00C06FA6" w:rsidRPr="00705FE6" w:rsidRDefault="00C06FA6" w:rsidP="00C06FA6">
      <w:pPr>
        <w:spacing w:before="240" w:line="360" w:lineRule="auto"/>
        <w:ind w:left="851" w:right="851"/>
        <w:jc w:val="both"/>
        <w:rPr>
          <w:rFonts w:ascii="Palatino Linotype" w:eastAsia="Times New Roman" w:hAnsi="Palatino Linotype" w:cs="Times New Roman"/>
          <w:b/>
          <w:i/>
          <w:lang w:eastAsia="es-ES"/>
        </w:rPr>
      </w:pPr>
    </w:p>
    <w:p w14:paraId="5B5B5B1C" w14:textId="77777777" w:rsidR="00C06FA6" w:rsidRPr="00705FE6"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del Estado Libre y Soberano de México</w:t>
      </w:r>
    </w:p>
    <w:p w14:paraId="5AC324D3"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r w:rsidRPr="00705FE6">
        <w:rPr>
          <w:rFonts w:ascii="Palatino Linotype" w:eastAsia="Times New Roman" w:hAnsi="Palatino Linotype" w:cs="Times New Roman"/>
          <w:b/>
          <w:i/>
          <w:lang w:eastAsia="es-ES"/>
        </w:rPr>
        <w:t>Artículo 5</w:t>
      </w:r>
      <w:r w:rsidRPr="00705FE6">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B68A2D3"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483B28E8"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209D2539"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 (…)</w:t>
      </w:r>
    </w:p>
    <w:p w14:paraId="47A9C67C"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5730678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006FC5"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6CCCE94"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A1DE0E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749CF4A"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75A22DC2" w14:textId="77777777" w:rsidR="00C06FA6" w:rsidRPr="00705FE6" w:rsidRDefault="00C06FA6" w:rsidP="00C06FA6">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705FE6">
        <w:rPr>
          <w:rFonts w:ascii="Palatino Linotype" w:eastAsia="Times New Roman" w:hAnsi="Palatino Linotype" w:cs="Times New Roman"/>
          <w:i/>
          <w:lang w:eastAsia="es-ES"/>
        </w:rPr>
        <w:lastRenderedPageBreak/>
        <w:t xml:space="preserve">personales en posesión de los sujetos obligados en los términos que establezca la ley. (…)” </w:t>
      </w:r>
      <w:r w:rsidRPr="00705FE6">
        <w:rPr>
          <w:rFonts w:ascii="Palatino Linotype" w:eastAsia="Times New Roman" w:hAnsi="Palatino Linotype" w:cs="Times New Roman"/>
          <w:b/>
          <w:i/>
          <w:lang w:eastAsia="es-ES"/>
        </w:rPr>
        <w:t>[Sic]</w:t>
      </w:r>
    </w:p>
    <w:p w14:paraId="69C2708C" w14:textId="77777777" w:rsidR="00C06FA6" w:rsidRPr="00705FE6" w:rsidRDefault="00C06FA6" w:rsidP="00C06FA6">
      <w:pPr>
        <w:spacing w:after="0" w:line="360" w:lineRule="auto"/>
        <w:jc w:val="both"/>
        <w:rPr>
          <w:rFonts w:ascii="Palatino Linotype" w:eastAsia="Times New Roman" w:hAnsi="Palatino Linotype" w:cs="Times New Roman"/>
          <w:sz w:val="24"/>
          <w:szCs w:val="24"/>
          <w:lang w:eastAsia="es-ES"/>
        </w:rPr>
      </w:pPr>
    </w:p>
    <w:p w14:paraId="63649B7A" w14:textId="77777777" w:rsidR="00C06FA6" w:rsidRPr="00705FE6" w:rsidRDefault="00C06FA6" w:rsidP="00C06FA6">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5AD7163" w14:textId="77777777" w:rsidR="00C06FA6" w:rsidRPr="00705FE6" w:rsidRDefault="00C06FA6" w:rsidP="00C06FA6">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w:t>
      </w:r>
      <w:r w:rsidRPr="00705FE6">
        <w:rPr>
          <w:rFonts w:ascii="Palatino Linotype" w:hAnsi="Palatino Linotype" w:cs="Times New Roman"/>
          <w:b/>
          <w:i/>
          <w:lang w:eastAsia="es-ES"/>
        </w:rPr>
        <w:t>Artículo 1o</w:t>
      </w:r>
      <w:r w:rsidRPr="00705FE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9E3A32F" w14:textId="77777777" w:rsidR="00C06FA6" w:rsidRPr="00705FE6" w:rsidRDefault="00C06FA6" w:rsidP="00C06FA6">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F7E8BC" w14:textId="77777777" w:rsidR="00C06FA6" w:rsidRPr="00705FE6" w:rsidRDefault="00C06FA6" w:rsidP="00C06FA6">
      <w:pPr>
        <w:spacing w:before="240" w:line="360" w:lineRule="auto"/>
        <w:ind w:left="851" w:right="851"/>
        <w:jc w:val="both"/>
        <w:rPr>
          <w:rFonts w:ascii="Palatino Linotype" w:hAnsi="Palatino Linotype" w:cs="Times New Roman"/>
          <w:b/>
          <w:i/>
          <w:lang w:eastAsia="es-ES"/>
        </w:rPr>
      </w:pPr>
      <w:r w:rsidRPr="00705FE6">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5FE6">
        <w:rPr>
          <w:rFonts w:ascii="Palatino Linotype" w:hAnsi="Palatino Linotype" w:cs="Times New Roman"/>
          <w:b/>
          <w:i/>
          <w:lang w:eastAsia="es-ES"/>
        </w:rPr>
        <w:t>[Sic]</w:t>
      </w:r>
    </w:p>
    <w:p w14:paraId="4DA86A02"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lang w:val="es-MX"/>
        </w:rPr>
      </w:pPr>
    </w:p>
    <w:p w14:paraId="50F7B65A"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05FE6">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705FE6">
        <w:rPr>
          <w:rFonts w:ascii="Palatino Linotype" w:hAnsi="Palatino Linotype"/>
          <w:lang w:val="es-MX"/>
        </w:rPr>
        <w:lastRenderedPageBreak/>
        <w:t xml:space="preserve">información pública, es decir, dicho derecho fundamental exime a quien lo ejerce, de acreditar su legitimación en la causa o su interés en el asunto, lo que permite la posibilidad de que, </w:t>
      </w:r>
      <w:r w:rsidRPr="00705FE6">
        <w:rPr>
          <w:rFonts w:ascii="Palatino Linotype" w:hAnsi="Palatino Linotype"/>
          <w:b/>
          <w:u w:val="single"/>
          <w:lang w:val="es-MX"/>
        </w:rPr>
        <w:t>incluso, la solicitud de acceso a la información pueda ser anónima</w:t>
      </w:r>
      <w:r w:rsidRPr="00705FE6">
        <w:rPr>
          <w:rFonts w:ascii="Palatino Linotype" w:hAnsi="Palatino Linotype"/>
          <w:lang w:val="es-MX"/>
        </w:rPr>
        <w:t xml:space="preserve"> o no contener un nombre que identifique al solicitante o que permita tener certeza sobre su identidad. </w:t>
      </w:r>
      <w:r w:rsidRPr="00705FE6">
        <w:rPr>
          <w:rFonts w:ascii="Palatino Linotype" w:hAnsi="Palatino Linotype" w:cs="Arial"/>
          <w:lang w:val="es-MX"/>
        </w:rPr>
        <w:t>En conclusión, se cubrieron los requisitos de procedencia y procedibilidad y conforme a las constancias que obran en el expediente.</w:t>
      </w:r>
    </w:p>
    <w:p w14:paraId="4A1B7C8D"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705F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860F9B" w14:textId="77777777" w:rsidR="00C06FA6" w:rsidRPr="00705FE6" w:rsidRDefault="00C06FA6" w:rsidP="00C06FA6">
      <w:pPr>
        <w:pStyle w:val="Prrafodelista"/>
        <w:autoSpaceDE w:val="0"/>
        <w:autoSpaceDN w:val="0"/>
        <w:adjustRightInd w:val="0"/>
        <w:spacing w:line="360" w:lineRule="auto"/>
        <w:ind w:left="0"/>
        <w:jc w:val="both"/>
        <w:rPr>
          <w:rFonts w:ascii="Palatino Linotype" w:hAnsi="Palatino Linotype" w:cs="Arial"/>
          <w:lang w:val="es-MX"/>
        </w:rPr>
      </w:pPr>
      <w:r w:rsidRPr="00705F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w:t>
      </w:r>
      <w:r w:rsidRPr="00705FE6">
        <w:rPr>
          <w:rFonts w:ascii="Palatino Linotype" w:hAnsi="Palatino Linotype" w:cs="Arial"/>
          <w:lang w:val="es-MX"/>
        </w:rPr>
        <w:lastRenderedPageBreak/>
        <w:t>el derecho de acceso a la justicia, ya que éste no se coarta por regular causas de improcedencia y sobreseimiento con tales fines</w:t>
      </w:r>
      <w:r w:rsidRPr="00705FE6">
        <w:rPr>
          <w:rStyle w:val="Refdenotaalpie"/>
          <w:rFonts w:ascii="Palatino Linotype" w:hAnsi="Palatino Linotype" w:cs="Arial"/>
          <w:lang w:val="es-MX"/>
        </w:rPr>
        <w:footnoteReference w:id="1"/>
      </w:r>
      <w:r w:rsidRPr="00705FE6">
        <w:rPr>
          <w:rFonts w:ascii="Palatino Linotype" w:hAnsi="Palatino Linotype" w:cs="Arial"/>
          <w:lang w:val="es-MX"/>
        </w:rPr>
        <w:t>.</w:t>
      </w:r>
    </w:p>
    <w:p w14:paraId="011173BF"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2C6A69B" w14:textId="77777777" w:rsidR="003B30DA" w:rsidRDefault="003B30DA" w:rsidP="000C7274">
      <w:pPr>
        <w:tabs>
          <w:tab w:val="left" w:pos="709"/>
        </w:tabs>
        <w:spacing w:before="240" w:line="360" w:lineRule="auto"/>
        <w:ind w:right="51"/>
        <w:jc w:val="both"/>
        <w:rPr>
          <w:rFonts w:ascii="Palatino Linotype" w:hAnsi="Palatino Linotype"/>
          <w:b/>
          <w:sz w:val="28"/>
          <w:szCs w:val="28"/>
        </w:rPr>
      </w:pPr>
    </w:p>
    <w:p w14:paraId="3D0D57A4" w14:textId="1545D344" w:rsidR="000C7274"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9CECA2F" w14:textId="77777777" w:rsidR="00203D96" w:rsidRPr="007379EE"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w:t>
      </w:r>
      <w:r w:rsidRPr="007379EE">
        <w:rPr>
          <w:rFonts w:ascii="Palatino Linotype" w:eastAsia="Palatino Linotype" w:hAnsi="Palatino Linotype" w:cs="Palatino Linotype"/>
          <w:color w:val="000000"/>
        </w:rPr>
        <w:lastRenderedPageBreak/>
        <w:t>concordancia con el párrafo tercero del artículo 1 de la Constitución Federal y el diverso 8 de la Ley de Transparencia local.</w:t>
      </w:r>
    </w:p>
    <w:p w14:paraId="7D2F488F" w14:textId="77777777" w:rsidR="00203D96" w:rsidRDefault="00203D96" w:rsidP="00203D96">
      <w:pPr>
        <w:autoSpaceDE w:val="0"/>
        <w:autoSpaceDN w:val="0"/>
        <w:adjustRightInd w:val="0"/>
        <w:ind w:left="567" w:right="567"/>
        <w:jc w:val="right"/>
        <w:rPr>
          <w:rFonts w:ascii="Palatino Linotype" w:eastAsia="Calibri" w:hAnsi="Palatino Linotype" w:cs="Arial"/>
        </w:rPr>
      </w:pPr>
    </w:p>
    <w:p w14:paraId="4BB2032B" w14:textId="3B6948BF" w:rsidR="00203D96" w:rsidRPr="00203D96" w:rsidRDefault="00203D96" w:rsidP="00203D96">
      <w:pPr>
        <w:spacing w:line="360" w:lineRule="auto"/>
        <w:jc w:val="both"/>
        <w:rPr>
          <w:rFonts w:ascii="Palatino Linotype" w:hAnsi="Palatino Linotype" w:cs="Tahoma"/>
          <w:bCs/>
          <w:i/>
          <w:iCs/>
          <w:sz w:val="24"/>
          <w:szCs w:val="24"/>
        </w:rPr>
      </w:pPr>
      <w:r w:rsidRPr="00203D96">
        <w:rPr>
          <w:rFonts w:ascii="Palatino Linotype" w:hAnsi="Palatino Linotype" w:cs="Tahoma"/>
          <w:bCs/>
          <w:sz w:val="24"/>
          <w:szCs w:val="24"/>
        </w:rPr>
        <w:t xml:space="preserve">Bajo estas líneas argumentativas, al retomar y delimitar los requerimientos del ahora </w:t>
      </w:r>
      <w:r w:rsidRPr="00203D96">
        <w:rPr>
          <w:rFonts w:ascii="Palatino Linotype" w:hAnsi="Palatino Linotype" w:cs="Tahoma"/>
          <w:b/>
          <w:bCs/>
          <w:sz w:val="24"/>
          <w:szCs w:val="24"/>
        </w:rPr>
        <w:t>Recurrente</w:t>
      </w:r>
      <w:r w:rsidRPr="00203D96">
        <w:rPr>
          <w:rFonts w:ascii="Palatino Linotype" w:hAnsi="Palatino Linotype" w:cs="Tahoma"/>
          <w:bCs/>
          <w:sz w:val="24"/>
          <w:szCs w:val="24"/>
        </w:rPr>
        <w:t xml:space="preserve">, de manera inicial se destaca que fue señalado como parámetro de inicio y conclusión para efectos de búsqueda de la información </w:t>
      </w:r>
      <w:r>
        <w:rPr>
          <w:rFonts w:ascii="Palatino Linotype" w:hAnsi="Palatino Linotype" w:cs="Tahoma"/>
          <w:bCs/>
          <w:i/>
          <w:iCs/>
          <w:sz w:val="24"/>
          <w:szCs w:val="24"/>
        </w:rPr>
        <w:t xml:space="preserve">“del periodo del 1 de enero al 31 </w:t>
      </w:r>
      <w:r w:rsidRPr="00203D96">
        <w:rPr>
          <w:rFonts w:ascii="Palatino Linotype" w:hAnsi="Palatino Linotype" w:cs="Tahoma"/>
          <w:bCs/>
          <w:i/>
          <w:iCs/>
          <w:sz w:val="24"/>
          <w:szCs w:val="24"/>
        </w:rPr>
        <w:t>de diciembre de 2024”.</w:t>
      </w:r>
    </w:p>
    <w:p w14:paraId="02798D25" w14:textId="77777777" w:rsidR="00203D96" w:rsidRPr="00203D96" w:rsidRDefault="00203D96" w:rsidP="00203D96">
      <w:pPr>
        <w:spacing w:before="240" w:line="360" w:lineRule="auto"/>
        <w:jc w:val="both"/>
        <w:rPr>
          <w:rFonts w:ascii="Palatino Linotype" w:hAnsi="Palatino Linotype"/>
          <w:sz w:val="24"/>
          <w:szCs w:val="24"/>
        </w:rPr>
      </w:pPr>
      <w:r w:rsidRPr="00203D96">
        <w:rPr>
          <w:rFonts w:ascii="Palatino Linotype" w:hAnsi="Palatino Linotype" w:cs="Arial"/>
          <w:sz w:val="24"/>
          <w:szCs w:val="24"/>
        </w:rPr>
        <w:t xml:space="preserve">Bajo este contexto, se destaca que el </w:t>
      </w:r>
      <w:r w:rsidRPr="00203D96">
        <w:rPr>
          <w:rFonts w:ascii="Palatino Linotype" w:hAnsi="Palatino Linotype"/>
          <w:sz w:val="24"/>
          <w:szCs w:val="24"/>
        </w:rPr>
        <w:t xml:space="preserve">derecho de acceso a la información estriba respecto de aquellos soportes documentales generados, poseídos o administrados por </w:t>
      </w:r>
      <w:r w:rsidRPr="00203D96">
        <w:rPr>
          <w:rFonts w:ascii="Palatino Linotype" w:hAnsi="Palatino Linotype"/>
          <w:b/>
          <w:bCs/>
          <w:sz w:val="24"/>
          <w:szCs w:val="24"/>
        </w:rPr>
        <w:t xml:space="preserve">El Sujeto Obligado </w:t>
      </w:r>
      <w:r w:rsidRPr="00203D96">
        <w:rPr>
          <w:rFonts w:ascii="Palatino Linotype" w:hAnsi="Palatino Linotype"/>
          <w:sz w:val="24"/>
          <w:szCs w:val="24"/>
        </w:rPr>
        <w:t>que se encuentren disponibles al momento de ejercer dicha prerrogativa, es decir, excluye los siguientes actos:</w:t>
      </w:r>
    </w:p>
    <w:p w14:paraId="0C2871DA" w14:textId="77777777" w:rsidR="00203D96" w:rsidRPr="00203D96" w:rsidRDefault="00203D96" w:rsidP="00983E6E">
      <w:pPr>
        <w:pStyle w:val="Prrafodelista"/>
        <w:numPr>
          <w:ilvl w:val="0"/>
          <w:numId w:val="3"/>
        </w:numPr>
        <w:spacing w:before="240" w:line="360" w:lineRule="auto"/>
        <w:jc w:val="both"/>
        <w:rPr>
          <w:rFonts w:ascii="Palatino Linotype" w:hAnsi="Palatino Linotype"/>
        </w:rPr>
      </w:pPr>
      <w:r w:rsidRPr="00203D96">
        <w:rPr>
          <w:rFonts w:ascii="Palatino Linotype" w:hAnsi="Palatino Linotype"/>
          <w:b/>
          <w:bCs/>
        </w:rPr>
        <w:t xml:space="preserve">Actos futuros inminentes: </w:t>
      </w:r>
      <w:r w:rsidRPr="00203D96">
        <w:rPr>
          <w:rFonts w:ascii="Palatino Linotype" w:hAnsi="Palatino Linotype"/>
        </w:rPr>
        <w:t xml:space="preserve">Son aquellos cuyo mandamiento ya se ha dictado y su ejecución puede realizarse de un momento a otro. </w:t>
      </w:r>
    </w:p>
    <w:p w14:paraId="06A46E86" w14:textId="77777777" w:rsidR="00203D96" w:rsidRPr="00203D96" w:rsidRDefault="00203D96" w:rsidP="00983E6E">
      <w:pPr>
        <w:pStyle w:val="Prrafodelista"/>
        <w:numPr>
          <w:ilvl w:val="0"/>
          <w:numId w:val="3"/>
        </w:numPr>
        <w:spacing w:before="240" w:line="360" w:lineRule="auto"/>
        <w:jc w:val="both"/>
        <w:rPr>
          <w:rFonts w:ascii="Palatino Linotype" w:hAnsi="Palatino Linotype"/>
        </w:rPr>
      </w:pPr>
      <w:r w:rsidRPr="00203D96">
        <w:rPr>
          <w:rFonts w:ascii="Palatino Linotype" w:hAnsi="Palatino Linotype"/>
          <w:b/>
          <w:bCs/>
        </w:rPr>
        <w:t xml:space="preserve">Actos futuros probables: </w:t>
      </w:r>
      <w:r w:rsidRPr="00203D96">
        <w:rPr>
          <w:rFonts w:ascii="Palatino Linotype" w:hAnsi="Palatino Linotype"/>
        </w:rPr>
        <w:t xml:space="preserve">Son aquellos que pueden o no suceder, es decir, son de remota realización. </w:t>
      </w:r>
    </w:p>
    <w:p w14:paraId="6D30C93C" w14:textId="77777777" w:rsidR="00203D96" w:rsidRDefault="00203D96" w:rsidP="00203D96">
      <w:pPr>
        <w:pStyle w:val="Prrafodelista"/>
        <w:autoSpaceDE w:val="0"/>
        <w:autoSpaceDN w:val="0"/>
        <w:adjustRightInd w:val="0"/>
        <w:spacing w:line="360" w:lineRule="auto"/>
        <w:ind w:left="720"/>
        <w:jc w:val="both"/>
        <w:rPr>
          <w:rFonts w:ascii="Palatino Linotype" w:hAnsi="Palatino Linotype" w:cs="Arial"/>
          <w:lang w:val="es-MX"/>
        </w:rPr>
      </w:pPr>
    </w:p>
    <w:p w14:paraId="225DACA2" w14:textId="54CF0247" w:rsidR="00203D96" w:rsidRPr="00203D96" w:rsidRDefault="00203D96" w:rsidP="00203D96">
      <w:pPr>
        <w:autoSpaceDE w:val="0"/>
        <w:autoSpaceDN w:val="0"/>
        <w:adjustRightInd w:val="0"/>
        <w:spacing w:line="360" w:lineRule="auto"/>
        <w:jc w:val="both"/>
        <w:rPr>
          <w:rFonts w:ascii="Palatino Linotype" w:hAnsi="Palatino Linotype" w:cs="Arial"/>
          <w:sz w:val="24"/>
          <w:szCs w:val="24"/>
        </w:rPr>
      </w:pPr>
      <w:r w:rsidRPr="00203D96">
        <w:rPr>
          <w:rFonts w:ascii="Palatino Linotype" w:hAnsi="Palatino Linotype" w:cs="Arial"/>
          <w:sz w:val="24"/>
          <w:szCs w:val="24"/>
        </w:rPr>
        <w:t xml:space="preserve">En este sentido, con relación a la solicitud de información </w:t>
      </w:r>
      <w:r>
        <w:rPr>
          <w:rFonts w:ascii="Palatino Linotype" w:hAnsi="Palatino Linotype" w:cs="Arial"/>
          <w:b/>
          <w:bCs/>
          <w:sz w:val="24"/>
          <w:szCs w:val="24"/>
        </w:rPr>
        <w:t xml:space="preserve">00599/ECATEPEC/IP/2024, </w:t>
      </w:r>
      <w:r>
        <w:rPr>
          <w:rFonts w:ascii="Palatino Linotype" w:hAnsi="Palatino Linotype" w:cs="Arial"/>
          <w:sz w:val="24"/>
          <w:szCs w:val="24"/>
        </w:rPr>
        <w:t xml:space="preserve">al tomar en consideración que el derecho de acceso a la información fue ejercido el treinta de mayo de dos mil veinticuatro, resulta inconcuso que el elemento temporal debe de ser delimitado del uno de enero </w:t>
      </w:r>
      <w:r w:rsidR="001E2120">
        <w:rPr>
          <w:rFonts w:ascii="Palatino Linotype" w:hAnsi="Palatino Linotype" w:cs="Arial"/>
          <w:sz w:val="24"/>
          <w:szCs w:val="24"/>
        </w:rPr>
        <w:t xml:space="preserve">al treinta de mayo de dos mil veinticuatro. </w:t>
      </w:r>
    </w:p>
    <w:p w14:paraId="6EE6C6C2" w14:textId="2A5817C8" w:rsidR="00203D96" w:rsidRPr="001E2120" w:rsidRDefault="001E2120" w:rsidP="00203D96">
      <w:pPr>
        <w:autoSpaceDE w:val="0"/>
        <w:autoSpaceDN w:val="0"/>
        <w:adjustRightInd w:val="0"/>
        <w:spacing w:line="360" w:lineRule="auto"/>
        <w:jc w:val="both"/>
        <w:rPr>
          <w:rFonts w:ascii="Palatino Linotype" w:hAnsi="Palatino Linotype" w:cs="Arial"/>
          <w:sz w:val="24"/>
          <w:szCs w:val="24"/>
        </w:rPr>
      </w:pPr>
      <w:r w:rsidRPr="001E2120">
        <w:rPr>
          <w:rFonts w:ascii="Palatino Linotype" w:hAnsi="Palatino Linotype" w:cs="Arial"/>
          <w:sz w:val="24"/>
          <w:szCs w:val="24"/>
        </w:rPr>
        <w:t xml:space="preserve">En virtud de lo anterior y con relación a la problemática expuesta, se precisa </w:t>
      </w:r>
      <w:r w:rsidR="006A31E8" w:rsidRPr="001E2120">
        <w:rPr>
          <w:rFonts w:ascii="Palatino Linotype" w:hAnsi="Palatino Linotype" w:cs="Arial"/>
          <w:sz w:val="24"/>
          <w:szCs w:val="24"/>
        </w:rPr>
        <w:t>que,</w:t>
      </w:r>
      <w:r w:rsidRPr="001E2120">
        <w:rPr>
          <w:rFonts w:ascii="Palatino Linotype" w:hAnsi="Palatino Linotype" w:cs="Arial"/>
          <w:sz w:val="24"/>
          <w:szCs w:val="24"/>
        </w:rPr>
        <w:t xml:space="preserve"> mediante la solicitud de información, el ciudadano requirió lo siguiente: </w:t>
      </w:r>
    </w:p>
    <w:p w14:paraId="6AED52A1" w14:textId="14939F1C" w:rsidR="00203D96" w:rsidRPr="001E2120" w:rsidRDefault="00203D96" w:rsidP="00203D96">
      <w:pPr>
        <w:tabs>
          <w:tab w:val="left" w:pos="1828"/>
        </w:tabs>
        <w:spacing w:line="360" w:lineRule="auto"/>
        <w:jc w:val="both"/>
        <w:rPr>
          <w:rFonts w:ascii="Palatino Linotype" w:hAnsi="Palatino Linotype" w:cs="Tahoma"/>
          <w:bCs/>
          <w:sz w:val="24"/>
          <w:szCs w:val="24"/>
        </w:rPr>
      </w:pPr>
      <w:r w:rsidRPr="001E2120">
        <w:rPr>
          <w:rFonts w:ascii="Palatino Linotype" w:hAnsi="Palatino Linotype" w:cs="Tahoma"/>
          <w:bCs/>
          <w:sz w:val="24"/>
          <w:szCs w:val="24"/>
        </w:rPr>
        <w:lastRenderedPageBreak/>
        <w:t xml:space="preserve">Del Comité de Información, previsto en el Bando Municipal del Ayuntamiento de Ecatepec de Morelos 2022-2024, del periodo del 1 enero al </w:t>
      </w:r>
      <w:r w:rsidR="001E2120" w:rsidRPr="001E2120">
        <w:rPr>
          <w:rFonts w:ascii="Palatino Linotype" w:hAnsi="Palatino Linotype" w:cs="Tahoma"/>
          <w:bCs/>
          <w:sz w:val="24"/>
          <w:szCs w:val="24"/>
        </w:rPr>
        <w:t>30 de mayo de 2024 lo siguiente:</w:t>
      </w:r>
      <w:r w:rsidRPr="001E2120">
        <w:rPr>
          <w:rFonts w:ascii="Palatino Linotype" w:hAnsi="Palatino Linotype" w:cs="Tahoma"/>
          <w:bCs/>
          <w:sz w:val="24"/>
          <w:szCs w:val="24"/>
        </w:rPr>
        <w:t xml:space="preserve"> </w:t>
      </w:r>
    </w:p>
    <w:p w14:paraId="0396C99F" w14:textId="32B7A207" w:rsidR="001E2120" w:rsidRPr="001E2120" w:rsidRDefault="001E2120" w:rsidP="00983E6E">
      <w:pPr>
        <w:pStyle w:val="Prrafodelista"/>
        <w:numPr>
          <w:ilvl w:val="0"/>
          <w:numId w:val="1"/>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Fundamento legal </w:t>
      </w:r>
    </w:p>
    <w:p w14:paraId="7C8FE474" w14:textId="1FFF83C9" w:rsidR="001E2120" w:rsidRPr="001E2120" w:rsidRDefault="001E2120" w:rsidP="00983E6E">
      <w:pPr>
        <w:pStyle w:val="Prrafodelista"/>
        <w:numPr>
          <w:ilvl w:val="0"/>
          <w:numId w:val="1"/>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Reglamento, reglas de organización y funcionamiento o similar </w:t>
      </w:r>
    </w:p>
    <w:p w14:paraId="18DE83AC" w14:textId="5468C723" w:rsidR="001E2120" w:rsidRPr="001E2120" w:rsidRDefault="001E2120" w:rsidP="00983E6E">
      <w:pPr>
        <w:pStyle w:val="Prrafodelista"/>
        <w:numPr>
          <w:ilvl w:val="0"/>
          <w:numId w:val="1"/>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Nombre del área responsable </w:t>
      </w:r>
    </w:p>
    <w:p w14:paraId="38BE5CD7" w14:textId="005B884A" w:rsidR="001E2120" w:rsidRPr="001E2120" w:rsidRDefault="001E2120" w:rsidP="00983E6E">
      <w:pPr>
        <w:pStyle w:val="Prrafodelista"/>
        <w:numPr>
          <w:ilvl w:val="0"/>
          <w:numId w:val="1"/>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Nombre de la persona servidora pública titular del área responsable </w:t>
      </w:r>
    </w:p>
    <w:p w14:paraId="3AD7A447" w14:textId="5D96D138" w:rsidR="001E2120" w:rsidRPr="001E2120" w:rsidRDefault="001E2120" w:rsidP="00983E6E">
      <w:pPr>
        <w:pStyle w:val="Prrafodelista"/>
        <w:numPr>
          <w:ilvl w:val="0"/>
          <w:numId w:val="1"/>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Datos de contacto (teléfono, correo electrónico, dirección de oficina) de la persona servidora pública titular del área responsable</w:t>
      </w:r>
    </w:p>
    <w:p w14:paraId="452539BE" w14:textId="77777777" w:rsidR="001E2120" w:rsidRDefault="001E2120" w:rsidP="00203D96">
      <w:pPr>
        <w:spacing w:before="240" w:line="360" w:lineRule="auto"/>
        <w:jc w:val="both"/>
        <w:rPr>
          <w:rFonts w:ascii="Palatino Linotype" w:hAnsi="Palatino Linotype" w:cs="Arial"/>
          <w:sz w:val="24"/>
          <w:szCs w:val="24"/>
        </w:rPr>
      </w:pPr>
    </w:p>
    <w:p w14:paraId="327F8C15" w14:textId="5E6E10FF" w:rsidR="00203D96" w:rsidRPr="001E2120" w:rsidRDefault="00203D96" w:rsidP="00203D96">
      <w:pPr>
        <w:spacing w:before="240" w:line="360" w:lineRule="auto"/>
        <w:jc w:val="both"/>
        <w:rPr>
          <w:rFonts w:ascii="Palatino Linotype" w:hAnsi="Palatino Linotype" w:cs="Arial"/>
          <w:b/>
          <w:sz w:val="24"/>
          <w:szCs w:val="24"/>
        </w:rPr>
      </w:pPr>
      <w:r w:rsidRPr="001E2120">
        <w:rPr>
          <w:rFonts w:ascii="Palatino Linotype" w:hAnsi="Palatino Linotype" w:cs="Arial"/>
          <w:sz w:val="24"/>
          <w:szCs w:val="24"/>
        </w:rPr>
        <w:t xml:space="preserve">De conformidad con las constancias que obran en el expediente electrónico, se observa que el </w:t>
      </w:r>
      <w:r w:rsidRPr="001E2120">
        <w:rPr>
          <w:rFonts w:ascii="Palatino Linotype" w:hAnsi="Palatino Linotype" w:cs="Arial"/>
          <w:b/>
          <w:sz w:val="24"/>
          <w:szCs w:val="24"/>
        </w:rPr>
        <w:t>Sujeto Obligado</w:t>
      </w:r>
      <w:r w:rsidRPr="001E2120">
        <w:rPr>
          <w:rFonts w:ascii="Palatino Linotype" w:hAnsi="Palatino Linotype" w:cs="Arial"/>
          <w:sz w:val="24"/>
          <w:szCs w:val="24"/>
        </w:rPr>
        <w:t xml:space="preserve"> dio respuesta por medio del sistema </w:t>
      </w:r>
      <w:r w:rsidRPr="00B10B9F">
        <w:rPr>
          <w:rFonts w:ascii="Palatino Linotype" w:hAnsi="Palatino Linotype" w:cs="Arial"/>
          <w:b/>
          <w:bCs/>
          <w:sz w:val="24"/>
          <w:szCs w:val="24"/>
        </w:rPr>
        <w:t>SAIMEX</w:t>
      </w:r>
      <w:r w:rsidRPr="001E2120">
        <w:rPr>
          <w:rFonts w:ascii="Palatino Linotype" w:hAnsi="Palatino Linotype" w:cs="Arial"/>
          <w:sz w:val="24"/>
          <w:szCs w:val="24"/>
        </w:rPr>
        <w:t>, a la solicitud de información</w:t>
      </w:r>
      <w:r w:rsidRPr="001E2120">
        <w:rPr>
          <w:rFonts w:ascii="Palatino Linotype" w:eastAsia="Palatino Linotype" w:hAnsi="Palatino Linotype" w:cs="Palatino Linotype"/>
          <w:b/>
          <w:color w:val="000000"/>
          <w:sz w:val="24"/>
          <w:szCs w:val="24"/>
        </w:rPr>
        <w:t xml:space="preserve"> </w:t>
      </w:r>
      <w:r w:rsidRPr="001E2120">
        <w:rPr>
          <w:rFonts w:ascii="Palatino Linotype" w:hAnsi="Palatino Linotype" w:cs="Arial"/>
          <w:b/>
          <w:sz w:val="24"/>
          <w:szCs w:val="24"/>
        </w:rPr>
        <w:t>00</w:t>
      </w:r>
      <w:r w:rsidR="001E2120">
        <w:rPr>
          <w:rFonts w:ascii="Palatino Linotype" w:hAnsi="Palatino Linotype" w:cs="Arial"/>
          <w:b/>
          <w:sz w:val="24"/>
          <w:szCs w:val="24"/>
        </w:rPr>
        <w:t>599</w:t>
      </w:r>
      <w:r w:rsidRPr="001E2120">
        <w:rPr>
          <w:rFonts w:ascii="Palatino Linotype" w:hAnsi="Palatino Linotype" w:cs="Arial"/>
          <w:b/>
          <w:sz w:val="24"/>
          <w:szCs w:val="24"/>
        </w:rPr>
        <w:t xml:space="preserve">/ECATEPEC/IP/2024; </w:t>
      </w:r>
      <w:r w:rsidRPr="001E2120">
        <w:rPr>
          <w:rFonts w:ascii="Palatino Linotype" w:hAnsi="Palatino Linotype" w:cs="Arial"/>
          <w:sz w:val="24"/>
          <w:szCs w:val="24"/>
        </w:rPr>
        <w:t xml:space="preserve">a través </w:t>
      </w:r>
      <w:r w:rsidR="006A31E8">
        <w:rPr>
          <w:rFonts w:ascii="Palatino Linotype" w:hAnsi="Palatino Linotype" w:cs="Arial"/>
          <w:sz w:val="24"/>
          <w:szCs w:val="24"/>
        </w:rPr>
        <w:t xml:space="preserve">del archivo electrónico: </w:t>
      </w:r>
    </w:p>
    <w:p w14:paraId="44445DB8" w14:textId="0538E31F" w:rsidR="00203D96" w:rsidRPr="001E2120" w:rsidRDefault="001E2120" w:rsidP="00983E6E">
      <w:pPr>
        <w:pStyle w:val="INFOEM"/>
        <w:numPr>
          <w:ilvl w:val="0"/>
          <w:numId w:val="4"/>
        </w:numPr>
        <w:rPr>
          <w:rFonts w:cs="Arial"/>
          <w:b/>
          <w:i w:val="0"/>
          <w:iCs/>
          <w:sz w:val="24"/>
        </w:rPr>
      </w:pPr>
      <w:r>
        <w:rPr>
          <w:rFonts w:cs="Arial"/>
          <w:b/>
          <w:i w:val="0"/>
          <w:iCs/>
          <w:sz w:val="24"/>
        </w:rPr>
        <w:t xml:space="preserve">“RESPUESTA 00599.pdf”: </w:t>
      </w:r>
      <w:r>
        <w:rPr>
          <w:rFonts w:cs="Arial"/>
          <w:bCs/>
          <w:i w:val="0"/>
          <w:iCs/>
          <w:sz w:val="24"/>
        </w:rPr>
        <w:t xml:space="preserve">Oficio número </w:t>
      </w:r>
      <w:r>
        <w:rPr>
          <w:rFonts w:cs="Arial"/>
          <w:b/>
          <w:i w:val="0"/>
          <w:iCs/>
          <w:sz w:val="24"/>
        </w:rPr>
        <w:t xml:space="preserve">ST/UT/ECA/1046/2024 </w:t>
      </w:r>
      <w:r>
        <w:rPr>
          <w:rFonts w:cs="Arial"/>
          <w:bCs/>
          <w:i w:val="0"/>
          <w:iCs/>
          <w:sz w:val="24"/>
        </w:rPr>
        <w:t>signado por la titular de la unidad de transparencia y dirigido al solicitante, de fecha catorce de junio de dos mil veinticuatro, resulta de nuestro interés el siguiente extracto:</w:t>
      </w:r>
    </w:p>
    <w:p w14:paraId="7B8AA306" w14:textId="16B6ADC2" w:rsidR="001E2120" w:rsidRPr="001E2120" w:rsidRDefault="001E2120" w:rsidP="001E2120">
      <w:pPr>
        <w:pStyle w:val="INFOEM"/>
        <w:ind w:left="720"/>
        <w:rPr>
          <w:rFonts w:cs="Arial"/>
          <w:b/>
          <w:sz w:val="24"/>
        </w:rPr>
      </w:pPr>
      <w:r>
        <w:rPr>
          <w:rFonts w:cs="Arial"/>
          <w:bCs/>
          <w:sz w:val="24"/>
        </w:rPr>
        <w:t xml:space="preserve">“(…) externando que se llevó a cabo una búsqueda exhaustiva, minuciosa y razonable en los archivos de esta Unidad a mi cargo y no se encontró la información solicitada” </w:t>
      </w:r>
      <w:r>
        <w:rPr>
          <w:rFonts w:cs="Arial"/>
          <w:b/>
          <w:sz w:val="24"/>
        </w:rPr>
        <w:t>(Sic)</w:t>
      </w:r>
    </w:p>
    <w:p w14:paraId="0DCC37B6" w14:textId="77777777" w:rsidR="00203D96" w:rsidRDefault="00203D96" w:rsidP="00203D96">
      <w:pPr>
        <w:spacing w:line="360" w:lineRule="auto"/>
        <w:jc w:val="both"/>
        <w:rPr>
          <w:rFonts w:ascii="Palatino Linotype" w:hAnsi="Palatino Linotype" w:cs="Arial"/>
          <w:bCs/>
        </w:rPr>
      </w:pPr>
    </w:p>
    <w:p w14:paraId="6E81E8C0" w14:textId="57723638" w:rsidR="00203D96" w:rsidRPr="006A31E8" w:rsidRDefault="00203D96" w:rsidP="00203D96">
      <w:pPr>
        <w:spacing w:line="360" w:lineRule="auto"/>
        <w:jc w:val="both"/>
        <w:rPr>
          <w:rFonts w:ascii="Palatino Linotype" w:hAnsi="Palatino Linotype"/>
          <w:b/>
          <w:bCs/>
          <w:i/>
          <w:sz w:val="24"/>
          <w:szCs w:val="24"/>
        </w:rPr>
      </w:pPr>
      <w:r w:rsidRPr="006A31E8">
        <w:rPr>
          <w:rFonts w:ascii="Palatino Linotype" w:hAnsi="Palatino Linotype" w:cs="Arial"/>
          <w:bCs/>
          <w:sz w:val="24"/>
          <w:szCs w:val="24"/>
        </w:rPr>
        <w:lastRenderedPageBreak/>
        <w:t xml:space="preserve">Es así como, derivado de la respuesta emitida por </w:t>
      </w:r>
      <w:r w:rsidRPr="006A31E8">
        <w:rPr>
          <w:rFonts w:ascii="Palatino Linotype" w:hAnsi="Palatino Linotype" w:cs="Arial"/>
          <w:b/>
          <w:bCs/>
          <w:sz w:val="24"/>
          <w:szCs w:val="24"/>
        </w:rPr>
        <w:t>El Sujeto Obligado</w:t>
      </w:r>
      <w:r w:rsidRPr="006A31E8">
        <w:rPr>
          <w:rFonts w:ascii="Palatino Linotype" w:hAnsi="Palatino Linotype" w:cs="Arial"/>
          <w:bCs/>
          <w:sz w:val="24"/>
          <w:szCs w:val="24"/>
        </w:rPr>
        <w:t xml:space="preserve">, </w:t>
      </w:r>
      <w:r w:rsidR="00B10B9F">
        <w:rPr>
          <w:rFonts w:ascii="Palatino Linotype" w:hAnsi="Palatino Linotype" w:cs="Arial"/>
          <w:b/>
          <w:bCs/>
          <w:sz w:val="24"/>
          <w:szCs w:val="24"/>
        </w:rPr>
        <w:t>El</w:t>
      </w:r>
      <w:r w:rsidRPr="006A31E8">
        <w:rPr>
          <w:rFonts w:ascii="Palatino Linotype" w:hAnsi="Palatino Linotype" w:cs="Arial"/>
          <w:b/>
          <w:bCs/>
          <w:sz w:val="24"/>
          <w:szCs w:val="24"/>
        </w:rPr>
        <w:t xml:space="preserve"> Recurrente</w:t>
      </w:r>
      <w:r w:rsidRPr="006A31E8">
        <w:rPr>
          <w:rFonts w:ascii="Palatino Linotype" w:hAnsi="Palatino Linotype" w:cs="Arial"/>
          <w:bCs/>
          <w:sz w:val="24"/>
          <w:szCs w:val="24"/>
        </w:rPr>
        <w:t>, interpuso el presente recurso de revisión, señalando sustancialmente como sus razones o motivos de inconformidad, lo siguiente:</w:t>
      </w:r>
      <w:r w:rsidRPr="006A31E8" w:rsidDel="00107C3B">
        <w:rPr>
          <w:rFonts w:ascii="Palatino Linotype" w:hAnsi="Palatino Linotype"/>
          <w:b/>
          <w:i/>
          <w:sz w:val="24"/>
          <w:szCs w:val="24"/>
        </w:rPr>
        <w:t xml:space="preserve"> </w:t>
      </w:r>
      <w:r w:rsidRPr="006A31E8">
        <w:rPr>
          <w:rFonts w:ascii="Palatino Linotype" w:hAnsi="Palatino Linotype"/>
          <w:i/>
          <w:sz w:val="24"/>
          <w:szCs w:val="24"/>
        </w:rPr>
        <w:t>“</w:t>
      </w:r>
      <w:r w:rsidR="001E2120" w:rsidRPr="006A31E8">
        <w:rPr>
          <w:rFonts w:ascii="Palatino Linotype" w:hAnsi="Palatino Linotype"/>
          <w:i/>
          <w:sz w:val="24"/>
          <w:szCs w:val="24"/>
        </w:rPr>
        <w:t xml:space="preserve">Niegan la información y se atribuyen facultades la titular de transparencia para dar respuesta a mi solicitud” </w:t>
      </w:r>
      <w:r w:rsidR="001E2120" w:rsidRPr="006A31E8">
        <w:rPr>
          <w:rFonts w:ascii="Palatino Linotype" w:hAnsi="Palatino Linotype"/>
          <w:b/>
          <w:bCs/>
          <w:i/>
          <w:sz w:val="24"/>
          <w:szCs w:val="24"/>
        </w:rPr>
        <w:t>(Sic)</w:t>
      </w:r>
    </w:p>
    <w:p w14:paraId="4B6C9A7C" w14:textId="77777777" w:rsidR="00603DC6" w:rsidRPr="006A31E8" w:rsidRDefault="00203D96" w:rsidP="00203D96">
      <w:pPr>
        <w:spacing w:line="360" w:lineRule="auto"/>
        <w:jc w:val="both"/>
        <w:rPr>
          <w:rFonts w:ascii="Palatino Linotype" w:hAnsi="Palatino Linotype"/>
          <w:sz w:val="24"/>
          <w:szCs w:val="24"/>
        </w:rPr>
      </w:pPr>
      <w:r w:rsidRPr="006A31E8">
        <w:rPr>
          <w:rFonts w:ascii="Palatino Linotype" w:hAnsi="Palatino Linotype"/>
          <w:sz w:val="24"/>
          <w:szCs w:val="24"/>
          <w:lang w:val="es-ES_tradnl"/>
        </w:rPr>
        <w:t xml:space="preserve">Asimismo, en la etapa de manifestaciones </w:t>
      </w:r>
      <w:r w:rsidRPr="006A31E8">
        <w:rPr>
          <w:rFonts w:ascii="Palatino Linotype" w:hAnsi="Palatino Linotype"/>
          <w:sz w:val="24"/>
          <w:szCs w:val="24"/>
        </w:rPr>
        <w:t xml:space="preserve">se advierte que el </w:t>
      </w:r>
      <w:r w:rsidRPr="006A31E8">
        <w:rPr>
          <w:rFonts w:ascii="Palatino Linotype" w:hAnsi="Palatino Linotype"/>
          <w:b/>
          <w:sz w:val="24"/>
          <w:szCs w:val="24"/>
        </w:rPr>
        <w:t>Sujeto Obligado</w:t>
      </w:r>
      <w:r w:rsidRPr="006A31E8">
        <w:rPr>
          <w:rFonts w:ascii="Palatino Linotype" w:hAnsi="Palatino Linotype"/>
          <w:sz w:val="24"/>
          <w:szCs w:val="24"/>
        </w:rPr>
        <w:t xml:space="preserve"> rindió su informe justificado </w:t>
      </w:r>
      <w:r w:rsidR="00603DC6" w:rsidRPr="006A31E8">
        <w:rPr>
          <w:rFonts w:ascii="Palatino Linotype" w:hAnsi="Palatino Linotype"/>
          <w:sz w:val="24"/>
          <w:szCs w:val="24"/>
        </w:rPr>
        <w:t>en los siguientes términos:</w:t>
      </w:r>
    </w:p>
    <w:p w14:paraId="2CFF3C87" w14:textId="2E0FA68B" w:rsidR="001E2120" w:rsidRPr="00603DC6" w:rsidRDefault="00603DC6" w:rsidP="00983E6E">
      <w:pPr>
        <w:pStyle w:val="Prrafodelista"/>
        <w:numPr>
          <w:ilvl w:val="0"/>
          <w:numId w:val="5"/>
        </w:numPr>
        <w:spacing w:line="360" w:lineRule="auto"/>
        <w:jc w:val="both"/>
        <w:rPr>
          <w:rFonts w:ascii="Palatino Linotype" w:hAnsi="Palatino Linotype"/>
        </w:rPr>
      </w:pPr>
      <w:r>
        <w:rPr>
          <w:rFonts w:ascii="Palatino Linotype" w:hAnsi="Palatino Linotype"/>
          <w:b/>
          <w:bCs/>
        </w:rPr>
        <w:t xml:space="preserve">“COMITÉ.pdf”: </w:t>
      </w:r>
      <w:r>
        <w:rPr>
          <w:rFonts w:ascii="Palatino Linotype" w:hAnsi="Palatino Linotype"/>
        </w:rPr>
        <w:t xml:space="preserve">Oficio número </w:t>
      </w:r>
      <w:r>
        <w:rPr>
          <w:rFonts w:ascii="Palatino Linotype" w:hAnsi="Palatino Linotype"/>
          <w:b/>
          <w:bCs/>
        </w:rPr>
        <w:t xml:space="preserve">DA/ECA/SRH/DRLyDP/2049/2024 </w:t>
      </w:r>
      <w:r>
        <w:rPr>
          <w:rFonts w:ascii="Palatino Linotype" w:hAnsi="Palatino Linotype"/>
        </w:rPr>
        <w:t xml:space="preserve">signado por la directora de recursos humanos, en términos generales se pronuncia respecto de solicitud diversa de acceso a la información pública identificada con el número </w:t>
      </w:r>
      <w:r>
        <w:rPr>
          <w:rFonts w:ascii="Palatino Linotype" w:hAnsi="Palatino Linotype"/>
          <w:b/>
          <w:bCs/>
        </w:rPr>
        <w:t xml:space="preserve">00805/ECATEPEC/IP/2024. </w:t>
      </w:r>
      <w:r w:rsidR="001E2120" w:rsidRPr="00603DC6">
        <w:rPr>
          <w:rFonts w:ascii="Palatino Linotype" w:hAnsi="Palatino Linotype"/>
          <w:b/>
          <w:bCs/>
        </w:rPr>
        <w:t xml:space="preserve"> </w:t>
      </w:r>
      <w:r w:rsidR="00203D96" w:rsidRPr="00603DC6">
        <w:rPr>
          <w:rFonts w:ascii="Palatino Linotype" w:hAnsi="Palatino Linotype"/>
        </w:rPr>
        <w:t xml:space="preserve"> </w:t>
      </w:r>
    </w:p>
    <w:p w14:paraId="66337767" w14:textId="77777777" w:rsidR="001E2120" w:rsidRDefault="001E2120" w:rsidP="00203D96">
      <w:pPr>
        <w:spacing w:line="360" w:lineRule="auto"/>
        <w:jc w:val="both"/>
        <w:rPr>
          <w:rFonts w:ascii="Palatino Linotype" w:hAnsi="Palatino Linotype"/>
        </w:rPr>
      </w:pPr>
    </w:p>
    <w:p w14:paraId="29913AA4" w14:textId="2340F0A4" w:rsidR="00203D96" w:rsidRPr="00674C92" w:rsidRDefault="00603DC6" w:rsidP="00203D96">
      <w:pPr>
        <w:spacing w:line="360" w:lineRule="auto"/>
        <w:jc w:val="both"/>
        <w:rPr>
          <w:rFonts w:ascii="Palatino Linotype" w:hAnsi="Palatino Linotype" w:cs="Arial"/>
          <w:noProof/>
          <w:color w:val="000000"/>
          <w:lang w:eastAsia="es-MX"/>
        </w:rPr>
      </w:pPr>
      <w:r>
        <w:rPr>
          <w:rFonts w:ascii="Palatino Linotype" w:hAnsi="Palatino Linotype" w:cs="Arial"/>
        </w:rPr>
        <w:t>Ahora bien</w:t>
      </w:r>
      <w:r w:rsidR="00203D96" w:rsidRPr="00674C92">
        <w:rPr>
          <w:rFonts w:ascii="Palatino Linotype" w:hAnsi="Palatino Linotype" w:cs="Arial"/>
        </w:rPr>
        <w:t xml:space="preserve">, a efecto de identificar las unidades administrativas competentes se traen a colación los </w:t>
      </w:r>
      <w:r w:rsidR="00203D96" w:rsidRPr="00674C92">
        <w:rPr>
          <w:rFonts w:ascii="Palatino Linotype" w:hAnsi="Palatino Linotype" w:cs="Arial"/>
          <w:noProof/>
          <w:color w:val="000000"/>
          <w:lang w:eastAsia="es-MX"/>
        </w:rPr>
        <w:t>artículos 24, fracción XII, y 92, fracción II de la Ley de Transparencia local, porciones normativas cuyo contenido literal es el siguiente:</w:t>
      </w:r>
    </w:p>
    <w:p w14:paraId="43837A3F" w14:textId="77777777" w:rsidR="00203D96" w:rsidRPr="00C960DD" w:rsidRDefault="00203D96" w:rsidP="00203D96">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“Artículo 24. Para el cumplimiento de los objetivos de esta Ley, los sujetos obligados deberán cumplir con las siguientes obligaciones, según corresponda, de acuerdo a su naturaleza:</w:t>
      </w:r>
    </w:p>
    <w:p w14:paraId="25F5A678" w14:textId="77777777" w:rsidR="00203D96" w:rsidRPr="00C960DD" w:rsidRDefault="00203D96" w:rsidP="00203D96">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08E9B2B4" w14:textId="77777777" w:rsidR="00203D96" w:rsidRPr="00C960DD" w:rsidRDefault="00203D96" w:rsidP="00203D96">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 xml:space="preserve">Artículo 92. Los sujetos obligados deberán poner a disposición del público de manera permanente y actualizada de forma sencilla, precisa y entendible, en los respectivos </w:t>
      </w:r>
      <w:r w:rsidRPr="00C960DD">
        <w:rPr>
          <w:rFonts w:ascii="Palatino Linotype" w:hAnsi="Palatino Linotype"/>
          <w:i/>
        </w:rPr>
        <w:lastRenderedPageBreak/>
        <w:t>medios electrónicos, de acuerdo con sus facultades, atribuciones, funciones u objeto social, según corresponda, la información, por lo menos, de los temas, documentos y políticas que a continuación se señalan:</w:t>
      </w:r>
    </w:p>
    <w:p w14:paraId="08795599" w14:textId="77777777" w:rsidR="00203D96" w:rsidRPr="00C960DD" w:rsidRDefault="00203D96" w:rsidP="00203D96">
      <w:pPr>
        <w:pStyle w:val="INFOEM"/>
      </w:pPr>
      <w:r w:rsidRPr="00C960DD">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1D57685" w14:textId="77777777" w:rsidR="00203D96" w:rsidRDefault="00203D96" w:rsidP="00203D96">
      <w:pPr>
        <w:pStyle w:val="Citas"/>
        <w:rPr>
          <w:b/>
          <w:bCs/>
        </w:rPr>
      </w:pPr>
      <w:r w:rsidRPr="00C960DD">
        <w:t xml:space="preserve"> (…)” </w:t>
      </w:r>
      <w:r w:rsidRPr="00C960DD">
        <w:rPr>
          <w:b/>
          <w:bCs/>
        </w:rPr>
        <w:t>(Sic)</w:t>
      </w:r>
    </w:p>
    <w:p w14:paraId="2EB81960" w14:textId="77777777" w:rsidR="00C06FA6" w:rsidRDefault="00C06FA6" w:rsidP="00203D96">
      <w:pPr>
        <w:pStyle w:val="Citas"/>
        <w:ind w:left="0"/>
        <w:rPr>
          <w:bCs/>
          <w:i w:val="0"/>
          <w:sz w:val="24"/>
          <w:szCs w:val="24"/>
        </w:rPr>
      </w:pPr>
    </w:p>
    <w:p w14:paraId="65309F09" w14:textId="4D7F7BAA" w:rsidR="00203D96" w:rsidRDefault="00203D96" w:rsidP="00203D96">
      <w:pPr>
        <w:pStyle w:val="Citas"/>
        <w:ind w:left="0"/>
        <w:rPr>
          <w:bCs/>
          <w:i w:val="0"/>
          <w:sz w:val="24"/>
          <w:szCs w:val="24"/>
        </w:rPr>
      </w:pPr>
      <w:r w:rsidRPr="00674C92">
        <w:rPr>
          <w:bCs/>
          <w:i w:val="0"/>
          <w:sz w:val="24"/>
          <w:szCs w:val="24"/>
        </w:rPr>
        <w:t>Sirven de sustento las siguientes imágenes ilustrativas</w:t>
      </w:r>
      <w:r>
        <w:rPr>
          <w:bCs/>
          <w:i w:val="0"/>
          <w:sz w:val="24"/>
          <w:szCs w:val="24"/>
        </w:rPr>
        <w:t>:</w:t>
      </w:r>
    </w:p>
    <w:p w14:paraId="15520A7E" w14:textId="60810BE4" w:rsidR="00203D96" w:rsidRPr="00674C92" w:rsidRDefault="00C06FA6" w:rsidP="00203D96">
      <w:pPr>
        <w:pStyle w:val="Citas"/>
        <w:ind w:left="0"/>
        <w:rPr>
          <w:bCs/>
          <w:i w:val="0"/>
          <w:sz w:val="24"/>
          <w:szCs w:val="24"/>
        </w:rPr>
      </w:pPr>
      <w:r>
        <w:rPr>
          <w:noProof/>
          <w:sz w:val="24"/>
          <w:szCs w:val="24"/>
          <w:lang w:eastAsia="es-MX"/>
        </w:rPr>
        <mc:AlternateContent>
          <mc:Choice Requires="wps">
            <w:drawing>
              <wp:anchor distT="0" distB="0" distL="114300" distR="114300" simplePos="0" relativeHeight="251662336" behindDoc="0" locked="0" layoutInCell="1" allowOverlap="1" wp14:anchorId="30248C68" wp14:editId="67123F8D">
                <wp:simplePos x="0" y="0"/>
                <wp:positionH relativeFrom="column">
                  <wp:posOffset>487045</wp:posOffset>
                </wp:positionH>
                <wp:positionV relativeFrom="paragraph">
                  <wp:posOffset>1410970</wp:posOffset>
                </wp:positionV>
                <wp:extent cx="797357" cy="383896"/>
                <wp:effectExtent l="0" t="0" r="22225" b="16510"/>
                <wp:wrapNone/>
                <wp:docPr id="295447071" name="Oval 3"/>
                <wp:cNvGraphicFramePr/>
                <a:graphic xmlns:a="http://schemas.openxmlformats.org/drawingml/2006/main">
                  <a:graphicData uri="http://schemas.microsoft.com/office/word/2010/wordprocessingShape">
                    <wps:wsp>
                      <wps:cNvSpPr/>
                      <wps:spPr>
                        <a:xfrm>
                          <a:off x="0" y="0"/>
                          <a:ext cx="797357" cy="38389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0FC2D865" id="Oval 3" o:spid="_x0000_s1026" style="position:absolute;margin-left:38.35pt;margin-top:111.1pt;width:62.8pt;height:3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" filled="f" strokecolor="red" strokeweight="1pt">
                <v:stroke joinstyle="miter"/>
              </v:oval>
            </w:pict>
          </mc:Fallback>
        </mc:AlternateContent>
      </w:r>
      <w:r>
        <w:rPr>
          <w:noProof/>
          <w:sz w:val="24"/>
          <w:szCs w:val="24"/>
          <w:lang w:eastAsia="es-MX"/>
        </w:rPr>
        <w:drawing>
          <wp:anchor distT="0" distB="0" distL="114300" distR="114300" simplePos="0" relativeHeight="251661312" behindDoc="0" locked="0" layoutInCell="1" allowOverlap="1" wp14:anchorId="390C1D11" wp14:editId="61B10586">
            <wp:simplePos x="0" y="0"/>
            <wp:positionH relativeFrom="page">
              <wp:align>center</wp:align>
            </wp:positionH>
            <wp:positionV relativeFrom="paragraph">
              <wp:posOffset>330200</wp:posOffset>
            </wp:positionV>
            <wp:extent cx="5791835" cy="3353435"/>
            <wp:effectExtent l="19050" t="19050" r="18415" b="18415"/>
            <wp:wrapThrough wrapText="bothSides">
              <wp:wrapPolygon edited="0">
                <wp:start x="-71" y="-123"/>
                <wp:lineTo x="-71" y="21596"/>
                <wp:lineTo x="21598" y="21596"/>
                <wp:lineTo x="21598" y="-123"/>
                <wp:lineTo x="-71" y="-123"/>
              </wp:wrapPolygon>
            </wp:wrapThrough>
            <wp:docPr id="1800976485" name="Imagen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76485" name="Imagen 1" descr="A diagram of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91835" cy="33534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03D96">
        <w:rPr>
          <w:noProof/>
          <w:sz w:val="24"/>
          <w:lang w:eastAsia="es-MX"/>
        </w:rPr>
        <mc:AlternateContent>
          <mc:Choice Requires="wps">
            <w:drawing>
              <wp:anchor distT="0" distB="0" distL="114300" distR="114300" simplePos="0" relativeHeight="251659264" behindDoc="0" locked="0" layoutInCell="1" allowOverlap="1" wp14:anchorId="1E9B9473" wp14:editId="67E05DD0">
                <wp:simplePos x="0" y="0"/>
                <wp:positionH relativeFrom="column">
                  <wp:posOffset>596265</wp:posOffset>
                </wp:positionH>
                <wp:positionV relativeFrom="paragraph">
                  <wp:posOffset>1145540</wp:posOffset>
                </wp:positionV>
                <wp:extent cx="771525" cy="34290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771525" cy="342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52B846" id="Rectángulo 3" o:spid="_x0000_s1026" style="position:absolute;margin-left:46.95pt;margin-top:90.2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" filled="f" strokecolor="red" strokeweight="3pt"/>
            </w:pict>
          </mc:Fallback>
        </mc:AlternateContent>
      </w:r>
    </w:p>
    <w:p w14:paraId="7336214C" w14:textId="7C042C5F" w:rsidR="00203D96" w:rsidRDefault="00203D96" w:rsidP="00203D96">
      <w:pPr>
        <w:spacing w:line="360" w:lineRule="auto"/>
        <w:jc w:val="both"/>
        <w:rPr>
          <w:rFonts w:ascii="Palatino Linotype" w:hAnsi="Palatino Linotype"/>
        </w:rPr>
      </w:pPr>
      <w:r w:rsidRPr="00C960DD">
        <w:rPr>
          <w:rFonts w:ascii="Palatino Linotype" w:hAnsi="Palatino Linotype"/>
        </w:rPr>
        <w:lastRenderedPageBreak/>
        <w:t xml:space="preserve">De lo expuesto con anterioridad, se desprende que </w:t>
      </w:r>
      <w:r w:rsidRPr="00C960DD">
        <w:rPr>
          <w:rFonts w:ascii="Palatino Linotype" w:hAnsi="Palatino Linotype"/>
          <w:b/>
        </w:rPr>
        <w:t xml:space="preserve">El Sujeto Obligado </w:t>
      </w:r>
      <w:r w:rsidRPr="00C960DD">
        <w:rPr>
          <w:rFonts w:ascii="Palatino Linotype" w:hAnsi="Palatino Linotype"/>
        </w:rPr>
        <w:t xml:space="preserve">se auxilia de diversas Direcciones, Subdirecciones, Departamentos y Unidades Administrativas para cumplir con sus fines y objetivos, resultando de nuestro más amplio interés la </w:t>
      </w:r>
      <w:r>
        <w:rPr>
          <w:rFonts w:ascii="Palatino Linotype" w:hAnsi="Palatino Linotype"/>
        </w:rPr>
        <w:t>Secretaría de Ayuntamiento.</w:t>
      </w:r>
    </w:p>
    <w:p w14:paraId="1AA8738E" w14:textId="674CD476" w:rsidR="00203D96" w:rsidRPr="00112C93" w:rsidRDefault="00203D96" w:rsidP="00203D96">
      <w:pPr>
        <w:spacing w:line="360" w:lineRule="auto"/>
        <w:ind w:right="214"/>
        <w:jc w:val="both"/>
        <w:rPr>
          <w:rFonts w:ascii="Palatino Linotype" w:hAnsi="Palatino Linotype"/>
        </w:rPr>
      </w:pPr>
      <w:r w:rsidRPr="00112C93">
        <w:rPr>
          <w:rFonts w:ascii="Palatino Linotype" w:hAnsi="Palatino Linotype"/>
        </w:rPr>
        <w:t>Sirve de sustento el Bando Municipal de Ecatepec de Morelos</w:t>
      </w:r>
      <w:r>
        <w:rPr>
          <w:rFonts w:ascii="Palatino Linotype" w:hAnsi="Palatino Linotype"/>
        </w:rPr>
        <w:t xml:space="preserve"> 202</w:t>
      </w:r>
      <w:r w:rsidR="00CA2DCE">
        <w:rPr>
          <w:rFonts w:ascii="Palatino Linotype" w:hAnsi="Palatino Linotype"/>
        </w:rPr>
        <w:t>4</w:t>
      </w:r>
      <w:r w:rsidRPr="00112C93">
        <w:rPr>
          <w:rFonts w:ascii="Palatino Linotype" w:hAnsi="Palatino Linotype"/>
        </w:rPr>
        <w:t xml:space="preserve">, ya que en su artículo 33 establece que el Ayuntamiento para el desempeño de sus funciones podrá auxiliarse, sin que sea obligatorio, de un </w:t>
      </w:r>
      <w:r>
        <w:rPr>
          <w:rFonts w:ascii="Palatino Linotype" w:hAnsi="Palatino Linotype"/>
        </w:rPr>
        <w:t>Comité de Información</w:t>
      </w:r>
      <w:r w:rsidRPr="00112C93">
        <w:rPr>
          <w:rFonts w:ascii="Palatino Linotype" w:hAnsi="Palatino Linotype"/>
        </w:rPr>
        <w:t>:</w:t>
      </w:r>
    </w:p>
    <w:p w14:paraId="51B52070" w14:textId="77777777" w:rsidR="00CA2DCE" w:rsidRDefault="00CA2DCE" w:rsidP="00CA2DCE">
      <w:pPr>
        <w:pStyle w:val="Citas"/>
      </w:pPr>
      <w:r>
        <w:t>“</w:t>
      </w:r>
      <w:r w:rsidRPr="00CA2DCE">
        <w:t xml:space="preserve">Artículo 33. El H. Ayuntamiento, para el eficaz desempeño de sus funciones públicas podrá, sin que sea obligatorio, auxiliarse por: </w:t>
      </w:r>
    </w:p>
    <w:p w14:paraId="1A318D71" w14:textId="77777777" w:rsidR="00CA2DCE" w:rsidRDefault="00CA2DCE" w:rsidP="00CA2DCE">
      <w:pPr>
        <w:pStyle w:val="Citas"/>
      </w:pPr>
      <w:r w:rsidRPr="00CA2DCE">
        <w:t xml:space="preserve">I. Las Comisiones Edilicias; </w:t>
      </w:r>
    </w:p>
    <w:p w14:paraId="21350F32" w14:textId="77777777" w:rsidR="00CA2DCE" w:rsidRDefault="00CA2DCE" w:rsidP="00CA2DCE">
      <w:pPr>
        <w:pStyle w:val="Citas"/>
      </w:pPr>
      <w:r w:rsidRPr="00CA2DCE">
        <w:t xml:space="preserve">II. La Comisión de Planeación para el Desarrollo Municipal; </w:t>
      </w:r>
    </w:p>
    <w:p w14:paraId="625FE385" w14:textId="77777777" w:rsidR="00CA2DCE" w:rsidRDefault="00CA2DCE" w:rsidP="00CA2DCE">
      <w:pPr>
        <w:pStyle w:val="Citas"/>
      </w:pPr>
      <w:r w:rsidRPr="00CA2DCE">
        <w:t xml:space="preserve">III. Delegaciones, Subdelegaciones y Consejos de Participación Ciudadana; </w:t>
      </w:r>
    </w:p>
    <w:p w14:paraId="3DF534DE" w14:textId="77777777" w:rsidR="00CA2DCE" w:rsidRDefault="00CA2DCE" w:rsidP="00CA2DCE">
      <w:pPr>
        <w:pStyle w:val="Citas"/>
      </w:pPr>
      <w:r w:rsidRPr="00CA2DCE">
        <w:t xml:space="preserve">IV. El Sistema Municipal de Protección Integral de Niñas, Niños y Adolescentes de Ecatepec de Morelos; </w:t>
      </w:r>
    </w:p>
    <w:p w14:paraId="4D74B91D" w14:textId="77777777" w:rsidR="00CA2DCE" w:rsidRDefault="00CA2DCE" w:rsidP="00CA2DCE">
      <w:pPr>
        <w:pStyle w:val="Citas"/>
      </w:pPr>
      <w:r w:rsidRPr="00CA2DCE">
        <w:t xml:space="preserve">V. Los Comités, Comisiones y Consejos para el mejor desempeño del servicio público, entre los que destacan: </w:t>
      </w:r>
    </w:p>
    <w:p w14:paraId="0439DCF3" w14:textId="77777777" w:rsidR="00CA2DCE" w:rsidRDefault="00CA2DCE" w:rsidP="00CA2DCE">
      <w:pPr>
        <w:pStyle w:val="Citas"/>
      </w:pPr>
      <w:r w:rsidRPr="00CA2DCE">
        <w:t xml:space="preserve">a. Comité de Administración de Riesgos; </w:t>
      </w:r>
    </w:p>
    <w:p w14:paraId="702F450E" w14:textId="77777777" w:rsidR="00CA2DCE" w:rsidRDefault="00CA2DCE" w:rsidP="00CA2DCE">
      <w:pPr>
        <w:pStyle w:val="Citas"/>
      </w:pPr>
      <w:r w:rsidRPr="00CA2DCE">
        <w:t xml:space="preserve">b. Comité de Ética y Conducta; </w:t>
      </w:r>
    </w:p>
    <w:p w14:paraId="5530AFB0" w14:textId="3ADDF5E6" w:rsidR="00203D96" w:rsidRPr="00CA2DCE" w:rsidRDefault="00CA2DCE" w:rsidP="00CA2DCE">
      <w:pPr>
        <w:pStyle w:val="Citas"/>
        <w:rPr>
          <w:b/>
          <w:bCs/>
          <w:u w:val="single"/>
        </w:rPr>
      </w:pPr>
      <w:r w:rsidRPr="00CA2DCE">
        <w:rPr>
          <w:b/>
          <w:bCs/>
          <w:u w:val="single"/>
        </w:rPr>
        <w:t>c. Comité de Información;</w:t>
      </w:r>
    </w:p>
    <w:p w14:paraId="20362EA4" w14:textId="6A6012C7" w:rsidR="00CA2DCE" w:rsidRPr="00CA2DCE" w:rsidRDefault="00CA2DCE" w:rsidP="00CA2DCE">
      <w:pPr>
        <w:pStyle w:val="Citas"/>
        <w:rPr>
          <w:b/>
          <w:bCs/>
        </w:rPr>
      </w:pPr>
      <w:r>
        <w:t xml:space="preserve">(…)” </w:t>
      </w:r>
      <w:r>
        <w:rPr>
          <w:b/>
          <w:bCs/>
        </w:rPr>
        <w:t>(Sic)</w:t>
      </w:r>
    </w:p>
    <w:p w14:paraId="47D0CB47" w14:textId="77777777" w:rsidR="00203D96" w:rsidRPr="006837BE" w:rsidRDefault="00203D96" w:rsidP="00203D96">
      <w:pPr>
        <w:pStyle w:val="Citas"/>
        <w:spacing w:line="240" w:lineRule="auto"/>
        <w:jc w:val="center"/>
        <w:rPr>
          <w:b/>
          <w:lang w:val="es-ES_tradnl" w:eastAsia="es-MX"/>
        </w:rPr>
      </w:pPr>
      <w:r w:rsidRPr="006837BE">
        <w:rPr>
          <w:b/>
          <w:lang w:val="es-ES_tradnl" w:eastAsia="es-MX"/>
        </w:rPr>
        <w:lastRenderedPageBreak/>
        <w:t>De la Secretaría del H. Ayuntamiento</w:t>
      </w:r>
    </w:p>
    <w:p w14:paraId="3013428D" w14:textId="77777777" w:rsidR="00203D96" w:rsidRDefault="00203D96" w:rsidP="00203D96">
      <w:pPr>
        <w:pStyle w:val="Citas"/>
      </w:pPr>
      <w:r w:rsidRPr="006837BE">
        <w:t xml:space="preserve">Artículo 46. El titular de la Secretaría del H. Ayuntamiento deberá levantar las Actas de Cabildo respectivas, así como emitir los citatorios para la celebración de las sesiones de Cabildo. </w:t>
      </w:r>
    </w:p>
    <w:p w14:paraId="6DECFA4E" w14:textId="77777777" w:rsidR="00203D96" w:rsidRDefault="00203D96" w:rsidP="00203D96">
      <w:pPr>
        <w:pStyle w:val="Citas"/>
      </w:pPr>
      <w:r w:rsidRPr="006837BE">
        <w:t xml:space="preserve">Cuenta con las atribuciones que le otorga el Artículo 91 de la Ley Orgánica Municipal del Estado de México; tendrá a su cargo el Departamento de Juzgados Cívicos, el Departamento de Atención Ciudadana y Oficialía de Partes Común del H. Ayuntamiento, el Archivo General del H. Ayuntamiento, el Sistema Municipal de Información; supervisará el ejercicio de las funciones de la Junta Municipal de Reclutamiento y del Departamento de Patrimonio Municipal; estarán a su cargo y atenderá las solicitudes para cualquier tipo de evento en plazas cívicas, centros cívicos, explanadas municipales y quioscos; expedirá permisos para eventos sociales en vía pública; emitirá las constancias de vecindad, de no propiedad municipal, de identidad, de menores, de última residencia o domiciliarias que soliciten las y los habitantes del municipio, las de personas jurídicas colectivas, instituciones públicas, de notorio arraigo tratándose de iglesias y asociaciones religiosas, de actividad y demás que legalmente procedan; así como podrá iniciar, tramitar y resolver procedimientos administrativos en el ámbito de sus atribuciones y las demás que le señalen expresamente el Presidente Municipal y/o el H. Ayuntamiento, las leyes, reglamentos y demás disposiciones jurídicas vigentes aplicables. </w:t>
      </w:r>
    </w:p>
    <w:p w14:paraId="374B6F6F" w14:textId="77777777" w:rsidR="00203D96" w:rsidRDefault="00203D96" w:rsidP="00203D96">
      <w:pPr>
        <w:pStyle w:val="Citas"/>
      </w:pPr>
      <w:r w:rsidRPr="006837BE">
        <w:t xml:space="preserve">En coordinación con la Dirección de Seguridad Publica y Transito diseñará y promoverá programas vecinales que impliquen la participación de los habitantes para la preservación y conservación del orden público, en términos de la Ley de Justicia Cívica del Estado de México y sus Municipios. De igual forma designará al personal </w:t>
      </w:r>
      <w:r w:rsidRPr="006837BE">
        <w:lastRenderedPageBreak/>
        <w:t>que llevará a cabo la supervisión del Trabajo en Favor de la Comunidad que efectúen los infractores, observando el cumplimiento de los derechos humanos y el trato digno de las personas.</w:t>
      </w:r>
    </w:p>
    <w:p w14:paraId="32EFB450" w14:textId="33480F6F" w:rsidR="009C7536" w:rsidRPr="009C7536" w:rsidRDefault="009C7536" w:rsidP="00203D96">
      <w:pPr>
        <w:pStyle w:val="Citas"/>
        <w:rPr>
          <w:b/>
          <w:bCs/>
        </w:rPr>
      </w:pPr>
      <w:r>
        <w:t xml:space="preserve">(…)” </w:t>
      </w:r>
      <w:r>
        <w:rPr>
          <w:b/>
          <w:bCs/>
        </w:rPr>
        <w:t>(Sic)</w:t>
      </w:r>
    </w:p>
    <w:p w14:paraId="63FEBAC8" w14:textId="77777777" w:rsidR="00203D96"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3E50731B" w14:textId="77777777" w:rsidR="00203D96"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384AC5">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67D1B4A5" w14:textId="77777777" w:rsidR="009C7536" w:rsidRDefault="009C753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013"/>
        <w:gridCol w:w="3015"/>
      </w:tblGrid>
      <w:tr w:rsidR="00203D96" w14:paraId="4ACD3956" w14:textId="77777777" w:rsidTr="00572CDB">
        <w:trPr>
          <w:trHeight w:val="828"/>
        </w:trPr>
        <w:tc>
          <w:tcPr>
            <w:tcW w:w="3014" w:type="dxa"/>
            <w:tcBorders>
              <w:right w:val="single" w:sz="12" w:space="0" w:color="FFFFFF" w:themeColor="background1"/>
            </w:tcBorders>
            <w:shd w:val="clear" w:color="auto" w:fill="000000" w:themeFill="text1"/>
            <w:vAlign w:val="center"/>
          </w:tcPr>
          <w:p w14:paraId="1288E045" w14:textId="0828FB72" w:rsidR="00203D96" w:rsidRPr="00572CDB" w:rsidRDefault="00572CDB" w:rsidP="00572CDB">
            <w:pPr>
              <w:spacing w:line="360" w:lineRule="auto"/>
              <w:jc w:val="center"/>
              <w:rPr>
                <w:rFonts w:ascii="Palatino Linotype" w:hAnsi="Palatino Linotype"/>
                <w:b/>
                <w:iCs/>
                <w:color w:val="FFFFFF" w:themeColor="background1"/>
              </w:rPr>
            </w:pPr>
            <w:r w:rsidRPr="00572CDB">
              <w:rPr>
                <w:rFonts w:ascii="Palatino Linotype" w:hAnsi="Palatino Linotype"/>
                <w:b/>
                <w:iCs/>
                <w:color w:val="FFFFFF" w:themeColor="background1"/>
              </w:rPr>
              <w:t>REQUERIMIENTOS</w:t>
            </w:r>
          </w:p>
        </w:tc>
        <w:tc>
          <w:tcPr>
            <w:tcW w:w="3013" w:type="dxa"/>
            <w:tcBorders>
              <w:left w:val="single" w:sz="12" w:space="0" w:color="FFFFFF" w:themeColor="background1"/>
              <w:right w:val="single" w:sz="12" w:space="0" w:color="FFFFFF" w:themeColor="background1"/>
            </w:tcBorders>
            <w:shd w:val="clear" w:color="auto" w:fill="000000" w:themeFill="text1"/>
            <w:vAlign w:val="center"/>
          </w:tcPr>
          <w:p w14:paraId="2810819F" w14:textId="510CC1E7" w:rsidR="00203D96" w:rsidRPr="00572CDB" w:rsidRDefault="00572CDB" w:rsidP="00572CDB">
            <w:pPr>
              <w:spacing w:line="360" w:lineRule="auto"/>
              <w:jc w:val="center"/>
              <w:rPr>
                <w:rFonts w:ascii="Palatino Linotype" w:hAnsi="Palatino Linotype"/>
                <w:b/>
                <w:iCs/>
                <w:color w:val="FFFFFF" w:themeColor="background1"/>
              </w:rPr>
            </w:pPr>
            <w:r w:rsidRPr="00572CDB">
              <w:rPr>
                <w:rFonts w:ascii="Palatino Linotype" w:hAnsi="Palatino Linotype"/>
                <w:b/>
                <w:iCs/>
                <w:color w:val="FFFFFF" w:themeColor="background1"/>
              </w:rPr>
              <w:t>RESPUESTA</w:t>
            </w:r>
          </w:p>
        </w:tc>
        <w:tc>
          <w:tcPr>
            <w:tcW w:w="3015" w:type="dxa"/>
            <w:tcBorders>
              <w:left w:val="single" w:sz="12" w:space="0" w:color="FFFFFF" w:themeColor="background1"/>
            </w:tcBorders>
            <w:shd w:val="clear" w:color="auto" w:fill="000000" w:themeFill="text1"/>
            <w:vAlign w:val="center"/>
          </w:tcPr>
          <w:p w14:paraId="1C498057" w14:textId="13DA84EB" w:rsidR="00203D96" w:rsidRPr="00572CDB" w:rsidRDefault="00572CDB" w:rsidP="00572CDB">
            <w:pPr>
              <w:spacing w:line="360" w:lineRule="auto"/>
              <w:jc w:val="center"/>
              <w:rPr>
                <w:rFonts w:ascii="Palatino Linotype" w:hAnsi="Palatino Linotype"/>
                <w:b/>
                <w:iCs/>
                <w:color w:val="FFFFFF" w:themeColor="background1"/>
              </w:rPr>
            </w:pPr>
            <w:r w:rsidRPr="00572CDB">
              <w:rPr>
                <w:rFonts w:ascii="Palatino Linotype" w:hAnsi="Palatino Linotype"/>
                <w:b/>
                <w:iCs/>
                <w:color w:val="FFFFFF" w:themeColor="background1"/>
              </w:rPr>
              <w:t>COLMA</w:t>
            </w:r>
          </w:p>
        </w:tc>
      </w:tr>
      <w:tr w:rsidR="00203D96" w:rsidRPr="00C73DD1" w14:paraId="7B3CE524" w14:textId="77777777" w:rsidTr="00572CDB">
        <w:trPr>
          <w:trHeight w:val="828"/>
        </w:trPr>
        <w:tc>
          <w:tcPr>
            <w:tcW w:w="3014" w:type="dxa"/>
          </w:tcPr>
          <w:p w14:paraId="59F4882A" w14:textId="77777777" w:rsidR="00384AC5" w:rsidRPr="00572CDB" w:rsidRDefault="00384AC5" w:rsidP="00384AC5">
            <w:pPr>
              <w:tabs>
                <w:tab w:val="left" w:pos="1828"/>
              </w:tabs>
              <w:spacing w:line="360" w:lineRule="auto"/>
              <w:jc w:val="both"/>
              <w:rPr>
                <w:rFonts w:ascii="Palatino Linotype" w:hAnsi="Palatino Linotype" w:cs="Tahoma"/>
                <w:bCs/>
                <w:sz w:val="20"/>
                <w:szCs w:val="20"/>
              </w:rPr>
            </w:pPr>
            <w:r w:rsidRPr="00572CDB">
              <w:rPr>
                <w:rFonts w:ascii="Palatino Linotype" w:hAnsi="Palatino Linotype" w:cs="Tahoma"/>
                <w:bCs/>
                <w:sz w:val="20"/>
                <w:szCs w:val="20"/>
              </w:rPr>
              <w:t xml:space="preserve">Del Comité de Información, previsto en el Bando Municipal del Ayuntamiento de Ecatepec de Morelos 2022-2024, del periodo del 1 enero al 30 de mayo de 2024 lo siguiente: </w:t>
            </w:r>
          </w:p>
          <w:p w14:paraId="151891F8" w14:textId="77777777" w:rsidR="00384AC5" w:rsidRPr="00572CDB" w:rsidRDefault="00384AC5" w:rsidP="00983E6E">
            <w:pPr>
              <w:pStyle w:val="Prrafodelista"/>
              <w:numPr>
                <w:ilvl w:val="0"/>
                <w:numId w:val="6"/>
              </w:numPr>
              <w:tabs>
                <w:tab w:val="left" w:pos="1828"/>
              </w:tabs>
              <w:spacing w:line="360" w:lineRule="auto"/>
              <w:jc w:val="both"/>
              <w:rPr>
                <w:rFonts w:ascii="Palatino Linotype" w:hAnsi="Palatino Linotype" w:cs="Tahoma"/>
                <w:bCs/>
                <w:sz w:val="20"/>
                <w:szCs w:val="20"/>
              </w:rPr>
            </w:pPr>
            <w:r w:rsidRPr="00572CDB">
              <w:rPr>
                <w:rFonts w:ascii="Palatino Linotype" w:hAnsi="Palatino Linotype" w:cs="Tahoma"/>
                <w:bCs/>
                <w:sz w:val="20"/>
                <w:szCs w:val="20"/>
                <w:lang w:val="es-MX"/>
              </w:rPr>
              <w:t xml:space="preserve">Fundamento legal </w:t>
            </w:r>
          </w:p>
          <w:p w14:paraId="6AA4A158" w14:textId="77777777" w:rsidR="00384AC5" w:rsidRPr="00572CDB" w:rsidRDefault="00384AC5" w:rsidP="00983E6E">
            <w:pPr>
              <w:pStyle w:val="Prrafodelista"/>
              <w:numPr>
                <w:ilvl w:val="0"/>
                <w:numId w:val="6"/>
              </w:numPr>
              <w:tabs>
                <w:tab w:val="left" w:pos="1828"/>
              </w:tabs>
              <w:spacing w:line="360" w:lineRule="auto"/>
              <w:jc w:val="both"/>
              <w:rPr>
                <w:rFonts w:ascii="Palatino Linotype" w:hAnsi="Palatino Linotype" w:cs="Tahoma"/>
                <w:bCs/>
                <w:sz w:val="20"/>
                <w:szCs w:val="20"/>
              </w:rPr>
            </w:pPr>
            <w:r w:rsidRPr="00572CDB">
              <w:rPr>
                <w:rFonts w:ascii="Palatino Linotype" w:hAnsi="Palatino Linotype" w:cs="Tahoma"/>
                <w:bCs/>
                <w:sz w:val="20"/>
                <w:szCs w:val="20"/>
                <w:lang w:val="es-MX"/>
              </w:rPr>
              <w:t xml:space="preserve">Reglamento, reglas de organización y funcionamiento o similar </w:t>
            </w:r>
          </w:p>
          <w:p w14:paraId="48CEAD65" w14:textId="77777777" w:rsidR="00384AC5" w:rsidRPr="00572CDB" w:rsidRDefault="00384AC5" w:rsidP="00983E6E">
            <w:pPr>
              <w:pStyle w:val="Prrafodelista"/>
              <w:numPr>
                <w:ilvl w:val="0"/>
                <w:numId w:val="6"/>
              </w:numPr>
              <w:tabs>
                <w:tab w:val="left" w:pos="1828"/>
              </w:tabs>
              <w:spacing w:line="360" w:lineRule="auto"/>
              <w:jc w:val="both"/>
              <w:rPr>
                <w:rFonts w:ascii="Palatino Linotype" w:hAnsi="Palatino Linotype" w:cs="Tahoma"/>
                <w:bCs/>
                <w:sz w:val="20"/>
                <w:szCs w:val="20"/>
              </w:rPr>
            </w:pPr>
            <w:r w:rsidRPr="00572CDB">
              <w:rPr>
                <w:rFonts w:ascii="Palatino Linotype" w:hAnsi="Palatino Linotype" w:cs="Tahoma"/>
                <w:bCs/>
                <w:sz w:val="20"/>
                <w:szCs w:val="20"/>
                <w:lang w:val="es-MX"/>
              </w:rPr>
              <w:t xml:space="preserve">Nombre del área responsable </w:t>
            </w:r>
          </w:p>
          <w:p w14:paraId="3BDEE245" w14:textId="77777777" w:rsidR="00384AC5" w:rsidRPr="00572CDB" w:rsidRDefault="00384AC5" w:rsidP="00983E6E">
            <w:pPr>
              <w:pStyle w:val="Prrafodelista"/>
              <w:numPr>
                <w:ilvl w:val="0"/>
                <w:numId w:val="6"/>
              </w:numPr>
              <w:tabs>
                <w:tab w:val="left" w:pos="1828"/>
              </w:tabs>
              <w:spacing w:line="360" w:lineRule="auto"/>
              <w:jc w:val="both"/>
              <w:rPr>
                <w:rFonts w:ascii="Palatino Linotype" w:hAnsi="Palatino Linotype" w:cs="Tahoma"/>
                <w:bCs/>
                <w:sz w:val="20"/>
                <w:szCs w:val="20"/>
              </w:rPr>
            </w:pPr>
            <w:r w:rsidRPr="00572CDB">
              <w:rPr>
                <w:rFonts w:ascii="Palatino Linotype" w:hAnsi="Palatino Linotype" w:cs="Tahoma"/>
                <w:bCs/>
                <w:sz w:val="20"/>
                <w:szCs w:val="20"/>
                <w:lang w:val="es-MX"/>
              </w:rPr>
              <w:t xml:space="preserve">Nombre de la persona servidora </w:t>
            </w:r>
            <w:r w:rsidRPr="00572CDB">
              <w:rPr>
                <w:rFonts w:ascii="Palatino Linotype" w:hAnsi="Palatino Linotype" w:cs="Tahoma"/>
                <w:bCs/>
                <w:sz w:val="20"/>
                <w:szCs w:val="20"/>
                <w:lang w:val="es-MX"/>
              </w:rPr>
              <w:lastRenderedPageBreak/>
              <w:t xml:space="preserve">pública titular del área responsable </w:t>
            </w:r>
          </w:p>
          <w:p w14:paraId="709B3E17" w14:textId="77777777" w:rsidR="00384AC5" w:rsidRPr="00572CDB" w:rsidRDefault="00384AC5" w:rsidP="00983E6E">
            <w:pPr>
              <w:pStyle w:val="Prrafodelista"/>
              <w:numPr>
                <w:ilvl w:val="0"/>
                <w:numId w:val="6"/>
              </w:numPr>
              <w:tabs>
                <w:tab w:val="left" w:pos="1828"/>
              </w:tabs>
              <w:spacing w:line="360" w:lineRule="auto"/>
              <w:jc w:val="both"/>
              <w:rPr>
                <w:rFonts w:ascii="Palatino Linotype" w:hAnsi="Palatino Linotype" w:cs="Tahoma"/>
                <w:bCs/>
                <w:sz w:val="20"/>
                <w:szCs w:val="20"/>
              </w:rPr>
            </w:pPr>
            <w:r w:rsidRPr="00572CDB">
              <w:rPr>
                <w:rFonts w:ascii="Palatino Linotype" w:hAnsi="Palatino Linotype" w:cs="Tahoma"/>
                <w:bCs/>
                <w:sz w:val="20"/>
                <w:szCs w:val="20"/>
                <w:lang w:val="es-MX"/>
              </w:rPr>
              <w:t>Datos de contacto (teléfono, correo electrónico, dirección de oficina) de la persona servidora pública titular del área responsable</w:t>
            </w:r>
          </w:p>
          <w:p w14:paraId="295A8793" w14:textId="40D9C36A" w:rsidR="00203D96" w:rsidRPr="00572CDB" w:rsidRDefault="00203D96" w:rsidP="00384AC5">
            <w:pPr>
              <w:tabs>
                <w:tab w:val="left" w:pos="1828"/>
              </w:tabs>
              <w:jc w:val="both"/>
              <w:rPr>
                <w:rFonts w:ascii="Palatino Linotype" w:hAnsi="Palatino Linotype" w:cs="Tahoma"/>
                <w:bCs/>
                <w:sz w:val="20"/>
                <w:szCs w:val="20"/>
                <w:lang w:val="es-ES"/>
              </w:rPr>
            </w:pPr>
          </w:p>
        </w:tc>
        <w:tc>
          <w:tcPr>
            <w:tcW w:w="3013" w:type="dxa"/>
          </w:tcPr>
          <w:p w14:paraId="110FE4FA" w14:textId="4F2CC501" w:rsidR="00203D96" w:rsidRPr="00572CDB" w:rsidRDefault="00203D96" w:rsidP="003A2E98">
            <w:pPr>
              <w:pStyle w:val="INFOEM"/>
              <w:ind w:left="0" w:right="123"/>
              <w:rPr>
                <w:i w:val="0"/>
                <w:sz w:val="20"/>
                <w:szCs w:val="20"/>
              </w:rPr>
            </w:pPr>
            <w:r w:rsidRPr="00572CDB">
              <w:rPr>
                <w:i w:val="0"/>
                <w:sz w:val="20"/>
                <w:szCs w:val="20"/>
              </w:rPr>
              <w:lastRenderedPageBreak/>
              <w:t xml:space="preserve">La </w:t>
            </w:r>
            <w:r w:rsidR="00384AC5" w:rsidRPr="00572CDB">
              <w:rPr>
                <w:i w:val="0"/>
                <w:sz w:val="20"/>
                <w:szCs w:val="20"/>
              </w:rPr>
              <w:t xml:space="preserve">titular de la unidad de transparencia refirió que no cuenta con la información solicitada. </w:t>
            </w:r>
          </w:p>
        </w:tc>
        <w:tc>
          <w:tcPr>
            <w:tcW w:w="3015" w:type="dxa"/>
          </w:tcPr>
          <w:p w14:paraId="29D004BE" w14:textId="77777777" w:rsidR="00203D96" w:rsidRPr="00572CDB" w:rsidRDefault="00203D96" w:rsidP="003A2E98">
            <w:pPr>
              <w:jc w:val="center"/>
              <w:rPr>
                <w:rFonts w:ascii="Palatino Linotype" w:hAnsi="Palatino Linotype"/>
                <w:b/>
                <w:color w:val="000000"/>
                <w:sz w:val="20"/>
                <w:szCs w:val="20"/>
              </w:rPr>
            </w:pPr>
            <w:r w:rsidRPr="00572CDB">
              <w:rPr>
                <w:rFonts w:ascii="Palatino Linotype" w:hAnsi="Palatino Linotype"/>
                <w:b/>
                <w:color w:val="000000"/>
                <w:sz w:val="20"/>
                <w:szCs w:val="20"/>
              </w:rPr>
              <w:t>No</w:t>
            </w:r>
          </w:p>
          <w:p w14:paraId="7B0EEC18" w14:textId="46A8644F" w:rsidR="00462570" w:rsidRPr="00572CDB" w:rsidRDefault="00203D96" w:rsidP="00384AC5">
            <w:pPr>
              <w:jc w:val="both"/>
              <w:rPr>
                <w:rFonts w:ascii="Palatino Linotype" w:hAnsi="Palatino Linotype"/>
                <w:color w:val="000000"/>
                <w:sz w:val="20"/>
                <w:szCs w:val="20"/>
              </w:rPr>
            </w:pPr>
            <w:r w:rsidRPr="00572CDB">
              <w:rPr>
                <w:rFonts w:ascii="Palatino Linotype" w:hAnsi="Palatino Linotype"/>
                <w:color w:val="000000"/>
                <w:sz w:val="20"/>
                <w:szCs w:val="20"/>
              </w:rPr>
              <w:t>Debió suplir al Recurrente</w:t>
            </w:r>
            <w:r w:rsidR="00CA2DCE" w:rsidRPr="00572CDB">
              <w:rPr>
                <w:rFonts w:ascii="Palatino Linotype" w:hAnsi="Palatino Linotype"/>
                <w:color w:val="000000"/>
                <w:sz w:val="20"/>
                <w:szCs w:val="20"/>
              </w:rPr>
              <w:t xml:space="preserve"> y realizar una búsqueda exhaustiva y razonable en todas las unidades administrativas que pudieran resultar competentes tales como la UIPPE, secretaría del ayuntamiento o incluso en el sistema municipal de información (dependiente de la secretaría del ayuntamiento), de conformidad con el organigrama susceptible de consulta en el portal IPOMEX del Sujeto Obligado. </w:t>
            </w:r>
          </w:p>
          <w:p w14:paraId="1AE65413" w14:textId="77777777" w:rsidR="00462570" w:rsidRPr="00572CDB" w:rsidRDefault="00462570" w:rsidP="00384AC5">
            <w:pPr>
              <w:jc w:val="both"/>
              <w:rPr>
                <w:rFonts w:ascii="Palatino Linotype" w:hAnsi="Palatino Linotype"/>
                <w:color w:val="000000"/>
                <w:sz w:val="20"/>
                <w:szCs w:val="20"/>
              </w:rPr>
            </w:pPr>
          </w:p>
          <w:p w14:paraId="2C52B029" w14:textId="6A111B7A" w:rsidR="00203D96" w:rsidRPr="00572CDB" w:rsidRDefault="00203D96" w:rsidP="00384AC5">
            <w:pPr>
              <w:jc w:val="both"/>
              <w:rPr>
                <w:rFonts w:ascii="Palatino Linotype" w:hAnsi="Palatino Linotype"/>
                <w:color w:val="000000"/>
                <w:sz w:val="20"/>
                <w:szCs w:val="20"/>
              </w:rPr>
            </w:pPr>
            <w:r w:rsidRPr="00572CDB">
              <w:rPr>
                <w:rFonts w:ascii="Palatino Linotype" w:hAnsi="Palatino Linotype"/>
                <w:color w:val="000000"/>
                <w:sz w:val="20"/>
                <w:szCs w:val="20"/>
              </w:rPr>
              <w:t xml:space="preserve"> </w:t>
            </w:r>
          </w:p>
        </w:tc>
      </w:tr>
    </w:tbl>
    <w:p w14:paraId="6A2F8485" w14:textId="77777777" w:rsidR="00203D96" w:rsidRDefault="00203D96" w:rsidP="00203D96">
      <w:pPr>
        <w:spacing w:line="360" w:lineRule="auto"/>
        <w:jc w:val="both"/>
        <w:rPr>
          <w:rFonts w:ascii="Palatino Linotype" w:hAnsi="Palatino Linotype" w:cs="Arial"/>
        </w:rPr>
      </w:pPr>
    </w:p>
    <w:p w14:paraId="22C1FEBC" w14:textId="77777777" w:rsidR="00203D96" w:rsidRPr="009E63DA" w:rsidRDefault="00203D96" w:rsidP="00203D96">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114CB393" w14:textId="7B38777C" w:rsidR="00203D96" w:rsidRPr="009E63DA" w:rsidRDefault="009C7536" w:rsidP="009C7536">
      <w:pPr>
        <w:pStyle w:val="Citas"/>
      </w:pPr>
      <w:r>
        <w:rPr>
          <w:b/>
          <w:bCs/>
        </w:rPr>
        <w:t>“</w:t>
      </w:r>
      <w:r w:rsidR="00203D96" w:rsidRPr="009E63DA">
        <w:rPr>
          <w:b/>
          <w:bCs/>
        </w:rPr>
        <w:t xml:space="preserve">Artículo 3.- </w:t>
      </w:r>
      <w:r w:rsidR="00203D96" w:rsidRPr="009E63DA">
        <w:t>Para los efectos de la presente Ley se entenderá por:</w:t>
      </w:r>
    </w:p>
    <w:p w14:paraId="4691D67C" w14:textId="00623AD8" w:rsidR="00203D96" w:rsidRPr="009E63DA" w:rsidRDefault="009C7536" w:rsidP="009C7536">
      <w:pPr>
        <w:pStyle w:val="Citas"/>
      </w:pPr>
      <w:r>
        <w:t>(…)</w:t>
      </w:r>
    </w:p>
    <w:p w14:paraId="63DE22D8" w14:textId="77777777" w:rsidR="00203D96" w:rsidRPr="009E63DA" w:rsidRDefault="00203D96" w:rsidP="009C7536">
      <w:pPr>
        <w:pStyle w:val="Citas"/>
      </w:pPr>
      <w:r w:rsidRPr="009E63DA">
        <w:rPr>
          <w:b/>
        </w:rPr>
        <w:t>XI.</w:t>
      </w:r>
      <w:r w:rsidRPr="009E63DA">
        <w:t xml:space="preserve"> </w:t>
      </w:r>
      <w:r w:rsidRPr="009E63DA">
        <w:rPr>
          <w:b/>
        </w:rPr>
        <w:t>Documento:</w:t>
      </w:r>
      <w:r w:rsidRPr="009E63DA">
        <w:t xml:space="preserve"> Los expedientes, reportes, estudios, actas, resoluciones, oficios, correspondencia, acuerdos, directivas, directrices, circulares, contratos, convenios, instructivos, notas, memorandos, estadísticas o bien, </w:t>
      </w:r>
      <w:r w:rsidRPr="009E63DA">
        <w:rPr>
          <w:b/>
          <w:u w:val="single"/>
        </w:rPr>
        <w:t>cualquier otro registro que documente el ejercicio de las facultades, funciones y competencias de los sujetos obligados, sus servidores públicos e integrantes, sin importar su fuente o fecha de elaboración.</w:t>
      </w:r>
      <w:r w:rsidRPr="009E63DA">
        <w:t xml:space="preserve"> Los documentos podrán estar en cualquier medio, sea escrito, impreso, sonoro, visual, electrónico, informático u holográfico;</w:t>
      </w:r>
    </w:p>
    <w:p w14:paraId="79EAF4C1" w14:textId="77777777" w:rsidR="00203D96" w:rsidRPr="009E63DA" w:rsidRDefault="00203D96" w:rsidP="009C7536">
      <w:pPr>
        <w:pStyle w:val="Citas"/>
        <w:rPr>
          <w:bCs/>
        </w:rPr>
      </w:pPr>
      <w:r w:rsidRPr="009E63DA">
        <w:rPr>
          <w:b/>
          <w:bCs/>
        </w:rPr>
        <w:lastRenderedPageBreak/>
        <w:t>Artículo 4.</w:t>
      </w:r>
      <w:r w:rsidRPr="009E63DA">
        <w:rPr>
          <w:bC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A758DB9" w14:textId="77777777" w:rsidR="00203D96" w:rsidRPr="009E63DA" w:rsidRDefault="00203D96" w:rsidP="009C7536">
      <w:pPr>
        <w:pStyle w:val="Citas"/>
        <w:rPr>
          <w:bCs/>
        </w:rPr>
      </w:pPr>
      <w:r w:rsidRPr="009E63DA">
        <w:rPr>
          <w:b/>
          <w:bCs/>
          <w:u w:val="single"/>
        </w:rPr>
        <w:t>Toda la información generada, obtenida, adquirida, transformada, administrada o en posesión de los sujetos obligados es pública y accesible de manera permanente a cualquier persona,</w:t>
      </w:r>
      <w:r w:rsidRPr="009E63DA">
        <w:rPr>
          <w:bC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69D1980" w14:textId="77777777" w:rsidR="00203D96" w:rsidRPr="009E63DA" w:rsidRDefault="00203D96" w:rsidP="009C7536">
      <w:pPr>
        <w:pStyle w:val="Citas"/>
        <w:rPr>
          <w:bCs/>
        </w:rPr>
      </w:pPr>
      <w:r w:rsidRPr="009E63DA">
        <w:rPr>
          <w:bCs/>
        </w:rPr>
        <w:t>Los sujetos obligados deben poner en práctica, políticas y programas de acceso a la información que se apeguen a criterios de publicidad, veracidad, oportunidad, precisión y suficiencia en beneficio de los solicitantes.</w:t>
      </w:r>
    </w:p>
    <w:p w14:paraId="1730ED05" w14:textId="77777777" w:rsidR="00203D96" w:rsidRPr="009E63DA" w:rsidRDefault="00203D96" w:rsidP="009C7536">
      <w:pPr>
        <w:pStyle w:val="Citas"/>
      </w:pPr>
      <w:r w:rsidRPr="009E63DA">
        <w:rPr>
          <w:b/>
        </w:rPr>
        <w:t>Artículo 12.</w:t>
      </w:r>
      <w:r w:rsidRPr="009E63DA">
        <w:t xml:space="preserve"> Quienes generen, recopilen, administren, manejen, procesen, archiven o conserven información pública serán responsables de la misma en los términos de las disposiciones jurídicas aplicables.</w:t>
      </w:r>
    </w:p>
    <w:p w14:paraId="1470166E" w14:textId="7A527A01" w:rsidR="00203D96" w:rsidRPr="009C7536" w:rsidRDefault="00203D96" w:rsidP="009C7536">
      <w:pPr>
        <w:pStyle w:val="Citas"/>
        <w:rPr>
          <w:b/>
          <w:bCs/>
          <w:u w:val="single"/>
        </w:rPr>
      </w:pPr>
      <w:r w:rsidRPr="009E63DA">
        <w:rPr>
          <w:b/>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t>.</w:t>
      </w:r>
      <w:r w:rsidR="009C7536">
        <w:t xml:space="preserve">” </w:t>
      </w:r>
      <w:r w:rsidR="009C7536">
        <w:rPr>
          <w:b/>
          <w:bCs/>
        </w:rPr>
        <w:t>(Sic)</w:t>
      </w:r>
    </w:p>
    <w:p w14:paraId="64FF2516" w14:textId="77777777" w:rsidR="00203D96" w:rsidRPr="009C7536" w:rsidRDefault="00203D96" w:rsidP="00203D96">
      <w:pPr>
        <w:spacing w:line="360" w:lineRule="auto"/>
        <w:jc w:val="both"/>
        <w:rPr>
          <w:rFonts w:ascii="Palatino Linotype" w:eastAsia="Calibri" w:hAnsi="Palatino Linotype" w:cs="Arial"/>
          <w:color w:val="000000"/>
          <w:sz w:val="24"/>
          <w:szCs w:val="24"/>
          <w:lang w:val="es-ES_tradnl" w:eastAsia="es-MX"/>
        </w:rPr>
      </w:pPr>
      <w:r w:rsidRPr="009C7536">
        <w:rPr>
          <w:rFonts w:ascii="Palatino Linotype" w:eastAsia="Calibri" w:hAnsi="Palatino Linotype" w:cs="Arial"/>
          <w:color w:val="000000"/>
          <w:sz w:val="24"/>
          <w:szCs w:val="24"/>
          <w:lang w:val="es-ES_tradnl" w:eastAsia="es-MX"/>
        </w:rPr>
        <w:lastRenderedPageBreak/>
        <w:t>En síntesis, el derecho de acceso a la información pública se satisface en aquellos casos en que se entregue el soporte documental en que conste la información pública, toda vez que, los Sujetos Obligados</w:t>
      </w:r>
      <w:r w:rsidRPr="009C7536">
        <w:rPr>
          <w:rFonts w:ascii="Palatino Linotype" w:eastAsia="Calibri" w:hAnsi="Palatino Linotype" w:cs="Arial"/>
          <w:b/>
          <w:color w:val="000000"/>
          <w:sz w:val="24"/>
          <w:szCs w:val="24"/>
          <w:lang w:val="es-ES_tradnl" w:eastAsia="es-MX"/>
        </w:rPr>
        <w:t xml:space="preserve"> </w:t>
      </w:r>
      <w:r w:rsidRPr="009C7536">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un documento </w:t>
      </w:r>
      <w:r w:rsidRPr="009C7536">
        <w:rPr>
          <w:rFonts w:ascii="Palatino Linotype" w:eastAsia="Calibri" w:hAnsi="Palatino Linotype" w:cs="Arial"/>
          <w:i/>
          <w:color w:val="000000"/>
          <w:sz w:val="24"/>
          <w:szCs w:val="24"/>
          <w:lang w:val="es-ES_tradnl" w:eastAsia="es-MX"/>
        </w:rPr>
        <w:t>ad hoc</w:t>
      </w:r>
      <w:r w:rsidRPr="009C7536">
        <w:rPr>
          <w:rFonts w:ascii="Palatino Linotype" w:eastAsia="Calibri" w:hAnsi="Palatino Linotype" w:cs="Arial"/>
          <w:color w:val="000000"/>
          <w:sz w:val="24"/>
          <w:szCs w:val="24"/>
          <w:lang w:val="es-ES_tradnl" w:eastAsia="es-MX"/>
        </w:rPr>
        <w:t>, para satisfacer el derecho de acceso a la información pública.</w:t>
      </w:r>
    </w:p>
    <w:p w14:paraId="0EDB2EB4" w14:textId="77777777" w:rsidR="00203D96" w:rsidRPr="009C7536" w:rsidRDefault="00203D96" w:rsidP="00203D96">
      <w:pPr>
        <w:spacing w:line="360" w:lineRule="auto"/>
        <w:jc w:val="both"/>
        <w:rPr>
          <w:rFonts w:ascii="Palatino Linotype" w:hAnsi="Palatino Linotype"/>
          <w:bCs/>
          <w:sz w:val="24"/>
          <w:szCs w:val="24"/>
        </w:rPr>
      </w:pPr>
      <w:r w:rsidRPr="009C7536">
        <w:rPr>
          <w:rFonts w:ascii="Palatino Linotype" w:hAnsi="Palatino Linotype"/>
          <w:bCs/>
          <w:sz w:val="24"/>
          <w:szCs w:val="24"/>
        </w:rPr>
        <w:t>Hasta aquí lo expuesto se arriba a las siguientes premisas:</w:t>
      </w:r>
    </w:p>
    <w:p w14:paraId="099B6006" w14:textId="77777777" w:rsidR="00203D96" w:rsidRPr="0037516D" w:rsidRDefault="00203D96" w:rsidP="00983E6E">
      <w:pPr>
        <w:pStyle w:val="Sinespaciado"/>
        <w:numPr>
          <w:ilvl w:val="0"/>
          <w:numId w:val="2"/>
        </w:numPr>
        <w:spacing w:line="360" w:lineRule="auto"/>
        <w:jc w:val="both"/>
        <w:rPr>
          <w:rFonts w:ascii="Palatino Linotype" w:hAnsi="Palatino Linotype"/>
        </w:rPr>
      </w:pPr>
      <w:r w:rsidRPr="006837BE">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6837BE">
        <w:rPr>
          <w:rFonts w:ascii="Palatino Linotype" w:hAnsi="Palatino Linotype"/>
          <w:b/>
          <w:bCs/>
        </w:rPr>
        <w:t xml:space="preserve">Sujetos Obligados. </w:t>
      </w:r>
    </w:p>
    <w:p w14:paraId="3319600A" w14:textId="77777777" w:rsidR="0037516D" w:rsidRPr="006837BE" w:rsidRDefault="0037516D" w:rsidP="0037516D">
      <w:pPr>
        <w:pStyle w:val="Sinespaciado"/>
        <w:spacing w:line="360" w:lineRule="auto"/>
        <w:ind w:left="720"/>
        <w:jc w:val="both"/>
        <w:rPr>
          <w:rFonts w:ascii="Palatino Linotype" w:hAnsi="Palatino Linotype"/>
        </w:rPr>
      </w:pPr>
    </w:p>
    <w:p w14:paraId="23725154" w14:textId="6E773624" w:rsidR="0037516D" w:rsidRPr="0037516D" w:rsidRDefault="0037516D" w:rsidP="00983E6E">
      <w:pPr>
        <w:pStyle w:val="Prrafodelista"/>
        <w:numPr>
          <w:ilvl w:val="0"/>
          <w:numId w:val="2"/>
        </w:numPr>
        <w:tabs>
          <w:tab w:val="left" w:pos="1284"/>
        </w:tabs>
        <w:spacing w:line="360" w:lineRule="auto"/>
        <w:jc w:val="both"/>
        <w:rPr>
          <w:rFonts w:ascii="Palatino Linotype" w:hAnsi="Palatino Linotype" w:cs="Arial"/>
        </w:rPr>
      </w:pPr>
      <w:r>
        <w:rPr>
          <w:rFonts w:ascii="Palatino Linotype" w:hAnsi="Palatino Linotype" w:cs="Arial"/>
          <w:noProof/>
          <w:color w:val="000000"/>
          <w:lang w:eastAsia="es-MX"/>
        </w:rPr>
        <w:t>Q</w:t>
      </w:r>
      <w:r w:rsidRPr="0037516D">
        <w:rPr>
          <w:rFonts w:ascii="Palatino Linotype" w:hAnsi="Palatino Linotype" w:cs="Arial"/>
          <w:noProof/>
          <w:color w:val="000000"/>
          <w:lang w:eastAsia="es-MX"/>
        </w:rPr>
        <w:t xml:space="preserve">ue el </w:t>
      </w:r>
      <w:r w:rsidRPr="0037516D">
        <w:rPr>
          <w:rFonts w:ascii="Palatino Linotype" w:hAnsi="Palatino Linotype" w:cs="Arial"/>
          <w:color w:val="000000"/>
        </w:rPr>
        <w:t xml:space="preserve">Pleno de este Organismo Garante, </w:t>
      </w:r>
      <w:r w:rsidRPr="0037516D">
        <w:rPr>
          <w:rFonts w:ascii="Palatino Linotype" w:hAnsi="Palatino Linotype" w:cs="Arial"/>
        </w:rPr>
        <w:t>ha sostenido que ante la presencia de un hecho negativo, resultaría innecesaria una declaratoria de inexistencia en términos de  los artículos 19, 169 y 170 de la Ley de Transparencia y Acceso a la Información Pública del Estado de México y Municipios, no obstante lo anterior, la figura de hechos negativos en el caso concreto, no colma el derecho de acceso a la información pública, al inobservar el numeral 162 de la Ley de Transparencia local, porción normativa que dispone a la literalidad lo siguiente:</w:t>
      </w:r>
    </w:p>
    <w:p w14:paraId="73A6C8AC" w14:textId="77777777" w:rsidR="0037516D" w:rsidRPr="00D14967" w:rsidRDefault="0037516D" w:rsidP="0037516D">
      <w:pPr>
        <w:pStyle w:val="Citas"/>
        <w:ind w:left="720"/>
        <w:rPr>
          <w:b/>
        </w:rPr>
      </w:pPr>
      <w:r w:rsidRPr="00A251CB">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A251CB">
        <w:rPr>
          <w:b/>
        </w:rPr>
        <w:t>[Sic]</w:t>
      </w:r>
    </w:p>
    <w:p w14:paraId="5319B23B" w14:textId="0F1AA480" w:rsidR="00203D96" w:rsidRPr="006837BE" w:rsidRDefault="00203D96" w:rsidP="00983E6E">
      <w:pPr>
        <w:pStyle w:val="Prrafodelista"/>
        <w:numPr>
          <w:ilvl w:val="0"/>
          <w:numId w:val="2"/>
        </w:numPr>
        <w:spacing w:line="360" w:lineRule="auto"/>
        <w:jc w:val="both"/>
        <w:rPr>
          <w:rFonts w:ascii="Palatino Linotype" w:eastAsia="Calibri" w:hAnsi="Palatino Linotype" w:cs="Arial"/>
          <w:b/>
        </w:rPr>
      </w:pPr>
      <w:r>
        <w:rPr>
          <w:rFonts w:ascii="Palatino Linotype" w:hAnsi="Palatino Linotype"/>
        </w:rPr>
        <w:lastRenderedPageBreak/>
        <w:t>Aunado a ello, debió garantizar el derecho de acceso a la información y entregar la información requerida, ya que el Bando Municipal de Ecatepec de Morelos del 202</w:t>
      </w:r>
      <w:r w:rsidR="00CA2DCE">
        <w:rPr>
          <w:rFonts w:ascii="Palatino Linotype" w:hAnsi="Palatino Linotype"/>
        </w:rPr>
        <w:t>4</w:t>
      </w:r>
      <w:r>
        <w:rPr>
          <w:rFonts w:ascii="Palatino Linotype" w:hAnsi="Palatino Linotype"/>
        </w:rPr>
        <w:t xml:space="preserve">, prevé el multicitado Comité de Información. </w:t>
      </w:r>
    </w:p>
    <w:p w14:paraId="52719389" w14:textId="77777777" w:rsidR="009C7536" w:rsidRDefault="009C7536" w:rsidP="00203D96">
      <w:pPr>
        <w:spacing w:before="240" w:line="360" w:lineRule="auto"/>
        <w:jc w:val="both"/>
        <w:rPr>
          <w:rFonts w:ascii="Palatino Linotype" w:hAnsi="Palatino Linotype"/>
        </w:rPr>
      </w:pPr>
    </w:p>
    <w:p w14:paraId="231B1116" w14:textId="7EA70191" w:rsidR="00203D96" w:rsidRDefault="00203D96" w:rsidP="009C7536">
      <w:pPr>
        <w:spacing w:before="240" w:line="360" w:lineRule="auto"/>
        <w:jc w:val="both"/>
        <w:rPr>
          <w:rFonts w:ascii="Palatino Linotype" w:hAnsi="Palatino Linotype"/>
          <w:sz w:val="24"/>
          <w:szCs w:val="24"/>
        </w:rPr>
      </w:pPr>
      <w:r w:rsidRPr="009C7536">
        <w:rPr>
          <w:rFonts w:ascii="Palatino Linotype" w:hAnsi="Palatino Linotype"/>
          <w:sz w:val="24"/>
          <w:szCs w:val="24"/>
        </w:rPr>
        <w:t xml:space="preserve">Con base en lo anteriormente expuesto, resulta procedente ordenar hacer entrega, en versión pública de ser procedente, </w:t>
      </w:r>
      <w:r w:rsidR="009C7536">
        <w:rPr>
          <w:rFonts w:ascii="Palatino Linotype" w:hAnsi="Palatino Linotype"/>
          <w:sz w:val="24"/>
          <w:szCs w:val="24"/>
        </w:rPr>
        <w:t>de la siguiente información:</w:t>
      </w:r>
    </w:p>
    <w:p w14:paraId="3346E315" w14:textId="77777777" w:rsidR="009C7536" w:rsidRPr="001E2120" w:rsidRDefault="009C7536" w:rsidP="009C7536">
      <w:pPr>
        <w:tabs>
          <w:tab w:val="left" w:pos="1828"/>
        </w:tabs>
        <w:spacing w:line="360" w:lineRule="auto"/>
        <w:jc w:val="both"/>
        <w:rPr>
          <w:rFonts w:ascii="Palatino Linotype" w:hAnsi="Palatino Linotype" w:cs="Tahoma"/>
          <w:bCs/>
          <w:sz w:val="24"/>
          <w:szCs w:val="24"/>
        </w:rPr>
      </w:pPr>
      <w:r w:rsidRPr="001E2120">
        <w:rPr>
          <w:rFonts w:ascii="Palatino Linotype" w:hAnsi="Palatino Linotype" w:cs="Tahoma"/>
          <w:bCs/>
          <w:sz w:val="24"/>
          <w:szCs w:val="24"/>
        </w:rPr>
        <w:t xml:space="preserve">Del Comité de Información, previsto en el Bando Municipal del Ayuntamiento de Ecatepec de Morelos 2022-2024, del periodo del 1 enero al 30 de mayo de 2024 lo siguiente: </w:t>
      </w:r>
    </w:p>
    <w:p w14:paraId="4182666F" w14:textId="77777777" w:rsidR="009C7536" w:rsidRPr="001E2120" w:rsidRDefault="009C7536" w:rsidP="00983E6E">
      <w:pPr>
        <w:pStyle w:val="Prrafodelista"/>
        <w:numPr>
          <w:ilvl w:val="0"/>
          <w:numId w:val="7"/>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Fundamento legal </w:t>
      </w:r>
    </w:p>
    <w:p w14:paraId="42A086F1" w14:textId="77777777" w:rsidR="009C7536" w:rsidRPr="001E2120" w:rsidRDefault="009C7536" w:rsidP="00983E6E">
      <w:pPr>
        <w:pStyle w:val="Prrafodelista"/>
        <w:numPr>
          <w:ilvl w:val="0"/>
          <w:numId w:val="7"/>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Reglamento, reglas de organización y funcionamiento o similar </w:t>
      </w:r>
    </w:p>
    <w:p w14:paraId="2365A47E" w14:textId="77777777" w:rsidR="009C7536" w:rsidRPr="001E2120" w:rsidRDefault="009C7536" w:rsidP="00983E6E">
      <w:pPr>
        <w:pStyle w:val="Prrafodelista"/>
        <w:numPr>
          <w:ilvl w:val="0"/>
          <w:numId w:val="7"/>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Nombre del área responsable </w:t>
      </w:r>
    </w:p>
    <w:p w14:paraId="0D64408E" w14:textId="77777777" w:rsidR="009C7536" w:rsidRPr="001E2120" w:rsidRDefault="009C7536" w:rsidP="00983E6E">
      <w:pPr>
        <w:pStyle w:val="Prrafodelista"/>
        <w:numPr>
          <w:ilvl w:val="0"/>
          <w:numId w:val="7"/>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 xml:space="preserve">Nombre de la persona servidora pública titular del área responsable </w:t>
      </w:r>
    </w:p>
    <w:p w14:paraId="5A0D45B3" w14:textId="77777777" w:rsidR="009C7536" w:rsidRPr="001E2120" w:rsidRDefault="009C7536" w:rsidP="00983E6E">
      <w:pPr>
        <w:pStyle w:val="Prrafodelista"/>
        <w:numPr>
          <w:ilvl w:val="0"/>
          <w:numId w:val="7"/>
        </w:numPr>
        <w:tabs>
          <w:tab w:val="left" w:pos="1828"/>
        </w:tabs>
        <w:spacing w:line="360" w:lineRule="auto"/>
        <w:jc w:val="both"/>
        <w:rPr>
          <w:rFonts w:ascii="Palatino Linotype" w:hAnsi="Palatino Linotype" w:cs="Tahoma"/>
          <w:bCs/>
        </w:rPr>
      </w:pPr>
      <w:r w:rsidRPr="001E2120">
        <w:rPr>
          <w:rFonts w:ascii="Palatino Linotype" w:hAnsi="Palatino Linotype" w:cs="Tahoma"/>
          <w:bCs/>
          <w:lang w:val="es-MX"/>
        </w:rPr>
        <w:t>Datos de contacto (teléfono, correo electrónico, dirección de oficina) de la persona servidora pública titular del área responsable</w:t>
      </w:r>
    </w:p>
    <w:p w14:paraId="4AEE1F84" w14:textId="77777777" w:rsidR="0037516D" w:rsidRDefault="0037516D" w:rsidP="00203D96">
      <w:pPr>
        <w:tabs>
          <w:tab w:val="left" w:pos="2130"/>
        </w:tabs>
        <w:spacing w:line="360" w:lineRule="auto"/>
        <w:jc w:val="both"/>
        <w:rPr>
          <w:rFonts w:ascii="Palatino Linotype" w:eastAsia="Calibri" w:hAnsi="Palatino Linotype" w:cs="Tahoma"/>
          <w:bCs/>
          <w:sz w:val="24"/>
          <w:szCs w:val="24"/>
        </w:rPr>
      </w:pPr>
    </w:p>
    <w:p w14:paraId="556A1322" w14:textId="171CE79D" w:rsidR="009C7536" w:rsidRDefault="00203D96" w:rsidP="00203D96">
      <w:pPr>
        <w:tabs>
          <w:tab w:val="left" w:pos="2130"/>
        </w:tabs>
        <w:spacing w:line="360" w:lineRule="auto"/>
        <w:jc w:val="both"/>
        <w:rPr>
          <w:rFonts w:ascii="Palatino Linotype" w:eastAsia="Calibri" w:hAnsi="Palatino Linotype" w:cs="Tahoma"/>
          <w:bCs/>
          <w:sz w:val="24"/>
          <w:szCs w:val="24"/>
        </w:rPr>
      </w:pPr>
      <w:r w:rsidRPr="009C7536">
        <w:rPr>
          <w:rFonts w:ascii="Palatino Linotype" w:eastAsia="Calibri" w:hAnsi="Palatino Linotype" w:cs="Tahoma"/>
          <w:bCs/>
          <w:sz w:val="24"/>
          <w:szCs w:val="24"/>
        </w:rPr>
        <w:t xml:space="preserve">Ahora bien, el Bando Municipal establece que el Ayuntamiento </w:t>
      </w:r>
      <w:r w:rsidR="009C7536">
        <w:rPr>
          <w:rFonts w:ascii="Palatino Linotype" w:eastAsia="Calibri" w:hAnsi="Palatino Linotype" w:cs="Tahoma"/>
          <w:bCs/>
          <w:i/>
          <w:iCs/>
          <w:sz w:val="24"/>
          <w:szCs w:val="24"/>
        </w:rPr>
        <w:t xml:space="preserve">“podrá” </w:t>
      </w:r>
      <w:r w:rsidR="009C7536">
        <w:rPr>
          <w:rFonts w:ascii="Palatino Linotype" w:eastAsia="Calibri" w:hAnsi="Palatino Linotype" w:cs="Tahoma"/>
          <w:bCs/>
          <w:sz w:val="24"/>
          <w:szCs w:val="24"/>
        </w:rPr>
        <w:t xml:space="preserve">auxiliarse de dicho Comité, es decir, dicha palabra deberá de entenderse como una facultad o capacidad para realizar algo en caso de estimarlo necesario, es decir, una facultad optativa o un antónimo de una obligación. </w:t>
      </w:r>
    </w:p>
    <w:p w14:paraId="29C3683B" w14:textId="65CF41E7" w:rsidR="009C7536" w:rsidRDefault="009C7536" w:rsidP="00203D96">
      <w:pPr>
        <w:tabs>
          <w:tab w:val="left" w:pos="2130"/>
        </w:tabs>
        <w:spacing w:line="360" w:lineRule="auto"/>
        <w:jc w:val="both"/>
        <w:rPr>
          <w:rFonts w:ascii="Palatino Linotype" w:eastAsia="Calibri" w:hAnsi="Palatino Linotype" w:cs="Tahoma"/>
          <w:bCs/>
          <w:sz w:val="24"/>
          <w:szCs w:val="24"/>
        </w:rPr>
      </w:pPr>
      <w:r>
        <w:rPr>
          <w:rFonts w:ascii="Palatino Linotype" w:eastAsia="Calibri" w:hAnsi="Palatino Linotype" w:cs="Tahoma"/>
          <w:bCs/>
          <w:sz w:val="24"/>
          <w:szCs w:val="24"/>
        </w:rPr>
        <w:lastRenderedPageBreak/>
        <w:t xml:space="preserve">Con relación a la problemática expuesta, </w:t>
      </w:r>
      <w:r w:rsidRPr="00934112">
        <w:rPr>
          <w:rFonts w:ascii="Palatino Linotype" w:eastAsia="Calibri" w:hAnsi="Palatino Linotype" w:cs="Tahoma"/>
          <w:b/>
          <w:sz w:val="24"/>
          <w:szCs w:val="24"/>
          <w:u w:val="single"/>
        </w:rPr>
        <w:t xml:space="preserve">se arriba a la conclusión de que </w:t>
      </w:r>
      <w:r w:rsidR="00934112" w:rsidRPr="00934112">
        <w:rPr>
          <w:rFonts w:ascii="Palatino Linotype" w:eastAsia="Calibri" w:hAnsi="Palatino Linotype" w:cs="Tahoma"/>
          <w:b/>
          <w:sz w:val="24"/>
          <w:szCs w:val="24"/>
          <w:u w:val="single"/>
        </w:rPr>
        <w:t>la instalación y funcionamiento d</w:t>
      </w:r>
      <w:r w:rsidRPr="00934112">
        <w:rPr>
          <w:rFonts w:ascii="Palatino Linotype" w:eastAsia="Calibri" w:hAnsi="Palatino Linotype" w:cs="Tahoma"/>
          <w:b/>
          <w:sz w:val="24"/>
          <w:szCs w:val="24"/>
          <w:u w:val="single"/>
        </w:rPr>
        <w:t>el comité de información</w:t>
      </w:r>
      <w:r>
        <w:rPr>
          <w:rFonts w:ascii="Palatino Linotype" w:eastAsia="Calibri" w:hAnsi="Palatino Linotype" w:cs="Tahoma"/>
          <w:bCs/>
          <w:sz w:val="24"/>
          <w:szCs w:val="24"/>
        </w:rPr>
        <w:t xml:space="preserve"> previsto en el bando municipal de Ecatepec de Morelos 2024, no tiene el carácter de obligatorio, aunado a ello, </w:t>
      </w:r>
      <w:r w:rsidR="004A7293">
        <w:rPr>
          <w:rFonts w:ascii="Palatino Linotype" w:eastAsia="Calibri" w:hAnsi="Palatino Linotype" w:cs="Tahoma"/>
          <w:bCs/>
          <w:sz w:val="24"/>
          <w:szCs w:val="24"/>
        </w:rPr>
        <w:t xml:space="preserve">dicho comité </w:t>
      </w:r>
      <w:r>
        <w:rPr>
          <w:rFonts w:ascii="Palatino Linotype" w:eastAsia="Calibri" w:hAnsi="Palatino Linotype" w:cs="Tahoma"/>
          <w:bCs/>
          <w:sz w:val="24"/>
          <w:szCs w:val="24"/>
        </w:rPr>
        <w:t xml:space="preserve">no tiene el carácter permanente o transitorio, por lo </w:t>
      </w:r>
      <w:r w:rsidR="0037516D">
        <w:rPr>
          <w:rFonts w:ascii="Palatino Linotype" w:eastAsia="Calibri" w:hAnsi="Palatino Linotype" w:cs="Tahoma"/>
          <w:bCs/>
          <w:sz w:val="24"/>
          <w:szCs w:val="24"/>
        </w:rPr>
        <w:t>que,</w:t>
      </w:r>
      <w:r>
        <w:rPr>
          <w:rFonts w:ascii="Palatino Linotype" w:eastAsia="Calibri" w:hAnsi="Palatino Linotype" w:cs="Tahoma"/>
          <w:bCs/>
          <w:sz w:val="24"/>
          <w:szCs w:val="24"/>
        </w:rPr>
        <w:t xml:space="preserve"> una vez realizada la búsqueda exhaustiva y razonable, para el caso de no contar con la información requerida </w:t>
      </w:r>
      <w:r w:rsidR="00B10B9F" w:rsidRPr="00934112">
        <w:rPr>
          <w:rFonts w:ascii="Palatino Linotype" w:eastAsia="Calibri" w:hAnsi="Palatino Linotype" w:cs="Tahoma"/>
          <w:b/>
          <w:sz w:val="24"/>
          <w:szCs w:val="24"/>
          <w:u w:val="single"/>
        </w:rPr>
        <w:t xml:space="preserve">respecto de los puntos dos al </w:t>
      </w:r>
      <w:r w:rsidR="00934112">
        <w:rPr>
          <w:rFonts w:ascii="Palatino Linotype" w:eastAsia="Calibri" w:hAnsi="Palatino Linotype" w:cs="Tahoma"/>
          <w:b/>
          <w:sz w:val="24"/>
          <w:szCs w:val="24"/>
          <w:u w:val="single"/>
        </w:rPr>
        <w:t xml:space="preserve">cinco </w:t>
      </w:r>
      <w:r w:rsidR="00B10B9F" w:rsidRPr="00934112">
        <w:rPr>
          <w:rFonts w:ascii="Palatino Linotype" w:eastAsia="Calibri" w:hAnsi="Palatino Linotype" w:cs="Tahoma"/>
          <w:b/>
          <w:sz w:val="24"/>
          <w:szCs w:val="24"/>
          <w:u w:val="single"/>
        </w:rPr>
        <w:t>que serán materia de cumplimiento,</w:t>
      </w:r>
      <w:r w:rsidR="00B10B9F">
        <w:rPr>
          <w:rFonts w:ascii="Palatino Linotype" w:eastAsia="Calibri" w:hAnsi="Palatino Linotype" w:cs="Tahoma"/>
          <w:bCs/>
          <w:sz w:val="24"/>
          <w:szCs w:val="24"/>
        </w:rPr>
        <w:t xml:space="preserve"> </w:t>
      </w:r>
      <w:r>
        <w:rPr>
          <w:rFonts w:ascii="Palatino Linotype" w:eastAsia="Calibri" w:hAnsi="Palatino Linotype" w:cs="Tahoma"/>
          <w:bCs/>
          <w:sz w:val="24"/>
          <w:szCs w:val="24"/>
        </w:rPr>
        <w:t>bastará con que el área competente lo refie</w:t>
      </w:r>
      <w:r w:rsidR="00934112">
        <w:rPr>
          <w:rFonts w:ascii="Palatino Linotype" w:eastAsia="Calibri" w:hAnsi="Palatino Linotype" w:cs="Tahoma"/>
          <w:bCs/>
          <w:sz w:val="24"/>
          <w:szCs w:val="24"/>
        </w:rPr>
        <w:t>ra</w:t>
      </w:r>
      <w:r>
        <w:rPr>
          <w:rFonts w:ascii="Palatino Linotype" w:eastAsia="Calibri" w:hAnsi="Palatino Linotype" w:cs="Tahoma"/>
          <w:bCs/>
          <w:sz w:val="24"/>
          <w:szCs w:val="24"/>
        </w:rPr>
        <w:t xml:space="preserve"> de manera precisa y clara. </w:t>
      </w:r>
    </w:p>
    <w:p w14:paraId="24678E01" w14:textId="77777777" w:rsidR="009C7536" w:rsidRDefault="009C7536" w:rsidP="00203D96">
      <w:pPr>
        <w:tabs>
          <w:tab w:val="left" w:pos="2130"/>
        </w:tabs>
        <w:spacing w:line="360" w:lineRule="auto"/>
        <w:jc w:val="both"/>
        <w:rPr>
          <w:rFonts w:ascii="Palatino Linotype" w:eastAsia="Calibri" w:hAnsi="Palatino Linotype" w:cs="Tahoma"/>
          <w:bCs/>
          <w:sz w:val="24"/>
          <w:szCs w:val="24"/>
        </w:rPr>
      </w:pPr>
    </w:p>
    <w:p w14:paraId="70261B38" w14:textId="77777777" w:rsidR="0037516D" w:rsidRPr="007949CF" w:rsidRDefault="0037516D" w:rsidP="0037516D">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t xml:space="preserve">DE LA VERSIÓN PÚBLICA </w:t>
      </w:r>
    </w:p>
    <w:p w14:paraId="00EF2A8F" w14:textId="77777777" w:rsidR="0037516D" w:rsidRPr="000F6865" w:rsidRDefault="0037516D" w:rsidP="0037516D">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7240631F" w14:textId="77777777" w:rsidR="0037516D" w:rsidRPr="00F42CE0" w:rsidRDefault="0037516D" w:rsidP="0037516D">
      <w:pPr>
        <w:pStyle w:val="Citas"/>
      </w:pPr>
      <w:r>
        <w:rPr>
          <w:b/>
        </w:rPr>
        <w:t>“</w:t>
      </w:r>
      <w:r w:rsidRPr="00F42CE0">
        <w:rPr>
          <w:b/>
        </w:rPr>
        <w:t>Artículo 3.</w:t>
      </w:r>
      <w:r w:rsidRPr="00F42CE0">
        <w:t xml:space="preserve"> Para los efectos de la presente Ley se entenderá por:</w:t>
      </w:r>
    </w:p>
    <w:p w14:paraId="2B279ECA" w14:textId="77777777" w:rsidR="0037516D" w:rsidRPr="00F42CE0" w:rsidRDefault="0037516D" w:rsidP="0037516D">
      <w:pPr>
        <w:pStyle w:val="Citas"/>
      </w:pPr>
      <w:r w:rsidRPr="00F42CE0">
        <w:t>(…)</w:t>
      </w:r>
    </w:p>
    <w:p w14:paraId="2A037A6F" w14:textId="77777777" w:rsidR="0037516D" w:rsidRPr="00F42CE0" w:rsidRDefault="0037516D" w:rsidP="0037516D">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627CC000" w14:textId="77777777" w:rsidR="0037516D" w:rsidRPr="00F42CE0" w:rsidRDefault="0037516D" w:rsidP="0037516D">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66DEAB5F" w14:textId="77777777" w:rsidR="0037516D" w:rsidRPr="00F42CE0" w:rsidRDefault="0037516D" w:rsidP="0037516D">
      <w:pPr>
        <w:pStyle w:val="Citas"/>
      </w:pPr>
      <w:r w:rsidRPr="00F42CE0">
        <w:rPr>
          <w:b/>
        </w:rPr>
        <w:lastRenderedPageBreak/>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7614085" w14:textId="77777777" w:rsidR="0037516D" w:rsidRPr="000F6865" w:rsidRDefault="0037516D" w:rsidP="0037516D">
      <w:pPr>
        <w:pStyle w:val="Citas"/>
        <w:rPr>
          <w:bCs/>
        </w:rPr>
      </w:pPr>
      <w:r w:rsidRPr="000F6865">
        <w:rPr>
          <w:bCs/>
        </w:rPr>
        <w:t>(…)</w:t>
      </w:r>
    </w:p>
    <w:p w14:paraId="38F4DC19" w14:textId="77777777" w:rsidR="0037516D" w:rsidRPr="00F42CE0" w:rsidRDefault="0037516D" w:rsidP="0037516D">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24AC8440" w14:textId="77777777" w:rsidR="0037516D" w:rsidRPr="00F42CE0" w:rsidRDefault="0037516D" w:rsidP="0037516D">
      <w:pPr>
        <w:pStyle w:val="Citas"/>
      </w:pPr>
      <w:r w:rsidRPr="00F42CE0">
        <w:t>(…)</w:t>
      </w:r>
    </w:p>
    <w:p w14:paraId="095A4493" w14:textId="77777777" w:rsidR="0037516D" w:rsidRPr="00F42CE0" w:rsidRDefault="0037516D" w:rsidP="0037516D">
      <w:pPr>
        <w:pStyle w:val="Citas"/>
      </w:pPr>
      <w:r w:rsidRPr="00F42CE0">
        <w:rPr>
          <w:b/>
        </w:rPr>
        <w:t xml:space="preserve">Artículo 91. </w:t>
      </w:r>
      <w:r w:rsidRPr="00F42CE0">
        <w:t>El acceso a la información pública será restringido excepcionalmente, cuando ésta sea clasificada como reservada o confidencial.</w:t>
      </w:r>
    </w:p>
    <w:p w14:paraId="67056D27" w14:textId="77777777" w:rsidR="0037516D" w:rsidRPr="00F42CE0" w:rsidRDefault="0037516D" w:rsidP="0037516D">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56396262" w14:textId="77777777" w:rsidR="0037516D" w:rsidRPr="00F42CE0" w:rsidRDefault="0037516D" w:rsidP="0037516D">
      <w:pPr>
        <w:pStyle w:val="Citas"/>
      </w:pPr>
      <w:r w:rsidRPr="00F42CE0">
        <w:rPr>
          <w:b/>
        </w:rPr>
        <w:t>I.</w:t>
      </w:r>
      <w:r w:rsidRPr="00F42CE0">
        <w:t xml:space="preserve"> Se reciba una solicitud de acceso a la información;</w:t>
      </w:r>
    </w:p>
    <w:p w14:paraId="7280350C" w14:textId="77777777" w:rsidR="0037516D" w:rsidRPr="00F42CE0" w:rsidRDefault="0037516D" w:rsidP="0037516D">
      <w:pPr>
        <w:pStyle w:val="Citas"/>
      </w:pPr>
      <w:r w:rsidRPr="00F42CE0">
        <w:rPr>
          <w:b/>
        </w:rPr>
        <w:t>II.</w:t>
      </w:r>
      <w:r w:rsidRPr="00F42CE0">
        <w:t xml:space="preserve"> </w:t>
      </w:r>
      <w:r w:rsidRPr="00F42CE0">
        <w:rPr>
          <w:u w:val="single"/>
        </w:rPr>
        <w:t>Se determine mediante resolución de autoridad competente; o</w:t>
      </w:r>
    </w:p>
    <w:p w14:paraId="3B7FF955" w14:textId="77777777" w:rsidR="0037516D" w:rsidRPr="00F42CE0" w:rsidRDefault="0037516D" w:rsidP="0037516D">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378D01FA" w14:textId="77777777" w:rsidR="0037516D" w:rsidRPr="000F6865" w:rsidRDefault="0037516D" w:rsidP="0037516D">
      <w:pPr>
        <w:pStyle w:val="Citas"/>
        <w:rPr>
          <w:b/>
          <w:bCs/>
        </w:rPr>
      </w:pPr>
      <w:r w:rsidRPr="00F42CE0">
        <w:t>(…)</w:t>
      </w:r>
      <w:r>
        <w:t xml:space="preserve">” </w:t>
      </w:r>
      <w:r>
        <w:rPr>
          <w:b/>
          <w:bCs/>
        </w:rPr>
        <w:t xml:space="preserve"> (Sic)</w:t>
      </w:r>
    </w:p>
    <w:p w14:paraId="3791B454" w14:textId="77777777" w:rsidR="0037516D" w:rsidRPr="00F42CE0" w:rsidRDefault="0037516D" w:rsidP="0037516D">
      <w:pPr>
        <w:rPr>
          <w:rFonts w:eastAsia="Palatino Linotype" w:cs="Palatino Linotype"/>
          <w:i/>
          <w:szCs w:val="24"/>
        </w:rPr>
      </w:pPr>
    </w:p>
    <w:p w14:paraId="6BBFD28E" w14:textId="77777777" w:rsidR="0037516D" w:rsidRPr="000F6865" w:rsidRDefault="0037516D" w:rsidP="0037516D">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versiones </w:t>
      </w:r>
      <w:r w:rsidRPr="000F6865">
        <w:rPr>
          <w:rFonts w:ascii="Palatino Linotype" w:eastAsia="Palatino Linotype" w:hAnsi="Palatino Linotype" w:cs="Palatino Linotype"/>
          <w:sz w:val="24"/>
          <w:szCs w:val="24"/>
        </w:rPr>
        <w:lastRenderedPageBreak/>
        <w:t>públicas en las que se suprima aquella información relacionada con la vida privada de los particulares.</w:t>
      </w:r>
    </w:p>
    <w:p w14:paraId="38FD7BD6" w14:textId="77777777" w:rsidR="0037516D" w:rsidRPr="000F6865" w:rsidRDefault="0037516D" w:rsidP="0037516D">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F848A18" w14:textId="77777777" w:rsidR="0037516D" w:rsidRPr="000F6865" w:rsidRDefault="0037516D" w:rsidP="0037516D">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4AB2B441" w14:textId="77777777" w:rsidR="0037516D" w:rsidRDefault="0037516D" w:rsidP="0037516D">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44B9ED11" w14:textId="77777777" w:rsidR="0037516D" w:rsidRPr="00F42CE0" w:rsidRDefault="0037516D" w:rsidP="0037516D">
      <w:pPr>
        <w:pStyle w:val="Citas"/>
      </w:pPr>
      <w:r w:rsidRPr="00F42CE0">
        <w:rPr>
          <w:b/>
        </w:rPr>
        <w:t>Quincuagésimo séptimo.</w:t>
      </w:r>
      <w:r w:rsidRPr="00F42CE0">
        <w:t xml:space="preserve"> Se considera, en principio, como información pública y no podrá omitirse de las versiones públicas la siguiente:</w:t>
      </w:r>
    </w:p>
    <w:p w14:paraId="2BC87BA5" w14:textId="77777777" w:rsidR="0037516D" w:rsidRPr="00F42CE0" w:rsidRDefault="0037516D" w:rsidP="0037516D">
      <w:pPr>
        <w:pStyle w:val="Citas"/>
      </w:pPr>
      <w:r w:rsidRPr="00F42CE0">
        <w:t xml:space="preserve">I. La relativa a las Obligaciones de Transparencia que contempla el Título V de la Ley General y las demás disposiciones legales aplicables; </w:t>
      </w:r>
    </w:p>
    <w:p w14:paraId="453C33F2" w14:textId="77777777" w:rsidR="0037516D" w:rsidRPr="00F42CE0" w:rsidRDefault="0037516D" w:rsidP="0037516D">
      <w:pPr>
        <w:pStyle w:val="Citas"/>
      </w:pPr>
      <w:r w:rsidRPr="00F42CE0">
        <w:lastRenderedPageBreak/>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31A19DF0" w14:textId="77777777" w:rsidR="0037516D" w:rsidRPr="00F42CE0" w:rsidRDefault="0037516D" w:rsidP="0037516D">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034BD8E" w14:textId="77777777" w:rsidR="0037516D" w:rsidRPr="00F42CE0" w:rsidRDefault="0037516D" w:rsidP="0037516D">
      <w:pPr>
        <w:pStyle w:val="Citas"/>
      </w:pPr>
      <w:r w:rsidRPr="00F42CE0">
        <w:t xml:space="preserve">Lo anterior, siempre y cuando no se acredite alguna causal de clasificación, prevista en las leyes o en los tratados internacionales suscritos por el Estado mexicano. </w:t>
      </w:r>
    </w:p>
    <w:p w14:paraId="2258C15C" w14:textId="77777777" w:rsidR="0037516D" w:rsidRPr="000F6865" w:rsidRDefault="0037516D" w:rsidP="0037516D">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41FEB8EB" w14:textId="77777777" w:rsidR="0037516D" w:rsidRPr="00F42CE0" w:rsidRDefault="0037516D" w:rsidP="0037516D">
      <w:pPr>
        <w:pStyle w:val="Citas"/>
      </w:pPr>
    </w:p>
    <w:p w14:paraId="6408E8AF" w14:textId="77777777" w:rsidR="0037516D" w:rsidRPr="000F6865" w:rsidRDefault="0037516D" w:rsidP="0037516D">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0F6865">
        <w:rPr>
          <w:rFonts w:ascii="Palatino Linotype" w:eastAsia="Palatino Linotype" w:hAnsi="Palatino Linotype" w:cs="Palatino Linotype"/>
          <w:sz w:val="24"/>
          <w:szCs w:val="24"/>
        </w:rPr>
        <w:lastRenderedPageBreak/>
        <w:t>suprimen- deja a la solicitante en estado de incertidumbre, al no conocer o comprender porque no aparecen en la documentación respectiva.</w:t>
      </w:r>
    </w:p>
    <w:p w14:paraId="44D36F32" w14:textId="77777777" w:rsidR="0037516D" w:rsidRPr="000F6865" w:rsidRDefault="0037516D" w:rsidP="0037516D">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7E5DA109" w14:textId="77777777" w:rsidR="0037516D" w:rsidRPr="000F6865" w:rsidRDefault="0037516D" w:rsidP="0037516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8F7C83C" w14:textId="77777777" w:rsidR="0037516D" w:rsidRDefault="0037516D" w:rsidP="0037516D">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04C98A48" w14:textId="55AA4EED" w:rsidR="0037516D" w:rsidRPr="0037314A" w:rsidRDefault="0037516D" w:rsidP="0037516D">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Pr="0037314A">
        <w:rPr>
          <w:rFonts w:ascii="Palatino Linotype" w:hAnsi="Palatino Linotype"/>
          <w:b/>
          <w:sz w:val="24"/>
          <w:szCs w:val="24"/>
        </w:rPr>
        <w:t xml:space="preserve">El Recurrente, </w:t>
      </w:r>
      <w:r w:rsidRPr="0037314A">
        <w:rPr>
          <w:rFonts w:ascii="Palatino Linotype" w:hAnsi="Palatino Linotype"/>
          <w:sz w:val="24"/>
          <w:szCs w:val="24"/>
        </w:rPr>
        <w:t xml:space="preserve">por ello con fundamento en el </w:t>
      </w:r>
      <w:r w:rsidRPr="0037314A">
        <w:rPr>
          <w:rFonts w:ascii="Palatino Linotype" w:hAnsi="Palatino Linotype"/>
          <w:sz w:val="24"/>
          <w:szCs w:val="24"/>
        </w:rPr>
        <w:lastRenderedPageBreak/>
        <w:t xml:space="preserve">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Pr>
          <w:rFonts w:ascii="Palatino Linotype" w:hAnsi="Palatino Linotype"/>
          <w:b/>
          <w:sz w:val="24"/>
          <w:szCs w:val="24"/>
        </w:rPr>
        <w:t>00599/ECATEPEC/IP/2024</w:t>
      </w:r>
      <w:r w:rsidRPr="0037314A">
        <w:rPr>
          <w:rFonts w:ascii="Palatino Linotype" w:hAnsi="Palatino Linotype"/>
          <w:b/>
          <w:sz w:val="24"/>
          <w:szCs w:val="24"/>
        </w:rPr>
        <w:t xml:space="preserve">, </w:t>
      </w:r>
      <w:r w:rsidRPr="0037314A">
        <w:rPr>
          <w:rFonts w:ascii="Palatino Linotype" w:hAnsi="Palatino Linotype"/>
          <w:sz w:val="24"/>
          <w:szCs w:val="24"/>
        </w:rPr>
        <w:t xml:space="preserve">que ha sido materia del presente fallo. </w:t>
      </w:r>
    </w:p>
    <w:p w14:paraId="42CA8F86" w14:textId="77777777" w:rsidR="0037516D" w:rsidRPr="0037314A" w:rsidRDefault="0037516D" w:rsidP="0037516D">
      <w:pPr>
        <w:pStyle w:val="Prrafodelista"/>
        <w:spacing w:before="240" w:after="240" w:line="360" w:lineRule="auto"/>
        <w:ind w:left="0"/>
        <w:jc w:val="both"/>
        <w:rPr>
          <w:rFonts w:ascii="Palatino Linotype" w:hAnsi="Palatino Linotype"/>
          <w:lang w:val="es-MX"/>
        </w:rPr>
      </w:pPr>
      <w:r w:rsidRPr="0037314A">
        <w:rPr>
          <w:rFonts w:ascii="Palatino Linotype" w:hAnsi="Palatino Linotype"/>
          <w:lang w:val="es-MX"/>
        </w:rPr>
        <w:t xml:space="preserve">Por lo antes expuesto y fundado es de resolverse y, </w:t>
      </w:r>
    </w:p>
    <w:p w14:paraId="5FDD879B" w14:textId="77777777" w:rsidR="0037516D" w:rsidRDefault="0037516D" w:rsidP="00203D96">
      <w:pPr>
        <w:spacing w:line="360" w:lineRule="auto"/>
        <w:jc w:val="both"/>
        <w:rPr>
          <w:rFonts w:ascii="Palatino Linotype" w:hAnsi="Palatino Linotype"/>
        </w:rPr>
      </w:pPr>
    </w:p>
    <w:p w14:paraId="3A5C5C74" w14:textId="77777777" w:rsidR="00203D96" w:rsidRPr="009A71E1" w:rsidRDefault="00203D96" w:rsidP="00203D96">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2647C2CE" w14:textId="72CCC818" w:rsidR="00570FBC" w:rsidRPr="0037314A" w:rsidRDefault="00570FBC" w:rsidP="00570FBC">
      <w:pPr>
        <w:spacing w:before="240" w:line="360" w:lineRule="auto"/>
        <w:jc w:val="both"/>
        <w:rPr>
          <w:rFonts w:ascii="Palatino Linotype" w:hAnsi="Palatino Linotype" w:cs="Arial"/>
          <w:sz w:val="24"/>
        </w:rPr>
      </w:pPr>
      <w:r w:rsidRPr="00570FBC">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Pr>
          <w:rFonts w:ascii="Palatino Linotype" w:hAnsi="Palatino Linotype"/>
          <w:b/>
          <w:sz w:val="24"/>
          <w:szCs w:val="24"/>
        </w:rPr>
        <w:t>00599/ECATEPEC/IP/2024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sidRPr="0037314A">
        <w:rPr>
          <w:rFonts w:ascii="Palatino Linotype" w:hAnsi="Palatino Linotype" w:cs="Arial"/>
          <w:b/>
          <w:sz w:val="24"/>
        </w:rPr>
        <w:t xml:space="preserve">EL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5F650A71" w14:textId="77777777" w:rsidR="00203D96" w:rsidRPr="00165D42" w:rsidRDefault="00203D96" w:rsidP="00203D96">
      <w:pPr>
        <w:spacing w:line="360" w:lineRule="auto"/>
        <w:jc w:val="both"/>
        <w:rPr>
          <w:rFonts w:ascii="Palatino Linotype" w:hAnsi="Palatino Linotype" w:cs="Arial"/>
        </w:rPr>
      </w:pPr>
    </w:p>
    <w:p w14:paraId="71AD79A5" w14:textId="77777777" w:rsidR="0037516D" w:rsidRPr="00AF17B1" w:rsidRDefault="0037516D" w:rsidP="0037516D">
      <w:pPr>
        <w:autoSpaceDE w:val="0"/>
        <w:autoSpaceDN w:val="0"/>
        <w:adjustRightInd w:val="0"/>
        <w:spacing w:before="240" w:line="360" w:lineRule="auto"/>
        <w:ind w:right="49"/>
        <w:jc w:val="both"/>
        <w:rPr>
          <w:rFonts w:ascii="Palatino Linotype" w:hAnsi="Palatino Linotype" w:cs="Arial"/>
          <w:sz w:val="24"/>
          <w:szCs w:val="24"/>
        </w:rPr>
      </w:pPr>
      <w:r w:rsidRPr="00570FBC">
        <w:rPr>
          <w:rFonts w:ascii="Palatino Linotype" w:hAnsi="Palatino Linotype" w:cs="Arial"/>
          <w:b/>
          <w:sz w:val="28"/>
          <w:szCs w:val="28"/>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realizar una búsqueda exhaustiva y razonable a fin de entregar al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en versión pública de ser procedente, de lo siguiente:</w:t>
      </w:r>
    </w:p>
    <w:p w14:paraId="7730E9B0" w14:textId="77777777" w:rsidR="0037516D" w:rsidRPr="0037516D" w:rsidRDefault="0037516D" w:rsidP="0037516D">
      <w:pPr>
        <w:tabs>
          <w:tab w:val="left" w:pos="1828"/>
        </w:tabs>
        <w:spacing w:line="360" w:lineRule="auto"/>
        <w:jc w:val="both"/>
        <w:rPr>
          <w:rFonts w:ascii="Palatino Linotype" w:hAnsi="Palatino Linotype" w:cs="Tahoma"/>
          <w:bCs/>
          <w:i/>
          <w:iCs/>
          <w:sz w:val="24"/>
          <w:szCs w:val="24"/>
        </w:rPr>
      </w:pPr>
      <w:r w:rsidRPr="0037516D">
        <w:rPr>
          <w:rFonts w:ascii="Palatino Linotype" w:hAnsi="Palatino Linotype" w:cs="Tahoma"/>
          <w:bCs/>
          <w:i/>
          <w:iCs/>
          <w:sz w:val="24"/>
          <w:szCs w:val="24"/>
        </w:rPr>
        <w:t xml:space="preserve">Del Comité de Información, previsto en el Bando Municipal del Ayuntamiento de Ecatepec de Morelos 2022-2024, del periodo del 1 enero al 30 de mayo de 2024 lo siguiente: </w:t>
      </w:r>
    </w:p>
    <w:p w14:paraId="2A81EB4B" w14:textId="77777777" w:rsidR="0037516D" w:rsidRPr="0037516D" w:rsidRDefault="0037516D" w:rsidP="00983E6E">
      <w:pPr>
        <w:pStyle w:val="Prrafodelista"/>
        <w:numPr>
          <w:ilvl w:val="0"/>
          <w:numId w:val="8"/>
        </w:numPr>
        <w:tabs>
          <w:tab w:val="left" w:pos="1828"/>
        </w:tabs>
        <w:spacing w:line="360" w:lineRule="auto"/>
        <w:jc w:val="both"/>
        <w:rPr>
          <w:rFonts w:ascii="Palatino Linotype" w:hAnsi="Palatino Linotype" w:cs="Tahoma"/>
          <w:bCs/>
          <w:i/>
          <w:iCs/>
        </w:rPr>
      </w:pPr>
      <w:r w:rsidRPr="0037516D">
        <w:rPr>
          <w:rFonts w:ascii="Palatino Linotype" w:hAnsi="Palatino Linotype" w:cs="Tahoma"/>
          <w:bCs/>
          <w:i/>
          <w:iCs/>
          <w:lang w:val="es-MX"/>
        </w:rPr>
        <w:t xml:space="preserve">Fundamento legal </w:t>
      </w:r>
    </w:p>
    <w:p w14:paraId="552C6B72" w14:textId="77777777" w:rsidR="0037516D" w:rsidRPr="0037516D" w:rsidRDefault="0037516D" w:rsidP="00983E6E">
      <w:pPr>
        <w:pStyle w:val="Prrafodelista"/>
        <w:numPr>
          <w:ilvl w:val="0"/>
          <w:numId w:val="8"/>
        </w:numPr>
        <w:tabs>
          <w:tab w:val="left" w:pos="1828"/>
        </w:tabs>
        <w:spacing w:line="360" w:lineRule="auto"/>
        <w:jc w:val="both"/>
        <w:rPr>
          <w:rFonts w:ascii="Palatino Linotype" w:hAnsi="Palatino Linotype" w:cs="Tahoma"/>
          <w:bCs/>
          <w:i/>
          <w:iCs/>
        </w:rPr>
      </w:pPr>
      <w:r w:rsidRPr="0037516D">
        <w:rPr>
          <w:rFonts w:ascii="Palatino Linotype" w:hAnsi="Palatino Linotype" w:cs="Tahoma"/>
          <w:bCs/>
          <w:i/>
          <w:iCs/>
          <w:lang w:val="es-MX"/>
        </w:rPr>
        <w:t xml:space="preserve">Reglamento, reglas de organización y funcionamiento o similar </w:t>
      </w:r>
    </w:p>
    <w:p w14:paraId="2422CE08" w14:textId="77777777" w:rsidR="0037516D" w:rsidRPr="0037516D" w:rsidRDefault="0037516D" w:rsidP="00983E6E">
      <w:pPr>
        <w:pStyle w:val="Prrafodelista"/>
        <w:numPr>
          <w:ilvl w:val="0"/>
          <w:numId w:val="8"/>
        </w:numPr>
        <w:tabs>
          <w:tab w:val="left" w:pos="1828"/>
        </w:tabs>
        <w:spacing w:line="360" w:lineRule="auto"/>
        <w:jc w:val="both"/>
        <w:rPr>
          <w:rFonts w:ascii="Palatino Linotype" w:hAnsi="Palatino Linotype" w:cs="Tahoma"/>
          <w:bCs/>
          <w:i/>
          <w:iCs/>
        </w:rPr>
      </w:pPr>
      <w:r w:rsidRPr="0037516D">
        <w:rPr>
          <w:rFonts w:ascii="Palatino Linotype" w:hAnsi="Palatino Linotype" w:cs="Tahoma"/>
          <w:bCs/>
          <w:i/>
          <w:iCs/>
          <w:lang w:val="es-MX"/>
        </w:rPr>
        <w:t xml:space="preserve">Nombre del área responsable </w:t>
      </w:r>
    </w:p>
    <w:p w14:paraId="6646C5AC" w14:textId="77777777" w:rsidR="0037516D" w:rsidRPr="0037516D" w:rsidRDefault="0037516D" w:rsidP="00983E6E">
      <w:pPr>
        <w:pStyle w:val="Prrafodelista"/>
        <w:numPr>
          <w:ilvl w:val="0"/>
          <w:numId w:val="8"/>
        </w:numPr>
        <w:tabs>
          <w:tab w:val="left" w:pos="1828"/>
        </w:tabs>
        <w:spacing w:line="360" w:lineRule="auto"/>
        <w:jc w:val="both"/>
        <w:rPr>
          <w:rFonts w:ascii="Palatino Linotype" w:hAnsi="Palatino Linotype" w:cs="Tahoma"/>
          <w:bCs/>
          <w:i/>
          <w:iCs/>
        </w:rPr>
      </w:pPr>
      <w:r w:rsidRPr="0037516D">
        <w:rPr>
          <w:rFonts w:ascii="Palatino Linotype" w:hAnsi="Palatino Linotype" w:cs="Tahoma"/>
          <w:bCs/>
          <w:i/>
          <w:iCs/>
          <w:lang w:val="es-MX"/>
        </w:rPr>
        <w:lastRenderedPageBreak/>
        <w:t xml:space="preserve">Nombre de la persona servidora pública titular del área responsable </w:t>
      </w:r>
    </w:p>
    <w:p w14:paraId="441A3D3D" w14:textId="77777777" w:rsidR="0037516D" w:rsidRPr="0037516D" w:rsidRDefault="0037516D" w:rsidP="00983E6E">
      <w:pPr>
        <w:pStyle w:val="Prrafodelista"/>
        <w:numPr>
          <w:ilvl w:val="0"/>
          <w:numId w:val="8"/>
        </w:numPr>
        <w:tabs>
          <w:tab w:val="left" w:pos="1828"/>
        </w:tabs>
        <w:spacing w:line="360" w:lineRule="auto"/>
        <w:jc w:val="both"/>
        <w:rPr>
          <w:rFonts w:ascii="Palatino Linotype" w:hAnsi="Palatino Linotype" w:cs="Tahoma"/>
          <w:bCs/>
          <w:i/>
          <w:iCs/>
        </w:rPr>
      </w:pPr>
      <w:r w:rsidRPr="0037516D">
        <w:rPr>
          <w:rFonts w:ascii="Palatino Linotype" w:hAnsi="Palatino Linotype" w:cs="Tahoma"/>
          <w:bCs/>
          <w:i/>
          <w:iCs/>
          <w:lang w:val="es-MX"/>
        </w:rPr>
        <w:t>Datos de contacto (teléfono, correo electrónico, dirección de oficina) de la persona servidora pública titular del área responsable</w:t>
      </w:r>
    </w:p>
    <w:p w14:paraId="6CA78530" w14:textId="77777777" w:rsidR="0037516D" w:rsidRPr="0037516D" w:rsidRDefault="0037516D" w:rsidP="00203D96">
      <w:pPr>
        <w:spacing w:line="360" w:lineRule="auto"/>
        <w:jc w:val="both"/>
        <w:rPr>
          <w:rFonts w:ascii="Palatino Linotype" w:hAnsi="Palatino Linotype" w:cs="Tahoma"/>
          <w:lang w:val="es-ES"/>
        </w:rPr>
      </w:pPr>
    </w:p>
    <w:p w14:paraId="15F98D2C" w14:textId="77777777" w:rsidR="00203D96" w:rsidRDefault="00203D96" w:rsidP="00203D96">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21A99AF1" w14:textId="77777777" w:rsidR="00203D96" w:rsidRDefault="00203D96" w:rsidP="00203D96">
      <w:pPr>
        <w:pStyle w:val="INFOEM"/>
        <w:spacing w:before="0" w:after="0"/>
        <w:ind w:left="720" w:right="567"/>
        <w:rPr>
          <w:sz w:val="24"/>
          <w:szCs w:val="24"/>
        </w:rPr>
      </w:pPr>
    </w:p>
    <w:p w14:paraId="02A9E4C0" w14:textId="4CCCA5DC" w:rsidR="00203D96" w:rsidRPr="004A7293" w:rsidRDefault="007B2B9A" w:rsidP="004A7293">
      <w:pPr>
        <w:spacing w:line="360" w:lineRule="auto"/>
        <w:ind w:left="708" w:right="567"/>
        <w:jc w:val="both"/>
        <w:rPr>
          <w:rFonts w:ascii="Palatino Linotype" w:hAnsi="Palatino Linotype"/>
          <w:i/>
          <w:sz w:val="24"/>
          <w:szCs w:val="24"/>
        </w:rPr>
      </w:pPr>
      <w:r w:rsidRPr="004A7293">
        <w:rPr>
          <w:rFonts w:ascii="Palatino Linotype" w:hAnsi="Palatino Linotype"/>
          <w:i/>
          <w:sz w:val="24"/>
          <w:szCs w:val="24"/>
        </w:rPr>
        <w:t>En alusión a los puntos 2 al 5, p</w:t>
      </w:r>
      <w:r w:rsidR="00203D96" w:rsidRPr="004A7293">
        <w:rPr>
          <w:rFonts w:ascii="Palatino Linotype" w:hAnsi="Palatino Linotype"/>
          <w:i/>
          <w:sz w:val="24"/>
          <w:szCs w:val="24"/>
        </w:rPr>
        <w:t xml:space="preserve">ara el supuesto de que el Sujeto Obligado no cuente con la información por no haberla generado, poseído o administrado bastara que el área competente lo manifieste de manera precisa y clara. </w:t>
      </w:r>
    </w:p>
    <w:p w14:paraId="4AB93B05" w14:textId="77777777" w:rsidR="00203D96" w:rsidRPr="00DC5E29" w:rsidRDefault="00203D96" w:rsidP="00203D96">
      <w:pPr>
        <w:spacing w:line="360" w:lineRule="auto"/>
        <w:jc w:val="both"/>
        <w:rPr>
          <w:rFonts w:ascii="Palatino Linotype" w:hAnsi="Palatino Linotype" w:cs="Arial"/>
        </w:rPr>
      </w:pPr>
    </w:p>
    <w:p w14:paraId="3F19FB2C" w14:textId="77777777" w:rsidR="00203D96" w:rsidRPr="00DC5E29" w:rsidRDefault="00203D96" w:rsidP="00203D96">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4A7293">
        <w:rPr>
          <w:rFonts w:ascii="Palatino Linotype" w:eastAsia="Palatino Linotype" w:hAnsi="Palatino Linotype" w:cs="Palatino Linotype"/>
          <w:bCs/>
          <w:color w:val="000000"/>
          <w:lang w:val="es-ES_tradnl" w:eastAsia="es-MX"/>
        </w:rPr>
        <w:t xml:space="preserve">se le apercibe que en caso de negarse a cumplir la presente resolución o hacerlo de manera parcial, se le impondrá una medida de apremio de conformidad con lo previsto en los artículos 198, </w:t>
      </w:r>
      <w:r w:rsidRPr="004A7293">
        <w:rPr>
          <w:rFonts w:ascii="Palatino Linotype" w:eastAsia="Palatino Linotype" w:hAnsi="Palatino Linotype" w:cs="Palatino Linotype"/>
          <w:bCs/>
          <w:color w:val="000000"/>
          <w:lang w:val="es-ES_tradnl" w:eastAsia="es-MX"/>
        </w:rPr>
        <w:lastRenderedPageBreak/>
        <w:t>200, fracción III; 214, 215 y 216 de la Ley  de Transparencia y Acceso a la Información Pública del Estado de México y Municipios.</w:t>
      </w:r>
    </w:p>
    <w:p w14:paraId="62C594FC" w14:textId="77777777" w:rsidR="00203D96" w:rsidRPr="00DC5E29" w:rsidRDefault="00203D96" w:rsidP="00203D96">
      <w:pPr>
        <w:spacing w:line="360" w:lineRule="auto"/>
        <w:ind w:right="-595"/>
        <w:jc w:val="both"/>
        <w:rPr>
          <w:rFonts w:ascii="Palatino Linotype" w:hAnsi="Palatino Linotype" w:cs="Tahoma"/>
          <w:bCs/>
        </w:rPr>
      </w:pPr>
    </w:p>
    <w:p w14:paraId="50F164C2" w14:textId="77777777" w:rsidR="00203D96" w:rsidRDefault="00203D96" w:rsidP="00203D96">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15A0D921" w14:textId="77777777" w:rsidR="004A7293" w:rsidRDefault="004A7293" w:rsidP="00203D96">
      <w:pPr>
        <w:autoSpaceDE w:val="0"/>
        <w:autoSpaceDN w:val="0"/>
        <w:adjustRightInd w:val="0"/>
        <w:spacing w:line="360" w:lineRule="auto"/>
        <w:jc w:val="both"/>
        <w:rPr>
          <w:rFonts w:ascii="Palatino Linotype" w:hAnsi="Palatino Linotype" w:cs="Arial"/>
        </w:rPr>
      </w:pPr>
    </w:p>
    <w:p w14:paraId="127DB7B0" w14:textId="6DDFD605" w:rsidR="00203D96" w:rsidRDefault="00203D96" w:rsidP="00203D96">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00570FBC"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BFC93A8" w14:textId="77777777" w:rsidR="00203D96" w:rsidRPr="007C3942" w:rsidRDefault="00203D96" w:rsidP="00203D96">
      <w:pPr>
        <w:spacing w:line="360" w:lineRule="auto"/>
        <w:jc w:val="both"/>
        <w:rPr>
          <w:rFonts w:ascii="Palatino Linotype" w:hAnsi="Palatino Linotype"/>
          <w:lang w:eastAsia="es-ES_tradnl"/>
        </w:rPr>
      </w:pPr>
    </w:p>
    <w:p w14:paraId="23B98121" w14:textId="5610FB36" w:rsidR="00203D96" w:rsidRDefault="00203D96" w:rsidP="00203D96">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VIGÉSIMA </w:t>
      </w:r>
      <w:r w:rsidR="007B2B9A">
        <w:rPr>
          <w:rFonts w:ascii="Palatino Linotype" w:hAnsi="Palatino Linotype" w:cs="Arial"/>
        </w:rPr>
        <w:t>NOVENA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7B2B9A">
        <w:rPr>
          <w:rFonts w:ascii="Palatino Linotype" w:hAnsi="Palatino Linotype" w:cs="Arial"/>
        </w:rPr>
        <w:t xml:space="preserve">VEINTIUNO </w:t>
      </w:r>
      <w:r>
        <w:rPr>
          <w:rFonts w:ascii="Palatino Linotype" w:hAnsi="Palatino Linotype" w:cs="Arial"/>
        </w:rPr>
        <w:t>DE AGOSTO DE DOS MIL VEINTICUATRO</w:t>
      </w:r>
      <w:r w:rsidRPr="007C3942">
        <w:rPr>
          <w:rFonts w:ascii="Palatino Linotype" w:hAnsi="Palatino Linotype" w:cs="Arial"/>
        </w:rPr>
        <w:t xml:space="preserve">, ANTE EL SECRETARIO TÉCNICO DEL PLENO, ALEXIS TAPIA RAMÍREZ. </w:t>
      </w:r>
    </w:p>
    <w:p w14:paraId="7A69655F" w14:textId="55305664" w:rsidR="004A7293" w:rsidRPr="004A7293" w:rsidRDefault="004A7293" w:rsidP="00203D96">
      <w:pPr>
        <w:spacing w:line="360" w:lineRule="auto"/>
        <w:jc w:val="both"/>
        <w:rPr>
          <w:rFonts w:ascii="Palatino Linotype" w:hAnsi="Palatino Linotype" w:cs="Arial"/>
          <w:sz w:val="20"/>
          <w:szCs w:val="20"/>
        </w:rPr>
      </w:pPr>
      <w:r w:rsidRPr="004A7293">
        <w:rPr>
          <w:rFonts w:ascii="Palatino Linotype" w:hAnsi="Palatino Linotype" w:cs="Arial"/>
          <w:sz w:val="20"/>
          <w:szCs w:val="20"/>
        </w:rPr>
        <w:t>CCR/JCMA</w:t>
      </w:r>
    </w:p>
    <w:p w14:paraId="78ED383B" w14:textId="56B686C0" w:rsidR="00203D96" w:rsidRDefault="00203D96" w:rsidP="000C7274">
      <w:pPr>
        <w:tabs>
          <w:tab w:val="left" w:pos="709"/>
        </w:tabs>
        <w:spacing w:before="240" w:line="360" w:lineRule="auto"/>
        <w:ind w:right="51"/>
        <w:jc w:val="both"/>
        <w:rPr>
          <w:rFonts w:ascii="Palatino Linotype" w:hAnsi="Palatino Linotype"/>
          <w:b/>
          <w:sz w:val="28"/>
          <w:szCs w:val="28"/>
        </w:rPr>
      </w:pPr>
    </w:p>
    <w:p w14:paraId="0610C326"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4BA52AAC"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0EE7CCA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4F63123"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81138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520E73C"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E83692A"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37FB9B"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9074A61"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6096C48B"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5AFDE3B8"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386D7B01" w14:textId="77777777" w:rsidR="0037516D" w:rsidRPr="009A0D0A" w:rsidRDefault="0037516D" w:rsidP="000C7274">
      <w:pPr>
        <w:tabs>
          <w:tab w:val="left" w:pos="709"/>
        </w:tabs>
        <w:spacing w:before="240" w:line="360" w:lineRule="auto"/>
        <w:ind w:right="51"/>
        <w:jc w:val="both"/>
        <w:rPr>
          <w:rFonts w:ascii="Palatino Linotype" w:hAnsi="Palatino Linotype"/>
          <w:b/>
          <w:sz w:val="28"/>
          <w:szCs w:val="28"/>
        </w:rPr>
      </w:pPr>
    </w:p>
    <w:sectPr w:rsidR="0037516D" w:rsidRPr="009A0D0A" w:rsidSect="00FB4AA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4DB9B" w14:textId="77777777" w:rsidR="009A14B6" w:rsidRDefault="009A14B6" w:rsidP="006168E4">
      <w:pPr>
        <w:spacing w:after="0" w:line="240" w:lineRule="auto"/>
      </w:pPr>
      <w:r>
        <w:separator/>
      </w:r>
    </w:p>
  </w:endnote>
  <w:endnote w:type="continuationSeparator" w:id="0">
    <w:p w14:paraId="6B79E2E1" w14:textId="77777777" w:rsidR="009A14B6" w:rsidRDefault="009A14B6"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0297D">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0297D">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0297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0297D">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8E5AA" w14:textId="77777777" w:rsidR="009A14B6" w:rsidRDefault="009A14B6" w:rsidP="006168E4">
      <w:pPr>
        <w:spacing w:after="0" w:line="240" w:lineRule="auto"/>
      </w:pPr>
      <w:r>
        <w:separator/>
      </w:r>
    </w:p>
  </w:footnote>
  <w:footnote w:type="continuationSeparator" w:id="0">
    <w:p w14:paraId="78A37415" w14:textId="77777777" w:rsidR="009A14B6" w:rsidRDefault="009A14B6" w:rsidP="006168E4">
      <w:pPr>
        <w:spacing w:after="0" w:line="240" w:lineRule="auto"/>
      </w:pPr>
      <w:r>
        <w:continuationSeparator/>
      </w:r>
    </w:p>
  </w:footnote>
  <w:footnote w:id="1">
    <w:p w14:paraId="15920FFA" w14:textId="77777777" w:rsidR="00C06FA6" w:rsidRPr="00705FE6" w:rsidRDefault="00C06FA6" w:rsidP="00C06FA6">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F7B9608" w14:textId="77777777" w:rsidR="00C06FA6" w:rsidRPr="00705FE6" w:rsidRDefault="00C06FA6" w:rsidP="00C06FA6">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30915C36"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F1FF6">
            <w:rPr>
              <w:rFonts w:ascii="Palatino Linotype" w:hAnsi="Palatino Linotype" w:cs="Arial"/>
              <w:bCs/>
              <w:sz w:val="24"/>
              <w:lang w:eastAsia="es-MX"/>
            </w:rPr>
            <w:t>4045</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5170049" w:rsidR="00C70B4A" w:rsidRPr="00F06FED" w:rsidRDefault="00190F9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65727517"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F1FF6">
            <w:rPr>
              <w:rFonts w:ascii="Palatino Linotype" w:hAnsi="Palatino Linotype" w:cs="Arial"/>
              <w:bCs/>
              <w:sz w:val="24"/>
              <w:lang w:eastAsia="es-MX"/>
            </w:rPr>
            <w:t>4045</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178D9F63" w:rsidR="00C70B4A" w:rsidRPr="00F06FED" w:rsidRDefault="0070297D"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8BCA044" w:rsidR="00C70B4A" w:rsidRDefault="00D31EFF"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188"/>
    <w:multiLevelType w:val="hybridMultilevel"/>
    <w:tmpl w:val="6B5C3A44"/>
    <w:lvl w:ilvl="0" w:tplc="79EA8C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520981"/>
    <w:multiLevelType w:val="hybridMultilevel"/>
    <w:tmpl w:val="025269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EA6F31"/>
    <w:multiLevelType w:val="hybridMultilevel"/>
    <w:tmpl w:val="40D6AF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89A50B1"/>
    <w:multiLevelType w:val="hybridMultilevel"/>
    <w:tmpl w:val="8AE0526A"/>
    <w:lvl w:ilvl="0" w:tplc="0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EC324CC"/>
    <w:multiLevelType w:val="hybridMultilevel"/>
    <w:tmpl w:val="E07C7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D97088"/>
    <w:multiLevelType w:val="hybridMultilevel"/>
    <w:tmpl w:val="40D6AF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75DA"/>
    <w:rsid w:val="0004199A"/>
    <w:rsid w:val="00045379"/>
    <w:rsid w:val="0004584B"/>
    <w:rsid w:val="0004591D"/>
    <w:rsid w:val="000461DF"/>
    <w:rsid w:val="00046AD8"/>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81988"/>
    <w:rsid w:val="000848D6"/>
    <w:rsid w:val="0008582E"/>
    <w:rsid w:val="00090AFC"/>
    <w:rsid w:val="00091552"/>
    <w:rsid w:val="00091C3A"/>
    <w:rsid w:val="00093E92"/>
    <w:rsid w:val="000A157B"/>
    <w:rsid w:val="000A2D37"/>
    <w:rsid w:val="000A3486"/>
    <w:rsid w:val="000A44C7"/>
    <w:rsid w:val="000A4DD1"/>
    <w:rsid w:val="000A6313"/>
    <w:rsid w:val="000A686C"/>
    <w:rsid w:val="000A70F8"/>
    <w:rsid w:val="000A71F4"/>
    <w:rsid w:val="000A733E"/>
    <w:rsid w:val="000A79DA"/>
    <w:rsid w:val="000B0B8F"/>
    <w:rsid w:val="000B1702"/>
    <w:rsid w:val="000B4B51"/>
    <w:rsid w:val="000B7158"/>
    <w:rsid w:val="000B7E6D"/>
    <w:rsid w:val="000C0081"/>
    <w:rsid w:val="000C0F96"/>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3D8C"/>
    <w:rsid w:val="000E686B"/>
    <w:rsid w:val="000F110B"/>
    <w:rsid w:val="000F3EDB"/>
    <w:rsid w:val="000F3EE7"/>
    <w:rsid w:val="000F68B1"/>
    <w:rsid w:val="000F6F19"/>
    <w:rsid w:val="000F7AC2"/>
    <w:rsid w:val="00100E19"/>
    <w:rsid w:val="00102B4F"/>
    <w:rsid w:val="00102D69"/>
    <w:rsid w:val="00103A92"/>
    <w:rsid w:val="00110EDB"/>
    <w:rsid w:val="00111DCD"/>
    <w:rsid w:val="00114CF9"/>
    <w:rsid w:val="0011564C"/>
    <w:rsid w:val="001167AA"/>
    <w:rsid w:val="00117157"/>
    <w:rsid w:val="00123898"/>
    <w:rsid w:val="00124855"/>
    <w:rsid w:val="00124EC6"/>
    <w:rsid w:val="001254F5"/>
    <w:rsid w:val="001336D3"/>
    <w:rsid w:val="001364AA"/>
    <w:rsid w:val="00136FAD"/>
    <w:rsid w:val="00140579"/>
    <w:rsid w:val="00143D5F"/>
    <w:rsid w:val="00144B4A"/>
    <w:rsid w:val="00146D0B"/>
    <w:rsid w:val="00146F0A"/>
    <w:rsid w:val="00146FFD"/>
    <w:rsid w:val="00147B36"/>
    <w:rsid w:val="00150196"/>
    <w:rsid w:val="00150A4C"/>
    <w:rsid w:val="00150D1D"/>
    <w:rsid w:val="00152124"/>
    <w:rsid w:val="00152C2B"/>
    <w:rsid w:val="001542FC"/>
    <w:rsid w:val="00154C5F"/>
    <w:rsid w:val="001646D0"/>
    <w:rsid w:val="00165037"/>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0A17"/>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D18"/>
    <w:rsid w:val="001E2120"/>
    <w:rsid w:val="001E25E8"/>
    <w:rsid w:val="001E2C0F"/>
    <w:rsid w:val="001E668A"/>
    <w:rsid w:val="001E6A63"/>
    <w:rsid w:val="001E7204"/>
    <w:rsid w:val="001F0A4F"/>
    <w:rsid w:val="001F2A14"/>
    <w:rsid w:val="001F3F0E"/>
    <w:rsid w:val="001F4ADC"/>
    <w:rsid w:val="001F5597"/>
    <w:rsid w:val="001F71ED"/>
    <w:rsid w:val="0020194E"/>
    <w:rsid w:val="00203D3A"/>
    <w:rsid w:val="00203D96"/>
    <w:rsid w:val="00203FF3"/>
    <w:rsid w:val="002044B4"/>
    <w:rsid w:val="00207086"/>
    <w:rsid w:val="00210B06"/>
    <w:rsid w:val="00211D60"/>
    <w:rsid w:val="00214375"/>
    <w:rsid w:val="0021501E"/>
    <w:rsid w:val="0021546A"/>
    <w:rsid w:val="0021572A"/>
    <w:rsid w:val="002203CC"/>
    <w:rsid w:val="002205C0"/>
    <w:rsid w:val="0022494A"/>
    <w:rsid w:val="00225507"/>
    <w:rsid w:val="00232223"/>
    <w:rsid w:val="0023373D"/>
    <w:rsid w:val="00233D7E"/>
    <w:rsid w:val="00233EF7"/>
    <w:rsid w:val="0023423C"/>
    <w:rsid w:val="00237F4F"/>
    <w:rsid w:val="0024112D"/>
    <w:rsid w:val="002428BA"/>
    <w:rsid w:val="00244177"/>
    <w:rsid w:val="00245953"/>
    <w:rsid w:val="002537F1"/>
    <w:rsid w:val="00254477"/>
    <w:rsid w:val="00257337"/>
    <w:rsid w:val="002577FE"/>
    <w:rsid w:val="0025780C"/>
    <w:rsid w:val="002609D8"/>
    <w:rsid w:val="00262BB2"/>
    <w:rsid w:val="00262CBE"/>
    <w:rsid w:val="002642D3"/>
    <w:rsid w:val="002646EF"/>
    <w:rsid w:val="00265435"/>
    <w:rsid w:val="00266AE6"/>
    <w:rsid w:val="00267C18"/>
    <w:rsid w:val="0027225D"/>
    <w:rsid w:val="00273D0E"/>
    <w:rsid w:val="002764D6"/>
    <w:rsid w:val="00280B8B"/>
    <w:rsid w:val="00282235"/>
    <w:rsid w:val="0029026C"/>
    <w:rsid w:val="0029103C"/>
    <w:rsid w:val="00292350"/>
    <w:rsid w:val="00292DC0"/>
    <w:rsid w:val="00293C29"/>
    <w:rsid w:val="00294345"/>
    <w:rsid w:val="00297EF9"/>
    <w:rsid w:val="002A0E16"/>
    <w:rsid w:val="002A2034"/>
    <w:rsid w:val="002A24F4"/>
    <w:rsid w:val="002A38BF"/>
    <w:rsid w:val="002A429A"/>
    <w:rsid w:val="002A597E"/>
    <w:rsid w:val="002A79A4"/>
    <w:rsid w:val="002B0FB9"/>
    <w:rsid w:val="002B4382"/>
    <w:rsid w:val="002B5DBD"/>
    <w:rsid w:val="002B72F9"/>
    <w:rsid w:val="002B7D92"/>
    <w:rsid w:val="002C498D"/>
    <w:rsid w:val="002C4FE1"/>
    <w:rsid w:val="002C72D2"/>
    <w:rsid w:val="002D1B28"/>
    <w:rsid w:val="002D2F00"/>
    <w:rsid w:val="002D79E2"/>
    <w:rsid w:val="002D7A5D"/>
    <w:rsid w:val="002E0A4A"/>
    <w:rsid w:val="002E0BC4"/>
    <w:rsid w:val="002E21B4"/>
    <w:rsid w:val="002E2D7B"/>
    <w:rsid w:val="002E5E6A"/>
    <w:rsid w:val="002E6FBB"/>
    <w:rsid w:val="002F22FA"/>
    <w:rsid w:val="002F37BE"/>
    <w:rsid w:val="002F41CA"/>
    <w:rsid w:val="002F4C6A"/>
    <w:rsid w:val="002F527C"/>
    <w:rsid w:val="002F70F6"/>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580E"/>
    <w:rsid w:val="00337F09"/>
    <w:rsid w:val="00343D1E"/>
    <w:rsid w:val="00347862"/>
    <w:rsid w:val="0035054D"/>
    <w:rsid w:val="00354258"/>
    <w:rsid w:val="00355593"/>
    <w:rsid w:val="00357548"/>
    <w:rsid w:val="00357E0E"/>
    <w:rsid w:val="00361B9C"/>
    <w:rsid w:val="00361D89"/>
    <w:rsid w:val="0036666F"/>
    <w:rsid w:val="00367265"/>
    <w:rsid w:val="003672FB"/>
    <w:rsid w:val="00370588"/>
    <w:rsid w:val="00370797"/>
    <w:rsid w:val="003707FE"/>
    <w:rsid w:val="00370C79"/>
    <w:rsid w:val="003712F3"/>
    <w:rsid w:val="00372A32"/>
    <w:rsid w:val="00372D3E"/>
    <w:rsid w:val="00374549"/>
    <w:rsid w:val="003746C6"/>
    <w:rsid w:val="0037516D"/>
    <w:rsid w:val="00375763"/>
    <w:rsid w:val="00375BEA"/>
    <w:rsid w:val="003768BF"/>
    <w:rsid w:val="00376CEC"/>
    <w:rsid w:val="00380758"/>
    <w:rsid w:val="003810B1"/>
    <w:rsid w:val="003815E5"/>
    <w:rsid w:val="00381E2B"/>
    <w:rsid w:val="003821A1"/>
    <w:rsid w:val="003838B4"/>
    <w:rsid w:val="00384029"/>
    <w:rsid w:val="00384AC5"/>
    <w:rsid w:val="00385BBD"/>
    <w:rsid w:val="00387929"/>
    <w:rsid w:val="0039027A"/>
    <w:rsid w:val="00390988"/>
    <w:rsid w:val="0039347E"/>
    <w:rsid w:val="00393D5B"/>
    <w:rsid w:val="0039460D"/>
    <w:rsid w:val="00394873"/>
    <w:rsid w:val="00394A1E"/>
    <w:rsid w:val="003968C7"/>
    <w:rsid w:val="003A04B6"/>
    <w:rsid w:val="003A2246"/>
    <w:rsid w:val="003A2658"/>
    <w:rsid w:val="003A3A3B"/>
    <w:rsid w:val="003A4CF6"/>
    <w:rsid w:val="003A61F9"/>
    <w:rsid w:val="003A6975"/>
    <w:rsid w:val="003B0793"/>
    <w:rsid w:val="003B0D66"/>
    <w:rsid w:val="003B11BA"/>
    <w:rsid w:val="003B1208"/>
    <w:rsid w:val="003B1E88"/>
    <w:rsid w:val="003B30DA"/>
    <w:rsid w:val="003B5E96"/>
    <w:rsid w:val="003B6792"/>
    <w:rsid w:val="003C0DF8"/>
    <w:rsid w:val="003C22B2"/>
    <w:rsid w:val="003C2376"/>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673A"/>
    <w:rsid w:val="004069EB"/>
    <w:rsid w:val="00410ACB"/>
    <w:rsid w:val="00411E6F"/>
    <w:rsid w:val="00412600"/>
    <w:rsid w:val="004150FE"/>
    <w:rsid w:val="00415FC1"/>
    <w:rsid w:val="00421D09"/>
    <w:rsid w:val="00422ED2"/>
    <w:rsid w:val="00423213"/>
    <w:rsid w:val="0042416D"/>
    <w:rsid w:val="00424487"/>
    <w:rsid w:val="00424EA1"/>
    <w:rsid w:val="0043000C"/>
    <w:rsid w:val="00435290"/>
    <w:rsid w:val="00436802"/>
    <w:rsid w:val="00437E68"/>
    <w:rsid w:val="00442E45"/>
    <w:rsid w:val="00443AD4"/>
    <w:rsid w:val="0044438E"/>
    <w:rsid w:val="00445C0F"/>
    <w:rsid w:val="00446A26"/>
    <w:rsid w:val="00451448"/>
    <w:rsid w:val="004516EB"/>
    <w:rsid w:val="004529B6"/>
    <w:rsid w:val="00453DBD"/>
    <w:rsid w:val="00454CE6"/>
    <w:rsid w:val="00455463"/>
    <w:rsid w:val="00456076"/>
    <w:rsid w:val="00457305"/>
    <w:rsid w:val="00457850"/>
    <w:rsid w:val="00457955"/>
    <w:rsid w:val="0046179C"/>
    <w:rsid w:val="00462570"/>
    <w:rsid w:val="00462881"/>
    <w:rsid w:val="00462BEC"/>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55D8"/>
    <w:rsid w:val="004A5FFD"/>
    <w:rsid w:val="004A6A62"/>
    <w:rsid w:val="004A7293"/>
    <w:rsid w:val="004A7CE2"/>
    <w:rsid w:val="004B031A"/>
    <w:rsid w:val="004B1236"/>
    <w:rsid w:val="004B1ACE"/>
    <w:rsid w:val="004B234F"/>
    <w:rsid w:val="004B353F"/>
    <w:rsid w:val="004B59BB"/>
    <w:rsid w:val="004B5CCC"/>
    <w:rsid w:val="004B71ED"/>
    <w:rsid w:val="004C117E"/>
    <w:rsid w:val="004C2845"/>
    <w:rsid w:val="004C3081"/>
    <w:rsid w:val="004C5149"/>
    <w:rsid w:val="004C7961"/>
    <w:rsid w:val="004C7B52"/>
    <w:rsid w:val="004D0658"/>
    <w:rsid w:val="004D08EB"/>
    <w:rsid w:val="004D0D2B"/>
    <w:rsid w:val="004D16C3"/>
    <w:rsid w:val="004D3B15"/>
    <w:rsid w:val="004D54E3"/>
    <w:rsid w:val="004D6459"/>
    <w:rsid w:val="004D761E"/>
    <w:rsid w:val="004E1A3D"/>
    <w:rsid w:val="004E1A71"/>
    <w:rsid w:val="004E2371"/>
    <w:rsid w:val="004E3C3B"/>
    <w:rsid w:val="004E6BE9"/>
    <w:rsid w:val="004E754F"/>
    <w:rsid w:val="004E7A84"/>
    <w:rsid w:val="004F0538"/>
    <w:rsid w:val="004F0A50"/>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364A"/>
    <w:rsid w:val="00525093"/>
    <w:rsid w:val="00525A42"/>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5FC0"/>
    <w:rsid w:val="00556513"/>
    <w:rsid w:val="00557F13"/>
    <w:rsid w:val="00561ABC"/>
    <w:rsid w:val="00562653"/>
    <w:rsid w:val="00563725"/>
    <w:rsid w:val="00563CE8"/>
    <w:rsid w:val="00564AD9"/>
    <w:rsid w:val="005662E2"/>
    <w:rsid w:val="00570FBC"/>
    <w:rsid w:val="00571389"/>
    <w:rsid w:val="005717C6"/>
    <w:rsid w:val="00572CDB"/>
    <w:rsid w:val="005733EB"/>
    <w:rsid w:val="005734C5"/>
    <w:rsid w:val="00573F5C"/>
    <w:rsid w:val="0057453A"/>
    <w:rsid w:val="00575268"/>
    <w:rsid w:val="00576D51"/>
    <w:rsid w:val="005778A0"/>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3"/>
    <w:rsid w:val="005A1108"/>
    <w:rsid w:val="005A1286"/>
    <w:rsid w:val="005A27AD"/>
    <w:rsid w:val="005A34EE"/>
    <w:rsid w:val="005A353A"/>
    <w:rsid w:val="005A4EBE"/>
    <w:rsid w:val="005A5C79"/>
    <w:rsid w:val="005A6D57"/>
    <w:rsid w:val="005A71FD"/>
    <w:rsid w:val="005A7D4F"/>
    <w:rsid w:val="005B1F52"/>
    <w:rsid w:val="005B2A4C"/>
    <w:rsid w:val="005B5840"/>
    <w:rsid w:val="005B595E"/>
    <w:rsid w:val="005B5B70"/>
    <w:rsid w:val="005B5F05"/>
    <w:rsid w:val="005C06AA"/>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2C89"/>
    <w:rsid w:val="00603779"/>
    <w:rsid w:val="00603DC6"/>
    <w:rsid w:val="0060676C"/>
    <w:rsid w:val="00606B79"/>
    <w:rsid w:val="00606FC5"/>
    <w:rsid w:val="0060721D"/>
    <w:rsid w:val="0061042F"/>
    <w:rsid w:val="006168E4"/>
    <w:rsid w:val="00621F47"/>
    <w:rsid w:val="00622359"/>
    <w:rsid w:val="00622C34"/>
    <w:rsid w:val="0062497C"/>
    <w:rsid w:val="00625200"/>
    <w:rsid w:val="006255AA"/>
    <w:rsid w:val="00630846"/>
    <w:rsid w:val="00631806"/>
    <w:rsid w:val="00636FD7"/>
    <w:rsid w:val="00637512"/>
    <w:rsid w:val="00640EE4"/>
    <w:rsid w:val="006448CE"/>
    <w:rsid w:val="006456FA"/>
    <w:rsid w:val="006466F5"/>
    <w:rsid w:val="00646C24"/>
    <w:rsid w:val="00652BC5"/>
    <w:rsid w:val="00656060"/>
    <w:rsid w:val="00661753"/>
    <w:rsid w:val="0066216F"/>
    <w:rsid w:val="00663A16"/>
    <w:rsid w:val="00663C3F"/>
    <w:rsid w:val="00664B05"/>
    <w:rsid w:val="006654F6"/>
    <w:rsid w:val="00666CAF"/>
    <w:rsid w:val="00675390"/>
    <w:rsid w:val="00676CAA"/>
    <w:rsid w:val="00676E5C"/>
    <w:rsid w:val="006802CF"/>
    <w:rsid w:val="006827AB"/>
    <w:rsid w:val="006831E4"/>
    <w:rsid w:val="00683B62"/>
    <w:rsid w:val="006848B7"/>
    <w:rsid w:val="00685E5D"/>
    <w:rsid w:val="006868A7"/>
    <w:rsid w:val="00690791"/>
    <w:rsid w:val="006915EA"/>
    <w:rsid w:val="00694828"/>
    <w:rsid w:val="006A1B2A"/>
    <w:rsid w:val="006A31E8"/>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237"/>
    <w:rsid w:val="006C17FD"/>
    <w:rsid w:val="006C1884"/>
    <w:rsid w:val="006C28CA"/>
    <w:rsid w:val="006C350D"/>
    <w:rsid w:val="006C5E56"/>
    <w:rsid w:val="006C66E4"/>
    <w:rsid w:val="006D186F"/>
    <w:rsid w:val="006D23FC"/>
    <w:rsid w:val="006D643D"/>
    <w:rsid w:val="006D6732"/>
    <w:rsid w:val="006E063C"/>
    <w:rsid w:val="006E0EA3"/>
    <w:rsid w:val="006E3851"/>
    <w:rsid w:val="006E53FF"/>
    <w:rsid w:val="006E7EEE"/>
    <w:rsid w:val="006F1167"/>
    <w:rsid w:val="006F4044"/>
    <w:rsid w:val="006F46DC"/>
    <w:rsid w:val="006F4CC6"/>
    <w:rsid w:val="006F6BBD"/>
    <w:rsid w:val="00701033"/>
    <w:rsid w:val="00701A3F"/>
    <w:rsid w:val="00701E4C"/>
    <w:rsid w:val="007028EB"/>
    <w:rsid w:val="0070297D"/>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CAE"/>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B9A"/>
    <w:rsid w:val="007B2C77"/>
    <w:rsid w:val="007B2E78"/>
    <w:rsid w:val="007B5E84"/>
    <w:rsid w:val="007B6549"/>
    <w:rsid w:val="007C3F2F"/>
    <w:rsid w:val="007C7CDD"/>
    <w:rsid w:val="007D0704"/>
    <w:rsid w:val="007D10BD"/>
    <w:rsid w:val="007D1A27"/>
    <w:rsid w:val="007D1B24"/>
    <w:rsid w:val="007D1F15"/>
    <w:rsid w:val="007D25B1"/>
    <w:rsid w:val="007D2878"/>
    <w:rsid w:val="007D6FC3"/>
    <w:rsid w:val="007D703A"/>
    <w:rsid w:val="007D743F"/>
    <w:rsid w:val="007E0180"/>
    <w:rsid w:val="007E07B4"/>
    <w:rsid w:val="007E319E"/>
    <w:rsid w:val="007E3835"/>
    <w:rsid w:val="007E4FA1"/>
    <w:rsid w:val="007E7B07"/>
    <w:rsid w:val="007E7BAB"/>
    <w:rsid w:val="007E7DCE"/>
    <w:rsid w:val="007E7FA9"/>
    <w:rsid w:val="007F20AC"/>
    <w:rsid w:val="007F4BB2"/>
    <w:rsid w:val="007F6623"/>
    <w:rsid w:val="00802C56"/>
    <w:rsid w:val="00804FE2"/>
    <w:rsid w:val="008053CE"/>
    <w:rsid w:val="008056BC"/>
    <w:rsid w:val="00806EE9"/>
    <w:rsid w:val="00807750"/>
    <w:rsid w:val="00807E35"/>
    <w:rsid w:val="00811205"/>
    <w:rsid w:val="00812C48"/>
    <w:rsid w:val="00814097"/>
    <w:rsid w:val="008146F9"/>
    <w:rsid w:val="00814D7C"/>
    <w:rsid w:val="008155B0"/>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3F8B"/>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6509"/>
    <w:rsid w:val="008770FC"/>
    <w:rsid w:val="00877C8E"/>
    <w:rsid w:val="00884054"/>
    <w:rsid w:val="00890B7A"/>
    <w:rsid w:val="00890C62"/>
    <w:rsid w:val="0089173B"/>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E012F"/>
    <w:rsid w:val="008E6375"/>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D1"/>
    <w:rsid w:val="00911863"/>
    <w:rsid w:val="00913133"/>
    <w:rsid w:val="0091317A"/>
    <w:rsid w:val="009131C3"/>
    <w:rsid w:val="0091475B"/>
    <w:rsid w:val="00914DC8"/>
    <w:rsid w:val="00915DB9"/>
    <w:rsid w:val="0092120C"/>
    <w:rsid w:val="00921AC3"/>
    <w:rsid w:val="00921DB9"/>
    <w:rsid w:val="0092403D"/>
    <w:rsid w:val="00924E40"/>
    <w:rsid w:val="0092524A"/>
    <w:rsid w:val="00925E60"/>
    <w:rsid w:val="00926C36"/>
    <w:rsid w:val="009304CD"/>
    <w:rsid w:val="00933BEE"/>
    <w:rsid w:val="00934112"/>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75F2B"/>
    <w:rsid w:val="00981203"/>
    <w:rsid w:val="0098182D"/>
    <w:rsid w:val="00982A98"/>
    <w:rsid w:val="00983E6E"/>
    <w:rsid w:val="009855E2"/>
    <w:rsid w:val="00987C03"/>
    <w:rsid w:val="00990E3D"/>
    <w:rsid w:val="00992977"/>
    <w:rsid w:val="00992B07"/>
    <w:rsid w:val="0099557F"/>
    <w:rsid w:val="009A148F"/>
    <w:rsid w:val="009A14B6"/>
    <w:rsid w:val="009A3511"/>
    <w:rsid w:val="009A686F"/>
    <w:rsid w:val="009A7912"/>
    <w:rsid w:val="009B0094"/>
    <w:rsid w:val="009B2777"/>
    <w:rsid w:val="009B28E9"/>
    <w:rsid w:val="009B33A8"/>
    <w:rsid w:val="009B3487"/>
    <w:rsid w:val="009B390A"/>
    <w:rsid w:val="009B6DBD"/>
    <w:rsid w:val="009B7C61"/>
    <w:rsid w:val="009C22B1"/>
    <w:rsid w:val="009C3793"/>
    <w:rsid w:val="009C552E"/>
    <w:rsid w:val="009C62BD"/>
    <w:rsid w:val="009C68AC"/>
    <w:rsid w:val="009C7536"/>
    <w:rsid w:val="009D26AD"/>
    <w:rsid w:val="009D341C"/>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1455"/>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2AD"/>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44DC"/>
    <w:rsid w:val="00A54E6E"/>
    <w:rsid w:val="00A55818"/>
    <w:rsid w:val="00A56153"/>
    <w:rsid w:val="00A56556"/>
    <w:rsid w:val="00A57056"/>
    <w:rsid w:val="00A5790A"/>
    <w:rsid w:val="00A62473"/>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226E"/>
    <w:rsid w:val="00AC6EB2"/>
    <w:rsid w:val="00AC722C"/>
    <w:rsid w:val="00AC75C1"/>
    <w:rsid w:val="00AC7906"/>
    <w:rsid w:val="00AD1291"/>
    <w:rsid w:val="00AD134F"/>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749B"/>
    <w:rsid w:val="00B10050"/>
    <w:rsid w:val="00B10A1E"/>
    <w:rsid w:val="00B10B9F"/>
    <w:rsid w:val="00B10C30"/>
    <w:rsid w:val="00B11866"/>
    <w:rsid w:val="00B11E08"/>
    <w:rsid w:val="00B12FF9"/>
    <w:rsid w:val="00B14039"/>
    <w:rsid w:val="00B149FA"/>
    <w:rsid w:val="00B177F4"/>
    <w:rsid w:val="00B20FA6"/>
    <w:rsid w:val="00B22242"/>
    <w:rsid w:val="00B2232C"/>
    <w:rsid w:val="00B2330D"/>
    <w:rsid w:val="00B23384"/>
    <w:rsid w:val="00B25008"/>
    <w:rsid w:val="00B27F33"/>
    <w:rsid w:val="00B32CD3"/>
    <w:rsid w:val="00B33E11"/>
    <w:rsid w:val="00B34CED"/>
    <w:rsid w:val="00B35A93"/>
    <w:rsid w:val="00B3672D"/>
    <w:rsid w:val="00B37E9B"/>
    <w:rsid w:val="00B433C9"/>
    <w:rsid w:val="00B436EA"/>
    <w:rsid w:val="00B437D8"/>
    <w:rsid w:val="00B44ADE"/>
    <w:rsid w:val="00B4631D"/>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5A3C"/>
    <w:rsid w:val="00B66E86"/>
    <w:rsid w:val="00B67A20"/>
    <w:rsid w:val="00B710FE"/>
    <w:rsid w:val="00B724E8"/>
    <w:rsid w:val="00B7280E"/>
    <w:rsid w:val="00B73FE9"/>
    <w:rsid w:val="00B76246"/>
    <w:rsid w:val="00B7701B"/>
    <w:rsid w:val="00B87D50"/>
    <w:rsid w:val="00B91BCB"/>
    <w:rsid w:val="00B9223B"/>
    <w:rsid w:val="00B94AAC"/>
    <w:rsid w:val="00B94AE7"/>
    <w:rsid w:val="00B953BD"/>
    <w:rsid w:val="00B95905"/>
    <w:rsid w:val="00B95E96"/>
    <w:rsid w:val="00B97421"/>
    <w:rsid w:val="00BA2A94"/>
    <w:rsid w:val="00BA4D1F"/>
    <w:rsid w:val="00BA5339"/>
    <w:rsid w:val="00BA6226"/>
    <w:rsid w:val="00BA71E7"/>
    <w:rsid w:val="00BA7AD1"/>
    <w:rsid w:val="00BB0F3F"/>
    <w:rsid w:val="00BB1091"/>
    <w:rsid w:val="00BB14FD"/>
    <w:rsid w:val="00BB2250"/>
    <w:rsid w:val="00BB3132"/>
    <w:rsid w:val="00BB5448"/>
    <w:rsid w:val="00BB68CA"/>
    <w:rsid w:val="00BB721B"/>
    <w:rsid w:val="00BC0FDD"/>
    <w:rsid w:val="00BC130D"/>
    <w:rsid w:val="00BC22E0"/>
    <w:rsid w:val="00BC286D"/>
    <w:rsid w:val="00BC2A46"/>
    <w:rsid w:val="00BC3FA4"/>
    <w:rsid w:val="00BD004A"/>
    <w:rsid w:val="00BD00C7"/>
    <w:rsid w:val="00BD352C"/>
    <w:rsid w:val="00BD5023"/>
    <w:rsid w:val="00BD5133"/>
    <w:rsid w:val="00BD58AB"/>
    <w:rsid w:val="00BD68A2"/>
    <w:rsid w:val="00BE28ED"/>
    <w:rsid w:val="00BE2E30"/>
    <w:rsid w:val="00BE3339"/>
    <w:rsid w:val="00BF1D3A"/>
    <w:rsid w:val="00BF1FF6"/>
    <w:rsid w:val="00C008B2"/>
    <w:rsid w:val="00C0130E"/>
    <w:rsid w:val="00C01ABC"/>
    <w:rsid w:val="00C01E1C"/>
    <w:rsid w:val="00C01F6B"/>
    <w:rsid w:val="00C02A84"/>
    <w:rsid w:val="00C06FA6"/>
    <w:rsid w:val="00C07B2D"/>
    <w:rsid w:val="00C12209"/>
    <w:rsid w:val="00C135B2"/>
    <w:rsid w:val="00C14CD6"/>
    <w:rsid w:val="00C15C47"/>
    <w:rsid w:val="00C16927"/>
    <w:rsid w:val="00C16B5D"/>
    <w:rsid w:val="00C2082E"/>
    <w:rsid w:val="00C20835"/>
    <w:rsid w:val="00C22628"/>
    <w:rsid w:val="00C22CC5"/>
    <w:rsid w:val="00C23BE8"/>
    <w:rsid w:val="00C24A09"/>
    <w:rsid w:val="00C25084"/>
    <w:rsid w:val="00C274BE"/>
    <w:rsid w:val="00C274C6"/>
    <w:rsid w:val="00C27A37"/>
    <w:rsid w:val="00C310B6"/>
    <w:rsid w:val="00C321D9"/>
    <w:rsid w:val="00C3330D"/>
    <w:rsid w:val="00C34654"/>
    <w:rsid w:val="00C347FE"/>
    <w:rsid w:val="00C357BE"/>
    <w:rsid w:val="00C4006D"/>
    <w:rsid w:val="00C419E1"/>
    <w:rsid w:val="00C4530E"/>
    <w:rsid w:val="00C45C21"/>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CD1"/>
    <w:rsid w:val="00C724B9"/>
    <w:rsid w:val="00C73143"/>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DCE"/>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62A"/>
    <w:rsid w:val="00CD365B"/>
    <w:rsid w:val="00CD4BFA"/>
    <w:rsid w:val="00CD4E49"/>
    <w:rsid w:val="00CE0E72"/>
    <w:rsid w:val="00CE2ADF"/>
    <w:rsid w:val="00CE367D"/>
    <w:rsid w:val="00CE3B78"/>
    <w:rsid w:val="00CE6D6A"/>
    <w:rsid w:val="00CF1C84"/>
    <w:rsid w:val="00CF1D7D"/>
    <w:rsid w:val="00CF45D3"/>
    <w:rsid w:val="00CF51F9"/>
    <w:rsid w:val="00CF6B6C"/>
    <w:rsid w:val="00CF7EA2"/>
    <w:rsid w:val="00D0159B"/>
    <w:rsid w:val="00D04204"/>
    <w:rsid w:val="00D042BB"/>
    <w:rsid w:val="00D05FAE"/>
    <w:rsid w:val="00D06CA0"/>
    <w:rsid w:val="00D0731B"/>
    <w:rsid w:val="00D115BB"/>
    <w:rsid w:val="00D11797"/>
    <w:rsid w:val="00D12C68"/>
    <w:rsid w:val="00D134FB"/>
    <w:rsid w:val="00D148BC"/>
    <w:rsid w:val="00D14FEC"/>
    <w:rsid w:val="00D15546"/>
    <w:rsid w:val="00D16C97"/>
    <w:rsid w:val="00D17789"/>
    <w:rsid w:val="00D21565"/>
    <w:rsid w:val="00D2277C"/>
    <w:rsid w:val="00D22F7D"/>
    <w:rsid w:val="00D257C6"/>
    <w:rsid w:val="00D25BEE"/>
    <w:rsid w:val="00D26924"/>
    <w:rsid w:val="00D27079"/>
    <w:rsid w:val="00D2737E"/>
    <w:rsid w:val="00D274A9"/>
    <w:rsid w:val="00D302CF"/>
    <w:rsid w:val="00D31397"/>
    <w:rsid w:val="00D31EFF"/>
    <w:rsid w:val="00D32644"/>
    <w:rsid w:val="00D33619"/>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DF2"/>
    <w:rsid w:val="00DA1152"/>
    <w:rsid w:val="00DA3D5F"/>
    <w:rsid w:val="00DA41D7"/>
    <w:rsid w:val="00DA494B"/>
    <w:rsid w:val="00DA5129"/>
    <w:rsid w:val="00DA58E1"/>
    <w:rsid w:val="00DA5B72"/>
    <w:rsid w:val="00DB0265"/>
    <w:rsid w:val="00DB0CE0"/>
    <w:rsid w:val="00DB4EE4"/>
    <w:rsid w:val="00DB5C0A"/>
    <w:rsid w:val="00DC0220"/>
    <w:rsid w:val="00DC0A85"/>
    <w:rsid w:val="00DC6B33"/>
    <w:rsid w:val="00DC6FF8"/>
    <w:rsid w:val="00DD01FC"/>
    <w:rsid w:val="00DD13E2"/>
    <w:rsid w:val="00DD435C"/>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722"/>
    <w:rsid w:val="00E15B7D"/>
    <w:rsid w:val="00E23477"/>
    <w:rsid w:val="00E2408E"/>
    <w:rsid w:val="00E25A1A"/>
    <w:rsid w:val="00E27CDB"/>
    <w:rsid w:val="00E353C6"/>
    <w:rsid w:val="00E371EC"/>
    <w:rsid w:val="00E37B66"/>
    <w:rsid w:val="00E43116"/>
    <w:rsid w:val="00E444DA"/>
    <w:rsid w:val="00E45623"/>
    <w:rsid w:val="00E50F38"/>
    <w:rsid w:val="00E51A48"/>
    <w:rsid w:val="00E51ACE"/>
    <w:rsid w:val="00E53D3D"/>
    <w:rsid w:val="00E550AA"/>
    <w:rsid w:val="00E571F8"/>
    <w:rsid w:val="00E57E5A"/>
    <w:rsid w:val="00E6173D"/>
    <w:rsid w:val="00E61954"/>
    <w:rsid w:val="00E6369C"/>
    <w:rsid w:val="00E63C1D"/>
    <w:rsid w:val="00E64F0A"/>
    <w:rsid w:val="00E67668"/>
    <w:rsid w:val="00E70A81"/>
    <w:rsid w:val="00E70AEE"/>
    <w:rsid w:val="00E7107E"/>
    <w:rsid w:val="00E71C93"/>
    <w:rsid w:val="00E725D5"/>
    <w:rsid w:val="00E72AE3"/>
    <w:rsid w:val="00E73937"/>
    <w:rsid w:val="00E73B51"/>
    <w:rsid w:val="00E76B98"/>
    <w:rsid w:val="00E76D0D"/>
    <w:rsid w:val="00E8151C"/>
    <w:rsid w:val="00E81A88"/>
    <w:rsid w:val="00E81E9C"/>
    <w:rsid w:val="00E8255A"/>
    <w:rsid w:val="00E82D93"/>
    <w:rsid w:val="00E82E15"/>
    <w:rsid w:val="00E83A79"/>
    <w:rsid w:val="00E83FE9"/>
    <w:rsid w:val="00E84151"/>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17B"/>
    <w:rsid w:val="00EB2BEB"/>
    <w:rsid w:val="00EB2D84"/>
    <w:rsid w:val="00EB40D6"/>
    <w:rsid w:val="00EB4222"/>
    <w:rsid w:val="00EB5F75"/>
    <w:rsid w:val="00EB79CD"/>
    <w:rsid w:val="00EC2F75"/>
    <w:rsid w:val="00EC52A5"/>
    <w:rsid w:val="00ED4C91"/>
    <w:rsid w:val="00ED5985"/>
    <w:rsid w:val="00EE0648"/>
    <w:rsid w:val="00EE079C"/>
    <w:rsid w:val="00EE0F2E"/>
    <w:rsid w:val="00EE1868"/>
    <w:rsid w:val="00EE2610"/>
    <w:rsid w:val="00EE2A41"/>
    <w:rsid w:val="00EE354B"/>
    <w:rsid w:val="00EE3C1D"/>
    <w:rsid w:val="00EE4C43"/>
    <w:rsid w:val="00EE5F57"/>
    <w:rsid w:val="00EE6EC2"/>
    <w:rsid w:val="00EF0144"/>
    <w:rsid w:val="00EF09FB"/>
    <w:rsid w:val="00EF102E"/>
    <w:rsid w:val="00EF1553"/>
    <w:rsid w:val="00EF1925"/>
    <w:rsid w:val="00EF1FAF"/>
    <w:rsid w:val="00EF2489"/>
    <w:rsid w:val="00EF4EF0"/>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4F27"/>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219"/>
    <w:rsid w:val="00F853E8"/>
    <w:rsid w:val="00F858D5"/>
    <w:rsid w:val="00F909A9"/>
    <w:rsid w:val="00F919F5"/>
    <w:rsid w:val="00F91AEE"/>
    <w:rsid w:val="00F97C07"/>
    <w:rsid w:val="00FA047C"/>
    <w:rsid w:val="00FA19D2"/>
    <w:rsid w:val="00FA2545"/>
    <w:rsid w:val="00FA2625"/>
    <w:rsid w:val="00FA7EF6"/>
    <w:rsid w:val="00FB05F0"/>
    <w:rsid w:val="00FB2524"/>
    <w:rsid w:val="00FB4AAD"/>
    <w:rsid w:val="00FB4E3D"/>
    <w:rsid w:val="00FB5EBB"/>
    <w:rsid w:val="00FB5F2A"/>
    <w:rsid w:val="00FB6CF8"/>
    <w:rsid w:val="00FC16E9"/>
    <w:rsid w:val="00FC2042"/>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87FF-74B3-4D80-9A06-4806DBC2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32</Pages>
  <Words>6324</Words>
  <Characters>34784</Characters>
  <Application>Microsoft Office Word</Application>
  <DocSecurity>0</DocSecurity>
  <Lines>289</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65</cp:revision>
  <cp:lastPrinted>2019-11-07T00:56:00Z</cp:lastPrinted>
  <dcterms:created xsi:type="dcterms:W3CDTF">2024-06-10T16:14:00Z</dcterms:created>
  <dcterms:modified xsi:type="dcterms:W3CDTF">2024-09-03T19:24:00Z</dcterms:modified>
</cp:coreProperties>
</file>