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B23F" w14:textId="6488F270" w:rsidR="00B057B1" w:rsidRPr="008D34D9" w:rsidRDefault="00B057B1" w:rsidP="00B057B1">
      <w:pPr>
        <w:spacing w:line="360" w:lineRule="auto"/>
        <w:jc w:val="both"/>
        <w:rPr>
          <w:rFonts w:ascii="Palatino Linotype" w:eastAsiaTheme="minorEastAsia" w:hAnsi="Palatino Linotype"/>
          <w:lang w:val="es-ES_tradnl" w:eastAsia="es-ES"/>
        </w:rPr>
      </w:pPr>
      <w:r w:rsidRPr="008D34D9">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3B74F5" w:rsidRPr="008D34D9">
        <w:rPr>
          <w:rFonts w:ascii="Palatino Linotype" w:eastAsiaTheme="minorEastAsia" w:hAnsi="Palatino Linotype"/>
          <w:lang w:val="es-ES_tradnl" w:eastAsia="es-ES"/>
        </w:rPr>
        <w:t>veintiocho</w:t>
      </w:r>
      <w:r w:rsidR="00FC56D4" w:rsidRPr="008D34D9">
        <w:rPr>
          <w:rFonts w:ascii="Palatino Linotype" w:eastAsiaTheme="minorEastAsia" w:hAnsi="Palatino Linotype"/>
          <w:lang w:val="es-ES_tradnl" w:eastAsia="es-ES"/>
        </w:rPr>
        <w:t xml:space="preserve"> (2</w:t>
      </w:r>
      <w:r w:rsidR="003B74F5" w:rsidRPr="008D34D9">
        <w:rPr>
          <w:rFonts w:ascii="Palatino Linotype" w:eastAsiaTheme="minorEastAsia" w:hAnsi="Palatino Linotype"/>
          <w:lang w:val="es-ES_tradnl" w:eastAsia="es-ES"/>
        </w:rPr>
        <w:t>8</w:t>
      </w:r>
      <w:r w:rsidR="00FC56D4" w:rsidRPr="008D34D9">
        <w:rPr>
          <w:rFonts w:ascii="Palatino Linotype" w:eastAsiaTheme="minorEastAsia" w:hAnsi="Palatino Linotype"/>
          <w:lang w:val="es-ES_tradnl" w:eastAsia="es-ES"/>
        </w:rPr>
        <w:t>) de febrero de dos mil veinticuatro</w:t>
      </w:r>
      <w:r w:rsidRPr="008D34D9">
        <w:rPr>
          <w:rFonts w:ascii="Palatino Linotype" w:eastAsiaTheme="minorEastAsia" w:hAnsi="Palatino Linotype"/>
          <w:lang w:val="es-ES_tradnl" w:eastAsia="es-ES"/>
        </w:rPr>
        <w:t>.</w:t>
      </w:r>
    </w:p>
    <w:p w14:paraId="3BBE056F" w14:textId="77777777" w:rsidR="00B057B1" w:rsidRPr="008D34D9" w:rsidRDefault="00B057B1" w:rsidP="00B057B1">
      <w:pPr>
        <w:spacing w:line="360" w:lineRule="auto"/>
        <w:jc w:val="both"/>
        <w:rPr>
          <w:rFonts w:ascii="Palatino Linotype" w:eastAsiaTheme="minorEastAsia" w:hAnsi="Palatino Linotype"/>
          <w:lang w:val="es-ES_tradnl" w:eastAsia="es-ES"/>
        </w:rPr>
      </w:pPr>
    </w:p>
    <w:p w14:paraId="03E35868" w14:textId="7448FB64" w:rsidR="00B057B1" w:rsidRPr="008D34D9" w:rsidRDefault="00B057B1" w:rsidP="00B057B1">
      <w:pPr>
        <w:spacing w:line="360" w:lineRule="auto"/>
        <w:jc w:val="both"/>
        <w:rPr>
          <w:rFonts w:ascii="Palatino Linotype" w:hAnsi="Palatino Linotype"/>
        </w:rPr>
      </w:pPr>
      <w:r w:rsidRPr="008D34D9">
        <w:rPr>
          <w:rFonts w:ascii="Palatino Linotype" w:hAnsi="Palatino Linotype"/>
          <w:b/>
        </w:rPr>
        <w:t>VISTO</w:t>
      </w:r>
      <w:r w:rsidRPr="008D34D9">
        <w:rPr>
          <w:rFonts w:ascii="Palatino Linotype" w:hAnsi="Palatino Linotype"/>
        </w:rPr>
        <w:t xml:space="preserve"> el expediente electrónico formado con motivo del recurso de revisión </w:t>
      </w:r>
      <w:r w:rsidR="00FC56D4" w:rsidRPr="008D34D9">
        <w:rPr>
          <w:rFonts w:ascii="Palatino Linotype" w:hAnsi="Palatino Linotype"/>
          <w:b/>
        </w:rPr>
        <w:t>15823</w:t>
      </w:r>
      <w:r w:rsidRPr="008D34D9">
        <w:rPr>
          <w:rFonts w:ascii="Palatino Linotype" w:hAnsi="Palatino Linotype"/>
          <w:b/>
        </w:rPr>
        <w:t>/INFOEM/IP/RR/2022,</w:t>
      </w:r>
      <w:r w:rsidRPr="008D34D9">
        <w:rPr>
          <w:rFonts w:ascii="Palatino Linotype" w:hAnsi="Palatino Linotype" w:cs="Arial"/>
          <w:b/>
          <w:bCs/>
        </w:rPr>
        <w:t xml:space="preserve"> </w:t>
      </w:r>
      <w:r w:rsidRPr="008D34D9">
        <w:rPr>
          <w:rFonts w:ascii="Palatino Linotype" w:eastAsiaTheme="minorEastAsia" w:hAnsi="Palatino Linotype"/>
          <w:lang w:val="es-ES_tradnl" w:eastAsia="es-ES"/>
        </w:rPr>
        <w:t xml:space="preserve">promovido por </w:t>
      </w:r>
      <w:r w:rsidR="00FC56D4" w:rsidRPr="008D34D9">
        <w:rPr>
          <w:rFonts w:ascii="Palatino Linotype" w:eastAsiaTheme="minorEastAsia" w:hAnsi="Palatino Linotype"/>
          <w:b/>
          <w:bCs/>
          <w:lang w:eastAsia="es-ES"/>
        </w:rPr>
        <w:t>un usuario del Sistema de Acceso a la Información Mexiquense (SAIMEX)</w:t>
      </w:r>
      <w:r w:rsidRPr="008D34D9">
        <w:rPr>
          <w:rFonts w:ascii="Palatino Linotype" w:eastAsiaTheme="minorEastAsia" w:hAnsi="Palatino Linotype"/>
          <w:b/>
          <w:lang w:val="es-ES" w:eastAsia="es-ES"/>
        </w:rPr>
        <w:t>,</w:t>
      </w:r>
      <w:r w:rsidRPr="008D34D9">
        <w:rPr>
          <w:rFonts w:ascii="Palatino Linotype" w:eastAsiaTheme="minorEastAsia" w:hAnsi="Palatino Linotype"/>
          <w:lang w:eastAsia="es-ES"/>
        </w:rPr>
        <w:t xml:space="preserve"> quien </w:t>
      </w:r>
      <w:r w:rsidRPr="008D34D9">
        <w:rPr>
          <w:rFonts w:ascii="Palatino Linotype" w:hAnsi="Palatino Linotype"/>
        </w:rPr>
        <w:t xml:space="preserve">en lo sucesivo se identificará como </w:t>
      </w:r>
      <w:r w:rsidRPr="008D34D9">
        <w:rPr>
          <w:rFonts w:ascii="Palatino Linotype" w:hAnsi="Palatino Linotype"/>
          <w:b/>
        </w:rPr>
        <w:t xml:space="preserve">EL </w:t>
      </w:r>
      <w:r w:rsidRPr="008D34D9">
        <w:rPr>
          <w:rFonts w:ascii="Palatino Linotype" w:hAnsi="Palatino Linotype" w:cs="Arial"/>
          <w:b/>
        </w:rPr>
        <w:t>RECURRENTE</w:t>
      </w:r>
      <w:r w:rsidRPr="008D34D9">
        <w:rPr>
          <w:rFonts w:ascii="Palatino Linotype" w:hAnsi="Palatino Linotype" w:cs="Arial"/>
        </w:rPr>
        <w:t xml:space="preserve">, en contra de la respuesta del </w:t>
      </w:r>
      <w:r w:rsidRPr="008D34D9">
        <w:rPr>
          <w:rFonts w:ascii="Palatino Linotype" w:hAnsi="Palatino Linotype" w:cs="Arial"/>
          <w:b/>
        </w:rPr>
        <w:t>Ayuntamiento de Huixquilucan,</w:t>
      </w:r>
      <w:r w:rsidRPr="008D34D9">
        <w:rPr>
          <w:rFonts w:ascii="Palatino Linotype" w:hAnsi="Palatino Linotype"/>
          <w:b/>
        </w:rPr>
        <w:t xml:space="preserve"> </w:t>
      </w:r>
      <w:r w:rsidRPr="008D34D9">
        <w:rPr>
          <w:rFonts w:ascii="Palatino Linotype" w:hAnsi="Palatino Linotype"/>
        </w:rPr>
        <w:t xml:space="preserve">en </w:t>
      </w:r>
      <w:r w:rsidR="003B74F5" w:rsidRPr="008D34D9">
        <w:rPr>
          <w:rFonts w:ascii="Palatino Linotype" w:hAnsi="Palatino Linotype"/>
        </w:rPr>
        <w:t xml:space="preserve">adelante </w:t>
      </w:r>
      <w:r w:rsidRPr="008D34D9">
        <w:rPr>
          <w:rFonts w:ascii="Palatino Linotype" w:hAnsi="Palatino Linotype"/>
        </w:rPr>
        <w:t>el</w:t>
      </w:r>
      <w:r w:rsidRPr="008D34D9">
        <w:rPr>
          <w:rFonts w:ascii="Palatino Linotype" w:hAnsi="Palatino Linotype"/>
          <w:b/>
        </w:rPr>
        <w:t xml:space="preserve"> SUJETO OBLIGADO</w:t>
      </w:r>
      <w:r w:rsidRPr="008D34D9">
        <w:rPr>
          <w:rFonts w:ascii="Palatino Linotype" w:hAnsi="Palatino Linotype"/>
        </w:rPr>
        <w:t>, por lo que se procede a dictar la presente resolución, con base en los siguientes:</w:t>
      </w:r>
    </w:p>
    <w:p w14:paraId="43C34288" w14:textId="77777777" w:rsidR="00B057B1" w:rsidRPr="008D34D9" w:rsidRDefault="00B057B1" w:rsidP="00B057B1">
      <w:pPr>
        <w:spacing w:line="360" w:lineRule="auto"/>
        <w:jc w:val="both"/>
        <w:rPr>
          <w:rFonts w:ascii="Palatino Linotype" w:hAnsi="Palatino Linotype"/>
        </w:rPr>
      </w:pPr>
    </w:p>
    <w:p w14:paraId="34DC3073" w14:textId="77777777" w:rsidR="00B057B1" w:rsidRPr="008D34D9" w:rsidRDefault="00B057B1" w:rsidP="00B057B1">
      <w:pPr>
        <w:keepNext/>
        <w:keepLines/>
        <w:spacing w:line="360" w:lineRule="auto"/>
        <w:jc w:val="center"/>
        <w:outlineLvl w:val="0"/>
        <w:rPr>
          <w:rFonts w:ascii="Palatino Linotype" w:eastAsiaTheme="majorEastAsia" w:hAnsi="Palatino Linotype" w:cstheme="majorBidi"/>
          <w:b/>
        </w:rPr>
      </w:pPr>
      <w:bookmarkStart w:id="0" w:name="_Toc83301633"/>
      <w:r w:rsidRPr="008D34D9">
        <w:rPr>
          <w:rFonts w:ascii="Palatino Linotype" w:eastAsiaTheme="majorEastAsia" w:hAnsi="Palatino Linotype" w:cstheme="majorBidi"/>
          <w:b/>
        </w:rPr>
        <w:t>ANTECEDENTES</w:t>
      </w:r>
      <w:bookmarkEnd w:id="0"/>
    </w:p>
    <w:p w14:paraId="7E3B8BD5" w14:textId="77777777" w:rsidR="00B057B1" w:rsidRPr="008D34D9" w:rsidRDefault="00B057B1" w:rsidP="00B057B1">
      <w:pPr>
        <w:spacing w:line="360" w:lineRule="auto"/>
        <w:rPr>
          <w:rFonts w:ascii="Palatino Linotype" w:eastAsiaTheme="minorEastAsia" w:hAnsi="Palatino Linotype"/>
        </w:rPr>
      </w:pPr>
    </w:p>
    <w:p w14:paraId="4D706556" w14:textId="47106B2E" w:rsidR="00B057B1" w:rsidRPr="008D34D9" w:rsidRDefault="00FC56D4" w:rsidP="00B057B1">
      <w:pPr>
        <w:numPr>
          <w:ilvl w:val="0"/>
          <w:numId w:val="1"/>
        </w:numPr>
        <w:spacing w:line="360" w:lineRule="auto"/>
        <w:ind w:left="0" w:firstLine="0"/>
        <w:contextualSpacing/>
        <w:jc w:val="both"/>
        <w:rPr>
          <w:rFonts w:ascii="Palatino Linotype" w:hAnsi="Palatino Linotype" w:cs="Arial"/>
          <w:lang w:val="es-ES" w:eastAsia="es-ES"/>
        </w:rPr>
      </w:pPr>
      <w:r w:rsidRPr="008D34D9">
        <w:rPr>
          <w:rFonts w:ascii="Palatino Linotype" w:eastAsia="Calibri" w:hAnsi="Palatino Linotype" w:cs="Arial"/>
          <w:lang w:val="es-ES" w:eastAsia="es-ES"/>
        </w:rPr>
        <w:t>El diez (10) de octubre</w:t>
      </w:r>
      <w:r w:rsidR="00B057B1" w:rsidRPr="008D34D9">
        <w:rPr>
          <w:rFonts w:ascii="Palatino Linotype" w:eastAsia="Calibri" w:hAnsi="Palatino Linotype" w:cs="Arial"/>
          <w:lang w:val="es-ES" w:eastAsia="es-ES"/>
        </w:rPr>
        <w:t xml:space="preserve"> de dos mil veintidós,</w:t>
      </w:r>
      <w:r w:rsidR="00B057B1" w:rsidRPr="008D34D9">
        <w:rPr>
          <w:rFonts w:ascii="Palatino Linotype" w:eastAsia="Calibri" w:hAnsi="Palatino Linotype"/>
          <w:lang w:val="es-ES" w:eastAsia="es-ES"/>
        </w:rPr>
        <w:t xml:space="preserve"> </w:t>
      </w:r>
      <w:r w:rsidR="00B057B1" w:rsidRPr="008D34D9">
        <w:rPr>
          <w:rFonts w:ascii="Palatino Linotype" w:eastAsia="Calibri" w:hAnsi="Palatino Linotype"/>
          <w:b/>
          <w:lang w:val="es-ES" w:eastAsia="es-ES"/>
        </w:rPr>
        <w:t>EL RECURRENTE</w:t>
      </w:r>
      <w:r w:rsidR="00B057B1" w:rsidRPr="008D34D9">
        <w:rPr>
          <w:rFonts w:ascii="Palatino Linotype" w:eastAsiaTheme="minorEastAsia" w:hAnsi="Palatino Linotype"/>
          <w:b/>
          <w:lang w:val="es-ES_tradnl" w:eastAsia="es-ES"/>
        </w:rPr>
        <w:t>,</w:t>
      </w:r>
      <w:r w:rsidR="00B057B1" w:rsidRPr="008D34D9">
        <w:rPr>
          <w:rFonts w:ascii="Palatino Linotype" w:eastAsia="Calibri" w:hAnsi="Palatino Linotype" w:cs="Arial"/>
          <w:lang w:val="es-ES" w:eastAsia="es-ES"/>
        </w:rPr>
        <w:t xml:space="preserve"> ante el </w:t>
      </w:r>
      <w:r w:rsidR="00B057B1" w:rsidRPr="008D34D9">
        <w:rPr>
          <w:rFonts w:ascii="Palatino Linotype" w:eastAsia="Calibri" w:hAnsi="Palatino Linotype" w:cs="Arial"/>
          <w:b/>
          <w:lang w:val="es-ES" w:eastAsia="es-ES"/>
        </w:rPr>
        <w:t>SUJETO OBLIGADO</w:t>
      </w:r>
      <w:r w:rsidR="00B057B1" w:rsidRPr="008D34D9">
        <w:rPr>
          <w:rFonts w:ascii="Palatino Linotype" w:eastAsia="Calibri" w:hAnsi="Palatino Linotype" w:cs="Arial"/>
          <w:lang w:val="es-ES_tradnl" w:eastAsia="es-ES"/>
        </w:rPr>
        <w:t xml:space="preserve"> vía </w:t>
      </w:r>
      <w:r w:rsidR="00B057B1" w:rsidRPr="008D34D9">
        <w:rPr>
          <w:rFonts w:ascii="Palatino Linotype" w:eastAsia="Calibri" w:hAnsi="Palatino Linotype" w:cs="Arial"/>
          <w:lang w:val="es-ES" w:eastAsia="es-ES"/>
        </w:rPr>
        <w:t>Sistema de Acceso a la Información Mexiquense (</w:t>
      </w:r>
      <w:r w:rsidR="00B057B1" w:rsidRPr="008D34D9">
        <w:rPr>
          <w:rFonts w:ascii="Palatino Linotype" w:eastAsia="Calibri" w:hAnsi="Palatino Linotype" w:cs="Arial"/>
          <w:b/>
          <w:lang w:val="es-ES" w:eastAsia="es-ES"/>
        </w:rPr>
        <w:t>SAIMEX)</w:t>
      </w:r>
      <w:r w:rsidR="00B057B1" w:rsidRPr="008D34D9">
        <w:rPr>
          <w:rFonts w:ascii="Palatino Linotype" w:eastAsia="Calibri" w:hAnsi="Palatino Linotype" w:cs="Arial"/>
          <w:lang w:val="es-ES" w:eastAsia="es-ES"/>
        </w:rPr>
        <w:t xml:space="preserve">, presentó una solicitud de información registrada con el número </w:t>
      </w:r>
      <w:r w:rsidRPr="008D34D9">
        <w:rPr>
          <w:rFonts w:ascii="Palatino Linotype" w:hAnsi="Palatino Linotype"/>
          <w:b/>
          <w:bCs/>
        </w:rPr>
        <w:t>00624/HUIXQUIL/IP/2022</w:t>
      </w:r>
      <w:r w:rsidR="00B057B1" w:rsidRPr="008D34D9">
        <w:rPr>
          <w:rFonts w:ascii="Palatino Linotype" w:eastAsiaTheme="minorEastAsia" w:hAnsi="Palatino Linotype"/>
          <w:b/>
          <w:lang w:val="es-ES_tradnl" w:eastAsia="es-ES"/>
        </w:rPr>
        <w:t xml:space="preserve">, </w:t>
      </w:r>
      <w:r w:rsidR="003B74F5" w:rsidRPr="008D34D9">
        <w:rPr>
          <w:rFonts w:ascii="Palatino Linotype" w:eastAsia="Calibri" w:hAnsi="Palatino Linotype" w:cs="Arial"/>
          <w:lang w:val="es-ES" w:eastAsia="es-ES"/>
        </w:rPr>
        <w:t>en la que</w:t>
      </w:r>
      <w:r w:rsidR="00B057B1" w:rsidRPr="008D34D9">
        <w:rPr>
          <w:rFonts w:ascii="Palatino Linotype" w:eastAsia="Calibri" w:hAnsi="Palatino Linotype" w:cs="Arial"/>
          <w:lang w:val="es-ES" w:eastAsia="es-ES"/>
        </w:rPr>
        <w:t xml:space="preserve"> solicitó lo siguiente:</w:t>
      </w:r>
    </w:p>
    <w:p w14:paraId="6BEC70ED" w14:textId="77777777" w:rsidR="00B057B1" w:rsidRPr="008D34D9" w:rsidRDefault="00B057B1" w:rsidP="00B057B1">
      <w:pPr>
        <w:spacing w:line="360" w:lineRule="auto"/>
        <w:contextualSpacing/>
        <w:jc w:val="both"/>
        <w:rPr>
          <w:rFonts w:ascii="Palatino Linotype" w:hAnsi="Palatino Linotype" w:cs="Arial"/>
          <w:lang w:val="es-ES" w:eastAsia="es-ES"/>
        </w:rPr>
      </w:pPr>
    </w:p>
    <w:p w14:paraId="68B52862" w14:textId="77777777" w:rsidR="00B057B1" w:rsidRPr="008D34D9" w:rsidRDefault="00B057B1" w:rsidP="00B057B1">
      <w:pPr>
        <w:pStyle w:val="Prrafodelista"/>
        <w:spacing w:line="360" w:lineRule="auto"/>
        <w:ind w:left="1069" w:right="567"/>
        <w:jc w:val="both"/>
        <w:rPr>
          <w:rFonts w:ascii="Palatino Linotype" w:hAnsi="Palatino Linotype"/>
          <w:i/>
          <w:color w:val="000000"/>
          <w:sz w:val="24"/>
        </w:rPr>
      </w:pPr>
      <w:r w:rsidRPr="008D34D9">
        <w:rPr>
          <w:rFonts w:ascii="Palatino Linotype" w:hAnsi="Palatino Linotype"/>
          <w:i/>
          <w:color w:val="000000"/>
          <w:sz w:val="24"/>
        </w:rPr>
        <w:t xml:space="preserve"> “</w:t>
      </w:r>
      <w:r w:rsidR="00FC56D4" w:rsidRPr="008D34D9">
        <w:rPr>
          <w:rFonts w:ascii="Palatino Linotype" w:hAnsi="Palatino Linotype"/>
          <w:i/>
          <w:color w:val="000000"/>
          <w:sz w:val="24"/>
        </w:rPr>
        <w:t xml:space="preserve">Con fundamento en el Artículo 6 apartado A de la Constitución Política de los Estados Unidos Mexicanos, el artículo 5 de la Ley del Estado Libre y Soberano de México, así como la Ley de Transparencia y Acceso a la Información Pública del Estado de México y Municipios; y demás ordenamientos jurídicos aplicables a la materia, me permiso solicitar la versión pública de los recibos de nómina de todos los servidores públicos; </w:t>
      </w:r>
      <w:r w:rsidR="00FC56D4" w:rsidRPr="008D34D9">
        <w:rPr>
          <w:rFonts w:ascii="Palatino Linotype" w:hAnsi="Palatino Linotype"/>
          <w:i/>
          <w:color w:val="000000"/>
          <w:sz w:val="24"/>
        </w:rPr>
        <w:lastRenderedPageBreak/>
        <w:t>correspondientes a la quincena del 16 al 30 de septiembre del presente año, asimismo requiero conocer las listas de raya</w:t>
      </w:r>
      <w:r w:rsidRPr="008D34D9">
        <w:rPr>
          <w:rFonts w:ascii="Palatino Linotype" w:hAnsi="Palatino Linotype"/>
          <w:i/>
          <w:color w:val="000000"/>
          <w:sz w:val="24"/>
        </w:rPr>
        <w:t xml:space="preserve">” (Sic) </w:t>
      </w:r>
    </w:p>
    <w:p w14:paraId="08DB3436" w14:textId="77777777" w:rsidR="004B6A5B" w:rsidRPr="008D34D9" w:rsidRDefault="004B6A5B" w:rsidP="00B057B1">
      <w:pPr>
        <w:pStyle w:val="Prrafodelista"/>
        <w:spacing w:line="360" w:lineRule="auto"/>
        <w:ind w:left="1069" w:right="567"/>
        <w:jc w:val="both"/>
        <w:rPr>
          <w:rFonts w:ascii="Palatino Linotype" w:hAnsi="Palatino Linotype"/>
          <w:i/>
          <w:color w:val="000000"/>
          <w:sz w:val="24"/>
        </w:rPr>
      </w:pPr>
    </w:p>
    <w:p w14:paraId="5C6EB1B7" w14:textId="77777777" w:rsidR="00B057B1" w:rsidRPr="008D34D9"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8D34D9">
        <w:rPr>
          <w:rFonts w:ascii="Palatino Linotype" w:eastAsia="Calibri" w:hAnsi="Palatino Linotype"/>
          <w:lang w:val="es-ES" w:eastAsia="es-ES"/>
        </w:rPr>
        <w:t>Se eligió como modalidad de entrega a través de la plataforma SAIMEX.</w:t>
      </w:r>
    </w:p>
    <w:p w14:paraId="1DA498DE" w14:textId="77777777" w:rsidR="00673D55" w:rsidRPr="008D34D9" w:rsidRDefault="00673D55" w:rsidP="00673D55">
      <w:pPr>
        <w:spacing w:line="360" w:lineRule="auto"/>
        <w:contextualSpacing/>
        <w:jc w:val="both"/>
        <w:rPr>
          <w:rFonts w:ascii="Palatino Linotype" w:eastAsia="Calibri" w:hAnsi="Palatino Linotype"/>
          <w:lang w:val="es-ES" w:eastAsia="es-ES"/>
        </w:rPr>
      </w:pPr>
    </w:p>
    <w:p w14:paraId="4E8938E4" w14:textId="77777777" w:rsidR="00673D55" w:rsidRPr="008D34D9" w:rsidRDefault="00673D55" w:rsidP="00B057B1">
      <w:pPr>
        <w:numPr>
          <w:ilvl w:val="0"/>
          <w:numId w:val="1"/>
        </w:numPr>
        <w:spacing w:line="360" w:lineRule="auto"/>
        <w:ind w:left="0" w:firstLine="0"/>
        <w:contextualSpacing/>
        <w:jc w:val="both"/>
        <w:rPr>
          <w:rFonts w:ascii="Palatino Linotype" w:eastAsia="Calibri" w:hAnsi="Palatino Linotype"/>
          <w:lang w:val="es-ES" w:eastAsia="es-ES"/>
        </w:rPr>
      </w:pPr>
      <w:r w:rsidRPr="008D34D9">
        <w:rPr>
          <w:rFonts w:ascii="Palatino Linotype" w:eastAsia="Calibri" w:hAnsi="Palatino Linotype"/>
          <w:lang w:val="es-ES" w:eastAsia="es-ES"/>
        </w:rPr>
        <w:t>El diez (10) de octubre de dos mil veintidós, se realizó un requerimiento al servidor público habilitado.</w:t>
      </w:r>
    </w:p>
    <w:p w14:paraId="01585E2B" w14:textId="77777777" w:rsidR="00B057B1" w:rsidRPr="008D34D9" w:rsidRDefault="00B057B1" w:rsidP="00B057B1">
      <w:pPr>
        <w:spacing w:line="360" w:lineRule="auto"/>
        <w:contextualSpacing/>
        <w:jc w:val="both"/>
        <w:rPr>
          <w:rFonts w:ascii="Palatino Linotype" w:eastAsia="Calibri" w:hAnsi="Palatino Linotype"/>
          <w:lang w:val="es-ES" w:eastAsia="es-ES"/>
        </w:rPr>
      </w:pPr>
    </w:p>
    <w:p w14:paraId="36215B35" w14:textId="77777777" w:rsidR="00B057B1" w:rsidRPr="008D34D9"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8D34D9">
        <w:rPr>
          <w:rFonts w:ascii="Palatino Linotype" w:eastAsiaTheme="minorEastAsia" w:hAnsi="Palatino Linotype"/>
          <w:lang w:val="es-ES_tradnl" w:eastAsia="es-ES"/>
        </w:rPr>
        <w:t xml:space="preserve">El </w:t>
      </w:r>
      <w:r w:rsidR="00673D55" w:rsidRPr="008D34D9">
        <w:rPr>
          <w:rFonts w:ascii="Palatino Linotype" w:eastAsiaTheme="minorEastAsia" w:hAnsi="Palatino Linotype"/>
          <w:lang w:val="es-ES_tradnl" w:eastAsia="es-ES"/>
        </w:rPr>
        <w:t>veinticinco (25) de octubre</w:t>
      </w:r>
      <w:r w:rsidRPr="008D34D9">
        <w:rPr>
          <w:rFonts w:ascii="Palatino Linotype" w:eastAsiaTheme="minorEastAsia" w:hAnsi="Palatino Linotype"/>
          <w:lang w:val="es-ES_tradnl" w:eastAsia="es-ES"/>
        </w:rPr>
        <w:t xml:space="preserve"> de dos mil veintidós, </w:t>
      </w:r>
      <w:r w:rsidRPr="008D34D9">
        <w:rPr>
          <w:rFonts w:ascii="Palatino Linotype" w:eastAsia="Calibri" w:hAnsi="Palatino Linotype"/>
          <w:lang w:val="es-ES" w:eastAsia="es-ES"/>
        </w:rPr>
        <w:t xml:space="preserve">el </w:t>
      </w:r>
      <w:r w:rsidRPr="008D34D9">
        <w:rPr>
          <w:rFonts w:ascii="Palatino Linotype" w:eastAsia="Calibri" w:hAnsi="Palatino Linotype" w:cs="Arial"/>
          <w:b/>
          <w:lang w:val="es-AR" w:eastAsia="es-ES"/>
        </w:rPr>
        <w:t>SUJETO OBLIGADO</w:t>
      </w:r>
      <w:r w:rsidRPr="008D34D9">
        <w:rPr>
          <w:rFonts w:ascii="Palatino Linotype" w:eastAsia="Calibri" w:hAnsi="Palatino Linotype" w:cs="Arial"/>
          <w:b/>
          <w:i/>
          <w:lang w:val="es-AR" w:eastAsia="es-ES"/>
        </w:rPr>
        <w:t xml:space="preserve"> </w:t>
      </w:r>
      <w:r w:rsidRPr="008D34D9">
        <w:rPr>
          <w:rFonts w:ascii="Palatino Linotype" w:hAnsi="Palatino Linotype" w:cs="Arial"/>
          <w:lang w:val="es-ES" w:eastAsia="es-ES"/>
        </w:rPr>
        <w:t>dio respuesta a la solicitud de información en los siguientes términos:</w:t>
      </w:r>
    </w:p>
    <w:p w14:paraId="38B4D3F3" w14:textId="77777777" w:rsidR="00B057B1" w:rsidRPr="008D34D9" w:rsidRDefault="00B057B1" w:rsidP="00B057B1">
      <w:pPr>
        <w:spacing w:line="360" w:lineRule="auto"/>
        <w:contextualSpacing/>
        <w:jc w:val="both"/>
        <w:rPr>
          <w:rFonts w:ascii="Palatino Linotype" w:eastAsia="Calibri" w:hAnsi="Palatino Linotype"/>
          <w:lang w:val="es-ES" w:eastAsia="es-ES"/>
        </w:rPr>
      </w:pPr>
    </w:p>
    <w:tbl>
      <w:tblPr>
        <w:tblW w:w="7751" w:type="dxa"/>
        <w:jc w:val="center"/>
        <w:tblCellSpacing w:w="0" w:type="dxa"/>
        <w:tblCellMar>
          <w:left w:w="0" w:type="dxa"/>
          <w:right w:w="0" w:type="dxa"/>
        </w:tblCellMar>
        <w:tblLook w:val="04A0" w:firstRow="1" w:lastRow="0" w:firstColumn="1" w:lastColumn="0" w:noHBand="0" w:noVBand="1"/>
      </w:tblPr>
      <w:tblGrid>
        <w:gridCol w:w="7751"/>
      </w:tblGrid>
      <w:tr w:rsidR="00673D55" w:rsidRPr="008D34D9" w14:paraId="3FE962E6" w14:textId="77777777" w:rsidTr="00673D55">
        <w:trPr>
          <w:trHeight w:val="298"/>
          <w:tblCellSpacing w:w="0" w:type="dxa"/>
          <w:jc w:val="center"/>
        </w:trPr>
        <w:tc>
          <w:tcPr>
            <w:tcW w:w="0" w:type="auto"/>
            <w:vAlign w:val="center"/>
            <w:hideMark/>
          </w:tcPr>
          <w:p w14:paraId="0C33F276" w14:textId="77777777" w:rsidR="00673D55" w:rsidRPr="008D34D9" w:rsidRDefault="00673D55" w:rsidP="00673D55">
            <w:pPr>
              <w:jc w:val="right"/>
              <w:rPr>
                <w:rFonts w:ascii="Palatino Linotype" w:hAnsi="Palatino Linotype"/>
                <w:i/>
                <w:sz w:val="22"/>
              </w:rPr>
            </w:pPr>
            <w:r w:rsidRPr="008D34D9">
              <w:rPr>
                <w:rFonts w:ascii="Palatino Linotype" w:hAnsi="Palatino Linotype"/>
                <w:i/>
                <w:sz w:val="22"/>
              </w:rPr>
              <w:t>Huixquilucan, México a 25 de Octubre de 2022</w:t>
            </w:r>
          </w:p>
        </w:tc>
      </w:tr>
      <w:tr w:rsidR="00673D55" w:rsidRPr="008D34D9" w14:paraId="17D0F70F" w14:textId="77777777" w:rsidTr="00673D55">
        <w:trPr>
          <w:trHeight w:val="298"/>
          <w:tblCellSpacing w:w="0" w:type="dxa"/>
          <w:jc w:val="center"/>
        </w:trPr>
        <w:tc>
          <w:tcPr>
            <w:tcW w:w="0" w:type="auto"/>
            <w:vAlign w:val="center"/>
            <w:hideMark/>
          </w:tcPr>
          <w:p w14:paraId="7783D6B6" w14:textId="77777777" w:rsidR="00673D55" w:rsidRPr="008D34D9" w:rsidRDefault="00673D55" w:rsidP="00673D55">
            <w:pPr>
              <w:jc w:val="right"/>
              <w:rPr>
                <w:rFonts w:ascii="Palatino Linotype" w:hAnsi="Palatino Linotype"/>
                <w:i/>
                <w:sz w:val="22"/>
              </w:rPr>
            </w:pPr>
            <w:r w:rsidRPr="008D34D9">
              <w:rPr>
                <w:rFonts w:ascii="Palatino Linotype" w:hAnsi="Palatino Linotype"/>
                <w:i/>
                <w:sz w:val="22"/>
              </w:rPr>
              <w:t>Nombre del solicitante: C. Solicitante</w:t>
            </w:r>
          </w:p>
        </w:tc>
      </w:tr>
      <w:tr w:rsidR="00673D55" w:rsidRPr="008D34D9" w14:paraId="6DA60459" w14:textId="77777777" w:rsidTr="00673D55">
        <w:trPr>
          <w:trHeight w:val="298"/>
          <w:tblCellSpacing w:w="0" w:type="dxa"/>
          <w:jc w:val="center"/>
        </w:trPr>
        <w:tc>
          <w:tcPr>
            <w:tcW w:w="0" w:type="auto"/>
            <w:vAlign w:val="center"/>
            <w:hideMark/>
          </w:tcPr>
          <w:p w14:paraId="46A2C680" w14:textId="77777777" w:rsidR="00673D55" w:rsidRPr="008D34D9" w:rsidRDefault="00673D55" w:rsidP="00673D55">
            <w:pPr>
              <w:jc w:val="right"/>
              <w:rPr>
                <w:rFonts w:ascii="Palatino Linotype" w:hAnsi="Palatino Linotype"/>
                <w:i/>
                <w:sz w:val="22"/>
              </w:rPr>
            </w:pPr>
            <w:r w:rsidRPr="008D34D9">
              <w:rPr>
                <w:rFonts w:ascii="Palatino Linotype" w:hAnsi="Palatino Linotype"/>
                <w:i/>
                <w:sz w:val="22"/>
              </w:rPr>
              <w:t>Folio de la solicitud: 00624/HUIXQUIL/IP/2022</w:t>
            </w:r>
          </w:p>
        </w:tc>
      </w:tr>
      <w:tr w:rsidR="00673D55" w:rsidRPr="008D34D9" w14:paraId="7F598BCF" w14:textId="77777777" w:rsidTr="00673D55">
        <w:trPr>
          <w:trHeight w:val="448"/>
          <w:tblCellSpacing w:w="0" w:type="dxa"/>
          <w:jc w:val="center"/>
        </w:trPr>
        <w:tc>
          <w:tcPr>
            <w:tcW w:w="0" w:type="auto"/>
            <w:vAlign w:val="center"/>
            <w:hideMark/>
          </w:tcPr>
          <w:p w14:paraId="1501C119" w14:textId="77777777" w:rsidR="00673D55" w:rsidRPr="008D34D9" w:rsidRDefault="00673D55" w:rsidP="00673D55">
            <w:pPr>
              <w:jc w:val="right"/>
              <w:rPr>
                <w:rFonts w:ascii="Palatino Linotype" w:hAnsi="Palatino Linotype"/>
                <w:i/>
                <w:sz w:val="22"/>
              </w:rPr>
            </w:pPr>
          </w:p>
        </w:tc>
      </w:tr>
      <w:tr w:rsidR="00673D55" w:rsidRPr="008D34D9" w14:paraId="4F13289E" w14:textId="77777777" w:rsidTr="00673D55">
        <w:trPr>
          <w:trHeight w:val="448"/>
          <w:tblCellSpacing w:w="0" w:type="dxa"/>
          <w:jc w:val="center"/>
        </w:trPr>
        <w:tc>
          <w:tcPr>
            <w:tcW w:w="0" w:type="auto"/>
            <w:vAlign w:val="center"/>
          </w:tcPr>
          <w:p w14:paraId="29557917" w14:textId="77777777" w:rsidR="00673D55" w:rsidRPr="008D34D9" w:rsidRDefault="00673D55" w:rsidP="00673D55">
            <w:pPr>
              <w:jc w:val="right"/>
              <w:rPr>
                <w:rFonts w:ascii="Palatino Linotype" w:hAnsi="Palatino Linotype"/>
                <w:i/>
                <w:sz w:val="22"/>
              </w:rPr>
            </w:pPr>
          </w:p>
        </w:tc>
      </w:tr>
      <w:tr w:rsidR="00673D55" w:rsidRPr="008D34D9" w14:paraId="772AFAFE" w14:textId="77777777" w:rsidTr="00673D55">
        <w:trPr>
          <w:trHeight w:val="149"/>
          <w:tblCellSpacing w:w="0" w:type="dxa"/>
          <w:jc w:val="center"/>
        </w:trPr>
        <w:tc>
          <w:tcPr>
            <w:tcW w:w="0" w:type="auto"/>
            <w:vAlign w:val="center"/>
            <w:hideMark/>
          </w:tcPr>
          <w:p w14:paraId="2D0A1742" w14:textId="77777777" w:rsidR="00673D55" w:rsidRPr="008D34D9" w:rsidRDefault="00673D55" w:rsidP="00673D55">
            <w:pPr>
              <w:jc w:val="both"/>
              <w:rPr>
                <w:rFonts w:ascii="Palatino Linotype" w:hAnsi="Palatino Linotype"/>
                <w:i/>
                <w:sz w:val="22"/>
              </w:rPr>
            </w:pPr>
            <w:r w:rsidRPr="008D34D9">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73D55" w:rsidRPr="008D34D9" w14:paraId="5F73B57C" w14:textId="77777777" w:rsidTr="00673D55">
        <w:trPr>
          <w:trHeight w:val="373"/>
          <w:tblCellSpacing w:w="0" w:type="dxa"/>
          <w:jc w:val="center"/>
        </w:trPr>
        <w:tc>
          <w:tcPr>
            <w:tcW w:w="0" w:type="auto"/>
            <w:vAlign w:val="center"/>
            <w:hideMark/>
          </w:tcPr>
          <w:p w14:paraId="46EBCF12" w14:textId="77777777" w:rsidR="00673D55" w:rsidRPr="008D34D9" w:rsidRDefault="00673D55" w:rsidP="00673D55">
            <w:pPr>
              <w:jc w:val="both"/>
              <w:rPr>
                <w:rFonts w:ascii="Palatino Linotype" w:hAnsi="Palatino Linotype"/>
                <w:i/>
                <w:sz w:val="22"/>
              </w:rPr>
            </w:pPr>
          </w:p>
        </w:tc>
      </w:tr>
      <w:tr w:rsidR="00673D55" w:rsidRPr="008D34D9" w14:paraId="0E10D378" w14:textId="77777777" w:rsidTr="00673D55">
        <w:trPr>
          <w:trHeight w:val="149"/>
          <w:tblCellSpacing w:w="0" w:type="dxa"/>
          <w:jc w:val="center"/>
        </w:trPr>
        <w:tc>
          <w:tcPr>
            <w:tcW w:w="0" w:type="auto"/>
            <w:vAlign w:val="center"/>
            <w:hideMark/>
          </w:tcPr>
          <w:p w14:paraId="75064EFA" w14:textId="77777777" w:rsidR="00673D55" w:rsidRPr="008D34D9" w:rsidRDefault="00673D55" w:rsidP="00673D55">
            <w:pPr>
              <w:jc w:val="both"/>
              <w:rPr>
                <w:rFonts w:ascii="Palatino Linotype" w:hAnsi="Palatino Linotype"/>
                <w:i/>
                <w:sz w:val="22"/>
              </w:rPr>
            </w:pPr>
            <w:r w:rsidRPr="008D34D9">
              <w:rPr>
                <w:rFonts w:ascii="Palatino Linotype" w:hAnsi="Palatino Linotype"/>
                <w:i/>
                <w:sz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w:t>
            </w:r>
            <w:r w:rsidRPr="008D34D9">
              <w:rPr>
                <w:rFonts w:ascii="Palatino Linotype" w:hAnsi="Palatino Linotype"/>
                <w:i/>
                <w:sz w:val="22"/>
              </w:rPr>
              <w:lastRenderedPageBreak/>
              <w:t xml:space="preserve">OBSERVAR LOS SUJETOS OBLIGADOS POR LA LEY DE TRANSPARENCIA Y ACCESO A LA INFORMACIÓN PÚBLICA DEL ESTADO DE MÉXICO Y MUNICIPIOS; ASÍ COMO EL TITULO CUARTO, CAPÍTULO II DEL BANDO MUNICIPAL 2022; AL RESPECTO Y EN ATENCIÓN A SU SOLICITUD DE INFORMACIÓN REGISTRADA EN EL SISTEMA DE ACCESO A LA INFORMACIÓN PÚBLICA MEXIQUENSE (SAIMEX), CON EL NUMERO DE FOLIO: 00624/HUIXQUIL/IP/2022, MISMA QUE A LA LETRA DICE: “Con fundamento en el Artículo 6 apartado A de la Constitución Política de los Estados Unidos Mexicanos, el artículo 5 de la Ley del Estado Libre y Soberano de México, así como la Ley de Transparencia y Acceso a la Información Pública del Estado de México y Municipios; y demás ordenamientos jurídicos aplicables a la materia, me permiso solicitar la versión pública de los recibos de nómina de todos los servidores públicos; correspondientes a la quincena del 16 al 30 de septiembre del presente año, asimismo requiero conocer las listas de raya.” SOBRE EL PARTICULAR, ESTA UNIDAD DE TRANSPARENCIA EN EJERCICIO DE LAS ATRIBUCIONES QUE LA LEY LE CONFIERE, TURNO SU SOLICITUD DE INFORMACIÓN A LA SIGUIENTE AREA ADMINISTRATIVA: DIRECCIÒN GENERAL DE ADMINISYTRACIÓN QUE DE CONFORMIDAD CON LO ESTABLECIDO EN EL REGRLAMENTO ORGANICO MUNICIPAL ES COMPETENTE PARA CONTESTAR SU SOLICITUD DE INFORMACIÓN, MISMA QUE MANIFESTO LO SIGUIENTE: DIRECCIÒN GENERAL DE ADMINISTRACIÓN: “SE ADJUNTA RESPUESTA” (SIC)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w:t>
            </w:r>
            <w:r w:rsidRPr="008D34D9">
              <w:rPr>
                <w:rFonts w:ascii="Palatino Linotype" w:hAnsi="Palatino Linotype"/>
                <w:i/>
                <w:sz w:val="22"/>
              </w:rPr>
              <w:lastRenderedPageBreak/>
              <w:t>LEGALES CORRESPONDIENTES, MEDIANTE LA MODALIDAD EN QUE FUE REQUERIDA. SIN OTRO PARTICULAR, ME REITERO A SUS ÓRDENES Y LE ENVÍO UN CORDIAL SALUDO</w:t>
            </w:r>
          </w:p>
        </w:tc>
      </w:tr>
      <w:tr w:rsidR="00673D55" w:rsidRPr="008D34D9" w14:paraId="6987670D" w14:textId="77777777" w:rsidTr="00673D55">
        <w:trPr>
          <w:trHeight w:val="373"/>
          <w:tblCellSpacing w:w="0" w:type="dxa"/>
          <w:jc w:val="center"/>
        </w:trPr>
        <w:tc>
          <w:tcPr>
            <w:tcW w:w="0" w:type="auto"/>
            <w:vAlign w:val="center"/>
            <w:hideMark/>
          </w:tcPr>
          <w:p w14:paraId="368D65CE" w14:textId="77777777" w:rsidR="00673D55" w:rsidRPr="008D34D9" w:rsidRDefault="00673D55" w:rsidP="00673D55">
            <w:pPr>
              <w:rPr>
                <w:rFonts w:ascii="Palatino Linotype" w:hAnsi="Palatino Linotype"/>
                <w:i/>
                <w:sz w:val="22"/>
              </w:rPr>
            </w:pPr>
          </w:p>
        </w:tc>
      </w:tr>
      <w:tr w:rsidR="00673D55" w:rsidRPr="008D34D9" w14:paraId="4F9DC488" w14:textId="77777777" w:rsidTr="00673D55">
        <w:trPr>
          <w:trHeight w:val="149"/>
          <w:tblCellSpacing w:w="0" w:type="dxa"/>
          <w:jc w:val="center"/>
        </w:trPr>
        <w:tc>
          <w:tcPr>
            <w:tcW w:w="0" w:type="auto"/>
            <w:vAlign w:val="center"/>
            <w:hideMark/>
          </w:tcPr>
          <w:p w14:paraId="0A89480D" w14:textId="77777777" w:rsidR="00673D55" w:rsidRPr="008D34D9" w:rsidRDefault="00673D55" w:rsidP="00673D55">
            <w:pPr>
              <w:jc w:val="center"/>
              <w:rPr>
                <w:rFonts w:ascii="Palatino Linotype" w:hAnsi="Palatino Linotype"/>
                <w:i/>
                <w:sz w:val="22"/>
              </w:rPr>
            </w:pPr>
          </w:p>
        </w:tc>
      </w:tr>
      <w:tr w:rsidR="00673D55" w:rsidRPr="008D34D9" w14:paraId="1F88BE06" w14:textId="77777777" w:rsidTr="00673D55">
        <w:trPr>
          <w:trHeight w:val="149"/>
          <w:tblCellSpacing w:w="0" w:type="dxa"/>
          <w:jc w:val="center"/>
        </w:trPr>
        <w:tc>
          <w:tcPr>
            <w:tcW w:w="0" w:type="auto"/>
            <w:vAlign w:val="center"/>
            <w:hideMark/>
          </w:tcPr>
          <w:p w14:paraId="72897CE1" w14:textId="77777777" w:rsidR="00673D55" w:rsidRPr="008D34D9" w:rsidRDefault="00673D55" w:rsidP="00673D55">
            <w:pPr>
              <w:rPr>
                <w:rFonts w:ascii="Palatino Linotype" w:hAnsi="Palatino Linotype"/>
                <w:i/>
                <w:sz w:val="22"/>
              </w:rPr>
            </w:pPr>
          </w:p>
        </w:tc>
      </w:tr>
      <w:tr w:rsidR="00673D55" w:rsidRPr="008D34D9" w14:paraId="6EF3A4BB" w14:textId="77777777" w:rsidTr="00673D55">
        <w:trPr>
          <w:trHeight w:val="149"/>
          <w:tblCellSpacing w:w="0" w:type="dxa"/>
          <w:jc w:val="center"/>
        </w:trPr>
        <w:tc>
          <w:tcPr>
            <w:tcW w:w="0" w:type="auto"/>
            <w:vAlign w:val="center"/>
            <w:hideMark/>
          </w:tcPr>
          <w:p w14:paraId="5BEEB070" w14:textId="77777777" w:rsidR="00673D55" w:rsidRPr="008D34D9" w:rsidRDefault="00673D55" w:rsidP="00673D55">
            <w:pPr>
              <w:rPr>
                <w:rFonts w:ascii="Palatino Linotype" w:hAnsi="Palatino Linotype"/>
                <w:i/>
                <w:sz w:val="22"/>
              </w:rPr>
            </w:pPr>
            <w:r w:rsidRPr="008D34D9">
              <w:rPr>
                <w:rFonts w:ascii="Palatino Linotype" w:hAnsi="Palatino Linotype"/>
                <w:i/>
                <w:sz w:val="22"/>
              </w:rPr>
              <w:t>ATENTAMENTE</w:t>
            </w:r>
          </w:p>
        </w:tc>
      </w:tr>
      <w:tr w:rsidR="00673D55" w:rsidRPr="008D34D9" w14:paraId="68CFC760" w14:textId="77777777" w:rsidTr="00673D55">
        <w:trPr>
          <w:trHeight w:val="224"/>
          <w:tblCellSpacing w:w="0" w:type="dxa"/>
          <w:jc w:val="center"/>
        </w:trPr>
        <w:tc>
          <w:tcPr>
            <w:tcW w:w="0" w:type="auto"/>
            <w:vAlign w:val="center"/>
            <w:hideMark/>
          </w:tcPr>
          <w:p w14:paraId="1403974B" w14:textId="77777777" w:rsidR="00673D55" w:rsidRPr="008D34D9" w:rsidRDefault="00673D55" w:rsidP="00673D55">
            <w:pPr>
              <w:rPr>
                <w:rFonts w:ascii="Palatino Linotype" w:hAnsi="Palatino Linotype"/>
                <w:i/>
                <w:sz w:val="22"/>
              </w:rPr>
            </w:pPr>
          </w:p>
        </w:tc>
      </w:tr>
      <w:tr w:rsidR="00673D55" w:rsidRPr="008D34D9" w14:paraId="2A761879" w14:textId="77777777" w:rsidTr="00673D55">
        <w:trPr>
          <w:trHeight w:val="149"/>
          <w:tblCellSpacing w:w="0" w:type="dxa"/>
          <w:jc w:val="center"/>
        </w:trPr>
        <w:tc>
          <w:tcPr>
            <w:tcW w:w="0" w:type="auto"/>
            <w:vAlign w:val="center"/>
            <w:hideMark/>
          </w:tcPr>
          <w:p w14:paraId="06209162" w14:textId="77777777" w:rsidR="00673D55" w:rsidRPr="008D34D9" w:rsidRDefault="00673D55" w:rsidP="00673D55">
            <w:pPr>
              <w:rPr>
                <w:rFonts w:ascii="Palatino Linotype" w:hAnsi="Palatino Linotype"/>
                <w:i/>
                <w:sz w:val="22"/>
              </w:rPr>
            </w:pPr>
            <w:r w:rsidRPr="008D34D9">
              <w:rPr>
                <w:rFonts w:ascii="Palatino Linotype" w:hAnsi="Palatino Linotype"/>
                <w:i/>
                <w:sz w:val="22"/>
              </w:rPr>
              <w:t>C. ULISES MAURICIO SALAZAR FRANCO</w:t>
            </w:r>
          </w:p>
        </w:tc>
      </w:tr>
    </w:tbl>
    <w:p w14:paraId="0F959275" w14:textId="77777777" w:rsidR="00B057B1" w:rsidRPr="008D34D9" w:rsidRDefault="00B057B1" w:rsidP="00B057B1">
      <w:pPr>
        <w:spacing w:line="360" w:lineRule="auto"/>
        <w:ind w:right="567"/>
        <w:jc w:val="both"/>
        <w:rPr>
          <w:rFonts w:ascii="Palatino Linotype" w:hAnsi="Palatino Linotype"/>
          <w:i/>
          <w:sz w:val="22"/>
        </w:rPr>
      </w:pPr>
    </w:p>
    <w:p w14:paraId="78204454" w14:textId="77777777" w:rsidR="00673D55" w:rsidRPr="008D34D9" w:rsidRDefault="004B6A5B" w:rsidP="004B6A5B">
      <w:pPr>
        <w:spacing w:line="360" w:lineRule="auto"/>
        <w:ind w:right="567"/>
        <w:jc w:val="both"/>
        <w:rPr>
          <w:rFonts w:ascii="Palatino Linotype" w:hAnsi="Palatino Linotype"/>
          <w:sz w:val="22"/>
        </w:rPr>
      </w:pPr>
      <w:r w:rsidRPr="008D34D9">
        <w:rPr>
          <w:rFonts w:ascii="Palatino Linotype" w:hAnsi="Palatino Linotype"/>
          <w:sz w:val="22"/>
        </w:rPr>
        <w:t xml:space="preserve">A la respuesta se </w:t>
      </w:r>
      <w:r w:rsidR="00673D55" w:rsidRPr="008D34D9">
        <w:rPr>
          <w:rFonts w:ascii="Palatino Linotype" w:hAnsi="Palatino Linotype"/>
          <w:sz w:val="22"/>
        </w:rPr>
        <w:t>adjuntaron los archivos que se describen enseguida:</w:t>
      </w:r>
    </w:p>
    <w:p w14:paraId="08EA42B4" w14:textId="77777777" w:rsidR="00673D55" w:rsidRPr="008D34D9" w:rsidRDefault="00673D55" w:rsidP="004B6A5B">
      <w:pPr>
        <w:spacing w:line="360" w:lineRule="auto"/>
        <w:ind w:right="567"/>
        <w:jc w:val="both"/>
        <w:rPr>
          <w:rFonts w:ascii="Palatino Linotype" w:hAnsi="Palatino Linotype"/>
          <w:sz w:val="22"/>
        </w:rPr>
      </w:pPr>
    </w:p>
    <w:p w14:paraId="1E0DB45B" w14:textId="77777777" w:rsidR="00673D55" w:rsidRPr="008D34D9" w:rsidRDefault="008D34D9" w:rsidP="00C226F0">
      <w:pPr>
        <w:pStyle w:val="Prrafodelista"/>
        <w:numPr>
          <w:ilvl w:val="0"/>
          <w:numId w:val="6"/>
        </w:numPr>
        <w:spacing w:line="360" w:lineRule="auto"/>
        <w:ind w:right="567"/>
        <w:jc w:val="both"/>
        <w:rPr>
          <w:rFonts w:ascii="Palatino Linotype" w:hAnsi="Palatino Linotype" w:cs="Arial"/>
          <w:b/>
          <w:bCs/>
          <w:i/>
        </w:rPr>
      </w:pPr>
      <w:hyperlink r:id="rId7" w:tgtFrame="_blank" w:history="1">
        <w:r w:rsidR="00673D55" w:rsidRPr="008D34D9">
          <w:rPr>
            <w:rStyle w:val="Hipervnculo"/>
            <w:rFonts w:ascii="Palatino Linotype" w:eastAsiaTheme="majorEastAsia" w:hAnsi="Palatino Linotype" w:cs="Arial"/>
            <w:b/>
            <w:bCs/>
            <w:color w:val="auto"/>
          </w:rPr>
          <w:t>RESPUESTA 624.pdf</w:t>
        </w:r>
      </w:hyperlink>
      <w:r w:rsidR="00673D55" w:rsidRPr="008D34D9">
        <w:rPr>
          <w:rFonts w:ascii="Palatino Linotype" w:hAnsi="Palatino Linotype"/>
        </w:rPr>
        <w:t>:</w:t>
      </w:r>
      <w:r w:rsidR="00C226F0" w:rsidRPr="008D34D9">
        <w:rPr>
          <w:rFonts w:ascii="Palatino Linotype" w:hAnsi="Palatino Linotype"/>
        </w:rPr>
        <w:t xml:space="preserve"> oficio suscrito por la Directora General de Administración en el manifestó que se ponen a disposición los recibos de nómina correspondientes a la segunda quincena de septiembre de 2022. Asimismo, señaló que la nómina del personal está disponible en la fracción de Remuneraciones del IPOMEX y adjuntó la liga electrónica </w:t>
      </w:r>
      <w:hyperlink r:id="rId8" w:history="1">
        <w:r w:rsidR="00C226F0" w:rsidRPr="008D34D9">
          <w:rPr>
            <w:rStyle w:val="Hipervnculo"/>
            <w:rFonts w:ascii="Palatino Linotype" w:hAnsi="Palatino Linotype"/>
          </w:rPr>
          <w:t>https://www.ipomex.org.mx/ipo3/lgt/indice/HUIXQUILUCAN/art_92_viii.web</w:t>
        </w:r>
      </w:hyperlink>
    </w:p>
    <w:p w14:paraId="0ECCCD0C" w14:textId="77777777" w:rsidR="00C226F0" w:rsidRPr="008D34D9" w:rsidRDefault="00C226F0" w:rsidP="00C226F0">
      <w:pPr>
        <w:pStyle w:val="Prrafodelista"/>
        <w:spacing w:line="360" w:lineRule="auto"/>
        <w:ind w:right="567"/>
        <w:jc w:val="both"/>
        <w:rPr>
          <w:rFonts w:ascii="Palatino Linotype" w:hAnsi="Palatino Linotype" w:cs="Arial"/>
          <w:b/>
          <w:bCs/>
          <w:i/>
        </w:rPr>
      </w:pPr>
    </w:p>
    <w:p w14:paraId="61E2EB7F" w14:textId="77777777" w:rsidR="00673D55" w:rsidRPr="008D34D9" w:rsidRDefault="008D34D9" w:rsidP="00673D55">
      <w:pPr>
        <w:pStyle w:val="Prrafodelista"/>
        <w:numPr>
          <w:ilvl w:val="0"/>
          <w:numId w:val="6"/>
        </w:numPr>
        <w:spacing w:line="360" w:lineRule="auto"/>
        <w:ind w:right="567"/>
        <w:rPr>
          <w:rFonts w:ascii="Palatino Linotype" w:hAnsi="Palatino Linotype" w:cs="Arial"/>
          <w:b/>
          <w:bCs/>
          <w:i/>
        </w:rPr>
      </w:pPr>
      <w:hyperlink r:id="rId9" w:tgtFrame="_blank" w:history="1">
        <w:r w:rsidR="00673D55" w:rsidRPr="008D34D9">
          <w:rPr>
            <w:rStyle w:val="Hipervnculo"/>
            <w:rFonts w:ascii="Palatino Linotype" w:eastAsiaTheme="majorEastAsia" w:hAnsi="Palatino Linotype" w:cs="Arial"/>
            <w:b/>
            <w:bCs/>
            <w:color w:val="auto"/>
          </w:rPr>
          <w:t>RECIBOS 2° NQ SEP 2022.pdf</w:t>
        </w:r>
      </w:hyperlink>
      <w:r w:rsidR="00673D55" w:rsidRPr="008D34D9">
        <w:rPr>
          <w:rFonts w:ascii="Palatino Linotype" w:hAnsi="Palatino Linotype"/>
        </w:rPr>
        <w:t>:</w:t>
      </w:r>
      <w:r w:rsidR="00C226F0" w:rsidRPr="008D34D9">
        <w:rPr>
          <w:rFonts w:ascii="Palatino Linotype" w:hAnsi="Palatino Linotype"/>
        </w:rPr>
        <w:t xml:space="preserve"> archivo con 2736 recibos de nómina de los servidores públicos del Ayuntamiento. </w:t>
      </w:r>
    </w:p>
    <w:p w14:paraId="5971526F" w14:textId="77777777" w:rsidR="00C226F0" w:rsidRPr="008D34D9" w:rsidRDefault="00C226F0" w:rsidP="00C226F0">
      <w:pPr>
        <w:spacing w:line="360" w:lineRule="auto"/>
        <w:ind w:right="567"/>
        <w:rPr>
          <w:rFonts w:ascii="Palatino Linotype" w:hAnsi="Palatino Linotype" w:cs="Arial"/>
          <w:b/>
          <w:bCs/>
          <w:i/>
          <w:sz w:val="22"/>
        </w:rPr>
      </w:pPr>
    </w:p>
    <w:p w14:paraId="6B744A5B" w14:textId="77777777" w:rsidR="00B057B1" w:rsidRPr="008D34D9" w:rsidRDefault="008D34D9" w:rsidP="00673D55">
      <w:pPr>
        <w:pStyle w:val="Prrafodelista"/>
        <w:numPr>
          <w:ilvl w:val="0"/>
          <w:numId w:val="6"/>
        </w:numPr>
        <w:spacing w:line="360" w:lineRule="auto"/>
        <w:ind w:right="567"/>
        <w:rPr>
          <w:rFonts w:ascii="Palatino Linotype" w:hAnsi="Palatino Linotype" w:cs="Arial"/>
          <w:b/>
          <w:bCs/>
          <w:i/>
        </w:rPr>
      </w:pPr>
      <w:hyperlink r:id="rId10" w:tgtFrame="_blank" w:history="1">
        <w:r w:rsidR="00673D55" w:rsidRPr="008D34D9">
          <w:rPr>
            <w:rStyle w:val="Hipervnculo"/>
            <w:rFonts w:ascii="Palatino Linotype" w:eastAsiaTheme="majorEastAsia" w:hAnsi="Palatino Linotype" w:cs="Arial"/>
            <w:b/>
            <w:bCs/>
            <w:color w:val="auto"/>
          </w:rPr>
          <w:t>ACUERDO 43 EXT 2022.pdf</w:t>
        </w:r>
      </w:hyperlink>
      <w:r w:rsidR="00673D55" w:rsidRPr="008D34D9">
        <w:rPr>
          <w:rFonts w:ascii="Palatino Linotype" w:hAnsi="Palatino Linotype"/>
        </w:rPr>
        <w:t>:</w:t>
      </w:r>
      <w:r w:rsidR="00C226F0" w:rsidRPr="008D34D9">
        <w:rPr>
          <w:rFonts w:ascii="Palatino Linotype" w:hAnsi="Palatino Linotype"/>
        </w:rPr>
        <w:t xml:space="preserve"> Acuerdo de Clasificación emitido por el Comité de Transparencia Municipal. </w:t>
      </w:r>
    </w:p>
    <w:p w14:paraId="675583AF" w14:textId="77777777" w:rsidR="00B057B1" w:rsidRPr="008D34D9" w:rsidRDefault="00B057B1" w:rsidP="00B057B1">
      <w:pPr>
        <w:spacing w:line="360" w:lineRule="auto"/>
        <w:ind w:right="567"/>
        <w:jc w:val="both"/>
        <w:rPr>
          <w:rFonts w:ascii="Palatino Linotype" w:hAnsi="Palatino Linotype"/>
          <w:b/>
        </w:rPr>
      </w:pPr>
    </w:p>
    <w:p w14:paraId="56A9CFE0"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8D34D9">
        <w:rPr>
          <w:rFonts w:ascii="Palatino Linotype" w:eastAsia="Calibri" w:hAnsi="Palatino Linotype" w:cs="Arial"/>
          <w:lang w:val="es-AR" w:eastAsia="es-ES"/>
        </w:rPr>
        <w:t xml:space="preserve">El </w:t>
      </w:r>
      <w:r w:rsidR="00C226F0" w:rsidRPr="008D34D9">
        <w:rPr>
          <w:rFonts w:ascii="Palatino Linotype" w:eastAsia="Calibri" w:hAnsi="Palatino Linotype" w:cs="Arial"/>
          <w:lang w:val="es-AR" w:eastAsia="es-ES"/>
        </w:rPr>
        <w:t>veintiséis (26) de octubre</w:t>
      </w:r>
      <w:r w:rsidRPr="008D34D9">
        <w:rPr>
          <w:rFonts w:ascii="Palatino Linotype" w:eastAsia="Calibri" w:hAnsi="Palatino Linotype" w:cs="Arial"/>
          <w:lang w:val="es-AR" w:eastAsia="es-ES"/>
        </w:rPr>
        <w:t xml:space="preserve"> de dos mil veintidós</w:t>
      </w:r>
      <w:r w:rsidRPr="008D34D9">
        <w:rPr>
          <w:rFonts w:ascii="Palatino Linotype" w:hAnsi="Palatino Linotype" w:cs="Arial"/>
          <w:lang w:val="es-ES" w:eastAsia="es-ES"/>
        </w:rPr>
        <w:t xml:space="preserve">, </w:t>
      </w:r>
      <w:r w:rsidRPr="008D34D9">
        <w:rPr>
          <w:rFonts w:ascii="Palatino Linotype" w:eastAsiaTheme="minorEastAsia" w:hAnsi="Palatino Linotype"/>
          <w:b/>
          <w:lang w:val="es-ES_tradnl" w:eastAsia="es-ES"/>
        </w:rPr>
        <w:t>EL RECURRENTE</w:t>
      </w:r>
      <w:r w:rsidRPr="008D34D9">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3C786D6F" w14:textId="77777777" w:rsidR="00B057B1" w:rsidRPr="008D34D9" w:rsidRDefault="00B057B1" w:rsidP="00B057B1">
      <w:pPr>
        <w:spacing w:line="360" w:lineRule="auto"/>
        <w:ind w:left="567" w:right="567"/>
        <w:contextualSpacing/>
        <w:jc w:val="both"/>
        <w:rPr>
          <w:rFonts w:ascii="Palatino Linotype" w:eastAsia="Calibri" w:hAnsi="Palatino Linotype" w:cs="Arial"/>
          <w:i/>
          <w:sz w:val="22"/>
          <w:lang w:val="es-ES" w:eastAsia="es-ES"/>
        </w:rPr>
      </w:pPr>
      <w:r w:rsidRPr="008D34D9">
        <w:rPr>
          <w:rFonts w:ascii="Palatino Linotype" w:eastAsiaTheme="minorEastAsia" w:hAnsi="Palatino Linotype"/>
          <w:b/>
          <w:sz w:val="22"/>
          <w:lang w:val="es-ES_tradnl" w:eastAsia="es-ES"/>
        </w:rPr>
        <w:t>Acto impugnado</w:t>
      </w:r>
      <w:r w:rsidRPr="008D34D9">
        <w:rPr>
          <w:rFonts w:ascii="Palatino Linotype" w:eastAsiaTheme="minorEastAsia" w:hAnsi="Palatino Linotype"/>
          <w:b/>
          <w:i/>
          <w:sz w:val="22"/>
          <w:lang w:val="es-ES_tradnl" w:eastAsia="es-ES"/>
        </w:rPr>
        <w:t>:</w:t>
      </w:r>
      <w:r w:rsidRPr="008D34D9">
        <w:rPr>
          <w:rFonts w:ascii="Palatino Linotype" w:hAnsi="Palatino Linotype"/>
          <w:i/>
          <w:color w:val="000000"/>
          <w:sz w:val="22"/>
        </w:rPr>
        <w:t xml:space="preserve"> “</w:t>
      </w:r>
      <w:r w:rsidR="00C226F0" w:rsidRPr="008D34D9">
        <w:rPr>
          <w:rFonts w:ascii="Palatino Linotype" w:hAnsi="Palatino Linotype"/>
          <w:i/>
          <w:color w:val="000000"/>
          <w:sz w:val="22"/>
        </w:rPr>
        <w:t>LA RESPUESTA DEL SUJETO OBLIGADO</w:t>
      </w:r>
      <w:r w:rsidRPr="008D34D9">
        <w:rPr>
          <w:rFonts w:ascii="Palatino Linotype" w:hAnsi="Palatino Linotype"/>
          <w:i/>
          <w:color w:val="000000"/>
          <w:sz w:val="22"/>
        </w:rPr>
        <w:t xml:space="preserve">” </w:t>
      </w:r>
      <w:r w:rsidRPr="008D34D9">
        <w:rPr>
          <w:rFonts w:ascii="Palatino Linotype" w:hAnsi="Palatino Linotype"/>
          <w:color w:val="000000"/>
          <w:sz w:val="22"/>
        </w:rPr>
        <w:t>(Sic)</w:t>
      </w:r>
    </w:p>
    <w:p w14:paraId="08CDB9BD" w14:textId="77777777" w:rsidR="00B057B1" w:rsidRPr="008D34D9" w:rsidRDefault="00B057B1" w:rsidP="00B057B1">
      <w:pPr>
        <w:spacing w:line="360" w:lineRule="auto"/>
        <w:ind w:left="567" w:right="567"/>
        <w:contextualSpacing/>
        <w:jc w:val="both"/>
        <w:rPr>
          <w:rFonts w:ascii="Palatino Linotype" w:hAnsi="Palatino Linotype"/>
          <w:i/>
          <w:color w:val="000000"/>
          <w:sz w:val="22"/>
        </w:rPr>
      </w:pPr>
      <w:r w:rsidRPr="008D34D9">
        <w:rPr>
          <w:rFonts w:ascii="Palatino Linotype" w:eastAsiaTheme="minorEastAsia" w:hAnsi="Palatino Linotype"/>
          <w:b/>
          <w:sz w:val="22"/>
          <w:lang w:val="es-ES_tradnl" w:eastAsia="es-ES"/>
        </w:rPr>
        <w:t>Razones o Motivos de inconformidad: “</w:t>
      </w:r>
      <w:r w:rsidR="00C226F0" w:rsidRPr="008D34D9">
        <w:rPr>
          <w:rFonts w:ascii="Palatino Linotype" w:hAnsi="Palatino Linotype"/>
          <w:i/>
          <w:color w:val="000000"/>
          <w:sz w:val="22"/>
        </w:rPr>
        <w:t xml:space="preserve">IMPUGNO LA RESPUESTA POR PARTE DEL SUJETO OBLIGADO TODA VEZ QUE NO HACE ENTREGA DE LA LISTA </w:t>
      </w:r>
      <w:r w:rsidR="00C226F0" w:rsidRPr="008D34D9">
        <w:rPr>
          <w:rFonts w:ascii="Palatino Linotype" w:hAnsi="Palatino Linotype"/>
          <w:i/>
          <w:color w:val="000000"/>
          <w:sz w:val="22"/>
        </w:rPr>
        <w:lastRenderedPageBreak/>
        <w:t>DE RAYA QUE TAMBIÉN LE FUE REQUERIDA EN LA SOLICITUD DE INFORMACIÓN</w:t>
      </w:r>
      <w:r w:rsidRPr="008D34D9">
        <w:rPr>
          <w:rFonts w:ascii="Palatino Linotype" w:hAnsi="Palatino Linotype"/>
          <w:i/>
          <w:color w:val="000000"/>
          <w:sz w:val="22"/>
        </w:rPr>
        <w:t xml:space="preserve">” </w:t>
      </w:r>
      <w:r w:rsidRPr="008D34D9">
        <w:rPr>
          <w:rFonts w:ascii="Palatino Linotype" w:hAnsi="Palatino Linotype"/>
          <w:color w:val="000000"/>
          <w:sz w:val="22"/>
        </w:rPr>
        <w:t>(Sic)</w:t>
      </w:r>
    </w:p>
    <w:bookmarkEnd w:id="1"/>
    <w:bookmarkEnd w:id="2"/>
    <w:bookmarkEnd w:id="3"/>
    <w:p w14:paraId="575B3E6F" w14:textId="77777777" w:rsidR="00B057B1" w:rsidRPr="008D34D9" w:rsidRDefault="00B057B1" w:rsidP="00B057B1">
      <w:pPr>
        <w:tabs>
          <w:tab w:val="left" w:pos="6197"/>
        </w:tabs>
        <w:spacing w:line="360" w:lineRule="auto"/>
        <w:jc w:val="both"/>
        <w:rPr>
          <w:rFonts w:ascii="Palatino Linotype" w:eastAsia="Calibri" w:hAnsi="Palatino Linotype" w:cs="Arial"/>
          <w:lang w:val="es-AR" w:eastAsia="es-ES"/>
        </w:rPr>
      </w:pPr>
    </w:p>
    <w:p w14:paraId="6276F9B2" w14:textId="66A161C5" w:rsidR="00B057B1" w:rsidRPr="008D34D9" w:rsidRDefault="00B057B1" w:rsidP="00B057B1">
      <w:pPr>
        <w:numPr>
          <w:ilvl w:val="0"/>
          <w:numId w:val="1"/>
        </w:numPr>
        <w:spacing w:line="360" w:lineRule="auto"/>
        <w:ind w:left="0" w:firstLine="0"/>
        <w:contextualSpacing/>
        <w:jc w:val="both"/>
        <w:rPr>
          <w:rFonts w:ascii="Palatino Linotype" w:eastAsia="Calibri" w:hAnsi="Palatino Linotype" w:cs="Arial"/>
          <w:lang w:val="es-AR" w:eastAsia="es-ES"/>
        </w:rPr>
      </w:pPr>
      <w:r w:rsidRPr="008D34D9">
        <w:rPr>
          <w:rFonts w:ascii="Palatino Linotype" w:hAnsi="Palatino Linotype" w:cs="Arial"/>
          <w:lang w:val="es-ES" w:eastAsia="es-ES"/>
        </w:rPr>
        <w:t xml:space="preserve">Se registró el recurso de revisión bajo el número de expediente </w:t>
      </w:r>
      <w:r w:rsidRPr="008D34D9">
        <w:rPr>
          <w:rFonts w:ascii="Palatino Linotype" w:eastAsiaTheme="minorEastAsia" w:hAnsi="Palatino Linotype" w:cs="Arial"/>
          <w:bCs/>
          <w:lang w:val="es-ES_tradnl" w:eastAsia="es-ES"/>
        </w:rPr>
        <w:t xml:space="preserve">al rubro indicado, asimismo con fundamento en lo dispuesto por el </w:t>
      </w:r>
      <w:r w:rsidRPr="008D34D9">
        <w:rPr>
          <w:rFonts w:ascii="Palatino Linotype" w:eastAsia="Calibri" w:hAnsi="Palatino Linotype" w:cs="Arial"/>
          <w:lang w:val="es-ES" w:eastAsia="es-ES"/>
        </w:rPr>
        <w:t xml:space="preserve">artículo 185 fracción I de la </w:t>
      </w:r>
      <w:r w:rsidRPr="008D34D9">
        <w:rPr>
          <w:rFonts w:ascii="Palatino Linotype" w:eastAsia="Calibri" w:hAnsi="Palatino Linotype" w:cs="Arial"/>
          <w:b/>
          <w:lang w:val="es-ES" w:eastAsia="es-ES"/>
        </w:rPr>
        <w:t xml:space="preserve">Ley de Transparencia y Acceso a la Información Pública del Estado de México y Municipios </w:t>
      </w:r>
      <w:r w:rsidRPr="008D34D9">
        <w:rPr>
          <w:rFonts w:ascii="Palatino Linotype" w:hAnsi="Palatino Linotype" w:cs="Arial"/>
          <w:lang w:val="es-ES" w:eastAsia="es-ES"/>
        </w:rPr>
        <w:t xml:space="preserve">se turnó a la </w:t>
      </w:r>
      <w:r w:rsidRPr="008D34D9">
        <w:rPr>
          <w:rFonts w:ascii="Palatino Linotype" w:hAnsi="Palatino Linotype" w:cs="Arial"/>
          <w:b/>
          <w:lang w:val="es-ES" w:eastAsia="es-ES"/>
        </w:rPr>
        <w:t xml:space="preserve">Comisionada María del Rosario Mejía Ayala, </w:t>
      </w:r>
      <w:r w:rsidR="003B74F5" w:rsidRPr="008D34D9">
        <w:rPr>
          <w:rFonts w:ascii="Palatino Linotype" w:hAnsi="Palatino Linotype" w:cs="Arial"/>
          <w:lang w:val="es-ES" w:eastAsia="es-ES"/>
        </w:rPr>
        <w:t>para</w:t>
      </w:r>
      <w:r w:rsidRPr="008D34D9">
        <w:rPr>
          <w:rFonts w:ascii="Palatino Linotype" w:hAnsi="Palatino Linotype" w:cs="Arial"/>
          <w:lang w:val="es-ES" w:eastAsia="es-ES"/>
        </w:rPr>
        <w:t xml:space="preserve"> </w:t>
      </w:r>
      <w:r w:rsidRPr="008D34D9">
        <w:rPr>
          <w:rFonts w:ascii="Palatino Linotype" w:hAnsi="Palatino Linotype" w:cs="Arial"/>
          <w:lang w:eastAsia="es-ES"/>
        </w:rPr>
        <w:t xml:space="preserve">su análisis. </w:t>
      </w:r>
    </w:p>
    <w:p w14:paraId="0956058C" w14:textId="77777777" w:rsidR="00B057B1" w:rsidRPr="008D34D9" w:rsidRDefault="00B057B1" w:rsidP="00B057B1">
      <w:pPr>
        <w:spacing w:line="360" w:lineRule="auto"/>
        <w:contextualSpacing/>
        <w:jc w:val="both"/>
        <w:rPr>
          <w:rFonts w:ascii="Palatino Linotype" w:eastAsia="Calibri" w:hAnsi="Palatino Linotype" w:cs="Arial"/>
          <w:lang w:val="es-AR" w:eastAsia="es-ES"/>
        </w:rPr>
      </w:pPr>
    </w:p>
    <w:p w14:paraId="441F8435" w14:textId="7F7BF007" w:rsidR="00C226F0" w:rsidRPr="008D34D9" w:rsidRDefault="003B74F5"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8D34D9">
        <w:rPr>
          <w:rFonts w:ascii="Palatino Linotype" w:eastAsia="Calibri" w:hAnsi="Palatino Linotype" w:cs="Arial"/>
          <w:lang w:val="es-ES" w:eastAsia="es-ES"/>
        </w:rPr>
        <w:t>La Comisionada</w:t>
      </w:r>
      <w:r w:rsidR="00B057B1" w:rsidRPr="008D34D9">
        <w:rPr>
          <w:rFonts w:ascii="Palatino Linotype" w:eastAsia="Calibri" w:hAnsi="Palatino Linotype" w:cs="Arial"/>
          <w:lang w:val="es-ES" w:eastAsia="es-ES"/>
        </w:rPr>
        <w:t xml:space="preserve"> Ponente con fundamento en lo dispuesto por el artículo 185 fracción II de la ley de la materia, a través del acuerdo de admisión </w:t>
      </w:r>
      <w:r w:rsidR="00C226F0" w:rsidRPr="008D34D9">
        <w:rPr>
          <w:rFonts w:ascii="Palatino Linotype" w:eastAsia="Calibri" w:hAnsi="Palatino Linotype" w:cs="Arial"/>
          <w:lang w:val="es-ES" w:eastAsia="es-ES"/>
        </w:rPr>
        <w:t xml:space="preserve">del siete (07) de noviembre </w:t>
      </w:r>
      <w:r w:rsidR="00B057B1" w:rsidRPr="008D34D9">
        <w:rPr>
          <w:rFonts w:ascii="Palatino Linotype" w:eastAsia="Calibri" w:hAnsi="Palatino Linotype" w:cs="Arial"/>
          <w:lang w:val="es-ES" w:eastAsia="es-ES"/>
        </w:rPr>
        <w:t xml:space="preserve">de dos mil veintidós, puso a disposición de las partes el expediente electrónico </w:t>
      </w:r>
      <w:r w:rsidR="00B057B1" w:rsidRPr="008D34D9">
        <w:rPr>
          <w:rFonts w:ascii="Palatino Linotype" w:eastAsia="Calibri" w:hAnsi="Palatino Linotype" w:cs="Arial"/>
          <w:lang w:val="es-ES_tradnl" w:eastAsia="es-ES"/>
        </w:rPr>
        <w:t xml:space="preserve">vía </w:t>
      </w:r>
      <w:r w:rsidR="00B057B1" w:rsidRPr="008D34D9">
        <w:rPr>
          <w:rFonts w:ascii="Palatino Linotype" w:eastAsia="Calibri" w:hAnsi="Palatino Linotype" w:cs="Arial"/>
          <w:b/>
          <w:lang w:val="es-ES" w:eastAsia="es-ES"/>
        </w:rPr>
        <w:t xml:space="preserve">SAIMEX </w:t>
      </w:r>
      <w:r w:rsidR="00B057B1" w:rsidRPr="008D34D9">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B057B1" w:rsidRPr="008D34D9">
        <w:rPr>
          <w:rFonts w:ascii="Palatino Linotype" w:eastAsia="Calibri" w:hAnsi="Palatino Linotype" w:cs="Arial"/>
          <w:b/>
          <w:lang w:val="es-ES" w:eastAsia="es-ES"/>
        </w:rPr>
        <w:t>SUJETO OBLIGADO</w:t>
      </w:r>
      <w:r w:rsidR="00B057B1" w:rsidRPr="008D34D9">
        <w:rPr>
          <w:rFonts w:ascii="Palatino Linotype" w:eastAsia="Calibri" w:hAnsi="Palatino Linotype" w:cs="Arial"/>
          <w:lang w:val="es-ES" w:eastAsia="es-ES"/>
        </w:rPr>
        <w:t xml:space="preserve"> presentara el informe justificado procedente. </w:t>
      </w:r>
    </w:p>
    <w:p w14:paraId="081FAF83" w14:textId="77777777" w:rsidR="00C226F0" w:rsidRPr="008D34D9" w:rsidRDefault="00C226F0" w:rsidP="00C226F0">
      <w:pPr>
        <w:pStyle w:val="Prrafodelista"/>
        <w:rPr>
          <w:rFonts w:ascii="Palatino Linotype" w:eastAsia="Calibri" w:hAnsi="Palatino Linotype" w:cs="Arial"/>
          <w:sz w:val="24"/>
          <w:lang w:val="es-ES" w:eastAsia="es-ES"/>
        </w:rPr>
      </w:pPr>
    </w:p>
    <w:p w14:paraId="429CE84A"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sidRPr="008D34D9">
        <w:rPr>
          <w:rFonts w:ascii="Palatino Linotype" w:eastAsia="Calibri" w:hAnsi="Palatino Linotype" w:cs="Arial"/>
          <w:lang w:val="es-ES" w:eastAsia="es-ES"/>
        </w:rPr>
        <w:t>De las constancias se advierte, que el particular no realizó manifestaciones; por</w:t>
      </w:r>
      <w:r w:rsidR="00C226F0" w:rsidRPr="008D34D9">
        <w:rPr>
          <w:rFonts w:ascii="Palatino Linotype" w:eastAsia="Calibri" w:hAnsi="Palatino Linotype" w:cs="Arial"/>
          <w:lang w:val="es-ES" w:eastAsia="es-ES"/>
        </w:rPr>
        <w:t xml:space="preserve"> su parte, el Sujeto Obligado  remitió informe justificado el nueve (09) de noviembre de dos mil veintidós a través de los archivos que se describen enseguida:</w:t>
      </w:r>
    </w:p>
    <w:p w14:paraId="18884576" w14:textId="77777777" w:rsidR="00C226F0" w:rsidRPr="008D34D9" w:rsidRDefault="00C226F0" w:rsidP="00C226F0">
      <w:pPr>
        <w:pStyle w:val="Prrafodelista"/>
        <w:rPr>
          <w:rFonts w:ascii="Palatino Linotype" w:eastAsiaTheme="minorEastAsia" w:hAnsi="Palatino Linotype" w:cstheme="minorBidi"/>
          <w:i/>
          <w:color w:val="000000"/>
          <w:lang w:val="es-ES_tradnl" w:eastAsia="es-ES"/>
        </w:rPr>
      </w:pPr>
    </w:p>
    <w:p w14:paraId="3EDD8CE5" w14:textId="77777777" w:rsidR="00C226F0" w:rsidRPr="008D34D9" w:rsidRDefault="008D34D9" w:rsidP="00C226F0">
      <w:pPr>
        <w:spacing w:line="360" w:lineRule="auto"/>
        <w:contextualSpacing/>
        <w:jc w:val="both"/>
        <w:rPr>
          <w:rFonts w:ascii="Palatino Linotype" w:hAnsi="Palatino Linotype"/>
          <w:sz w:val="22"/>
        </w:rPr>
      </w:pPr>
      <w:hyperlink r:id="rId11" w:history="1">
        <w:r w:rsidR="00C226F0" w:rsidRPr="008D34D9">
          <w:rPr>
            <w:rStyle w:val="Hipervnculo"/>
            <w:rFonts w:ascii="Palatino Linotype" w:eastAsiaTheme="majorEastAsia" w:hAnsi="Palatino Linotype" w:cs="Arial"/>
            <w:b/>
            <w:bCs/>
            <w:color w:val="auto"/>
            <w:sz w:val="22"/>
          </w:rPr>
          <w:t>ALEGATOS 15823.pdf</w:t>
        </w:r>
      </w:hyperlink>
      <w:r w:rsidR="00C226F0" w:rsidRPr="008D34D9">
        <w:rPr>
          <w:rFonts w:ascii="Palatino Linotype" w:hAnsi="Palatino Linotype"/>
          <w:sz w:val="22"/>
        </w:rPr>
        <w:t>:</w:t>
      </w:r>
      <w:r w:rsidR="00D346CE" w:rsidRPr="008D34D9">
        <w:rPr>
          <w:rFonts w:ascii="Palatino Linotype" w:hAnsi="Palatino Linotype"/>
          <w:sz w:val="22"/>
        </w:rPr>
        <w:t xml:space="preserve"> Oficio DGA/SPAI/2767/11/2022 suscrito por la Directora General de Administración en el que de forma medular confirmó su respuesta y señaló que proporcionó URL donde puede consultar la lista de raya.</w:t>
      </w:r>
    </w:p>
    <w:p w14:paraId="5472FC8A" w14:textId="77777777" w:rsidR="00D346CE" w:rsidRPr="008D34D9" w:rsidRDefault="00D346CE" w:rsidP="00C226F0">
      <w:pPr>
        <w:spacing w:line="360" w:lineRule="auto"/>
        <w:contextualSpacing/>
        <w:jc w:val="both"/>
        <w:rPr>
          <w:rFonts w:ascii="Palatino Linotype" w:hAnsi="Palatino Linotype"/>
          <w:sz w:val="22"/>
        </w:rPr>
      </w:pPr>
    </w:p>
    <w:p w14:paraId="5A4F21AF" w14:textId="77777777" w:rsidR="00C226F0" w:rsidRPr="008D34D9" w:rsidRDefault="008D34D9" w:rsidP="00C226F0">
      <w:pPr>
        <w:spacing w:line="360" w:lineRule="auto"/>
        <w:contextualSpacing/>
        <w:jc w:val="both"/>
        <w:rPr>
          <w:rFonts w:ascii="Palatino Linotype" w:eastAsiaTheme="minorEastAsia" w:hAnsi="Palatino Linotype" w:cstheme="minorBidi"/>
          <w:i/>
          <w:sz w:val="22"/>
          <w:lang w:val="es-ES_tradnl" w:eastAsia="es-ES"/>
        </w:rPr>
      </w:pPr>
      <w:hyperlink r:id="rId12" w:history="1">
        <w:r w:rsidR="00C226F0" w:rsidRPr="008D34D9">
          <w:rPr>
            <w:rStyle w:val="Hipervnculo"/>
            <w:rFonts w:ascii="Palatino Linotype" w:eastAsiaTheme="majorEastAsia" w:hAnsi="Palatino Linotype" w:cs="Arial"/>
            <w:b/>
            <w:bCs/>
            <w:color w:val="auto"/>
            <w:sz w:val="22"/>
          </w:rPr>
          <w:t>INFORME JUSTIFICADO RR 15823 2022.pdf</w:t>
        </w:r>
      </w:hyperlink>
      <w:r w:rsidR="00C226F0" w:rsidRPr="008D34D9">
        <w:rPr>
          <w:rFonts w:ascii="Palatino Linotype" w:hAnsi="Palatino Linotype"/>
          <w:sz w:val="22"/>
        </w:rPr>
        <w:t>:</w:t>
      </w:r>
      <w:r w:rsidR="00D346CE" w:rsidRPr="008D34D9">
        <w:rPr>
          <w:rFonts w:ascii="Palatino Linotype" w:hAnsi="Palatino Linotype"/>
          <w:sz w:val="22"/>
        </w:rPr>
        <w:t xml:space="preserve"> Informe justificado suscrito por la Titular de la Unidad de Transparencia en el que confirmó la respuesta. </w:t>
      </w:r>
    </w:p>
    <w:p w14:paraId="28CC1177"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37C6C25F"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eastAsiaTheme="minorEastAsia" w:hAnsi="Palatino Linotype"/>
          <w:lang w:val="es-ES_tradnl" w:eastAsia="es-ES"/>
        </w:rPr>
        <w:t xml:space="preserve">El </w:t>
      </w:r>
      <w:r w:rsidR="007541A6" w:rsidRPr="008D34D9">
        <w:rPr>
          <w:rFonts w:ascii="Palatino Linotype" w:eastAsiaTheme="minorEastAsia" w:hAnsi="Palatino Linotype"/>
          <w:lang w:val="es-ES_tradnl" w:eastAsia="es-ES"/>
        </w:rPr>
        <w:t>dieciséis (16) de junio de dos mil veintitrés</w:t>
      </w:r>
      <w:r w:rsidRPr="008D34D9">
        <w:rPr>
          <w:rFonts w:ascii="Palatino Linotype" w:eastAsiaTheme="minorEastAsia" w:hAnsi="Palatino Linotype"/>
          <w:lang w:val="es-ES_tradnl" w:eastAsia="es-ES"/>
        </w:rPr>
        <w:t xml:space="preserve">, se notificó el acuerdo mediante el cual se aprobó la ampliación de plazo para emitir resolución. </w:t>
      </w:r>
    </w:p>
    <w:p w14:paraId="5F1B7C91"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3C86C082"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8942268"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05F8A7D5"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F4B44C3"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7599B106"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94772A"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AC6244"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7142CD00" w14:textId="77777777" w:rsidR="00B057B1" w:rsidRPr="008D34D9"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8D34D9">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0DE199EB" w14:textId="2EAAB034" w:rsidR="00B057B1" w:rsidRPr="008D34D9" w:rsidRDefault="003B74F5" w:rsidP="00B057B1">
      <w:pPr>
        <w:pStyle w:val="Prrafodelista"/>
        <w:spacing w:before="240" w:after="240" w:line="360" w:lineRule="auto"/>
        <w:ind w:left="284"/>
        <w:jc w:val="both"/>
        <w:rPr>
          <w:rFonts w:ascii="Palatino Linotype" w:hAnsi="Palatino Linotype"/>
        </w:rPr>
      </w:pPr>
      <w:r w:rsidRPr="008D34D9">
        <w:rPr>
          <w:rFonts w:ascii="Palatino Linotype" w:hAnsi="Palatino Linotype"/>
        </w:rPr>
        <w:t xml:space="preserve">a)  </w:t>
      </w:r>
      <w:r w:rsidR="00B057B1" w:rsidRPr="008D34D9">
        <w:rPr>
          <w:rFonts w:ascii="Palatino Linotype" w:hAnsi="Palatino Linotype"/>
        </w:rPr>
        <w:t>Complejidad del asunto: La complejidad de la prueba, la pluralidad de sujetos procesales, el tiempo transcurrido, las características y contexto del recurso.</w:t>
      </w:r>
    </w:p>
    <w:p w14:paraId="33A99688" w14:textId="77777777" w:rsidR="00B057B1" w:rsidRPr="008D34D9" w:rsidRDefault="00B057B1" w:rsidP="00B057B1">
      <w:pPr>
        <w:pStyle w:val="Prrafodelista"/>
        <w:spacing w:before="240" w:after="240" w:line="360" w:lineRule="auto"/>
        <w:ind w:left="284"/>
        <w:jc w:val="both"/>
        <w:rPr>
          <w:rFonts w:ascii="Palatino Linotype" w:hAnsi="Palatino Linotype"/>
        </w:rPr>
      </w:pPr>
      <w:r w:rsidRPr="008D34D9">
        <w:rPr>
          <w:rFonts w:ascii="Palatino Linotype" w:hAnsi="Palatino Linotype"/>
        </w:rPr>
        <w:t>b)     Actividad Procesal del interesado: Acciones u omisiones del interesado.</w:t>
      </w:r>
    </w:p>
    <w:p w14:paraId="10097781" w14:textId="76AA617F" w:rsidR="00B057B1" w:rsidRPr="008D34D9" w:rsidRDefault="00B057B1" w:rsidP="00B057B1">
      <w:pPr>
        <w:pStyle w:val="Prrafodelista"/>
        <w:spacing w:before="240" w:after="240" w:line="360" w:lineRule="auto"/>
        <w:ind w:left="284"/>
        <w:jc w:val="both"/>
        <w:rPr>
          <w:rFonts w:ascii="Palatino Linotype" w:hAnsi="Palatino Linotype"/>
        </w:rPr>
      </w:pPr>
      <w:r w:rsidRPr="008D34D9">
        <w:rPr>
          <w:rFonts w:ascii="Palatino Linotype" w:hAnsi="Palatino Linotype"/>
        </w:rPr>
        <w:t>c)     Conducta de la Autoridad: Las Acciones u omisiones realizadas en el procedimiento. Así como si la autoridad actuó con la debida diligencia.</w:t>
      </w:r>
    </w:p>
    <w:p w14:paraId="1735AFC0" w14:textId="65367EC6" w:rsidR="00B057B1" w:rsidRPr="008D34D9" w:rsidRDefault="00B057B1" w:rsidP="00B057B1">
      <w:pPr>
        <w:pStyle w:val="Prrafodelista"/>
        <w:spacing w:before="240" w:after="240" w:line="360" w:lineRule="auto"/>
        <w:ind w:left="284"/>
        <w:jc w:val="both"/>
        <w:rPr>
          <w:rFonts w:ascii="Palatino Linotype" w:hAnsi="Palatino Linotype"/>
        </w:rPr>
      </w:pPr>
      <w:r w:rsidRPr="008D34D9">
        <w:rPr>
          <w:rFonts w:ascii="Palatino Linotype" w:hAnsi="Palatino Linotype"/>
        </w:rPr>
        <w:t xml:space="preserve">d) </w:t>
      </w:r>
      <w:r w:rsidR="003B74F5" w:rsidRPr="008D34D9">
        <w:rPr>
          <w:rFonts w:ascii="Palatino Linotype" w:hAnsi="Palatino Linotype"/>
        </w:rPr>
        <w:t xml:space="preserve">     </w:t>
      </w:r>
      <w:r w:rsidRPr="008D34D9">
        <w:rPr>
          <w:rFonts w:ascii="Palatino Linotype" w:hAnsi="Palatino Linotype"/>
        </w:rPr>
        <w:t>La afectación generada en la situación jurídica de la persona involucrada en el proceso: Violación a sus derechos humanos.</w:t>
      </w:r>
    </w:p>
    <w:p w14:paraId="01A417FE" w14:textId="77777777" w:rsidR="00B057B1" w:rsidRPr="008D34D9" w:rsidRDefault="00B057B1" w:rsidP="00B057B1">
      <w:pPr>
        <w:pStyle w:val="Prrafodelista"/>
        <w:spacing w:before="240" w:after="240" w:line="360" w:lineRule="auto"/>
        <w:ind w:left="0"/>
        <w:jc w:val="both"/>
        <w:rPr>
          <w:rFonts w:ascii="Palatino Linotype" w:hAnsi="Palatino Linotype"/>
          <w:sz w:val="24"/>
        </w:rPr>
      </w:pPr>
    </w:p>
    <w:p w14:paraId="0F392A71" w14:textId="77777777" w:rsidR="00B057B1" w:rsidRPr="008D34D9"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1DE940" w14:textId="77777777" w:rsidR="00B057B1" w:rsidRPr="008D34D9" w:rsidRDefault="00B057B1" w:rsidP="00B057B1">
      <w:pPr>
        <w:pStyle w:val="Prrafodelista"/>
        <w:spacing w:before="240" w:after="240" w:line="360" w:lineRule="auto"/>
        <w:ind w:left="0"/>
        <w:jc w:val="both"/>
        <w:rPr>
          <w:rFonts w:ascii="Palatino Linotype" w:hAnsi="Palatino Linotype"/>
          <w:sz w:val="24"/>
        </w:rPr>
      </w:pPr>
    </w:p>
    <w:p w14:paraId="598A0411" w14:textId="77777777" w:rsidR="00B057B1" w:rsidRPr="008D34D9"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w:t>
      </w:r>
      <w:r w:rsidRPr="008D34D9">
        <w:rPr>
          <w:rFonts w:ascii="Palatino Linotype" w:hAnsi="Palatino Linotype"/>
          <w:sz w:val="24"/>
        </w:rPr>
        <w:lastRenderedPageBreak/>
        <w:t>INDEBIDAMENTE POR NO RESPETARLOS SE DEBE ATENDER AL PRESUPUESTO QUE CONSIDERÓ EL LEGISLADOR AL FIJARLOS Y LAS CARACTERÍSTICAS DEL CASO.”, visible en la Gaceta del Seminario Judicial de la Federación con el registro digital 205635.</w:t>
      </w:r>
    </w:p>
    <w:p w14:paraId="1ECAF122" w14:textId="77777777" w:rsidR="00B057B1" w:rsidRPr="008D34D9" w:rsidRDefault="00B057B1" w:rsidP="00B057B1">
      <w:pPr>
        <w:pStyle w:val="Prrafodelista"/>
        <w:ind w:left="0"/>
        <w:rPr>
          <w:rFonts w:ascii="Palatino Linotype" w:hAnsi="Palatino Linotype"/>
          <w:sz w:val="24"/>
        </w:rPr>
      </w:pPr>
    </w:p>
    <w:p w14:paraId="6A916530" w14:textId="77777777" w:rsidR="00B057B1" w:rsidRPr="008D34D9"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6E3D959" w14:textId="77777777" w:rsidR="00B057B1" w:rsidRPr="008D34D9" w:rsidRDefault="00B057B1" w:rsidP="00B057B1">
      <w:pPr>
        <w:pStyle w:val="Prrafodelista"/>
        <w:spacing w:before="240" w:after="240" w:line="360" w:lineRule="auto"/>
        <w:ind w:left="0"/>
        <w:jc w:val="both"/>
        <w:rPr>
          <w:rFonts w:ascii="Palatino Linotype" w:hAnsi="Palatino Linotype"/>
          <w:sz w:val="24"/>
        </w:rPr>
      </w:pPr>
    </w:p>
    <w:p w14:paraId="4E160F49" w14:textId="77777777" w:rsidR="00B057B1" w:rsidRPr="008D34D9"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554933" w14:textId="016B30BD" w:rsidR="00B057B1" w:rsidRPr="008D34D9" w:rsidRDefault="003B74F5" w:rsidP="00B057B1">
      <w:pPr>
        <w:pStyle w:val="Prrafodelista"/>
        <w:rPr>
          <w:rFonts w:ascii="Palatino Linotype" w:hAnsi="Palatino Linotype"/>
        </w:rPr>
      </w:pPr>
      <w:r w:rsidRPr="008D34D9">
        <w:rPr>
          <w:rFonts w:ascii="Palatino Linotype" w:hAnsi="Palatino Linotype"/>
        </w:rPr>
        <w:t xml:space="preserve"> </w:t>
      </w:r>
    </w:p>
    <w:p w14:paraId="45E5EFA9" w14:textId="77777777" w:rsidR="00B057B1" w:rsidRPr="008D34D9" w:rsidRDefault="00B057B1" w:rsidP="00B057B1">
      <w:pPr>
        <w:pStyle w:val="Prrafodelista"/>
        <w:spacing w:before="240" w:after="240" w:line="360" w:lineRule="auto"/>
        <w:ind w:left="567"/>
        <w:jc w:val="both"/>
        <w:rPr>
          <w:rFonts w:ascii="Palatino Linotype" w:hAnsi="Palatino Linotype"/>
        </w:rPr>
      </w:pPr>
      <w:r w:rsidRPr="008D34D9">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212800D6" w14:textId="77777777" w:rsidR="007C569B" w:rsidRPr="008D34D9" w:rsidRDefault="007C569B" w:rsidP="00B057B1">
      <w:pPr>
        <w:pStyle w:val="Prrafodelista"/>
        <w:spacing w:before="240" w:after="240" w:line="360" w:lineRule="auto"/>
        <w:ind w:left="567"/>
        <w:jc w:val="both"/>
        <w:rPr>
          <w:rFonts w:ascii="Palatino Linotype" w:hAnsi="Palatino Linotype"/>
        </w:rPr>
      </w:pPr>
    </w:p>
    <w:p w14:paraId="16B4CE70" w14:textId="77777777" w:rsidR="00B057B1" w:rsidRPr="008D34D9" w:rsidRDefault="00B057B1" w:rsidP="00B057B1">
      <w:pPr>
        <w:pStyle w:val="Prrafodelista"/>
        <w:spacing w:before="240" w:after="240" w:line="360" w:lineRule="auto"/>
        <w:ind w:left="567"/>
        <w:jc w:val="both"/>
        <w:rPr>
          <w:rFonts w:ascii="Palatino Linotype" w:hAnsi="Palatino Linotype"/>
        </w:rPr>
      </w:pPr>
      <w:r w:rsidRPr="008D34D9">
        <w:rPr>
          <w:rFonts w:ascii="Palatino Linotype" w:hAnsi="Palatino Linotype"/>
        </w:rPr>
        <w:t xml:space="preserve">“PLAZO RAZONABLE PARA RESOLVER. CONCEPTO Y ELEMENTOS QUE LO INTEGRAN A LA LUZ DEL DERECHO INTERNACIONAL DE LOS DERECHOS </w:t>
      </w:r>
      <w:r w:rsidRPr="008D34D9">
        <w:rPr>
          <w:rFonts w:ascii="Palatino Linotype" w:hAnsi="Palatino Linotype"/>
        </w:rPr>
        <w:lastRenderedPageBreak/>
        <w:t>HUMANOS.”, visible en el Seminario Judicial de la Federación y su gaceta, con el registro digital 2002350.</w:t>
      </w:r>
    </w:p>
    <w:p w14:paraId="3160571C" w14:textId="77777777" w:rsidR="00B057B1" w:rsidRPr="008D34D9" w:rsidRDefault="00B057B1" w:rsidP="00B057B1">
      <w:pPr>
        <w:pStyle w:val="Prrafodelista"/>
        <w:spacing w:before="240" w:after="240" w:line="360" w:lineRule="auto"/>
        <w:ind w:left="708"/>
        <w:jc w:val="both"/>
        <w:rPr>
          <w:rFonts w:ascii="Palatino Linotype" w:hAnsi="Palatino Linotype"/>
          <w:sz w:val="24"/>
        </w:rPr>
      </w:pPr>
    </w:p>
    <w:p w14:paraId="57FA9E65" w14:textId="77777777" w:rsidR="00B057B1" w:rsidRPr="008D34D9" w:rsidRDefault="00B057B1" w:rsidP="00B057B1">
      <w:pPr>
        <w:pStyle w:val="Prrafodelista"/>
        <w:numPr>
          <w:ilvl w:val="0"/>
          <w:numId w:val="1"/>
        </w:numPr>
        <w:spacing w:line="360" w:lineRule="auto"/>
        <w:ind w:left="0" w:firstLine="0"/>
        <w:jc w:val="both"/>
        <w:rPr>
          <w:rFonts w:ascii="Palatino Linotype" w:hAnsi="Palatino Linotype" w:cs="Tahoma"/>
          <w:sz w:val="24"/>
        </w:rPr>
      </w:pPr>
      <w:r w:rsidRPr="008D34D9">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449B5EA2"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178A53CE" w14:textId="5490E546" w:rsidR="00B057B1" w:rsidRPr="008D34D9" w:rsidRDefault="003B74F5" w:rsidP="00B057B1">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8D34D9">
        <w:rPr>
          <w:rFonts w:ascii="Palatino Linotype" w:eastAsiaTheme="minorEastAsia" w:hAnsi="Palatino Linotype"/>
          <w:lang w:val="es-ES_tradnl" w:eastAsia="es-ES"/>
        </w:rPr>
        <w:t>La</w:t>
      </w:r>
      <w:r w:rsidR="00B057B1" w:rsidRPr="008D34D9">
        <w:rPr>
          <w:rFonts w:ascii="Palatino Linotype" w:eastAsiaTheme="minorEastAsia" w:hAnsi="Palatino Linotype"/>
          <w:lang w:val="es-ES_tradnl" w:eastAsia="es-ES"/>
        </w:rPr>
        <w:t xml:space="preserve"> Comisiona</w:t>
      </w:r>
      <w:r w:rsidRPr="008D34D9">
        <w:rPr>
          <w:rFonts w:ascii="Palatino Linotype" w:eastAsiaTheme="minorEastAsia" w:hAnsi="Palatino Linotype"/>
          <w:lang w:val="es-ES_tradnl" w:eastAsia="es-ES"/>
        </w:rPr>
        <w:t>da</w:t>
      </w:r>
      <w:r w:rsidR="00B057B1" w:rsidRPr="008D34D9">
        <w:rPr>
          <w:rFonts w:ascii="Palatino Linotype" w:eastAsiaTheme="minorEastAsia" w:hAnsi="Palatino Linotype"/>
          <w:lang w:val="es-ES_tradnl" w:eastAsia="es-ES"/>
        </w:rPr>
        <w:t xml:space="preserve"> Ponente decretó el cierre de instrucción</w:t>
      </w:r>
      <w:r w:rsidR="00B057B1" w:rsidRPr="008D34D9">
        <w:rPr>
          <w:rFonts w:ascii="Palatino Linotype" w:eastAsiaTheme="minorEastAsia" w:hAnsi="Palatino Linotype" w:cs="Arial"/>
          <w:lang w:val="es-ES_tradnl" w:eastAsia="es-ES"/>
        </w:rPr>
        <w:t xml:space="preserve"> </w:t>
      </w:r>
      <w:r w:rsidR="00B057B1" w:rsidRPr="008D34D9">
        <w:rPr>
          <w:rFonts w:ascii="Palatino Linotype" w:eastAsiaTheme="minorEastAsia" w:hAnsi="Palatino Linotype"/>
          <w:lang w:val="es-ES_tradnl" w:eastAsia="es-ES"/>
        </w:rPr>
        <w:t xml:space="preserve">mediante el acuerdo de fecha </w:t>
      </w:r>
      <w:r w:rsidR="007C569B" w:rsidRPr="008D34D9">
        <w:rPr>
          <w:rFonts w:ascii="Palatino Linotype" w:eastAsiaTheme="minorEastAsia" w:hAnsi="Palatino Linotype"/>
          <w:lang w:val="es-ES_tradnl" w:eastAsia="es-ES"/>
        </w:rPr>
        <w:t>veintisiete (27) de febrero  de dos mil veinticuatro</w:t>
      </w:r>
      <w:r w:rsidR="00B057B1" w:rsidRPr="008D34D9">
        <w:rPr>
          <w:rFonts w:ascii="Palatino Linotype" w:eastAsiaTheme="minorEastAsia" w:hAnsi="Palatino Linotype"/>
          <w:lang w:val="es-ES_tradnl" w:eastAsia="es-ES"/>
        </w:rPr>
        <w:t xml:space="preserve">. </w:t>
      </w:r>
    </w:p>
    <w:p w14:paraId="30BDCF58" w14:textId="77777777" w:rsidR="007C569B" w:rsidRPr="008D34D9" w:rsidRDefault="007C569B" w:rsidP="00B057B1">
      <w:pPr>
        <w:pStyle w:val="Prrafodelista"/>
        <w:spacing w:line="360" w:lineRule="auto"/>
        <w:ind w:left="0"/>
        <w:jc w:val="both"/>
        <w:rPr>
          <w:rFonts w:ascii="Palatino Linotype" w:eastAsiaTheme="minorEastAsia" w:hAnsi="Palatino Linotype"/>
          <w:i/>
          <w:color w:val="000000"/>
          <w:sz w:val="24"/>
          <w:lang w:val="es-ES_tradnl" w:eastAsia="es-ES"/>
        </w:rPr>
      </w:pPr>
    </w:p>
    <w:p w14:paraId="493C75DA" w14:textId="77777777" w:rsidR="00B057B1" w:rsidRPr="008D34D9" w:rsidRDefault="00B057B1" w:rsidP="00B057B1">
      <w:pPr>
        <w:keepNext/>
        <w:keepLines/>
        <w:spacing w:line="360" w:lineRule="auto"/>
        <w:jc w:val="center"/>
        <w:outlineLvl w:val="0"/>
        <w:rPr>
          <w:rFonts w:ascii="Palatino Linotype" w:eastAsiaTheme="majorEastAsia" w:hAnsi="Palatino Linotype" w:cstheme="majorBidi"/>
        </w:rPr>
      </w:pPr>
      <w:bookmarkStart w:id="4" w:name="_Toc83301634"/>
      <w:r w:rsidRPr="008D34D9">
        <w:rPr>
          <w:rFonts w:ascii="Palatino Linotype" w:eastAsiaTheme="majorEastAsia" w:hAnsi="Palatino Linotype" w:cstheme="majorBidi"/>
          <w:b/>
        </w:rPr>
        <w:t>CONSIDERANDO</w:t>
      </w:r>
      <w:bookmarkEnd w:id="4"/>
      <w:r w:rsidRPr="008D34D9">
        <w:rPr>
          <w:rFonts w:ascii="Palatino Linotype" w:eastAsiaTheme="majorEastAsia" w:hAnsi="Palatino Linotype" w:cstheme="majorBidi"/>
          <w:b/>
        </w:rPr>
        <w:t xml:space="preserve"> </w:t>
      </w:r>
    </w:p>
    <w:p w14:paraId="2F81FF5E" w14:textId="77777777" w:rsidR="00B057B1" w:rsidRPr="008D34D9" w:rsidRDefault="00B057B1" w:rsidP="00B057B1">
      <w:pPr>
        <w:spacing w:line="360" w:lineRule="auto"/>
        <w:rPr>
          <w:rFonts w:ascii="Palatino Linotype" w:eastAsiaTheme="minorEastAsia" w:hAnsi="Palatino Linotype"/>
        </w:rPr>
      </w:pPr>
    </w:p>
    <w:p w14:paraId="292E8474" w14:textId="77777777" w:rsidR="00B057B1" w:rsidRPr="008D34D9" w:rsidRDefault="00B057B1" w:rsidP="00B057B1">
      <w:pPr>
        <w:keepNext/>
        <w:keepLines/>
        <w:spacing w:line="360" w:lineRule="auto"/>
        <w:outlineLvl w:val="1"/>
        <w:rPr>
          <w:rFonts w:ascii="Palatino Linotype" w:eastAsiaTheme="majorEastAsia" w:hAnsi="Palatino Linotype" w:cstheme="majorBidi"/>
          <w:b/>
        </w:rPr>
      </w:pPr>
      <w:bookmarkStart w:id="5" w:name="_Toc83301635"/>
      <w:r w:rsidRPr="008D34D9">
        <w:rPr>
          <w:rFonts w:ascii="Palatino Linotype" w:eastAsiaTheme="majorEastAsia" w:hAnsi="Palatino Linotype" w:cstheme="majorBidi"/>
          <w:b/>
        </w:rPr>
        <w:t>PRIMERO. De la competencia</w:t>
      </w:r>
      <w:bookmarkEnd w:id="5"/>
    </w:p>
    <w:p w14:paraId="18517FBC" w14:textId="77777777" w:rsidR="00B057B1" w:rsidRPr="008D34D9" w:rsidRDefault="00B057B1" w:rsidP="00B057B1">
      <w:pPr>
        <w:pStyle w:val="Prrafodelista"/>
        <w:numPr>
          <w:ilvl w:val="0"/>
          <w:numId w:val="1"/>
        </w:numPr>
        <w:spacing w:line="360" w:lineRule="auto"/>
        <w:ind w:left="0" w:firstLine="0"/>
        <w:jc w:val="both"/>
        <w:rPr>
          <w:rFonts w:ascii="Palatino Linotype" w:hAnsi="Palatino Linotype"/>
          <w:sz w:val="24"/>
        </w:rPr>
      </w:pPr>
      <w:r w:rsidRPr="008D34D9">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99DFB49" w14:textId="77777777" w:rsidR="00B057B1" w:rsidRPr="008D34D9" w:rsidRDefault="00B057B1" w:rsidP="00B057B1">
      <w:pPr>
        <w:spacing w:line="360" w:lineRule="auto"/>
        <w:contextualSpacing/>
        <w:jc w:val="both"/>
        <w:rPr>
          <w:rFonts w:ascii="Palatino Linotype" w:eastAsiaTheme="minorEastAsia" w:hAnsi="Palatino Linotype"/>
          <w:lang w:val="es-ES_tradnl" w:eastAsia="es-ES"/>
        </w:rPr>
      </w:pPr>
    </w:p>
    <w:p w14:paraId="0CBDC48A" w14:textId="77777777" w:rsidR="00B057B1" w:rsidRPr="008D34D9" w:rsidRDefault="00B057B1" w:rsidP="00B057B1">
      <w:pPr>
        <w:keepNext/>
        <w:keepLines/>
        <w:spacing w:line="360" w:lineRule="auto"/>
        <w:outlineLvl w:val="1"/>
        <w:rPr>
          <w:rFonts w:ascii="Palatino Linotype" w:eastAsiaTheme="majorEastAsia" w:hAnsi="Palatino Linotype" w:cstheme="majorBidi"/>
          <w:b/>
        </w:rPr>
      </w:pPr>
      <w:bookmarkStart w:id="6" w:name="_Toc83301636"/>
      <w:r w:rsidRPr="008D34D9">
        <w:rPr>
          <w:rFonts w:ascii="Palatino Linotype" w:eastAsiaTheme="majorEastAsia" w:hAnsi="Palatino Linotype" w:cstheme="majorBidi"/>
          <w:b/>
        </w:rPr>
        <w:lastRenderedPageBreak/>
        <w:t>SEGUNDO. De la oportunidad y procedencia.</w:t>
      </w:r>
      <w:bookmarkEnd w:id="6"/>
    </w:p>
    <w:p w14:paraId="3FD0A531" w14:textId="77777777" w:rsidR="00B057B1" w:rsidRPr="008D34D9"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D34D9">
        <w:rPr>
          <w:rFonts w:ascii="Palatino Linotype" w:eastAsia="Calibri" w:hAnsi="Palatino Linotype" w:cs="Arial"/>
          <w:lang w:val="es-ES_tradnl" w:eastAsia="es-ES"/>
        </w:rPr>
        <w:t xml:space="preserve">El medio de impugnación fue presentado a través del </w:t>
      </w:r>
      <w:r w:rsidRPr="008D34D9">
        <w:rPr>
          <w:rFonts w:ascii="Palatino Linotype" w:eastAsia="Calibri" w:hAnsi="Palatino Linotype" w:cs="Arial"/>
          <w:b/>
          <w:lang w:val="es-ES_tradnl" w:eastAsia="es-ES"/>
        </w:rPr>
        <w:t>SAIMEX,</w:t>
      </w:r>
      <w:r w:rsidRPr="008D34D9">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8D34D9">
        <w:rPr>
          <w:rFonts w:ascii="Palatino Linotype" w:eastAsia="Calibri" w:hAnsi="Palatino Linotype" w:cs="Arial"/>
          <w:b/>
          <w:lang w:val="es-ES_tradnl" w:eastAsia="es-ES"/>
        </w:rPr>
        <w:t>SUJETO OBLIGADO</w:t>
      </w:r>
      <w:r w:rsidRPr="008D34D9">
        <w:rPr>
          <w:rFonts w:ascii="Palatino Linotype" w:eastAsia="Calibri" w:hAnsi="Palatino Linotype" w:cs="Arial"/>
          <w:lang w:val="es-ES_tradnl" w:eastAsia="es-ES"/>
        </w:rPr>
        <w:t xml:space="preserve"> entregó respuesta a la solicitud el día </w:t>
      </w:r>
      <w:r w:rsidR="009970EA" w:rsidRPr="008D34D9">
        <w:rPr>
          <w:rFonts w:ascii="Palatino Linotype" w:eastAsia="Calibri" w:hAnsi="Palatino Linotype" w:cs="Arial"/>
          <w:lang w:val="es-ES_tradnl" w:eastAsia="es-ES"/>
        </w:rPr>
        <w:t>veinticinco (25) de octubre</w:t>
      </w:r>
      <w:r w:rsidRPr="008D34D9">
        <w:rPr>
          <w:rFonts w:ascii="Palatino Linotype" w:eastAsia="Calibri" w:hAnsi="Palatino Linotype" w:cs="Arial"/>
          <w:lang w:val="es-ES_tradnl" w:eastAsia="es-ES"/>
        </w:rPr>
        <w:t xml:space="preserve"> de dos mil veintidós, </w:t>
      </w:r>
      <w:r w:rsidRPr="008D34D9">
        <w:rPr>
          <w:rFonts w:ascii="Palatino Linotype" w:eastAsiaTheme="minorEastAsia" w:hAnsi="Palatino Linotype" w:cs="Arial"/>
          <w:lang w:val="es-ES_tradnl" w:eastAsia="es-ES"/>
        </w:rPr>
        <w:t xml:space="preserve">de tal forma que el plazo para interponer el recurso de revisión transcurrió del </w:t>
      </w:r>
      <w:r w:rsidR="009970EA" w:rsidRPr="008D34D9">
        <w:rPr>
          <w:rFonts w:ascii="Palatino Linotype" w:eastAsiaTheme="minorEastAsia" w:hAnsi="Palatino Linotype" w:cs="Arial"/>
          <w:lang w:val="es-ES_tradnl" w:eastAsia="es-ES"/>
        </w:rPr>
        <w:t>veintiséis (26) de octubre al dieciséis (16) de noviembre</w:t>
      </w:r>
      <w:r w:rsidRPr="008D34D9">
        <w:rPr>
          <w:rFonts w:ascii="Palatino Linotype" w:eastAsiaTheme="minorEastAsia" w:hAnsi="Palatino Linotype" w:cs="Arial"/>
          <w:lang w:val="es-ES_tradnl" w:eastAsia="es-ES"/>
        </w:rPr>
        <w:t xml:space="preserve"> de dos mil veintidós; en consecuencia, presentó su inconformidad el día </w:t>
      </w:r>
      <w:r w:rsidR="009970EA" w:rsidRPr="008D34D9">
        <w:rPr>
          <w:rFonts w:ascii="Palatino Linotype" w:eastAsiaTheme="minorEastAsia" w:hAnsi="Palatino Linotype" w:cs="Arial"/>
          <w:lang w:val="es-ES_tradnl" w:eastAsia="es-ES"/>
        </w:rPr>
        <w:t>veintiséis (26</w:t>
      </w:r>
      <w:r w:rsidRPr="008D34D9">
        <w:rPr>
          <w:rFonts w:ascii="Palatino Linotype" w:eastAsiaTheme="minorEastAsia" w:hAnsi="Palatino Linotype" w:cs="Arial"/>
          <w:lang w:val="es-ES_tradnl" w:eastAsia="es-ES"/>
        </w:rPr>
        <w:t xml:space="preserve">) de octubre de dos mil veintidós, por lo que se encuentra dentro de los márgenes temporales previstos en el artículo 178 de la </w:t>
      </w:r>
      <w:r w:rsidRPr="008D34D9">
        <w:rPr>
          <w:rFonts w:ascii="Palatino Linotype" w:eastAsiaTheme="minorEastAsia" w:hAnsi="Palatino Linotype" w:cs="Arial"/>
          <w:b/>
          <w:lang w:val="es-ES_tradnl" w:eastAsia="es-ES"/>
        </w:rPr>
        <w:t xml:space="preserve">Ley de Transparencia y Acceso a la Información Pública del Estado de México y Municipios </w:t>
      </w:r>
      <w:r w:rsidRPr="008D34D9">
        <w:rPr>
          <w:rFonts w:ascii="Palatino Linotype" w:eastAsiaTheme="minorEastAsia" w:hAnsi="Palatino Linotype" w:cs="Arial"/>
          <w:lang w:val="es-ES_tradnl" w:eastAsia="es-ES"/>
        </w:rPr>
        <w:t>vigente.</w:t>
      </w:r>
    </w:p>
    <w:p w14:paraId="425E1B72" w14:textId="77777777" w:rsidR="009970EA" w:rsidRPr="008D34D9" w:rsidRDefault="009970EA" w:rsidP="009970EA">
      <w:pPr>
        <w:spacing w:line="360" w:lineRule="auto"/>
        <w:ind w:right="49"/>
        <w:contextualSpacing/>
        <w:jc w:val="both"/>
        <w:rPr>
          <w:rFonts w:ascii="Palatino Linotype" w:eastAsiaTheme="minorEastAsia" w:hAnsi="Palatino Linotype"/>
          <w:lang w:val="es-ES_tradnl" w:eastAsia="es-ES"/>
        </w:rPr>
      </w:pPr>
    </w:p>
    <w:p w14:paraId="2F4FCBAB" w14:textId="77777777" w:rsidR="009970EA" w:rsidRPr="008D34D9" w:rsidRDefault="009970EA" w:rsidP="009970EA">
      <w:pPr>
        <w:numPr>
          <w:ilvl w:val="0"/>
          <w:numId w:val="1"/>
        </w:numPr>
        <w:spacing w:line="360" w:lineRule="auto"/>
        <w:ind w:left="0" w:firstLine="0"/>
        <w:contextualSpacing/>
        <w:jc w:val="both"/>
        <w:rPr>
          <w:rFonts w:ascii="Palatino Linotype" w:eastAsia="Calibri" w:hAnsi="Palatino Linotype" w:cs="Arial"/>
          <w:lang w:val="es-ES_tradnl" w:eastAsia="es-ES"/>
        </w:rPr>
      </w:pPr>
      <w:r w:rsidRPr="008D34D9">
        <w:rPr>
          <w:rFonts w:ascii="Palatino Linotype" w:eastAsia="Calibri" w:hAnsi="Palatino Linotype" w:cs="Arial"/>
          <w:lang w:val="es-ES_tradnl" w:eastAsia="es-ES"/>
        </w:rPr>
        <w:t xml:space="preserve">Por otra parte, de la revisión al expediente electrónico del </w:t>
      </w:r>
      <w:r w:rsidRPr="008D34D9">
        <w:rPr>
          <w:rFonts w:ascii="Palatino Linotype" w:eastAsia="Calibri" w:hAnsi="Palatino Linotype" w:cs="Arial"/>
          <w:b/>
          <w:lang w:val="es-ES_tradnl" w:eastAsia="es-ES"/>
        </w:rPr>
        <w:t>SAIMEX</w:t>
      </w:r>
      <w:r w:rsidRPr="008D34D9">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23451E23" w14:textId="77777777" w:rsidR="009970EA" w:rsidRPr="008D34D9" w:rsidRDefault="009970EA" w:rsidP="009970EA">
      <w:pPr>
        <w:pStyle w:val="Prrafodelista"/>
        <w:ind w:left="0"/>
        <w:rPr>
          <w:rFonts w:ascii="Palatino Linotype" w:eastAsia="Calibri" w:hAnsi="Palatino Linotype" w:cs="Arial"/>
          <w:sz w:val="24"/>
          <w:lang w:val="es-ES_tradnl" w:eastAsia="es-ES"/>
        </w:rPr>
      </w:pPr>
    </w:p>
    <w:p w14:paraId="2DA1F557" w14:textId="4AB65EBF" w:rsidR="009970EA" w:rsidRPr="008D34D9" w:rsidRDefault="009970EA" w:rsidP="009970EA">
      <w:pPr>
        <w:numPr>
          <w:ilvl w:val="0"/>
          <w:numId w:val="1"/>
        </w:numPr>
        <w:spacing w:line="360" w:lineRule="auto"/>
        <w:ind w:left="0" w:firstLine="0"/>
        <w:contextualSpacing/>
        <w:jc w:val="both"/>
        <w:rPr>
          <w:rFonts w:ascii="Palatino Linotype" w:eastAsia="Calibri" w:hAnsi="Palatino Linotype" w:cs="Arial"/>
          <w:lang w:val="es-ES_tradnl" w:eastAsia="es-ES"/>
        </w:rPr>
      </w:pPr>
      <w:r w:rsidRPr="008D34D9">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8D34D9">
        <w:rPr>
          <w:rFonts w:ascii="Palatino Linotype" w:eastAsia="Calibri" w:hAnsi="Palatino Linotype" w:cs="Arial"/>
          <w:bCs/>
          <w:lang w:val="es-ES" w:eastAsia="es-ES"/>
        </w:rPr>
        <w:t xml:space="preserve">5, párrafos vigésimo, vigésimo primero y vigésimo </w:t>
      </w:r>
      <w:r w:rsidR="003B74F5" w:rsidRPr="008D34D9">
        <w:rPr>
          <w:rFonts w:ascii="Palatino Linotype" w:eastAsia="Calibri" w:hAnsi="Palatino Linotype" w:cs="Arial"/>
          <w:bCs/>
          <w:lang w:val="es-ES" w:eastAsia="es-ES"/>
        </w:rPr>
        <w:t>segundo</w:t>
      </w:r>
      <w:r w:rsidRPr="008D34D9">
        <w:rPr>
          <w:rFonts w:ascii="Palatino Linotype" w:eastAsia="Calibri" w:hAnsi="Palatino Linotype" w:cs="Arial"/>
          <w:bCs/>
          <w:lang w:val="es-ES" w:eastAsia="es-ES"/>
        </w:rPr>
        <w:t> fracciones IV y V </w:t>
      </w:r>
      <w:r w:rsidRPr="008D34D9">
        <w:rPr>
          <w:rFonts w:ascii="Palatino Linotype" w:eastAsia="Calibri" w:hAnsi="Palatino Linotype" w:cs="Arial"/>
          <w:lang w:val="es-ES_tradnl" w:eastAsia="es-ES"/>
        </w:rPr>
        <w:t xml:space="preserve">de la Constitución Política del Estado Libre y Soberano de México, se establece que toda </w:t>
      </w:r>
      <w:r w:rsidRPr="008D34D9">
        <w:rPr>
          <w:rFonts w:ascii="Palatino Linotype" w:eastAsia="Calibri" w:hAnsi="Palatino Linotype" w:cs="Arial"/>
          <w:lang w:val="es-ES_tradnl" w:eastAsia="es-ES"/>
        </w:rPr>
        <w:lastRenderedPageBreak/>
        <w:t>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94DCF2A" w14:textId="77777777" w:rsidR="009970EA" w:rsidRPr="008D34D9" w:rsidRDefault="009970EA" w:rsidP="009970EA">
      <w:pPr>
        <w:pStyle w:val="Prrafodelista"/>
        <w:ind w:left="0"/>
        <w:rPr>
          <w:rFonts w:ascii="Palatino Linotype" w:eastAsia="Calibri" w:hAnsi="Palatino Linotype" w:cs="Arial"/>
          <w:sz w:val="24"/>
          <w:lang w:val="es-ES_tradnl" w:eastAsia="es-ES"/>
        </w:rPr>
      </w:pPr>
    </w:p>
    <w:p w14:paraId="79115FD0" w14:textId="77777777" w:rsidR="009970EA" w:rsidRPr="008D34D9" w:rsidRDefault="009970EA" w:rsidP="009970EA">
      <w:pPr>
        <w:numPr>
          <w:ilvl w:val="0"/>
          <w:numId w:val="1"/>
        </w:numPr>
        <w:spacing w:line="360" w:lineRule="auto"/>
        <w:ind w:left="0" w:firstLine="0"/>
        <w:contextualSpacing/>
        <w:jc w:val="both"/>
        <w:rPr>
          <w:rFonts w:ascii="Palatino Linotype" w:eastAsia="Calibri" w:hAnsi="Palatino Linotype" w:cs="Arial"/>
          <w:lang w:val="es-ES_tradnl" w:eastAsia="es-ES"/>
        </w:rPr>
      </w:pPr>
      <w:r w:rsidRPr="008D34D9">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A959B6F" w14:textId="77777777" w:rsidR="009970EA" w:rsidRPr="008D34D9" w:rsidRDefault="009970EA" w:rsidP="009970EA">
      <w:pPr>
        <w:pStyle w:val="Prrafodelista"/>
        <w:ind w:left="0"/>
        <w:rPr>
          <w:rFonts w:ascii="Palatino Linotype" w:eastAsia="Calibri" w:hAnsi="Palatino Linotype" w:cs="Arial"/>
          <w:sz w:val="24"/>
          <w:lang w:val="es-ES_tradnl" w:eastAsia="es-ES"/>
        </w:rPr>
      </w:pPr>
    </w:p>
    <w:p w14:paraId="4878C851" w14:textId="77777777" w:rsidR="009970EA" w:rsidRPr="008D34D9" w:rsidRDefault="009970EA" w:rsidP="009970EA">
      <w:pPr>
        <w:numPr>
          <w:ilvl w:val="0"/>
          <w:numId w:val="1"/>
        </w:numPr>
        <w:spacing w:line="360" w:lineRule="auto"/>
        <w:ind w:left="0" w:firstLine="0"/>
        <w:contextualSpacing/>
        <w:jc w:val="both"/>
        <w:rPr>
          <w:rFonts w:ascii="Palatino Linotype" w:eastAsia="Calibri" w:hAnsi="Palatino Linotype" w:cs="Arial"/>
          <w:lang w:val="es-ES_tradnl" w:eastAsia="es-ES"/>
        </w:rPr>
      </w:pPr>
      <w:r w:rsidRPr="008D34D9">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5CA9A0D8" w14:textId="77777777" w:rsidR="009970EA" w:rsidRPr="008D34D9" w:rsidRDefault="009970EA" w:rsidP="009970EA">
      <w:pPr>
        <w:pStyle w:val="Prrafodelista"/>
        <w:ind w:left="0"/>
        <w:rPr>
          <w:rFonts w:ascii="Palatino Linotype" w:eastAsia="Calibri" w:hAnsi="Palatino Linotype" w:cs="Arial"/>
          <w:sz w:val="24"/>
          <w:lang w:val="es-ES_tradnl" w:eastAsia="es-ES"/>
        </w:rPr>
      </w:pPr>
    </w:p>
    <w:p w14:paraId="728C5B01" w14:textId="77777777" w:rsidR="009970EA" w:rsidRPr="008D34D9" w:rsidRDefault="009970EA" w:rsidP="009970EA">
      <w:pPr>
        <w:numPr>
          <w:ilvl w:val="0"/>
          <w:numId w:val="1"/>
        </w:numPr>
        <w:spacing w:line="360" w:lineRule="auto"/>
        <w:ind w:left="0" w:firstLine="0"/>
        <w:contextualSpacing/>
        <w:jc w:val="both"/>
        <w:rPr>
          <w:rFonts w:ascii="Palatino Linotype" w:eastAsia="Calibri" w:hAnsi="Palatino Linotype" w:cs="Arial"/>
          <w:lang w:val="es-ES_tradnl" w:eastAsia="es-ES"/>
        </w:rPr>
      </w:pPr>
      <w:r w:rsidRPr="008D34D9">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0D8C1BB8" w14:textId="77777777" w:rsidR="00B057B1" w:rsidRPr="008D34D9" w:rsidRDefault="00B057B1" w:rsidP="00B057B1">
      <w:pPr>
        <w:rPr>
          <w:rFonts w:ascii="Palatino Linotype" w:hAnsi="Palatino Linotype" w:cs="Arial"/>
          <w:i/>
        </w:rPr>
      </w:pPr>
    </w:p>
    <w:p w14:paraId="53101A1D" w14:textId="77777777" w:rsidR="006005B8" w:rsidRPr="008D34D9"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D34D9">
        <w:rPr>
          <w:rFonts w:ascii="Palatino Linotype" w:eastAsia="Calibri" w:hAnsi="Palatino Linotype" w:cs="Arial"/>
          <w:lang w:val="es-ES_tradnl" w:eastAsia="es-ES"/>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2BC6B430" w14:textId="77777777" w:rsidR="006005B8" w:rsidRPr="008D34D9" w:rsidRDefault="006005B8" w:rsidP="00B057B1">
      <w:pPr>
        <w:spacing w:line="360" w:lineRule="auto"/>
        <w:ind w:right="49"/>
        <w:contextualSpacing/>
        <w:jc w:val="both"/>
        <w:rPr>
          <w:rFonts w:ascii="Palatino Linotype" w:eastAsiaTheme="minorEastAsia" w:hAnsi="Palatino Linotype"/>
          <w:lang w:val="es-ES_tradnl" w:eastAsia="es-ES"/>
        </w:rPr>
      </w:pPr>
    </w:p>
    <w:p w14:paraId="00FB4D43" w14:textId="77777777" w:rsidR="00B057B1" w:rsidRPr="008D34D9" w:rsidRDefault="00B057B1" w:rsidP="00B057B1">
      <w:pPr>
        <w:spacing w:line="360" w:lineRule="auto"/>
        <w:ind w:right="49"/>
        <w:contextualSpacing/>
        <w:jc w:val="both"/>
        <w:rPr>
          <w:rFonts w:ascii="Palatino Linotype" w:eastAsia="MS Gothic" w:hAnsi="Palatino Linotype" w:cstheme="majorBidi"/>
          <w:b/>
          <w:lang w:eastAsia="es-ES"/>
        </w:rPr>
      </w:pPr>
      <w:r w:rsidRPr="008D34D9">
        <w:rPr>
          <w:rFonts w:ascii="Palatino Linotype" w:eastAsia="MS Gothic" w:hAnsi="Palatino Linotype" w:cstheme="majorBidi"/>
          <w:b/>
          <w:lang w:val="es-ES_tradnl" w:eastAsia="es-ES"/>
        </w:rPr>
        <w:t>TERCERO. Planteamiento de la Litis</w:t>
      </w:r>
      <w:r w:rsidRPr="008D34D9">
        <w:rPr>
          <w:rFonts w:ascii="Palatino Linotype" w:eastAsia="MS Gothic" w:hAnsi="Palatino Linotype" w:cstheme="majorBidi"/>
          <w:b/>
          <w:lang w:eastAsia="es-ES"/>
        </w:rPr>
        <w:t>.</w:t>
      </w:r>
      <w:bookmarkEnd w:id="7"/>
      <w:bookmarkEnd w:id="8"/>
    </w:p>
    <w:p w14:paraId="147F8C43" w14:textId="77777777" w:rsidR="00B057B1" w:rsidRPr="008D34D9" w:rsidRDefault="00B057B1" w:rsidP="00B057B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D34D9">
        <w:rPr>
          <w:rFonts w:ascii="Palatino Linotype" w:eastAsia="MS Gothic" w:hAnsi="Palatino Linotype" w:cstheme="majorBidi"/>
          <w:lang w:eastAsia="es-ES"/>
        </w:rPr>
        <w:t>El particular solicitó</w:t>
      </w:r>
      <w:r w:rsidR="009970EA" w:rsidRPr="008D34D9">
        <w:rPr>
          <w:rFonts w:ascii="Palatino Linotype" w:eastAsia="MS Gothic" w:hAnsi="Palatino Linotype" w:cstheme="majorBidi"/>
          <w:lang w:eastAsia="es-ES"/>
        </w:rPr>
        <w:t xml:space="preserve"> los recibos de nómina de todos los servidores públicos y las listas de raya del periodo comprendido del dieciséis al treinta de septiembre de dos mil veintidós. </w:t>
      </w:r>
    </w:p>
    <w:p w14:paraId="7C34AF64" w14:textId="77777777" w:rsidR="00B057B1" w:rsidRPr="008D34D9" w:rsidRDefault="00B057B1" w:rsidP="00B057B1">
      <w:pPr>
        <w:spacing w:line="360" w:lineRule="auto"/>
        <w:ind w:right="822"/>
        <w:contextualSpacing/>
        <w:jc w:val="both"/>
        <w:rPr>
          <w:rFonts w:ascii="Palatino Linotype" w:hAnsi="Palatino Linotype"/>
          <w:color w:val="000000"/>
        </w:rPr>
      </w:pPr>
    </w:p>
    <w:p w14:paraId="0C39935B" w14:textId="77777777" w:rsidR="00B057B1" w:rsidRPr="008D34D9" w:rsidRDefault="00DD5C04" w:rsidP="00FE584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D34D9">
        <w:rPr>
          <w:rFonts w:ascii="Palatino Linotype" w:eastAsia="MS Gothic" w:hAnsi="Palatino Linotype" w:cstheme="majorBidi"/>
          <w:iCs/>
          <w:lang w:eastAsia="es-ES"/>
        </w:rPr>
        <w:t xml:space="preserve">En respuesta, la Directora de Administración entregó </w:t>
      </w:r>
      <w:r w:rsidR="00FE5849" w:rsidRPr="008D34D9">
        <w:rPr>
          <w:rFonts w:ascii="Palatino Linotype" w:eastAsia="MS Gothic" w:hAnsi="Palatino Linotype" w:cstheme="majorBidi"/>
          <w:iCs/>
          <w:lang w:eastAsia="es-ES"/>
        </w:rPr>
        <w:t xml:space="preserve"> </w:t>
      </w:r>
      <w:r w:rsidRPr="008D34D9">
        <w:rPr>
          <w:rFonts w:ascii="Palatino Linotype" w:eastAsia="MS Gothic" w:hAnsi="Palatino Linotype" w:cstheme="majorBidi"/>
          <w:iCs/>
          <w:lang w:eastAsia="es-ES"/>
        </w:rPr>
        <w:t xml:space="preserve">236 recibos de nómina </w:t>
      </w:r>
      <w:r w:rsidR="007E074C" w:rsidRPr="008D34D9">
        <w:rPr>
          <w:rFonts w:ascii="Palatino Linotype" w:eastAsia="MS Gothic" w:hAnsi="Palatino Linotype" w:cstheme="majorBidi"/>
          <w:iCs/>
          <w:lang w:eastAsia="es-ES"/>
        </w:rPr>
        <w:t xml:space="preserve">y señaló </w:t>
      </w:r>
      <w:r w:rsidR="007E074C" w:rsidRPr="008D34D9">
        <w:rPr>
          <w:rFonts w:ascii="Palatino Linotype" w:hAnsi="Palatino Linotype"/>
        </w:rPr>
        <w:t xml:space="preserve">que está disponible en la fracción de Remuneraciones del IPOMEX y adjuntó la liga electrónica </w:t>
      </w:r>
      <w:hyperlink r:id="rId13" w:history="1">
        <w:r w:rsidR="007E074C" w:rsidRPr="008D34D9">
          <w:rPr>
            <w:rStyle w:val="Hipervnculo"/>
            <w:rFonts w:ascii="Palatino Linotype" w:hAnsi="Palatino Linotype"/>
          </w:rPr>
          <w:t>https://www.ipomex.org.mx/ipo3/lgt/indice/HUIXQUILUCAN/art_92_viii.web</w:t>
        </w:r>
      </w:hyperlink>
      <w:r w:rsidR="007E074C" w:rsidRPr="008D34D9">
        <w:rPr>
          <w:rFonts w:ascii="Palatino Linotype" w:hAnsi="Palatino Linotype"/>
        </w:rPr>
        <w:t xml:space="preserve">. Consecuentemente, el particular interpuso recurso de revisión en el que señaló su inconformidad porque no se entregó la lista de raya. </w:t>
      </w:r>
    </w:p>
    <w:p w14:paraId="17D6BFA3" w14:textId="77777777" w:rsidR="00B057B1" w:rsidRPr="008D34D9" w:rsidRDefault="00B057B1" w:rsidP="00B057B1">
      <w:pPr>
        <w:spacing w:line="360" w:lineRule="auto"/>
        <w:ind w:right="49"/>
        <w:contextualSpacing/>
        <w:jc w:val="both"/>
        <w:rPr>
          <w:rFonts w:ascii="Palatino Linotype" w:eastAsia="MS Gothic" w:hAnsi="Palatino Linotype" w:cstheme="majorBidi"/>
          <w:lang w:eastAsia="es-ES"/>
        </w:rPr>
      </w:pPr>
    </w:p>
    <w:p w14:paraId="24827ED2" w14:textId="77777777" w:rsidR="00B057B1" w:rsidRPr="008D34D9" w:rsidRDefault="00B057B1" w:rsidP="00B057B1">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8D34D9">
        <w:rPr>
          <w:rFonts w:ascii="Palatino Linotype" w:eastAsia="MS Gothic" w:hAnsi="Palatino Linotype" w:cstheme="majorBidi"/>
          <w:lang w:eastAsia="es-ES"/>
        </w:rPr>
        <w:t xml:space="preserve">En consecuencia, la Litis a resolver en este recurso, se circunscribe a determinar si la respuesta colma con lo </w:t>
      </w:r>
      <w:r w:rsidR="00FE5849" w:rsidRPr="008D34D9">
        <w:rPr>
          <w:rFonts w:ascii="Palatino Linotype" w:eastAsia="MS Gothic" w:hAnsi="Palatino Linotype" w:cstheme="majorBidi"/>
          <w:lang w:eastAsia="es-ES"/>
        </w:rPr>
        <w:t>solicitado o si se actualiza la</w:t>
      </w:r>
      <w:r w:rsidRPr="008D34D9">
        <w:rPr>
          <w:rFonts w:ascii="Palatino Linotype" w:eastAsia="MS Gothic" w:hAnsi="Palatino Linotype" w:cstheme="majorBidi"/>
          <w:lang w:eastAsia="es-ES"/>
        </w:rPr>
        <w:t xml:space="preserve"> c</w:t>
      </w:r>
      <w:r w:rsidR="00FE5849" w:rsidRPr="008D34D9">
        <w:rPr>
          <w:rFonts w:ascii="Palatino Linotype" w:eastAsia="MS Gothic" w:hAnsi="Palatino Linotype" w:cstheme="majorBidi"/>
          <w:lang w:eastAsia="es-ES"/>
        </w:rPr>
        <w:t>ausal de procedencia prevista</w:t>
      </w:r>
      <w:r w:rsidRPr="008D34D9">
        <w:rPr>
          <w:rFonts w:ascii="Palatino Linotype" w:eastAsia="MS Gothic" w:hAnsi="Palatino Linotype" w:cstheme="majorBidi"/>
          <w:lang w:eastAsia="es-ES"/>
        </w:rPr>
        <w:t xml:space="preserve"> e</w:t>
      </w:r>
      <w:r w:rsidR="00FE5849" w:rsidRPr="008D34D9">
        <w:rPr>
          <w:rFonts w:ascii="Palatino Linotype" w:eastAsia="MS Gothic" w:hAnsi="Palatino Linotype" w:cstheme="majorBidi"/>
          <w:lang w:eastAsia="es-ES"/>
        </w:rPr>
        <w:t>n el artículo 179, fracción I</w:t>
      </w:r>
      <w:r w:rsidRPr="008D34D9">
        <w:rPr>
          <w:rFonts w:ascii="Palatino Linotype" w:eastAsia="MS Gothic" w:hAnsi="Palatino Linotype" w:cstheme="majorBidi"/>
          <w:lang w:eastAsia="es-ES"/>
        </w:rPr>
        <w:t xml:space="preserve"> </w:t>
      </w:r>
      <w:r w:rsidR="007E074C" w:rsidRPr="008D34D9">
        <w:rPr>
          <w:rFonts w:ascii="Palatino Linotype" w:eastAsia="MS Gothic" w:hAnsi="Palatino Linotype" w:cstheme="majorBidi"/>
          <w:lang w:eastAsia="es-ES"/>
        </w:rPr>
        <w:t xml:space="preserve">y V </w:t>
      </w:r>
      <w:r w:rsidRPr="008D34D9">
        <w:rPr>
          <w:rFonts w:ascii="Palatino Linotype" w:eastAsia="MS Gothic" w:hAnsi="Palatino Linotype" w:cstheme="majorBidi"/>
          <w:lang w:eastAsia="es-ES"/>
        </w:rPr>
        <w:t>de la Ley de Transparencia y Acceso a la Información Pública del Estado de México y Municipios; que establece la negativa de la información</w:t>
      </w:r>
      <w:r w:rsidR="007E074C" w:rsidRPr="008D34D9">
        <w:rPr>
          <w:rFonts w:ascii="Palatino Linotype" w:eastAsia="MS Gothic" w:hAnsi="Palatino Linotype" w:cstheme="majorBidi"/>
          <w:lang w:eastAsia="es-ES"/>
        </w:rPr>
        <w:t xml:space="preserve"> y la entrega de información incompleta. </w:t>
      </w:r>
    </w:p>
    <w:p w14:paraId="3D481761" w14:textId="77777777" w:rsidR="00B057B1" w:rsidRPr="008D34D9" w:rsidRDefault="00B057B1" w:rsidP="00B057B1">
      <w:pPr>
        <w:spacing w:line="360" w:lineRule="auto"/>
        <w:ind w:right="49"/>
        <w:contextualSpacing/>
        <w:jc w:val="both"/>
        <w:rPr>
          <w:rFonts w:ascii="Palatino Linotype" w:eastAsia="MS Gothic" w:hAnsi="Palatino Linotype"/>
        </w:rPr>
      </w:pPr>
    </w:p>
    <w:p w14:paraId="11B5BCF5" w14:textId="77777777" w:rsidR="00B057B1" w:rsidRPr="008D34D9" w:rsidRDefault="00B057B1" w:rsidP="00B057B1">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8D34D9">
        <w:rPr>
          <w:rFonts w:ascii="Palatino Linotype" w:eastAsia="MS Gothic" w:hAnsi="Palatino Linotype" w:cstheme="majorBidi"/>
          <w:b/>
          <w:lang w:val="es-ES_tradnl" w:eastAsia="es-ES"/>
        </w:rPr>
        <w:lastRenderedPageBreak/>
        <w:t>CUARTO. Del estudio y resolución del recurso de revisión.</w:t>
      </w:r>
      <w:bookmarkEnd w:id="12"/>
      <w:bookmarkEnd w:id="13"/>
      <w:bookmarkEnd w:id="14"/>
    </w:p>
    <w:p w14:paraId="29A75A38" w14:textId="77777777" w:rsidR="00B057B1" w:rsidRPr="008D34D9" w:rsidRDefault="00B057B1" w:rsidP="007E074C">
      <w:pPr>
        <w:pStyle w:val="Ttulo1"/>
        <w:numPr>
          <w:ilvl w:val="0"/>
          <w:numId w:val="7"/>
        </w:numPr>
        <w:spacing w:before="0" w:line="360" w:lineRule="auto"/>
        <w:rPr>
          <w:rFonts w:ascii="Palatino Linotype" w:hAnsi="Palatino Linotype"/>
          <w:b/>
          <w:color w:val="auto"/>
          <w:sz w:val="24"/>
          <w:szCs w:val="24"/>
        </w:rPr>
      </w:pPr>
      <w:bookmarkStart w:id="15" w:name="_Toc80812777"/>
      <w:bookmarkStart w:id="16" w:name="_Toc83301641"/>
      <w:r w:rsidRPr="008D34D9">
        <w:rPr>
          <w:rFonts w:ascii="Palatino Linotype" w:hAnsi="Palatino Linotype"/>
          <w:b/>
          <w:color w:val="auto"/>
          <w:sz w:val="24"/>
          <w:szCs w:val="24"/>
        </w:rPr>
        <w:t>De la información solicitada y la respuesta del Sujeto Obligado.</w:t>
      </w:r>
      <w:bookmarkEnd w:id="15"/>
      <w:bookmarkEnd w:id="16"/>
    </w:p>
    <w:p w14:paraId="7E41EA7D" w14:textId="77777777" w:rsidR="00B057B1" w:rsidRPr="008D34D9"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D34D9">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8D34D9">
        <w:rPr>
          <w:rFonts w:ascii="Palatino Linotype" w:eastAsia="Calibri" w:hAnsi="Palatino Linotype" w:cs="Arial"/>
          <w:lang w:val="es-ES"/>
        </w:rPr>
        <w:t>Ley de Transparencia y Acceso a la Información Pública del Estado de México y Municipios</w:t>
      </w:r>
      <w:r w:rsidRPr="008D34D9">
        <w:rPr>
          <w:rFonts w:ascii="Palatino Linotype" w:hAnsi="Palatino Linotype" w:cs="Arial"/>
          <w:lang w:val="es-ES"/>
        </w:rPr>
        <w:t>.</w:t>
      </w:r>
    </w:p>
    <w:p w14:paraId="41CDB1ED" w14:textId="77777777" w:rsidR="00B057B1" w:rsidRPr="008D34D9" w:rsidRDefault="00B057B1" w:rsidP="00B057B1">
      <w:pPr>
        <w:spacing w:line="360" w:lineRule="auto"/>
        <w:ind w:right="49"/>
        <w:contextualSpacing/>
        <w:jc w:val="both"/>
        <w:rPr>
          <w:rFonts w:ascii="Palatino Linotype" w:eastAsiaTheme="minorEastAsia" w:hAnsi="Palatino Linotype"/>
          <w:lang w:val="es-ES_tradnl" w:eastAsia="es-ES"/>
        </w:rPr>
      </w:pPr>
    </w:p>
    <w:p w14:paraId="0B2F95F6" w14:textId="77777777" w:rsidR="007E074C" w:rsidRPr="008D34D9" w:rsidRDefault="00B057B1" w:rsidP="007E074C">
      <w:pPr>
        <w:numPr>
          <w:ilvl w:val="0"/>
          <w:numId w:val="1"/>
        </w:numPr>
        <w:spacing w:line="360" w:lineRule="auto"/>
        <w:ind w:left="0" w:right="49" w:firstLine="0"/>
        <w:contextualSpacing/>
        <w:jc w:val="both"/>
        <w:rPr>
          <w:rFonts w:ascii="Palatino Linotype" w:hAnsi="Palatino Linotype"/>
          <w:color w:val="000000"/>
        </w:rPr>
      </w:pPr>
      <w:r w:rsidRPr="008D34D9">
        <w:rPr>
          <w:rFonts w:ascii="Palatino Linotype" w:hAnsi="Palatino Linotype" w:cs="Arial"/>
          <w:lang w:val="es-ES"/>
        </w:rPr>
        <w:t>En este caso, el particular</w:t>
      </w:r>
      <w:r w:rsidR="007E074C" w:rsidRPr="008D34D9">
        <w:rPr>
          <w:rFonts w:ascii="Palatino Linotype" w:hAnsi="Palatino Linotype" w:cs="Arial"/>
          <w:lang w:val="es-ES"/>
        </w:rPr>
        <w:t xml:space="preserve"> solicitó </w:t>
      </w:r>
      <w:r w:rsidR="007E074C" w:rsidRPr="008D34D9">
        <w:rPr>
          <w:rFonts w:ascii="Palatino Linotype" w:eastAsia="MS Gothic" w:hAnsi="Palatino Linotype" w:cstheme="majorBidi"/>
          <w:lang w:eastAsia="es-ES"/>
        </w:rPr>
        <w:t xml:space="preserve">los recibos de nómina de todos los servidores públicos y las listas de raya del periodo comprendido del dieciséis al treinta de septiembre de dos mil veintidós. </w:t>
      </w:r>
    </w:p>
    <w:p w14:paraId="3B98AF12" w14:textId="77777777" w:rsidR="007E074C" w:rsidRPr="008D34D9" w:rsidRDefault="007E074C" w:rsidP="007E074C">
      <w:pPr>
        <w:spacing w:line="360" w:lineRule="auto"/>
        <w:ind w:right="822"/>
        <w:contextualSpacing/>
        <w:jc w:val="both"/>
        <w:rPr>
          <w:rFonts w:ascii="Palatino Linotype" w:hAnsi="Palatino Linotype"/>
          <w:color w:val="000000"/>
        </w:rPr>
      </w:pPr>
    </w:p>
    <w:p w14:paraId="6B8121EC" w14:textId="77777777" w:rsidR="007E074C" w:rsidRPr="008D34D9" w:rsidRDefault="007E074C" w:rsidP="007E074C">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D34D9">
        <w:rPr>
          <w:rFonts w:ascii="Palatino Linotype" w:eastAsia="MS Gothic" w:hAnsi="Palatino Linotype" w:cstheme="majorBidi"/>
          <w:iCs/>
          <w:lang w:eastAsia="es-ES"/>
        </w:rPr>
        <w:t xml:space="preserve">En respuesta, la Directora de Administración entregó  236 recibos de nómina y señaló </w:t>
      </w:r>
      <w:r w:rsidRPr="008D34D9">
        <w:rPr>
          <w:rFonts w:ascii="Palatino Linotype" w:hAnsi="Palatino Linotype"/>
        </w:rPr>
        <w:t xml:space="preserve">que está disponible en la fracción de Remuneraciones del IPOMEX y adjuntó la liga electrónica </w:t>
      </w:r>
      <w:hyperlink r:id="rId14" w:history="1">
        <w:r w:rsidRPr="008D34D9">
          <w:rPr>
            <w:rStyle w:val="Hipervnculo"/>
            <w:rFonts w:ascii="Palatino Linotype" w:hAnsi="Palatino Linotype"/>
          </w:rPr>
          <w:t>https://www.ipomex.org.mx/ipo3/lgt/indice/HUIXQUILUCAN/art_92_viii.web</w:t>
        </w:r>
      </w:hyperlink>
      <w:r w:rsidRPr="008D34D9">
        <w:rPr>
          <w:rFonts w:ascii="Palatino Linotype" w:hAnsi="Palatino Linotype"/>
        </w:rPr>
        <w:t xml:space="preserve">. Consecuentemente, el particular interpuso recurso de revisión en el que señaló su inconformidad porque no se entregó la lista de raya. </w:t>
      </w:r>
    </w:p>
    <w:p w14:paraId="53FF5983" w14:textId="77777777" w:rsidR="005438B3" w:rsidRPr="008D34D9" w:rsidRDefault="005438B3" w:rsidP="005438B3">
      <w:pPr>
        <w:spacing w:line="360" w:lineRule="auto"/>
        <w:ind w:right="49"/>
        <w:contextualSpacing/>
        <w:jc w:val="both"/>
        <w:rPr>
          <w:rFonts w:ascii="Palatino Linotype" w:eastAsia="MS Gothic" w:hAnsi="Palatino Linotype" w:cstheme="majorBidi"/>
          <w:i/>
          <w:lang w:val="es-ES_tradnl" w:eastAsia="es-ES"/>
        </w:rPr>
      </w:pPr>
    </w:p>
    <w:p w14:paraId="0619DD52" w14:textId="77777777" w:rsidR="007E074C" w:rsidRPr="008D34D9" w:rsidRDefault="007E074C" w:rsidP="007E074C">
      <w:pPr>
        <w:numPr>
          <w:ilvl w:val="0"/>
          <w:numId w:val="1"/>
        </w:numPr>
        <w:spacing w:line="360" w:lineRule="auto"/>
        <w:ind w:left="0" w:right="49" w:firstLine="0"/>
        <w:contextualSpacing/>
        <w:jc w:val="both"/>
        <w:rPr>
          <w:rFonts w:ascii="Palatino Linotype" w:eastAsia="MS Gothic" w:hAnsi="Palatino Linotype" w:cstheme="majorBidi"/>
          <w:b/>
          <w:i/>
          <w:lang w:val="es-ES_tradnl" w:eastAsia="es-ES"/>
        </w:rPr>
      </w:pPr>
      <w:r w:rsidRPr="008D34D9">
        <w:rPr>
          <w:rFonts w:ascii="Palatino Linotype" w:eastAsia="MS Mincho" w:hAnsi="Palatino Linotype" w:cs="Arial"/>
          <w:lang w:eastAsia="es-ES"/>
        </w:rPr>
        <w:t xml:space="preserve">Ahora bien, la inconformidad del RECURRENTE radica en que la información remitida es incompleta, es decir, que el particular no se inconformó por las documentales emitidas en respuesta; en este caso, la parte de la respuesta que no fue impugnada debe declararse consentida, toda vez que al no realizar manifestaciones de inconformidad respecto de la respuesta proporcionada, no pueden producirse </w:t>
      </w:r>
      <w:r w:rsidRPr="008D34D9">
        <w:rPr>
          <w:rFonts w:ascii="Palatino Linotype" w:eastAsia="MS Mincho" w:hAnsi="Palatino Linotype" w:cs="Arial"/>
          <w:lang w:eastAsia="es-ES"/>
        </w:rPr>
        <w:lastRenderedPageBreak/>
        <w:t xml:space="preserve">efectos jurídicos tendentes a revocar, confirmar o modificar el acto reclamado, ya que no realizó manifestación alguna al respecto. </w:t>
      </w:r>
    </w:p>
    <w:p w14:paraId="294C4764" w14:textId="77777777" w:rsidR="007E074C" w:rsidRPr="008D34D9" w:rsidRDefault="007E074C" w:rsidP="007E074C">
      <w:pPr>
        <w:pStyle w:val="Prrafodelista"/>
        <w:rPr>
          <w:rFonts w:ascii="Palatino Linotype" w:eastAsia="MS Mincho" w:hAnsi="Palatino Linotype" w:cs="Arial"/>
          <w:sz w:val="24"/>
          <w:lang w:eastAsia="es-ES"/>
        </w:rPr>
      </w:pPr>
    </w:p>
    <w:p w14:paraId="6E5B8E6F" w14:textId="77777777" w:rsidR="007E074C" w:rsidRPr="008D34D9" w:rsidRDefault="007E074C" w:rsidP="007E074C">
      <w:pPr>
        <w:numPr>
          <w:ilvl w:val="0"/>
          <w:numId w:val="1"/>
        </w:numPr>
        <w:spacing w:line="360" w:lineRule="auto"/>
        <w:ind w:left="0" w:right="49" w:firstLine="0"/>
        <w:contextualSpacing/>
        <w:jc w:val="both"/>
        <w:rPr>
          <w:rFonts w:ascii="Palatino Linotype" w:eastAsia="MS Gothic" w:hAnsi="Palatino Linotype" w:cstheme="majorBidi"/>
          <w:b/>
          <w:i/>
          <w:lang w:val="es-ES_tradnl" w:eastAsia="es-ES"/>
        </w:rPr>
      </w:pPr>
      <w:r w:rsidRPr="008D34D9">
        <w:rPr>
          <w:rFonts w:ascii="Palatino Linotype" w:eastAsia="MS Mincho" w:hAnsi="Palatino Linotype" w:cs="Arial"/>
          <w:lang w:eastAsia="es-ES"/>
        </w:rPr>
        <w:t>Sirve de sustento, la tesis jurisprudencial número VI.3o.C. J/60, publicada en el Semanario Judicial de la Federación y su Gaceta bajo el número de registro 176,608 que a la letra dice:</w:t>
      </w:r>
    </w:p>
    <w:p w14:paraId="07146DF9" w14:textId="77777777" w:rsidR="007E074C" w:rsidRPr="008D34D9" w:rsidRDefault="007E074C" w:rsidP="007E074C">
      <w:pPr>
        <w:pStyle w:val="Prrafodelista"/>
        <w:spacing w:before="240" w:after="240" w:line="360" w:lineRule="auto"/>
        <w:ind w:left="851" w:right="822"/>
        <w:jc w:val="both"/>
        <w:rPr>
          <w:rFonts w:ascii="Palatino Linotype" w:eastAsia="MS Mincho" w:hAnsi="Palatino Linotype" w:cs="Arial"/>
          <w:i/>
          <w:lang w:eastAsia="es-ES"/>
        </w:rPr>
      </w:pPr>
      <w:r w:rsidRPr="008D34D9">
        <w:rPr>
          <w:rFonts w:ascii="Palatino Linotype" w:eastAsia="MS Mincho" w:hAnsi="Palatino Linotype" w:cs="Arial"/>
          <w:i/>
          <w:sz w:val="24"/>
          <w:lang w:eastAsia="es-ES"/>
        </w:rPr>
        <w:t>“</w:t>
      </w:r>
      <w:r w:rsidRPr="008D34D9">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CBA6C0" w14:textId="77777777" w:rsidR="007E074C" w:rsidRPr="008D34D9" w:rsidRDefault="007E074C" w:rsidP="007E074C">
      <w:pPr>
        <w:pStyle w:val="Prrafodelista"/>
        <w:spacing w:before="240" w:after="240" w:line="360" w:lineRule="auto"/>
        <w:ind w:left="851" w:right="822"/>
        <w:jc w:val="both"/>
        <w:rPr>
          <w:rFonts w:ascii="Palatino Linotype" w:eastAsia="MS Mincho" w:hAnsi="Palatino Linotype" w:cs="Arial"/>
          <w:i/>
          <w:sz w:val="24"/>
          <w:lang w:eastAsia="es-ES"/>
        </w:rPr>
      </w:pPr>
    </w:p>
    <w:p w14:paraId="60C8DD8D" w14:textId="77777777" w:rsidR="007E074C" w:rsidRPr="008D34D9" w:rsidRDefault="007E074C" w:rsidP="007E074C">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8D34D9">
        <w:rPr>
          <w:rFonts w:ascii="Palatino Linotype" w:eastAsia="MS Mincho" w:hAnsi="Palatino Linotype" w:cs="Arial"/>
          <w:sz w:val="24"/>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14E86735" w14:textId="77777777" w:rsidR="007E074C" w:rsidRPr="008D34D9" w:rsidRDefault="007E074C" w:rsidP="007E074C">
      <w:pPr>
        <w:pStyle w:val="Prrafodelista"/>
        <w:spacing w:before="240" w:after="240" w:line="360" w:lineRule="auto"/>
        <w:ind w:left="0" w:right="48"/>
        <w:jc w:val="both"/>
        <w:rPr>
          <w:rFonts w:ascii="Palatino Linotype" w:eastAsia="MS Mincho" w:hAnsi="Palatino Linotype" w:cs="Arial"/>
          <w:sz w:val="24"/>
          <w:lang w:eastAsia="es-ES"/>
        </w:rPr>
      </w:pPr>
    </w:p>
    <w:p w14:paraId="32CC0ED5" w14:textId="77777777" w:rsidR="007E074C" w:rsidRPr="008D34D9" w:rsidRDefault="007E074C" w:rsidP="007E074C">
      <w:pPr>
        <w:pStyle w:val="Prrafodelista"/>
        <w:numPr>
          <w:ilvl w:val="0"/>
          <w:numId w:val="1"/>
        </w:numPr>
        <w:spacing w:before="240" w:after="240" w:line="360" w:lineRule="auto"/>
        <w:ind w:left="0" w:right="48" w:firstLine="0"/>
        <w:jc w:val="both"/>
        <w:rPr>
          <w:rFonts w:ascii="Palatino Linotype" w:eastAsia="MS Mincho" w:hAnsi="Palatino Linotype" w:cs="Arial"/>
          <w:sz w:val="24"/>
          <w:lang w:eastAsia="es-ES"/>
        </w:rPr>
      </w:pPr>
      <w:r w:rsidRPr="008D34D9">
        <w:rPr>
          <w:rFonts w:ascii="Palatino Linotype" w:eastAsia="MS Mincho" w:hAnsi="Palatino Linotype" w:cs="Arial"/>
          <w:sz w:val="24"/>
          <w:lang w:eastAsia="es-ES"/>
        </w:rPr>
        <w:t>Atento a ello, es importante traer a contexto la Tesis Jurisprudencial Número 3ª./J.7/91, Publicada en el Semanario Judicial de la Federación y su Gaceta bajo el número de registro 174,177, que establece lo siguiente:</w:t>
      </w:r>
    </w:p>
    <w:p w14:paraId="5961CC28" w14:textId="77777777" w:rsidR="007E074C" w:rsidRPr="008D34D9" w:rsidRDefault="007E074C" w:rsidP="007E074C">
      <w:pPr>
        <w:pStyle w:val="Prrafodelista"/>
        <w:spacing w:before="240" w:after="240" w:line="360" w:lineRule="auto"/>
        <w:ind w:left="0" w:right="48"/>
        <w:jc w:val="both"/>
        <w:rPr>
          <w:rFonts w:ascii="Palatino Linotype" w:eastAsia="MS Mincho" w:hAnsi="Palatino Linotype" w:cs="Arial"/>
          <w:sz w:val="24"/>
          <w:lang w:eastAsia="es-ES"/>
        </w:rPr>
      </w:pPr>
    </w:p>
    <w:p w14:paraId="17E1FF03" w14:textId="77777777" w:rsidR="007E074C" w:rsidRPr="008D34D9" w:rsidRDefault="007E074C" w:rsidP="007E074C">
      <w:pPr>
        <w:pStyle w:val="Prrafodelista"/>
        <w:spacing w:before="240" w:after="240" w:line="360" w:lineRule="auto"/>
        <w:ind w:left="851" w:right="822"/>
        <w:jc w:val="both"/>
        <w:rPr>
          <w:rFonts w:ascii="Palatino Linotype" w:eastAsia="MS Mincho" w:hAnsi="Palatino Linotype" w:cs="Arial"/>
          <w:i/>
          <w:lang w:eastAsia="es-ES"/>
        </w:rPr>
      </w:pPr>
      <w:r w:rsidRPr="008D34D9">
        <w:rPr>
          <w:rFonts w:ascii="Palatino Linotype" w:eastAsia="MS Mincho" w:hAnsi="Palatino Linotype" w:cs="Arial"/>
          <w:i/>
          <w:lang w:eastAsia="es-ES"/>
        </w:rPr>
        <w:lastRenderedPageBreak/>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400DFD2" w14:textId="77777777" w:rsidR="00274BB2" w:rsidRPr="008D34D9" w:rsidRDefault="007E074C" w:rsidP="00274BB2">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D34D9">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40974AF0" w14:textId="77777777" w:rsidR="00274BB2" w:rsidRPr="008D34D9" w:rsidRDefault="00274BB2" w:rsidP="00274BB2">
      <w:pPr>
        <w:spacing w:line="360" w:lineRule="auto"/>
        <w:ind w:right="49"/>
        <w:contextualSpacing/>
        <w:jc w:val="both"/>
        <w:rPr>
          <w:rFonts w:ascii="Palatino Linotype" w:eastAsiaTheme="minorEastAsia" w:hAnsi="Palatino Linotype"/>
          <w:lang w:val="es-ES_tradnl" w:eastAsia="es-ES"/>
        </w:rPr>
      </w:pPr>
    </w:p>
    <w:p w14:paraId="0722B641" w14:textId="77777777" w:rsidR="00274BB2" w:rsidRPr="008D34D9" w:rsidRDefault="007E074C" w:rsidP="00274BB2">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8D34D9">
        <w:rPr>
          <w:rFonts w:ascii="Palatino Linotype" w:hAnsi="Palatino Linotype" w:cs="Tahoma"/>
          <w:bCs/>
          <w:iCs/>
          <w:lang w:eastAsia="es-ES"/>
        </w:rPr>
        <w:t xml:space="preserve">En este contexto, se hará pronunciamiento, únicamente </w:t>
      </w:r>
      <w:r w:rsidR="00274BB2" w:rsidRPr="008D34D9">
        <w:rPr>
          <w:rFonts w:ascii="Palatino Linotype" w:hAnsi="Palatino Linotype" w:cs="Tahoma"/>
          <w:bCs/>
          <w:iCs/>
          <w:lang w:eastAsia="es-ES"/>
        </w:rPr>
        <w:t xml:space="preserve">por las lista de raya del periodo </w:t>
      </w:r>
      <w:r w:rsidR="00274BB2" w:rsidRPr="008D34D9">
        <w:rPr>
          <w:rFonts w:ascii="Palatino Linotype" w:eastAsia="MS Gothic" w:hAnsi="Palatino Linotype" w:cstheme="majorBidi"/>
          <w:lang w:eastAsia="es-ES"/>
        </w:rPr>
        <w:t xml:space="preserve">comprendido del dieciséis al treinta de septiembre de dos mil veintidós. Ahora bien, es necesario señalar que tanto la respuesta como el informe justificado fueron entregados por la Directora </w:t>
      </w:r>
      <w:r w:rsidR="00774FAA" w:rsidRPr="008D34D9">
        <w:rPr>
          <w:rFonts w:ascii="Palatino Linotype" w:eastAsia="MS Gothic" w:hAnsi="Palatino Linotype" w:cstheme="majorBidi"/>
          <w:lang w:eastAsia="es-ES"/>
        </w:rPr>
        <w:t xml:space="preserve">General </w:t>
      </w:r>
      <w:r w:rsidR="00274BB2" w:rsidRPr="008D34D9">
        <w:rPr>
          <w:rFonts w:ascii="Palatino Linotype" w:eastAsia="MS Gothic" w:hAnsi="Palatino Linotype" w:cstheme="majorBidi"/>
          <w:lang w:eastAsia="es-ES"/>
        </w:rPr>
        <w:t xml:space="preserve">de Administración, servidora pública que de acuerdo a sus funciones y atribuciones señaladas en el </w:t>
      </w:r>
      <w:r w:rsidR="00774FAA" w:rsidRPr="008D34D9">
        <w:rPr>
          <w:rFonts w:ascii="Palatino Linotype" w:eastAsia="MS Gothic" w:hAnsi="Palatino Linotype" w:cstheme="majorBidi"/>
          <w:lang w:eastAsia="es-ES"/>
        </w:rPr>
        <w:t>artículo 123 y 124 del Reglamento Orgánico de la Administración Pública Municipal de Huixquilucan, Estado de México 2022-2024</w:t>
      </w:r>
      <w:r w:rsidR="00274BB2" w:rsidRPr="008D34D9">
        <w:rPr>
          <w:rFonts w:ascii="Palatino Linotype" w:eastAsia="MS Gothic" w:hAnsi="Palatino Linotype" w:cstheme="majorBidi"/>
          <w:lang w:eastAsia="es-ES"/>
        </w:rPr>
        <w:t xml:space="preserve"> genera, posee y administra la información solicitada:</w:t>
      </w:r>
    </w:p>
    <w:p w14:paraId="494C11AB" w14:textId="77777777" w:rsidR="00774FAA" w:rsidRPr="008D34D9" w:rsidRDefault="00774FAA" w:rsidP="00774FAA">
      <w:pPr>
        <w:tabs>
          <w:tab w:val="left" w:pos="8080"/>
        </w:tabs>
        <w:spacing w:line="360" w:lineRule="auto"/>
        <w:ind w:left="851" w:right="964"/>
        <w:contextualSpacing/>
        <w:jc w:val="center"/>
        <w:rPr>
          <w:rFonts w:ascii="Palatino Linotype" w:hAnsi="Palatino Linotype"/>
          <w:b/>
          <w:i/>
          <w:sz w:val="22"/>
        </w:rPr>
      </w:pPr>
      <w:r w:rsidRPr="008D34D9">
        <w:rPr>
          <w:rFonts w:ascii="Palatino Linotype" w:hAnsi="Palatino Linotype"/>
          <w:b/>
          <w:i/>
          <w:sz w:val="22"/>
        </w:rPr>
        <w:t>DE LA DIRECCIÓN GENERAL DE ADMINISTRACIÓN</w:t>
      </w:r>
    </w:p>
    <w:p w14:paraId="064EAB76" w14:textId="77777777" w:rsidR="00774FAA" w:rsidRPr="008D34D9" w:rsidRDefault="00774FAA" w:rsidP="00774FAA">
      <w:pPr>
        <w:tabs>
          <w:tab w:val="left" w:pos="8080"/>
        </w:tabs>
        <w:spacing w:line="360" w:lineRule="auto"/>
        <w:ind w:left="851" w:right="964"/>
        <w:contextualSpacing/>
        <w:jc w:val="both"/>
        <w:rPr>
          <w:rFonts w:ascii="Palatino Linotype" w:hAnsi="Palatino Linotype"/>
          <w:i/>
          <w:sz w:val="22"/>
        </w:rPr>
      </w:pPr>
      <w:r w:rsidRPr="008D34D9">
        <w:rPr>
          <w:rFonts w:ascii="Palatino Linotype" w:hAnsi="Palatino Linotype"/>
          <w:i/>
          <w:sz w:val="22"/>
        </w:rPr>
        <w:t xml:space="preserve">“Artículo 123. La Dirección General de Administración es la Unidad Administrativa encargada de administrar, comprobar y controlar los recursos humanos, materiales y técnicos que sean necesarios para el desarrollo del </w:t>
      </w:r>
      <w:r w:rsidRPr="008D34D9">
        <w:rPr>
          <w:rFonts w:ascii="Palatino Linotype" w:hAnsi="Palatino Linotype"/>
          <w:i/>
          <w:sz w:val="22"/>
        </w:rPr>
        <w:lastRenderedPageBreak/>
        <w:t>funcionamiento de las distintas Dependencias y Unidades Administrativas que conforman la administración, considerando la capacidad financiera, así como el Plan de Desarrollo Municipal.”</w:t>
      </w:r>
    </w:p>
    <w:p w14:paraId="13147548" w14:textId="77777777" w:rsidR="00774FAA" w:rsidRPr="008D34D9" w:rsidRDefault="00774FAA" w:rsidP="00774FAA">
      <w:pPr>
        <w:tabs>
          <w:tab w:val="left" w:pos="8080"/>
        </w:tabs>
        <w:spacing w:line="360" w:lineRule="auto"/>
        <w:ind w:left="851" w:right="964"/>
        <w:contextualSpacing/>
        <w:jc w:val="both"/>
        <w:rPr>
          <w:rFonts w:ascii="Palatino Linotype" w:hAnsi="Palatino Linotype"/>
          <w:i/>
          <w:sz w:val="22"/>
        </w:rPr>
      </w:pPr>
    </w:p>
    <w:p w14:paraId="12E41377" w14:textId="77777777" w:rsidR="00774FAA" w:rsidRPr="008D34D9" w:rsidRDefault="00774FAA" w:rsidP="00774FAA">
      <w:pPr>
        <w:tabs>
          <w:tab w:val="left" w:pos="8080"/>
        </w:tabs>
        <w:spacing w:line="360" w:lineRule="auto"/>
        <w:ind w:left="851" w:right="964"/>
        <w:contextualSpacing/>
        <w:jc w:val="both"/>
        <w:rPr>
          <w:rFonts w:ascii="Palatino Linotype" w:hAnsi="Palatino Linotype"/>
          <w:i/>
          <w:sz w:val="22"/>
        </w:rPr>
      </w:pPr>
      <w:r w:rsidRPr="008D34D9">
        <w:rPr>
          <w:rFonts w:ascii="Palatino Linotype" w:hAnsi="Palatino Linotype"/>
          <w:i/>
          <w:sz w:val="22"/>
        </w:rPr>
        <w:t>Artículo 124. La Dirección General de Administración tendrá las siguientes atribuciones:</w:t>
      </w:r>
    </w:p>
    <w:p w14:paraId="52CB7A92" w14:textId="77777777" w:rsidR="00774FAA" w:rsidRPr="008D34D9" w:rsidRDefault="00774FAA" w:rsidP="00774FAA">
      <w:pPr>
        <w:tabs>
          <w:tab w:val="left" w:pos="8080"/>
        </w:tabs>
        <w:spacing w:line="360" w:lineRule="auto"/>
        <w:ind w:left="851" w:right="964"/>
        <w:contextualSpacing/>
        <w:jc w:val="both"/>
        <w:rPr>
          <w:rFonts w:ascii="Palatino Linotype" w:hAnsi="Palatino Linotype"/>
          <w:i/>
          <w:sz w:val="22"/>
        </w:rPr>
      </w:pPr>
      <w:r w:rsidRPr="008D34D9">
        <w:rPr>
          <w:rFonts w:ascii="Palatino Linotype" w:hAnsi="Palatino Linotype"/>
          <w:i/>
          <w:sz w:val="22"/>
        </w:rPr>
        <w:t>“I. Planear, coordinar, comprobar y controlar la administración y aprovechamiento de los recursos humanos, materiales y de prestación de servicios que requieran las Dependencias;</w:t>
      </w:r>
    </w:p>
    <w:p w14:paraId="632A11AC" w14:textId="77777777" w:rsidR="007E074C" w:rsidRPr="008D34D9" w:rsidRDefault="00774FAA" w:rsidP="00774FAA">
      <w:pPr>
        <w:tabs>
          <w:tab w:val="left" w:pos="8080"/>
        </w:tabs>
        <w:spacing w:line="360" w:lineRule="auto"/>
        <w:ind w:left="851" w:right="964"/>
        <w:contextualSpacing/>
        <w:jc w:val="both"/>
        <w:rPr>
          <w:rFonts w:ascii="Palatino Linotype" w:hAnsi="Palatino Linotype"/>
          <w:i/>
          <w:sz w:val="22"/>
        </w:rPr>
      </w:pPr>
      <w:r w:rsidRPr="008D34D9">
        <w:rPr>
          <w:rFonts w:ascii="Palatino Linotype" w:hAnsi="Palatino Linotype"/>
          <w:i/>
          <w:sz w:val="22"/>
        </w:rPr>
        <w:t>…”</w:t>
      </w:r>
    </w:p>
    <w:p w14:paraId="5FF4DD22" w14:textId="77777777" w:rsidR="00774FAA" w:rsidRPr="008D34D9" w:rsidRDefault="00774FAA" w:rsidP="00774FAA">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D34D9">
        <w:rPr>
          <w:rFonts w:ascii="Palatino Linotype" w:eastAsia="MS Gothic" w:hAnsi="Palatino Linotype" w:cstheme="majorBidi"/>
          <w:lang w:val="es-ES_tradnl" w:eastAsia="es-ES"/>
        </w:rPr>
        <w:t xml:space="preserve">Por otro lado, debemos recordar que la Directora General de Administración señaló que la información de las listas de raya podía ser consultada en la liga electrónica que adjuntó, al respecto, </w:t>
      </w:r>
      <w:r w:rsidRPr="008D34D9">
        <w:rPr>
          <w:rFonts w:ascii="Palatino Linotype" w:eastAsia="MS Mincho" w:hAnsi="Palatino Linotype"/>
          <w:lang w:val="es-ES_tradnl" w:eastAsia="es-ES"/>
        </w:rPr>
        <w:t xml:space="preserve">la Ley en la materia en términos generales, establece que como uno de los objetivos con el que cuenta es el de garantizar a toda persona el derecho de acceso a la información pública, mediante los procedimientos establecidos de forma </w:t>
      </w:r>
      <w:r w:rsidRPr="008D34D9">
        <w:rPr>
          <w:rFonts w:ascii="Palatino Linotype" w:eastAsia="MS Mincho" w:hAnsi="Palatino Linotype"/>
          <w:b/>
          <w:lang w:val="es-ES_tradnl" w:eastAsia="es-ES"/>
        </w:rPr>
        <w:t>sencilla</w:t>
      </w:r>
      <w:r w:rsidRPr="008D34D9">
        <w:rPr>
          <w:rFonts w:ascii="Palatino Linotype" w:eastAsia="MS Mincho" w:hAnsi="Palatino Linotype"/>
          <w:lang w:val="es-ES_tradnl" w:eastAsia="es-ES"/>
        </w:rPr>
        <w:t xml:space="preserve">, expeditos, </w:t>
      </w:r>
      <w:r w:rsidRPr="008D34D9">
        <w:rPr>
          <w:rFonts w:ascii="Palatino Linotype" w:eastAsia="MS Mincho" w:hAnsi="Palatino Linotype"/>
          <w:b/>
          <w:lang w:val="es-ES_tradnl" w:eastAsia="es-ES"/>
        </w:rPr>
        <w:t>oportunos</w:t>
      </w:r>
      <w:r w:rsidRPr="008D34D9">
        <w:rPr>
          <w:rFonts w:ascii="Palatino Linotype" w:eastAsia="MS Mincho" w:hAnsi="Palatino Linotype"/>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4FD43F89" w14:textId="77777777" w:rsidR="00774FAA" w:rsidRPr="008D34D9" w:rsidRDefault="00774FAA" w:rsidP="00774FAA">
      <w:pPr>
        <w:spacing w:line="360" w:lineRule="auto"/>
        <w:ind w:right="49"/>
        <w:contextualSpacing/>
        <w:jc w:val="both"/>
        <w:rPr>
          <w:rFonts w:ascii="Palatino Linotype" w:eastAsiaTheme="minorEastAsia" w:hAnsi="Palatino Linotype"/>
          <w:lang w:eastAsia="es-ES"/>
        </w:rPr>
      </w:pPr>
    </w:p>
    <w:p w14:paraId="1C9650F9" w14:textId="77777777" w:rsidR="00774FAA" w:rsidRPr="008D34D9" w:rsidRDefault="00774FAA" w:rsidP="00774FAA">
      <w:pPr>
        <w:pStyle w:val="Prrafodelista"/>
        <w:numPr>
          <w:ilvl w:val="0"/>
          <w:numId w:val="1"/>
        </w:numPr>
        <w:spacing w:line="360" w:lineRule="auto"/>
        <w:ind w:left="0" w:firstLine="0"/>
        <w:jc w:val="both"/>
        <w:rPr>
          <w:rFonts w:ascii="Palatino Linotype" w:eastAsia="MS Mincho" w:hAnsi="Palatino Linotype"/>
          <w:sz w:val="24"/>
        </w:rPr>
      </w:pPr>
      <w:r w:rsidRPr="008D34D9">
        <w:rPr>
          <w:rFonts w:ascii="Palatino Linotype" w:hAnsi="Palatino Linotype"/>
          <w:sz w:val="24"/>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8D34D9">
        <w:rPr>
          <w:rFonts w:ascii="Palatino Linotype" w:hAnsi="Palatino Linotype"/>
          <w:b/>
          <w:sz w:val="24"/>
          <w:lang w:val="es-ES"/>
        </w:rPr>
        <w:t xml:space="preserve"> </w:t>
      </w:r>
      <w:r w:rsidRPr="008D34D9">
        <w:rPr>
          <w:rFonts w:ascii="Palatino Linotype" w:hAnsi="Palatino Linotype"/>
          <w:sz w:val="24"/>
          <w:lang w:val="es-ES"/>
        </w:rPr>
        <w:t xml:space="preserve">a la Información Pública del Estado de México y Municipios </w:t>
      </w:r>
      <w:r w:rsidRPr="008D34D9">
        <w:rPr>
          <w:rFonts w:ascii="Palatino Linotype" w:hAnsi="Palatino Linotype"/>
          <w:sz w:val="24"/>
          <w:lang w:val="es-ES"/>
        </w:rPr>
        <w:lastRenderedPageBreak/>
        <w:t>establece dos puntos importantes que impactan sobre la modalidad de entrega de la información.</w:t>
      </w:r>
    </w:p>
    <w:p w14:paraId="4DAD3101" w14:textId="77777777" w:rsidR="00774FAA" w:rsidRPr="008D34D9" w:rsidRDefault="00774FAA" w:rsidP="00774FAA">
      <w:pPr>
        <w:pStyle w:val="Prrafodelista"/>
        <w:tabs>
          <w:tab w:val="left" w:pos="851"/>
        </w:tabs>
        <w:spacing w:before="240" w:after="240" w:line="360" w:lineRule="auto"/>
        <w:ind w:left="0" w:right="49"/>
        <w:jc w:val="both"/>
        <w:rPr>
          <w:rFonts w:ascii="Palatino Linotype" w:hAnsi="Palatino Linotype"/>
          <w:sz w:val="24"/>
          <w:lang w:val="es-ES"/>
        </w:rPr>
      </w:pPr>
    </w:p>
    <w:p w14:paraId="083DD752"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D34D9">
        <w:rPr>
          <w:rFonts w:ascii="Palatino Linotype" w:hAnsi="Palatino Linotype"/>
          <w:sz w:val="24"/>
          <w:lang w:val="es-ES"/>
        </w:rPr>
        <w:t xml:space="preserve">El primer punto a analizar es que la ley en materia contempla </w:t>
      </w:r>
      <w:r w:rsidRPr="008D34D9">
        <w:rPr>
          <w:rFonts w:ascii="Palatino Linotype" w:hAnsi="Palatino Linotype"/>
          <w:b/>
          <w:sz w:val="24"/>
          <w:lang w:val="es-ES"/>
        </w:rPr>
        <w:t>información pública de oficio</w:t>
      </w:r>
      <w:r w:rsidRPr="008D34D9">
        <w:rPr>
          <w:rFonts w:ascii="Palatino Linotype" w:hAnsi="Palatino Linotype"/>
          <w:sz w:val="24"/>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14:paraId="477A241A" w14:textId="77777777" w:rsidR="00774FAA" w:rsidRPr="008D34D9" w:rsidRDefault="00774FAA" w:rsidP="00774FAA">
      <w:pPr>
        <w:pStyle w:val="Prrafodelista"/>
        <w:tabs>
          <w:tab w:val="left" w:pos="851"/>
        </w:tabs>
        <w:spacing w:before="240" w:after="240" w:line="360" w:lineRule="auto"/>
        <w:ind w:left="0" w:right="49"/>
        <w:jc w:val="both"/>
        <w:rPr>
          <w:rFonts w:ascii="Palatino Linotype" w:hAnsi="Palatino Linotype"/>
          <w:sz w:val="24"/>
          <w:lang w:val="es-ES"/>
        </w:rPr>
      </w:pPr>
    </w:p>
    <w:p w14:paraId="33C7E5F1"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D34D9">
        <w:rPr>
          <w:rFonts w:ascii="Palatino Linotype" w:hAnsi="Palatino Linotype"/>
          <w:sz w:val="24"/>
          <w:lang w:val="es-ES"/>
        </w:rPr>
        <w:t>El segundo punto a analizar y que guarda estricta relación con el punto anterior, se encuentra en el artículo 161 de la citada Ley de Transparencia Local:</w:t>
      </w:r>
    </w:p>
    <w:p w14:paraId="57AA54F7" w14:textId="77777777" w:rsidR="00774FAA" w:rsidRPr="008D34D9" w:rsidRDefault="00774FAA" w:rsidP="00774FAA">
      <w:pPr>
        <w:autoSpaceDE w:val="0"/>
        <w:autoSpaceDN w:val="0"/>
        <w:adjustRightInd w:val="0"/>
        <w:spacing w:line="360" w:lineRule="auto"/>
        <w:ind w:left="567" w:right="567"/>
        <w:jc w:val="both"/>
        <w:rPr>
          <w:rFonts w:ascii="Palatino Linotype" w:hAnsi="Palatino Linotype"/>
          <w:i/>
          <w:sz w:val="22"/>
          <w:lang w:val="es-ES"/>
        </w:rPr>
      </w:pPr>
      <w:r w:rsidRPr="008D34D9">
        <w:rPr>
          <w:rFonts w:ascii="Palatino Linotype" w:hAnsi="Palatino Linotype" w:cs="Bookman Old Style,Bold"/>
          <w:b/>
          <w:bCs/>
          <w:i/>
          <w:sz w:val="22"/>
        </w:rPr>
        <w:t xml:space="preserve">Artículo 161. </w:t>
      </w:r>
      <w:r w:rsidRPr="008D34D9">
        <w:rPr>
          <w:rFonts w:ascii="Palatino Linotype" w:hAnsi="Palatino Linotype" w:cs="Bookman Old Style"/>
          <w:b/>
          <w:i/>
          <w:sz w:val="22"/>
        </w:rPr>
        <w:t>Cuando la información requerida por el solicitante ya esté disponible</w:t>
      </w:r>
      <w:r w:rsidRPr="008D34D9">
        <w:rPr>
          <w:rFonts w:ascii="Palatino Linotype" w:hAnsi="Palatino Linotype" w:cs="Bookman Old Style"/>
          <w:i/>
          <w:sz w:val="22"/>
        </w:rPr>
        <w:t xml:space="preserve"> al público en medios impresos, tales como libros, compendios, trípticos, registros públicos, </w:t>
      </w:r>
      <w:r w:rsidRPr="008D34D9">
        <w:rPr>
          <w:rFonts w:ascii="Palatino Linotype" w:hAnsi="Palatino Linotype" w:cs="Bookman Old Style"/>
          <w:b/>
          <w:i/>
          <w:sz w:val="22"/>
        </w:rPr>
        <w:t xml:space="preserve">en formatos electrónicos disponibles en Internet </w:t>
      </w:r>
      <w:r w:rsidRPr="008D34D9">
        <w:rPr>
          <w:rFonts w:ascii="Palatino Linotype" w:hAnsi="Palatino Linotype" w:cs="Bookman Old Style"/>
          <w:i/>
          <w:sz w:val="22"/>
        </w:rPr>
        <w:t xml:space="preserve">o en cualquier otro medio, se le hará saber por el medio requerido por el solicitante la fuente, el lugar y la forma en que puede consultar, reproducir o adquirir dicha información </w:t>
      </w:r>
      <w:r w:rsidRPr="008D34D9">
        <w:rPr>
          <w:rFonts w:ascii="Palatino Linotype" w:hAnsi="Palatino Linotype" w:cs="Bookman Old Style"/>
          <w:b/>
          <w:i/>
          <w:sz w:val="22"/>
        </w:rPr>
        <w:t>en un plazo no mayor a cinco días hábiles</w:t>
      </w:r>
      <w:r w:rsidRPr="008D34D9">
        <w:rPr>
          <w:rFonts w:ascii="Palatino Linotype" w:hAnsi="Palatino Linotype" w:cs="Bookman Old Style"/>
          <w:i/>
          <w:sz w:val="22"/>
        </w:rPr>
        <w:t xml:space="preserve">. </w:t>
      </w:r>
      <w:r w:rsidRPr="008D34D9">
        <w:rPr>
          <w:rFonts w:ascii="Palatino Linotype" w:hAnsi="Palatino Linotype" w:cs="Bookman Old Style"/>
          <w:b/>
          <w:i/>
          <w:sz w:val="22"/>
        </w:rPr>
        <w:t>La fuente deberá ser precisa y concreta y no debe implicar que el solicitante realice una búsqueda en toda la información que se encuentre disponible</w:t>
      </w:r>
      <w:r w:rsidRPr="008D34D9">
        <w:rPr>
          <w:rFonts w:ascii="Palatino Linotype" w:hAnsi="Palatino Linotype" w:cs="Bookman Old Style"/>
          <w:i/>
          <w:sz w:val="22"/>
        </w:rPr>
        <w:t>.</w:t>
      </w:r>
    </w:p>
    <w:p w14:paraId="3C8A6684"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D34D9">
        <w:rPr>
          <w:rFonts w:ascii="Palatino Linotype" w:hAnsi="Palatino Linotype"/>
          <w:sz w:val="24"/>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w:t>
      </w:r>
      <w:r w:rsidRPr="008D34D9">
        <w:rPr>
          <w:rFonts w:ascii="Palatino Linotype" w:hAnsi="Palatino Linotype"/>
          <w:sz w:val="24"/>
          <w:lang w:val="es-ES"/>
        </w:rPr>
        <w:lastRenderedPageBreak/>
        <w:t>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248BA72D" w14:textId="77777777" w:rsidR="00774FAA" w:rsidRPr="008D34D9" w:rsidRDefault="00774FAA" w:rsidP="00774FAA">
      <w:pPr>
        <w:pStyle w:val="Prrafodelista"/>
        <w:tabs>
          <w:tab w:val="left" w:pos="851"/>
        </w:tabs>
        <w:spacing w:before="240" w:after="240" w:line="360" w:lineRule="auto"/>
        <w:ind w:left="0" w:right="49"/>
        <w:jc w:val="both"/>
        <w:rPr>
          <w:rFonts w:ascii="Palatino Linotype" w:hAnsi="Palatino Linotype"/>
          <w:i/>
          <w:sz w:val="24"/>
          <w:lang w:val="es-ES"/>
        </w:rPr>
      </w:pPr>
    </w:p>
    <w:p w14:paraId="1C993F4B"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D34D9">
        <w:rPr>
          <w:rFonts w:ascii="Palatino Linotype" w:hAnsi="Palatino Linotype"/>
          <w:b/>
          <w:sz w:val="24"/>
          <w:lang w:val="es-ES"/>
        </w:rPr>
        <w:t>La orientación</w:t>
      </w:r>
      <w:r w:rsidRPr="008D34D9">
        <w:rPr>
          <w:rFonts w:ascii="Palatino Linotype" w:hAnsi="Palatino Linotype"/>
          <w:sz w:val="24"/>
          <w:lang w:val="es-ES"/>
        </w:rPr>
        <w:t xml:space="preserve"> que realicen los Sujetos Obligados a los sitios electrónicos para la consulta de la información </w:t>
      </w:r>
      <w:r w:rsidRPr="008D34D9">
        <w:rPr>
          <w:rFonts w:ascii="Palatino Linotype" w:hAnsi="Palatino Linotype"/>
          <w:b/>
          <w:sz w:val="24"/>
          <w:lang w:val="es-ES"/>
        </w:rPr>
        <w:t>debe cumplir con las características de tiempo y forma.</w:t>
      </w:r>
    </w:p>
    <w:p w14:paraId="3E1DE0D6" w14:textId="77777777" w:rsidR="00774FAA" w:rsidRPr="008D34D9" w:rsidRDefault="00774FAA" w:rsidP="00774FAA">
      <w:pPr>
        <w:pStyle w:val="Prrafodelista"/>
        <w:rPr>
          <w:rFonts w:ascii="Palatino Linotype" w:hAnsi="Palatino Linotype"/>
          <w:sz w:val="24"/>
          <w:lang w:val="es-ES"/>
        </w:rPr>
      </w:pPr>
    </w:p>
    <w:p w14:paraId="1B473B40"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D34D9">
        <w:rPr>
          <w:rFonts w:ascii="Palatino Linotype" w:hAnsi="Palatino Linotype"/>
          <w:sz w:val="24"/>
          <w:lang w:val="es-ES"/>
        </w:rPr>
        <w:t xml:space="preserve">Para que la orientación se encuentre en tiempo, debe realizarse en un plazo no mayor a cinco días hábiles. En este caso, el Recurrente presentó su solicitud en fecha diez (10) de octubre de dos mil veintidós, por lo que, el plazo de cinco días para señalar los sitios electrónicos en donde obra la información transcurrió del once (11) al diecisiete (17) de octubre de dos mil veintidós; el Sujeto Obligado dio respuesta el veinticinco (25) de octubre de dos mil veintidós, por lo que evidentemente se encuentra fuera del plazo que señala la normatividad en materia, lo que trae como consecuencia que </w:t>
      </w:r>
      <w:r w:rsidRPr="008D34D9">
        <w:rPr>
          <w:rFonts w:ascii="Palatino Linotype" w:hAnsi="Palatino Linotype"/>
          <w:b/>
          <w:sz w:val="24"/>
          <w:lang w:val="es-ES"/>
        </w:rPr>
        <w:t>la orientación no se encuentre en tiempo</w:t>
      </w:r>
      <w:r w:rsidRPr="008D34D9">
        <w:rPr>
          <w:rFonts w:ascii="Palatino Linotype" w:hAnsi="Palatino Linotype"/>
          <w:sz w:val="24"/>
          <w:lang w:val="es-ES"/>
        </w:rPr>
        <w:t>.</w:t>
      </w:r>
    </w:p>
    <w:p w14:paraId="16B8C0FF" w14:textId="77777777" w:rsidR="00774FAA" w:rsidRPr="008D34D9" w:rsidRDefault="00774FAA" w:rsidP="00774FAA">
      <w:pPr>
        <w:pStyle w:val="Prrafodelista"/>
        <w:rPr>
          <w:rFonts w:ascii="Palatino Linotype" w:hAnsi="Palatino Linotype"/>
          <w:sz w:val="24"/>
          <w:lang w:val="es-ES"/>
        </w:rPr>
      </w:pPr>
    </w:p>
    <w:p w14:paraId="48D0B9B3"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i/>
          <w:sz w:val="24"/>
          <w:lang w:val="es-ES"/>
        </w:rPr>
      </w:pPr>
      <w:r w:rsidRPr="008D34D9">
        <w:rPr>
          <w:rFonts w:ascii="Palatino Linotype" w:hAnsi="Palatino Linotype"/>
          <w:sz w:val="24"/>
          <w:lang w:val="es-ES"/>
        </w:rPr>
        <w:t>Ahora bien, la normatividad en materia establece que las direcciones electrónicas deben ser precisas, de tal modo que no implique que el Recurrente deba de realizar una búsqueda dentro de toda la información disponible.</w:t>
      </w:r>
    </w:p>
    <w:p w14:paraId="0A70D150" w14:textId="77777777" w:rsidR="00774FAA" w:rsidRPr="008D34D9" w:rsidRDefault="00774FAA" w:rsidP="00774FAA">
      <w:pPr>
        <w:pStyle w:val="Prrafodelista"/>
        <w:rPr>
          <w:rFonts w:ascii="Palatino Linotype" w:hAnsi="Palatino Linotype"/>
          <w:i/>
          <w:sz w:val="24"/>
          <w:lang w:val="es-ES"/>
        </w:rPr>
      </w:pPr>
    </w:p>
    <w:p w14:paraId="251A8FE7" w14:textId="77777777" w:rsidR="00774FAA" w:rsidRPr="008D34D9" w:rsidRDefault="00774FAA" w:rsidP="00774FAA">
      <w:pPr>
        <w:pStyle w:val="Prrafodelista"/>
        <w:numPr>
          <w:ilvl w:val="0"/>
          <w:numId w:val="1"/>
        </w:numPr>
        <w:tabs>
          <w:tab w:val="left" w:pos="851"/>
        </w:tabs>
        <w:spacing w:before="240" w:after="240" w:line="360" w:lineRule="auto"/>
        <w:ind w:left="0" w:right="49" w:firstLine="0"/>
        <w:jc w:val="both"/>
        <w:rPr>
          <w:rFonts w:ascii="Palatino Linotype" w:hAnsi="Palatino Linotype"/>
          <w:sz w:val="24"/>
          <w:lang w:val="es-ES"/>
        </w:rPr>
      </w:pPr>
      <w:r w:rsidRPr="008D34D9">
        <w:rPr>
          <w:rFonts w:ascii="Palatino Linotype" w:hAnsi="Palatino Linotype"/>
          <w:sz w:val="24"/>
          <w:lang w:val="es-ES"/>
        </w:rPr>
        <w:t>El Sujeto Obligado señaló que la información solicitada se encontraba en la siguiente liga electrónica:</w:t>
      </w:r>
    </w:p>
    <w:p w14:paraId="070F6059" w14:textId="77777777" w:rsidR="00774FAA" w:rsidRPr="008D34D9" w:rsidRDefault="00774FAA" w:rsidP="00774FAA">
      <w:pPr>
        <w:pStyle w:val="Prrafodelista"/>
        <w:rPr>
          <w:rFonts w:ascii="Palatino Linotype" w:hAnsi="Palatino Linotype"/>
          <w:sz w:val="24"/>
          <w:lang w:val="es-ES"/>
        </w:rPr>
      </w:pPr>
    </w:p>
    <w:p w14:paraId="73EFD81F" w14:textId="77777777" w:rsidR="00774FAA" w:rsidRPr="008D34D9" w:rsidRDefault="008D34D9" w:rsidP="00774FAA">
      <w:pPr>
        <w:pStyle w:val="Sangradetextonormal"/>
        <w:numPr>
          <w:ilvl w:val="0"/>
          <w:numId w:val="7"/>
        </w:numPr>
        <w:spacing w:before="0" w:after="0"/>
        <w:jc w:val="both"/>
        <w:rPr>
          <w:rFonts w:ascii="HelveticaNeueLT Std Lt" w:eastAsia="Times New Roman" w:hAnsi="HelveticaNeueLT Std Lt" w:cs="Arial"/>
          <w:b/>
          <w:bCs/>
          <w:sz w:val="24"/>
          <w:szCs w:val="24"/>
          <w:lang w:val="es-MX" w:eastAsia="es-ES"/>
        </w:rPr>
      </w:pPr>
      <w:hyperlink r:id="rId15" w:history="1">
        <w:r w:rsidR="00774FAA" w:rsidRPr="008D34D9">
          <w:rPr>
            <w:rStyle w:val="Hipervnculo"/>
            <w:rFonts w:ascii="Palatino Linotype" w:hAnsi="Palatino Linotype"/>
            <w:sz w:val="24"/>
            <w:szCs w:val="24"/>
          </w:rPr>
          <w:t>https://www.ipomex.org.mx/ipo3/lgt/indice/HUIXQUILUCAN/art_92_viii.web</w:t>
        </w:r>
      </w:hyperlink>
    </w:p>
    <w:p w14:paraId="53431A64" w14:textId="77777777" w:rsidR="00774FAA" w:rsidRPr="008D34D9" w:rsidRDefault="00774FAA" w:rsidP="00774FAA">
      <w:pPr>
        <w:rPr>
          <w:rFonts w:ascii="Palatino Linotype" w:hAnsi="Palatino Linotype"/>
          <w:lang w:val="es-ES"/>
        </w:rPr>
      </w:pPr>
    </w:p>
    <w:p w14:paraId="5058555B" w14:textId="77777777" w:rsidR="00774FAA" w:rsidRPr="008D34D9" w:rsidRDefault="00774FAA" w:rsidP="007F342C">
      <w:pPr>
        <w:pStyle w:val="Prrafodelista"/>
        <w:numPr>
          <w:ilvl w:val="0"/>
          <w:numId w:val="1"/>
        </w:numPr>
        <w:tabs>
          <w:tab w:val="left" w:pos="851"/>
        </w:tabs>
        <w:spacing w:before="240" w:after="240" w:line="360" w:lineRule="auto"/>
        <w:ind w:left="0" w:right="49" w:firstLine="0"/>
        <w:jc w:val="both"/>
        <w:rPr>
          <w:rFonts w:ascii="Palatino Linotype" w:eastAsia="MS Gothic" w:hAnsi="Palatino Linotype" w:cstheme="majorBidi"/>
          <w:i/>
          <w:sz w:val="24"/>
          <w:lang w:val="es-ES_tradnl" w:eastAsia="es-ES"/>
        </w:rPr>
      </w:pPr>
      <w:r w:rsidRPr="008D34D9">
        <w:rPr>
          <w:rFonts w:ascii="Palatino Linotype" w:hAnsi="Palatino Linotype"/>
          <w:sz w:val="24"/>
          <w:lang w:val="es-ES"/>
        </w:rPr>
        <w:lastRenderedPageBreak/>
        <w:t xml:space="preserve">Al dirigirse a la página señalada, remite a </w:t>
      </w:r>
      <w:r w:rsidR="004D48DC" w:rsidRPr="008D34D9">
        <w:rPr>
          <w:rFonts w:ascii="Palatino Linotype" w:hAnsi="Palatino Linotype"/>
          <w:sz w:val="24"/>
          <w:lang w:val="es-ES"/>
        </w:rPr>
        <w:t xml:space="preserve">página de Información Pública de Oficio Mexiquense (IPOMEX), </w:t>
      </w:r>
      <w:r w:rsidRPr="008D34D9">
        <w:rPr>
          <w:rFonts w:ascii="Palatino Linotype" w:hAnsi="Palatino Linotype"/>
          <w:sz w:val="24"/>
          <w:lang w:val="es-ES"/>
        </w:rPr>
        <w:t xml:space="preserve">fracción </w:t>
      </w:r>
      <w:r w:rsidR="004D48DC" w:rsidRPr="008D34D9">
        <w:rPr>
          <w:rFonts w:ascii="Palatino Linotype" w:hAnsi="Palatino Linotype"/>
          <w:sz w:val="24"/>
          <w:lang w:val="es-ES"/>
        </w:rPr>
        <w:t>VIII A de las Remuneraciones:</w:t>
      </w:r>
    </w:p>
    <w:p w14:paraId="67CF5488" w14:textId="77777777" w:rsidR="004D48DC" w:rsidRPr="008D34D9" w:rsidRDefault="004D48DC" w:rsidP="004D48DC">
      <w:pPr>
        <w:pStyle w:val="Prrafodelista"/>
        <w:tabs>
          <w:tab w:val="left" w:pos="851"/>
        </w:tabs>
        <w:spacing w:before="240" w:after="240" w:line="360" w:lineRule="auto"/>
        <w:ind w:left="0" w:right="49"/>
        <w:jc w:val="center"/>
        <w:rPr>
          <w:rFonts w:ascii="Palatino Linotype" w:eastAsia="MS Gothic" w:hAnsi="Palatino Linotype" w:cstheme="majorBidi"/>
          <w:i/>
          <w:sz w:val="24"/>
          <w:lang w:val="es-ES_tradnl" w:eastAsia="es-ES"/>
        </w:rPr>
      </w:pPr>
      <w:r w:rsidRPr="008D34D9">
        <w:rPr>
          <w:rFonts w:ascii="Palatino Linotype" w:eastAsia="MS Gothic" w:hAnsi="Palatino Linotype" w:cstheme="majorBidi"/>
          <w:i/>
          <w:noProof/>
          <w:sz w:val="24"/>
        </w:rPr>
        <w:drawing>
          <wp:inline distT="0" distB="0" distL="0" distR="0" wp14:anchorId="20C302C5" wp14:editId="744E04B9">
            <wp:extent cx="4305300" cy="267819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3268" cy="2683154"/>
                    </a:xfrm>
                    <a:prstGeom prst="rect">
                      <a:avLst/>
                    </a:prstGeom>
                  </pic:spPr>
                </pic:pic>
              </a:graphicData>
            </a:graphic>
          </wp:inline>
        </w:drawing>
      </w:r>
    </w:p>
    <w:p w14:paraId="17EAC265" w14:textId="77777777" w:rsidR="004D48DC" w:rsidRPr="008D34D9" w:rsidRDefault="004D48DC" w:rsidP="004D48DC">
      <w:pPr>
        <w:pStyle w:val="Prrafodelista"/>
        <w:tabs>
          <w:tab w:val="left" w:pos="851"/>
        </w:tabs>
        <w:spacing w:before="240" w:after="240" w:line="360" w:lineRule="auto"/>
        <w:ind w:left="0" w:right="49"/>
        <w:jc w:val="center"/>
        <w:rPr>
          <w:rFonts w:ascii="Palatino Linotype" w:eastAsia="MS Gothic" w:hAnsi="Palatino Linotype" w:cstheme="majorBidi"/>
          <w:i/>
          <w:sz w:val="24"/>
          <w:lang w:val="es-ES_tradnl" w:eastAsia="es-ES"/>
        </w:rPr>
      </w:pPr>
    </w:p>
    <w:p w14:paraId="24306021" w14:textId="77777777" w:rsidR="004D48DC" w:rsidRPr="008D34D9" w:rsidRDefault="004D48DC" w:rsidP="003A562E">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8D34D9">
        <w:rPr>
          <w:rFonts w:ascii="Palatino Linotype" w:eastAsia="MS Gothic" w:hAnsi="Palatino Linotype" w:cstheme="majorBidi"/>
          <w:lang w:val="es-ES_tradnl" w:eastAsia="es-ES"/>
        </w:rPr>
        <w:t>Como se advierte, no lleva de forma concreta a la información solicitada por el particular, incluso al ingresar al ejercicio 2022, se despliega la información por área, lo que implica que el particular realice una búsqueda en cada archivo para localizar la información:</w:t>
      </w:r>
    </w:p>
    <w:p w14:paraId="6EE497BE" w14:textId="77777777" w:rsidR="004D48DC" w:rsidRPr="008D34D9" w:rsidRDefault="004D48DC" w:rsidP="004D48DC">
      <w:pPr>
        <w:spacing w:line="360" w:lineRule="auto"/>
        <w:ind w:right="49"/>
        <w:contextualSpacing/>
        <w:jc w:val="both"/>
        <w:rPr>
          <w:rFonts w:ascii="Palatino Linotype" w:eastAsia="MS Gothic" w:hAnsi="Palatino Linotype" w:cstheme="majorBidi"/>
          <w:lang w:val="es-ES_tradnl" w:eastAsia="es-ES"/>
        </w:rPr>
      </w:pPr>
    </w:p>
    <w:p w14:paraId="529E5859" w14:textId="77777777" w:rsidR="00774FAA" w:rsidRPr="008D34D9" w:rsidRDefault="004D48DC" w:rsidP="004D48DC">
      <w:pPr>
        <w:spacing w:line="360" w:lineRule="auto"/>
        <w:ind w:right="49"/>
        <w:contextualSpacing/>
        <w:jc w:val="center"/>
        <w:rPr>
          <w:rFonts w:ascii="Palatino Linotype" w:eastAsia="MS Gothic" w:hAnsi="Palatino Linotype" w:cstheme="majorBidi"/>
          <w:i/>
          <w:lang w:val="es-ES_tradnl" w:eastAsia="es-ES"/>
        </w:rPr>
      </w:pPr>
      <w:r w:rsidRPr="008D34D9">
        <w:rPr>
          <w:rFonts w:ascii="Palatino Linotype" w:eastAsia="MS Gothic" w:hAnsi="Palatino Linotype" w:cstheme="majorBidi"/>
          <w:noProof/>
        </w:rPr>
        <w:lastRenderedPageBreak/>
        <w:drawing>
          <wp:inline distT="0" distB="0" distL="0" distR="0" wp14:anchorId="70182025" wp14:editId="68961DDB">
            <wp:extent cx="4143375" cy="24391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2511" cy="2444490"/>
                    </a:xfrm>
                    <a:prstGeom prst="rect">
                      <a:avLst/>
                    </a:prstGeom>
                  </pic:spPr>
                </pic:pic>
              </a:graphicData>
            </a:graphic>
          </wp:inline>
        </w:drawing>
      </w:r>
    </w:p>
    <w:p w14:paraId="1FB01FC8" w14:textId="77777777" w:rsidR="004D48DC" w:rsidRPr="008D34D9" w:rsidRDefault="004D48DC" w:rsidP="004D48DC">
      <w:pPr>
        <w:spacing w:line="360" w:lineRule="auto"/>
        <w:ind w:right="49"/>
        <w:contextualSpacing/>
        <w:jc w:val="center"/>
        <w:rPr>
          <w:rFonts w:ascii="Palatino Linotype" w:eastAsia="MS Gothic" w:hAnsi="Palatino Linotype" w:cstheme="majorBidi"/>
          <w:i/>
          <w:lang w:val="es-ES_tradnl" w:eastAsia="es-ES"/>
        </w:rPr>
      </w:pPr>
    </w:p>
    <w:p w14:paraId="42C00024" w14:textId="77777777" w:rsidR="00B057B1" w:rsidRPr="008D34D9" w:rsidRDefault="00510289" w:rsidP="004D48DC">
      <w:pPr>
        <w:numPr>
          <w:ilvl w:val="0"/>
          <w:numId w:val="1"/>
        </w:numPr>
        <w:spacing w:line="360" w:lineRule="auto"/>
        <w:ind w:left="0" w:right="49" w:firstLine="0"/>
        <w:contextualSpacing/>
        <w:jc w:val="both"/>
        <w:rPr>
          <w:rFonts w:ascii="Palatino Linotype" w:eastAsia="MS Gothic" w:hAnsi="Palatino Linotype" w:cstheme="majorBidi"/>
          <w:b/>
          <w:i/>
          <w:lang w:val="es-ES_tradnl" w:eastAsia="es-ES"/>
        </w:rPr>
      </w:pPr>
      <w:r w:rsidRPr="008D34D9">
        <w:rPr>
          <w:rFonts w:ascii="Palatino Linotype" w:eastAsia="MS Gothic" w:hAnsi="Palatino Linotype" w:cstheme="majorBidi"/>
          <w:lang w:val="es-ES_tradnl" w:eastAsia="es-ES"/>
        </w:rPr>
        <w:t>En este caso,</w:t>
      </w:r>
      <w:r w:rsidR="004D48DC" w:rsidRPr="008D34D9">
        <w:rPr>
          <w:rFonts w:ascii="Palatino Linotype" w:eastAsia="MS Gothic" w:hAnsi="Palatino Linotype" w:cstheme="majorBidi"/>
          <w:lang w:val="es-ES_tradnl" w:eastAsia="es-ES"/>
        </w:rPr>
        <w:t xml:space="preserve"> la información remitida en respuesta y en informe justificado (liga electrónica), no colma con la solicitud de información del particular, pues no cumple con lo establecido en el artículo 161 de la ley de Transparencia y Acceso a la Información del Estado de M</w:t>
      </w:r>
      <w:r w:rsidR="00350B66" w:rsidRPr="008D34D9">
        <w:rPr>
          <w:rFonts w:ascii="Palatino Linotype" w:eastAsia="MS Gothic" w:hAnsi="Palatino Linotype" w:cstheme="majorBidi"/>
          <w:lang w:val="es-ES_tradnl" w:eastAsia="es-ES"/>
        </w:rPr>
        <w:t>éxico.</w:t>
      </w:r>
    </w:p>
    <w:p w14:paraId="5AD23FAA" w14:textId="77777777" w:rsidR="004D48DC" w:rsidRPr="008D34D9" w:rsidRDefault="004D48DC" w:rsidP="004D48DC">
      <w:pPr>
        <w:spacing w:line="360" w:lineRule="auto"/>
        <w:ind w:right="49"/>
        <w:contextualSpacing/>
        <w:jc w:val="both"/>
        <w:rPr>
          <w:rFonts w:ascii="Palatino Linotype" w:eastAsia="MS Gothic" w:hAnsi="Palatino Linotype" w:cstheme="majorBidi"/>
          <w:b/>
          <w:i/>
          <w:lang w:val="es-ES_tradnl" w:eastAsia="es-ES"/>
        </w:rPr>
      </w:pPr>
    </w:p>
    <w:p w14:paraId="4EE14DC0" w14:textId="77777777" w:rsidR="00F01AB5" w:rsidRPr="008D34D9" w:rsidRDefault="00350B66" w:rsidP="00F01AB5">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D34D9">
        <w:rPr>
          <w:rFonts w:ascii="Palatino Linotype" w:hAnsi="Palatino Linotype"/>
          <w:color w:val="000000" w:themeColor="text1"/>
          <w:sz w:val="24"/>
        </w:rPr>
        <w:t>Por lo tanto,</w:t>
      </w:r>
      <w:r w:rsidR="00756D5C" w:rsidRPr="008D34D9">
        <w:rPr>
          <w:rFonts w:ascii="Palatino Linotype" w:hAnsi="Palatino Linotype"/>
          <w:color w:val="000000" w:themeColor="text1"/>
          <w:sz w:val="24"/>
        </w:rPr>
        <w:t xml:space="preserve"> vez analizadas las constancias que forman el expediente electrónico, </w:t>
      </w:r>
      <w:r w:rsidR="00756D5C" w:rsidRPr="008D34D9">
        <w:rPr>
          <w:rFonts w:ascii="Palatino Linotype" w:eastAsia="MS Mincho" w:hAnsi="Palatino Linotype" w:cstheme="majorBidi"/>
          <w:sz w:val="24"/>
          <w:lang w:val="es-ES"/>
        </w:rPr>
        <w:t xml:space="preserve">resultan parcialmente fundadas las razones o motivos de inconformidad hechos valer por el </w:t>
      </w:r>
      <w:r w:rsidR="00756D5C" w:rsidRPr="008D34D9">
        <w:rPr>
          <w:rFonts w:ascii="Palatino Linotype" w:eastAsia="MS Mincho" w:hAnsi="Palatino Linotype" w:cstheme="majorBidi"/>
          <w:b/>
          <w:sz w:val="24"/>
          <w:lang w:val="es-ES"/>
        </w:rPr>
        <w:t>RECURRENTE</w:t>
      </w:r>
      <w:r w:rsidR="00756D5C" w:rsidRPr="008D34D9">
        <w:rPr>
          <w:rFonts w:ascii="Palatino Linotype" w:eastAsia="MS Mincho" w:hAnsi="Palatino Linotype" w:cstheme="majorBidi"/>
          <w:sz w:val="24"/>
          <w:lang w:val="es-ES"/>
        </w:rPr>
        <w:t xml:space="preserve"> dentro del recurso de revisión </w:t>
      </w:r>
      <w:r w:rsidRPr="008D34D9">
        <w:rPr>
          <w:rFonts w:ascii="Palatino Linotype" w:eastAsia="MS Mincho" w:hAnsi="Palatino Linotype" w:cstheme="majorBidi"/>
          <w:b/>
          <w:bCs/>
          <w:sz w:val="24"/>
          <w:lang w:val="es-ES"/>
        </w:rPr>
        <w:t>15823</w:t>
      </w:r>
      <w:r w:rsidR="00756D5C" w:rsidRPr="008D34D9">
        <w:rPr>
          <w:rFonts w:ascii="Palatino Linotype" w:eastAsia="MS Mincho" w:hAnsi="Palatino Linotype" w:cstheme="majorBidi"/>
          <w:b/>
          <w:bCs/>
          <w:sz w:val="24"/>
          <w:lang w:val="es-ES"/>
        </w:rPr>
        <w:t>/INFOEM/IP/RR/2022,</w:t>
      </w:r>
      <w:r w:rsidR="00756D5C" w:rsidRPr="008D34D9">
        <w:rPr>
          <w:rFonts w:ascii="Palatino Linotype" w:eastAsia="MS Mincho" w:hAnsi="Palatino Linotype" w:cstheme="majorBidi"/>
          <w:bCs/>
          <w:sz w:val="24"/>
          <w:lang w:val="es-ES"/>
        </w:rPr>
        <w:t xml:space="preserve"> al determinarse que la información remitida en respuesta es incompleta</w:t>
      </w:r>
      <w:r w:rsidR="00756D5C" w:rsidRPr="008D34D9">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756D5C" w:rsidRPr="008D34D9">
        <w:rPr>
          <w:rFonts w:ascii="Palatino Linotype" w:eastAsia="MS Mincho" w:hAnsi="Palatino Linotype" w:cstheme="majorBidi"/>
          <w:b/>
          <w:sz w:val="24"/>
          <w:lang w:val="es-ES"/>
        </w:rPr>
        <w:t>MODIFICA</w:t>
      </w:r>
      <w:r w:rsidR="00756D5C" w:rsidRPr="008D34D9">
        <w:rPr>
          <w:rFonts w:ascii="Palatino Linotype" w:eastAsia="MS Mincho" w:hAnsi="Palatino Linotype" w:cstheme="majorBidi"/>
          <w:sz w:val="24"/>
          <w:lang w:val="es-ES"/>
        </w:rPr>
        <w:t xml:space="preserve"> la respuesta del Sujeto Obligado y se ordena la entrega, de se</w:t>
      </w:r>
      <w:r w:rsidRPr="008D34D9">
        <w:rPr>
          <w:rFonts w:ascii="Palatino Linotype" w:eastAsia="MS Mincho" w:hAnsi="Palatino Linotype" w:cstheme="majorBidi"/>
          <w:sz w:val="24"/>
          <w:lang w:val="es-ES"/>
        </w:rPr>
        <w:t>r procedente en versión pública, la siguiente información</w:t>
      </w:r>
      <w:r w:rsidR="00F01AB5" w:rsidRPr="008D34D9">
        <w:rPr>
          <w:rFonts w:ascii="Palatino Linotype" w:hAnsi="Palatino Linotype" w:cs="Arial"/>
          <w:bCs/>
          <w:sz w:val="24"/>
        </w:rPr>
        <w:t>:</w:t>
      </w:r>
    </w:p>
    <w:p w14:paraId="3470954B" w14:textId="77777777" w:rsidR="005438B3" w:rsidRPr="008D34D9" w:rsidRDefault="005438B3" w:rsidP="00F01AB5">
      <w:pPr>
        <w:pStyle w:val="Prrafodelista"/>
        <w:tabs>
          <w:tab w:val="left" w:pos="851"/>
        </w:tabs>
        <w:spacing w:line="360" w:lineRule="auto"/>
        <w:ind w:left="0" w:right="49"/>
        <w:jc w:val="both"/>
        <w:rPr>
          <w:rFonts w:ascii="Palatino Linotype" w:hAnsi="Palatino Linotype"/>
          <w:sz w:val="24"/>
          <w:lang w:val="es-ES"/>
        </w:rPr>
      </w:pPr>
    </w:p>
    <w:p w14:paraId="5E1C3037" w14:textId="77777777" w:rsidR="00350B66" w:rsidRPr="008D34D9" w:rsidRDefault="00350B66" w:rsidP="00F01AB5">
      <w:pPr>
        <w:pStyle w:val="Prrafodelista"/>
        <w:tabs>
          <w:tab w:val="left" w:pos="851"/>
        </w:tabs>
        <w:spacing w:line="360" w:lineRule="auto"/>
        <w:ind w:left="0" w:right="49"/>
        <w:jc w:val="both"/>
        <w:rPr>
          <w:rFonts w:ascii="Palatino Linotype" w:hAnsi="Palatino Linotype"/>
          <w:sz w:val="24"/>
          <w:lang w:val="es-ES"/>
        </w:rPr>
      </w:pPr>
    </w:p>
    <w:p w14:paraId="7A72A33D" w14:textId="77777777" w:rsidR="00B057B1" w:rsidRPr="008D34D9" w:rsidRDefault="00B057B1" w:rsidP="00B057B1">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8D34D9">
        <w:rPr>
          <w:rFonts w:ascii="Palatino Linotype" w:hAnsi="Palatino Linotype"/>
          <w:sz w:val="24"/>
          <w:lang w:val="es-ES"/>
        </w:rPr>
        <w:lastRenderedPageBreak/>
        <w:t>Por otra parte, derivado de la información que se o</w:t>
      </w:r>
      <w:r w:rsidR="00756D5C" w:rsidRPr="008D34D9">
        <w:rPr>
          <w:rFonts w:ascii="Palatino Linotype" w:hAnsi="Palatino Linotype"/>
          <w:sz w:val="24"/>
          <w:lang w:val="es-ES"/>
        </w:rPr>
        <w:t>rdena entregar, en esta pudiera obrar información susceptible de clasificarse</w:t>
      </w:r>
      <w:r w:rsidRPr="008D34D9">
        <w:rPr>
          <w:rFonts w:ascii="Palatino Linotype" w:hAnsi="Palatino Linotype"/>
          <w:sz w:val="24"/>
          <w:lang w:val="es-ES"/>
        </w:rPr>
        <w:t xml:space="preserve">, por ello, se debe atender al siguiente considerando de la versión pública. </w:t>
      </w:r>
    </w:p>
    <w:p w14:paraId="1AED65A1" w14:textId="77777777" w:rsidR="00B057B1" w:rsidRPr="008D34D9" w:rsidRDefault="00B057B1" w:rsidP="00B057B1">
      <w:pPr>
        <w:spacing w:line="360" w:lineRule="auto"/>
        <w:ind w:right="49"/>
        <w:contextualSpacing/>
        <w:jc w:val="both"/>
        <w:rPr>
          <w:rFonts w:ascii="Palatino Linotype" w:eastAsia="MS Mincho" w:hAnsi="Palatino Linotype" w:cs="Arial"/>
          <w:lang w:val="es-ES_tradnl" w:eastAsia="es-ES"/>
        </w:rPr>
      </w:pPr>
    </w:p>
    <w:p w14:paraId="20609EBE" w14:textId="77777777" w:rsidR="00B057B1" w:rsidRPr="008D34D9" w:rsidRDefault="00B057B1" w:rsidP="00B057B1">
      <w:pPr>
        <w:spacing w:line="360" w:lineRule="auto"/>
        <w:ind w:right="49"/>
        <w:contextualSpacing/>
        <w:jc w:val="both"/>
        <w:rPr>
          <w:rFonts w:ascii="Palatino Linotype" w:eastAsia="MS Gothic" w:hAnsi="Palatino Linotype" w:cstheme="majorBidi"/>
          <w:lang w:val="es-ES_tradnl" w:eastAsia="es-ES"/>
        </w:rPr>
      </w:pPr>
      <w:bookmarkStart w:id="17" w:name="_Toc89350464"/>
      <w:bookmarkStart w:id="18" w:name="_Toc94119619"/>
      <w:r w:rsidRPr="008D34D9">
        <w:rPr>
          <w:rFonts w:ascii="Palatino Linotype" w:hAnsi="Palatino Linotype"/>
          <w:b/>
          <w:bCs/>
          <w:color w:val="000000" w:themeColor="text1"/>
        </w:rPr>
        <w:t>QUINTO. De la versión pública.</w:t>
      </w:r>
      <w:bookmarkEnd w:id="17"/>
      <w:bookmarkEnd w:id="18"/>
    </w:p>
    <w:p w14:paraId="39AE9832" w14:textId="77777777" w:rsidR="00B057B1" w:rsidRPr="008D34D9" w:rsidRDefault="00B057B1" w:rsidP="00B057B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8D34D9">
        <w:rPr>
          <w:rFonts w:ascii="Palatino Linotype" w:hAnsi="Palatino Linotype"/>
          <w:color w:val="000000" w:themeColor="text1"/>
          <w:sz w:val="24"/>
        </w:rPr>
        <w:t>Debe destacarse que, debido a la naturaleza de la información solicitada</w:t>
      </w:r>
      <w:r w:rsidRPr="008D34D9">
        <w:rPr>
          <w:rFonts w:ascii="Palatino Linotype" w:hAnsi="Palatino Linotype"/>
          <w:b/>
          <w:color w:val="000000" w:themeColor="text1"/>
          <w:sz w:val="24"/>
        </w:rPr>
        <w:t xml:space="preserve"> </w:t>
      </w:r>
      <w:r w:rsidRPr="008D34D9">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A11922C" w14:textId="77777777" w:rsidR="00B057B1" w:rsidRPr="008D34D9"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p w14:paraId="0F21A44A" w14:textId="77777777" w:rsidR="00B057B1" w:rsidRPr="008D34D9" w:rsidRDefault="00B057B1" w:rsidP="00B057B1">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8D34D9">
        <w:rPr>
          <w:rFonts w:ascii="Palatino Linotype" w:hAnsi="Palatino Linotype"/>
          <w:color w:val="000000" w:themeColor="text1"/>
          <w:sz w:val="24"/>
        </w:rPr>
        <w:t xml:space="preserve">La </w:t>
      </w:r>
      <w:r w:rsidRPr="008D34D9">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18A85991" w14:textId="77777777" w:rsidR="00B057B1" w:rsidRPr="008D34D9"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B057B1" w:rsidRPr="008D34D9" w14:paraId="718AF57E" w14:textId="77777777" w:rsidTr="00E84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80C960" w14:textId="77777777" w:rsidR="00B057B1" w:rsidRPr="008D34D9" w:rsidRDefault="00B057B1" w:rsidP="00E84FDD">
            <w:pPr>
              <w:spacing w:line="360" w:lineRule="auto"/>
              <w:rPr>
                <w:rFonts w:ascii="Palatino Linotype" w:hAnsi="Palatino Linotype"/>
                <w:sz w:val="20"/>
              </w:rPr>
            </w:pPr>
            <w:r w:rsidRPr="008D34D9">
              <w:rPr>
                <w:rFonts w:ascii="Palatino Linotype" w:hAnsi="Palatino Linotype" w:cstheme="majorBidi"/>
                <w:b w:val="0"/>
                <w:sz w:val="20"/>
              </w:rPr>
              <w:t>a) Requisitos previos.</w:t>
            </w:r>
          </w:p>
        </w:tc>
        <w:tc>
          <w:tcPr>
            <w:tcW w:w="6990" w:type="dxa"/>
          </w:tcPr>
          <w:p w14:paraId="20BA161C" w14:textId="77777777" w:rsidR="00B057B1" w:rsidRPr="008D34D9"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Los artículos 100 y 122 de la Ley Estatal y de la Ley General, respectivamente, señalan que si los </w:t>
            </w:r>
            <w:r w:rsidRPr="008D34D9">
              <w:rPr>
                <w:rFonts w:ascii="Palatino Linotype" w:hAnsi="Palatino Linotype" w:cs="Arial"/>
                <w:b w:val="0"/>
                <w:color w:val="000000"/>
                <w:sz w:val="20"/>
              </w:rPr>
              <w:t>Sujetos Obligados</w:t>
            </w:r>
            <w:r w:rsidRPr="008D34D9">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1DEEE66C" w14:textId="77777777" w:rsidR="00B057B1" w:rsidRPr="008D34D9"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Al hacerlo tienen que precisar de qué información se trata, señalando el supuesto de clasificación (confidencialidad o reserva).</w:t>
            </w:r>
          </w:p>
          <w:p w14:paraId="710A8430" w14:textId="77777777" w:rsidR="00B057B1" w:rsidRPr="008D34D9"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Además, se debe señalar el procedimiento, de los tres que establecen los artículos 132 y 106 de la Ley Estatal y General, respectivamente.</w:t>
            </w:r>
          </w:p>
          <w:p w14:paraId="3B7E262A" w14:textId="77777777" w:rsidR="00B057B1" w:rsidRPr="008D34D9" w:rsidRDefault="00B057B1" w:rsidP="00E84FD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8D34D9">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8D34D9">
              <w:rPr>
                <w:rFonts w:ascii="Palatino Linotype" w:hAnsi="Palatino Linotype" w:cs="Arial"/>
                <w:b w:val="0"/>
                <w:color w:val="000000"/>
                <w:sz w:val="20"/>
                <w:u w:val="single"/>
              </w:rPr>
              <w:t xml:space="preserve">no se puede hacer un acuerdo para clasificar de manera general todos los documentos de un expediente o área,  </w:t>
            </w:r>
            <w:r w:rsidRPr="008D34D9">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B057B1" w:rsidRPr="008D34D9" w14:paraId="1B2AC674"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8D39D" w14:textId="77777777" w:rsidR="00B057B1" w:rsidRPr="008D34D9" w:rsidRDefault="00B057B1" w:rsidP="00E84FDD">
            <w:pPr>
              <w:spacing w:line="360" w:lineRule="auto"/>
              <w:rPr>
                <w:rFonts w:ascii="Palatino Linotype" w:hAnsi="Palatino Linotype"/>
                <w:sz w:val="20"/>
              </w:rPr>
            </w:pPr>
            <w:r w:rsidRPr="008D34D9">
              <w:rPr>
                <w:rFonts w:ascii="Palatino Linotype" w:hAnsi="Palatino Linotype" w:cstheme="majorBidi"/>
                <w:b w:val="0"/>
                <w:sz w:val="20"/>
              </w:rPr>
              <w:lastRenderedPageBreak/>
              <w:t>b) Supuestos de clasificación.</w:t>
            </w:r>
          </w:p>
        </w:tc>
        <w:tc>
          <w:tcPr>
            <w:tcW w:w="6990" w:type="dxa"/>
          </w:tcPr>
          <w:p w14:paraId="36DB1D28"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EFA4966"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2DE7492" w14:textId="77777777" w:rsidR="00B057B1" w:rsidRPr="008D34D9" w:rsidRDefault="00B057B1" w:rsidP="00E84FD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D34D9">
              <w:rPr>
                <w:rFonts w:ascii="Palatino Linotype" w:hAnsi="Palatino Linotype" w:cs="Arial"/>
                <w:color w:val="000000"/>
                <w:sz w:val="20"/>
              </w:rPr>
              <w:t xml:space="preserve">El </w:t>
            </w:r>
            <w:r w:rsidRPr="008D34D9">
              <w:rPr>
                <w:rFonts w:ascii="Palatino Linotype" w:hAnsi="Palatino Linotype" w:cs="Arial"/>
                <w:b/>
                <w:color w:val="000000"/>
                <w:sz w:val="20"/>
              </w:rPr>
              <w:t>SUJETO OBLIGADO</w:t>
            </w:r>
            <w:r w:rsidRPr="008D34D9">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057B1" w:rsidRPr="008D34D9" w14:paraId="6B6E53CE"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530C1992" w14:textId="77777777" w:rsidR="00B057B1" w:rsidRPr="008D34D9" w:rsidRDefault="00B057B1" w:rsidP="00E84FDD">
            <w:pPr>
              <w:spacing w:line="360" w:lineRule="auto"/>
              <w:rPr>
                <w:rFonts w:ascii="Palatino Linotype" w:hAnsi="Palatino Linotype"/>
                <w:sz w:val="20"/>
              </w:rPr>
            </w:pPr>
            <w:r w:rsidRPr="008D34D9">
              <w:rPr>
                <w:rFonts w:ascii="Palatino Linotype" w:hAnsi="Palatino Linotype" w:cstheme="majorBidi"/>
                <w:b w:val="0"/>
                <w:sz w:val="20"/>
              </w:rPr>
              <w:t>c) Formalidades para emitir el acuerdo de clasificación.</w:t>
            </w:r>
          </w:p>
        </w:tc>
        <w:tc>
          <w:tcPr>
            <w:tcW w:w="6990" w:type="dxa"/>
          </w:tcPr>
          <w:p w14:paraId="123DD02E" w14:textId="77777777" w:rsidR="00B057B1" w:rsidRPr="008D34D9"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8683BE4" w14:textId="77777777" w:rsidR="00B057B1" w:rsidRPr="008D34D9"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Es necesario que </w:t>
            </w:r>
            <w:r w:rsidRPr="008D34D9">
              <w:rPr>
                <w:rFonts w:ascii="Palatino Linotype" w:hAnsi="Palatino Linotype" w:cs="Arial"/>
                <w:b/>
                <w:color w:val="000000"/>
                <w:sz w:val="20"/>
                <w:u w:val="single"/>
              </w:rPr>
              <w:t>el acto reúna con los requisitos elementales</w:t>
            </w:r>
            <w:r w:rsidRPr="008D34D9">
              <w:rPr>
                <w:rFonts w:ascii="Palatino Linotype" w:hAnsi="Palatino Linotype" w:cs="Arial"/>
                <w:color w:val="000000"/>
                <w:sz w:val="20"/>
              </w:rPr>
              <w:t>, entre ellos, que la autoridad que va a emitir el acto de autoridad sea la legalmente facultada para ello.</w:t>
            </w:r>
          </w:p>
          <w:p w14:paraId="01CE891A" w14:textId="77777777" w:rsidR="00B057B1" w:rsidRPr="008D34D9" w:rsidRDefault="00B057B1" w:rsidP="00E84FD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D34D9">
              <w:rPr>
                <w:rFonts w:ascii="Palatino Linotype" w:hAnsi="Palatino Linotype" w:cs="Arial"/>
                <w:color w:val="000000"/>
                <w:sz w:val="20"/>
              </w:rPr>
              <w:t xml:space="preserve">La decisión de aprobar, modificar o revocar la clasificación deberá de asentarse en un documento que registre la determinación a la que se llegue </w:t>
            </w:r>
            <w:r w:rsidRPr="008D34D9">
              <w:rPr>
                <w:rFonts w:ascii="Palatino Linotype" w:hAnsi="Palatino Linotype" w:cs="Arial"/>
                <w:color w:val="000000"/>
                <w:sz w:val="20"/>
              </w:rPr>
              <w:lastRenderedPageBreak/>
              <w:t>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057B1" w:rsidRPr="008D34D9" w14:paraId="0C867CEB"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291E9DF" w14:textId="77777777" w:rsidR="00B057B1" w:rsidRPr="008D34D9" w:rsidRDefault="00B057B1" w:rsidP="00E84FDD">
            <w:pPr>
              <w:spacing w:line="360" w:lineRule="auto"/>
              <w:rPr>
                <w:rFonts w:ascii="Palatino Linotype" w:hAnsi="Palatino Linotype"/>
                <w:b w:val="0"/>
                <w:sz w:val="20"/>
              </w:rPr>
            </w:pPr>
          </w:p>
          <w:p w14:paraId="32C5C6EF" w14:textId="77777777" w:rsidR="00B057B1" w:rsidRPr="008D34D9" w:rsidRDefault="00B057B1" w:rsidP="00E84FDD">
            <w:pPr>
              <w:spacing w:line="360" w:lineRule="auto"/>
              <w:jc w:val="both"/>
              <w:rPr>
                <w:rFonts w:ascii="Palatino Linotype" w:hAnsi="Palatino Linotype"/>
                <w:b w:val="0"/>
                <w:sz w:val="20"/>
              </w:rPr>
            </w:pPr>
            <w:r w:rsidRPr="008D34D9">
              <w:rPr>
                <w:rFonts w:ascii="Palatino Linotype" w:hAnsi="Palatino Linotype" w:cs="Arial"/>
                <w:b w:val="0"/>
                <w:color w:val="000000"/>
                <w:sz w:val="20"/>
              </w:rPr>
              <w:t xml:space="preserve">d) Requisitos de fondo del acuerdo de clasificación. </w:t>
            </w:r>
          </w:p>
        </w:tc>
        <w:tc>
          <w:tcPr>
            <w:tcW w:w="6990" w:type="dxa"/>
          </w:tcPr>
          <w:p w14:paraId="686D9E22"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D34D9">
              <w:rPr>
                <w:rFonts w:ascii="Palatino Linotype" w:hAnsi="Palatino Linotype" w:cs="Arial"/>
                <w:b/>
                <w:color w:val="000000"/>
                <w:sz w:val="20"/>
              </w:rPr>
              <w:t>Sujetos Obligados</w:t>
            </w:r>
            <w:r w:rsidRPr="008D34D9">
              <w:rPr>
                <w:rFonts w:ascii="Palatino Linotype" w:hAnsi="Palatino Linotype" w:cs="Arial"/>
                <w:color w:val="000000"/>
                <w:sz w:val="20"/>
              </w:rPr>
              <w:t xml:space="preserve">, por lo que deberán fundar y motivar debidamente la clasificación. </w:t>
            </w:r>
          </w:p>
          <w:p w14:paraId="505870FE"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De lo anterior, se desprende que para una correcta </w:t>
            </w:r>
            <w:r w:rsidRPr="008D34D9">
              <w:rPr>
                <w:rFonts w:ascii="Palatino Linotype" w:hAnsi="Palatino Linotype" w:cs="Arial"/>
                <w:b/>
                <w:color w:val="000000"/>
                <w:sz w:val="20"/>
              </w:rPr>
              <w:t>clasificación total o parcial</w:t>
            </w:r>
            <w:r w:rsidRPr="008D34D9">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BF396AA"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AE7E227"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CDBEFAD" w14:textId="77777777" w:rsidR="00B057B1" w:rsidRPr="008D34D9"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Ahora bien, </w:t>
            </w:r>
            <w:r w:rsidRPr="008D34D9">
              <w:rPr>
                <w:rFonts w:ascii="Palatino Linotype" w:hAnsi="Palatino Linotype" w:cs="Arial"/>
                <w:b/>
                <w:color w:val="000000"/>
                <w:sz w:val="20"/>
                <w:u w:val="single"/>
              </w:rPr>
              <w:t>para cada caso además de fundar y motivar</w:t>
            </w:r>
            <w:r w:rsidRPr="008D34D9">
              <w:rPr>
                <w:rFonts w:ascii="Palatino Linotype" w:hAnsi="Palatino Linotype" w:cs="Arial"/>
                <w:color w:val="000000"/>
                <w:sz w:val="20"/>
              </w:rPr>
              <w:t xml:space="preserve">, se debe identificar con claridad que datos contenidos en las documentales que son susceptibles </w:t>
            </w:r>
            <w:r w:rsidRPr="008D34D9">
              <w:rPr>
                <w:rFonts w:ascii="Palatino Linotype" w:hAnsi="Palatino Linotype" w:cs="Arial"/>
                <w:color w:val="000000"/>
                <w:sz w:val="20"/>
              </w:rPr>
              <w:lastRenderedPageBreak/>
              <w:t xml:space="preserve">de suprimirse, por ejemplo; </w:t>
            </w:r>
            <w:r w:rsidRPr="008D34D9">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057B1" w:rsidRPr="008D34D9" w14:paraId="3B26CF1F"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1E72F846" w14:textId="77777777" w:rsidR="00B057B1" w:rsidRPr="008D34D9" w:rsidRDefault="00B057B1" w:rsidP="00E84FDD">
            <w:pPr>
              <w:spacing w:line="360" w:lineRule="auto"/>
              <w:ind w:right="49"/>
              <w:jc w:val="both"/>
              <w:rPr>
                <w:rFonts w:ascii="Palatino Linotype" w:hAnsi="Palatino Linotype" w:cs="Arial"/>
                <w:color w:val="000000"/>
                <w:sz w:val="20"/>
              </w:rPr>
            </w:pPr>
            <w:r w:rsidRPr="008D34D9">
              <w:rPr>
                <w:rFonts w:ascii="Palatino Linotype" w:eastAsia="MS Gothic" w:hAnsi="Palatino Linotype"/>
                <w:b w:val="0"/>
                <w:sz w:val="20"/>
              </w:rPr>
              <w:lastRenderedPageBreak/>
              <w:t xml:space="preserve">e) Condiciones especiales de la clasificación de la información como confidencial. </w:t>
            </w:r>
          </w:p>
          <w:p w14:paraId="3BAB520C" w14:textId="77777777" w:rsidR="00B057B1" w:rsidRPr="008D34D9" w:rsidRDefault="00B057B1" w:rsidP="00E84FDD">
            <w:pPr>
              <w:spacing w:line="360" w:lineRule="auto"/>
              <w:rPr>
                <w:rFonts w:ascii="Palatino Linotype" w:hAnsi="Palatino Linotype"/>
                <w:sz w:val="20"/>
              </w:rPr>
            </w:pPr>
          </w:p>
        </w:tc>
        <w:tc>
          <w:tcPr>
            <w:tcW w:w="6990" w:type="dxa"/>
          </w:tcPr>
          <w:p w14:paraId="36776E2D" w14:textId="77777777" w:rsidR="00B057B1" w:rsidRPr="008D34D9"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1ECA89B1" w14:textId="77777777" w:rsidR="00B057B1" w:rsidRPr="008D34D9"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8D34D9">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B1120DE" w14:textId="77777777" w:rsidR="00B057B1" w:rsidRPr="008D34D9" w:rsidRDefault="00B057B1" w:rsidP="00E84FD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8D34D9">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E4B65F" w14:textId="77777777" w:rsidR="00B057B1" w:rsidRPr="008D34D9" w:rsidRDefault="00B057B1" w:rsidP="00B057B1">
      <w:pPr>
        <w:spacing w:line="360" w:lineRule="auto"/>
        <w:ind w:right="49"/>
        <w:contextualSpacing/>
        <w:jc w:val="both"/>
        <w:rPr>
          <w:rFonts w:ascii="Palatino Linotype" w:eastAsia="MS Mincho" w:hAnsi="Palatino Linotype" w:cs="Arial"/>
          <w:lang w:val="es-ES_tradnl" w:eastAsia="es-ES"/>
        </w:rPr>
      </w:pPr>
    </w:p>
    <w:p w14:paraId="133539C0" w14:textId="77777777" w:rsidR="00093FD0" w:rsidRPr="008D34D9" w:rsidRDefault="00093FD0" w:rsidP="00093FD0">
      <w:pPr>
        <w:pStyle w:val="Ttulo1"/>
        <w:rPr>
          <w:rFonts w:ascii="Palatino Linotype" w:hAnsi="Palatino Linotype"/>
          <w:b/>
          <w:bCs/>
          <w:color w:val="000000" w:themeColor="text1"/>
          <w:sz w:val="24"/>
          <w:szCs w:val="24"/>
        </w:rPr>
      </w:pPr>
      <w:bookmarkStart w:id="19" w:name="_Toc65830226"/>
      <w:r w:rsidRPr="008D34D9">
        <w:rPr>
          <w:rFonts w:ascii="Palatino Linotype" w:hAnsi="Palatino Linotype"/>
          <w:b/>
          <w:bCs/>
          <w:color w:val="000000" w:themeColor="text1"/>
          <w:sz w:val="24"/>
          <w:szCs w:val="24"/>
        </w:rPr>
        <w:t>SÉXTO.</w:t>
      </w:r>
      <w:r w:rsidRPr="008D34D9">
        <w:rPr>
          <w:rFonts w:ascii="Palatino Linotype" w:hAnsi="Palatino Linotype"/>
          <w:color w:val="000000" w:themeColor="text1"/>
          <w:sz w:val="24"/>
          <w:szCs w:val="24"/>
        </w:rPr>
        <w:t xml:space="preserve"> </w:t>
      </w:r>
      <w:r w:rsidRPr="008D34D9">
        <w:rPr>
          <w:rFonts w:ascii="Palatino Linotype" w:hAnsi="Palatino Linotype"/>
          <w:b/>
          <w:bCs/>
          <w:color w:val="000000" w:themeColor="text1"/>
          <w:sz w:val="24"/>
          <w:szCs w:val="24"/>
        </w:rPr>
        <w:t>Vista a los órganos de control interno</w:t>
      </w:r>
      <w:bookmarkEnd w:id="19"/>
    </w:p>
    <w:p w14:paraId="0734E1AB" w14:textId="0260B16E" w:rsidR="00093FD0" w:rsidRPr="008D34D9" w:rsidRDefault="00093FD0" w:rsidP="00093FD0">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t>Es necesario resaltar que el recurso de revisión previsto en la Ley de la materia no es el medio para investigar y en su caso, sancionar a servidores públicos por la omisión de la entrega de información pública o en la atención a solicitudes de información; sin embargo, dado que el Sujeto Obligado en su respuesta entregó información que puede ser considerada como RESERVADA</w:t>
      </w:r>
      <w:r w:rsidR="001347EA" w:rsidRPr="008D34D9">
        <w:rPr>
          <w:rFonts w:ascii="Palatino Linotype" w:hAnsi="Palatino Linotype"/>
          <w:sz w:val="24"/>
        </w:rPr>
        <w:t xml:space="preserve"> (nombres de policías)</w:t>
      </w:r>
      <w:r w:rsidRPr="008D34D9">
        <w:rPr>
          <w:rFonts w:ascii="Palatino Linotype" w:hAnsi="Palatino Linotype"/>
          <w:sz w:val="24"/>
        </w:rPr>
        <w:t xml:space="preserve">, se dará vista al área competente para que en ejercicio de sus atribuciones realice las investigaciones pertinentes por las omisiones detectadas atribuibles al </w:t>
      </w:r>
      <w:r w:rsidRPr="008D34D9">
        <w:rPr>
          <w:rFonts w:ascii="Palatino Linotype" w:hAnsi="Palatino Linotype"/>
          <w:b/>
          <w:sz w:val="24"/>
        </w:rPr>
        <w:t>SUJETO OBLIGADO</w:t>
      </w:r>
      <w:r w:rsidRPr="008D34D9">
        <w:rPr>
          <w:rFonts w:ascii="Palatino Linotype" w:hAnsi="Palatino Linotype"/>
          <w:sz w:val="24"/>
        </w:rPr>
        <w:t>.</w:t>
      </w:r>
    </w:p>
    <w:p w14:paraId="3C53B49D" w14:textId="77777777" w:rsidR="00093FD0" w:rsidRPr="008D34D9" w:rsidRDefault="00093FD0" w:rsidP="00093FD0">
      <w:pPr>
        <w:pStyle w:val="Prrafodelista"/>
        <w:numPr>
          <w:ilvl w:val="0"/>
          <w:numId w:val="1"/>
        </w:numPr>
        <w:spacing w:before="240" w:after="240" w:line="360" w:lineRule="auto"/>
        <w:ind w:left="0" w:firstLine="0"/>
        <w:jc w:val="both"/>
        <w:rPr>
          <w:rFonts w:ascii="Palatino Linotype" w:hAnsi="Palatino Linotype"/>
          <w:sz w:val="24"/>
        </w:rPr>
      </w:pPr>
      <w:r w:rsidRPr="008D34D9">
        <w:rPr>
          <w:rFonts w:ascii="Palatino Linotype" w:hAnsi="Palatino Linotype"/>
          <w:sz w:val="24"/>
        </w:rPr>
        <w:lastRenderedPageBreak/>
        <w:t>Por ello, es conveniente señalar la fracción X, del artículo 36, de la Ley de Transparencia y Acceso a la Información Pública del Estado de México y Municipios, que establece:</w:t>
      </w:r>
    </w:p>
    <w:p w14:paraId="5272A05C"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Artículo 36. El Instituto tendrá, en el ámbito de su competencia, las siguientes atribuciones:</w:t>
      </w:r>
    </w:p>
    <w:p w14:paraId="127EB8C6"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w:t>
      </w:r>
    </w:p>
    <w:p w14:paraId="2283451F"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 xml:space="preserve">X. Hacer del conocimiento del órgano de control interno o equivalente de cada Sujeto Obligado las infracciones a esta Ley; </w:t>
      </w:r>
    </w:p>
    <w:p w14:paraId="20FF6ACA"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w:t>
      </w:r>
    </w:p>
    <w:p w14:paraId="01B08787" w14:textId="77777777" w:rsidR="00093FD0" w:rsidRPr="008D34D9" w:rsidRDefault="00093FD0" w:rsidP="00093FD0">
      <w:pPr>
        <w:pStyle w:val="Prrafodelista"/>
        <w:numPr>
          <w:ilvl w:val="0"/>
          <w:numId w:val="1"/>
        </w:numPr>
        <w:spacing w:before="240" w:after="240" w:line="360" w:lineRule="auto"/>
        <w:ind w:left="0" w:firstLine="0"/>
        <w:jc w:val="both"/>
        <w:rPr>
          <w:rFonts w:ascii="Palatino Linotype" w:eastAsia="MS Mincho" w:hAnsi="Palatino Linotype" w:cs="Arial"/>
          <w:sz w:val="24"/>
        </w:rPr>
      </w:pPr>
      <w:r w:rsidRPr="008D34D9">
        <w:rPr>
          <w:rFonts w:ascii="Palatino Linotype" w:hAnsi="Palatino Linotype"/>
          <w:sz w:val="24"/>
        </w:rPr>
        <w:t xml:space="preserve">Asimismo, este Pleno hará del conocimiento del órgano de control de este Instituto de las infracciones en que el </w:t>
      </w:r>
      <w:r w:rsidRPr="008D34D9">
        <w:rPr>
          <w:rFonts w:ascii="Palatino Linotype" w:hAnsi="Palatino Linotype"/>
          <w:b/>
          <w:sz w:val="24"/>
        </w:rPr>
        <w:t>SUJETO OBLIGADO</w:t>
      </w:r>
      <w:r w:rsidRPr="008D34D9">
        <w:rPr>
          <w:rFonts w:ascii="Palatino Linotype" w:hAnsi="Palatino Linotype"/>
          <w:sz w:val="24"/>
        </w:rPr>
        <w:t xml:space="preserve"> incurrió, toda vez que la naturaleza de investigar y sancionar corresponde a un ente distinto a éste a través de un procedimiento diferente al recurso de revisión, lo cual se encuentra previsto </w:t>
      </w:r>
      <w:r w:rsidRPr="008D34D9">
        <w:rPr>
          <w:rFonts w:ascii="Palatino Linotype" w:eastAsia="MS Mincho" w:hAnsi="Palatino Linotype" w:cs="Arial"/>
          <w:sz w:val="24"/>
        </w:rPr>
        <w:t>en la Ley de Transparencia Acceso a la Información Pública del Estado de México y Municipios específicamente en sus artículos 222 y 223 que señalan lo siguiente:</w:t>
      </w:r>
    </w:p>
    <w:p w14:paraId="6C4BE5BC"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Artículo 222. Son causas de responsabilidad administrativa de los servidores públicos de los sujetos obligados, por incumplimiento de las obligaciones establecidas en la materia de la presente Ley, las siguientes:</w:t>
      </w:r>
    </w:p>
    <w:p w14:paraId="36B95722"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w:t>
      </w:r>
    </w:p>
    <w:p w14:paraId="7F508B3D"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I. Cualquier acto u omisión que provoque la suspensión o deficiencia en la atención de las solicitudes de información;</w:t>
      </w:r>
    </w:p>
    <w:p w14:paraId="4FFAA5D6" w14:textId="77777777" w:rsidR="00093FD0" w:rsidRPr="008D34D9" w:rsidRDefault="00093FD0" w:rsidP="00093FD0">
      <w:pPr>
        <w:spacing w:line="360" w:lineRule="auto"/>
        <w:ind w:left="567" w:right="567"/>
        <w:contextualSpacing/>
        <w:jc w:val="both"/>
        <w:rPr>
          <w:rFonts w:ascii="Palatino Linotype" w:hAnsi="Palatino Linotype"/>
          <w:b/>
          <w:bCs/>
          <w:i/>
          <w:sz w:val="22"/>
        </w:rPr>
      </w:pPr>
      <w:r w:rsidRPr="008D34D9">
        <w:rPr>
          <w:rFonts w:ascii="Palatino Linotype" w:hAnsi="Palatino Linotype"/>
          <w:b/>
          <w:bCs/>
          <w:i/>
          <w:sz w:val="22"/>
        </w:rPr>
        <w:t>…</w:t>
      </w:r>
    </w:p>
    <w:p w14:paraId="5DB8D430" w14:textId="77777777" w:rsidR="00093FD0" w:rsidRPr="008D34D9" w:rsidRDefault="00093FD0" w:rsidP="00093FD0">
      <w:pPr>
        <w:spacing w:line="360" w:lineRule="auto"/>
        <w:ind w:left="567" w:right="567"/>
        <w:contextualSpacing/>
        <w:jc w:val="both"/>
        <w:rPr>
          <w:rFonts w:ascii="Palatino Linotype" w:hAnsi="Palatino Linotype"/>
          <w:b/>
          <w:bCs/>
          <w:i/>
          <w:sz w:val="22"/>
        </w:rPr>
      </w:pPr>
      <w:r w:rsidRPr="008D34D9">
        <w:rPr>
          <w:rFonts w:ascii="Palatino Linotype" w:hAnsi="Palatino Linotype"/>
          <w:b/>
          <w:bCs/>
          <w:i/>
          <w:sz w:val="22"/>
        </w:rPr>
        <w:t>IV. Entregar información clasificada como reservada;</w:t>
      </w:r>
    </w:p>
    <w:p w14:paraId="16B1204A"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t>…</w:t>
      </w:r>
    </w:p>
    <w:p w14:paraId="24306B1C" w14:textId="77777777" w:rsidR="00093FD0" w:rsidRPr="008D34D9" w:rsidRDefault="00093FD0" w:rsidP="00093FD0">
      <w:pPr>
        <w:spacing w:line="360" w:lineRule="auto"/>
        <w:ind w:left="567" w:right="567"/>
        <w:contextualSpacing/>
        <w:jc w:val="both"/>
        <w:rPr>
          <w:rFonts w:ascii="Palatino Linotype" w:hAnsi="Palatino Linotype"/>
          <w:i/>
          <w:sz w:val="22"/>
        </w:rPr>
      </w:pPr>
      <w:r w:rsidRPr="008D34D9">
        <w:rPr>
          <w:rFonts w:ascii="Palatino Linotype" w:hAnsi="Palatino Linotype"/>
          <w:i/>
          <w:sz w:val="22"/>
        </w:rPr>
        <w:lastRenderedPageBreak/>
        <w:t>Artículo 223. El Instituto dará vista a la Contraloría Interna y Órgano de Control y Vigilancia en términos de la Ley de Responsabilidades de los Servidores Públicos del Estado y Municipios, para que determine el grado de responsabilidad de quienes incumplan con las obligaciones de la presente Ley.</w:t>
      </w:r>
    </w:p>
    <w:p w14:paraId="7089DBCC" w14:textId="77777777" w:rsidR="00093FD0" w:rsidRPr="008D34D9" w:rsidRDefault="00093FD0" w:rsidP="00093FD0">
      <w:pPr>
        <w:pStyle w:val="Prrafodelista"/>
        <w:shd w:val="clear" w:color="auto" w:fill="FFFFFF"/>
        <w:spacing w:after="200" w:line="360" w:lineRule="auto"/>
        <w:ind w:left="0"/>
        <w:jc w:val="both"/>
        <w:rPr>
          <w:rFonts w:ascii="Palatino Linotype" w:hAnsi="Palatino Linotype" w:cs="Arial"/>
          <w:sz w:val="24"/>
        </w:rPr>
      </w:pPr>
    </w:p>
    <w:p w14:paraId="73C21E03" w14:textId="77777777" w:rsidR="00093FD0" w:rsidRPr="008D34D9" w:rsidRDefault="00093FD0" w:rsidP="00093FD0">
      <w:pPr>
        <w:pStyle w:val="Prrafodelista"/>
        <w:numPr>
          <w:ilvl w:val="0"/>
          <w:numId w:val="1"/>
        </w:numPr>
        <w:shd w:val="clear" w:color="auto" w:fill="FFFFFF"/>
        <w:spacing w:after="200" w:line="360" w:lineRule="auto"/>
        <w:ind w:left="0" w:firstLine="0"/>
        <w:jc w:val="both"/>
        <w:rPr>
          <w:rFonts w:ascii="Palatino Linotype" w:hAnsi="Palatino Linotype" w:cs="Arial"/>
          <w:sz w:val="24"/>
        </w:rPr>
      </w:pPr>
      <w:r w:rsidRPr="008D34D9">
        <w:rPr>
          <w:rFonts w:ascii="Palatino Linotype" w:hAnsi="Palatino Linotype" w:cs="Arial"/>
          <w:sz w:val="24"/>
        </w:rPr>
        <w:t>Es así que, lo procedente es dar vista a la Contraloría Interna para que, en ejercicio de sus atribuciones, funciones y competencias determine lo conducente en relación a la falta de respuesta por parte del Ayuntam</w:t>
      </w:r>
      <w:r w:rsidR="00AC7B37" w:rsidRPr="008D34D9">
        <w:rPr>
          <w:rFonts w:ascii="Palatino Linotype" w:hAnsi="Palatino Linotype" w:cs="Arial"/>
          <w:sz w:val="24"/>
        </w:rPr>
        <w:t>iento de Huixquilucan</w:t>
      </w:r>
      <w:r w:rsidRPr="008D34D9">
        <w:rPr>
          <w:rFonts w:ascii="Palatino Linotype" w:hAnsi="Palatino Linotype" w:cs="Arial"/>
          <w:sz w:val="24"/>
        </w:rPr>
        <w:t>.</w:t>
      </w:r>
    </w:p>
    <w:p w14:paraId="3FCE3E6B" w14:textId="77777777" w:rsidR="001347EA" w:rsidRPr="008D34D9" w:rsidRDefault="001347EA" w:rsidP="001347EA">
      <w:pPr>
        <w:pStyle w:val="Prrafodelista"/>
        <w:shd w:val="clear" w:color="auto" w:fill="FFFFFF"/>
        <w:spacing w:after="200" w:line="360" w:lineRule="auto"/>
        <w:ind w:left="0"/>
        <w:jc w:val="both"/>
        <w:rPr>
          <w:rFonts w:ascii="Palatino Linotype" w:hAnsi="Palatino Linotype" w:cs="Arial"/>
          <w:sz w:val="24"/>
        </w:rPr>
      </w:pPr>
    </w:p>
    <w:p w14:paraId="4C3BDBF8" w14:textId="4BFADB8B" w:rsidR="001347EA" w:rsidRPr="008D34D9" w:rsidRDefault="001347EA" w:rsidP="001347EA">
      <w:pPr>
        <w:pStyle w:val="Prrafodelista"/>
        <w:numPr>
          <w:ilvl w:val="0"/>
          <w:numId w:val="1"/>
        </w:numPr>
        <w:shd w:val="clear" w:color="auto" w:fill="FFFFFF"/>
        <w:spacing w:after="200" w:line="360" w:lineRule="auto"/>
        <w:ind w:left="0" w:firstLine="0"/>
        <w:jc w:val="both"/>
        <w:rPr>
          <w:rFonts w:ascii="Palatino Linotype" w:hAnsi="Palatino Linotype" w:cs="Arial"/>
          <w:sz w:val="24"/>
        </w:rPr>
      </w:pPr>
      <w:r w:rsidRPr="008D34D9">
        <w:rPr>
          <w:rFonts w:ascii="Palatino Linotype" w:eastAsia="Calibri" w:hAnsi="Palatino Linotype"/>
          <w:sz w:val="24"/>
        </w:rPr>
        <w:t>Precisado lo anterior</w:t>
      </w:r>
      <w:r w:rsidRPr="008D34D9">
        <w:rPr>
          <w:rFonts w:ascii="Palatino Linotype" w:hAnsi="Palatino Linotype"/>
          <w:sz w:val="24"/>
        </w:rPr>
        <w:t xml:space="preserve">,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14:paraId="596A6D45" w14:textId="77777777" w:rsidR="001347EA" w:rsidRPr="008D34D9" w:rsidRDefault="001347EA" w:rsidP="001347EA">
      <w:pPr>
        <w:spacing w:before="240" w:after="240" w:line="360" w:lineRule="auto"/>
        <w:ind w:left="567" w:right="616"/>
        <w:contextualSpacing/>
        <w:jc w:val="both"/>
        <w:rPr>
          <w:rFonts w:ascii="Palatino Linotype" w:hAnsi="Palatino Linotype"/>
          <w:i/>
          <w:sz w:val="22"/>
        </w:rPr>
      </w:pPr>
      <w:r w:rsidRPr="008D34D9">
        <w:rPr>
          <w:rFonts w:ascii="Palatino Linotype" w:hAnsi="Palatino Linotype"/>
          <w:b/>
          <w:i/>
          <w:sz w:val="22"/>
        </w:rPr>
        <w:t>“Artículo 140.</w:t>
      </w:r>
      <w:r w:rsidRPr="008D34D9">
        <w:rPr>
          <w:rFonts w:ascii="Palatino Linotype" w:hAnsi="Palatino Linotype"/>
          <w:i/>
          <w:sz w:val="22"/>
        </w:rPr>
        <w:t xml:space="preserve"> El acceso a la información pública será restringido excepcionalmente, cuando por razones de interés público, ésta sea clasificada como reservada, conforme a los criterios siguientes: </w:t>
      </w:r>
    </w:p>
    <w:p w14:paraId="62EEE22E" w14:textId="77777777" w:rsidR="001347EA" w:rsidRPr="008D34D9" w:rsidRDefault="001347EA" w:rsidP="001347EA">
      <w:pPr>
        <w:spacing w:before="240" w:after="240" w:line="360" w:lineRule="auto"/>
        <w:ind w:left="567" w:right="616"/>
        <w:contextualSpacing/>
        <w:jc w:val="both"/>
        <w:rPr>
          <w:rFonts w:ascii="Palatino Linotype" w:hAnsi="Palatino Linotype"/>
          <w:i/>
          <w:sz w:val="22"/>
        </w:rPr>
      </w:pPr>
      <w:r w:rsidRPr="008D34D9">
        <w:rPr>
          <w:rFonts w:ascii="Palatino Linotype" w:hAnsi="Palatino Linotype"/>
          <w:i/>
          <w:sz w:val="22"/>
        </w:rPr>
        <w:t xml:space="preserve">I. Comprometa la seguridad pública y cuente con un propósito genuino y un efecto demostrable; </w:t>
      </w:r>
    </w:p>
    <w:p w14:paraId="0167F10E" w14:textId="77777777" w:rsidR="001347EA" w:rsidRPr="008D34D9" w:rsidRDefault="001347EA" w:rsidP="001347EA">
      <w:pPr>
        <w:spacing w:before="240" w:after="240" w:line="360" w:lineRule="auto"/>
        <w:ind w:left="567" w:right="616"/>
        <w:contextualSpacing/>
        <w:jc w:val="both"/>
        <w:rPr>
          <w:rFonts w:ascii="Palatino Linotype" w:hAnsi="Palatino Linotype"/>
          <w:i/>
          <w:sz w:val="22"/>
        </w:rPr>
      </w:pPr>
      <w:r w:rsidRPr="008D34D9">
        <w:rPr>
          <w:rFonts w:ascii="Palatino Linotype" w:hAnsi="Palatino Linotype"/>
          <w:i/>
          <w:sz w:val="22"/>
        </w:rPr>
        <w:t xml:space="preserve">II. Pueda menoscabar la conducción de las negociaciones y relaciones internacionales; </w:t>
      </w:r>
    </w:p>
    <w:p w14:paraId="0B97609C" w14:textId="77777777" w:rsidR="001347EA" w:rsidRPr="008D34D9" w:rsidRDefault="001347EA" w:rsidP="001347EA">
      <w:pPr>
        <w:spacing w:before="240" w:after="240" w:line="360" w:lineRule="auto"/>
        <w:ind w:left="567" w:right="616"/>
        <w:contextualSpacing/>
        <w:jc w:val="both"/>
        <w:rPr>
          <w:rFonts w:ascii="Palatino Linotype" w:hAnsi="Palatino Linotype"/>
          <w:i/>
          <w:sz w:val="22"/>
        </w:rPr>
      </w:pPr>
      <w:r w:rsidRPr="008D34D9">
        <w:rPr>
          <w:rFonts w:ascii="Palatino Linotype" w:hAnsi="Palatino Linotype"/>
          <w:i/>
          <w:sz w:val="22"/>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961EED4" w14:textId="77777777" w:rsidR="001347EA" w:rsidRPr="008D34D9" w:rsidRDefault="001347EA" w:rsidP="001347EA">
      <w:pPr>
        <w:spacing w:before="240" w:after="240" w:line="360" w:lineRule="auto"/>
        <w:ind w:left="567" w:right="616"/>
        <w:contextualSpacing/>
        <w:jc w:val="both"/>
        <w:rPr>
          <w:rFonts w:ascii="Palatino Linotype" w:hAnsi="Palatino Linotype"/>
          <w:b/>
          <w:i/>
          <w:sz w:val="22"/>
        </w:rPr>
      </w:pPr>
      <w:r w:rsidRPr="008D34D9">
        <w:rPr>
          <w:rFonts w:ascii="Palatino Linotype" w:hAnsi="Palatino Linotype"/>
          <w:b/>
          <w:i/>
          <w:sz w:val="22"/>
        </w:rPr>
        <w:t>IV. Ponga en riesgo la vida, la seguridad o la salud de una persona física;</w:t>
      </w:r>
    </w:p>
    <w:p w14:paraId="4D141C29" w14:textId="77777777" w:rsidR="001347EA" w:rsidRPr="008D34D9" w:rsidRDefault="001347EA" w:rsidP="001347EA">
      <w:pPr>
        <w:spacing w:before="240" w:after="240" w:line="360" w:lineRule="auto"/>
        <w:ind w:left="567" w:right="616"/>
        <w:contextualSpacing/>
        <w:jc w:val="both"/>
        <w:rPr>
          <w:rFonts w:ascii="Palatino Linotype" w:eastAsia="Calibri" w:hAnsi="Palatino Linotype"/>
          <w:i/>
          <w:sz w:val="22"/>
        </w:rPr>
      </w:pPr>
      <w:r w:rsidRPr="008D34D9">
        <w:rPr>
          <w:rFonts w:ascii="Palatino Linotype" w:hAnsi="Palatino Linotype"/>
          <w:i/>
          <w:sz w:val="22"/>
        </w:rPr>
        <w:t xml:space="preserve"> (…)” (Sic)</w:t>
      </w:r>
    </w:p>
    <w:p w14:paraId="17892AA9" w14:textId="77777777" w:rsidR="001347EA" w:rsidRPr="008D34D9" w:rsidRDefault="001347EA" w:rsidP="001347EA">
      <w:pPr>
        <w:spacing w:before="240" w:after="240" w:line="360" w:lineRule="auto"/>
        <w:ind w:right="49"/>
        <w:contextualSpacing/>
        <w:jc w:val="both"/>
        <w:rPr>
          <w:rFonts w:ascii="Palatino Linotype" w:eastAsia="Calibri" w:hAnsi="Palatino Linotype"/>
        </w:rPr>
      </w:pPr>
    </w:p>
    <w:p w14:paraId="0436601A" w14:textId="77777777" w:rsidR="001347EA" w:rsidRPr="008D34D9" w:rsidRDefault="001347EA" w:rsidP="001347EA">
      <w:pPr>
        <w:numPr>
          <w:ilvl w:val="0"/>
          <w:numId w:val="1"/>
        </w:numPr>
        <w:tabs>
          <w:tab w:val="left" w:pos="0"/>
        </w:tabs>
        <w:spacing w:after="160" w:line="360" w:lineRule="auto"/>
        <w:ind w:left="0" w:firstLine="0"/>
        <w:contextualSpacing/>
        <w:jc w:val="both"/>
        <w:rPr>
          <w:rFonts w:ascii="Palatino Linotype" w:hAnsi="Palatino Linotype"/>
        </w:rPr>
      </w:pPr>
      <w:r w:rsidRPr="008D34D9">
        <w:rPr>
          <w:rFonts w:ascii="Palatino Linotype" w:hAnsi="Palatino Linotype"/>
        </w:rPr>
        <w:lastRenderedPageBreak/>
        <w:t>En este contexto, este Pleno considera que dar a conocer los nombres de servidores públicos que realizan funciones en materia de seguridad, tal como es el caso de los policías, los vuelve identificables y posiblemente reconocibles para grupos delictivos</w:t>
      </w:r>
      <w:r w:rsidRPr="008D34D9">
        <w:rPr>
          <w:rFonts w:ascii="Palatino Linotype" w:hAnsi="Palatino Linotype" w:cs="Tahoma"/>
          <w:bCs/>
        </w:rPr>
        <w:t xml:space="preserve">; así, dicha información puede ser utilizada para </w:t>
      </w:r>
      <w:r w:rsidRPr="008D34D9">
        <w:rPr>
          <w:rFonts w:ascii="Palatino Linotype" w:hAnsi="Palatino Linotype" w:cs="Tahoma"/>
          <w:b/>
          <w:bCs/>
        </w:rPr>
        <w:t xml:space="preserve">vulnerar la vida, seguridad o salud de dichos elementos, incluso la de sus familias o entorno social, </w:t>
      </w:r>
      <w:r w:rsidRPr="008D34D9">
        <w:rPr>
          <w:rFonts w:ascii="Palatino Linotype" w:hAnsi="Palatino Linotype" w:cs="Tahoma"/>
          <w:bCs/>
        </w:rPr>
        <w:t>demás, de que aumenta el riesgo de que personas ajenas a los intereses institucionales e intenten realizar actos tendientes a inhibir o entrometerse en las funciones de los policías municipales, lo cual causaría una vulneración a la seguridad municipal.</w:t>
      </w:r>
    </w:p>
    <w:p w14:paraId="7906517F" w14:textId="77777777" w:rsidR="00093FD0" w:rsidRPr="008D34D9" w:rsidRDefault="00093FD0" w:rsidP="00093FD0">
      <w:pPr>
        <w:spacing w:line="360" w:lineRule="auto"/>
        <w:ind w:right="49"/>
        <w:contextualSpacing/>
        <w:jc w:val="both"/>
        <w:rPr>
          <w:rFonts w:ascii="Palatino Linotype" w:eastAsia="MS Gothic" w:hAnsi="Palatino Linotype" w:cstheme="majorBidi"/>
          <w:lang w:eastAsia="es-ES"/>
        </w:rPr>
      </w:pPr>
    </w:p>
    <w:p w14:paraId="02717172" w14:textId="77777777" w:rsidR="00B057B1" w:rsidRPr="008D34D9" w:rsidRDefault="00B057B1" w:rsidP="00B057B1">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8D34D9">
        <w:rPr>
          <w:rFonts w:ascii="Palatino Linotype" w:eastAsia="Calibri" w:hAnsi="Palatino Linotype"/>
        </w:rPr>
        <w:t xml:space="preserve">Por lo anteriormente expuesto y fundado, este </w:t>
      </w:r>
      <w:r w:rsidRPr="008D34D9">
        <w:rPr>
          <w:rFonts w:ascii="Palatino Linotype" w:eastAsia="Calibri" w:hAnsi="Palatino Linotype"/>
          <w:b/>
          <w:bCs/>
        </w:rPr>
        <w:t>ÓRGANO GARANTE</w:t>
      </w:r>
      <w:r w:rsidRPr="008D34D9">
        <w:rPr>
          <w:rFonts w:ascii="Palatino Linotype" w:eastAsia="Calibri" w:hAnsi="Palatino Linotype"/>
        </w:rPr>
        <w:t xml:space="preserve"> emite los siguientes:</w:t>
      </w:r>
    </w:p>
    <w:p w14:paraId="5519E314" w14:textId="77777777" w:rsidR="00B057B1" w:rsidRPr="008D34D9" w:rsidRDefault="00B057B1" w:rsidP="00B057B1">
      <w:pPr>
        <w:spacing w:line="360" w:lineRule="auto"/>
        <w:contextualSpacing/>
        <w:jc w:val="both"/>
        <w:rPr>
          <w:rFonts w:ascii="Palatino Linotype" w:eastAsia="Calibri" w:hAnsi="Palatino Linotype"/>
        </w:rPr>
      </w:pPr>
    </w:p>
    <w:p w14:paraId="5D2946BD" w14:textId="77777777" w:rsidR="00B057B1" w:rsidRPr="008D34D9"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0" w:name="_Toc528153792"/>
      <w:bookmarkStart w:id="21" w:name="_Toc71158406"/>
      <w:bookmarkStart w:id="22" w:name="_Toc83301643"/>
      <w:r w:rsidRPr="008D34D9">
        <w:rPr>
          <w:rFonts w:ascii="Palatino Linotype" w:eastAsiaTheme="majorEastAsia" w:hAnsi="Palatino Linotype" w:cstheme="majorBidi"/>
          <w:b/>
          <w:color w:val="000000" w:themeColor="text1"/>
          <w:lang w:eastAsia="en-US"/>
        </w:rPr>
        <w:t>R E S O L U T I V O S</w:t>
      </w:r>
      <w:bookmarkEnd w:id="20"/>
      <w:bookmarkEnd w:id="21"/>
      <w:bookmarkEnd w:id="22"/>
    </w:p>
    <w:p w14:paraId="138BB4A7" w14:textId="77777777" w:rsidR="00B057B1" w:rsidRPr="008D34D9"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719E2509" w14:textId="745CDFDE" w:rsidR="00B057B1" w:rsidRPr="008D34D9" w:rsidRDefault="00B057B1" w:rsidP="00B057B1">
      <w:pPr>
        <w:spacing w:line="360" w:lineRule="auto"/>
        <w:ind w:right="48"/>
        <w:jc w:val="both"/>
        <w:rPr>
          <w:rFonts w:ascii="Palatino Linotype" w:hAnsi="Palatino Linotype" w:cs="Arial"/>
          <w:bCs/>
        </w:rPr>
      </w:pPr>
      <w:r w:rsidRPr="008D34D9">
        <w:rPr>
          <w:rFonts w:ascii="Palatino Linotype" w:hAnsi="Palatino Linotype" w:cs="Arial"/>
          <w:b/>
        </w:rPr>
        <w:t xml:space="preserve">PRIMERO. </w:t>
      </w:r>
      <w:r w:rsidRPr="008D34D9">
        <w:rPr>
          <w:rFonts w:ascii="Palatino Linotype" w:hAnsi="Palatino Linotype" w:cs="Arial"/>
        </w:rPr>
        <w:t xml:space="preserve">Resultan </w:t>
      </w:r>
      <w:r w:rsidR="00756D5C" w:rsidRPr="008D34D9">
        <w:rPr>
          <w:rFonts w:ascii="Palatino Linotype" w:hAnsi="Palatino Linotype" w:cs="Arial"/>
        </w:rPr>
        <w:t xml:space="preserve">parcialmente </w:t>
      </w:r>
      <w:r w:rsidRPr="008D34D9">
        <w:rPr>
          <w:rFonts w:ascii="Palatino Linotype" w:hAnsi="Palatino Linotype" w:cs="Arial"/>
        </w:rPr>
        <w:t>fundadas las</w:t>
      </w:r>
      <w:r w:rsidRPr="008D34D9">
        <w:rPr>
          <w:rFonts w:ascii="Palatino Linotype" w:hAnsi="Palatino Linotype" w:cs="Arial"/>
          <w:b/>
        </w:rPr>
        <w:t xml:space="preserve"> </w:t>
      </w:r>
      <w:r w:rsidRPr="008D34D9">
        <w:rPr>
          <w:rFonts w:ascii="Palatino Linotype" w:hAnsi="Palatino Linotype" w:cs="Arial"/>
          <w:lang w:val="es-ES"/>
        </w:rPr>
        <w:t xml:space="preserve">razones o motivos de inconformidad hechos valer </w:t>
      </w:r>
      <w:r w:rsidRPr="008D34D9">
        <w:rPr>
          <w:rFonts w:ascii="Palatino Linotype" w:eastAsia="Calibri" w:hAnsi="Palatino Linotype" w:cs="Arial"/>
          <w:lang w:val="es-ES"/>
        </w:rPr>
        <w:t xml:space="preserve">en el recurso de revisión </w:t>
      </w:r>
      <w:r w:rsidR="00350B66" w:rsidRPr="008D34D9">
        <w:rPr>
          <w:rFonts w:ascii="Palatino Linotype" w:hAnsi="Palatino Linotype" w:cs="Arial"/>
          <w:b/>
          <w:bCs/>
        </w:rPr>
        <w:t>15823</w:t>
      </w:r>
      <w:r w:rsidRPr="008D34D9">
        <w:rPr>
          <w:rFonts w:ascii="Palatino Linotype" w:hAnsi="Palatino Linotype" w:cs="Arial"/>
          <w:b/>
          <w:bCs/>
        </w:rPr>
        <w:t xml:space="preserve">/INFOEM/IP/RR/2022, </w:t>
      </w:r>
      <w:r w:rsidRPr="008D34D9">
        <w:rPr>
          <w:rFonts w:ascii="Palatino Linotype" w:hAnsi="Palatino Linotype" w:cs="Arial"/>
          <w:bCs/>
        </w:rPr>
        <w:t>en términos de</w:t>
      </w:r>
      <w:r w:rsidR="003B74F5" w:rsidRPr="008D34D9">
        <w:rPr>
          <w:rFonts w:ascii="Palatino Linotype" w:hAnsi="Palatino Linotype" w:cs="Arial"/>
          <w:bCs/>
        </w:rPr>
        <w:t xml:space="preserve"> </w:t>
      </w:r>
      <w:r w:rsidRPr="008D34D9">
        <w:rPr>
          <w:rFonts w:ascii="Palatino Linotype" w:hAnsi="Palatino Linotype" w:cs="Arial"/>
          <w:bCs/>
        </w:rPr>
        <w:t>l</w:t>
      </w:r>
      <w:r w:rsidR="003B74F5" w:rsidRPr="008D34D9">
        <w:rPr>
          <w:rFonts w:ascii="Palatino Linotype" w:hAnsi="Palatino Linotype" w:cs="Arial"/>
          <w:bCs/>
        </w:rPr>
        <w:t>os</w:t>
      </w:r>
      <w:r w:rsidRPr="008D34D9">
        <w:rPr>
          <w:rFonts w:ascii="Palatino Linotype" w:hAnsi="Palatino Linotype" w:cs="Arial"/>
          <w:bCs/>
        </w:rPr>
        <w:t xml:space="preserve"> </w:t>
      </w:r>
      <w:r w:rsidR="003B74F5" w:rsidRPr="008D34D9">
        <w:rPr>
          <w:rFonts w:ascii="Palatino Linotype" w:hAnsi="Palatino Linotype" w:cs="Arial"/>
          <w:b/>
          <w:bCs/>
        </w:rPr>
        <w:t>c</w:t>
      </w:r>
      <w:r w:rsidRPr="008D34D9">
        <w:rPr>
          <w:rFonts w:ascii="Palatino Linotype" w:hAnsi="Palatino Linotype" w:cs="Arial"/>
          <w:b/>
          <w:bCs/>
        </w:rPr>
        <w:t>onsiderando</w:t>
      </w:r>
      <w:r w:rsidR="003B74F5" w:rsidRPr="008D34D9">
        <w:rPr>
          <w:rFonts w:ascii="Palatino Linotype" w:hAnsi="Palatino Linotype" w:cs="Arial"/>
          <w:b/>
          <w:bCs/>
        </w:rPr>
        <w:t>s</w:t>
      </w:r>
      <w:r w:rsidRPr="008D34D9">
        <w:rPr>
          <w:rFonts w:ascii="Palatino Linotype" w:hAnsi="Palatino Linotype" w:cs="Arial"/>
          <w:bCs/>
        </w:rPr>
        <w:t xml:space="preserve"> </w:t>
      </w:r>
      <w:r w:rsidRPr="008D34D9">
        <w:rPr>
          <w:rFonts w:ascii="Palatino Linotype" w:hAnsi="Palatino Linotype" w:cs="Arial"/>
          <w:b/>
          <w:bCs/>
        </w:rPr>
        <w:t xml:space="preserve">CUARTO y QUINTO </w:t>
      </w:r>
      <w:r w:rsidRPr="008D34D9">
        <w:rPr>
          <w:rFonts w:ascii="Palatino Linotype" w:hAnsi="Palatino Linotype" w:cs="Arial"/>
          <w:bCs/>
        </w:rPr>
        <w:t>de la presente resolución.</w:t>
      </w:r>
    </w:p>
    <w:p w14:paraId="5AFFB737" w14:textId="77777777" w:rsidR="00B057B1" w:rsidRPr="008D34D9" w:rsidRDefault="00B057B1" w:rsidP="00B057B1">
      <w:pPr>
        <w:spacing w:line="360" w:lineRule="auto"/>
        <w:ind w:right="48"/>
        <w:jc w:val="both"/>
        <w:rPr>
          <w:rFonts w:ascii="Palatino Linotype" w:hAnsi="Palatino Linotype" w:cs="Arial"/>
          <w:bCs/>
        </w:rPr>
      </w:pPr>
    </w:p>
    <w:p w14:paraId="1F249705" w14:textId="6D5995D2" w:rsidR="00B057B1" w:rsidRPr="008D34D9" w:rsidRDefault="00B057B1" w:rsidP="00B057B1">
      <w:pPr>
        <w:spacing w:line="360" w:lineRule="auto"/>
        <w:ind w:right="48"/>
        <w:jc w:val="both"/>
        <w:rPr>
          <w:rFonts w:ascii="Palatino Linotype" w:hAnsi="Palatino Linotype" w:cs="Arial"/>
          <w:bCs/>
        </w:rPr>
      </w:pPr>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8D34D9">
        <w:rPr>
          <w:rFonts w:ascii="Palatino Linotype" w:hAnsi="Palatino Linotype"/>
          <w:b/>
        </w:rPr>
        <w:t>SEGUNDO.</w:t>
      </w:r>
      <w:r w:rsidRPr="008D34D9">
        <w:rPr>
          <w:rStyle w:val="Ttulo2Car"/>
          <w:rFonts w:ascii="Palatino Linotype" w:hAnsi="Palatino Linotype"/>
          <w:sz w:val="24"/>
          <w:szCs w:val="24"/>
        </w:rPr>
        <w:t xml:space="preserve"> </w:t>
      </w:r>
      <w:bookmarkEnd w:id="23"/>
      <w:bookmarkEnd w:id="24"/>
      <w:bookmarkEnd w:id="25"/>
      <w:bookmarkEnd w:id="26"/>
      <w:bookmarkEnd w:id="27"/>
      <w:bookmarkEnd w:id="28"/>
      <w:bookmarkEnd w:id="29"/>
      <w:r w:rsidRPr="008D34D9">
        <w:rPr>
          <w:rFonts w:ascii="Palatino Linotype" w:eastAsia="Calibri" w:hAnsi="Palatino Linotype" w:cs="Arial"/>
          <w:lang w:val="es-ES"/>
        </w:rPr>
        <w:t>Se</w:t>
      </w:r>
      <w:r w:rsidR="00756D5C" w:rsidRPr="008D34D9">
        <w:rPr>
          <w:rFonts w:ascii="Palatino Linotype" w:eastAsia="Calibri" w:hAnsi="Palatino Linotype" w:cs="Arial"/>
          <w:b/>
          <w:lang w:val="es-ES"/>
        </w:rPr>
        <w:t xml:space="preserve"> MODIFICA</w:t>
      </w:r>
      <w:r w:rsidRPr="008D34D9">
        <w:rPr>
          <w:rFonts w:ascii="Palatino Linotype" w:eastAsia="Calibri" w:hAnsi="Palatino Linotype" w:cs="Arial"/>
          <w:b/>
          <w:lang w:val="es-ES"/>
        </w:rPr>
        <w:t xml:space="preserve"> </w:t>
      </w:r>
      <w:r w:rsidR="00756D5C" w:rsidRPr="008D34D9">
        <w:rPr>
          <w:rFonts w:ascii="Palatino Linotype" w:eastAsia="Calibri" w:hAnsi="Palatino Linotype" w:cs="Arial"/>
          <w:lang w:val="es-ES"/>
        </w:rPr>
        <w:t>la respuesta emitida por</w:t>
      </w:r>
      <w:r w:rsidR="00A67E1C" w:rsidRPr="008D34D9">
        <w:rPr>
          <w:rFonts w:ascii="Palatino Linotype" w:eastAsia="Calibri" w:hAnsi="Palatino Linotype" w:cs="Arial"/>
          <w:lang w:val="es-ES"/>
        </w:rPr>
        <w:t xml:space="preserve"> el</w:t>
      </w:r>
      <w:r w:rsidRPr="008D34D9">
        <w:rPr>
          <w:rFonts w:ascii="Palatino Linotype" w:eastAsia="Calibri" w:hAnsi="Palatino Linotype" w:cs="Arial"/>
          <w:lang w:val="es-ES"/>
        </w:rPr>
        <w:t xml:space="preserve"> </w:t>
      </w:r>
      <w:r w:rsidR="00350B66" w:rsidRPr="008D34D9">
        <w:rPr>
          <w:rFonts w:ascii="Palatino Linotype" w:hAnsi="Palatino Linotype" w:cs="Arial"/>
          <w:b/>
          <w:bCs/>
        </w:rPr>
        <w:t>Ayuntamiento de Huixquilucan</w:t>
      </w:r>
      <w:r w:rsidRPr="008D34D9">
        <w:rPr>
          <w:rFonts w:ascii="Palatino Linotype" w:hAnsi="Palatino Linotype" w:cs="Arial"/>
          <w:b/>
        </w:rPr>
        <w:t xml:space="preserve"> </w:t>
      </w:r>
      <w:r w:rsidRPr="008D34D9">
        <w:rPr>
          <w:rFonts w:ascii="Palatino Linotype" w:eastAsia="Calibri" w:hAnsi="Palatino Linotype" w:cs="Arial"/>
          <w:lang w:val="es-ES"/>
        </w:rPr>
        <w:t>y se</w:t>
      </w:r>
      <w:r w:rsidRPr="008D34D9">
        <w:rPr>
          <w:rFonts w:ascii="Palatino Linotype" w:eastAsia="Calibri" w:hAnsi="Palatino Linotype" w:cs="Arial"/>
          <w:b/>
          <w:lang w:val="es-ES"/>
        </w:rPr>
        <w:t xml:space="preserve"> ORDENA </w:t>
      </w:r>
      <w:r w:rsidRPr="008D34D9">
        <w:rPr>
          <w:rFonts w:ascii="Palatino Linotype" w:hAnsi="Palatino Linotype" w:cs="Arial"/>
          <w:lang w:val="es-ES"/>
        </w:rPr>
        <w:t>entregar vía</w:t>
      </w:r>
      <w:r w:rsidRPr="008D34D9">
        <w:rPr>
          <w:rFonts w:ascii="Palatino Linotype" w:eastAsia="Calibri" w:hAnsi="Palatino Linotype" w:cs="Arial"/>
          <w:lang w:val="es-ES"/>
        </w:rPr>
        <w:t xml:space="preserve"> </w:t>
      </w:r>
      <w:r w:rsidRPr="008D34D9">
        <w:rPr>
          <w:rFonts w:ascii="Palatino Linotype" w:eastAsia="Calibri" w:hAnsi="Palatino Linotype" w:cs="Arial"/>
          <w:b/>
          <w:lang w:val="es-ES"/>
        </w:rPr>
        <w:t>SAIMEX</w:t>
      </w:r>
      <w:r w:rsidRPr="008D34D9">
        <w:rPr>
          <w:rFonts w:ascii="Palatino Linotype" w:eastAsia="Calibri" w:hAnsi="Palatino Linotype" w:cs="Arial"/>
          <w:lang w:val="es-ES"/>
        </w:rPr>
        <w:t xml:space="preserve">, de ser procedente en versión pública, </w:t>
      </w:r>
      <w:r w:rsidR="00350B66" w:rsidRPr="008D34D9">
        <w:rPr>
          <w:rFonts w:ascii="Palatino Linotype" w:eastAsia="Calibri" w:hAnsi="Palatino Linotype" w:cs="Arial"/>
          <w:lang w:val="es-ES"/>
        </w:rPr>
        <w:t xml:space="preserve">la </w:t>
      </w:r>
      <w:r w:rsidRPr="008D34D9">
        <w:rPr>
          <w:rFonts w:ascii="Palatino Linotype" w:eastAsia="Calibri" w:hAnsi="Palatino Linotype" w:cs="Arial"/>
          <w:lang w:val="es-ES"/>
        </w:rPr>
        <w:t>siguiente información</w:t>
      </w:r>
      <w:r w:rsidRPr="008D34D9">
        <w:rPr>
          <w:rFonts w:ascii="Palatino Linotype" w:hAnsi="Palatino Linotype" w:cs="Arial"/>
          <w:bCs/>
        </w:rPr>
        <w:t>:</w:t>
      </w:r>
    </w:p>
    <w:p w14:paraId="59C24CB8" w14:textId="77777777" w:rsidR="00B057B1" w:rsidRPr="008D34D9" w:rsidRDefault="00B057B1" w:rsidP="00B057B1">
      <w:pPr>
        <w:spacing w:line="360" w:lineRule="auto"/>
        <w:ind w:right="48"/>
        <w:jc w:val="both"/>
        <w:rPr>
          <w:rFonts w:ascii="Palatino Linotype" w:hAnsi="Palatino Linotype" w:cs="Arial"/>
          <w:b/>
          <w:bCs/>
        </w:rPr>
      </w:pPr>
    </w:p>
    <w:p w14:paraId="0E0607A3" w14:textId="77777777" w:rsidR="00B01DBD" w:rsidRPr="008D34D9" w:rsidRDefault="00B057B1" w:rsidP="00350B66">
      <w:pPr>
        <w:spacing w:line="360" w:lineRule="auto"/>
        <w:ind w:left="426" w:right="822"/>
        <w:contextualSpacing/>
        <w:jc w:val="both"/>
        <w:rPr>
          <w:rFonts w:ascii="Palatino Linotype" w:hAnsi="Palatino Linotype"/>
          <w:b/>
          <w:color w:val="000000"/>
        </w:rPr>
      </w:pPr>
      <w:bookmarkStart w:id="30" w:name="_Toc460947013"/>
      <w:r w:rsidRPr="008D34D9">
        <w:rPr>
          <w:rFonts w:ascii="Palatino Linotype" w:eastAsia="MS Gothic" w:hAnsi="Palatino Linotype" w:cstheme="majorBidi"/>
          <w:b/>
          <w:lang w:eastAsia="es-ES"/>
        </w:rPr>
        <w:t xml:space="preserve">A. </w:t>
      </w:r>
      <w:r w:rsidR="00350B66" w:rsidRPr="008D34D9">
        <w:rPr>
          <w:rFonts w:ascii="Palatino Linotype" w:eastAsia="MS Gothic" w:hAnsi="Palatino Linotype" w:cstheme="majorBidi"/>
          <w:b/>
          <w:lang w:eastAsia="es-ES"/>
        </w:rPr>
        <w:t xml:space="preserve">Lista de raya </w:t>
      </w:r>
      <w:r w:rsidR="00350B66" w:rsidRPr="008D34D9">
        <w:rPr>
          <w:rFonts w:ascii="Palatino Linotype" w:eastAsia="MS Gothic" w:hAnsi="Palatino Linotype" w:cstheme="majorBidi"/>
          <w:b/>
          <w:bCs/>
          <w:iCs/>
          <w:lang w:eastAsia="es-ES"/>
        </w:rPr>
        <w:t xml:space="preserve">del periodo </w:t>
      </w:r>
      <w:r w:rsidR="00350B66" w:rsidRPr="008D34D9">
        <w:rPr>
          <w:rFonts w:ascii="Palatino Linotype" w:eastAsia="MS Gothic" w:hAnsi="Palatino Linotype" w:cstheme="majorBidi"/>
          <w:b/>
          <w:lang w:eastAsia="es-ES"/>
        </w:rPr>
        <w:t>comprendido del dieciséis al treinta de septiembre de dos mil veintidós.</w:t>
      </w:r>
    </w:p>
    <w:p w14:paraId="185FB50F" w14:textId="77777777" w:rsidR="00B01DBD" w:rsidRPr="008D34D9" w:rsidRDefault="00B01DBD" w:rsidP="00B057B1">
      <w:pPr>
        <w:spacing w:line="360" w:lineRule="auto"/>
        <w:ind w:right="48"/>
        <w:jc w:val="both"/>
        <w:rPr>
          <w:rFonts w:ascii="Palatino Linotype" w:eastAsia="Palatino Linotype" w:hAnsi="Palatino Linotype" w:cs="Palatino Linotype"/>
          <w:b/>
          <w:lang w:val="es-ES_tradnl"/>
        </w:rPr>
      </w:pPr>
    </w:p>
    <w:p w14:paraId="2AB1C6CF" w14:textId="77777777" w:rsidR="00B057B1" w:rsidRPr="008D34D9" w:rsidRDefault="00B057B1" w:rsidP="00B057B1">
      <w:pPr>
        <w:spacing w:line="360" w:lineRule="auto"/>
        <w:jc w:val="both"/>
        <w:rPr>
          <w:rFonts w:ascii="Palatino Linotype" w:eastAsia="Calibri" w:hAnsi="Palatino Linotype" w:cs="Arial"/>
          <w:b/>
        </w:rPr>
      </w:pPr>
      <w:r w:rsidRPr="008D34D9">
        <w:rPr>
          <w:rFonts w:ascii="Palatino Linotype" w:eastAsia="Calibri" w:hAnsi="Palatino Linotype" w:cs="Arial"/>
        </w:rPr>
        <w:lastRenderedPageBreak/>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D34D9">
        <w:rPr>
          <w:rFonts w:ascii="Palatino Linotype" w:eastAsia="Calibri" w:hAnsi="Palatino Linotype" w:cs="Arial"/>
          <w:b/>
        </w:rPr>
        <w:t>RECURRENTE.</w:t>
      </w:r>
    </w:p>
    <w:p w14:paraId="0124BC2F" w14:textId="77777777" w:rsidR="00B057B1" w:rsidRPr="008D34D9" w:rsidRDefault="00B057B1" w:rsidP="00B057B1">
      <w:pPr>
        <w:spacing w:line="360" w:lineRule="auto"/>
        <w:ind w:right="48"/>
        <w:jc w:val="both"/>
        <w:rPr>
          <w:rFonts w:ascii="Palatino Linotype" w:eastAsia="Palatino Linotype" w:hAnsi="Palatino Linotype" w:cs="Palatino Linotype"/>
          <w:b/>
        </w:rPr>
      </w:pPr>
    </w:p>
    <w:p w14:paraId="79540766" w14:textId="77777777" w:rsidR="00B057B1" w:rsidRPr="008D34D9"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r w:rsidRPr="008D34D9">
        <w:rPr>
          <w:rFonts w:ascii="Palatino Linotype" w:eastAsia="Palatino Linotype" w:hAnsi="Palatino Linotype" w:cs="Palatino Linotype"/>
          <w:b/>
        </w:rPr>
        <w:t xml:space="preserve">TERCERO. Notifíquese </w:t>
      </w:r>
      <w:r w:rsidRPr="008D34D9">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D34D9">
        <w:rPr>
          <w:rFonts w:ascii="Palatino Linotype" w:eastAsia="Palatino Linotype" w:hAnsi="Palatino Linotype" w:cs="Palatino Linotype"/>
          <w:b/>
        </w:rPr>
        <w:t xml:space="preserve">dé cumplimiento a lo ordenado dentro del plazo de diez días hábiles, </w:t>
      </w:r>
      <w:r w:rsidRPr="008D34D9">
        <w:rPr>
          <w:rFonts w:ascii="Palatino Linotype" w:eastAsia="Palatino Linotype" w:hAnsi="Palatino Linotype" w:cs="Palatino Linotyp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ACDA54" w14:textId="77777777" w:rsidR="00B057B1" w:rsidRPr="008D34D9"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p>
    <w:p w14:paraId="2D409AB7" w14:textId="77777777" w:rsidR="00B057B1" w:rsidRPr="008D34D9" w:rsidRDefault="00B057B1" w:rsidP="00B057B1">
      <w:pPr>
        <w:shd w:val="clear" w:color="auto" w:fill="FFFFFF"/>
        <w:spacing w:line="360" w:lineRule="auto"/>
        <w:ind w:right="48"/>
        <w:jc w:val="both"/>
        <w:rPr>
          <w:rFonts w:ascii="Palatino Linotype" w:hAnsi="Palatino Linotype"/>
        </w:rPr>
      </w:pPr>
      <w:r w:rsidRPr="008D34D9">
        <w:rPr>
          <w:rFonts w:ascii="Palatino Linotype" w:hAnsi="Palatino Linotype" w:cs="Arial"/>
          <w:b/>
        </w:rPr>
        <w:t xml:space="preserve">CUARTO. </w:t>
      </w:r>
      <w:r w:rsidRPr="008D34D9">
        <w:rPr>
          <w:rFonts w:ascii="Palatino Linotype" w:hAnsi="Palatino Linotype"/>
          <w:b/>
          <w:bCs/>
          <w:lang w:val="es-ES"/>
        </w:rPr>
        <w:t>Notifíquese al RECURRENTE</w:t>
      </w:r>
      <w:r w:rsidRPr="008D34D9">
        <w:rPr>
          <w:rFonts w:ascii="Palatino Linotype" w:hAnsi="Palatino Linotype"/>
        </w:rPr>
        <w:t xml:space="preserve"> la presente resolución vía SAIMEX.</w:t>
      </w:r>
    </w:p>
    <w:p w14:paraId="227C1BEC" w14:textId="77777777" w:rsidR="00B057B1" w:rsidRPr="008D34D9" w:rsidRDefault="00B057B1" w:rsidP="00B057B1">
      <w:pPr>
        <w:shd w:val="clear" w:color="auto" w:fill="FFFFFF"/>
        <w:spacing w:line="360" w:lineRule="auto"/>
        <w:ind w:right="48"/>
        <w:jc w:val="both"/>
        <w:rPr>
          <w:rFonts w:ascii="Palatino Linotype" w:hAnsi="Palatino Linotype"/>
          <w:b/>
          <w:color w:val="FF0000"/>
        </w:rPr>
      </w:pPr>
    </w:p>
    <w:bookmarkEnd w:id="30"/>
    <w:p w14:paraId="0E48047B" w14:textId="77777777" w:rsidR="00B057B1" w:rsidRPr="008D34D9" w:rsidRDefault="00B057B1" w:rsidP="00B057B1">
      <w:pPr>
        <w:spacing w:line="360" w:lineRule="auto"/>
        <w:ind w:right="48"/>
        <w:jc w:val="both"/>
        <w:rPr>
          <w:rFonts w:ascii="Palatino Linotype" w:eastAsia="MS Mincho" w:hAnsi="Palatino Linotype"/>
          <w:lang w:val="es-ES"/>
        </w:rPr>
      </w:pPr>
      <w:r w:rsidRPr="008D34D9">
        <w:rPr>
          <w:rFonts w:ascii="Palatino Linotype" w:eastAsia="MS Mincho" w:hAnsi="Palatino Linotype"/>
          <w:b/>
        </w:rPr>
        <w:t>QUINTO.</w:t>
      </w:r>
      <w:r w:rsidRPr="008D34D9">
        <w:rPr>
          <w:rFonts w:ascii="Palatino Linotype" w:eastAsia="MS Mincho" w:hAnsi="Palatino Linotype"/>
        </w:rPr>
        <w:t xml:space="preserve"> </w:t>
      </w:r>
      <w:r w:rsidRPr="008D34D9">
        <w:rPr>
          <w:rFonts w:ascii="Palatino Linotype" w:eastAsia="MS Mincho" w:hAnsi="Palatino Linotype"/>
          <w:lang w:val="es-ES"/>
        </w:rPr>
        <w:t xml:space="preserve">Se hace del conocimiento del </w:t>
      </w:r>
      <w:r w:rsidRPr="008D34D9">
        <w:rPr>
          <w:rFonts w:ascii="Palatino Linotype" w:hAnsi="Palatino Linotype"/>
          <w:b/>
        </w:rPr>
        <w:t>RECURRENTE</w:t>
      </w:r>
      <w:r w:rsidRPr="008D34D9">
        <w:rPr>
          <w:rFonts w:ascii="Palatino Linotype" w:hAnsi="Palatino Linotype"/>
        </w:rPr>
        <w:t xml:space="preserve"> </w:t>
      </w:r>
      <w:r w:rsidRPr="008D34D9">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8D34D9">
        <w:rPr>
          <w:rFonts w:ascii="Palatino Linotype" w:eastAsia="MS Mincho" w:hAnsi="Palatino Linotype"/>
          <w:bCs/>
          <w:lang w:val="es-ES"/>
        </w:rPr>
        <w:t>vía juicio de amparo</w:t>
      </w:r>
      <w:r w:rsidRPr="008D34D9">
        <w:rPr>
          <w:rFonts w:ascii="Palatino Linotype" w:eastAsia="MS Mincho" w:hAnsi="Palatino Linotype"/>
          <w:lang w:val="es-ES"/>
        </w:rPr>
        <w:t> en los términos de las leyes aplicables.</w:t>
      </w:r>
    </w:p>
    <w:p w14:paraId="7035A85A" w14:textId="77777777" w:rsidR="00350B66" w:rsidRPr="008D34D9" w:rsidRDefault="00B057B1" w:rsidP="00B057B1">
      <w:pPr>
        <w:spacing w:line="360" w:lineRule="auto"/>
        <w:ind w:right="48"/>
        <w:jc w:val="both"/>
        <w:rPr>
          <w:rFonts w:ascii="Palatino Linotype" w:eastAsia="Calibri" w:hAnsi="Palatino Linotype" w:cs="Arial"/>
          <w:bCs/>
        </w:rPr>
      </w:pPr>
      <w:r w:rsidRPr="008D34D9">
        <w:rPr>
          <w:rFonts w:ascii="Palatino Linotype" w:hAnsi="Palatino Linotype"/>
          <w:b/>
          <w:color w:val="000000"/>
          <w:shd w:val="clear" w:color="auto" w:fill="FFFFFF"/>
        </w:rPr>
        <w:lastRenderedPageBreak/>
        <w:t xml:space="preserve">SEXTO. </w:t>
      </w:r>
      <w:r w:rsidRPr="008D34D9">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5886EDE" w14:textId="77777777" w:rsidR="00AC7B37" w:rsidRPr="008D34D9" w:rsidRDefault="00AC7B37" w:rsidP="00B057B1">
      <w:pPr>
        <w:spacing w:line="360" w:lineRule="auto"/>
        <w:ind w:right="48"/>
        <w:jc w:val="both"/>
        <w:rPr>
          <w:rFonts w:ascii="Palatino Linotype" w:eastAsia="Calibri" w:hAnsi="Palatino Linotype" w:cs="Arial"/>
          <w:bCs/>
        </w:rPr>
      </w:pPr>
    </w:p>
    <w:p w14:paraId="6E122352" w14:textId="77777777" w:rsidR="00AC7B37" w:rsidRPr="008D34D9" w:rsidRDefault="00AC7B37" w:rsidP="00AC7B37">
      <w:pPr>
        <w:shd w:val="clear" w:color="auto" w:fill="FFFFFF"/>
        <w:tabs>
          <w:tab w:val="left" w:pos="284"/>
        </w:tabs>
        <w:spacing w:line="360" w:lineRule="auto"/>
        <w:jc w:val="both"/>
        <w:rPr>
          <w:rFonts w:ascii="Palatino Linotype" w:eastAsia="MS Mincho" w:hAnsi="Palatino Linotype"/>
        </w:rPr>
      </w:pPr>
      <w:r w:rsidRPr="008D34D9">
        <w:rPr>
          <w:rFonts w:ascii="Palatino Linotype" w:eastAsia="MS Mincho" w:hAnsi="Palatino Linotype"/>
          <w:b/>
          <w:lang w:val="es-ES"/>
        </w:rPr>
        <w:t>SÉPTIMO.</w:t>
      </w:r>
      <w:r w:rsidRPr="008D34D9">
        <w:rPr>
          <w:rFonts w:ascii="Palatino Linotype" w:eastAsia="MS Mincho" w:hAnsi="Palatino Linotype"/>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48E1F77A" w14:textId="77777777" w:rsidR="00B057B1" w:rsidRPr="008D34D9" w:rsidRDefault="00B057B1" w:rsidP="00B057B1">
      <w:pPr>
        <w:spacing w:line="360" w:lineRule="auto"/>
        <w:ind w:right="48"/>
        <w:jc w:val="both"/>
        <w:rPr>
          <w:rFonts w:ascii="Palatino Linotype" w:hAnsi="Palatino Linotype"/>
        </w:rPr>
      </w:pPr>
    </w:p>
    <w:p w14:paraId="237AB7CB" w14:textId="7C36A17F" w:rsidR="003B74F5" w:rsidRPr="003B74F5" w:rsidRDefault="003B74F5" w:rsidP="003B74F5">
      <w:pPr>
        <w:spacing w:before="240" w:after="240" w:line="360" w:lineRule="auto"/>
        <w:ind w:firstLine="1"/>
        <w:jc w:val="both"/>
        <w:rPr>
          <w:rStyle w:val="Referenciasutil"/>
          <w:rFonts w:ascii="Palatino Linotype" w:eastAsiaTheme="majorEastAsia" w:hAnsi="Palatino Linotype"/>
          <w:color w:val="auto"/>
        </w:rPr>
      </w:pPr>
      <w:bookmarkStart w:id="31" w:name="_Hlk129792997"/>
      <w:r w:rsidRPr="008D34D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81185" w:rsidRPr="008D34D9">
        <w:rPr>
          <w:rStyle w:val="Referenciasutil"/>
          <w:rFonts w:ascii="Palatino Linotype" w:eastAsiaTheme="majorEastAsia" w:hAnsi="Palatino Linotype"/>
          <w:color w:val="auto"/>
        </w:rPr>
        <w:t xml:space="preserve">EMITIENDO VOTO PARTICULAR CONCURRENTE </w:t>
      </w:r>
      <w:r w:rsidRPr="008D34D9">
        <w:rPr>
          <w:rStyle w:val="Referenciasutil"/>
          <w:rFonts w:ascii="Palatino Linotype" w:eastAsiaTheme="majorEastAsia" w:hAnsi="Palatino Linotype"/>
          <w:color w:val="auto"/>
        </w:rPr>
        <w:t>Y GUADALUPE RAMÍREZ PEÑA</w:t>
      </w:r>
      <w:r w:rsidR="00281185" w:rsidRPr="008D34D9">
        <w:rPr>
          <w:rStyle w:val="Referenciasutil"/>
          <w:rFonts w:ascii="Palatino Linotype" w:eastAsiaTheme="majorEastAsia" w:hAnsi="Palatino Linotype"/>
          <w:color w:val="auto"/>
        </w:rPr>
        <w:t xml:space="preserve"> EMITIENDO VOTO PARTICULAR CONCURRENTE</w:t>
      </w:r>
      <w:r w:rsidRPr="008D34D9">
        <w:rPr>
          <w:rStyle w:val="Referenciasutil"/>
          <w:rFonts w:ascii="Palatino Linotype" w:eastAsiaTheme="majorEastAsia" w:hAnsi="Palatino Linotype"/>
          <w:color w:val="auto"/>
        </w:rPr>
        <w:t>; EN LA SÉPTIMA SESIÓN ORDINARIA CELEBRADA EL VEINTIOCHO (28) DE FEBRERO DE DOS MIL VEINTICUATRO, ANTE EL SECRETARIO TÉCNICO DEL PLENO ALEXIS TAPIA RAMÍREZ.</w:t>
      </w:r>
      <w:r w:rsidRPr="003B74F5">
        <w:rPr>
          <w:rStyle w:val="Referenciasutil"/>
          <w:rFonts w:ascii="Palatino Linotype" w:eastAsiaTheme="majorEastAsia" w:hAnsi="Palatino Linotype"/>
          <w:color w:val="auto"/>
        </w:rPr>
        <w:t xml:space="preserve"> </w:t>
      </w:r>
      <w:bookmarkEnd w:id="31"/>
    </w:p>
    <w:p w14:paraId="68965230" w14:textId="77777777" w:rsidR="00B057B1" w:rsidRPr="003B74F5" w:rsidRDefault="00B057B1" w:rsidP="00B057B1">
      <w:pPr>
        <w:spacing w:line="360" w:lineRule="auto"/>
        <w:ind w:right="48"/>
        <w:rPr>
          <w:rFonts w:ascii="Palatino Linotype" w:hAnsi="Palatino Linotype"/>
        </w:rPr>
      </w:pPr>
    </w:p>
    <w:p w14:paraId="69DBE6CF"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34327834"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0F3A370A"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475E2D6F"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0301DB03"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793BB3D7"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026F3054"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7E9DBC3C"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044B5312"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58BE9B1A" w14:textId="77777777" w:rsidR="00B057B1" w:rsidRPr="003B74F5" w:rsidRDefault="00B057B1" w:rsidP="00B057B1">
      <w:pPr>
        <w:spacing w:line="360" w:lineRule="auto"/>
        <w:ind w:right="49"/>
        <w:jc w:val="both"/>
        <w:rPr>
          <w:rFonts w:ascii="Palatino Linotype" w:eastAsiaTheme="minorEastAsia" w:hAnsi="Palatino Linotype" w:cs="Arial"/>
          <w:lang w:val="es-ES_tradnl" w:eastAsia="es-ES"/>
        </w:rPr>
      </w:pPr>
    </w:p>
    <w:p w14:paraId="23510BD0" w14:textId="77777777" w:rsidR="00B057B1" w:rsidRPr="003B74F5" w:rsidRDefault="00B057B1" w:rsidP="00B057B1">
      <w:pPr>
        <w:spacing w:line="360" w:lineRule="auto"/>
        <w:rPr>
          <w:rFonts w:ascii="Palatino Linotype" w:hAnsi="Palatino Linotype"/>
        </w:rPr>
      </w:pPr>
    </w:p>
    <w:p w14:paraId="773EFC75" w14:textId="77777777" w:rsidR="00B057B1" w:rsidRPr="003B74F5" w:rsidRDefault="00B057B1" w:rsidP="00B057B1"/>
    <w:p w14:paraId="466802CC" w14:textId="77777777" w:rsidR="00B057B1" w:rsidRPr="003B74F5" w:rsidRDefault="00B057B1" w:rsidP="00B057B1"/>
    <w:p w14:paraId="1F403456" w14:textId="77777777" w:rsidR="00B057B1" w:rsidRPr="003B74F5" w:rsidRDefault="00B057B1" w:rsidP="00B057B1"/>
    <w:p w14:paraId="7D24941D" w14:textId="77777777" w:rsidR="00B057B1" w:rsidRPr="003B74F5" w:rsidRDefault="00B057B1" w:rsidP="00B057B1"/>
    <w:p w14:paraId="7F532AAC" w14:textId="77777777" w:rsidR="00B057B1" w:rsidRPr="003B74F5" w:rsidRDefault="00B057B1" w:rsidP="00B057B1"/>
    <w:p w14:paraId="3498F85A" w14:textId="77777777" w:rsidR="00B057B1" w:rsidRPr="003B74F5" w:rsidRDefault="00B057B1" w:rsidP="00B057B1"/>
    <w:p w14:paraId="6B7C75E0" w14:textId="77777777" w:rsidR="00E84FDD" w:rsidRPr="003B74F5" w:rsidRDefault="00E84FDD"/>
    <w:p w14:paraId="2EE128AF" w14:textId="77777777" w:rsidR="003B74F5" w:rsidRPr="003B74F5" w:rsidRDefault="003B74F5"/>
    <w:sectPr w:rsidR="003B74F5" w:rsidRPr="003B74F5" w:rsidSect="00E84FDD">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85A3" w14:textId="77777777" w:rsidR="00A85B96" w:rsidRDefault="00A85B96" w:rsidP="00B057B1">
      <w:r>
        <w:separator/>
      </w:r>
    </w:p>
  </w:endnote>
  <w:endnote w:type="continuationSeparator" w:id="0">
    <w:p w14:paraId="74864C24" w14:textId="77777777" w:rsidR="00A85B96" w:rsidRDefault="00A85B96" w:rsidP="00B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3368" w14:textId="77777777" w:rsidR="00C226F0" w:rsidRDefault="00C226F0">
    <w:pPr>
      <w:pStyle w:val="Piedepgina"/>
      <w:jc w:val="right"/>
    </w:pPr>
    <w:r>
      <w:rPr>
        <w:lang w:val="es-ES"/>
      </w:rPr>
      <w:t xml:space="preserve">Página </w:t>
    </w:r>
    <w:r>
      <w:rPr>
        <w:b/>
        <w:bCs/>
      </w:rPr>
      <w:fldChar w:fldCharType="begin"/>
    </w:r>
    <w:r>
      <w:rPr>
        <w:b/>
        <w:bCs/>
      </w:rPr>
      <w:instrText>PAGE</w:instrText>
    </w:r>
    <w:r>
      <w:rPr>
        <w:b/>
        <w:bCs/>
      </w:rPr>
      <w:fldChar w:fldCharType="separate"/>
    </w:r>
    <w:r w:rsidR="00281185">
      <w:rPr>
        <w:b/>
        <w:bCs/>
        <w:noProof/>
      </w:rPr>
      <w:t>28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1185">
      <w:rPr>
        <w:b/>
        <w:bCs/>
        <w:noProof/>
      </w:rPr>
      <w:t>30</w:t>
    </w:r>
    <w:r>
      <w:rPr>
        <w:b/>
        <w:bCs/>
      </w:rPr>
      <w:fldChar w:fldCharType="end"/>
    </w:r>
  </w:p>
  <w:p w14:paraId="128CE2D8" w14:textId="77777777" w:rsidR="00C226F0" w:rsidRDefault="00C22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31F4" w14:textId="77777777" w:rsidR="00C226F0" w:rsidRDefault="00C226F0">
    <w:pPr>
      <w:pStyle w:val="Piedepgina"/>
      <w:jc w:val="right"/>
    </w:pPr>
    <w:r>
      <w:rPr>
        <w:lang w:val="es-ES"/>
      </w:rPr>
      <w:t xml:space="preserve">Página </w:t>
    </w:r>
    <w:r>
      <w:rPr>
        <w:b/>
        <w:bCs/>
      </w:rPr>
      <w:fldChar w:fldCharType="begin"/>
    </w:r>
    <w:r>
      <w:rPr>
        <w:b/>
        <w:bCs/>
      </w:rPr>
      <w:instrText>PAGE</w:instrText>
    </w:r>
    <w:r>
      <w:rPr>
        <w:b/>
        <w:bCs/>
      </w:rPr>
      <w:fldChar w:fldCharType="separate"/>
    </w:r>
    <w:r w:rsidR="0028118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1185">
      <w:rPr>
        <w:b/>
        <w:bCs/>
        <w:noProof/>
      </w:rPr>
      <w:t>30</w:t>
    </w:r>
    <w:r>
      <w:rPr>
        <w:b/>
        <w:bCs/>
      </w:rPr>
      <w:fldChar w:fldCharType="end"/>
    </w:r>
  </w:p>
  <w:p w14:paraId="42A00D85" w14:textId="77777777" w:rsidR="00C226F0" w:rsidRDefault="00C22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10B6" w14:textId="77777777" w:rsidR="00A85B96" w:rsidRDefault="00A85B96" w:rsidP="00B057B1">
      <w:r>
        <w:separator/>
      </w:r>
    </w:p>
  </w:footnote>
  <w:footnote w:type="continuationSeparator" w:id="0">
    <w:p w14:paraId="658A1009" w14:textId="77777777" w:rsidR="00A85B96" w:rsidRDefault="00A85B96" w:rsidP="00B0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7B3A" w14:textId="77777777" w:rsidR="00C226F0" w:rsidRDefault="008D34D9">
    <w:pPr>
      <w:pStyle w:val="Encabezado"/>
    </w:pPr>
    <w:r>
      <w:rPr>
        <w:noProof/>
      </w:rPr>
      <w:pict w14:anchorId="1617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C226F0" w:rsidRPr="005C106F" w14:paraId="065264C0" w14:textId="77777777" w:rsidTr="00E84FDD">
      <w:trPr>
        <w:trHeight w:val="1435"/>
      </w:trPr>
      <w:tc>
        <w:tcPr>
          <w:tcW w:w="2268" w:type="dxa"/>
          <w:shd w:val="clear" w:color="auto" w:fill="auto"/>
        </w:tcPr>
        <w:p w14:paraId="776B0FE4" w14:textId="77777777" w:rsidR="00C226F0" w:rsidRPr="005C106F" w:rsidRDefault="00C226F0" w:rsidP="00E84FDD">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885" w:type="dxa"/>
            <w:tblLayout w:type="fixed"/>
            <w:tblLook w:val="0420" w:firstRow="1" w:lastRow="0" w:firstColumn="0" w:lastColumn="0" w:noHBand="0" w:noVBand="1"/>
          </w:tblPr>
          <w:tblGrid>
            <w:gridCol w:w="2551"/>
            <w:gridCol w:w="4111"/>
          </w:tblGrid>
          <w:tr w:rsidR="00C226F0" w14:paraId="3A3C8DD5" w14:textId="77777777" w:rsidTr="003B74F5">
            <w:trPr>
              <w:trHeight w:val="150"/>
            </w:trPr>
            <w:tc>
              <w:tcPr>
                <w:tcW w:w="2551" w:type="dxa"/>
                <w:shd w:val="clear" w:color="auto" w:fill="auto"/>
              </w:tcPr>
              <w:p w14:paraId="7897D761" w14:textId="77777777" w:rsidR="00C226F0" w:rsidRPr="00020E73" w:rsidRDefault="00C226F0"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42E95FA" w14:textId="77777777" w:rsidR="00C226F0" w:rsidRPr="00020E73" w:rsidRDefault="00C226F0" w:rsidP="00E84FD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15823/INFOEM/IP/RR/2022</w:t>
                </w:r>
              </w:p>
            </w:tc>
          </w:tr>
          <w:tr w:rsidR="00C226F0" w14:paraId="12CEB209" w14:textId="77777777" w:rsidTr="003B74F5">
            <w:trPr>
              <w:trHeight w:val="295"/>
            </w:trPr>
            <w:tc>
              <w:tcPr>
                <w:tcW w:w="2551" w:type="dxa"/>
                <w:shd w:val="clear" w:color="auto" w:fill="auto"/>
              </w:tcPr>
              <w:p w14:paraId="401A0184" w14:textId="77777777" w:rsidR="00C226F0" w:rsidRPr="00020E73" w:rsidRDefault="00C226F0"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40B8F653" w14:textId="77777777" w:rsidR="00C226F0" w:rsidRPr="00FC56D4" w:rsidRDefault="00C226F0" w:rsidP="00E84FDD">
                <w:pPr>
                  <w:tabs>
                    <w:tab w:val="left" w:pos="2834"/>
                    <w:tab w:val="right" w:pos="8838"/>
                  </w:tabs>
                  <w:ind w:left="-108" w:right="-102"/>
                  <w:jc w:val="both"/>
                  <w:rPr>
                    <w:rFonts w:ascii="Palatino Linotype" w:eastAsia="Calibri" w:hAnsi="Palatino Linotype" w:cs="Tahoma"/>
                    <w:sz w:val="22"/>
                    <w:szCs w:val="22"/>
                    <w:lang w:val="es-ES" w:eastAsia="en-US"/>
                  </w:rPr>
                </w:pPr>
                <w:r w:rsidRPr="00FC56D4">
                  <w:rPr>
                    <w:rFonts w:ascii="Palatino Linotype" w:eastAsia="Calibri" w:hAnsi="Palatino Linotype" w:cs="Tahoma"/>
                    <w:bCs/>
                    <w:sz w:val="22"/>
                    <w:szCs w:val="22"/>
                    <w:lang w:eastAsia="en-US"/>
                  </w:rPr>
                  <w:t>Ayuntamiento de Huixquilucan</w:t>
                </w:r>
              </w:p>
            </w:tc>
          </w:tr>
          <w:tr w:rsidR="00C226F0" w14:paraId="67936282" w14:textId="77777777" w:rsidTr="003B74F5">
            <w:trPr>
              <w:trHeight w:val="295"/>
            </w:trPr>
            <w:tc>
              <w:tcPr>
                <w:tcW w:w="2551" w:type="dxa"/>
                <w:shd w:val="clear" w:color="auto" w:fill="auto"/>
              </w:tcPr>
              <w:p w14:paraId="1E90BB9E" w14:textId="77777777" w:rsidR="00C226F0" w:rsidRPr="00020E73" w:rsidRDefault="00C226F0" w:rsidP="00E84FD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317A66A7" w14:textId="77777777" w:rsidR="00C226F0" w:rsidRPr="00020E73" w:rsidRDefault="00C226F0" w:rsidP="00E84FD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FC0EEBB" w14:textId="77777777" w:rsidR="00C226F0" w:rsidRPr="00020E73" w:rsidRDefault="00C226F0" w:rsidP="00E84FDD">
                <w:pPr>
                  <w:tabs>
                    <w:tab w:val="right" w:pos="8838"/>
                  </w:tabs>
                  <w:ind w:left="-108" w:right="171"/>
                  <w:jc w:val="both"/>
                  <w:rPr>
                    <w:rFonts w:ascii="Palatino Linotype" w:eastAsia="Calibri" w:hAnsi="Palatino Linotype" w:cs="Tahoma"/>
                    <w:b/>
                    <w:sz w:val="22"/>
                    <w:szCs w:val="22"/>
                    <w:lang w:val="es-ES" w:eastAsia="en-US"/>
                  </w:rPr>
                </w:pPr>
              </w:p>
            </w:tc>
          </w:tr>
        </w:tbl>
        <w:p w14:paraId="1C37089E" w14:textId="77777777" w:rsidR="00C226F0" w:rsidRPr="005C106F" w:rsidRDefault="00C226F0" w:rsidP="00E84FDD">
          <w:pPr>
            <w:tabs>
              <w:tab w:val="right" w:pos="8838"/>
            </w:tabs>
            <w:ind w:left="-28"/>
            <w:jc w:val="both"/>
            <w:rPr>
              <w:rFonts w:ascii="Arial" w:eastAsia="Calibri" w:hAnsi="Arial" w:cs="Arial"/>
              <w:b/>
              <w:sz w:val="22"/>
              <w:szCs w:val="22"/>
              <w:lang w:eastAsia="en-US"/>
            </w:rPr>
          </w:pPr>
        </w:p>
      </w:tc>
    </w:tr>
  </w:tbl>
  <w:p w14:paraId="21EFDAF1" w14:textId="77777777" w:rsidR="00C226F0" w:rsidRPr="00443C6B" w:rsidRDefault="008D34D9" w:rsidP="00E84FDD">
    <w:pPr>
      <w:pStyle w:val="Encabezado"/>
      <w:rPr>
        <w:sz w:val="14"/>
      </w:rPr>
    </w:pPr>
    <w:r>
      <w:rPr>
        <w:noProof/>
        <w:sz w:val="14"/>
      </w:rPr>
      <w:pict w14:anchorId="307CF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C226F0" w:rsidRPr="00330DA7" w14:paraId="54C56515" w14:textId="77777777" w:rsidTr="00E84FDD">
      <w:trPr>
        <w:trHeight w:val="1435"/>
      </w:trPr>
      <w:tc>
        <w:tcPr>
          <w:tcW w:w="2268" w:type="dxa"/>
          <w:shd w:val="clear" w:color="auto" w:fill="auto"/>
        </w:tcPr>
        <w:p w14:paraId="5B995F94" w14:textId="77777777" w:rsidR="00C226F0" w:rsidRPr="00330DA7" w:rsidRDefault="00C226F0" w:rsidP="00E84FD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885" w:type="dxa"/>
            <w:tblLayout w:type="fixed"/>
            <w:tblLook w:val="0420" w:firstRow="1" w:lastRow="0" w:firstColumn="0" w:lastColumn="0" w:noHBand="0" w:noVBand="1"/>
          </w:tblPr>
          <w:tblGrid>
            <w:gridCol w:w="2444"/>
            <w:gridCol w:w="4218"/>
          </w:tblGrid>
          <w:tr w:rsidR="00C226F0" w:rsidRPr="00330DA7" w14:paraId="64960AE7" w14:textId="77777777" w:rsidTr="003B74F5">
            <w:trPr>
              <w:trHeight w:val="144"/>
            </w:trPr>
            <w:tc>
              <w:tcPr>
                <w:tcW w:w="2444" w:type="dxa"/>
                <w:shd w:val="clear" w:color="auto" w:fill="auto"/>
              </w:tcPr>
              <w:p w14:paraId="25F48F2D" w14:textId="77777777" w:rsidR="00C226F0" w:rsidRPr="00020E73" w:rsidRDefault="00C226F0" w:rsidP="003B74F5">
                <w:pPr>
                  <w:tabs>
                    <w:tab w:val="right" w:pos="8838"/>
                  </w:tabs>
                  <w:ind w:left="-108" w:right="-105" w:firstLine="19"/>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32258618" w14:textId="77777777" w:rsidR="00C226F0" w:rsidRPr="00020E73" w:rsidRDefault="00C226F0" w:rsidP="00E84FDD">
                <w:pPr>
                  <w:tabs>
                    <w:tab w:val="right" w:pos="8838"/>
                  </w:tabs>
                  <w:ind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15823/INFOEM/IP/RR/2022</w:t>
                </w:r>
                <w:r>
                  <w:rPr>
                    <w:rFonts w:ascii="Palatino Linotype" w:eastAsia="Calibri" w:hAnsi="Palatino Linotype" w:cs="Tahoma"/>
                    <w:b/>
                    <w:bCs/>
                    <w:sz w:val="22"/>
                    <w:szCs w:val="22"/>
                    <w:lang w:eastAsia="en-US"/>
                  </w:rPr>
                  <w:t xml:space="preserve"> </w:t>
                </w:r>
              </w:p>
            </w:tc>
          </w:tr>
          <w:tr w:rsidR="00C226F0" w:rsidRPr="00330DA7" w14:paraId="67420BCB" w14:textId="77777777" w:rsidTr="003B74F5">
            <w:trPr>
              <w:trHeight w:val="144"/>
            </w:trPr>
            <w:tc>
              <w:tcPr>
                <w:tcW w:w="2444" w:type="dxa"/>
                <w:shd w:val="clear" w:color="auto" w:fill="auto"/>
              </w:tcPr>
              <w:p w14:paraId="6B2D24FE" w14:textId="77777777" w:rsidR="00C226F0" w:rsidRPr="00020E73" w:rsidRDefault="00C226F0"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DF125C0" w14:textId="77777777" w:rsidR="00C226F0" w:rsidRPr="004B6A5B" w:rsidRDefault="00C226F0" w:rsidP="00FC56D4">
                <w:pPr>
                  <w:tabs>
                    <w:tab w:val="left" w:pos="3122"/>
                    <w:tab w:val="right" w:pos="8838"/>
                  </w:tabs>
                  <w:ind w:left="-74" w:right="-105"/>
                  <w:jc w:val="both"/>
                  <w:rPr>
                    <w:rFonts w:ascii="Palatino Linotype" w:eastAsia="Calibri" w:hAnsi="Palatino Linotype" w:cs="Tahoma"/>
                    <w:sz w:val="22"/>
                    <w:szCs w:val="22"/>
                    <w:lang w:val="es-ES" w:eastAsia="en-US"/>
                  </w:rPr>
                </w:pPr>
                <w:r w:rsidRPr="004B6A5B">
                  <w:rPr>
                    <w:rFonts w:ascii="Palatino Linotype" w:eastAsia="Calibri" w:hAnsi="Palatino Linotype" w:cs="Tahoma"/>
                    <w:sz w:val="22"/>
                    <w:szCs w:val="22"/>
                    <w:lang w:val="es-ES" w:eastAsia="en-US"/>
                  </w:rPr>
                  <w:t xml:space="preserve"> </w:t>
                </w:r>
              </w:p>
            </w:tc>
          </w:tr>
          <w:tr w:rsidR="00C226F0" w:rsidRPr="00330DA7" w14:paraId="64CE79A5" w14:textId="77777777" w:rsidTr="003B74F5">
            <w:trPr>
              <w:trHeight w:val="283"/>
            </w:trPr>
            <w:tc>
              <w:tcPr>
                <w:tcW w:w="2444" w:type="dxa"/>
                <w:shd w:val="clear" w:color="auto" w:fill="auto"/>
              </w:tcPr>
              <w:p w14:paraId="6BCB4ACD" w14:textId="77777777" w:rsidR="00C226F0" w:rsidRPr="00020E73" w:rsidRDefault="00C226F0"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101956D" w14:textId="77777777" w:rsidR="00C226F0" w:rsidRPr="00FC56D4" w:rsidRDefault="00C226F0" w:rsidP="00E84FDD">
                <w:pPr>
                  <w:tabs>
                    <w:tab w:val="left" w:pos="2834"/>
                    <w:tab w:val="right" w:pos="8838"/>
                  </w:tabs>
                  <w:ind w:left="-74" w:right="-105"/>
                  <w:jc w:val="both"/>
                  <w:rPr>
                    <w:rFonts w:ascii="Palatino Linotype" w:eastAsia="Calibri" w:hAnsi="Palatino Linotype" w:cs="Tahoma"/>
                    <w:sz w:val="22"/>
                    <w:szCs w:val="22"/>
                    <w:lang w:val="es-ES" w:eastAsia="en-US"/>
                  </w:rPr>
                </w:pPr>
                <w:r w:rsidRPr="00FC56D4">
                  <w:rPr>
                    <w:rFonts w:ascii="Palatino Linotype" w:eastAsia="Calibri" w:hAnsi="Palatino Linotype" w:cs="Tahoma"/>
                    <w:bCs/>
                    <w:sz w:val="22"/>
                    <w:szCs w:val="22"/>
                    <w:lang w:eastAsia="en-US"/>
                  </w:rPr>
                  <w:t>Ayuntamiento de Huixquilucan</w:t>
                </w:r>
              </w:p>
            </w:tc>
          </w:tr>
          <w:tr w:rsidR="00C226F0" w:rsidRPr="00330DA7" w14:paraId="75FC0F5C" w14:textId="77777777" w:rsidTr="003B74F5">
            <w:trPr>
              <w:trHeight w:val="283"/>
            </w:trPr>
            <w:tc>
              <w:tcPr>
                <w:tcW w:w="2444" w:type="dxa"/>
                <w:shd w:val="clear" w:color="auto" w:fill="auto"/>
              </w:tcPr>
              <w:p w14:paraId="601DA34E" w14:textId="77777777" w:rsidR="00C226F0" w:rsidRPr="00020E73" w:rsidRDefault="00C226F0" w:rsidP="00E84FD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6C0EC48B" w14:textId="77777777" w:rsidR="00C226F0" w:rsidRPr="00020E73" w:rsidRDefault="00C226F0" w:rsidP="00E84FD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D970734" w14:textId="77777777" w:rsidR="00C226F0" w:rsidRPr="00020E73" w:rsidRDefault="00C226F0" w:rsidP="00E84FDD">
                <w:pPr>
                  <w:tabs>
                    <w:tab w:val="right" w:pos="8838"/>
                  </w:tabs>
                  <w:ind w:left="-74" w:right="-105"/>
                  <w:jc w:val="both"/>
                  <w:rPr>
                    <w:rFonts w:ascii="Palatino Linotype" w:eastAsia="Calibri" w:hAnsi="Palatino Linotype" w:cs="Tahoma"/>
                    <w:b/>
                    <w:sz w:val="22"/>
                    <w:szCs w:val="22"/>
                    <w:lang w:val="es-ES" w:eastAsia="en-US"/>
                  </w:rPr>
                </w:pPr>
              </w:p>
            </w:tc>
          </w:tr>
        </w:tbl>
        <w:p w14:paraId="61E62279" w14:textId="77777777" w:rsidR="00C226F0" w:rsidRPr="00330DA7" w:rsidRDefault="00C226F0" w:rsidP="00E84FDD">
          <w:pPr>
            <w:tabs>
              <w:tab w:val="right" w:pos="8838"/>
            </w:tabs>
            <w:ind w:left="-28"/>
            <w:jc w:val="both"/>
            <w:rPr>
              <w:rFonts w:ascii="Arial" w:eastAsia="Calibri" w:hAnsi="Arial" w:cs="Arial"/>
              <w:b/>
              <w:sz w:val="22"/>
              <w:szCs w:val="22"/>
              <w:lang w:eastAsia="en-US"/>
            </w:rPr>
          </w:pPr>
        </w:p>
      </w:tc>
    </w:tr>
  </w:tbl>
  <w:p w14:paraId="33C3AA66" w14:textId="77777777" w:rsidR="00C226F0" w:rsidRPr="00827FA0" w:rsidRDefault="008D34D9" w:rsidP="00E84FDD">
    <w:pPr>
      <w:pStyle w:val="Encabezado"/>
      <w:rPr>
        <w:sz w:val="2"/>
        <w:szCs w:val="22"/>
      </w:rPr>
    </w:pPr>
    <w:r>
      <w:rPr>
        <w:noProof/>
        <w:sz w:val="2"/>
        <w:szCs w:val="22"/>
      </w:rPr>
      <w:pict w14:anchorId="45555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F51"/>
    <w:multiLevelType w:val="hybridMultilevel"/>
    <w:tmpl w:val="FE72E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61314"/>
    <w:multiLevelType w:val="hybridMultilevel"/>
    <w:tmpl w:val="DAC65CF0"/>
    <w:lvl w:ilvl="0" w:tplc="0C0A0001">
      <w:start w:val="1"/>
      <w:numFmt w:val="bullet"/>
      <w:lvlText w:val=""/>
      <w:lvlJc w:val="left"/>
      <w:pPr>
        <w:ind w:left="1571" w:hanging="360"/>
      </w:pPr>
      <w:rPr>
        <w:rFonts w:ascii="Symbol" w:hAnsi="Symbol" w:hint="default"/>
      </w:rPr>
    </w:lvl>
    <w:lvl w:ilvl="1" w:tplc="B7443454">
      <w:numFmt w:val="bullet"/>
      <w:lvlText w:val="-"/>
      <w:lvlJc w:val="left"/>
      <w:pPr>
        <w:ind w:left="2291" w:hanging="360"/>
      </w:pPr>
      <w:rPr>
        <w:rFonts w:ascii="Palatino Linotype" w:eastAsia="Times New Roman" w:hAnsi="Palatino Linotype" w:cs="Times New Roman"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16491F36"/>
    <w:multiLevelType w:val="hybridMultilevel"/>
    <w:tmpl w:val="0DE8FB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A11463F"/>
    <w:multiLevelType w:val="hybridMultilevel"/>
    <w:tmpl w:val="6A98A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48288B"/>
    <w:multiLevelType w:val="hybridMultilevel"/>
    <w:tmpl w:val="3B1CE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54101F"/>
    <w:multiLevelType w:val="hybridMultilevel"/>
    <w:tmpl w:val="42D697C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000543552">
    <w:abstractNumId w:val="6"/>
  </w:num>
  <w:num w:numId="2" w16cid:durableId="1707364356">
    <w:abstractNumId w:val="5"/>
  </w:num>
  <w:num w:numId="3" w16cid:durableId="4790105">
    <w:abstractNumId w:val="3"/>
  </w:num>
  <w:num w:numId="4" w16cid:durableId="193469771">
    <w:abstractNumId w:val="1"/>
  </w:num>
  <w:num w:numId="5" w16cid:durableId="1163086462">
    <w:abstractNumId w:val="7"/>
  </w:num>
  <w:num w:numId="6" w16cid:durableId="638153481">
    <w:abstractNumId w:val="0"/>
  </w:num>
  <w:num w:numId="7" w16cid:durableId="724723819">
    <w:abstractNumId w:val="4"/>
  </w:num>
  <w:num w:numId="8" w16cid:durableId="1553812940">
    <w:abstractNumId w:val="8"/>
  </w:num>
  <w:num w:numId="9" w16cid:durableId="59953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B1"/>
    <w:rsid w:val="00007A3C"/>
    <w:rsid w:val="00093FD0"/>
    <w:rsid w:val="001347EA"/>
    <w:rsid w:val="00202965"/>
    <w:rsid w:val="00214EBE"/>
    <w:rsid w:val="00274BB2"/>
    <w:rsid w:val="00281185"/>
    <w:rsid w:val="00301094"/>
    <w:rsid w:val="00343E7C"/>
    <w:rsid w:val="00350B66"/>
    <w:rsid w:val="00373D82"/>
    <w:rsid w:val="003A562E"/>
    <w:rsid w:val="003B74F5"/>
    <w:rsid w:val="004B6A5B"/>
    <w:rsid w:val="004D48DC"/>
    <w:rsid w:val="00510289"/>
    <w:rsid w:val="005438B3"/>
    <w:rsid w:val="005936CD"/>
    <w:rsid w:val="005A2493"/>
    <w:rsid w:val="005C5682"/>
    <w:rsid w:val="006005B8"/>
    <w:rsid w:val="00673D55"/>
    <w:rsid w:val="007541A6"/>
    <w:rsid w:val="00756D5C"/>
    <w:rsid w:val="00764228"/>
    <w:rsid w:val="0076643E"/>
    <w:rsid w:val="00774FAA"/>
    <w:rsid w:val="007C569B"/>
    <w:rsid w:val="007E074C"/>
    <w:rsid w:val="008D34D9"/>
    <w:rsid w:val="00997018"/>
    <w:rsid w:val="009970EA"/>
    <w:rsid w:val="009D4B44"/>
    <w:rsid w:val="00A67E1C"/>
    <w:rsid w:val="00A85B96"/>
    <w:rsid w:val="00AC7B37"/>
    <w:rsid w:val="00B01DBD"/>
    <w:rsid w:val="00B057B1"/>
    <w:rsid w:val="00C226F0"/>
    <w:rsid w:val="00C27187"/>
    <w:rsid w:val="00CC2B50"/>
    <w:rsid w:val="00D2475A"/>
    <w:rsid w:val="00D346CE"/>
    <w:rsid w:val="00D96D8A"/>
    <w:rsid w:val="00DD5C04"/>
    <w:rsid w:val="00E00593"/>
    <w:rsid w:val="00E06A22"/>
    <w:rsid w:val="00E84FDD"/>
    <w:rsid w:val="00EC7AD2"/>
    <w:rsid w:val="00EE49FB"/>
    <w:rsid w:val="00EE7302"/>
    <w:rsid w:val="00F01AB5"/>
    <w:rsid w:val="00F030F9"/>
    <w:rsid w:val="00F55B4E"/>
    <w:rsid w:val="00FC56D4"/>
    <w:rsid w:val="00FE3E30"/>
    <w:rsid w:val="00FE44BF"/>
    <w:rsid w:val="00FE4B6F"/>
    <w:rsid w:val="00FE5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7F310"/>
  <w15:chartTrackingRefBased/>
  <w15:docId w15:val="{FA653E3B-CEF2-45BA-A214-8249934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B1"/>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057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7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7B1"/>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B057B1"/>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057B1"/>
    <w:pPr>
      <w:tabs>
        <w:tab w:val="center" w:pos="4419"/>
        <w:tab w:val="right" w:pos="8838"/>
      </w:tabs>
    </w:pPr>
  </w:style>
  <w:style w:type="character" w:customStyle="1" w:styleId="EncabezadoCar">
    <w:name w:val="Encabezado Car"/>
    <w:basedOn w:val="Fuentedeprrafopredeter"/>
    <w:link w:val="Encabezado"/>
    <w:uiPriority w:val="99"/>
    <w:rsid w:val="00B057B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057B1"/>
    <w:pPr>
      <w:tabs>
        <w:tab w:val="center" w:pos="4419"/>
        <w:tab w:val="right" w:pos="8838"/>
      </w:tabs>
    </w:pPr>
  </w:style>
  <w:style w:type="character" w:customStyle="1" w:styleId="PiedepginaCar">
    <w:name w:val="Pie de página Car"/>
    <w:basedOn w:val="Fuentedeprrafopredeter"/>
    <w:link w:val="Piedepgina"/>
    <w:uiPriority w:val="99"/>
    <w:rsid w:val="00B057B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57B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057B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057B1"/>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57B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B057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57B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B057B1"/>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B057B1"/>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030F9"/>
    <w:pPr>
      <w:autoSpaceDE w:val="0"/>
      <w:autoSpaceDN w:val="0"/>
      <w:adjustRightInd w:val="0"/>
      <w:spacing w:after="0" w:line="240" w:lineRule="auto"/>
    </w:pPr>
    <w:rPr>
      <w:rFonts w:ascii="Arial" w:hAnsi="Arial" w:cs="Arial"/>
      <w:color w:val="000000"/>
      <w:sz w:val="24"/>
      <w:szCs w:val="24"/>
      <w:lang w:val="es-MX"/>
    </w:rPr>
  </w:style>
  <w:style w:type="paragraph" w:styleId="Sangradetextonormal">
    <w:name w:val="Body Text Indent"/>
    <w:basedOn w:val="Normal"/>
    <w:link w:val="SangradetextonormalCar"/>
    <w:unhideWhenUsed/>
    <w:rsid w:val="00774FAA"/>
    <w:pPr>
      <w:spacing w:before="120" w:after="120"/>
      <w:ind w:left="283"/>
      <w:jc w:val="center"/>
    </w:pPr>
    <w:rPr>
      <w:rFonts w:ascii="Calibri" w:eastAsia="Calibri" w:hAnsi="Calibri"/>
      <w:sz w:val="22"/>
      <w:szCs w:val="22"/>
      <w:lang w:val="x-none" w:eastAsia="en-US"/>
    </w:rPr>
  </w:style>
  <w:style w:type="character" w:customStyle="1" w:styleId="SangradetextonormalCar">
    <w:name w:val="Sangría de texto normal Car"/>
    <w:basedOn w:val="Fuentedeprrafopredeter"/>
    <w:link w:val="Sangradetextonormal"/>
    <w:rsid w:val="00774FAA"/>
    <w:rPr>
      <w:rFonts w:ascii="Calibri" w:eastAsia="Calibri" w:hAnsi="Calibri" w:cs="Times New Roman"/>
      <w:lang w:val="x-none"/>
    </w:rPr>
  </w:style>
  <w:style w:type="character" w:styleId="Hipervnculovisitado">
    <w:name w:val="FollowedHyperlink"/>
    <w:basedOn w:val="Fuentedeprrafopredeter"/>
    <w:uiPriority w:val="99"/>
    <w:semiHidden/>
    <w:unhideWhenUsed/>
    <w:rsid w:val="004D48DC"/>
    <w:rPr>
      <w:color w:val="954F72" w:themeColor="followedHyperlink"/>
      <w:u w:val="single"/>
    </w:rPr>
  </w:style>
  <w:style w:type="paragraph" w:styleId="Sinespaciado">
    <w:name w:val="No Spacing"/>
    <w:aliases w:val="Francesa,INAI"/>
    <w:link w:val="SinespaciadoCar"/>
    <w:uiPriority w:val="1"/>
    <w:qFormat/>
    <w:rsid w:val="00AC7B37"/>
    <w:pPr>
      <w:spacing w:after="0" w:line="240" w:lineRule="auto"/>
    </w:pPr>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AC7B37"/>
    <w:rPr>
      <w:rFonts w:eastAsiaTheme="minorEastAsia"/>
      <w:sz w:val="24"/>
      <w:szCs w:val="24"/>
      <w:lang w:val="es-ES_tradnl" w:eastAsia="es-ES"/>
    </w:rPr>
  </w:style>
  <w:style w:type="character" w:styleId="Referenciasutil">
    <w:name w:val="Subtle Reference"/>
    <w:basedOn w:val="Fuentedeprrafopredeter"/>
    <w:uiPriority w:val="31"/>
    <w:qFormat/>
    <w:rsid w:val="003B74F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2961">
      <w:bodyDiv w:val="1"/>
      <w:marLeft w:val="0"/>
      <w:marRight w:val="0"/>
      <w:marTop w:val="0"/>
      <w:marBottom w:val="0"/>
      <w:divBdr>
        <w:top w:val="none" w:sz="0" w:space="0" w:color="auto"/>
        <w:left w:val="none" w:sz="0" w:space="0" w:color="auto"/>
        <w:bottom w:val="none" w:sz="0" w:space="0" w:color="auto"/>
        <w:right w:val="none" w:sz="0" w:space="0" w:color="auto"/>
      </w:divBdr>
    </w:div>
    <w:div w:id="1175263045">
      <w:bodyDiv w:val="1"/>
      <w:marLeft w:val="0"/>
      <w:marRight w:val="0"/>
      <w:marTop w:val="0"/>
      <w:marBottom w:val="0"/>
      <w:divBdr>
        <w:top w:val="none" w:sz="0" w:space="0" w:color="auto"/>
        <w:left w:val="none" w:sz="0" w:space="0" w:color="auto"/>
        <w:bottom w:val="none" w:sz="0" w:space="0" w:color="auto"/>
        <w:right w:val="none" w:sz="0" w:space="0" w:color="auto"/>
      </w:divBdr>
    </w:div>
    <w:div w:id="14427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HUIXQUILUCAN/art_92_viii.web" TargetMode="External"/><Relationship Id="rId13" Type="http://schemas.openxmlformats.org/officeDocument/2006/relationships/hyperlink" Target="https://www.ipomex.org.mx/ipo3/lgt/indice/HUIXQUILUCAN/art_92_viii.we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saimex.org.mx/saimex/solicitud/downloadAttach/1603472.page" TargetMode="External"/><Relationship Id="rId12" Type="http://schemas.openxmlformats.org/officeDocument/2006/relationships/hyperlink" Target="https://saimex.org.mx/saimex/solicitud/downloadAttach/1629702.pag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629701.pa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pomex.org.mx/ipo3/lgt/indice/HUIXQUILUCAN/art_92_viii.web" TargetMode="External"/><Relationship Id="rId23" Type="http://schemas.openxmlformats.org/officeDocument/2006/relationships/fontTable" Target="fontTable.xml"/><Relationship Id="rId10" Type="http://schemas.openxmlformats.org/officeDocument/2006/relationships/hyperlink" Target="https://saimex.org.mx/saimex/solicitud/downloadAttach/1615089.pag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aimex.org.mx/saimex/solicitud/downloadAttach/1603473.page" TargetMode="External"/><Relationship Id="rId14" Type="http://schemas.openxmlformats.org/officeDocument/2006/relationships/hyperlink" Target="https://www.ipomex.org.mx/ipo3/lgt/indice/HUIXQUILUCAN/art_92_viii.web"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6900</Words>
  <Characters>37953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5</cp:revision>
  <dcterms:created xsi:type="dcterms:W3CDTF">2024-02-27T16:42:00Z</dcterms:created>
  <dcterms:modified xsi:type="dcterms:W3CDTF">2024-03-13T01:35:00Z</dcterms:modified>
</cp:coreProperties>
</file>