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29C1DB15"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282413">
        <w:rPr>
          <w:rFonts w:eastAsia="Palatino Linotype" w:cs="Palatino Linotype"/>
          <w:color w:val="000000"/>
          <w:szCs w:val="24"/>
        </w:rPr>
        <w:t>a diecisiete de enero de dos mil veinticuatro</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E8F2F29"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8D4CC6">
        <w:rPr>
          <w:rFonts w:eastAsia="Palatino Linotype" w:cs="Palatino Linotype"/>
          <w:b/>
          <w:color w:val="000000"/>
          <w:szCs w:val="24"/>
        </w:rPr>
        <w:t>0</w:t>
      </w:r>
      <w:r w:rsidR="00B120FC">
        <w:rPr>
          <w:rFonts w:eastAsia="Palatino Linotype" w:cs="Palatino Linotype"/>
          <w:b/>
          <w:color w:val="000000"/>
          <w:szCs w:val="24"/>
        </w:rPr>
        <w:t>6865</w:t>
      </w:r>
      <w:r w:rsidR="008D4CC6">
        <w:rPr>
          <w:rFonts w:eastAsia="Palatino Linotype" w:cs="Palatino Linotype"/>
          <w:b/>
          <w:color w:val="000000"/>
          <w:szCs w:val="24"/>
        </w:rPr>
        <w:t>/INFOEM/IP/RR/2023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proofErr w:type="spellStart"/>
      <w:r w:rsidR="00F02530">
        <w:rPr>
          <w:rFonts w:eastAsia="Palatino Linotype" w:cs="Palatino Linotype"/>
          <w:b/>
          <w:bCs/>
          <w:color w:val="000000"/>
          <w:szCs w:val="24"/>
        </w:rPr>
        <w:t>XXXXXXXXXXXXXXXXXXXXXXX</w:t>
      </w:r>
      <w:proofErr w:type="spellEnd"/>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70042E">
        <w:rPr>
          <w:rFonts w:eastAsia="Palatino Linotype" w:cs="Palatino Linotype"/>
          <w:b/>
          <w:color w:val="000000"/>
          <w:szCs w:val="24"/>
        </w:rPr>
        <w:t>Ayuntamiento de T</w:t>
      </w:r>
      <w:r w:rsidR="00B120FC">
        <w:rPr>
          <w:rFonts w:eastAsia="Palatino Linotype" w:cs="Palatino Linotype"/>
          <w:b/>
          <w:color w:val="000000"/>
          <w:szCs w:val="24"/>
        </w:rPr>
        <w:t>lalnepantla de Baz</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4BD61DED"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0133B6">
        <w:rPr>
          <w:rFonts w:eastAsia="Palatino Linotype" w:cs="Palatino Linotype"/>
          <w:color w:val="000000"/>
          <w:szCs w:val="24"/>
        </w:rPr>
        <w:t>veintiuno de se</w:t>
      </w:r>
      <w:r w:rsidR="00470DA2">
        <w:rPr>
          <w:rFonts w:eastAsia="Palatino Linotype" w:cs="Palatino Linotype"/>
          <w:color w:val="000000"/>
          <w:szCs w:val="24"/>
        </w:rPr>
        <w:t>ptiembre</w:t>
      </w:r>
      <w:r>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que 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6930F3" w:rsidRPr="006930F3">
        <w:rPr>
          <w:rFonts w:eastAsia="Palatino Linotype" w:cs="Palatino Linotype"/>
          <w:b/>
          <w:bCs/>
          <w:color w:val="000000"/>
          <w:szCs w:val="24"/>
        </w:rPr>
        <w:t>00959/TLALNEPA/IP/2023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58E01767" w:rsidR="00305568" w:rsidRPr="006922F5" w:rsidRDefault="00305568" w:rsidP="00305568">
      <w:pPr>
        <w:pStyle w:val="Fundamentos"/>
      </w:pPr>
      <w:r w:rsidRPr="006922F5">
        <w:t>“</w:t>
      </w:r>
      <w:r w:rsidR="00B120FC" w:rsidRPr="00B120FC">
        <w:t xml:space="preserve">Solicito la nómina, la dispersión de nómina y la conciliación de nómina </w:t>
      </w:r>
      <w:proofErr w:type="spellStart"/>
      <w:r w:rsidR="00B120FC" w:rsidRPr="00B120FC">
        <w:t>dea</w:t>
      </w:r>
      <w:proofErr w:type="spellEnd"/>
      <w:r w:rsidR="00B120FC" w:rsidRPr="00B120FC">
        <w:t xml:space="preserve"> última quincena de septiembre 2023</w:t>
      </w:r>
      <w:r w:rsidRPr="006922F5">
        <w:t>”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55899A3B" w:rsidR="00305568" w:rsidRPr="006922F5" w:rsidRDefault="00305568" w:rsidP="0030556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A97324">
        <w:rPr>
          <w:rFonts w:eastAsia="Palatino Linotype" w:cs="Palatino Linotype"/>
          <w:b/>
          <w:color w:val="000000"/>
          <w:szCs w:val="24"/>
        </w:rPr>
        <w:t xml:space="preserve">A través </w:t>
      </w:r>
      <w:r w:rsidR="00175CF6">
        <w:rPr>
          <w:rFonts w:eastAsia="Palatino Linotype" w:cs="Palatino Linotype"/>
          <w:b/>
          <w:color w:val="000000"/>
          <w:szCs w:val="24"/>
        </w:rPr>
        <w:t>del SAIMEX</w:t>
      </w:r>
    </w:p>
    <w:p w14:paraId="54E0685C" w14:textId="77777777" w:rsidR="00305568" w:rsidRDefault="00305568" w:rsidP="00305568">
      <w:pPr>
        <w:pBdr>
          <w:top w:val="nil"/>
          <w:left w:val="nil"/>
          <w:bottom w:val="nil"/>
          <w:right w:val="nil"/>
          <w:between w:val="nil"/>
        </w:pBdr>
        <w:contextualSpacing/>
        <w:rPr>
          <w:rFonts w:eastAsia="Palatino Linotype" w:cs="Palatino Linotype"/>
          <w:color w:val="000000"/>
          <w:szCs w:val="24"/>
        </w:rPr>
      </w:pPr>
    </w:p>
    <w:p w14:paraId="1AEDC68E" w14:textId="38AB0507" w:rsidR="00A970D5" w:rsidRPr="006922F5" w:rsidRDefault="00175CF6"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7A8081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206FAA">
        <w:rPr>
          <w:rFonts w:eastAsia="Palatino Linotype" w:cs="Palatino Linotype"/>
          <w:color w:val="000000"/>
          <w:szCs w:val="24"/>
        </w:rPr>
        <w:t>cinco de octubre</w:t>
      </w:r>
      <w:r w:rsidR="00F7655F">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3F6AB9F2" w14:textId="77777777" w:rsidR="00206FAA" w:rsidRDefault="00A970D5" w:rsidP="00206FAA">
      <w:pPr>
        <w:pStyle w:val="Fundamentos"/>
      </w:pPr>
      <w:r w:rsidRPr="0037112D">
        <w:t>“</w:t>
      </w:r>
      <w:r w:rsidR="00206FAA">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1919B42F" w14:textId="77777777" w:rsidR="00206FAA" w:rsidRDefault="00206FAA" w:rsidP="00206FAA">
      <w:pPr>
        <w:pStyle w:val="Fundamentos"/>
      </w:pPr>
    </w:p>
    <w:p w14:paraId="7C6C47A9" w14:textId="77777777" w:rsidR="00206FAA" w:rsidRDefault="00206FAA" w:rsidP="00206FAA">
      <w:pPr>
        <w:pStyle w:val="Fundamentos"/>
      </w:pPr>
      <w:r>
        <w:t>ATENTAMENTE</w:t>
      </w:r>
    </w:p>
    <w:p w14:paraId="3FE4A9EF" w14:textId="61061AEC" w:rsidR="00A970D5" w:rsidRPr="00404754" w:rsidRDefault="00206FAA" w:rsidP="00206FAA">
      <w:pPr>
        <w:pStyle w:val="Fundamentos"/>
        <w:rPr>
          <w:lang w:val="es-MX"/>
        </w:rPr>
      </w:pPr>
      <w:r>
        <w:t>MTRA. CLARA CAMACHO MÉNDEZ</w:t>
      </w:r>
      <w:r w:rsidR="00A970D5" w:rsidRPr="00404754">
        <w:rPr>
          <w:lang w:val="es-MX"/>
        </w:rPr>
        <w:t>”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15DBBF36"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F7655F">
        <w:rPr>
          <w:rFonts w:eastAsia="Palatino Linotype" w:cs="Palatino Linotype"/>
          <w:color w:val="000000"/>
          <w:szCs w:val="24"/>
        </w:rPr>
        <w:t>adjuntó a su respuesta el</w:t>
      </w:r>
      <w:r w:rsidR="00165CA1">
        <w:rPr>
          <w:rFonts w:eastAsia="Palatino Linotype" w:cs="Palatino Linotype"/>
          <w:color w:val="000000"/>
          <w:szCs w:val="24"/>
        </w:rPr>
        <w:t xml:space="preserve"> documento denominado</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D65BE9">
        <w:rPr>
          <w:rFonts w:eastAsia="Palatino Linotype" w:cs="Palatino Linotype"/>
          <w:b/>
          <w:bCs/>
          <w:color w:val="000000"/>
          <w:szCs w:val="24"/>
        </w:rPr>
        <w:t>DA_3353_2023_SAIMEX_959.pdf</w:t>
      </w:r>
      <w:r w:rsidR="00AA6C98">
        <w:rPr>
          <w:rFonts w:eastAsia="Palatino Linotype" w:cs="Palatino Linotype"/>
          <w:b/>
          <w:bCs/>
          <w:color w:val="000000"/>
          <w:szCs w:val="24"/>
        </w:rPr>
        <w:t>”</w:t>
      </w:r>
      <w:r w:rsidR="00311381">
        <w:rPr>
          <w:rFonts w:eastAsia="Palatino Linotype" w:cs="Palatino Linotype"/>
          <w:bCs/>
          <w:color w:val="000000"/>
          <w:szCs w:val="24"/>
        </w:rPr>
        <w:t xml:space="preserve">, cuyo </w:t>
      </w:r>
      <w:r w:rsidR="00442D9A">
        <w:rPr>
          <w:rFonts w:eastAsia="Palatino Linotype" w:cs="Palatino Linotype"/>
          <w:bCs/>
          <w:color w:val="000000"/>
          <w:szCs w:val="24"/>
        </w:rPr>
        <w:t xml:space="preserve">contenido </w:t>
      </w:r>
      <w:r w:rsidR="009B321A">
        <w:rPr>
          <w:rFonts w:eastAsia="Palatino Linotype" w:cs="Palatino Linotype"/>
          <w:color w:val="000000"/>
          <w:szCs w:val="24"/>
        </w:rPr>
        <w:t>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7C9A4758" w:rsidR="00A970D5" w:rsidRPr="006922F5" w:rsidRDefault="00175CF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68EE44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901D5D">
        <w:rPr>
          <w:rFonts w:eastAsia="Palatino Linotype" w:cs="Palatino Linotype"/>
          <w:color w:val="000000"/>
          <w:szCs w:val="24"/>
        </w:rPr>
        <w:t>cinco de octubre</w:t>
      </w:r>
      <w:r w:rsidR="00CF2732">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8D4CC6">
        <w:rPr>
          <w:rFonts w:eastAsia="Palatino Linotype" w:cs="Palatino Linotype"/>
          <w:b/>
          <w:color w:val="000000"/>
          <w:szCs w:val="24"/>
        </w:rPr>
        <w:t>0</w:t>
      </w:r>
      <w:r w:rsidR="00901D5D">
        <w:rPr>
          <w:rFonts w:eastAsia="Palatino Linotype" w:cs="Palatino Linotype"/>
          <w:b/>
          <w:color w:val="000000"/>
          <w:szCs w:val="24"/>
        </w:rPr>
        <w:t>6865</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4347FF9" w:rsidR="00A970D5" w:rsidRPr="006922F5" w:rsidRDefault="00B80EB5" w:rsidP="00B80EB5">
      <w:pPr>
        <w:pStyle w:val="Fundamentos"/>
        <w:rPr>
          <w:b/>
        </w:rPr>
      </w:pPr>
      <w:r>
        <w:rPr>
          <w:b/>
        </w:rPr>
        <w:t>“</w:t>
      </w:r>
      <w:r w:rsidR="00A62045" w:rsidRPr="00A62045">
        <w:t xml:space="preserve">No </w:t>
      </w:r>
      <w:proofErr w:type="spellStart"/>
      <w:r w:rsidR="00A62045" w:rsidRPr="00A62045">
        <w:t>envian</w:t>
      </w:r>
      <w:proofErr w:type="spellEnd"/>
      <w:r w:rsidR="00A62045" w:rsidRPr="00A62045">
        <w:t xml:space="preserve"> la </w:t>
      </w:r>
      <w:proofErr w:type="spellStart"/>
      <w:r w:rsidR="00A62045" w:rsidRPr="00A62045">
        <w:t>informacion</w:t>
      </w:r>
      <w:proofErr w:type="spellEnd"/>
      <w:r w:rsidR="00A970D5" w:rsidRPr="009279EC">
        <w:t>"</w:t>
      </w:r>
      <w:r>
        <w:t xml:space="preserve"> </w:t>
      </w:r>
      <w:r w:rsidR="00A970D5" w:rsidRPr="009279EC">
        <w:t>(Sic)</w:t>
      </w:r>
    </w:p>
    <w:p w14:paraId="3C40A441" w14:textId="77777777" w:rsidR="00A970D5" w:rsidRPr="006922F5" w:rsidRDefault="00A970D5" w:rsidP="00B80EB5">
      <w:pPr>
        <w:contextualSpacing/>
        <w:rPr>
          <w:rFonts w:eastAsia="Palatino Linotype" w:cs="Palatino Linotype"/>
          <w:iCs/>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4F28A49B" w:rsidR="00A970D5" w:rsidRPr="009279EC" w:rsidRDefault="00A970D5" w:rsidP="00B80EB5">
      <w:pPr>
        <w:pStyle w:val="Fundamentos"/>
      </w:pPr>
      <w:r w:rsidRPr="009279EC">
        <w:t>“</w:t>
      </w:r>
      <w:r w:rsidR="00A62045" w:rsidRPr="00A62045">
        <w:t xml:space="preserve">No </w:t>
      </w:r>
      <w:proofErr w:type="spellStart"/>
      <w:r w:rsidR="00A62045" w:rsidRPr="00A62045">
        <w:t>envian</w:t>
      </w:r>
      <w:proofErr w:type="spellEnd"/>
      <w:r w:rsidR="00A62045" w:rsidRPr="00A62045">
        <w:t xml:space="preserve"> la </w:t>
      </w:r>
      <w:proofErr w:type="spellStart"/>
      <w:r w:rsidR="00A62045" w:rsidRPr="00A62045">
        <w:t>informacion</w:t>
      </w:r>
      <w:proofErr w:type="spellEnd"/>
      <w:r w:rsidRPr="009279EC">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043FA06B" w:rsidR="00A970D5" w:rsidRPr="006922F5" w:rsidRDefault="00175CF6"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1F8F902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CF2732">
        <w:rPr>
          <w:rFonts w:eastAsia="Palatino Linotype" w:cs="Palatino Linotype"/>
          <w:color w:val="000000"/>
          <w:szCs w:val="24"/>
        </w:rPr>
        <w:t>d</w:t>
      </w:r>
      <w:r w:rsidR="002B773C">
        <w:rPr>
          <w:rFonts w:eastAsia="Palatino Linotype" w:cs="Palatino Linotype"/>
          <w:color w:val="000000"/>
          <w:szCs w:val="24"/>
        </w:rPr>
        <w:t>iez de octubre</w:t>
      </w:r>
      <w:r w:rsidR="00CF2732">
        <w:rPr>
          <w:rFonts w:eastAsia="Palatino Linotype" w:cs="Palatino Linotype"/>
          <w:color w:val="000000"/>
          <w:szCs w:val="24"/>
        </w:rPr>
        <w:t xml:space="preserve">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5AE7241" w:rsidR="00A970D5" w:rsidRPr="006922F5" w:rsidRDefault="00175CF6" w:rsidP="006922F5">
      <w:pPr>
        <w:pStyle w:val="Ttulo2"/>
        <w:rPr>
          <w:rFonts w:eastAsia="Palatino Linotype"/>
        </w:rPr>
      </w:pPr>
      <w:r>
        <w:rPr>
          <w:rFonts w:eastAsia="Palatino Linotype"/>
        </w:rPr>
        <w:t>QUIN</w:t>
      </w:r>
      <w:r w:rsidR="008E24B6">
        <w:rPr>
          <w:rFonts w:eastAsia="Palatino Linotype"/>
        </w:rPr>
        <w:t>TO</w:t>
      </w:r>
      <w:r w:rsidR="00A970D5" w:rsidRPr="006922F5">
        <w:rPr>
          <w:rFonts w:eastAsia="Palatino Linotype"/>
        </w:rPr>
        <w:t>. De la etapa de instrucción.</w:t>
      </w:r>
    </w:p>
    <w:p w14:paraId="134297B7" w14:textId="2463DA8B" w:rsidR="00EB47A3" w:rsidRPr="006F65AC" w:rsidRDefault="00CF2732" w:rsidP="00EB47A3">
      <w:pPr>
        <w:pBdr>
          <w:top w:val="nil"/>
          <w:left w:val="nil"/>
          <w:bottom w:val="nil"/>
          <w:right w:val="nil"/>
          <w:between w:val="nil"/>
        </w:pBdr>
        <w:contextualSpacing/>
        <w:rPr>
          <w:rFonts w:eastAsia="Palatino Linotype" w:cs="Palatino Linotype"/>
          <w:color w:val="000000"/>
          <w:szCs w:val="24"/>
        </w:rPr>
      </w:pPr>
      <w:r w:rsidRPr="00CF2732">
        <w:rPr>
          <w:rFonts w:eastAsia="Palatino Linotype" w:cs="Palatino Linotype"/>
          <w:color w:val="000000"/>
          <w:szCs w:val="24"/>
        </w:rPr>
        <w:t xml:space="preserve">Una vez abierta la etapa de instrucción, se observa que en fecha </w:t>
      </w:r>
      <w:r w:rsidR="00467ADA">
        <w:rPr>
          <w:rFonts w:eastAsia="Palatino Linotype" w:cs="Palatino Linotype"/>
          <w:color w:val="000000"/>
          <w:szCs w:val="24"/>
        </w:rPr>
        <w:t>diecisiete de octubre</w:t>
      </w:r>
      <w:r w:rsidRPr="00CF2732">
        <w:rPr>
          <w:rFonts w:eastAsia="Palatino Linotype" w:cs="Palatino Linotype"/>
          <w:color w:val="000000"/>
          <w:szCs w:val="24"/>
        </w:rPr>
        <w:t xml:space="preserve"> de dos mil veintidós, el Sujeto Obligado rindió su Informe Justificado, consistente en </w:t>
      </w:r>
      <w:r w:rsidR="009622B5">
        <w:rPr>
          <w:rFonts w:eastAsia="Palatino Linotype" w:cs="Palatino Linotype"/>
          <w:color w:val="000000"/>
          <w:szCs w:val="24"/>
        </w:rPr>
        <w:t>la</w:t>
      </w:r>
      <w:r w:rsidRPr="00CF2732">
        <w:rPr>
          <w:rFonts w:eastAsia="Palatino Linotype" w:cs="Palatino Linotype"/>
          <w:color w:val="000000"/>
          <w:szCs w:val="24"/>
        </w:rPr>
        <w:t xml:space="preserve"> </w:t>
      </w:r>
      <w:r w:rsidR="009622B5">
        <w:rPr>
          <w:rFonts w:eastAsia="Palatino Linotype" w:cs="Palatino Linotype"/>
          <w:color w:val="000000"/>
          <w:szCs w:val="24"/>
        </w:rPr>
        <w:t>carpeta</w:t>
      </w:r>
      <w:r w:rsidRPr="00CF2732">
        <w:rPr>
          <w:rFonts w:eastAsia="Palatino Linotype" w:cs="Palatino Linotype"/>
          <w:color w:val="000000"/>
          <w:szCs w:val="24"/>
        </w:rPr>
        <w:t xml:space="preserve"> denominad</w:t>
      </w:r>
      <w:r w:rsidR="009622B5">
        <w:rPr>
          <w:rFonts w:eastAsia="Palatino Linotype" w:cs="Palatino Linotype"/>
          <w:color w:val="000000"/>
          <w:szCs w:val="24"/>
        </w:rPr>
        <w:t>a</w:t>
      </w:r>
      <w:r w:rsidRPr="00CF2732">
        <w:rPr>
          <w:rFonts w:eastAsia="Palatino Linotype" w:cs="Palatino Linotype"/>
          <w:color w:val="000000"/>
          <w:szCs w:val="24"/>
        </w:rPr>
        <w:t xml:space="preserve"> </w:t>
      </w:r>
      <w:r>
        <w:rPr>
          <w:rFonts w:eastAsia="Palatino Linotype" w:cs="Palatino Linotype"/>
          <w:b/>
          <w:color w:val="000000"/>
          <w:szCs w:val="24"/>
        </w:rPr>
        <w:t>“</w:t>
      </w:r>
      <w:r w:rsidR="00467ADA">
        <w:rPr>
          <w:rFonts w:eastAsia="Palatino Linotype" w:cs="Palatino Linotype"/>
          <w:b/>
          <w:color w:val="000000"/>
          <w:szCs w:val="24"/>
        </w:rPr>
        <w:t>MANIFESTACIONES RR 6865</w:t>
      </w:r>
      <w:r w:rsidRPr="00CF2732">
        <w:rPr>
          <w:rFonts w:eastAsia="Palatino Linotype" w:cs="Palatino Linotype"/>
          <w:b/>
          <w:color w:val="000000"/>
          <w:szCs w:val="24"/>
        </w:rPr>
        <w:t>.</w:t>
      </w:r>
      <w:r w:rsidR="009622B5">
        <w:rPr>
          <w:rFonts w:eastAsia="Palatino Linotype" w:cs="Palatino Linotype"/>
          <w:b/>
          <w:color w:val="000000"/>
          <w:szCs w:val="24"/>
        </w:rPr>
        <w:t>zip</w:t>
      </w:r>
      <w:r w:rsidRPr="00CF2732">
        <w:rPr>
          <w:rFonts w:eastAsia="Palatino Linotype" w:cs="Palatino Linotype"/>
          <w:b/>
          <w:color w:val="000000"/>
          <w:szCs w:val="24"/>
        </w:rPr>
        <w:t>”</w:t>
      </w:r>
      <w:r w:rsidRPr="006E52FF">
        <w:rPr>
          <w:rFonts w:eastAsia="Palatino Linotype" w:cs="Palatino Linotype"/>
          <w:color w:val="000000"/>
          <w:szCs w:val="24"/>
        </w:rPr>
        <w:t xml:space="preserve">, </w:t>
      </w:r>
      <w:r w:rsidR="009622B5">
        <w:rPr>
          <w:rFonts w:eastAsia="Palatino Linotype" w:cs="Palatino Linotype"/>
          <w:color w:val="000000"/>
          <w:szCs w:val="24"/>
        </w:rPr>
        <w:t>la</w:t>
      </w:r>
      <w:r w:rsidRPr="00CF2732">
        <w:rPr>
          <w:rFonts w:eastAsia="Palatino Linotype" w:cs="Palatino Linotype"/>
          <w:color w:val="000000"/>
          <w:szCs w:val="24"/>
        </w:rPr>
        <w:t xml:space="preserve"> cual fue puest</w:t>
      </w:r>
      <w:r w:rsidR="009622B5">
        <w:rPr>
          <w:rFonts w:eastAsia="Palatino Linotype" w:cs="Palatino Linotype"/>
          <w:color w:val="000000"/>
          <w:szCs w:val="24"/>
        </w:rPr>
        <w:t>a</w:t>
      </w:r>
      <w:r w:rsidRPr="00CF2732">
        <w:rPr>
          <w:rFonts w:eastAsia="Palatino Linotype" w:cs="Palatino Linotype"/>
          <w:color w:val="000000"/>
          <w:szCs w:val="24"/>
        </w:rPr>
        <w:t xml:space="preserve"> a la vista del Recurrente mediante acue</w:t>
      </w:r>
      <w:r>
        <w:rPr>
          <w:rFonts w:eastAsia="Palatino Linotype" w:cs="Palatino Linotype"/>
          <w:color w:val="000000"/>
          <w:szCs w:val="24"/>
        </w:rPr>
        <w:t xml:space="preserve">rdo de fecha </w:t>
      </w:r>
      <w:r w:rsidR="005B4E04">
        <w:rPr>
          <w:rFonts w:eastAsia="Palatino Linotype" w:cs="Palatino Linotype"/>
          <w:color w:val="000000"/>
          <w:szCs w:val="24"/>
        </w:rPr>
        <w:t xml:space="preserve">veintitrés de octubre </w:t>
      </w:r>
      <w:r w:rsidRPr="00CF2732">
        <w:rPr>
          <w:rFonts w:eastAsia="Palatino Linotype" w:cs="Palatino Linotype"/>
          <w:color w:val="000000"/>
          <w:szCs w:val="24"/>
        </w:rPr>
        <w:t>del año en curso, en términos de la fracción III del artículo 185 de la Ley de Transparencia y Acceso a la Información Pública del Estado de México y Municipios, otorgando al particular un término de tres días para manifestar lo que a</w:t>
      </w:r>
      <w:r>
        <w:rPr>
          <w:rFonts w:eastAsia="Palatino Linotype" w:cs="Palatino Linotype"/>
          <w:color w:val="000000"/>
          <w:szCs w:val="24"/>
        </w:rPr>
        <w:t xml:space="preserve"> su derecho conviniera. Por su</w:t>
      </w:r>
      <w:r w:rsidRPr="00CF2732">
        <w:rPr>
          <w:rFonts w:eastAsia="Palatino Linotype" w:cs="Palatino Linotype"/>
          <w:color w:val="000000"/>
          <w:szCs w:val="24"/>
        </w:rPr>
        <w:t xml:space="preserve"> parte, se observa que el Recurrente </w:t>
      </w:r>
      <w:r w:rsidR="005B4E04">
        <w:rPr>
          <w:rFonts w:eastAsia="Palatino Linotype" w:cs="Palatino Linotype"/>
          <w:color w:val="000000"/>
          <w:szCs w:val="24"/>
        </w:rPr>
        <w:t xml:space="preserve">no </w:t>
      </w:r>
      <w:r w:rsidRPr="00CF2732">
        <w:rPr>
          <w:rFonts w:eastAsia="Palatino Linotype" w:cs="Palatino Linotype"/>
          <w:color w:val="000000"/>
          <w:szCs w:val="24"/>
        </w:rPr>
        <w:t xml:space="preserve">emitió </w:t>
      </w:r>
      <w:r>
        <w:rPr>
          <w:rFonts w:eastAsia="Palatino Linotype" w:cs="Palatino Linotype"/>
          <w:color w:val="000000"/>
          <w:szCs w:val="24"/>
        </w:rPr>
        <w:t xml:space="preserve">sus </w:t>
      </w:r>
      <w:r w:rsidRPr="00CF2732">
        <w:rPr>
          <w:rFonts w:eastAsia="Palatino Linotype" w:cs="Palatino Linotype"/>
          <w:color w:val="000000"/>
          <w:szCs w:val="24"/>
        </w:rPr>
        <w:t>manifestaciones</w:t>
      </w:r>
      <w:r w:rsidR="005B4E04">
        <w:rPr>
          <w:rFonts w:eastAsia="Palatino Linotype" w:cs="Palatino Linotype"/>
          <w:color w:val="000000"/>
          <w:szCs w:val="24"/>
        </w:rPr>
        <w:t xml:space="preserve">, vertió alegatos </w:t>
      </w:r>
      <w:r w:rsidR="003C4F09">
        <w:rPr>
          <w:rFonts w:eastAsia="Palatino Linotype" w:cs="Palatino Linotype"/>
          <w:color w:val="000000"/>
          <w:szCs w:val="24"/>
        </w:rPr>
        <w:t>ni presentó pruebas que a su derecho conviniera</w:t>
      </w:r>
      <w:r>
        <w:rPr>
          <w:rFonts w:eastAsia="Palatino Linotype" w:cs="Palatino Linotype"/>
          <w:color w:val="000000"/>
          <w:szCs w:val="24"/>
        </w:rPr>
        <w:t xml:space="preserve">. </w:t>
      </w:r>
      <w:r w:rsidR="003C4F09">
        <w:rPr>
          <w:rFonts w:eastAsia="Palatino Linotype" w:cs="Palatino Linotype"/>
          <w:color w:val="000000"/>
          <w:szCs w:val="24"/>
        </w:rPr>
        <w:t xml:space="preserve">Por lo anterior, el documento referido </w:t>
      </w:r>
      <w:r>
        <w:rPr>
          <w:rFonts w:eastAsia="Palatino Linotype" w:cs="Palatino Linotype"/>
          <w:color w:val="000000"/>
          <w:szCs w:val="24"/>
        </w:rPr>
        <w:t>será analizado en el estudio correspondiente.</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750F550" w:rsidR="00A970D5" w:rsidRPr="006922F5" w:rsidRDefault="00E27953" w:rsidP="006922F5">
      <w:pPr>
        <w:pStyle w:val="Ttulo2"/>
        <w:rPr>
          <w:rFonts w:eastAsia="Palatino Linotype"/>
        </w:rPr>
      </w:pPr>
      <w:r w:rsidRPr="006922F5">
        <w:rPr>
          <w:rFonts w:eastAsia="Palatino Linotype"/>
        </w:rPr>
        <w:lastRenderedPageBreak/>
        <w:t>S</w:t>
      </w:r>
      <w:r w:rsidR="004872D0">
        <w:rPr>
          <w:rFonts w:eastAsia="Palatino Linotype"/>
        </w:rPr>
        <w:t>EXTO</w:t>
      </w:r>
      <w:r w:rsidR="00A970D5" w:rsidRPr="006922F5">
        <w:rPr>
          <w:rFonts w:eastAsia="Palatino Linotype"/>
        </w:rPr>
        <w:t>. Del cierre de instrucción.</w:t>
      </w:r>
    </w:p>
    <w:p w14:paraId="2456F4BD" w14:textId="3E49B19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65640E">
        <w:rPr>
          <w:rFonts w:eastAsia="Palatino Linotype" w:cs="Palatino Linotype"/>
          <w:color w:val="000000"/>
          <w:szCs w:val="24"/>
        </w:rPr>
        <w:t xml:space="preserve">veintisiete de octubre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77777777"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5C1D7822" w14:textId="77777777" w:rsidR="00282413" w:rsidRPr="006922F5" w:rsidRDefault="00282413" w:rsidP="00282413">
      <w:pPr>
        <w:pStyle w:val="Ttulo2"/>
        <w:rPr>
          <w:rFonts w:eastAsia="Palatino Linotype"/>
        </w:rPr>
      </w:pPr>
      <w:r>
        <w:rPr>
          <w:rFonts w:eastAsia="Palatino Linotype"/>
        </w:rPr>
        <w:t>SÉPTIMO</w:t>
      </w:r>
      <w:r w:rsidRPr="006922F5">
        <w:rPr>
          <w:rFonts w:eastAsia="Palatino Linotype"/>
        </w:rPr>
        <w:t xml:space="preserve">. </w:t>
      </w:r>
      <w:r w:rsidRPr="006922F5">
        <w:rPr>
          <w:rFonts w:eastAsiaTheme="minorHAnsi"/>
          <w:lang w:eastAsia="en-US"/>
        </w:rPr>
        <w:t>De la ampliación del término para resolver.</w:t>
      </w:r>
    </w:p>
    <w:p w14:paraId="719690A2" w14:textId="4B9590F4"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En fecha </w:t>
      </w:r>
      <w:r>
        <w:rPr>
          <w:rFonts w:eastAsiaTheme="minorHAnsi" w:cstheme="minorBidi"/>
          <w:szCs w:val="24"/>
          <w:lang w:eastAsia="en-US"/>
        </w:rPr>
        <w:t xml:space="preserve">veintitrés de noviembre </w:t>
      </w:r>
      <w:r w:rsidRPr="00711DC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w:t>
      </w:r>
      <w:r>
        <w:rPr>
          <w:rFonts w:eastAsiaTheme="minorHAnsi" w:cstheme="minorBidi"/>
          <w:szCs w:val="24"/>
          <w:lang w:eastAsia="en-US"/>
        </w:rPr>
        <w:t>l Estado de México y Municipios.</w:t>
      </w:r>
    </w:p>
    <w:p w14:paraId="3837805A"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4443CCF2"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1A27FE"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1E7D3170"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DE5A66"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 xml:space="preserve"> </w:t>
      </w:r>
    </w:p>
    <w:p w14:paraId="443EC42F"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923B4"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0EDB880F"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FF6EDC"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604CA55E"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70F0DF"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42D5802A" w14:textId="77777777" w:rsidR="00282413" w:rsidRPr="00CD3C51" w:rsidRDefault="00282413" w:rsidP="00282413">
      <w:pPr>
        <w:pStyle w:val="Prrafodelista"/>
        <w:numPr>
          <w:ilvl w:val="0"/>
          <w:numId w:val="4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13A2AD7E" w14:textId="77777777" w:rsidR="00282413" w:rsidRPr="00CD3C51" w:rsidRDefault="00282413" w:rsidP="00282413">
      <w:pPr>
        <w:pStyle w:val="Prrafodelista"/>
        <w:numPr>
          <w:ilvl w:val="0"/>
          <w:numId w:val="4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62E67344" w14:textId="77777777" w:rsidR="00282413" w:rsidRPr="00CD3C51" w:rsidRDefault="00282413" w:rsidP="00282413">
      <w:pPr>
        <w:pStyle w:val="Prrafodelista"/>
        <w:numPr>
          <w:ilvl w:val="0"/>
          <w:numId w:val="4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Conducta de la Autoridad: Las Acciones u omisiones realizadas en el procedimiento. Así como si la autoridad actuó con la debida diligencia.</w:t>
      </w:r>
    </w:p>
    <w:p w14:paraId="3DE0F642" w14:textId="77777777" w:rsidR="00282413" w:rsidRPr="00CD3C51" w:rsidRDefault="00282413" w:rsidP="00282413">
      <w:pPr>
        <w:pStyle w:val="Prrafodelista"/>
        <w:numPr>
          <w:ilvl w:val="0"/>
          <w:numId w:val="48"/>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7A5413CC"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06886070"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E86EBF"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47ED68DB"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Argumento que encuentra sustento en la jurisprudencia P./J. 32/92 emitida por el Pleno de la Suprema Corte de </w:t>
      </w:r>
      <w:r>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79DC80BB"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1B438AB6"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092D1680"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21C4F0B0"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Pr="00711DC7">
        <w:rPr>
          <w:rFonts w:eastAsiaTheme="minorHAnsi" w:cstheme="minorBidi"/>
          <w:szCs w:val="24"/>
          <w:lang w:eastAsia="en-US"/>
        </w:rPr>
        <w:t xml:space="preserve"> consultable en el Seminario Judicial de la Federación y su gaceta, con el registro digital 2002351.</w:t>
      </w:r>
    </w:p>
    <w:p w14:paraId="1B524EA8"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3FA037C8"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Pr="00711DC7">
        <w:rPr>
          <w:rFonts w:eastAsiaTheme="minorHAnsi" w:cstheme="minorBidi"/>
          <w:szCs w:val="24"/>
          <w:lang w:eastAsia="en-US"/>
        </w:rPr>
        <w:t>, visible en el Seminario Judicial de la Federación y su gaceta, con el registro digital 2002350.</w:t>
      </w:r>
    </w:p>
    <w:p w14:paraId="0088C8B4" w14:textId="77777777" w:rsidR="00282413" w:rsidRPr="00711DC7" w:rsidRDefault="00282413" w:rsidP="00282413">
      <w:pPr>
        <w:pBdr>
          <w:top w:val="nil"/>
          <w:left w:val="nil"/>
          <w:bottom w:val="nil"/>
          <w:right w:val="nil"/>
          <w:between w:val="nil"/>
        </w:pBdr>
        <w:contextualSpacing/>
        <w:rPr>
          <w:rFonts w:eastAsiaTheme="minorHAnsi" w:cstheme="minorBidi"/>
          <w:szCs w:val="24"/>
          <w:lang w:eastAsia="en-US"/>
        </w:rPr>
      </w:pPr>
    </w:p>
    <w:p w14:paraId="1A885B17" w14:textId="77777777" w:rsidR="00282413" w:rsidRDefault="00282413" w:rsidP="00282413">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59C43680" w14:textId="77777777" w:rsidR="00282413" w:rsidRDefault="0028241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168FA299"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5640E">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65640E">
        <w:rPr>
          <w:rFonts w:eastAsia="Palatino Linotype" w:cs="Palatino Linotype"/>
          <w:color w:val="000000"/>
          <w:szCs w:val="24"/>
        </w:rPr>
        <w:t>cuarto</w:t>
      </w:r>
      <w:r w:rsidRPr="00264613">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w:t>
      </w:r>
      <w:r w:rsidRPr="00264613">
        <w:rPr>
          <w:rFonts w:eastAsia="Palatino Linotype" w:cs="Palatino Linotype"/>
          <w:color w:val="000000"/>
          <w:szCs w:val="24"/>
        </w:rPr>
        <w:lastRenderedPageBreak/>
        <w:t>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215C5E98"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se identificó</w:t>
      </w:r>
      <w:r>
        <w:rPr>
          <w:rFonts w:eastAsia="Palatino Linotype" w:cs="Palatino Linotype"/>
          <w:szCs w:val="24"/>
        </w:rPr>
        <w:t xml:space="preserve"> como </w:t>
      </w:r>
      <w:r w:rsidRPr="00EF7CEA">
        <w:rPr>
          <w:rFonts w:eastAsia="Palatino Linotype" w:cs="Palatino Linotype"/>
          <w:b/>
          <w:szCs w:val="24"/>
        </w:rPr>
        <w:t>“</w:t>
      </w:r>
      <w:proofErr w:type="spellStart"/>
      <w:r w:rsidR="00F02530">
        <w:rPr>
          <w:rFonts w:eastAsia="Palatino Linotype" w:cs="Palatino Linotype"/>
          <w:b/>
          <w:bCs/>
          <w:color w:val="000000"/>
          <w:szCs w:val="24"/>
        </w:rPr>
        <w:t>XXXXXXXXXXXXXXXXX</w:t>
      </w:r>
      <w:proofErr w:type="spellEnd"/>
      <w:r w:rsidR="00A66189">
        <w:rPr>
          <w:rFonts w:eastAsia="Palatino Linotype" w:cs="Palatino Linotype"/>
          <w:b/>
          <w:bCs/>
          <w:color w:val="000000"/>
          <w:szCs w:val="24"/>
        </w:rPr>
        <w:t xml:space="preserve"> </w:t>
      </w:r>
      <w:proofErr w:type="spellStart"/>
      <w:r w:rsidR="00F02530">
        <w:rPr>
          <w:rFonts w:eastAsia="Palatino Linotype" w:cs="Palatino Linotype"/>
          <w:b/>
          <w:bCs/>
          <w:color w:val="000000"/>
          <w:szCs w:val="24"/>
        </w:rPr>
        <w:t>XXXXXX</w:t>
      </w:r>
      <w:proofErr w:type="spellEnd"/>
      <w:r>
        <w:rPr>
          <w:rFonts w:eastAsia="Palatino Linotype" w:cs="Palatino Linotype"/>
          <w:b/>
          <w:bCs/>
          <w:color w:val="000000"/>
          <w:szCs w:val="24"/>
        </w:rPr>
        <w:t>”</w:t>
      </w:r>
      <w:r w:rsidRPr="00EF7CEA">
        <w:rPr>
          <w:rFonts w:eastAsia="Palatino Linotype" w:cs="Palatino Linotype"/>
          <w:b/>
          <w:szCs w:val="24"/>
        </w:rPr>
        <w:t>.</w:t>
      </w:r>
      <w:r w:rsidRPr="00EF7CEA">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Pr="00EF7CEA">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EF7CEA">
        <w:rPr>
          <w:rFonts w:eastAsia="Palatino Linotype" w:cs="Palatino Linotype"/>
          <w:szCs w:val="24"/>
        </w:rPr>
        <w:lastRenderedPageBreak/>
        <w:t>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r w:rsidRPr="00EF7C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EF7CEA">
        <w:rPr>
          <w:rFonts w:eastAsia="Palatino Linotype" w:cs="Palatino Linotype"/>
          <w:i/>
          <w:sz w:val="22"/>
        </w:rPr>
        <w:lastRenderedPageBreak/>
        <w:t>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En conclusión, se cubrieron los requisitos de procedencia y procedibilidad,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6922F5">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72E2311F" w:rsidR="00AC3C01" w:rsidRDefault="00AC3C01" w:rsidP="00AC3C0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DA6AF1">
        <w:rPr>
          <w:rFonts w:eastAsia="Palatino Linotype" w:cs="Palatino Linotype"/>
          <w:color w:val="000000"/>
          <w:szCs w:val="24"/>
        </w:rPr>
        <w:t>el</w:t>
      </w:r>
      <w:r w:rsidRPr="006922F5">
        <w:rPr>
          <w:rFonts w:eastAsia="Palatino Linotype" w:cs="Palatino Linotype"/>
          <w:color w:val="000000"/>
          <w:szCs w:val="24"/>
        </w:rPr>
        <w:t xml:space="preserve"> hoy Recurrente requirió</w:t>
      </w:r>
      <w:r>
        <w:rPr>
          <w:rFonts w:eastAsia="Palatino Linotype" w:cs="Palatino Linotype"/>
          <w:color w:val="000000"/>
          <w:szCs w:val="24"/>
        </w:rPr>
        <w:t xml:space="preserve"> que se le </w:t>
      </w:r>
      <w:r w:rsidR="005F622D">
        <w:rPr>
          <w:rFonts w:eastAsia="Palatino Linotype" w:cs="Palatino Linotype"/>
          <w:color w:val="000000"/>
          <w:szCs w:val="24"/>
        </w:rPr>
        <w:t xml:space="preserve">proporcionara la </w:t>
      </w:r>
      <w:r w:rsidR="00DA6AF1">
        <w:rPr>
          <w:rFonts w:eastAsia="Palatino Linotype" w:cs="Palatino Linotype"/>
          <w:color w:val="000000"/>
          <w:szCs w:val="24"/>
        </w:rPr>
        <w:t>nómina, la dispersión de nómina y la conciliación de nómina correspondiente a la última quince de septiembre de dos mil veintitrés.</w:t>
      </w:r>
      <w:r w:rsidR="005F622D">
        <w:rPr>
          <w:rFonts w:eastAsia="Palatino Linotype" w:cs="Palatino Linotype"/>
          <w:color w:val="000000"/>
          <w:szCs w:val="24"/>
        </w:rPr>
        <w:t xml:space="preserve"> </w:t>
      </w:r>
    </w:p>
    <w:p w14:paraId="0E47DF5F" w14:textId="77777777" w:rsidR="00AC3C01" w:rsidRDefault="00AC3C01" w:rsidP="00AC3C01">
      <w:pPr>
        <w:pBdr>
          <w:top w:val="nil"/>
          <w:left w:val="nil"/>
          <w:bottom w:val="nil"/>
          <w:right w:val="nil"/>
          <w:between w:val="nil"/>
        </w:pBdr>
        <w:contextualSpacing/>
        <w:rPr>
          <w:rFonts w:eastAsia="Palatino Linotype" w:cs="Palatino Linotype"/>
          <w:color w:val="000000"/>
          <w:szCs w:val="24"/>
        </w:rPr>
      </w:pPr>
    </w:p>
    <w:p w14:paraId="295E7B61" w14:textId="77777777" w:rsidR="00F93AF8" w:rsidRDefault="00A970D5" w:rsidP="00F93AF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 xml:space="preserve">mediante la entrega del </w:t>
      </w:r>
      <w:r w:rsidR="00F93AF8">
        <w:rPr>
          <w:rFonts w:eastAsia="Palatino Linotype" w:cs="Palatino Linotype"/>
          <w:color w:val="000000"/>
          <w:szCs w:val="24"/>
        </w:rPr>
        <w:t xml:space="preserve">siguiente </w:t>
      </w:r>
      <w:r w:rsidR="005F622D">
        <w:rPr>
          <w:rFonts w:eastAsia="Palatino Linotype" w:cs="Palatino Linotype"/>
          <w:color w:val="000000"/>
          <w:szCs w:val="24"/>
        </w:rPr>
        <w:t>documento</w:t>
      </w:r>
      <w:r w:rsidR="00F93AF8">
        <w:rPr>
          <w:rFonts w:eastAsia="Palatino Linotype" w:cs="Palatino Linotype"/>
          <w:color w:val="000000"/>
          <w:szCs w:val="24"/>
        </w:rPr>
        <w:t xml:space="preserve">  </w:t>
      </w:r>
    </w:p>
    <w:p w14:paraId="0298FEA3" w14:textId="77777777" w:rsidR="00F93AF8" w:rsidRDefault="00F93AF8" w:rsidP="00F93AF8">
      <w:pPr>
        <w:pBdr>
          <w:top w:val="nil"/>
          <w:left w:val="nil"/>
          <w:bottom w:val="nil"/>
          <w:right w:val="nil"/>
          <w:between w:val="nil"/>
        </w:pBdr>
        <w:contextualSpacing/>
        <w:rPr>
          <w:rFonts w:eastAsia="Palatino Linotype" w:cs="Palatino Linotype"/>
          <w:color w:val="000000"/>
          <w:szCs w:val="24"/>
        </w:rPr>
      </w:pPr>
    </w:p>
    <w:p w14:paraId="13428C02" w14:textId="20C0244C" w:rsidR="00F93AF8" w:rsidRDefault="00F93AF8" w:rsidP="00354F3F">
      <w:pPr>
        <w:pStyle w:val="Prrafodelista"/>
        <w:numPr>
          <w:ilvl w:val="0"/>
          <w:numId w:val="44"/>
        </w:numPr>
        <w:pBdr>
          <w:top w:val="nil"/>
          <w:left w:val="nil"/>
          <w:bottom w:val="nil"/>
          <w:right w:val="nil"/>
          <w:between w:val="nil"/>
        </w:pBdr>
        <w:contextualSpacing/>
      </w:pPr>
      <w:r w:rsidRPr="00354F3F">
        <w:rPr>
          <w:rFonts w:eastAsia="Palatino Linotype"/>
          <w:b/>
          <w:bCs/>
        </w:rPr>
        <w:t>DA_3353_2023_SAIMEX_959.pdf</w:t>
      </w:r>
      <w:r w:rsidRPr="00354F3F">
        <w:rPr>
          <w:b/>
          <w:bCs/>
        </w:rPr>
        <w:t>”</w:t>
      </w:r>
      <w:r>
        <w:t>. Oficio DA/3353/2023 que contiene la respuesta emitida por el Director de Capital Humano de la Dirección de Administración, median</w:t>
      </w:r>
      <w:r w:rsidR="00D90D7A">
        <w:t>t</w:t>
      </w:r>
      <w:r>
        <w:t xml:space="preserve">e el cual informó que la información requerida por el solicitante </w:t>
      </w:r>
      <w:r w:rsidR="00354F3F">
        <w:t xml:space="preserve">relativa a la dispersión de nómina y conciliación de nómina de la última quincena de septiembre de dos mil veintitrés se está actualizando para la integración del informe trimestral del ejercicio fiscal 2023 estipulados en el </w:t>
      </w:r>
      <w:r w:rsidR="00354F3F">
        <w:lastRenderedPageBreak/>
        <w:t>Acuerdo 05/2023 y que, respecto a la nómina de la última quincena de septiembre del año en curso, esa información no se había generado a la fecha de ingreso de la solicitud de información, por lo que no está en aptitud de adjuntar la información solicitada.</w:t>
      </w:r>
    </w:p>
    <w:p w14:paraId="108F1265" w14:textId="77777777" w:rsidR="00F93AF8" w:rsidRDefault="00F93AF8" w:rsidP="00F93AF8">
      <w:pPr>
        <w:pBdr>
          <w:top w:val="nil"/>
          <w:left w:val="nil"/>
          <w:bottom w:val="nil"/>
          <w:right w:val="nil"/>
          <w:between w:val="nil"/>
        </w:pBdr>
        <w:contextualSpacing/>
      </w:pPr>
    </w:p>
    <w:p w14:paraId="6128DFF4" w14:textId="6F046BC9"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915C3F">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354F3F">
        <w:rPr>
          <w:rFonts w:eastAsia="Palatino Linotype" w:cs="Palatino Linotype"/>
          <w:color w:val="000000"/>
          <w:szCs w:val="24"/>
        </w:rPr>
        <w:t xml:space="preserve">y razones o motivos de inconformidad que no se envió la información. </w:t>
      </w:r>
    </w:p>
    <w:p w14:paraId="038F5890" w14:textId="77777777" w:rsidR="006E52FF" w:rsidRDefault="006E52FF" w:rsidP="006922F5">
      <w:pPr>
        <w:pBdr>
          <w:top w:val="nil"/>
          <w:left w:val="nil"/>
          <w:bottom w:val="nil"/>
          <w:right w:val="nil"/>
          <w:between w:val="nil"/>
        </w:pBdr>
        <w:contextualSpacing/>
        <w:rPr>
          <w:rFonts w:eastAsia="Palatino Linotype" w:cs="Palatino Linotype"/>
          <w:color w:val="000000"/>
          <w:szCs w:val="24"/>
        </w:rPr>
      </w:pPr>
    </w:p>
    <w:p w14:paraId="482FCA6A" w14:textId="77777777" w:rsidR="009622B5" w:rsidRDefault="006E52FF"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instrucción, el Sujeto Obligado rindió su Informe Justificado mediante </w:t>
      </w:r>
      <w:r w:rsidR="009622B5">
        <w:rPr>
          <w:rFonts w:eastAsia="Palatino Linotype" w:cs="Palatino Linotype"/>
          <w:color w:val="000000"/>
          <w:szCs w:val="24"/>
        </w:rPr>
        <w:t>la carpeta</w:t>
      </w:r>
      <w:r>
        <w:rPr>
          <w:rFonts w:eastAsia="Palatino Linotype" w:cs="Palatino Linotype"/>
          <w:color w:val="000000"/>
          <w:szCs w:val="24"/>
        </w:rPr>
        <w:t xml:space="preserve"> denominad</w:t>
      </w:r>
      <w:r w:rsidR="009622B5">
        <w:rPr>
          <w:rFonts w:eastAsia="Palatino Linotype" w:cs="Palatino Linotype"/>
          <w:color w:val="000000"/>
          <w:szCs w:val="24"/>
        </w:rPr>
        <w:t>a</w:t>
      </w:r>
      <w:r>
        <w:rPr>
          <w:rFonts w:eastAsia="Palatino Linotype" w:cs="Palatino Linotype"/>
          <w:color w:val="000000"/>
          <w:szCs w:val="24"/>
        </w:rPr>
        <w:t xml:space="preserve"> </w:t>
      </w:r>
      <w:r>
        <w:rPr>
          <w:rFonts w:eastAsia="Palatino Linotype" w:cs="Palatino Linotype"/>
          <w:b/>
          <w:color w:val="000000"/>
          <w:szCs w:val="24"/>
        </w:rPr>
        <w:t>“</w:t>
      </w:r>
      <w:r w:rsidR="009622B5" w:rsidRPr="009622B5">
        <w:rPr>
          <w:rFonts w:eastAsia="Palatino Linotype" w:cs="Palatino Linotype"/>
          <w:b/>
          <w:color w:val="000000"/>
          <w:szCs w:val="24"/>
        </w:rPr>
        <w:t>MANIFESTACIONES RR 6865.zip</w:t>
      </w:r>
      <w:r w:rsidRPr="00CF2732">
        <w:rPr>
          <w:rFonts w:eastAsia="Palatino Linotype" w:cs="Palatino Linotype"/>
          <w:b/>
          <w:color w:val="000000"/>
          <w:szCs w:val="24"/>
        </w:rPr>
        <w:t>”</w:t>
      </w:r>
      <w:r>
        <w:rPr>
          <w:rFonts w:eastAsia="Palatino Linotype" w:cs="Palatino Linotype"/>
          <w:color w:val="000000"/>
          <w:szCs w:val="24"/>
        </w:rPr>
        <w:t xml:space="preserve">, </w:t>
      </w:r>
      <w:r w:rsidR="009622B5">
        <w:rPr>
          <w:rFonts w:eastAsia="Palatino Linotype" w:cs="Palatino Linotype"/>
          <w:color w:val="000000"/>
          <w:szCs w:val="24"/>
        </w:rPr>
        <w:t>la cual contiene los siguientes documentos:</w:t>
      </w:r>
    </w:p>
    <w:p w14:paraId="623163FD" w14:textId="77777777" w:rsidR="009622B5" w:rsidRDefault="009622B5" w:rsidP="006922F5">
      <w:pPr>
        <w:pBdr>
          <w:top w:val="nil"/>
          <w:left w:val="nil"/>
          <w:bottom w:val="nil"/>
          <w:right w:val="nil"/>
          <w:between w:val="nil"/>
        </w:pBdr>
        <w:contextualSpacing/>
        <w:rPr>
          <w:rFonts w:eastAsia="Palatino Linotype" w:cs="Palatino Linotype"/>
          <w:color w:val="000000"/>
          <w:szCs w:val="24"/>
        </w:rPr>
      </w:pPr>
    </w:p>
    <w:p w14:paraId="6A45D4C7" w14:textId="5FC0476B" w:rsidR="009622B5" w:rsidRPr="00D43ED9" w:rsidRDefault="009622B5" w:rsidP="00D43ED9">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D43ED9">
        <w:rPr>
          <w:rFonts w:eastAsia="Palatino Linotype" w:cs="Palatino Linotype"/>
          <w:b/>
          <w:bCs/>
          <w:color w:val="000000"/>
        </w:rPr>
        <w:t>UTAIM_2864_2023 MANIFESTACIONES RR 6865.pdf</w:t>
      </w:r>
      <w:r w:rsidRPr="00D43ED9">
        <w:rPr>
          <w:rFonts w:eastAsia="Palatino Linotype" w:cs="Palatino Linotype"/>
          <w:color w:val="000000"/>
        </w:rPr>
        <w:t>. Oficio UTAIM/2864/2023, emitido por la Titular de la Unidad de Transparencia y Acceso a la Información Pública Municipal, mediante el cual se ratificó la respuesta proporcionada.</w:t>
      </w:r>
    </w:p>
    <w:p w14:paraId="459F9FCF" w14:textId="0CE3917E" w:rsidR="009622B5" w:rsidRPr="00D43ED9" w:rsidRDefault="009622B5" w:rsidP="00D43ED9">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D43ED9">
        <w:rPr>
          <w:rFonts w:eastAsia="Palatino Linotype" w:cs="Palatino Linotype"/>
          <w:b/>
          <w:bCs/>
          <w:color w:val="000000"/>
        </w:rPr>
        <w:t>DA_3557_2023 RR 6865.pdf</w:t>
      </w:r>
      <w:r w:rsidRPr="00D43ED9">
        <w:rPr>
          <w:rFonts w:eastAsia="Palatino Linotype" w:cs="Palatino Linotype"/>
          <w:color w:val="000000"/>
        </w:rPr>
        <w:t>. Oficio DA/3557/2023</w:t>
      </w:r>
      <w:r w:rsidR="004006B1" w:rsidRPr="00D43ED9">
        <w:rPr>
          <w:rFonts w:eastAsia="Palatino Linotype" w:cs="Palatino Linotype"/>
          <w:color w:val="000000"/>
        </w:rPr>
        <w:t xml:space="preserve"> suscrito por el Director de Administración, por medio del cual se ratificó la respuesta y se adjuntó el oficio DA/SCH/2213/2023 del Subdirector de Capital Humano, el cual también reiteró la respuesta proporcionada.</w:t>
      </w:r>
    </w:p>
    <w:p w14:paraId="3EE3C1C3" w14:textId="0BACFC9E" w:rsidR="009622B5" w:rsidRPr="00D43ED9" w:rsidRDefault="009622B5" w:rsidP="00D43ED9">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D43ED9">
        <w:rPr>
          <w:rFonts w:eastAsia="Palatino Linotype" w:cs="Palatino Linotype"/>
          <w:b/>
          <w:bCs/>
          <w:color w:val="000000"/>
        </w:rPr>
        <w:t>DA_3353_2023.pdf</w:t>
      </w:r>
      <w:r w:rsidRPr="00D43ED9">
        <w:rPr>
          <w:rFonts w:eastAsia="Palatino Linotype" w:cs="Palatino Linotype"/>
          <w:color w:val="000000"/>
        </w:rPr>
        <w:t>.</w:t>
      </w:r>
      <w:r w:rsidR="004006B1" w:rsidRPr="00D43ED9">
        <w:rPr>
          <w:rFonts w:eastAsia="Palatino Linotype" w:cs="Palatino Linotype"/>
          <w:color w:val="000000"/>
        </w:rPr>
        <w:t xml:space="preserve"> Documento remitido en respuesta.</w:t>
      </w:r>
    </w:p>
    <w:p w14:paraId="2CD42483" w14:textId="5DEB52AE" w:rsidR="009622B5" w:rsidRPr="00D43ED9" w:rsidRDefault="009622B5" w:rsidP="00D43ED9">
      <w:pPr>
        <w:pStyle w:val="Prrafodelista"/>
        <w:numPr>
          <w:ilvl w:val="0"/>
          <w:numId w:val="46"/>
        </w:numPr>
        <w:pBdr>
          <w:top w:val="nil"/>
          <w:left w:val="nil"/>
          <w:bottom w:val="nil"/>
          <w:right w:val="nil"/>
          <w:between w:val="nil"/>
        </w:pBdr>
        <w:contextualSpacing/>
        <w:rPr>
          <w:rFonts w:eastAsia="Palatino Linotype" w:cs="Palatino Linotype"/>
          <w:color w:val="000000"/>
        </w:rPr>
      </w:pPr>
      <w:proofErr w:type="spellStart"/>
      <w:r w:rsidRPr="00D43ED9">
        <w:rPr>
          <w:rFonts w:eastAsia="Palatino Linotype" w:cs="Palatino Linotype"/>
          <w:b/>
          <w:bCs/>
          <w:color w:val="000000"/>
        </w:rPr>
        <w:lastRenderedPageBreak/>
        <w:t>01_LinInfTrim2023</w:t>
      </w:r>
      <w:proofErr w:type="spellEnd"/>
      <w:r w:rsidRPr="00D43ED9">
        <w:rPr>
          <w:rFonts w:eastAsia="Palatino Linotype" w:cs="Palatino Linotype"/>
          <w:b/>
          <w:bCs/>
          <w:color w:val="000000"/>
        </w:rPr>
        <w:t xml:space="preserve"> </w:t>
      </w:r>
      <w:proofErr w:type="spellStart"/>
      <w:r w:rsidRPr="00D43ED9">
        <w:rPr>
          <w:rFonts w:eastAsia="Palatino Linotype" w:cs="Palatino Linotype"/>
          <w:b/>
          <w:bCs/>
          <w:color w:val="000000"/>
        </w:rPr>
        <w:t>pag</w:t>
      </w:r>
      <w:proofErr w:type="spellEnd"/>
      <w:r w:rsidRPr="00D43ED9">
        <w:rPr>
          <w:rFonts w:eastAsia="Palatino Linotype" w:cs="Palatino Linotype"/>
          <w:b/>
          <w:bCs/>
          <w:color w:val="000000"/>
        </w:rPr>
        <w:t xml:space="preserve"> 35.pdf</w:t>
      </w:r>
      <w:r w:rsidRPr="00D43ED9">
        <w:rPr>
          <w:rFonts w:eastAsia="Palatino Linotype" w:cs="Palatino Linotype"/>
          <w:color w:val="000000"/>
        </w:rPr>
        <w:t>.</w:t>
      </w:r>
      <w:r w:rsidR="003C6D2C" w:rsidRPr="00D43ED9">
        <w:rPr>
          <w:rFonts w:eastAsia="Palatino Linotype" w:cs="Palatino Linotype"/>
          <w:color w:val="000000"/>
        </w:rPr>
        <w:t xml:space="preserve"> Acuerdo 05/2023 por el que se emiten los lineamientos, fechas de capacitación y calendarización para la integración, envío y entrega de los informes trimestrales del ejercicio fiscal 2023, de las entidades fiscalizables del Estado de </w:t>
      </w:r>
      <w:r w:rsidR="00D43ED9" w:rsidRPr="00D43ED9">
        <w:rPr>
          <w:rFonts w:eastAsia="Palatino Linotype" w:cs="Palatino Linotype"/>
          <w:color w:val="000000"/>
        </w:rPr>
        <w:t>México</w:t>
      </w:r>
      <w:r w:rsidR="003C6D2C" w:rsidRPr="00D43ED9">
        <w:rPr>
          <w:rFonts w:eastAsia="Palatino Linotype" w:cs="Palatino Linotype"/>
          <w:color w:val="000000"/>
        </w:rPr>
        <w:t>.</w:t>
      </w:r>
    </w:p>
    <w:p w14:paraId="35695B46" w14:textId="77777777" w:rsidR="00C006C6" w:rsidRPr="009622B5" w:rsidRDefault="00C006C6" w:rsidP="006922F5">
      <w:pPr>
        <w:pBdr>
          <w:top w:val="nil"/>
          <w:left w:val="nil"/>
          <w:bottom w:val="nil"/>
          <w:right w:val="nil"/>
          <w:between w:val="nil"/>
        </w:pBdr>
        <w:contextualSpacing/>
        <w:rPr>
          <w:b/>
          <w:bCs/>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lastRenderedPageBreak/>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416F8EC" w14:textId="77777777" w:rsidR="003C6D2C" w:rsidRDefault="00A970D5" w:rsidP="00A837D0">
      <w:pPr>
        <w:contextualSpacing/>
        <w:rPr>
          <w:rFonts w:eastAsia="Palatino Linotype" w:cs="Palatino Linotype"/>
          <w:szCs w:val="24"/>
        </w:rPr>
      </w:pPr>
      <w:r w:rsidRPr="006922F5">
        <w:rPr>
          <w:rFonts w:eastAsia="Palatino Linotype" w:cs="Palatino Linotype"/>
          <w:szCs w:val="24"/>
        </w:rPr>
        <w:t xml:space="preserve">En segundo término, </w:t>
      </w:r>
      <w:r w:rsidR="006364F4">
        <w:rPr>
          <w:rFonts w:eastAsia="Palatino Linotype" w:cs="Palatino Linotype"/>
          <w:szCs w:val="24"/>
        </w:rPr>
        <w:t xml:space="preserve">se advierte que </w:t>
      </w:r>
      <w:r w:rsidR="00A837D0">
        <w:rPr>
          <w:rFonts w:eastAsia="Palatino Linotype" w:cs="Palatino Linotype"/>
          <w:szCs w:val="24"/>
        </w:rPr>
        <w:t xml:space="preserve">el Recurrente solicitó que se le hiciera entrega de la </w:t>
      </w:r>
      <w:r w:rsidR="003C6D2C">
        <w:rPr>
          <w:rFonts w:eastAsia="Palatino Linotype" w:cs="Palatino Linotype"/>
          <w:szCs w:val="24"/>
        </w:rPr>
        <w:t>nómina, conciliación de nómina y dispersión de nómina de la última quincena de septiembre de dos mil veintitrés.</w:t>
      </w:r>
    </w:p>
    <w:p w14:paraId="3E148CB6" w14:textId="77777777" w:rsidR="003C6D2C" w:rsidRDefault="003C6D2C" w:rsidP="00A837D0">
      <w:pPr>
        <w:contextualSpacing/>
        <w:rPr>
          <w:rFonts w:eastAsia="Palatino Linotype" w:cs="Palatino Linotype"/>
          <w:szCs w:val="24"/>
        </w:rPr>
      </w:pPr>
    </w:p>
    <w:p w14:paraId="49500986" w14:textId="04EEDDF6" w:rsidR="003C6D2C" w:rsidRDefault="003C6D2C" w:rsidP="00A837D0">
      <w:pPr>
        <w:contextualSpacing/>
        <w:rPr>
          <w:rFonts w:eastAsia="Palatino Linotype" w:cs="Palatino Linotype"/>
          <w:szCs w:val="24"/>
        </w:rPr>
      </w:pPr>
      <w:r>
        <w:rPr>
          <w:rFonts w:eastAsia="Palatino Linotype" w:cs="Palatino Linotype"/>
          <w:szCs w:val="24"/>
        </w:rPr>
        <w:lastRenderedPageBreak/>
        <w:t>En este punto, se considera importante interpretar la temporalidad requerida por el solicitante, ya al señalar expresamente que requiere la última quincena de septiembre se debe entender que lo que se solicitó fue la información correspondiente a la segunda quincena</w:t>
      </w:r>
      <w:r w:rsidR="009C72BB">
        <w:rPr>
          <w:rFonts w:eastAsia="Palatino Linotype" w:cs="Palatino Linotype"/>
          <w:szCs w:val="24"/>
        </w:rPr>
        <w:t>, ya que ésta es la última que se genera en cualquier mes; por tanto, se debe entender que la temporalidad de la información requerida por el Recurrente es la que corresponde a la segunda quincena del mes de septiembre de dos mil veintitrés.</w:t>
      </w:r>
    </w:p>
    <w:p w14:paraId="72996CC5" w14:textId="77777777" w:rsidR="009C72BB" w:rsidRDefault="009C72BB" w:rsidP="00A837D0">
      <w:pPr>
        <w:contextualSpacing/>
        <w:rPr>
          <w:rFonts w:eastAsia="Palatino Linotype" w:cs="Palatino Linotype"/>
          <w:szCs w:val="24"/>
        </w:rPr>
      </w:pPr>
    </w:p>
    <w:p w14:paraId="18ACC0DC" w14:textId="0A1C4ED1" w:rsidR="009C72BB" w:rsidRDefault="009C72BB" w:rsidP="00A837D0">
      <w:pPr>
        <w:contextualSpacing/>
        <w:rPr>
          <w:rFonts w:eastAsia="Palatino Linotype" w:cs="Palatino Linotype"/>
          <w:szCs w:val="24"/>
        </w:rPr>
      </w:pPr>
      <w:r>
        <w:rPr>
          <w:rFonts w:eastAsia="Palatino Linotype" w:cs="Palatino Linotype"/>
          <w:szCs w:val="24"/>
        </w:rPr>
        <w:t xml:space="preserve">Ahora bien, el Sujeto Obligado respondió que la información solicitada aún no se había generado al momento de ingresar la solicitud de información, lo que resulta </w:t>
      </w:r>
      <w:r w:rsidR="00814E25">
        <w:rPr>
          <w:rFonts w:eastAsia="Palatino Linotype" w:cs="Palatino Linotype"/>
          <w:szCs w:val="24"/>
        </w:rPr>
        <w:t>congruente con la situación toda vez que la solicitud fue realizada el veintiuno de septiembre de dos mil veintitrés como se observa a continuación:</w:t>
      </w:r>
    </w:p>
    <w:p w14:paraId="09821D49" w14:textId="53B77891" w:rsidR="00814E25" w:rsidRDefault="00814E25" w:rsidP="00814E25">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40994398" wp14:editId="73F32185">
            <wp:extent cx="3883019" cy="4000500"/>
            <wp:effectExtent l="0" t="0" r="3810" b="0"/>
            <wp:docPr id="8935222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22245" name="Imagen 8935222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9176" cy="4048054"/>
                    </a:xfrm>
                    <a:prstGeom prst="rect">
                      <a:avLst/>
                    </a:prstGeom>
                  </pic:spPr>
                </pic:pic>
              </a:graphicData>
            </a:graphic>
          </wp:inline>
        </w:drawing>
      </w:r>
    </w:p>
    <w:p w14:paraId="1E3C87EF" w14:textId="054DF32C" w:rsidR="00814E25" w:rsidRDefault="00814E25" w:rsidP="00A837D0">
      <w:pPr>
        <w:contextualSpacing/>
        <w:rPr>
          <w:rFonts w:eastAsia="Palatino Linotype" w:cs="Palatino Linotype"/>
          <w:szCs w:val="24"/>
        </w:rPr>
      </w:pPr>
    </w:p>
    <w:p w14:paraId="5E68FAA0" w14:textId="4B379C34" w:rsidR="00244526" w:rsidRDefault="00244526" w:rsidP="00244526">
      <w:pPr>
        <w:contextualSpacing/>
        <w:rPr>
          <w:rFonts w:eastAsia="Palatino Linotype" w:cs="Palatino Linotype"/>
          <w:szCs w:val="24"/>
        </w:rPr>
      </w:pPr>
      <w:r>
        <w:rPr>
          <w:rFonts w:eastAsia="Palatino Linotype" w:cs="Palatino Linotype"/>
          <w:szCs w:val="24"/>
        </w:rPr>
        <w:t>Por tanto, se tiene que el Recurrente solicitó información que consiste en hechos futuros, que si bien es cierto que su generación no es incierta, también lo es que los sujetos obligados no se encuentran constreñidos a proporcionar información que a la fecha del ingreso de la solicitud aún no se generaba, lo anterior conforme a los artículos 4 y 12 de la Ley de Transparencia estatal, en lo que se dispone lo siguiente:</w:t>
      </w:r>
    </w:p>
    <w:p w14:paraId="7C63A716" w14:textId="77777777" w:rsidR="00244526" w:rsidRDefault="00244526" w:rsidP="00244526">
      <w:pPr>
        <w:contextualSpacing/>
        <w:rPr>
          <w:rFonts w:eastAsia="Palatino Linotype" w:cs="Palatino Linotype"/>
          <w:szCs w:val="24"/>
        </w:rPr>
      </w:pPr>
    </w:p>
    <w:p w14:paraId="160DE477" w14:textId="77777777" w:rsidR="00244526" w:rsidRPr="00AF5B98" w:rsidRDefault="00244526" w:rsidP="00244526">
      <w:pPr>
        <w:pStyle w:val="Fundamentos"/>
        <w:rPr>
          <w:lang w:val="es-MX"/>
        </w:rPr>
      </w:pPr>
      <w:r w:rsidRPr="00AF5B98">
        <w:rPr>
          <w:b/>
          <w:lang w:val="es-MX"/>
        </w:rPr>
        <w:t xml:space="preserve">Artículo 4. </w:t>
      </w:r>
      <w:r w:rsidRPr="00AF5B9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2E026B3E" w14:textId="77777777" w:rsidR="00244526" w:rsidRPr="00AF5B98" w:rsidRDefault="00244526" w:rsidP="00244526">
      <w:pPr>
        <w:pStyle w:val="Fundamentos"/>
        <w:rPr>
          <w:lang w:val="es-MX"/>
        </w:rPr>
      </w:pPr>
    </w:p>
    <w:p w14:paraId="2DD90457" w14:textId="77777777" w:rsidR="00244526" w:rsidRPr="00AF5B98" w:rsidRDefault="00244526" w:rsidP="00244526">
      <w:pPr>
        <w:pStyle w:val="Fundamentos"/>
        <w:rPr>
          <w:lang w:val="es-MX"/>
        </w:rPr>
      </w:pPr>
      <w:r w:rsidRPr="00486AF0">
        <w:rPr>
          <w:b/>
          <w:u w:val="single"/>
          <w:lang w:val="es-MX"/>
        </w:rPr>
        <w:t>Toda la información generada, obtenida, adquirida, transformada, administrada o en posesión de los sujetos obligados es pública y accesible de manera permanente a cualquier persona</w:t>
      </w:r>
      <w:r w:rsidRPr="00AF5B98">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8836C6" w14:textId="77777777" w:rsidR="00244526" w:rsidRPr="00AF5B98" w:rsidRDefault="00244526" w:rsidP="00244526">
      <w:pPr>
        <w:pStyle w:val="Fundamentos"/>
        <w:rPr>
          <w:lang w:val="es-MX"/>
        </w:rPr>
      </w:pPr>
    </w:p>
    <w:p w14:paraId="79AA3A78" w14:textId="77777777" w:rsidR="00244526" w:rsidRPr="00AF5B98" w:rsidRDefault="00244526" w:rsidP="00244526">
      <w:pPr>
        <w:pStyle w:val="Fundamentos"/>
        <w:rPr>
          <w:lang w:val="es-MX"/>
        </w:rPr>
      </w:pPr>
      <w:r w:rsidRPr="00AF5B98">
        <w:rPr>
          <w:lang w:val="es-MX"/>
        </w:rPr>
        <w:t>Los sujetos obligados deben poner en práctica, políticas y programas de acceso a la información que se apeguen a criterios de publicidad, veracidad, oportunidad, precisión y suficiencia en beneficio de los solicitantes.</w:t>
      </w:r>
    </w:p>
    <w:p w14:paraId="1292070E" w14:textId="77777777" w:rsidR="00244526" w:rsidRDefault="00244526" w:rsidP="00244526">
      <w:pPr>
        <w:pStyle w:val="Fundamentos"/>
      </w:pPr>
    </w:p>
    <w:p w14:paraId="07256880" w14:textId="77777777" w:rsidR="00244526" w:rsidRPr="00AF5B98" w:rsidRDefault="00244526" w:rsidP="00244526">
      <w:pPr>
        <w:pStyle w:val="Fundamentos"/>
        <w:rPr>
          <w:lang w:val="es-MX"/>
        </w:rPr>
      </w:pPr>
      <w:r w:rsidRPr="00AF5B98">
        <w:rPr>
          <w:b/>
          <w:lang w:val="es-MX"/>
        </w:rPr>
        <w:t xml:space="preserve">Artículo 12. </w:t>
      </w:r>
      <w:r w:rsidRPr="00AF5B98">
        <w:rPr>
          <w:lang w:val="es-MX"/>
        </w:rPr>
        <w:t>Quienes generen, recopilen, administren, manejen, procesen, archiven o conserven información pública serán responsables de la misma en los términos de las disposiciones jurídicas aplicables.</w:t>
      </w:r>
    </w:p>
    <w:p w14:paraId="4126A3C2" w14:textId="77777777" w:rsidR="00244526" w:rsidRPr="00AF5B98" w:rsidRDefault="00244526" w:rsidP="00244526">
      <w:pPr>
        <w:pStyle w:val="Fundamentos"/>
        <w:rPr>
          <w:lang w:val="es-MX"/>
        </w:rPr>
      </w:pPr>
    </w:p>
    <w:p w14:paraId="0265183B" w14:textId="77777777" w:rsidR="00244526" w:rsidRPr="00AF5B98" w:rsidRDefault="00244526" w:rsidP="00244526">
      <w:pPr>
        <w:pStyle w:val="Fundamentos"/>
        <w:rPr>
          <w:lang w:val="es-MX"/>
        </w:rPr>
      </w:pPr>
      <w:r w:rsidRPr="00486AF0">
        <w:rPr>
          <w:b/>
          <w:u w:val="single"/>
          <w:lang w:val="es-MX"/>
        </w:rPr>
        <w:t>Los sujetos obligados sólo proporcionarán la información pública que se les requiera y que obre en sus archivos y en el estado en que ésta se encuentre</w:t>
      </w:r>
      <w:r w:rsidRPr="00AF5B98">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7B5F3F3C" w14:textId="77777777" w:rsidR="00244526" w:rsidRDefault="00244526" w:rsidP="00244526">
      <w:pPr>
        <w:contextualSpacing/>
        <w:rPr>
          <w:rFonts w:eastAsia="Palatino Linotype" w:cs="Palatino Linotype"/>
          <w:szCs w:val="24"/>
        </w:rPr>
      </w:pPr>
    </w:p>
    <w:p w14:paraId="1009DCA9" w14:textId="77777777" w:rsidR="00244526" w:rsidRDefault="00244526" w:rsidP="00244526">
      <w:pPr>
        <w:contextualSpacing/>
        <w:rPr>
          <w:rFonts w:eastAsia="Palatino Linotype" w:cs="Palatino Linotype"/>
          <w:szCs w:val="24"/>
          <w:lang w:val="es-MX"/>
        </w:rPr>
      </w:pPr>
      <w:r>
        <w:rPr>
          <w:rFonts w:eastAsia="Palatino Linotype" w:cs="Palatino Linotype"/>
          <w:szCs w:val="24"/>
        </w:rPr>
        <w:lastRenderedPageBreak/>
        <w:t xml:space="preserve">De lo anterior se desprende que toda la información generada, poseída o administrada por los sujetos obligados es pública, y que los sujetos obligados sólo están constreñidos a proporcionar la información que se les requiera </w:t>
      </w:r>
      <w:r>
        <w:rPr>
          <w:rFonts w:eastAsia="Palatino Linotype" w:cs="Palatino Linotype"/>
          <w:b/>
          <w:szCs w:val="24"/>
        </w:rPr>
        <w:t>y que obre en sus archivos y en el estado en el que esta se encuentre</w:t>
      </w:r>
      <w:r>
        <w:rPr>
          <w:rFonts w:eastAsia="Palatino Linotype" w:cs="Palatino Linotype"/>
          <w:szCs w:val="24"/>
        </w:rPr>
        <w:t xml:space="preserve">, sin estar obligados a presentarla conforme al interés del solicitante ni a generarla, resumirla, efectuar cálculos o practicar investigaciones. </w:t>
      </w:r>
      <w:r>
        <w:rPr>
          <w:rFonts w:eastAsia="Palatino Linotype" w:cs="Palatino Linotype"/>
          <w:szCs w:val="24"/>
          <w:lang w:val="es-MX"/>
        </w:rPr>
        <w:t xml:space="preserve">Lo anterior implica que para satisfacer el derecho de acceso a la información </w:t>
      </w:r>
      <w:r w:rsidRPr="00AF5B98">
        <w:rPr>
          <w:rFonts w:eastAsia="Palatino Linotype" w:cs="Palatino Linotype"/>
          <w:b/>
          <w:szCs w:val="24"/>
          <w:lang w:val="es-MX"/>
        </w:rPr>
        <w:t>los sujetos obligados deberán entregar la información que hayan generado con anterioridad a las solicitudes de información</w:t>
      </w:r>
      <w:r>
        <w:rPr>
          <w:rFonts w:eastAsia="Palatino Linotype" w:cs="Palatino Linotype"/>
          <w:szCs w:val="24"/>
          <w:lang w:val="es-MX"/>
        </w:rPr>
        <w:t xml:space="preserve"> y que conste en algún documento, en el estado en el que ésta se encuentre en sus archivos.</w:t>
      </w:r>
    </w:p>
    <w:p w14:paraId="6562ED2C" w14:textId="77777777" w:rsidR="00244526" w:rsidRDefault="00244526" w:rsidP="00244526">
      <w:pPr>
        <w:contextualSpacing/>
        <w:rPr>
          <w:rFonts w:eastAsia="Palatino Linotype" w:cs="Palatino Linotype"/>
          <w:szCs w:val="24"/>
          <w:lang w:val="es-MX"/>
        </w:rPr>
      </w:pPr>
    </w:p>
    <w:p w14:paraId="1F31B084" w14:textId="77777777" w:rsidR="00244526" w:rsidRPr="00FC7C24" w:rsidRDefault="00244526" w:rsidP="00244526">
      <w:pPr>
        <w:rPr>
          <w:rFonts w:eastAsia="Times New Roman" w:cs="Times New Roman"/>
          <w:i/>
          <w:szCs w:val="24"/>
          <w:lang w:eastAsia="es-ES"/>
        </w:rPr>
      </w:pPr>
      <w:r>
        <w:rPr>
          <w:rFonts w:eastAsia="Palatino Linotype" w:cs="Palatino Linotype"/>
          <w:szCs w:val="24"/>
          <w:lang w:val="es-MX"/>
        </w:rPr>
        <w:t xml:space="preserve">Esta conclusión se robustece con la </w:t>
      </w:r>
      <w:r w:rsidRPr="00FC7C24">
        <w:rPr>
          <w:rFonts w:eastAsia="Times New Roman" w:cs="Times New Roman"/>
          <w:szCs w:val="24"/>
          <w:lang w:eastAsia="es-ES"/>
        </w:rPr>
        <w:t>definición de derecho a la información de</w:t>
      </w:r>
      <w:r>
        <w:rPr>
          <w:rFonts w:eastAsia="Times New Roman" w:cs="Times New Roman"/>
          <w:szCs w:val="24"/>
          <w:lang w:eastAsia="es-ES"/>
        </w:rPr>
        <w:t>l doctor</w:t>
      </w:r>
      <w:r w:rsidRPr="00FC7C24">
        <w:rPr>
          <w:rFonts w:eastAsia="Times New Roman" w:cs="Times New Roman"/>
          <w:szCs w:val="24"/>
          <w:lang w:eastAsia="es-ES"/>
        </w:rPr>
        <w:t xml:space="preserve"> Ernesto Villanueva </w:t>
      </w:r>
      <w:proofErr w:type="spellStart"/>
      <w:r w:rsidRPr="00FC7C24">
        <w:rPr>
          <w:rFonts w:eastAsia="Times New Roman" w:cs="Times New Roman"/>
          <w:szCs w:val="24"/>
          <w:lang w:eastAsia="es-ES"/>
        </w:rPr>
        <w:t>Villanueva</w:t>
      </w:r>
      <w:proofErr w:type="spellEnd"/>
      <w:r w:rsidRPr="00FC7C24">
        <w:rPr>
          <w:rFonts w:eastAsia="Times New Roman" w:cs="Times New Roman"/>
          <w:szCs w:val="24"/>
          <w:lang w:eastAsia="es-ES"/>
        </w:rPr>
        <w:t xml:space="preserve"> </w:t>
      </w:r>
      <w:r>
        <w:rPr>
          <w:rFonts w:eastAsia="Times New Roman" w:cs="Times New Roman"/>
          <w:szCs w:val="24"/>
          <w:lang w:eastAsia="es-ES"/>
        </w:rPr>
        <w:t>quien la define como</w:t>
      </w:r>
      <w:r w:rsidRPr="00FC7C24">
        <w:rPr>
          <w:rFonts w:eastAsia="Times New Roman" w:cs="Times New Roman"/>
          <w:szCs w:val="24"/>
          <w:lang w:eastAsia="es-ES"/>
        </w:rPr>
        <w:t xml:space="preserve"> </w:t>
      </w:r>
      <w:r w:rsidRPr="00FC7C2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504D7146" w14:textId="77777777" w:rsidR="00244526" w:rsidRPr="00AF5B98" w:rsidRDefault="00244526" w:rsidP="00244526">
      <w:pPr>
        <w:rPr>
          <w:rFonts w:eastAsia="Times New Roman" w:cs="Arial"/>
          <w:iCs/>
          <w:color w:val="000000" w:themeColor="text1"/>
          <w:szCs w:val="24"/>
          <w:lang w:eastAsia="es-ES"/>
        </w:rPr>
      </w:pPr>
    </w:p>
    <w:p w14:paraId="45FF628C" w14:textId="77777777" w:rsidR="00244526" w:rsidRPr="00FC7C24" w:rsidRDefault="00244526" w:rsidP="00244526">
      <w:pPr>
        <w:rPr>
          <w:rFonts w:eastAsia="Times New Roman" w:cs="Arial"/>
          <w:szCs w:val="24"/>
          <w:lang w:eastAsia="es-ES"/>
        </w:rPr>
      </w:pPr>
      <w:r w:rsidRPr="00FC7C24">
        <w:rPr>
          <w:rFonts w:eastAsia="Times New Roman" w:cs="Arial"/>
          <w:szCs w:val="24"/>
          <w:lang w:eastAsia="es-ES"/>
        </w:rPr>
        <w:t>Ahora bien</w:t>
      </w:r>
      <w:r>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r>
        <w:rPr>
          <w:rFonts w:eastAsia="Times New Roman" w:cs="Arial"/>
          <w:szCs w:val="24"/>
          <w:lang w:eastAsia="es-ES"/>
        </w:rPr>
        <w:t xml:space="preserve"> lo siguiente</w:t>
      </w:r>
      <w:r w:rsidRPr="00FC7C24">
        <w:rPr>
          <w:rFonts w:eastAsia="Times New Roman" w:cs="Arial"/>
          <w:szCs w:val="24"/>
          <w:lang w:eastAsia="es-ES"/>
        </w:rPr>
        <w:t>:</w:t>
      </w:r>
    </w:p>
    <w:p w14:paraId="71745FB6" w14:textId="77777777" w:rsidR="00244526" w:rsidRPr="000A27B1" w:rsidRDefault="00244526" w:rsidP="00244526">
      <w:pPr>
        <w:rPr>
          <w:rFonts w:eastAsia="Times New Roman" w:cs="Arial"/>
          <w:szCs w:val="24"/>
          <w:lang w:eastAsia="es-ES"/>
        </w:rPr>
      </w:pPr>
    </w:p>
    <w:p w14:paraId="1888B491" w14:textId="77777777" w:rsidR="00244526" w:rsidRDefault="00244526" w:rsidP="00244526">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83E449" w14:textId="77777777" w:rsidR="00244526" w:rsidRPr="000A27B1" w:rsidRDefault="00244526" w:rsidP="00244526">
      <w:pPr>
        <w:pStyle w:val="Fundamentos"/>
      </w:pPr>
    </w:p>
    <w:p w14:paraId="11D9948C" w14:textId="77777777" w:rsidR="00244526" w:rsidRDefault="00244526" w:rsidP="00244526">
      <w:pPr>
        <w:pStyle w:val="Fundamentos"/>
      </w:pPr>
      <w:r w:rsidRPr="000A27B1">
        <w:t>En consecuencia el acceso a la información se refiere a que se cumplan cualquiera de los siguientes tres supuestos:</w:t>
      </w:r>
    </w:p>
    <w:p w14:paraId="63247209" w14:textId="77777777" w:rsidR="00244526" w:rsidRPr="000A27B1" w:rsidRDefault="00244526" w:rsidP="00244526">
      <w:pPr>
        <w:pStyle w:val="Fundamentos"/>
      </w:pPr>
    </w:p>
    <w:p w14:paraId="08379F6F" w14:textId="77777777" w:rsidR="00244526" w:rsidRDefault="00244526" w:rsidP="00244526">
      <w:pPr>
        <w:pStyle w:val="Fundamentos"/>
      </w:pPr>
      <w:r w:rsidRPr="000A27B1">
        <w:t>Que se trate de información registrada en cualquier soporte documental, que en ejercicio de las atribuciones conferidas, sea generada por los Sujetos Obligados;</w:t>
      </w:r>
    </w:p>
    <w:p w14:paraId="58EC28D5" w14:textId="77777777" w:rsidR="00244526" w:rsidRPr="000A27B1" w:rsidRDefault="00244526" w:rsidP="00244526">
      <w:pPr>
        <w:pStyle w:val="Fundamentos"/>
      </w:pPr>
    </w:p>
    <w:p w14:paraId="76E76677" w14:textId="77777777" w:rsidR="00244526" w:rsidRDefault="00244526" w:rsidP="00244526">
      <w:pPr>
        <w:pStyle w:val="Fundamentos"/>
      </w:pPr>
      <w:r w:rsidRPr="000A27B1">
        <w:t>Que se trate de información registrada en cualquier soporte documental, que en ejercicio de las atribuciones conferidas, sea administrada por los Sujetos Obligados, y</w:t>
      </w:r>
    </w:p>
    <w:p w14:paraId="2652E36F" w14:textId="77777777" w:rsidR="00244526" w:rsidRPr="000A27B1" w:rsidRDefault="00244526" w:rsidP="00244526">
      <w:pPr>
        <w:pStyle w:val="Fundamentos"/>
      </w:pPr>
    </w:p>
    <w:p w14:paraId="54EBEB12" w14:textId="77777777" w:rsidR="00244526" w:rsidRPr="000A27B1" w:rsidRDefault="00244526" w:rsidP="00244526">
      <w:pPr>
        <w:pStyle w:val="Fundamentos"/>
      </w:pPr>
      <w:r w:rsidRPr="000A27B1">
        <w:t>Que se trate de información registrada en cualquier soporte documental, que en ejercicio de las atribuciones conferidas, se encuentre en posesión de los Sujetos Obligados.</w:t>
      </w:r>
    </w:p>
    <w:p w14:paraId="79A5F1E5" w14:textId="77777777" w:rsidR="00244526" w:rsidRPr="000A27B1" w:rsidRDefault="00244526" w:rsidP="00244526">
      <w:pPr>
        <w:rPr>
          <w:rFonts w:eastAsia="Times New Roman" w:cs="Times New Roman"/>
          <w:szCs w:val="24"/>
          <w:lang w:eastAsia="es-ES"/>
        </w:rPr>
      </w:pPr>
    </w:p>
    <w:p w14:paraId="6E3DCEA8" w14:textId="77777777" w:rsidR="00244526" w:rsidRDefault="00244526" w:rsidP="00244526">
      <w:pPr>
        <w:contextualSpacing/>
        <w:rPr>
          <w:rFonts w:eastAsia="Times New Roman" w:cs="Times New Roman"/>
          <w:szCs w:val="24"/>
        </w:rPr>
      </w:pPr>
      <w:r>
        <w:rPr>
          <w:rFonts w:eastAsia="Times New Roman" w:cs="Times New Roman"/>
          <w:szCs w:val="24"/>
        </w:rPr>
        <w:t>Por tanto</w:t>
      </w:r>
      <w:r w:rsidRPr="000A27B1">
        <w:rPr>
          <w:rFonts w:eastAsia="Times New Roman" w:cs="Times New Roman"/>
          <w:szCs w:val="24"/>
        </w:rPr>
        <w:t xml:space="preserve">, el derecho a la información constituye </w:t>
      </w:r>
      <w:r w:rsidRPr="00AF5B98">
        <w:rPr>
          <w:rFonts w:eastAsia="Times New Roman" w:cs="Times New Roman"/>
          <w:b/>
          <w:szCs w:val="24"/>
        </w:rPr>
        <w:t>una prerrogativa a acceder a documentación que obra en los archivos de los sujetos obligados</w:t>
      </w:r>
      <w:r>
        <w:rPr>
          <w:rFonts w:eastAsia="Times New Roman" w:cs="Times New Roman"/>
          <w:szCs w:val="24"/>
        </w:rPr>
        <w:t xml:space="preserve">, quienes están constreñidos a proporcionarla </w:t>
      </w:r>
      <w:r w:rsidRPr="00AF5B98">
        <w:rPr>
          <w:rFonts w:eastAsia="Times New Roman" w:cs="Times New Roman"/>
          <w:bCs/>
          <w:szCs w:val="24"/>
        </w:rPr>
        <w:t>en el estado en el que se encuentre</w:t>
      </w:r>
      <w:r>
        <w:rPr>
          <w:rFonts w:eastAsia="Times New Roman" w:cs="Times New Roman"/>
          <w:szCs w:val="24"/>
        </w:rPr>
        <w:t>; por tanto, dicha prerrogativa no contempla la entrega de documentos que se generen con posterioridad a las solicitudes que planteen los particulares.</w:t>
      </w:r>
    </w:p>
    <w:p w14:paraId="542DF599" w14:textId="77777777" w:rsidR="00244526" w:rsidRDefault="00244526" w:rsidP="00244526">
      <w:pPr>
        <w:contextualSpacing/>
        <w:rPr>
          <w:rFonts w:eastAsia="Times New Roman" w:cs="Times New Roman"/>
          <w:szCs w:val="24"/>
        </w:rPr>
      </w:pPr>
    </w:p>
    <w:p w14:paraId="51208C3F" w14:textId="2F705D9E" w:rsidR="00244526" w:rsidRDefault="00244526" w:rsidP="00244526">
      <w:pPr>
        <w:contextualSpacing/>
        <w:rPr>
          <w:rFonts w:eastAsia="Palatino Linotype" w:cs="Palatino Linotype"/>
          <w:szCs w:val="24"/>
        </w:rPr>
      </w:pPr>
      <w:r>
        <w:rPr>
          <w:rFonts w:eastAsia="Times New Roman" w:cs="Times New Roman"/>
          <w:szCs w:val="24"/>
        </w:rPr>
        <w:t xml:space="preserve">Del mismo modo, se debe considera que la información sobre hechos que aún no se han generado debido a la temporalidad son hechos futuros; por lo que no es procedente que los sujetos obligados proporcionen dicha información incluso cuando la temporalidad </w:t>
      </w:r>
      <w:r>
        <w:rPr>
          <w:rFonts w:eastAsia="Times New Roman" w:cs="Times New Roman"/>
          <w:szCs w:val="24"/>
        </w:rPr>
        <w:lastRenderedPageBreak/>
        <w:t>referida por los solicitantes coincida con el término para emitir la respuesta correspondiente.</w:t>
      </w:r>
    </w:p>
    <w:p w14:paraId="6FABB94A" w14:textId="77777777" w:rsidR="00244526" w:rsidRDefault="00244526" w:rsidP="00A837D0">
      <w:pPr>
        <w:contextualSpacing/>
        <w:rPr>
          <w:rFonts w:eastAsia="Palatino Linotype" w:cs="Palatino Linotype"/>
          <w:szCs w:val="24"/>
        </w:rPr>
      </w:pPr>
    </w:p>
    <w:p w14:paraId="4E96EC4B" w14:textId="7DC23A83" w:rsidR="003C6D2C" w:rsidRDefault="00814E25" w:rsidP="00A837D0">
      <w:pPr>
        <w:contextualSpacing/>
        <w:rPr>
          <w:rFonts w:eastAsia="Palatino Linotype" w:cs="Palatino Linotype"/>
          <w:szCs w:val="24"/>
        </w:rPr>
      </w:pPr>
      <w:r>
        <w:rPr>
          <w:rFonts w:eastAsia="Palatino Linotype" w:cs="Palatino Linotype"/>
          <w:szCs w:val="24"/>
        </w:rPr>
        <w:t xml:space="preserve">Asimismo, se debe recordar que la respuesta fue emitida por el Subdirector de </w:t>
      </w:r>
      <w:r w:rsidR="00FF28A0">
        <w:rPr>
          <w:rFonts w:eastAsia="Palatino Linotype" w:cs="Palatino Linotype"/>
          <w:szCs w:val="24"/>
        </w:rPr>
        <w:t>Capital</w:t>
      </w:r>
      <w:r>
        <w:rPr>
          <w:rFonts w:eastAsia="Palatino Linotype" w:cs="Palatino Linotype"/>
          <w:szCs w:val="24"/>
        </w:rPr>
        <w:t xml:space="preserve"> Humanos, el cual, conforme </w:t>
      </w:r>
      <w:r w:rsidR="00FF28A0">
        <w:rPr>
          <w:rFonts w:eastAsia="Palatino Linotype" w:cs="Palatino Linotype"/>
          <w:szCs w:val="24"/>
        </w:rPr>
        <w:t>al Reglamento Interno de la Administración Pública Municipal de Tlalnepantla de Baz, cuenta con las siguientes facultades:</w:t>
      </w:r>
    </w:p>
    <w:p w14:paraId="33D8FFF7" w14:textId="77777777" w:rsidR="00FF28A0" w:rsidRDefault="00FF28A0" w:rsidP="00A837D0">
      <w:pPr>
        <w:contextualSpacing/>
        <w:rPr>
          <w:rFonts w:eastAsia="Palatino Linotype" w:cs="Palatino Linotype"/>
          <w:szCs w:val="24"/>
        </w:rPr>
      </w:pPr>
    </w:p>
    <w:p w14:paraId="0CF09B61" w14:textId="0CADBDE3" w:rsidR="00FF28A0" w:rsidRDefault="00FF28A0" w:rsidP="00FF28A0">
      <w:pPr>
        <w:pStyle w:val="Fundamentos"/>
      </w:pPr>
      <w:r w:rsidRPr="00FF28A0">
        <w:rPr>
          <w:b/>
          <w:bCs/>
        </w:rPr>
        <w:t>ARTÍCULO 214.</w:t>
      </w:r>
      <w:r w:rsidRPr="00FF28A0">
        <w:t xml:space="preserve"> Son facultades y obligaciones de la Subdirección de Capital Humano, las siguientes:</w:t>
      </w:r>
    </w:p>
    <w:p w14:paraId="25659950" w14:textId="7BF1434F" w:rsidR="00FF28A0" w:rsidRDefault="00FF28A0" w:rsidP="00FF28A0">
      <w:pPr>
        <w:pStyle w:val="Fundamentos"/>
      </w:pPr>
      <w:r>
        <w:t>(…)</w:t>
      </w:r>
    </w:p>
    <w:p w14:paraId="705ED0DD" w14:textId="5F60E131" w:rsidR="00FF28A0" w:rsidRDefault="00FF28A0" w:rsidP="00FF28A0">
      <w:pPr>
        <w:pStyle w:val="Fundamentos"/>
      </w:pPr>
      <w:r w:rsidRPr="00FF28A0">
        <w:t>XVIII. Llevar a cabo el procesamiento de las nóminas quincenales y de fin de año para el pago</w:t>
      </w:r>
      <w:r>
        <w:t xml:space="preserve"> </w:t>
      </w:r>
      <w:r w:rsidRPr="00FF28A0">
        <w:t>de las remuneraciones y prestaciones a los servidores públicos municipales;</w:t>
      </w:r>
    </w:p>
    <w:p w14:paraId="3C16B170" w14:textId="45DDE6B9" w:rsidR="00FF28A0" w:rsidRDefault="00FF28A0" w:rsidP="00FF28A0">
      <w:pPr>
        <w:pStyle w:val="Fundamentos"/>
      </w:pPr>
      <w:r>
        <w:t>(…)</w:t>
      </w:r>
    </w:p>
    <w:p w14:paraId="57ED90FF" w14:textId="77777777" w:rsidR="00FF28A0" w:rsidRDefault="00FF28A0" w:rsidP="00A837D0">
      <w:pPr>
        <w:contextualSpacing/>
        <w:rPr>
          <w:rFonts w:eastAsia="Palatino Linotype" w:cs="Palatino Linotype"/>
          <w:szCs w:val="24"/>
        </w:rPr>
      </w:pPr>
    </w:p>
    <w:p w14:paraId="71689162" w14:textId="2EFA6809" w:rsidR="00FF28A0" w:rsidRDefault="00FF28A0" w:rsidP="00A837D0">
      <w:pPr>
        <w:contextualSpacing/>
        <w:rPr>
          <w:rFonts w:eastAsia="Palatino Linotype" w:cs="Palatino Linotype"/>
          <w:szCs w:val="24"/>
        </w:rPr>
      </w:pPr>
      <w:r>
        <w:rPr>
          <w:rFonts w:eastAsia="Palatino Linotype" w:cs="Palatino Linotype"/>
          <w:szCs w:val="24"/>
        </w:rPr>
        <w:t>Por tanto, toda vez que la Subdirección de Capital Humano es la facultada para llevar a cabo el procesamiento de las nóminas quincenales para el pago de las remuneraciones y prestaciones a los servidores públicos municipales, se colige que es el área competente para generar, poseer o administrar la información.</w:t>
      </w:r>
    </w:p>
    <w:p w14:paraId="5F6C69AD" w14:textId="77777777" w:rsidR="00FF28A0" w:rsidRDefault="00FF28A0" w:rsidP="00A837D0">
      <w:pPr>
        <w:contextualSpacing/>
        <w:rPr>
          <w:rFonts w:eastAsia="Palatino Linotype" w:cs="Palatino Linotype"/>
          <w:szCs w:val="24"/>
        </w:rPr>
      </w:pPr>
    </w:p>
    <w:p w14:paraId="1BAB5129" w14:textId="01AAFD62" w:rsidR="00FF28A0" w:rsidRPr="001F5A09" w:rsidRDefault="00FF28A0" w:rsidP="00FF28A0">
      <w:r>
        <w:rPr>
          <w:rFonts w:eastAsia="Palatino Linotype" w:cs="Palatino Linotype"/>
          <w:szCs w:val="24"/>
        </w:rPr>
        <w:t xml:space="preserve">En esa tesitura, toda vez que el área competente manifestó que a la fecha de ingres de la solicitud todavía no se había generado la información requerida, esto </w:t>
      </w:r>
      <w:r>
        <w:t>se traduce como un pronunciamiento en sentido negativo; es decir, implica que no se generó, poseyó o administró la información solicitada</w:t>
      </w:r>
      <w:r>
        <w:rPr>
          <w:color w:val="000000"/>
        </w:rPr>
        <w:t xml:space="preserve">. </w:t>
      </w:r>
      <w:r w:rsidRPr="001F5A09">
        <w:rPr>
          <w:rFonts w:eastAsiaTheme="minorHAnsi" w:cs="Arial"/>
          <w:lang w:val="es-MX" w:eastAsia="es-ES"/>
        </w:rPr>
        <w:t xml:space="preserve">Así, el Pleno de este Órgano Garante ha sostenido que ante un hecho negativo resulta innecesaria una declaratoria de inexistencia en términos de los artículos 19, 169 y 170 de la Ley de Transparencia y Acceso a la </w:t>
      </w:r>
      <w:r w:rsidRPr="001F5A09">
        <w:rPr>
          <w:rFonts w:eastAsiaTheme="minorHAnsi" w:cs="Arial"/>
          <w:lang w:val="es-MX" w:eastAsia="es-ES"/>
        </w:rPr>
        <w:lastRenderedPageBreak/>
        <w:t>Información Pública del Estado de México y Municipios, resultando aplicable la siguiente tesis:</w:t>
      </w:r>
    </w:p>
    <w:p w14:paraId="165561D9" w14:textId="77777777" w:rsidR="00FF28A0" w:rsidRPr="001F5A09" w:rsidRDefault="00FF28A0" w:rsidP="00FF28A0">
      <w:pPr>
        <w:rPr>
          <w:rFonts w:eastAsiaTheme="minorHAnsi" w:cstheme="minorBidi"/>
          <w:lang w:val="es-MX"/>
        </w:rPr>
      </w:pPr>
    </w:p>
    <w:p w14:paraId="64976E0A" w14:textId="77777777" w:rsidR="00FF28A0" w:rsidRPr="00D72B70" w:rsidRDefault="00FF28A0" w:rsidP="00FF28A0">
      <w:pPr>
        <w:pStyle w:val="Fundamentos"/>
        <w:rPr>
          <w:b/>
          <w:bCs/>
          <w:lang w:val="es-MX"/>
        </w:rPr>
      </w:pPr>
      <w:r w:rsidRPr="00D72B70">
        <w:rPr>
          <w:b/>
          <w:bCs/>
          <w:lang w:val="es-MX"/>
        </w:rPr>
        <w:t xml:space="preserve">HECHOS NEGATIVOS, NO SON SUSCEPTIBLES DE DEMOSTRACIÓN. </w:t>
      </w:r>
    </w:p>
    <w:p w14:paraId="206555EB" w14:textId="77777777" w:rsidR="00FF28A0" w:rsidRPr="001F5A09" w:rsidRDefault="00FF28A0" w:rsidP="00FF28A0">
      <w:pPr>
        <w:pStyle w:val="Fundamentos"/>
        <w:rPr>
          <w:lang w:val="es-MX"/>
        </w:rPr>
      </w:pPr>
      <w:r w:rsidRPr="001F5A09">
        <w:rPr>
          <w:lang w:val="es-MX"/>
        </w:rPr>
        <w:t>Tratándose de un hecho negativo, el Juez no tiene por qué invocar prueba alguna de la que se desprenda, ya que es bien sabido que esta clase de hechos no son susceptibles de demostración.</w:t>
      </w:r>
    </w:p>
    <w:p w14:paraId="6A9DDB81" w14:textId="77777777" w:rsidR="00FF28A0" w:rsidRPr="00D72B70" w:rsidRDefault="00FF28A0" w:rsidP="00FF28A0">
      <w:pPr>
        <w:rPr>
          <w:rFonts w:eastAsiaTheme="minorHAnsi" w:cstheme="minorBidi"/>
          <w:iCs/>
          <w:lang w:val="es-MX"/>
        </w:rPr>
      </w:pPr>
    </w:p>
    <w:p w14:paraId="44FADA7A" w14:textId="77777777" w:rsidR="00FF28A0" w:rsidRPr="001F5A09" w:rsidRDefault="00FF28A0" w:rsidP="00FF28A0">
      <w:pPr>
        <w:rPr>
          <w:bCs/>
          <w:color w:val="000000"/>
        </w:rPr>
      </w:pPr>
      <w:r w:rsidRPr="001F5A09">
        <w:rPr>
          <w:rFonts w:eastAsiaTheme="minorHAnsi" w:cstheme="minorBidi"/>
          <w:lang w:val="es-MX"/>
        </w:rPr>
        <w:t xml:space="preserve">Además, de conformidad con lo establecido en el artículo 12 de la Ley de la materia, el Sujeto Obligado sólo proporcionará la información que obra en sus archivos, lo que </w:t>
      </w:r>
      <w:r w:rsidRPr="001F5A09">
        <w:rPr>
          <w:rFonts w:eastAsiaTheme="minorHAnsi" w:cstheme="minorBidi"/>
          <w:i/>
          <w:lang w:val="es-MX"/>
        </w:rPr>
        <w:t>a contrario sensu</w:t>
      </w:r>
      <w:r w:rsidRPr="001F5A09">
        <w:rPr>
          <w:rFonts w:eastAsiaTheme="minorHAnsi" w:cstheme="minorBidi"/>
          <w:lang w:val="es-MX"/>
        </w:rPr>
        <w:t xml:space="preserve"> significa que no está obligado a proporcionar lo que no obre en sus archivos.</w:t>
      </w:r>
    </w:p>
    <w:p w14:paraId="09582D2D" w14:textId="669C4266" w:rsidR="00FF28A0" w:rsidRDefault="00FF28A0" w:rsidP="00A837D0">
      <w:pPr>
        <w:contextualSpacing/>
        <w:rPr>
          <w:rFonts w:eastAsia="Palatino Linotype" w:cs="Palatino Linotype"/>
          <w:szCs w:val="24"/>
        </w:rPr>
      </w:pPr>
    </w:p>
    <w:p w14:paraId="4F22A15C" w14:textId="080B3DD6" w:rsidR="003F4924" w:rsidRDefault="00BD4531" w:rsidP="003F492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Por lo argumentado en los párrafos que anteceden</w:t>
      </w:r>
      <w:r w:rsidR="003F4924">
        <w:rPr>
          <w:rFonts w:eastAsia="Palatino Linotype" w:cs="Palatino Linotype"/>
          <w:szCs w:val="24"/>
        </w:rPr>
        <w:t xml:space="preserve">, </w:t>
      </w:r>
      <w:r w:rsidR="003F4924">
        <w:rPr>
          <w:rFonts w:eastAsia="Palatino Linotype" w:cs="Palatino Linotype"/>
          <w:color w:val="000000"/>
          <w:szCs w:val="24"/>
        </w:rPr>
        <w:t>este Instituto estima que el Sujeto Obligado colmó las pretensiones de</w:t>
      </w:r>
      <w:r w:rsidR="009C740B">
        <w:rPr>
          <w:rFonts w:eastAsia="Palatino Linotype" w:cs="Palatino Linotype"/>
          <w:color w:val="000000"/>
          <w:szCs w:val="24"/>
        </w:rPr>
        <w:t>l</w:t>
      </w:r>
      <w:r w:rsidR="003F4924">
        <w:rPr>
          <w:rFonts w:eastAsia="Palatino Linotype" w:cs="Palatino Linotype"/>
          <w:color w:val="000000"/>
          <w:szCs w:val="24"/>
        </w:rPr>
        <w:t xml:space="preserve"> Recurrente </w:t>
      </w:r>
      <w:r w:rsidR="00244526">
        <w:rPr>
          <w:rFonts w:eastAsia="Palatino Linotype" w:cs="Palatino Linotype"/>
          <w:color w:val="000000"/>
          <w:szCs w:val="24"/>
        </w:rPr>
        <w:t xml:space="preserve">al hacer de su conocimiento que la información relativa a la nómina  de la segunda (última) quincena de septiembre de dos mil veintitrés no había sido generada, poseída o administrada a la fecha de ingreso de la solicitud de información </w:t>
      </w:r>
      <w:r w:rsidR="003F4924">
        <w:rPr>
          <w:rFonts w:eastAsia="Palatino Linotype" w:cs="Palatino Linotype"/>
          <w:color w:val="000000"/>
          <w:szCs w:val="24"/>
        </w:rPr>
        <w:t>y</w:t>
      </w:r>
      <w:r w:rsidR="009C740B">
        <w:rPr>
          <w:rFonts w:eastAsia="Palatino Linotype" w:cs="Palatino Linotype"/>
          <w:color w:val="000000"/>
          <w:szCs w:val="24"/>
        </w:rPr>
        <w:t>,</w:t>
      </w:r>
      <w:r w:rsidR="003F4924">
        <w:rPr>
          <w:rFonts w:eastAsia="Palatino Linotype" w:cs="Palatino Linotype"/>
          <w:color w:val="000000"/>
          <w:szCs w:val="24"/>
        </w:rPr>
        <w:t xml:space="preserve"> por tanto</w:t>
      </w:r>
      <w:r w:rsidR="009C740B">
        <w:rPr>
          <w:rFonts w:eastAsia="Palatino Linotype" w:cs="Palatino Linotype"/>
          <w:color w:val="000000"/>
          <w:szCs w:val="24"/>
        </w:rPr>
        <w:t>,</w:t>
      </w:r>
      <w:r w:rsidR="003F4924">
        <w:rPr>
          <w:rFonts w:eastAsia="Palatino Linotype" w:cs="Palatino Linotype"/>
          <w:color w:val="000000"/>
          <w:szCs w:val="24"/>
        </w:rPr>
        <w:t xml:space="preserve"> </w:t>
      </w:r>
      <w:r w:rsidR="009C740B">
        <w:rPr>
          <w:rFonts w:eastAsia="Palatino Linotype" w:cs="Palatino Linotype"/>
          <w:color w:val="000000"/>
          <w:szCs w:val="24"/>
        </w:rPr>
        <w:t>los motivos de inconformidad planteados por el particular devienen</w:t>
      </w:r>
      <w:r w:rsidR="003F4924">
        <w:rPr>
          <w:rFonts w:eastAsia="Palatino Linotype" w:cs="Palatino Linotype"/>
          <w:color w:val="000000"/>
          <w:szCs w:val="24"/>
        </w:rPr>
        <w:t xml:space="preserve"> infundados; por lo que es procedente confirmar la respuesta del Sujeto Obligado.</w:t>
      </w:r>
    </w:p>
    <w:p w14:paraId="533F4A11" w14:textId="7E952F9E" w:rsidR="00713185" w:rsidRDefault="00713185" w:rsidP="006F4C9E">
      <w:pPr>
        <w:pBdr>
          <w:top w:val="nil"/>
          <w:left w:val="nil"/>
          <w:bottom w:val="nil"/>
          <w:right w:val="nil"/>
          <w:between w:val="nil"/>
        </w:pBdr>
        <w:contextualSpacing/>
        <w:rPr>
          <w:rFonts w:eastAsia="Palatino Linotype" w:cs="Palatino Linotype"/>
          <w:szCs w:val="24"/>
        </w:rPr>
      </w:pPr>
    </w:p>
    <w:p w14:paraId="5C2C2F37" w14:textId="115AB8A1" w:rsidR="007D0042" w:rsidRPr="003F4924" w:rsidRDefault="007D0042" w:rsidP="00D72B70">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244526" w:rsidRPr="00244526">
        <w:rPr>
          <w:rFonts w:eastAsia="Palatino Linotype" w:cs="Palatino Linotype"/>
          <w:b/>
          <w:bCs/>
          <w:color w:val="000000"/>
          <w:szCs w:val="24"/>
        </w:rPr>
        <w:t>00959/TLALNEPA/IP/2023</w:t>
      </w:r>
      <w:r w:rsidR="00244526">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760666C6" w14:textId="77777777" w:rsidR="000C65DD" w:rsidRDefault="000C65DD" w:rsidP="00D72B70">
      <w:pPr>
        <w:rPr>
          <w:rFonts w:eastAsia="Times New Roman" w:cs="Times New Roman"/>
          <w:szCs w:val="24"/>
          <w:lang w:eastAsia="es-ES"/>
        </w:rPr>
      </w:pPr>
    </w:p>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lastRenderedPageBreak/>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49C498E9"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244526" w:rsidRPr="00244526">
        <w:rPr>
          <w:rFonts w:eastAsia="Palatino Linotype" w:cs="Palatino Linotype"/>
          <w:b/>
          <w:bCs/>
          <w:color w:val="000000"/>
          <w:szCs w:val="24"/>
        </w:rPr>
        <w:t>00959/TLALNEPA/IP/2023</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l</w:t>
      </w:r>
      <w:r w:rsidR="00BD4531">
        <w:rPr>
          <w:rFonts w:eastAsia="Palatino Linotype" w:cs="Palatino Linotype"/>
          <w:color w:val="000000"/>
          <w:szCs w:val="24"/>
        </w:rPr>
        <w:t>a</w:t>
      </w:r>
      <w:r w:rsidRPr="00A734EA">
        <w:rPr>
          <w:rFonts w:eastAsia="Palatino Linotype" w:cs="Palatino Linotype"/>
          <w:color w:val="000000"/>
          <w:szCs w:val="24"/>
        </w:rPr>
        <w:t xml:space="preserve"> Recurrente, en términos del Considerando </w:t>
      </w:r>
      <w:r w:rsidR="009C740B">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50564EF3"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70042E">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w:t>
      </w:r>
      <w:r w:rsidR="0070042E">
        <w:rPr>
          <w:rFonts w:eastAsia="Palatino Linotype" w:cs="Palatino Linotype"/>
          <w:color w:val="000000"/>
          <w:szCs w:val="24"/>
          <w:lang w:val="es-MX"/>
        </w:rPr>
        <w:t>,</w:t>
      </w:r>
      <w:r w:rsidRPr="00F12001">
        <w:rPr>
          <w:rFonts w:eastAsia="Palatino Linotype" w:cs="Palatino Linotype"/>
          <w:color w:val="000000"/>
          <w:szCs w:val="24"/>
          <w:lang w:val="es-MX"/>
        </w:rPr>
        <w:t xml:space="preserve">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61A9855F"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MORALES MARTÍNEZ, LUIS GUSTAVO PARRA</w:t>
      </w:r>
      <w:r w:rsidR="007E2405">
        <w:rPr>
          <w:rFonts w:eastAsia="Palatino Linotype" w:cs="Palatino Linotype"/>
          <w:color w:val="000000"/>
          <w:szCs w:val="24"/>
        </w:rPr>
        <w:t xml:space="preserve"> NORIEGA</w:t>
      </w:r>
      <w:r w:rsidR="006922F5" w:rsidRPr="00E21494">
        <w:rPr>
          <w:rFonts w:eastAsia="Palatino Linotype" w:cs="Palatino Linotype"/>
          <w:color w:val="000000"/>
          <w:szCs w:val="24"/>
        </w:rPr>
        <w:t xml:space="preserve"> Y GUADALUPE RAMÍREZ PEÑA, EN LA </w:t>
      </w:r>
      <w:r w:rsidR="00282413">
        <w:rPr>
          <w:rFonts w:eastAsia="Palatino Linotype" w:cs="Palatino Linotype"/>
          <w:color w:val="000000"/>
          <w:szCs w:val="24"/>
        </w:rPr>
        <w:t xml:space="preserve">PRIMERA </w:t>
      </w:r>
      <w:r w:rsidR="006922F5" w:rsidRPr="00E21494">
        <w:rPr>
          <w:rFonts w:eastAsia="Palatino Linotype" w:cs="Palatino Linotype"/>
          <w:color w:val="000000"/>
          <w:szCs w:val="24"/>
        </w:rPr>
        <w:t>SESIÓN ORDINARIA CELEBRADA EL</w:t>
      </w:r>
      <w:r w:rsidR="00282413">
        <w:rPr>
          <w:rFonts w:eastAsia="Palatino Linotype" w:cs="Palatino Linotype"/>
          <w:color w:val="000000"/>
          <w:szCs w:val="24"/>
        </w:rPr>
        <w:t xml:space="preserve"> DIECISIETE DE ENERO DE DOS MIL VEINTICUATRO</w:t>
      </w:r>
      <w:r w:rsidR="006922F5">
        <w:rPr>
          <w:rFonts w:eastAsia="Palatino Linotype" w:cs="Palatino Linotype"/>
          <w:color w:val="000000"/>
          <w:szCs w:val="24"/>
        </w:rPr>
        <w:t xml:space="preserve">, ANTE EL </w:t>
      </w:r>
      <w:r w:rsidR="006922F5">
        <w:rPr>
          <w:rFonts w:eastAsia="Palatino Linotype" w:cs="Palatino Linotype"/>
          <w:color w:val="000000"/>
          <w:szCs w:val="24"/>
        </w:rPr>
        <w:lastRenderedPageBreak/>
        <w:t>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0C65DD">
        <w:rPr>
          <w:rFonts w:eastAsia="Times New Roman" w:cs="Times New Roman"/>
          <w:szCs w:val="24"/>
          <w:lang w:eastAsia="es-ES"/>
        </w:rPr>
        <w:t>--------------------------------------------</w:t>
      </w:r>
      <w:r w:rsidR="00BD4531">
        <w:rPr>
          <w:rFonts w:eastAsia="Times New Roman" w:cs="Times New Roman"/>
          <w:szCs w:val="24"/>
          <w:lang w:eastAsia="es-ES"/>
        </w:rPr>
        <w:t>------------------------------------------------------</w:t>
      </w:r>
      <w:r w:rsidR="009C740B">
        <w:rPr>
          <w:rFonts w:eastAsia="Times New Roman" w:cs="Times New Roman"/>
          <w:szCs w:val="24"/>
          <w:lang w:eastAsia="es-ES"/>
        </w:rPr>
        <w:t>-------------------------------------------------------------------------------------------------------------------------------------------------------------------------------------------------------------------------------------------------------------------------------------------------------------------------------------------------------------</w:t>
      </w:r>
      <w:r w:rsidR="00282413">
        <w:rPr>
          <w:rFonts w:eastAsia="Times New Roman" w:cs="Times New Roman"/>
          <w:szCs w:val="24"/>
          <w:lang w:eastAsia="es-ES"/>
        </w:rPr>
        <w:t>-------------------------------------------------------------------------------------------------------------------------------------------------------------------------------------------------------------------------------------------------------------------------------------------------------------------------------------------------------------------------------------------------------------------------------------------------------------------------------------------------------------------------------------------------------------------------------------------------------------------------------------------------------------------------------------------------------------------------------------------------------------------------------------------------------------------------------------------------------------------------------------------------------------------------------------------</w:t>
      </w:r>
      <w:r w:rsidR="007E2405">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0877" w14:textId="77777777" w:rsidR="0092675C" w:rsidRDefault="0092675C" w:rsidP="00F2498E">
      <w:pPr>
        <w:spacing w:line="240" w:lineRule="auto"/>
      </w:pPr>
      <w:r>
        <w:separator/>
      </w:r>
    </w:p>
  </w:endnote>
  <w:endnote w:type="continuationSeparator" w:id="0">
    <w:p w14:paraId="6AC0ADF4" w14:textId="77777777" w:rsidR="0092675C" w:rsidRDefault="0092675C" w:rsidP="00F2498E">
      <w:pPr>
        <w:spacing w:line="240" w:lineRule="auto"/>
      </w:pPr>
      <w:r>
        <w:continuationSeparator/>
      </w:r>
    </w:p>
  </w:endnote>
  <w:endnote w:type="continuationNotice" w:id="1">
    <w:p w14:paraId="772887D5" w14:textId="77777777" w:rsidR="0092675C" w:rsidRDefault="009267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2405">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2405">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240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2405">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B733" w14:textId="77777777" w:rsidR="0092675C" w:rsidRDefault="0092675C" w:rsidP="00F2498E">
      <w:pPr>
        <w:spacing w:line="240" w:lineRule="auto"/>
      </w:pPr>
      <w:r>
        <w:separator/>
      </w:r>
    </w:p>
  </w:footnote>
  <w:footnote w:type="continuationSeparator" w:id="0">
    <w:p w14:paraId="52388846" w14:textId="77777777" w:rsidR="0092675C" w:rsidRDefault="0092675C" w:rsidP="00F2498E">
      <w:pPr>
        <w:spacing w:line="240" w:lineRule="auto"/>
      </w:pPr>
      <w:r>
        <w:continuationSeparator/>
      </w:r>
    </w:p>
  </w:footnote>
  <w:footnote w:type="continuationNotice" w:id="1">
    <w:p w14:paraId="2CBF464F" w14:textId="77777777" w:rsidR="0092675C" w:rsidRDefault="0092675C">
      <w:pPr>
        <w:spacing w:line="240" w:lineRule="auto"/>
      </w:pPr>
    </w:p>
  </w:footnote>
  <w:footnote w:id="2">
    <w:p w14:paraId="2348F3B8" w14:textId="77777777" w:rsidR="00606DD5" w:rsidRDefault="00606DD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606DD5" w:rsidRPr="0031280C" w:rsidRDefault="00606DD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06DD5" w:rsidRPr="0031280C" w:rsidRDefault="00606DD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606DD5" w:rsidRPr="0031280C" w:rsidRDefault="00606DD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60FFAC2" w14:textId="77777777" w:rsidR="00244526" w:rsidRDefault="00244526" w:rsidP="00244526">
      <w:pPr>
        <w:pStyle w:val="Textonotapie"/>
      </w:pPr>
      <w:r>
        <w:rPr>
          <w:rStyle w:val="Refdenotaalpie"/>
        </w:rPr>
        <w:footnoteRef/>
      </w:r>
      <w:r>
        <w:t xml:space="preserve"> </w:t>
      </w:r>
      <w:r>
        <w:rPr>
          <w:rFonts w:eastAsia="MS Mincho" w:cs="Arial"/>
          <w:sz w:val="16"/>
          <w:szCs w:val="16"/>
          <w:lang w:eastAsia="es-ES"/>
        </w:rPr>
        <w:t xml:space="preserve">VILLANUEVA </w:t>
      </w:r>
      <w:r>
        <w:rPr>
          <w:rFonts w:eastAsia="MS Mincho" w:cs="Arial"/>
          <w:sz w:val="16"/>
          <w:szCs w:val="16"/>
          <w:lang w:eastAsia="es-ES"/>
        </w:rPr>
        <w:t xml:space="preserve">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606DD5" w:rsidRDefault="00F0253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rsidRPr="00B17577" w14:paraId="37B9EBDE" w14:textId="77777777" w:rsidTr="003938ED">
      <w:trPr>
        <w:trHeight w:val="227"/>
      </w:trPr>
      <w:tc>
        <w:tcPr>
          <w:tcW w:w="5103" w:type="dxa"/>
          <w:hideMark/>
        </w:tcPr>
        <w:p w14:paraId="4964FBC5" w14:textId="54CDA645" w:rsidR="00606DD5" w:rsidRPr="00096248" w:rsidRDefault="00606DD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91304E1" w:rsidR="00606DD5" w:rsidRPr="00096248" w:rsidRDefault="00606DD5" w:rsidP="00011C4D">
          <w:pPr>
            <w:spacing w:after="120" w:line="240" w:lineRule="auto"/>
            <w:ind w:right="71"/>
            <w:jc w:val="right"/>
            <w:rPr>
              <w:rFonts w:cs="Arial"/>
              <w:b/>
              <w:szCs w:val="24"/>
            </w:rPr>
          </w:pPr>
          <w:r>
            <w:rPr>
              <w:rFonts w:cs="Arial"/>
              <w:b/>
              <w:bCs/>
              <w:szCs w:val="24"/>
            </w:rPr>
            <w:t>0</w:t>
          </w:r>
          <w:r w:rsidR="00B120FC">
            <w:rPr>
              <w:rFonts w:cs="Arial"/>
              <w:b/>
              <w:bCs/>
              <w:szCs w:val="24"/>
            </w:rPr>
            <w:t>6865</w:t>
          </w:r>
          <w:r w:rsidRPr="00096248">
            <w:rPr>
              <w:rFonts w:cs="Arial"/>
              <w:b/>
              <w:bCs/>
              <w:szCs w:val="24"/>
            </w:rPr>
            <w:t>/INFOEM/IP/RR/202</w:t>
          </w:r>
          <w:r>
            <w:rPr>
              <w:rFonts w:cs="Arial"/>
              <w:b/>
              <w:bCs/>
              <w:szCs w:val="24"/>
            </w:rPr>
            <w:t>3</w:t>
          </w:r>
        </w:p>
      </w:tc>
    </w:tr>
    <w:tr w:rsidR="00606DD5" w14:paraId="7591D3C9" w14:textId="77777777" w:rsidTr="003938ED">
      <w:trPr>
        <w:trHeight w:val="242"/>
      </w:trPr>
      <w:tc>
        <w:tcPr>
          <w:tcW w:w="5103" w:type="dxa"/>
          <w:hideMark/>
        </w:tcPr>
        <w:p w14:paraId="729A65A8" w14:textId="77777777" w:rsidR="00606DD5" w:rsidRPr="00096248" w:rsidRDefault="00606DD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E601CDC" w:rsidR="00606DD5" w:rsidRPr="00096248" w:rsidRDefault="00606DD5" w:rsidP="0070042E">
          <w:pPr>
            <w:spacing w:after="120" w:line="240" w:lineRule="auto"/>
            <w:ind w:left="-81" w:right="71"/>
            <w:jc w:val="right"/>
            <w:rPr>
              <w:rFonts w:cs="Arial"/>
              <w:szCs w:val="24"/>
            </w:rPr>
          </w:pPr>
          <w:r>
            <w:rPr>
              <w:rFonts w:cs="Arial"/>
              <w:szCs w:val="24"/>
            </w:rPr>
            <w:t>Ayuntamiento de T</w:t>
          </w:r>
          <w:r w:rsidR="00B120FC">
            <w:rPr>
              <w:rFonts w:cs="Arial"/>
              <w:szCs w:val="24"/>
            </w:rPr>
            <w:t>lalnepantla de Baz</w:t>
          </w:r>
        </w:p>
      </w:tc>
    </w:tr>
    <w:tr w:rsidR="00606DD5" w:rsidRPr="00F63239" w14:paraId="037E914D" w14:textId="77777777" w:rsidTr="003938ED">
      <w:trPr>
        <w:trHeight w:val="342"/>
      </w:trPr>
      <w:tc>
        <w:tcPr>
          <w:tcW w:w="5103" w:type="dxa"/>
          <w:hideMark/>
        </w:tcPr>
        <w:p w14:paraId="7676B68F" w14:textId="64D69EAF" w:rsidR="00606DD5" w:rsidRPr="00096248" w:rsidRDefault="00606DD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06DD5" w:rsidRDefault="00606DD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06DD5" w:rsidRPr="00711916" w:rsidRDefault="00606DD5" w:rsidP="00011C4D">
          <w:pPr>
            <w:spacing w:after="120" w:line="240" w:lineRule="auto"/>
            <w:ind w:left="-486" w:right="71" w:firstLine="567"/>
            <w:jc w:val="right"/>
            <w:rPr>
              <w:rFonts w:cs="Arial"/>
              <w:sz w:val="2"/>
              <w:szCs w:val="2"/>
            </w:rPr>
          </w:pPr>
        </w:p>
      </w:tc>
    </w:tr>
  </w:tbl>
  <w:p w14:paraId="2998DBFD" w14:textId="25A9F426" w:rsidR="00606DD5" w:rsidRPr="00871A91" w:rsidRDefault="00F0253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14:paraId="0F9FE9B6" w14:textId="77777777" w:rsidTr="003938ED">
      <w:trPr>
        <w:trHeight w:val="227"/>
      </w:trPr>
      <w:tc>
        <w:tcPr>
          <w:tcW w:w="5103" w:type="dxa"/>
          <w:hideMark/>
        </w:tcPr>
        <w:p w14:paraId="6D1D9D71" w14:textId="11150E5A" w:rsidR="00606DD5" w:rsidRPr="00663A37" w:rsidRDefault="00606DD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F930609" w:rsidR="00606DD5" w:rsidRPr="00C81ECD" w:rsidRDefault="00606DD5" w:rsidP="00011C4D">
          <w:pPr>
            <w:spacing w:after="120" w:line="240" w:lineRule="auto"/>
            <w:ind w:left="-486" w:right="68" w:firstLine="558"/>
            <w:jc w:val="right"/>
            <w:rPr>
              <w:rFonts w:cs="Arial"/>
              <w:b/>
              <w:szCs w:val="24"/>
            </w:rPr>
          </w:pPr>
          <w:r>
            <w:rPr>
              <w:rFonts w:cs="Arial"/>
              <w:b/>
              <w:bCs/>
              <w:szCs w:val="24"/>
            </w:rPr>
            <w:t>0</w:t>
          </w:r>
          <w:r w:rsidR="00B120FC">
            <w:rPr>
              <w:rFonts w:cs="Arial"/>
              <w:b/>
              <w:bCs/>
              <w:szCs w:val="24"/>
            </w:rPr>
            <w:t>6865</w:t>
          </w:r>
          <w:r>
            <w:rPr>
              <w:rFonts w:cs="Arial"/>
              <w:b/>
              <w:bCs/>
              <w:szCs w:val="24"/>
            </w:rPr>
            <w:t>/INFOEM/IP/RR/2023</w:t>
          </w:r>
        </w:p>
      </w:tc>
    </w:tr>
    <w:tr w:rsidR="00606DD5" w:rsidRPr="001F57CD" w14:paraId="1377D264" w14:textId="77777777" w:rsidTr="003938ED">
      <w:trPr>
        <w:trHeight w:val="196"/>
      </w:trPr>
      <w:tc>
        <w:tcPr>
          <w:tcW w:w="5103" w:type="dxa"/>
          <w:hideMark/>
        </w:tcPr>
        <w:p w14:paraId="04D597A1" w14:textId="77777777" w:rsidR="00606DD5" w:rsidRPr="00663A37" w:rsidRDefault="00606DD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0BA6D4E" w:rsidR="00606DD5" w:rsidRPr="00663A37" w:rsidRDefault="00F02530" w:rsidP="00657695">
          <w:pPr>
            <w:spacing w:after="120" w:line="240" w:lineRule="auto"/>
            <w:ind w:right="68"/>
            <w:jc w:val="right"/>
            <w:rPr>
              <w:rFonts w:cs="Arial"/>
              <w:szCs w:val="24"/>
            </w:rPr>
          </w:pPr>
          <w:proofErr w:type="spellStart"/>
          <w:r>
            <w:rPr>
              <w:rFonts w:cs="Arial"/>
              <w:szCs w:val="24"/>
            </w:rPr>
            <w:t>XXXXXXXXXXXXXXXXXXXXX</w:t>
          </w:r>
          <w:proofErr w:type="spellEnd"/>
        </w:p>
      </w:tc>
    </w:tr>
    <w:tr w:rsidR="00606DD5" w14:paraId="4DC11993" w14:textId="77777777" w:rsidTr="003938ED">
      <w:trPr>
        <w:trHeight w:val="242"/>
      </w:trPr>
      <w:tc>
        <w:tcPr>
          <w:tcW w:w="5103" w:type="dxa"/>
          <w:hideMark/>
        </w:tcPr>
        <w:p w14:paraId="76CEF1B5" w14:textId="77777777" w:rsidR="00606DD5" w:rsidRPr="00663A37" w:rsidRDefault="00606DD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F21A97F" w:rsidR="00606DD5" w:rsidRPr="00663A37" w:rsidRDefault="00606DD5" w:rsidP="0070042E">
          <w:pPr>
            <w:spacing w:after="120" w:line="240" w:lineRule="auto"/>
            <w:ind w:left="-70" w:right="68"/>
            <w:jc w:val="right"/>
            <w:rPr>
              <w:rFonts w:cs="Arial"/>
              <w:szCs w:val="24"/>
            </w:rPr>
          </w:pPr>
          <w:r>
            <w:rPr>
              <w:rFonts w:cs="Arial"/>
              <w:szCs w:val="24"/>
            </w:rPr>
            <w:t>Ayuntamiento de T</w:t>
          </w:r>
          <w:r w:rsidR="00B120FC">
            <w:rPr>
              <w:rFonts w:cs="Arial"/>
              <w:szCs w:val="24"/>
            </w:rPr>
            <w:t>lalnepantla de Baz</w:t>
          </w:r>
        </w:p>
      </w:tc>
    </w:tr>
    <w:tr w:rsidR="00606DD5" w14:paraId="5C2B511D" w14:textId="77777777" w:rsidTr="003938ED">
      <w:trPr>
        <w:trHeight w:val="342"/>
      </w:trPr>
      <w:tc>
        <w:tcPr>
          <w:tcW w:w="5103" w:type="dxa"/>
          <w:hideMark/>
        </w:tcPr>
        <w:p w14:paraId="03FEF68C" w14:textId="45E91CF4" w:rsidR="00606DD5" w:rsidRPr="00663A37" w:rsidRDefault="00606DD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06DD5" w:rsidRPr="00663A37" w:rsidRDefault="00606DD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06DD5" w:rsidRPr="00871A91" w:rsidRDefault="00F0253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4" w15:restartNumberingAfterBreak="0">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071756"/>
    <w:multiLevelType w:val="multilevel"/>
    <w:tmpl w:val="17381848"/>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563718"/>
    <w:multiLevelType w:val="hybridMultilevel"/>
    <w:tmpl w:val="0C5227AC"/>
    <w:lvl w:ilvl="0" w:tplc="3842AEE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0567F9"/>
    <w:multiLevelType w:val="hybridMultilevel"/>
    <w:tmpl w:val="4C6AE1CE"/>
    <w:lvl w:ilvl="0" w:tplc="373C8B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5032FB"/>
    <w:multiLevelType w:val="multilevel"/>
    <w:tmpl w:val="C7965B38"/>
    <w:styleLink w:val="Listaactual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7967018">
    <w:abstractNumId w:val="20"/>
  </w:num>
  <w:num w:numId="2" w16cid:durableId="682127166">
    <w:abstractNumId w:val="35"/>
  </w:num>
  <w:num w:numId="3" w16cid:durableId="1993025499">
    <w:abstractNumId w:val="4"/>
  </w:num>
  <w:num w:numId="4" w16cid:durableId="1471165205">
    <w:abstractNumId w:val="27"/>
  </w:num>
  <w:num w:numId="5" w16cid:durableId="1686714862">
    <w:abstractNumId w:val="25"/>
  </w:num>
  <w:num w:numId="6" w16cid:durableId="1968581882">
    <w:abstractNumId w:val="8"/>
  </w:num>
  <w:num w:numId="7" w16cid:durableId="1648626829">
    <w:abstractNumId w:val="31"/>
  </w:num>
  <w:num w:numId="8" w16cid:durableId="1631741067">
    <w:abstractNumId w:val="47"/>
  </w:num>
  <w:num w:numId="9" w16cid:durableId="1890262359">
    <w:abstractNumId w:val="33"/>
  </w:num>
  <w:num w:numId="10" w16cid:durableId="1371615053">
    <w:abstractNumId w:val="3"/>
  </w:num>
  <w:num w:numId="11" w16cid:durableId="2000232850">
    <w:abstractNumId w:val="29"/>
  </w:num>
  <w:num w:numId="12" w16cid:durableId="234362614">
    <w:abstractNumId w:val="9"/>
  </w:num>
  <w:num w:numId="13" w16cid:durableId="1260873324">
    <w:abstractNumId w:val="10"/>
  </w:num>
  <w:num w:numId="14" w16cid:durableId="1115248805">
    <w:abstractNumId w:val="26"/>
  </w:num>
  <w:num w:numId="15" w16cid:durableId="194079951">
    <w:abstractNumId w:val="13"/>
  </w:num>
  <w:num w:numId="16" w16cid:durableId="1304314597">
    <w:abstractNumId w:val="39"/>
  </w:num>
  <w:num w:numId="17" w16cid:durableId="2060780818">
    <w:abstractNumId w:val="42"/>
  </w:num>
  <w:num w:numId="18" w16cid:durableId="836728173">
    <w:abstractNumId w:val="1"/>
  </w:num>
  <w:num w:numId="19" w16cid:durableId="114252868">
    <w:abstractNumId w:val="32"/>
  </w:num>
  <w:num w:numId="20" w16cid:durableId="213278868">
    <w:abstractNumId w:val="7"/>
  </w:num>
  <w:num w:numId="21" w16cid:durableId="1291479850">
    <w:abstractNumId w:val="23"/>
  </w:num>
  <w:num w:numId="22" w16cid:durableId="1130828784">
    <w:abstractNumId w:val="2"/>
  </w:num>
  <w:num w:numId="23" w16cid:durableId="473452034">
    <w:abstractNumId w:val="0"/>
  </w:num>
  <w:num w:numId="24" w16cid:durableId="1745910222">
    <w:abstractNumId w:val="11"/>
  </w:num>
  <w:num w:numId="25" w16cid:durableId="846022693">
    <w:abstractNumId w:val="15"/>
  </w:num>
  <w:num w:numId="26" w16cid:durableId="1462770164">
    <w:abstractNumId w:val="12"/>
  </w:num>
  <w:num w:numId="27" w16cid:durableId="571740867">
    <w:abstractNumId w:val="46"/>
  </w:num>
  <w:num w:numId="28" w16cid:durableId="1308972419">
    <w:abstractNumId w:val="40"/>
  </w:num>
  <w:num w:numId="29" w16cid:durableId="726683627">
    <w:abstractNumId w:val="5"/>
  </w:num>
  <w:num w:numId="30" w16cid:durableId="767387831">
    <w:abstractNumId w:val="24"/>
  </w:num>
  <w:num w:numId="31" w16cid:durableId="1995256588">
    <w:abstractNumId w:val="30"/>
  </w:num>
  <w:num w:numId="32" w16cid:durableId="1922329073">
    <w:abstractNumId w:val="16"/>
  </w:num>
  <w:num w:numId="33" w16cid:durableId="729110053">
    <w:abstractNumId w:val="17"/>
  </w:num>
  <w:num w:numId="34" w16cid:durableId="587689082">
    <w:abstractNumId w:val="28"/>
  </w:num>
  <w:num w:numId="35" w16cid:durableId="1223098747">
    <w:abstractNumId w:val="21"/>
  </w:num>
  <w:num w:numId="36" w16cid:durableId="311956557">
    <w:abstractNumId w:val="22"/>
  </w:num>
  <w:num w:numId="37" w16cid:durableId="552303692">
    <w:abstractNumId w:val="37"/>
  </w:num>
  <w:num w:numId="38" w16cid:durableId="396630742">
    <w:abstractNumId w:val="34"/>
  </w:num>
  <w:num w:numId="39" w16cid:durableId="111096437">
    <w:abstractNumId w:val="41"/>
  </w:num>
  <w:num w:numId="40" w16cid:durableId="1415543206">
    <w:abstractNumId w:val="14"/>
  </w:num>
  <w:num w:numId="41" w16cid:durableId="2634660">
    <w:abstractNumId w:val="19"/>
  </w:num>
  <w:num w:numId="42" w16cid:durableId="1071585611">
    <w:abstractNumId w:val="18"/>
  </w:num>
  <w:num w:numId="43" w16cid:durableId="602887038">
    <w:abstractNumId w:val="6"/>
  </w:num>
  <w:num w:numId="44" w16cid:durableId="434254430">
    <w:abstractNumId w:val="38"/>
  </w:num>
  <w:num w:numId="45" w16cid:durableId="372312069">
    <w:abstractNumId w:val="45"/>
  </w:num>
  <w:num w:numId="46" w16cid:durableId="1354650010">
    <w:abstractNumId w:val="44"/>
  </w:num>
  <w:num w:numId="47" w16cid:durableId="1306666251">
    <w:abstractNumId w:val="36"/>
  </w:num>
  <w:num w:numId="48" w16cid:durableId="1957784957">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33B6"/>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5CF6"/>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FAA"/>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4526"/>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13"/>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73C"/>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1381"/>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25C9"/>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4F3F"/>
    <w:rsid w:val="00355981"/>
    <w:rsid w:val="00360189"/>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09"/>
    <w:rsid w:val="003C4FF5"/>
    <w:rsid w:val="003C57BF"/>
    <w:rsid w:val="003C6226"/>
    <w:rsid w:val="003C6D2C"/>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6B1"/>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2D9A"/>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ADA"/>
    <w:rsid w:val="00467C83"/>
    <w:rsid w:val="00470110"/>
    <w:rsid w:val="00470DA2"/>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2D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04"/>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22D"/>
    <w:rsid w:val="005F6B90"/>
    <w:rsid w:val="005F6CAB"/>
    <w:rsid w:val="0060129A"/>
    <w:rsid w:val="0060244C"/>
    <w:rsid w:val="006055AB"/>
    <w:rsid w:val="00606DD5"/>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640E"/>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30F3"/>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2405"/>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4E25"/>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1D5D"/>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17E8B"/>
    <w:rsid w:val="009202C9"/>
    <w:rsid w:val="00921287"/>
    <w:rsid w:val="0092131F"/>
    <w:rsid w:val="00921595"/>
    <w:rsid w:val="00925D59"/>
    <w:rsid w:val="00926716"/>
    <w:rsid w:val="0092675C"/>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2B5"/>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4A5C"/>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2BB"/>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1EB"/>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5"/>
    <w:rsid w:val="00A62049"/>
    <w:rsid w:val="00A63700"/>
    <w:rsid w:val="00A64575"/>
    <w:rsid w:val="00A64C36"/>
    <w:rsid w:val="00A651C0"/>
    <w:rsid w:val="00A65A26"/>
    <w:rsid w:val="00A66189"/>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324"/>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0FC"/>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419"/>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3ED9"/>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BE9"/>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813"/>
    <w:rsid w:val="00D81B85"/>
    <w:rsid w:val="00D81EDD"/>
    <w:rsid w:val="00D8486E"/>
    <w:rsid w:val="00D84EA2"/>
    <w:rsid w:val="00D84F77"/>
    <w:rsid w:val="00D8663B"/>
    <w:rsid w:val="00D878B6"/>
    <w:rsid w:val="00D87FC0"/>
    <w:rsid w:val="00D905AB"/>
    <w:rsid w:val="00D90C1B"/>
    <w:rsid w:val="00D90D7A"/>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A6AF1"/>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A4E"/>
    <w:rsid w:val="00E35198"/>
    <w:rsid w:val="00E363F0"/>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530"/>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3AF8"/>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8A0"/>
    <w:rsid w:val="00FF299D"/>
    <w:rsid w:val="00FF32F4"/>
    <w:rsid w:val="00FF35B6"/>
    <w:rsid w:val="00FF47CD"/>
    <w:rsid w:val="00FF5344"/>
    <w:rsid w:val="00FF5532"/>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354F3F"/>
    <w:pPr>
      <w:numPr>
        <w:numId w:val="45"/>
      </w:numPr>
    </w:pPr>
  </w:style>
  <w:style w:type="numbering" w:customStyle="1" w:styleId="Listaactual16">
    <w:name w:val="Lista actual16"/>
    <w:uiPriority w:val="99"/>
    <w:rsid w:val="00D43ED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6DDA7-81DE-452D-B694-3FE789FC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6910</Words>
  <Characters>38006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38</cp:revision>
  <cp:lastPrinted>2019-06-13T15:30:00Z</cp:lastPrinted>
  <dcterms:created xsi:type="dcterms:W3CDTF">2023-10-27T01:00:00Z</dcterms:created>
  <dcterms:modified xsi:type="dcterms:W3CDTF">2024-01-30T16:40:00Z</dcterms:modified>
</cp:coreProperties>
</file>