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0F1E0" w14:textId="77777777" w:rsidR="004D69A5" w:rsidRDefault="004D69A5" w:rsidP="006922F5">
      <w:pPr>
        <w:pBdr>
          <w:top w:val="nil"/>
          <w:left w:val="nil"/>
          <w:bottom w:val="nil"/>
          <w:right w:val="nil"/>
          <w:between w:val="nil"/>
        </w:pBdr>
        <w:contextualSpacing/>
        <w:rPr>
          <w:rFonts w:eastAsia="Palatino Linotype" w:cs="Palatino Linotype"/>
          <w:color w:val="000000"/>
          <w:szCs w:val="24"/>
        </w:rPr>
      </w:pPr>
    </w:p>
    <w:p w14:paraId="49AF2C0C" w14:textId="50BBB1E4"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E21494">
        <w:rPr>
          <w:rFonts w:eastAsia="Palatino Linotype" w:cs="Palatino Linotype"/>
          <w:color w:val="000000"/>
          <w:szCs w:val="24"/>
        </w:rPr>
        <w:t xml:space="preserve">México, </w:t>
      </w:r>
      <w:r w:rsidR="006757E8">
        <w:rPr>
          <w:rFonts w:eastAsia="Palatino Linotype" w:cs="Palatino Linotype"/>
          <w:color w:val="000000"/>
          <w:szCs w:val="24"/>
        </w:rPr>
        <w:t xml:space="preserve">a </w:t>
      </w:r>
      <w:r w:rsidR="0003574D">
        <w:rPr>
          <w:rFonts w:eastAsia="Palatino Linotype" w:cs="Palatino Linotype"/>
          <w:color w:val="000000"/>
          <w:szCs w:val="24"/>
        </w:rPr>
        <w:t>veintiuno de agosto</w:t>
      </w:r>
      <w:r w:rsidR="006757E8">
        <w:rPr>
          <w:rFonts w:eastAsia="Palatino Linotype" w:cs="Palatino Linotype"/>
          <w:color w:val="000000"/>
          <w:szCs w:val="24"/>
        </w:rPr>
        <w:t xml:space="preserve"> de dos mil veinticuatro</w:t>
      </w:r>
      <w:r w:rsidR="001C1BF4" w:rsidRPr="00875B7E">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645EB7A4"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sidR="00705331">
        <w:rPr>
          <w:rFonts w:eastAsia="Palatino Linotype" w:cs="Palatino Linotype"/>
          <w:b/>
          <w:color w:val="000000"/>
          <w:szCs w:val="24"/>
        </w:rPr>
        <w:t>01795/INFOEM/IP/RR/2024</w:t>
      </w:r>
      <w:r w:rsidR="00B54BC7" w:rsidRPr="00875B7E">
        <w:rPr>
          <w:rFonts w:eastAsia="Palatino Linotype" w:cs="Palatino Linotype"/>
          <w:color w:val="000000"/>
          <w:szCs w:val="24"/>
        </w:rPr>
        <w:t>, interpuesto po</w:t>
      </w:r>
      <w:r w:rsidR="00430C63" w:rsidRPr="00875B7E">
        <w:rPr>
          <w:rFonts w:eastAsia="Palatino Linotype" w:cs="Palatino Linotype"/>
          <w:color w:val="000000"/>
          <w:szCs w:val="24"/>
        </w:rPr>
        <w:t>r</w:t>
      </w:r>
      <w:r w:rsidR="00664EA4">
        <w:rPr>
          <w:rFonts w:eastAsia="Palatino Linotype" w:cs="Palatino Linotype"/>
          <w:color w:val="000000"/>
          <w:szCs w:val="24"/>
        </w:rPr>
        <w:t xml:space="preserve"> </w:t>
      </w:r>
      <w:r w:rsidR="00705331">
        <w:rPr>
          <w:rFonts w:eastAsia="Palatino Linotype" w:cs="Palatino Linotype"/>
          <w:b/>
          <w:bCs/>
          <w:color w:val="000000"/>
          <w:szCs w:val="24"/>
        </w:rPr>
        <w:t>una persona de manera anónima</w:t>
      </w:r>
      <w:r w:rsidR="0070042E">
        <w:rPr>
          <w:rFonts w:eastAsia="Palatino Linotype" w:cs="Palatino Linotype"/>
          <w:color w:val="000000"/>
          <w:szCs w:val="24"/>
        </w:rPr>
        <w:t xml:space="preserve">, en lo sucesivo </w:t>
      </w:r>
      <w:r w:rsidR="00705331">
        <w:rPr>
          <w:rFonts w:eastAsia="Palatino Linotype" w:cs="Palatino Linotype"/>
          <w:color w:val="000000"/>
          <w:szCs w:val="24"/>
        </w:rPr>
        <w:t>el</w:t>
      </w:r>
      <w:r w:rsidR="00B54BC7" w:rsidRPr="00875B7E">
        <w:rPr>
          <w:rFonts w:eastAsia="Palatino Linotype" w:cs="Palatino Linotype"/>
          <w:color w:val="000000"/>
          <w:szCs w:val="24"/>
        </w:rPr>
        <w:t xml:space="preserve">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w:t>
      </w:r>
      <w:r w:rsidR="00165CA1" w:rsidRPr="00875B7E">
        <w:rPr>
          <w:rFonts w:eastAsia="Palatino Linotype" w:cs="Palatino Linotype"/>
          <w:color w:val="000000"/>
          <w:szCs w:val="24"/>
        </w:rPr>
        <w:t>e</w:t>
      </w:r>
      <w:r w:rsidR="00FF35B6" w:rsidRPr="00875B7E">
        <w:rPr>
          <w:rFonts w:eastAsia="Palatino Linotype" w:cs="Palatino Linotype"/>
          <w:color w:val="000000"/>
          <w:szCs w:val="24"/>
        </w:rPr>
        <w:t>l</w:t>
      </w:r>
      <w:r w:rsidRPr="00875B7E">
        <w:rPr>
          <w:rFonts w:eastAsia="Palatino Linotype" w:cs="Palatino Linotype"/>
          <w:color w:val="000000"/>
          <w:szCs w:val="24"/>
        </w:rPr>
        <w:t xml:space="preserve"> </w:t>
      </w:r>
      <w:r w:rsidR="00705331">
        <w:rPr>
          <w:rFonts w:eastAsia="Palatino Linotype" w:cs="Palatino Linotype"/>
          <w:b/>
          <w:color w:val="000000"/>
          <w:szCs w:val="24"/>
        </w:rPr>
        <w:t>Partido de la Revolución Democrática</w:t>
      </w:r>
      <w:r w:rsidR="0051074E" w:rsidRPr="00875B7E">
        <w:rPr>
          <w:rFonts w:eastAsia="Palatino Linotype" w:cs="Palatino Linotype"/>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098603B2" w14:textId="77777777" w:rsidR="008E24B6" w:rsidRPr="00875B7E" w:rsidRDefault="008E24B6"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3CB9963A" w14:textId="7B0D0995" w:rsidR="00305568" w:rsidRPr="006922F5" w:rsidRDefault="00305568" w:rsidP="0030556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E730F">
        <w:rPr>
          <w:rFonts w:eastAsia="Palatino Linotype" w:cs="Palatino Linotype"/>
          <w:color w:val="000000"/>
          <w:szCs w:val="24"/>
        </w:rPr>
        <w:t xml:space="preserve"> </w:t>
      </w:r>
      <w:r w:rsidR="00705331">
        <w:rPr>
          <w:rFonts w:eastAsia="Palatino Linotype" w:cs="Palatino Linotype"/>
          <w:color w:val="000000"/>
          <w:szCs w:val="24"/>
        </w:rPr>
        <w:t>once de marzo</w:t>
      </w:r>
      <w:r w:rsidR="00EE730F">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w:t>
      </w:r>
      <w:r w:rsidR="00705331">
        <w:rPr>
          <w:rFonts w:eastAsia="Palatino Linotype" w:cs="Palatino Linotype"/>
          <w:color w:val="000000"/>
          <w:szCs w:val="24"/>
        </w:rPr>
        <w:t>el</w:t>
      </w:r>
      <w:r w:rsidRPr="006922F5">
        <w:rPr>
          <w:rFonts w:eastAsia="Palatino Linotype" w:cs="Palatino Linotype"/>
          <w:color w:val="000000"/>
          <w:szCs w:val="24"/>
        </w:rPr>
        <w:t xml:space="preserve"> Recurrente presentó </w:t>
      </w:r>
      <w:r>
        <w:rPr>
          <w:rFonts w:eastAsia="Palatino Linotype" w:cs="Palatino Linotype"/>
          <w:color w:val="000000"/>
          <w:szCs w:val="24"/>
        </w:rPr>
        <w:t xml:space="preserve">una solicitud de información que fue registrada en </w:t>
      </w:r>
      <w:r w:rsidRPr="006922F5">
        <w:rPr>
          <w:rFonts w:eastAsia="Palatino Linotype" w:cs="Palatino Linotype"/>
          <w:color w:val="000000"/>
          <w:szCs w:val="24"/>
        </w:rPr>
        <w:t xml:space="preserve">el Sistema de Acceso a la </w:t>
      </w:r>
      <w:r>
        <w:rPr>
          <w:rFonts w:eastAsia="Palatino Linotype" w:cs="Palatino Linotype"/>
          <w:color w:val="000000"/>
          <w:szCs w:val="24"/>
        </w:rPr>
        <w:t>Información Mexiquense (SAIMEX)</w:t>
      </w:r>
      <w:r w:rsidRPr="006922F5">
        <w:rPr>
          <w:rFonts w:eastAsia="Palatino Linotype" w:cs="Palatino Linotype"/>
          <w:color w:val="000000"/>
          <w:szCs w:val="24"/>
        </w:rPr>
        <w:t xml:space="preserve"> con el número de expediente</w:t>
      </w:r>
      <w:r w:rsidRPr="006922F5">
        <w:rPr>
          <w:rFonts w:eastAsia="Palatino Linotype" w:cs="Palatino Linotype"/>
          <w:b/>
          <w:color w:val="000000"/>
          <w:szCs w:val="24"/>
        </w:rPr>
        <w:t xml:space="preserve"> </w:t>
      </w:r>
      <w:r w:rsidR="00705331">
        <w:rPr>
          <w:rFonts w:eastAsia="Palatino Linotype" w:cs="Palatino Linotype"/>
          <w:b/>
          <w:bCs/>
          <w:color w:val="000000"/>
          <w:szCs w:val="24"/>
        </w:rPr>
        <w:t>00008/PRD/IP/2024</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sidRPr="006922F5">
        <w:rPr>
          <w:rFonts w:eastAsia="Palatino Linotype" w:cs="Palatino Linotype"/>
          <w:color w:val="000000"/>
          <w:szCs w:val="24"/>
        </w:rPr>
        <w:t>mediante la cual solicitó información en el tenor siguiente:</w:t>
      </w:r>
    </w:p>
    <w:p w14:paraId="36C50B3C"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404CC04F" w14:textId="49D7FB58" w:rsidR="00305568" w:rsidRPr="006922F5" w:rsidRDefault="004D69A5" w:rsidP="00AC0041">
      <w:pPr>
        <w:pStyle w:val="Fundamentos"/>
      </w:pPr>
      <w:r>
        <w:t>«</w:t>
      </w:r>
      <w:r w:rsidR="00705331" w:rsidRPr="00705331">
        <w:t xml:space="preserve">1. Resultados de cada uno de los procedimientos de licitación pública e invitación a cuando menos tres personas realizadas durante el ejercicio fiscal 2023 2. Resultados de cada uno de los procedimientos de adjudicación directa realizados durante en el ejercicio fiscal 2023 3. Resultados de cada uno de los procedimientos de licitación pública e invitación a cuando menos tres personas realizadas durante el ejercicio fiscal 2022 4. Resultados de cada uno de los procedimientos de adjudicación directa realizados durante en el ejercicio fiscal 2022 5. Resultados de cada uno de los procedimientos de licitación pública e invitación a cuando menos tres personas realizadas durante el ejercicio fiscal 2021 6. Resultados de cada uno de los </w:t>
      </w:r>
      <w:r w:rsidR="00705331" w:rsidRPr="00705331">
        <w:lastRenderedPageBreak/>
        <w:t>procedimientos de adjudicación directa realizados durante en el ejercicio fiscal 2021 Lo anterior, conforme a la estructura señalada en el artículo 92 fracción XIX de la Ley de Transparencia y Acceso a la Información Pública del Estado de México y Municipios.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a) De licitaciones públicas o procedimientos de invitación restringida: 1. La convocatoria o invitación emitida, así como los fundamentos legales aplicados para llevarla a cabo; 2. Los nombres de los participantes o invitados; 3. El nombre del ganador y las razones que lo justifican; 4. El área solicitante y la responsable de su ejecución; Las convocatorias e invitaciones emitidas; Los dictámenes y fallo de adjudicación; 5. El contrato y, en su caso, sus anexos; Los mecanismos de vigilancia y supervisión, incluyendo en su caso, los estudios de impacto urbano y ambiental, según corresponda; 6. La partida presupuestal, de conformidad con el clasificador por objeto del gasto, en el caso de ser aplicable; 7. Origen de los recursos especificando si son federales, estatales o municipales, así como el tipo de fondo de participación o aportación respectiva; 8. Los convenios modificatorios que, en su caso, sean firmados, precisando el objeto y la fecha de celebración; 9. Los informes de avance físico y financiero sobre las obras o servicios contratados; 10. El convenio de terminación; y 11. El finiquito. b) De las adjudicaciones directas: 1. La propuesta enviada por el participante; 2. Los motivos y fundamentos legales aplicados para llevarla a cabo; 3. La autorización del ejercicio de la opción; 4. En su caso, las cotizaciones consideradas, especificando los nombres de los proveedores y sus montos; 5. El nombre de la persona física o jurídica colectiva adjudicada; 6. La unidad administrativa solicitante y la responsable de su ejecución; 7. El número, fecha, el monto del contrato y el plazo de entrega o de ejecución de los servicios u obra; 8. Los mecanismos de vigilancia y supervisión, incluyendo, en su caso, los estudios de impacto urbano y ambiental, según corresponda; 9. Los informes de avance sobre las obras o servicios contratados; 10. El convenio de terminación; y 11. El finiquito.”</w:t>
      </w:r>
      <w:r>
        <w:t>»</w:t>
      </w:r>
      <w:r w:rsidR="00305568" w:rsidRPr="006922F5">
        <w:t xml:space="preserve"> (Sic)</w:t>
      </w:r>
    </w:p>
    <w:p w14:paraId="5B7A636D"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01452671" w14:textId="52AA2433" w:rsidR="00305568" w:rsidRPr="006922F5" w:rsidRDefault="00305568" w:rsidP="00305568">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A97324">
        <w:rPr>
          <w:rFonts w:eastAsia="Palatino Linotype" w:cs="Palatino Linotype"/>
          <w:b/>
          <w:color w:val="000000"/>
          <w:szCs w:val="24"/>
        </w:rPr>
        <w:t xml:space="preserve">A través </w:t>
      </w:r>
      <w:r w:rsidR="00175CF6">
        <w:rPr>
          <w:rFonts w:eastAsia="Palatino Linotype" w:cs="Palatino Linotype"/>
          <w:b/>
          <w:color w:val="000000"/>
          <w:szCs w:val="24"/>
        </w:rPr>
        <w:t>del SAIMEX</w:t>
      </w:r>
    </w:p>
    <w:p w14:paraId="54E0685C" w14:textId="77777777" w:rsidR="00305568" w:rsidRDefault="00305568" w:rsidP="00305568">
      <w:pPr>
        <w:pBdr>
          <w:top w:val="nil"/>
          <w:left w:val="nil"/>
          <w:bottom w:val="nil"/>
          <w:right w:val="nil"/>
          <w:between w:val="nil"/>
        </w:pBdr>
        <w:contextualSpacing/>
        <w:rPr>
          <w:rFonts w:eastAsia="Palatino Linotype" w:cs="Palatino Linotype"/>
          <w:color w:val="000000"/>
          <w:szCs w:val="24"/>
        </w:rPr>
      </w:pPr>
    </w:p>
    <w:p w14:paraId="1AEDC68E" w14:textId="38AB0507" w:rsidR="00A970D5" w:rsidRPr="006922F5" w:rsidRDefault="00175CF6"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43C77C6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A6C98">
        <w:rPr>
          <w:rFonts w:eastAsia="Palatino Linotype" w:cs="Palatino Linotype"/>
          <w:color w:val="000000"/>
          <w:szCs w:val="24"/>
        </w:rPr>
        <w:t xml:space="preserve"> </w:t>
      </w:r>
      <w:r w:rsidR="00705331">
        <w:rPr>
          <w:rFonts w:eastAsia="Palatino Linotype" w:cs="Palatino Linotype"/>
          <w:color w:val="000000"/>
          <w:szCs w:val="24"/>
        </w:rPr>
        <w:t>diecinueve de marzo</w:t>
      </w:r>
      <w:r w:rsidR="008E3669">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9279EC" w:rsidRDefault="00A970D5" w:rsidP="006922F5">
      <w:pPr>
        <w:pBdr>
          <w:top w:val="nil"/>
          <w:left w:val="nil"/>
          <w:bottom w:val="nil"/>
          <w:right w:val="nil"/>
          <w:between w:val="nil"/>
        </w:pBdr>
        <w:contextualSpacing/>
        <w:rPr>
          <w:rFonts w:eastAsia="Palatino Linotype" w:cs="Palatino Linotype"/>
          <w:color w:val="000000"/>
          <w:sz w:val="21"/>
          <w:szCs w:val="21"/>
        </w:rPr>
      </w:pPr>
    </w:p>
    <w:p w14:paraId="53961159" w14:textId="77777777" w:rsidR="00705331" w:rsidRDefault="00670232" w:rsidP="00705331">
      <w:pPr>
        <w:pStyle w:val="Fundamentos"/>
      </w:pPr>
      <w:r>
        <w:t>«</w:t>
      </w:r>
      <w:r w:rsidR="00705331">
        <w:t>En respuesta a la solicitud recibida, nos permitimos hacer de su conocimiento que con fundamento en el artículo 53, Fracciones: II, V y VI de la Ley de Transparencia y Acceso a la Información Pública del Estado de México y Municipios, le contestamos que:</w:t>
      </w:r>
    </w:p>
    <w:p w14:paraId="15DBD148" w14:textId="77777777" w:rsidR="00705331" w:rsidRDefault="00705331" w:rsidP="00705331">
      <w:pPr>
        <w:pStyle w:val="Fundamentos"/>
      </w:pPr>
    </w:p>
    <w:p w14:paraId="3F246471" w14:textId="77777777" w:rsidR="00705331" w:rsidRDefault="00705331" w:rsidP="00705331">
      <w:pPr>
        <w:pStyle w:val="Fundamentos"/>
      </w:pPr>
      <w:r>
        <w:t xml:space="preserve">Sea este el medio para enviar a usted un cordial saludo al tiempo que en atención a su solicitud de información pública; La presente Unidad de Transparencia da por desahogados cada uno de los cuestionamientos planteados en la presente. Informando que, adjuntos de ser el caso se envían las respuestas de las áreas </w:t>
      </w:r>
      <w:proofErr w:type="spellStart"/>
      <w:r>
        <w:t>intrapartidarias</w:t>
      </w:r>
      <w:proofErr w:type="spellEnd"/>
      <w:r>
        <w:t xml:space="preserve"> que dentro de sus atribuciones y/o funciones aportaron en la búsqueda exhaustiva de la información solicitada. Sin más por el momento, quedo atenta a cualquier duda o aclaración que se remita.</w:t>
      </w:r>
    </w:p>
    <w:p w14:paraId="2CF86E28" w14:textId="77777777" w:rsidR="00705331" w:rsidRDefault="00705331" w:rsidP="00705331">
      <w:pPr>
        <w:pStyle w:val="Fundamentos"/>
      </w:pPr>
    </w:p>
    <w:p w14:paraId="722E061C" w14:textId="77777777" w:rsidR="00705331" w:rsidRDefault="00705331" w:rsidP="00705331">
      <w:pPr>
        <w:pStyle w:val="Fundamentos"/>
      </w:pPr>
      <w:r>
        <w:t>ATENTAMENTE</w:t>
      </w:r>
    </w:p>
    <w:p w14:paraId="3FE4A9EF" w14:textId="6AAD4FD0" w:rsidR="00A970D5" w:rsidRPr="00404754" w:rsidRDefault="00705331" w:rsidP="00705331">
      <w:pPr>
        <w:pStyle w:val="Fundamentos"/>
        <w:rPr>
          <w:lang w:val="es-MX"/>
        </w:rPr>
      </w:pPr>
      <w:r>
        <w:t>Lic. en C.P y A.P Mercedes Lucero Vargas Javier</w:t>
      </w:r>
      <w:r w:rsidR="00670232">
        <w:t>»</w:t>
      </w:r>
      <w:r w:rsidR="00A970D5" w:rsidRPr="00404754">
        <w:rPr>
          <w:lang w:val="es-MX"/>
        </w:rPr>
        <w:t xml:space="preserve"> (Sic)</w:t>
      </w:r>
    </w:p>
    <w:p w14:paraId="2EAB8352" w14:textId="3B77EF6C" w:rsidR="001107C4" w:rsidRPr="00AC0041" w:rsidRDefault="001107C4" w:rsidP="006922F5">
      <w:pPr>
        <w:pBdr>
          <w:top w:val="nil"/>
          <w:left w:val="nil"/>
          <w:bottom w:val="nil"/>
          <w:right w:val="nil"/>
          <w:between w:val="nil"/>
        </w:pBdr>
        <w:contextualSpacing/>
        <w:rPr>
          <w:rFonts w:eastAsia="Palatino Linotype" w:cs="Palatino Linotype"/>
          <w:color w:val="000000"/>
          <w:sz w:val="20"/>
          <w:lang w:val="es-MX"/>
        </w:rPr>
      </w:pPr>
    </w:p>
    <w:p w14:paraId="0328E392" w14:textId="2EA0FAE1" w:rsidR="0037112D" w:rsidRPr="0037112D" w:rsidRDefault="0037112D" w:rsidP="00AA6C98">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F7655F">
        <w:rPr>
          <w:rFonts w:eastAsia="Palatino Linotype" w:cs="Palatino Linotype"/>
          <w:color w:val="000000"/>
          <w:szCs w:val="24"/>
        </w:rPr>
        <w:t xml:space="preserve">adjuntó a su respuesta </w:t>
      </w:r>
      <w:r w:rsidR="00705331">
        <w:rPr>
          <w:rFonts w:eastAsia="Palatino Linotype" w:cs="Palatino Linotype"/>
          <w:color w:val="000000"/>
          <w:szCs w:val="24"/>
        </w:rPr>
        <w:t xml:space="preserve">el </w:t>
      </w:r>
      <w:r w:rsidR="00165CA1">
        <w:rPr>
          <w:rFonts w:eastAsia="Palatino Linotype" w:cs="Palatino Linotype"/>
          <w:color w:val="000000"/>
          <w:szCs w:val="24"/>
        </w:rPr>
        <w:t>documento denominado</w:t>
      </w:r>
      <w:r w:rsidR="00AA6C98" w:rsidRPr="00AA6C98">
        <w:rPr>
          <w:rFonts w:eastAsia="Palatino Linotype" w:cs="Palatino Linotype"/>
          <w:bCs/>
          <w:color w:val="000000"/>
          <w:szCs w:val="24"/>
        </w:rPr>
        <w:t xml:space="preserve"> </w:t>
      </w:r>
      <w:r w:rsidR="006C45A9">
        <w:rPr>
          <w:rFonts w:eastAsia="Palatino Linotype" w:cs="Palatino Linotype"/>
          <w:b/>
          <w:bCs/>
          <w:color w:val="000000"/>
          <w:szCs w:val="24"/>
        </w:rPr>
        <w:t>«</w:t>
      </w:r>
      <w:r w:rsidR="00705331">
        <w:rPr>
          <w:rFonts w:eastAsia="Palatino Linotype" w:cs="Palatino Linotype"/>
          <w:b/>
          <w:bCs/>
          <w:color w:val="000000"/>
          <w:szCs w:val="24"/>
        </w:rPr>
        <w:t>PRD DEE CP 0029 2024</w:t>
      </w:r>
      <w:r w:rsidR="00670232">
        <w:rPr>
          <w:rFonts w:eastAsia="Palatino Linotype" w:cs="Palatino Linotype"/>
          <w:b/>
          <w:bCs/>
          <w:color w:val="000000"/>
          <w:szCs w:val="24"/>
        </w:rPr>
        <w:t>.pdf</w:t>
      </w:r>
      <w:r w:rsidR="006C45A9">
        <w:rPr>
          <w:rFonts w:eastAsia="Palatino Linotype" w:cs="Palatino Linotype"/>
          <w:b/>
          <w:bCs/>
          <w:color w:val="000000"/>
          <w:szCs w:val="24"/>
        </w:rPr>
        <w:t>»</w:t>
      </w:r>
      <w:r w:rsidR="00670232">
        <w:rPr>
          <w:rFonts w:eastAsia="Palatino Linotype" w:cs="Palatino Linotype"/>
          <w:bCs/>
          <w:color w:val="000000"/>
          <w:szCs w:val="24"/>
        </w:rPr>
        <w:t>,</w:t>
      </w:r>
      <w:r w:rsidR="00CF378E">
        <w:rPr>
          <w:rFonts w:eastAsia="Palatino Linotype" w:cs="Palatino Linotype"/>
          <w:bCs/>
          <w:color w:val="000000"/>
          <w:szCs w:val="24"/>
        </w:rPr>
        <w:t xml:space="preserve"> </w:t>
      </w:r>
      <w:r w:rsidR="00311381">
        <w:rPr>
          <w:rFonts w:eastAsia="Palatino Linotype" w:cs="Palatino Linotype"/>
          <w:bCs/>
          <w:color w:val="000000"/>
          <w:szCs w:val="24"/>
        </w:rPr>
        <w:t xml:space="preserve">cuyo </w:t>
      </w:r>
      <w:r w:rsidR="00442D9A">
        <w:rPr>
          <w:rFonts w:eastAsia="Palatino Linotype" w:cs="Palatino Linotype"/>
          <w:bCs/>
          <w:color w:val="000000"/>
          <w:szCs w:val="24"/>
        </w:rPr>
        <w:t xml:space="preserve">contenido </w:t>
      </w:r>
      <w:r w:rsidR="009B321A">
        <w:rPr>
          <w:rFonts w:eastAsia="Palatino Linotype" w:cs="Palatino Linotype"/>
          <w:color w:val="000000"/>
          <w:szCs w:val="24"/>
        </w:rPr>
        <w:t>será motivo de análisis en el estudio correspondiente.</w:t>
      </w:r>
    </w:p>
    <w:p w14:paraId="2011BBDD" w14:textId="77777777" w:rsidR="0037112D" w:rsidRPr="009279EC" w:rsidRDefault="0037112D" w:rsidP="006922F5">
      <w:pPr>
        <w:pBdr>
          <w:top w:val="nil"/>
          <w:left w:val="nil"/>
          <w:bottom w:val="nil"/>
          <w:right w:val="nil"/>
          <w:between w:val="nil"/>
        </w:pBdr>
        <w:contextualSpacing/>
        <w:rPr>
          <w:rFonts w:eastAsia="Palatino Linotype" w:cs="Palatino Linotype"/>
          <w:color w:val="000000"/>
          <w:sz w:val="22"/>
        </w:rPr>
      </w:pPr>
    </w:p>
    <w:p w14:paraId="58FA11DD" w14:textId="7C9A4758" w:rsidR="00A970D5" w:rsidRPr="006922F5" w:rsidRDefault="00175CF6"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6851E9D6"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por el Sujeto Obligado, </w:t>
      </w:r>
      <w:r w:rsidR="00705331">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705331">
        <w:rPr>
          <w:rFonts w:eastAsia="Palatino Linotype" w:cs="Palatino Linotype"/>
          <w:color w:val="000000"/>
          <w:szCs w:val="24"/>
        </w:rPr>
        <w:t>l día ocho de abril</w:t>
      </w:r>
      <w:r w:rsidR="0035768E">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el cual se registró </w:t>
      </w:r>
      <w:r w:rsidR="00E05F1C">
        <w:rPr>
          <w:rFonts w:eastAsia="Palatino Linotype" w:cs="Palatino Linotype"/>
          <w:color w:val="000000"/>
          <w:szCs w:val="24"/>
        </w:rPr>
        <w:t xml:space="preserve">en el SAIMEX </w:t>
      </w:r>
      <w:r w:rsidRPr="006922F5">
        <w:rPr>
          <w:rFonts w:eastAsia="Palatino Linotype" w:cs="Palatino Linotype"/>
          <w:color w:val="000000"/>
          <w:szCs w:val="24"/>
        </w:rPr>
        <w:t xml:space="preserve">con el expediente número </w:t>
      </w:r>
      <w:r w:rsidR="00705331">
        <w:rPr>
          <w:rFonts w:eastAsia="Palatino Linotype" w:cs="Palatino Linotype"/>
          <w:b/>
          <w:color w:val="000000"/>
          <w:szCs w:val="24"/>
        </w:rPr>
        <w:t>01795/INFOEM/IP/RR/2024</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Pr="00850C49" w:rsidRDefault="00A970D5" w:rsidP="006922F5">
      <w:pPr>
        <w:pBdr>
          <w:top w:val="nil"/>
          <w:left w:val="nil"/>
          <w:bottom w:val="nil"/>
          <w:right w:val="nil"/>
          <w:between w:val="nil"/>
        </w:pBdr>
        <w:contextualSpacing/>
        <w:rPr>
          <w:rFonts w:eastAsia="Palatino Linotype" w:cs="Palatino Linotype"/>
          <w:color w:val="000000"/>
          <w:szCs w:val="24"/>
        </w:rPr>
      </w:pPr>
    </w:p>
    <w:p w14:paraId="66E2EFF7" w14:textId="77777777" w:rsidR="00850C49" w:rsidRPr="00850C49" w:rsidRDefault="00A970D5" w:rsidP="00AC0041">
      <w:pPr>
        <w:contextualSpacing/>
        <w:rPr>
          <w:rFonts w:eastAsia="Palatino Linotype" w:cs="Palatino Linotype"/>
          <w:b/>
          <w:szCs w:val="24"/>
        </w:rPr>
      </w:pPr>
      <w:r w:rsidRPr="00850C49">
        <w:rPr>
          <w:rFonts w:eastAsia="Palatino Linotype" w:cs="Palatino Linotype"/>
          <w:b/>
          <w:szCs w:val="24"/>
        </w:rPr>
        <w:t>Acto Impugnado:</w:t>
      </w:r>
      <w:r w:rsidR="00655007" w:rsidRPr="00850C49">
        <w:rPr>
          <w:rFonts w:eastAsia="Palatino Linotype" w:cs="Palatino Linotype"/>
          <w:b/>
          <w:szCs w:val="24"/>
        </w:rPr>
        <w:t xml:space="preserve"> </w:t>
      </w:r>
    </w:p>
    <w:p w14:paraId="4A0EFE5A" w14:textId="47275FED" w:rsidR="00A970D5" w:rsidRPr="00850C49" w:rsidRDefault="007B0F21" w:rsidP="00D634D5">
      <w:pPr>
        <w:pStyle w:val="Fundamentos"/>
        <w:rPr>
          <w:b/>
        </w:rPr>
      </w:pPr>
      <w:r>
        <w:rPr>
          <w:b/>
        </w:rPr>
        <w:t>«</w:t>
      </w:r>
      <w:r w:rsidR="00705331" w:rsidRPr="00705331">
        <w:t xml:space="preserve">Se niega proporcionar la información acerca de: 1. Resultados de cada uno de los procedimientos de licitación pública e invitación a cuando menos tres personas realizadas durante el ejercicio fiscal 2023 2. Resultados de cada uno de los procedimientos de adjudicación directa realizados durante en el ejercicio fiscal 2023 3. Resultados de cada uno de los procedimientos de licitación pública e invitación a cuando menos tres personas realizadas durante el ejercicio fiscal 2022 4. Resultados de cada uno de los procedimientos de adjudicación directa realizados durante en el ejercicio fiscal 2022 5. Resultados de cada uno de los </w:t>
      </w:r>
      <w:r w:rsidR="00705331" w:rsidRPr="00705331">
        <w:lastRenderedPageBreak/>
        <w:t>procedimientos de licitación pública e invitación a cuando menos tres personas realizadas durante el ejercicio fiscal 2021 6. Resultados de cada uno de los procedimientos de adjudicación directa realizados durante en el ejercicio fiscal 2021 Lo anterior, conforme a la estructura señalada en el artículo 92 fracción XIX de la Ley de Transparencia y Acceso a la Información Pública del Estado de México y Municipios.</w:t>
      </w:r>
      <w:r>
        <w:t>»</w:t>
      </w:r>
      <w:r w:rsidR="00B80EB5" w:rsidRPr="00850C49">
        <w:t xml:space="preserve"> </w:t>
      </w:r>
      <w:r w:rsidR="00A970D5" w:rsidRPr="00850C49">
        <w:t>(Sic)</w:t>
      </w:r>
    </w:p>
    <w:p w14:paraId="3C40A441" w14:textId="77777777" w:rsidR="00A970D5" w:rsidRPr="00850C49" w:rsidRDefault="00A970D5" w:rsidP="00B80EB5">
      <w:pPr>
        <w:contextualSpacing/>
        <w:rPr>
          <w:rFonts w:eastAsia="Palatino Linotype" w:cs="Palatino Linotype"/>
          <w:iCs/>
          <w:szCs w:val="24"/>
        </w:rPr>
      </w:pPr>
    </w:p>
    <w:p w14:paraId="7323F5A1" w14:textId="12F7587B" w:rsidR="005B5BDF" w:rsidRDefault="00D634D5" w:rsidP="005B5BDF">
      <w:pPr>
        <w:contextualSpacing/>
        <w:rPr>
          <w:rFonts w:eastAsia="Palatino Linotype" w:cs="Palatino Linotype"/>
          <w:b/>
        </w:rPr>
      </w:pPr>
      <w:r>
        <w:rPr>
          <w:rFonts w:eastAsia="Palatino Linotype" w:cs="Palatino Linotype"/>
          <w:b/>
        </w:rPr>
        <w:t>Razones o motivos de inconformidad</w:t>
      </w:r>
      <w:r w:rsidR="005B5BDF" w:rsidRPr="006922F5">
        <w:rPr>
          <w:rFonts w:eastAsia="Palatino Linotype" w:cs="Palatino Linotype"/>
          <w:b/>
        </w:rPr>
        <w:t xml:space="preserve">: </w:t>
      </w:r>
    </w:p>
    <w:p w14:paraId="63329709" w14:textId="317E573F" w:rsidR="005B5BDF" w:rsidRPr="006922F5" w:rsidRDefault="007B0F21" w:rsidP="00D634D5">
      <w:pPr>
        <w:pStyle w:val="Fundamentos"/>
        <w:rPr>
          <w:b/>
        </w:rPr>
      </w:pPr>
      <w:r>
        <w:rPr>
          <w:b/>
        </w:rPr>
        <w:t>«</w:t>
      </w:r>
      <w:r w:rsidR="00705331" w:rsidRPr="00705331">
        <w:t xml:space="preserve">1. La negativa a la información solicitada; 2. La falta, deficiencia o insuficiencia de la fundamentación y/o motivación en la respuesta; Debido a que el partido político señala que: “En relación con el requerimiento de información identificado me permito hacer de su conocimiento que de conformidad con los Lineamientos Técnicos Generales para la publicación de la información que deberá contenerse en los Portales de Transparencia, así como, de las tablas de aplicabilidad de la información el Sujeto Obligado requerido, no cuenta con información al respecto debido a su inaplicabilidad (…)”. Sin embargo, por principios de jerarquía de normas, no debe negarse la información, dado que la Tabla de aplicabilidad publicada el 29 de marzo de 2023, aprobada por el Instituto de Transparencia y Acceso a la Información Pública del Estado de México y Municipios es de rango inferior y contraviene a la Constitución Política de los Estados Unidos Mexicanos, la Constitución Política del Estado Libre y Soberano de México, la Ley General de Partidos Políticos, Ley General de Transparencia y Acceso a la Información Pública y la Ley de Transparencia y Acceso a la Información Pública del Estado de México y Municipios, conforme a los siguiente: Los partidos políticos son entidades de interés público, así lo marca el artículo 3 de la Ley General de Partidos Políticos (LGPP) y para su operación, de acuerdo con el artículo 65 del Código Electoral del Estado de México (CEEM), se les otorgan prerrogativas, que a la letra dice: “Los partidos políticos tendrán las siguientes prerrogativas: Gozar de financiamiento público para el ejercicio de sus actividades ordinarias y para su participación en las precampañas y campañas electorales de Gobernador, diputados y ayuntamientos del Estado. (…)”. Dado que los partidos políticos obtienen financiamiento en público, como ciudadanía que forma parte del Estado, nos es de interés su gestión dado que, en proporción con el artículo 134 de la Constitución Política de los Estados Unidos Mexicanos, la Constitución Política del Estado Libre y Soberano de México en su artículo 129 indica que: “Los recursos económicos del Estado, (…), se administrarán con eficiencia, eficacia, economía, transparencia y honradez, para cumplir con los objetivos y programas a los que estén destinados. Las adquisiciones, arrendamientos y enajenaciones de todo tipo de bienes, la prestación de servicios de cualquier naturaleza y la contratación de obra se llevarán a cabo y se adjudicarán por medio de licitaciones públicas mediante convocatoria pública, (…) a fin de asegurar al Gobierno del Estado y a los municipios, las mejores condiciones disponibles en cuanto a precio, calidad, financiamiento, oportunidad y demás circunstancias pertinentes. (…)”. En este sentido, la Ley </w:t>
      </w:r>
      <w:r w:rsidR="00705331" w:rsidRPr="00705331">
        <w:lastRenderedPageBreak/>
        <w:t>General de Partidos Políticos en su artículo 30 numeral 1 indica que “Se considera información pública de los partidos políticos: (…) g) Los contratos y convenios suscritos para la adquisición, arrendamiento, concesiones y prestación de bienes y servicios; (…)”. Además, en el artículo 63 de la misma Ley marca que “1. Los gastos que realicen los partidos políticos, las coaliciones y los candidatos deberán reunir los siguientes requisitos: (…) e) Sujetar los gastos asociados a adquisiciones, a los criterios de legalidad, honestidad, eficiencia, eficacia, economía, racionalidad, austeridad, transparencia, control y rendición de cuentas”. Ahora bien, la Ley General de Transparencia y Acceso a la Información Pública en su artículo 19 indica que: “Se presume que la información debe existir si se refiere a las facultades, competencias y funciones que los ordenamientos jurídicos aplicables otorgan a los sujetos obligados. En los casos en que ciertas facultades, competencias o funciones no se hayan ejercido, se debe motivar la respuesta en función de las causas que motiven la inexistencia”. Así también indica esta misma ley, en su 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 XXVIII. La información sobre los resultados sobre procedimientos de adjudicación direc</w:t>
      </w:r>
      <w:bookmarkStart w:id="0" w:name="_GoBack"/>
      <w:bookmarkEnd w:id="0"/>
      <w:r w:rsidR="00705331" w:rsidRPr="00705331">
        <w:t xml:space="preserve">ta, invitación restringida y licitación de cualquier naturaleza, incluyendo la Versión Pública del Expediente respectivo y de los contratos celebrados, (…)”. Por su parte,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indica: “Noveno. Las políticas de aplicabilidad de la información son las siguientes: II. La información derivada de las obligaciones de transparencia debe existir si se refiere a las facultades, competencias y funciones que los ordenamientos jurídicos y administrativos otorgan a los sujetos obligados, conforme lo señalado por el artículo 19 de la Ley General; en caso de que ciertas facultades, competencias o funciones no se hayan ejercido por parte del sujeto obligado y, en consecuencia, esté imposibilitado para publicar y actualizar alguna obligación de transparencia, no deberá incluirse como un rubro o fracción que no le aplica, sino que la información que deberá publicar y actualizar consiste en la exposición de los motivos y causas de la inexistencia de dicha información, y (…)”. Por último y no menos importante, el artículo 3 fracción XLI de la Ley de Transparencia y Acceso a la Información Pública del Estado de México y Municipios, define como sujetos obligados a los partidos políticos, a su vez en su artículo 92 señala: “Los sujetos obligados deberán poner a disposición del público de manera permanente y actualizada (…), en los respectivos medios electrónicos, de acuerdo con sus facultades, atribuciones, funciones u objeto social, según corresponda, la información, por lo menos, de los temas, documentos y políticas que a continuación se señalan: (…) XXIX. La información sobre los procesos y </w:t>
      </w:r>
      <w:r w:rsidR="00705331" w:rsidRPr="00705331">
        <w:lastRenderedPageBreak/>
        <w:t>resultados sobre procedimientos de adjudicación directa, invitación restringida y licitación de cualquier naturaleza, incluyendo la versión pública del expediente respectivo y de los contratos celebrados, (…)”. Lo anterior, tiene consecuencias en la opacidad en el ejercicio de los recursos públicos, contraviniendo a lo señalado por el artículo 134 de la Constitución Política de los Estados Unidos Mexicanos, al no conocer si las compras públicas de los partidos políticos se realizaron bajo los esquemas de licitación pública, invitación restringida o adjudicación directa, según conviniera para garantizar el mejor precio, calidad, financiamiento y oportunidad para el Estado.</w:t>
      </w:r>
      <w:r>
        <w:t>»</w:t>
      </w:r>
      <w:r w:rsidR="005B5BDF" w:rsidRPr="00AC0041">
        <w:t xml:space="preserve"> (Sic)</w:t>
      </w:r>
    </w:p>
    <w:p w14:paraId="5DCDEC9A" w14:textId="77777777" w:rsidR="00AC0041" w:rsidRPr="00AC0041" w:rsidRDefault="00AC0041" w:rsidP="006922F5">
      <w:pPr>
        <w:pBdr>
          <w:top w:val="nil"/>
          <w:left w:val="nil"/>
          <w:bottom w:val="nil"/>
          <w:right w:val="nil"/>
          <w:between w:val="nil"/>
        </w:pBdr>
        <w:contextualSpacing/>
        <w:rPr>
          <w:rFonts w:eastAsia="Palatino Linotype" w:cs="Palatino Linotype"/>
          <w:color w:val="000000"/>
          <w:szCs w:val="24"/>
        </w:rPr>
      </w:pPr>
    </w:p>
    <w:p w14:paraId="11D7F189" w14:textId="043FA06B" w:rsidR="00A970D5" w:rsidRPr="006922F5" w:rsidRDefault="00175CF6"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09D3B88B"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r w:rsidR="009F1E25" w:rsidRPr="006922F5">
        <w:rPr>
          <w:rFonts w:eastAsia="Palatino Linotype" w:cs="Palatino Linotype"/>
          <w:b/>
          <w:color w:val="000000"/>
          <w:szCs w:val="24"/>
        </w:rPr>
        <w:t xml:space="preserve">Presidente </w:t>
      </w:r>
      <w:r w:rsidRPr="006922F5">
        <w:rPr>
          <w:rFonts w:eastAsia="Palatino Linotype" w:cs="Palatino Linotype"/>
          <w:b/>
          <w:color w:val="000000"/>
          <w:szCs w:val="24"/>
        </w:rPr>
        <w:t>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6922F5">
        <w:rPr>
          <w:rFonts w:eastAsia="Palatino Linotype" w:cs="Palatino Linotype"/>
          <w:color w:val="000000"/>
          <w:szCs w:val="24"/>
        </w:rPr>
        <w:t>tado de México y Municipios, al</w:t>
      </w:r>
      <w:r w:rsidRPr="006922F5">
        <w:rPr>
          <w:rFonts w:eastAsia="Palatino Linotype" w:cs="Palatino Linotype"/>
          <w:color w:val="000000"/>
          <w:szCs w:val="24"/>
        </w:rPr>
        <w:t xml:space="preserve"> cu</w:t>
      </w:r>
      <w:r w:rsidR="008B2951" w:rsidRPr="006922F5">
        <w:rPr>
          <w:rFonts w:eastAsia="Palatino Linotype" w:cs="Palatino Linotype"/>
          <w:color w:val="000000"/>
          <w:szCs w:val="24"/>
        </w:rPr>
        <w:t>al recayó acuerdo de admisión de</w:t>
      </w:r>
      <w:r w:rsidRPr="006922F5">
        <w:rPr>
          <w:rFonts w:eastAsia="Palatino Linotype" w:cs="Palatino Linotype"/>
          <w:color w:val="000000"/>
          <w:szCs w:val="24"/>
        </w:rPr>
        <w:t xml:space="preserve"> fecha</w:t>
      </w:r>
      <w:r w:rsidR="008A637C">
        <w:rPr>
          <w:rFonts w:eastAsia="Palatino Linotype" w:cs="Palatino Linotype"/>
          <w:color w:val="000000"/>
          <w:szCs w:val="24"/>
        </w:rPr>
        <w:t xml:space="preserve"> </w:t>
      </w:r>
      <w:r w:rsidR="00705331">
        <w:rPr>
          <w:rFonts w:eastAsia="Palatino Linotype" w:cs="Palatino Linotype"/>
          <w:color w:val="000000"/>
          <w:szCs w:val="24"/>
        </w:rPr>
        <w:t>once de abril</w:t>
      </w:r>
      <w:r w:rsidR="00CF2732">
        <w:rPr>
          <w:rFonts w:eastAsia="Palatino Linotype" w:cs="Palatino Linotype"/>
          <w:color w:val="000000"/>
          <w:szCs w:val="24"/>
        </w:rPr>
        <w:t xml:space="preserve"> </w:t>
      </w:r>
      <w:r w:rsidR="008A637C">
        <w:rPr>
          <w:rFonts w:eastAsia="Palatino Linotype" w:cs="Palatino Linotype"/>
          <w:color w:val="000000"/>
          <w:szCs w:val="24"/>
        </w:rPr>
        <w:t>de dos mil veinti</w:t>
      </w:r>
      <w:r w:rsidR="008C12EC">
        <w:rPr>
          <w:rFonts w:eastAsia="Palatino Linotype" w:cs="Palatino Linotype"/>
          <w:color w:val="000000"/>
          <w:szCs w:val="24"/>
        </w:rPr>
        <w:t>cuatro,</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5AE7241" w:rsidR="00A970D5" w:rsidRPr="006922F5" w:rsidRDefault="00175CF6" w:rsidP="006922F5">
      <w:pPr>
        <w:pStyle w:val="Ttulo2"/>
        <w:rPr>
          <w:rFonts w:eastAsia="Palatino Linotype"/>
        </w:rPr>
      </w:pPr>
      <w:r>
        <w:rPr>
          <w:rFonts w:eastAsia="Palatino Linotype"/>
        </w:rPr>
        <w:t>QUIN</w:t>
      </w:r>
      <w:r w:rsidR="008E24B6">
        <w:rPr>
          <w:rFonts w:eastAsia="Palatino Linotype"/>
        </w:rPr>
        <w:t>TO</w:t>
      </w:r>
      <w:r w:rsidR="00A970D5" w:rsidRPr="006922F5">
        <w:rPr>
          <w:rFonts w:eastAsia="Palatino Linotype"/>
        </w:rPr>
        <w:t>. De la etapa de instrucción.</w:t>
      </w:r>
    </w:p>
    <w:p w14:paraId="134297B7" w14:textId="589716F4" w:rsidR="00EB47A3" w:rsidRPr="006F65AC" w:rsidRDefault="00705331" w:rsidP="00EB47A3">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Durante</w:t>
      </w:r>
      <w:r w:rsidR="00CF2732" w:rsidRPr="00CF2732">
        <w:rPr>
          <w:rFonts w:eastAsia="Palatino Linotype" w:cs="Palatino Linotype"/>
          <w:color w:val="000000"/>
          <w:szCs w:val="24"/>
        </w:rPr>
        <w:t xml:space="preserve"> la etapa de instrucción, se observa que en fecha </w:t>
      </w:r>
      <w:r>
        <w:rPr>
          <w:rFonts w:eastAsia="Palatino Linotype" w:cs="Palatino Linotype"/>
          <w:color w:val="000000"/>
          <w:szCs w:val="24"/>
        </w:rPr>
        <w:t>dieciséis de abril</w:t>
      </w:r>
      <w:r w:rsidR="00F35AA7">
        <w:rPr>
          <w:rFonts w:eastAsia="Palatino Linotype" w:cs="Palatino Linotype"/>
          <w:color w:val="000000"/>
          <w:szCs w:val="24"/>
        </w:rPr>
        <w:t xml:space="preserve"> </w:t>
      </w:r>
      <w:r w:rsidR="00AC0041">
        <w:rPr>
          <w:rFonts w:eastAsia="Palatino Linotype" w:cs="Palatino Linotype"/>
          <w:color w:val="000000"/>
          <w:szCs w:val="24"/>
        </w:rPr>
        <w:t xml:space="preserve">de dos mil </w:t>
      </w:r>
      <w:r w:rsidR="00654B8E">
        <w:rPr>
          <w:rFonts w:eastAsia="Palatino Linotype" w:cs="Palatino Linotype"/>
          <w:color w:val="000000"/>
          <w:szCs w:val="24"/>
        </w:rPr>
        <w:t>veinticuatro</w:t>
      </w:r>
      <w:r w:rsidR="00CF2732" w:rsidRPr="00CF2732">
        <w:rPr>
          <w:rFonts w:eastAsia="Palatino Linotype" w:cs="Palatino Linotype"/>
          <w:color w:val="000000"/>
          <w:szCs w:val="24"/>
        </w:rPr>
        <w:t xml:space="preserve">, el Sujeto Obligado rindió su Informe Justificado, consistente en </w:t>
      </w:r>
      <w:r w:rsidR="009622B5">
        <w:rPr>
          <w:rFonts w:eastAsia="Palatino Linotype" w:cs="Palatino Linotype"/>
          <w:color w:val="000000"/>
          <w:szCs w:val="24"/>
        </w:rPr>
        <w:t>l</w:t>
      </w:r>
      <w:r w:rsidR="00FB119F">
        <w:rPr>
          <w:rFonts w:eastAsia="Palatino Linotype" w:cs="Palatino Linotype"/>
          <w:color w:val="000000"/>
          <w:szCs w:val="24"/>
        </w:rPr>
        <w:t>os</w:t>
      </w:r>
      <w:r w:rsidR="00CF2732" w:rsidRPr="00CF2732">
        <w:rPr>
          <w:rFonts w:eastAsia="Palatino Linotype" w:cs="Palatino Linotype"/>
          <w:color w:val="000000"/>
          <w:szCs w:val="24"/>
        </w:rPr>
        <w:t xml:space="preserve"> </w:t>
      </w:r>
      <w:r w:rsidR="00896915">
        <w:rPr>
          <w:rFonts w:eastAsia="Palatino Linotype" w:cs="Palatino Linotype"/>
          <w:color w:val="000000"/>
          <w:szCs w:val="24"/>
        </w:rPr>
        <w:t>documento</w:t>
      </w:r>
      <w:r w:rsidR="00FB119F">
        <w:rPr>
          <w:rFonts w:eastAsia="Palatino Linotype" w:cs="Palatino Linotype"/>
          <w:color w:val="000000"/>
          <w:szCs w:val="24"/>
        </w:rPr>
        <w:t>s</w:t>
      </w:r>
      <w:r w:rsidR="00CF2732" w:rsidRPr="00CF2732">
        <w:rPr>
          <w:rFonts w:eastAsia="Palatino Linotype" w:cs="Palatino Linotype"/>
          <w:color w:val="000000"/>
          <w:szCs w:val="24"/>
        </w:rPr>
        <w:t xml:space="preserve"> denominad</w:t>
      </w:r>
      <w:r w:rsidR="00FB119F">
        <w:rPr>
          <w:rFonts w:eastAsia="Palatino Linotype" w:cs="Palatino Linotype"/>
          <w:color w:val="000000"/>
          <w:szCs w:val="24"/>
        </w:rPr>
        <w:t>os</w:t>
      </w:r>
      <w:r w:rsidR="00D509E9" w:rsidRPr="00D509E9">
        <w:rPr>
          <w:rFonts w:eastAsia="Palatino Linotype" w:cs="Palatino Linotype"/>
          <w:b/>
          <w:color w:val="000000"/>
          <w:szCs w:val="24"/>
        </w:rPr>
        <w:t xml:space="preserve"> </w:t>
      </w:r>
      <w:r>
        <w:rPr>
          <w:rFonts w:eastAsia="Palatino Linotype" w:cs="Palatino Linotype"/>
          <w:b/>
          <w:color w:val="000000"/>
          <w:szCs w:val="24"/>
        </w:rPr>
        <w:t>«Anexo 1_Respuesta Solicitud 00008_PRD_24.pdf»</w:t>
      </w:r>
      <w:r w:rsidRPr="00705331">
        <w:rPr>
          <w:rFonts w:eastAsia="Palatino Linotype" w:cs="Palatino Linotype"/>
          <w:color w:val="000000"/>
          <w:szCs w:val="24"/>
        </w:rPr>
        <w:t xml:space="preserve"> y</w:t>
      </w:r>
      <w:r>
        <w:rPr>
          <w:rFonts w:eastAsia="Palatino Linotype" w:cs="Palatino Linotype"/>
          <w:b/>
          <w:color w:val="000000"/>
          <w:szCs w:val="24"/>
        </w:rPr>
        <w:t xml:space="preserve"> «MANIFESTACIONES_RR_01795_2024_PRD_EDOMEX</w:t>
      </w:r>
      <w:r w:rsidR="00D509E9">
        <w:rPr>
          <w:rFonts w:eastAsia="Palatino Linotype" w:cs="Palatino Linotype"/>
          <w:b/>
          <w:color w:val="000000"/>
          <w:szCs w:val="24"/>
        </w:rPr>
        <w:t>.pdf»</w:t>
      </w:r>
      <w:r>
        <w:rPr>
          <w:rFonts w:eastAsia="Palatino Linotype" w:cs="Palatino Linotype"/>
          <w:color w:val="000000"/>
          <w:szCs w:val="24"/>
        </w:rPr>
        <w:t>,</w:t>
      </w:r>
      <w:r w:rsidR="00D509E9">
        <w:rPr>
          <w:rFonts w:eastAsia="Palatino Linotype" w:cs="Palatino Linotype"/>
          <w:color w:val="000000"/>
          <w:szCs w:val="24"/>
        </w:rPr>
        <w:t xml:space="preserve"> </w:t>
      </w:r>
      <w:r>
        <w:rPr>
          <w:rFonts w:eastAsia="Palatino Linotype" w:cs="Palatino Linotype"/>
          <w:color w:val="000000"/>
          <w:szCs w:val="24"/>
        </w:rPr>
        <w:t>los</w:t>
      </w:r>
      <w:r w:rsidR="00CF2732" w:rsidRPr="00CF2732">
        <w:rPr>
          <w:rFonts w:eastAsia="Palatino Linotype" w:cs="Palatino Linotype"/>
          <w:color w:val="000000"/>
          <w:szCs w:val="24"/>
        </w:rPr>
        <w:t xml:space="preserve"> cual</w:t>
      </w:r>
      <w:r>
        <w:rPr>
          <w:rFonts w:eastAsia="Palatino Linotype" w:cs="Palatino Linotype"/>
          <w:color w:val="000000"/>
          <w:szCs w:val="24"/>
        </w:rPr>
        <w:t>es</w:t>
      </w:r>
      <w:r w:rsidR="00CF2732" w:rsidRPr="00CF2732">
        <w:rPr>
          <w:rFonts w:eastAsia="Palatino Linotype" w:cs="Palatino Linotype"/>
          <w:color w:val="000000"/>
          <w:szCs w:val="24"/>
        </w:rPr>
        <w:t xml:space="preserve"> fue</w:t>
      </w:r>
      <w:r>
        <w:rPr>
          <w:rFonts w:eastAsia="Palatino Linotype" w:cs="Palatino Linotype"/>
          <w:color w:val="000000"/>
          <w:szCs w:val="24"/>
        </w:rPr>
        <w:t>ron</w:t>
      </w:r>
      <w:r w:rsidR="00CF2732" w:rsidRPr="00CF2732">
        <w:rPr>
          <w:rFonts w:eastAsia="Palatino Linotype" w:cs="Palatino Linotype"/>
          <w:color w:val="000000"/>
          <w:szCs w:val="24"/>
        </w:rPr>
        <w:t xml:space="preserve"> puest</w:t>
      </w:r>
      <w:r w:rsidR="00A74EA2">
        <w:rPr>
          <w:rFonts w:eastAsia="Palatino Linotype" w:cs="Palatino Linotype"/>
          <w:color w:val="000000"/>
          <w:szCs w:val="24"/>
        </w:rPr>
        <w:t>o</w:t>
      </w:r>
      <w:r>
        <w:rPr>
          <w:rFonts w:eastAsia="Palatino Linotype" w:cs="Palatino Linotype"/>
          <w:color w:val="000000"/>
          <w:szCs w:val="24"/>
        </w:rPr>
        <w:t>s a la vista del</w:t>
      </w:r>
      <w:r w:rsidR="00CF2732" w:rsidRPr="00CF2732">
        <w:rPr>
          <w:rFonts w:eastAsia="Palatino Linotype" w:cs="Palatino Linotype"/>
          <w:color w:val="000000"/>
          <w:szCs w:val="24"/>
        </w:rPr>
        <w:t xml:space="preserve"> Recurrente mediante acue</w:t>
      </w:r>
      <w:r w:rsidR="00CF2732">
        <w:rPr>
          <w:rFonts w:eastAsia="Palatino Linotype" w:cs="Palatino Linotype"/>
          <w:color w:val="000000"/>
          <w:szCs w:val="24"/>
        </w:rPr>
        <w:t xml:space="preserve">rdo de fecha </w:t>
      </w:r>
      <w:r w:rsidR="007E4625" w:rsidRPr="00A74EA2">
        <w:rPr>
          <w:rFonts w:eastAsia="Palatino Linotype" w:cs="Palatino Linotype"/>
          <w:color w:val="000000"/>
          <w:szCs w:val="24"/>
        </w:rPr>
        <w:t>veinti</w:t>
      </w:r>
      <w:r w:rsidR="00B0352E">
        <w:rPr>
          <w:rFonts w:eastAsia="Palatino Linotype" w:cs="Palatino Linotype"/>
          <w:color w:val="000000"/>
          <w:szCs w:val="24"/>
        </w:rPr>
        <w:t>cuatro de abril</w:t>
      </w:r>
      <w:r w:rsidR="00896915">
        <w:rPr>
          <w:rFonts w:eastAsia="Palatino Linotype" w:cs="Palatino Linotype"/>
          <w:color w:val="000000"/>
          <w:szCs w:val="24"/>
        </w:rPr>
        <w:t xml:space="preserve"> </w:t>
      </w:r>
      <w:r w:rsidR="00CF2732" w:rsidRPr="00CF2732">
        <w:rPr>
          <w:rFonts w:eastAsia="Palatino Linotype" w:cs="Palatino Linotype"/>
          <w:color w:val="000000"/>
          <w:szCs w:val="24"/>
        </w:rPr>
        <w:t xml:space="preserve">del </w:t>
      </w:r>
      <w:r w:rsidR="000F5C16">
        <w:rPr>
          <w:rFonts w:eastAsia="Palatino Linotype" w:cs="Palatino Linotype"/>
          <w:color w:val="000000"/>
          <w:szCs w:val="24"/>
        </w:rPr>
        <w:t>año en curso</w:t>
      </w:r>
      <w:r w:rsidR="00CF2732" w:rsidRPr="00CF2732">
        <w:rPr>
          <w:rFonts w:eastAsia="Palatino Linotype" w:cs="Palatino Linotype"/>
          <w:color w:val="000000"/>
          <w:szCs w:val="24"/>
        </w:rPr>
        <w:t>, en términos de la fracción III del artículo 185 de la Ley de Transparencia y Acceso a la Información Pública del Estado de México y Municipios, otorgando al particular un término de tres días para manifestar lo que a</w:t>
      </w:r>
      <w:r w:rsidR="00CF2732">
        <w:rPr>
          <w:rFonts w:eastAsia="Palatino Linotype" w:cs="Palatino Linotype"/>
          <w:color w:val="000000"/>
          <w:szCs w:val="24"/>
        </w:rPr>
        <w:t xml:space="preserve"> su derecho conviniera. Por su</w:t>
      </w:r>
      <w:r w:rsidR="00CF2732" w:rsidRPr="00CF2732">
        <w:rPr>
          <w:rFonts w:eastAsia="Palatino Linotype" w:cs="Palatino Linotype"/>
          <w:color w:val="000000"/>
          <w:szCs w:val="24"/>
        </w:rPr>
        <w:t xml:space="preserve"> parte, </w:t>
      </w:r>
      <w:r w:rsidR="00B0352E">
        <w:rPr>
          <w:rFonts w:eastAsia="Palatino Linotype" w:cs="Palatino Linotype"/>
          <w:color w:val="000000"/>
          <w:szCs w:val="24"/>
        </w:rPr>
        <w:t xml:space="preserve">el </w:t>
      </w:r>
      <w:r w:rsidR="00CF2732" w:rsidRPr="00CF2732">
        <w:rPr>
          <w:rFonts w:eastAsia="Palatino Linotype" w:cs="Palatino Linotype"/>
          <w:color w:val="000000"/>
          <w:szCs w:val="24"/>
        </w:rPr>
        <w:t>Recurrente</w:t>
      </w:r>
      <w:r w:rsidR="005B4E04">
        <w:rPr>
          <w:rFonts w:eastAsia="Palatino Linotype" w:cs="Palatino Linotype"/>
          <w:color w:val="000000"/>
          <w:szCs w:val="24"/>
        </w:rPr>
        <w:t xml:space="preserve"> </w:t>
      </w:r>
      <w:r w:rsidR="00B0352E">
        <w:rPr>
          <w:rFonts w:eastAsia="Palatino Linotype" w:cs="Palatino Linotype"/>
          <w:color w:val="000000"/>
          <w:szCs w:val="24"/>
        </w:rPr>
        <w:t xml:space="preserve">no </w:t>
      </w:r>
      <w:r w:rsidR="00CF2732" w:rsidRPr="00CF2732">
        <w:rPr>
          <w:rFonts w:eastAsia="Palatino Linotype" w:cs="Palatino Linotype"/>
          <w:color w:val="000000"/>
          <w:szCs w:val="24"/>
        </w:rPr>
        <w:t>emitió</w:t>
      </w:r>
      <w:r w:rsidR="00B0352E">
        <w:rPr>
          <w:rFonts w:eastAsia="Palatino Linotype" w:cs="Palatino Linotype"/>
          <w:color w:val="000000"/>
          <w:szCs w:val="24"/>
        </w:rPr>
        <w:t xml:space="preserve"> manifestaciones, vertió alegatos ni presentó pruebas que a </w:t>
      </w:r>
      <w:r w:rsidR="00B0352E">
        <w:rPr>
          <w:rFonts w:eastAsia="Palatino Linotype" w:cs="Palatino Linotype"/>
          <w:color w:val="000000"/>
          <w:szCs w:val="24"/>
        </w:rPr>
        <w:lastRenderedPageBreak/>
        <w:t>su derecho convinieran</w:t>
      </w:r>
      <w:r w:rsidR="00CF2732">
        <w:rPr>
          <w:rFonts w:eastAsia="Palatino Linotype" w:cs="Palatino Linotype"/>
          <w:color w:val="000000"/>
          <w:szCs w:val="24"/>
        </w:rPr>
        <w:t xml:space="preserve">. </w:t>
      </w:r>
      <w:r w:rsidR="003C4F09">
        <w:rPr>
          <w:rFonts w:eastAsia="Palatino Linotype" w:cs="Palatino Linotype"/>
          <w:color w:val="000000"/>
          <w:szCs w:val="24"/>
        </w:rPr>
        <w:t xml:space="preserve">Por lo anterior, el </w:t>
      </w:r>
      <w:r w:rsidR="00BA2EAC">
        <w:rPr>
          <w:rFonts w:eastAsia="Palatino Linotype" w:cs="Palatino Linotype"/>
          <w:color w:val="000000"/>
          <w:szCs w:val="24"/>
        </w:rPr>
        <w:t xml:space="preserve">contenido de los documentos referidos en el presente Antecedente </w:t>
      </w:r>
      <w:r w:rsidR="00CF2732">
        <w:rPr>
          <w:rFonts w:eastAsia="Palatino Linotype" w:cs="Palatino Linotype"/>
          <w:color w:val="000000"/>
          <w:szCs w:val="24"/>
        </w:rPr>
        <w:t>será analizado en el estudio correspondiente.</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4750F550" w:rsidR="00A970D5" w:rsidRPr="006922F5" w:rsidRDefault="00E27953" w:rsidP="006922F5">
      <w:pPr>
        <w:pStyle w:val="Ttulo2"/>
        <w:rPr>
          <w:rFonts w:eastAsia="Palatino Linotype"/>
        </w:rPr>
      </w:pPr>
      <w:r w:rsidRPr="006922F5">
        <w:rPr>
          <w:rFonts w:eastAsia="Palatino Linotype"/>
        </w:rPr>
        <w:t>S</w:t>
      </w:r>
      <w:r w:rsidR="004872D0">
        <w:rPr>
          <w:rFonts w:eastAsia="Palatino Linotype"/>
        </w:rPr>
        <w:t>EXTO</w:t>
      </w:r>
      <w:r w:rsidR="00A970D5" w:rsidRPr="006922F5">
        <w:rPr>
          <w:rFonts w:eastAsia="Palatino Linotype"/>
        </w:rPr>
        <w:t>. Del cierre de instrucción.</w:t>
      </w:r>
    </w:p>
    <w:p w14:paraId="2456F4BD" w14:textId="59E6095A"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264613">
        <w:rPr>
          <w:rFonts w:eastAsia="Palatino Linotype" w:cs="Palatino Linotype"/>
          <w:color w:val="000000"/>
          <w:szCs w:val="24"/>
        </w:rPr>
        <w:t xml:space="preserve"> </w:t>
      </w:r>
      <w:r w:rsidR="00B0352E">
        <w:rPr>
          <w:rFonts w:eastAsia="Palatino Linotype" w:cs="Palatino Linotype"/>
          <w:color w:val="000000"/>
          <w:szCs w:val="24"/>
        </w:rPr>
        <w:t>treinta de marzo</w:t>
      </w:r>
      <w:r w:rsidR="00B92C96">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2D65EC0" w14:textId="77777777" w:rsidR="0000292A" w:rsidRDefault="0000292A" w:rsidP="006922F5">
      <w:pPr>
        <w:pBdr>
          <w:top w:val="nil"/>
          <w:left w:val="nil"/>
          <w:bottom w:val="nil"/>
          <w:right w:val="nil"/>
          <w:between w:val="nil"/>
        </w:pBdr>
        <w:contextualSpacing/>
        <w:rPr>
          <w:rFonts w:eastAsia="Palatino Linotype" w:cs="Palatino Linotype"/>
          <w:color w:val="000000"/>
          <w:szCs w:val="24"/>
        </w:rPr>
      </w:pPr>
    </w:p>
    <w:p w14:paraId="6EDA3723" w14:textId="77777777" w:rsidR="0000292A" w:rsidRPr="00047890" w:rsidRDefault="0000292A" w:rsidP="0000292A">
      <w:pPr>
        <w:pStyle w:val="Ttulo2"/>
        <w:rPr>
          <w:rFonts w:eastAsiaTheme="minorHAnsi"/>
          <w:lang w:eastAsia="en-US"/>
        </w:rPr>
      </w:pPr>
      <w:r>
        <w:rPr>
          <w:rFonts w:eastAsiaTheme="minorHAnsi"/>
          <w:lang w:eastAsia="en-US"/>
        </w:rPr>
        <w:t>OCTAVO</w:t>
      </w:r>
      <w:r w:rsidRPr="00047890">
        <w:rPr>
          <w:rFonts w:eastAsiaTheme="minorHAnsi"/>
          <w:lang w:eastAsia="en-US"/>
        </w:rPr>
        <w:t>. De la ampliación del término para resolver.</w:t>
      </w:r>
    </w:p>
    <w:p w14:paraId="448234D2" w14:textId="52C38296"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B0352E">
        <w:rPr>
          <w:rFonts w:eastAsiaTheme="minorHAnsi" w:cstheme="minorBidi"/>
          <w:szCs w:val="24"/>
          <w:lang w:eastAsia="en-US"/>
        </w:rPr>
        <w:t>veintiocho de mayo</w:t>
      </w:r>
      <w:r w:rsidRPr="00546575">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23146E9"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p>
    <w:p w14:paraId="477A44B1"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38AA114B"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p>
    <w:p w14:paraId="6F663FA9"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lastRenderedPageBreak/>
        <w:t>Por ello, es menester precisar que</w:t>
      </w:r>
      <w:r>
        <w:rPr>
          <w:rFonts w:eastAsiaTheme="minorHAnsi" w:cstheme="minorBidi"/>
          <w:szCs w:val="24"/>
          <w:lang w:eastAsia="en-US"/>
        </w:rPr>
        <w:t>,</w:t>
      </w:r>
      <w:r w:rsidRPr="00546575">
        <w:rPr>
          <w:rFonts w:eastAsiaTheme="minorHAnsi" w:cstheme="minorBidi"/>
          <w:szCs w:val="24"/>
          <w:lang w:eastAsia="en-US"/>
        </w:rPr>
        <w:t xml:space="preserv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0A5394B"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p>
    <w:p w14:paraId="1D93D8AD"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EC23F0"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p>
    <w:p w14:paraId="3D2B85C7"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9B80A18"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p>
    <w:p w14:paraId="34681CA7"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191FF5A8"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p>
    <w:p w14:paraId="7A1FF057" w14:textId="77777777" w:rsidR="0000292A" w:rsidRPr="00546575" w:rsidRDefault="0000292A" w:rsidP="00063128">
      <w:pPr>
        <w:numPr>
          <w:ilvl w:val="0"/>
          <w:numId w:val="20"/>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3654304B" w14:textId="77777777" w:rsidR="0000292A" w:rsidRPr="00546575" w:rsidRDefault="0000292A" w:rsidP="00063128">
      <w:pPr>
        <w:numPr>
          <w:ilvl w:val="0"/>
          <w:numId w:val="20"/>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Actividad Procesal del interesado: Acciones u omisiones del interesado.</w:t>
      </w:r>
    </w:p>
    <w:p w14:paraId="56CD7C4B" w14:textId="77777777" w:rsidR="0000292A" w:rsidRPr="00546575" w:rsidRDefault="0000292A" w:rsidP="00063128">
      <w:pPr>
        <w:numPr>
          <w:ilvl w:val="0"/>
          <w:numId w:val="20"/>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lastRenderedPageBreak/>
        <w:t>Conducta de la Autoridad: Las Acciones u omisiones realizadas en el procedimiento. Así como si la autoridad actuó con la debida diligencia.</w:t>
      </w:r>
    </w:p>
    <w:p w14:paraId="24263B4A" w14:textId="77777777" w:rsidR="0000292A" w:rsidRPr="00546575" w:rsidRDefault="0000292A" w:rsidP="00063128">
      <w:pPr>
        <w:numPr>
          <w:ilvl w:val="0"/>
          <w:numId w:val="20"/>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La afectación generada en la situación jurídica de la persona involucrada en el proceso: Violación a sus derechos humanos.</w:t>
      </w:r>
    </w:p>
    <w:p w14:paraId="69BD4AE4"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p>
    <w:p w14:paraId="1DEEF1D5"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2C04C85"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p>
    <w:p w14:paraId="564489D8"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Argumento que encuentra sustento en la jurisprudencia P</w:t>
      </w:r>
      <w:proofErr w:type="gramStart"/>
      <w:r w:rsidRPr="00546575">
        <w:rPr>
          <w:rFonts w:eastAsiaTheme="minorHAnsi" w:cstheme="minorBidi"/>
          <w:szCs w:val="24"/>
          <w:lang w:eastAsia="en-US"/>
        </w:rPr>
        <w:t>./</w:t>
      </w:r>
      <w:proofErr w:type="gramEnd"/>
      <w:r w:rsidRPr="00546575">
        <w:rPr>
          <w:rFonts w:eastAsiaTheme="minorHAnsi" w:cstheme="minorBidi"/>
          <w:szCs w:val="24"/>
          <w:lang w:eastAsia="en-U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E690328"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p>
    <w:p w14:paraId="717D55F5" w14:textId="07C22EF5"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w:t>
      </w:r>
      <w:r w:rsidRPr="00546575">
        <w:rPr>
          <w:rFonts w:eastAsiaTheme="minorHAnsi" w:cstheme="minorBidi"/>
          <w:szCs w:val="24"/>
          <w:lang w:eastAsia="en-US"/>
        </w:rPr>
        <w:lastRenderedPageBreak/>
        <w:t>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705783F9"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p>
    <w:p w14:paraId="686EDDEB"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r w:rsidRPr="00546575">
        <w:rPr>
          <w:rFonts w:ascii="Segoe UI Symbol" w:eastAsiaTheme="minorHAnsi" w:hAnsi="Segoe UI Symbol" w:cstheme="minorBidi"/>
          <w:szCs w:val="24"/>
          <w:lang w:eastAsia="en-US"/>
        </w:rPr>
        <w:t>«</w:t>
      </w:r>
      <w:r w:rsidRPr="00546575">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004460F5"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p>
    <w:p w14:paraId="5A484FA6"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2324796F" w14:textId="77777777"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p>
    <w:p w14:paraId="49536F4A" w14:textId="6215A35C" w:rsidR="0000292A" w:rsidRPr="00546575" w:rsidRDefault="0000292A" w:rsidP="0000292A">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744382F4" w14:textId="77777777" w:rsidR="00D12AFE" w:rsidRDefault="00D12AFE"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168FA299"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w:t>
      </w:r>
      <w:r w:rsidRPr="00264613">
        <w:rPr>
          <w:rFonts w:eastAsia="Palatino Linotype" w:cs="Palatino Linotype"/>
          <w:color w:val="000000"/>
          <w:szCs w:val="24"/>
        </w:rPr>
        <w:lastRenderedPageBreak/>
        <w:t xml:space="preserve">recurso de revisión interpuesto por el Recurrente conforme a lo dispuesto en los artículos 6, apartado A, fracción IV de la Constitución Política de los Estados Unidos Mexicanos; 5, párrafos trigésimo </w:t>
      </w:r>
      <w:r w:rsidR="0065640E">
        <w:rPr>
          <w:rFonts w:eastAsia="Palatino Linotype" w:cs="Palatino Linotype"/>
          <w:color w:val="000000"/>
          <w:szCs w:val="24"/>
        </w:rPr>
        <w:t>tercero</w:t>
      </w:r>
      <w:r w:rsidRPr="00264613">
        <w:rPr>
          <w:rFonts w:eastAsia="Palatino Linotype" w:cs="Palatino Linotype"/>
          <w:color w:val="000000"/>
          <w:szCs w:val="24"/>
        </w:rPr>
        <w:t xml:space="preserve"> y trigésimo </w:t>
      </w:r>
      <w:r w:rsidR="0065640E">
        <w:rPr>
          <w:rFonts w:eastAsia="Palatino Linotype" w:cs="Palatino Linotype"/>
          <w:color w:val="000000"/>
          <w:szCs w:val="24"/>
        </w:rPr>
        <w:t>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Pr="006922F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E192606" w14:textId="15D47BE4" w:rsidR="00565C1E" w:rsidRDefault="00565C1E" w:rsidP="006922F5">
      <w:pPr>
        <w:pBdr>
          <w:top w:val="nil"/>
          <w:left w:val="nil"/>
          <w:bottom w:val="nil"/>
          <w:right w:val="nil"/>
          <w:between w:val="nil"/>
        </w:pBdr>
        <w:contextualSpacing/>
        <w:rPr>
          <w:rFonts w:eastAsia="Palatino Linotype" w:cs="Palatino Linotype"/>
          <w:color w:val="000000"/>
          <w:szCs w:val="24"/>
        </w:rPr>
      </w:pPr>
    </w:p>
    <w:p w14:paraId="1A72B43D" w14:textId="77777777" w:rsidR="00B0352E" w:rsidRPr="00E06B6E" w:rsidRDefault="00B0352E" w:rsidP="00B0352E">
      <w:pPr>
        <w:pStyle w:val="Ttulo2"/>
        <w:rPr>
          <w:rFonts w:eastAsia="Palatino Linotype"/>
        </w:rPr>
      </w:pPr>
      <w:r w:rsidRPr="00E06B6E">
        <w:rPr>
          <w:rFonts w:eastAsia="Palatino Linotype"/>
        </w:rPr>
        <w:t>TERCERO. Cuestiones de previo y especial pronunciamiento.</w:t>
      </w:r>
    </w:p>
    <w:p w14:paraId="3D794AC6" w14:textId="77777777" w:rsidR="00B0352E" w:rsidRPr="00FB173E" w:rsidRDefault="00B0352E" w:rsidP="00B0352E">
      <w:pPr>
        <w:contextualSpacing/>
        <w:rPr>
          <w:rFonts w:eastAsia="Palatino Linotype" w:cs="Palatino Linotype"/>
          <w:szCs w:val="24"/>
        </w:rPr>
      </w:pPr>
      <w:r w:rsidRPr="00FB173E">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713653C3" w14:textId="77777777" w:rsidR="00B0352E" w:rsidRPr="00FB173E" w:rsidRDefault="00B0352E" w:rsidP="00B0352E">
      <w:pPr>
        <w:contextualSpacing/>
        <w:rPr>
          <w:rFonts w:eastAsia="Palatino Linotype" w:cs="Palatino Linotype"/>
          <w:szCs w:val="24"/>
        </w:rPr>
      </w:pPr>
    </w:p>
    <w:p w14:paraId="4C3844C5" w14:textId="77777777" w:rsidR="00B0352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b/>
          <w:i/>
          <w:sz w:val="22"/>
        </w:rPr>
        <w:lastRenderedPageBreak/>
        <w:t xml:space="preserve">Artículo 180. </w:t>
      </w:r>
      <w:r w:rsidRPr="00FB173E">
        <w:rPr>
          <w:rFonts w:eastAsia="Palatino Linotype" w:cs="Palatino Linotype"/>
          <w:i/>
          <w:sz w:val="22"/>
        </w:rPr>
        <w:t>El recurso de revisión contendrá:</w:t>
      </w:r>
    </w:p>
    <w:p w14:paraId="25B306D2" w14:textId="77777777" w:rsidR="00B0352E" w:rsidRPr="00FB173E" w:rsidRDefault="00B0352E" w:rsidP="00B0352E">
      <w:pPr>
        <w:spacing w:line="240" w:lineRule="auto"/>
        <w:ind w:left="567" w:right="567"/>
        <w:contextualSpacing/>
        <w:rPr>
          <w:rFonts w:eastAsia="Palatino Linotype" w:cs="Palatino Linotype"/>
          <w:i/>
          <w:sz w:val="22"/>
        </w:rPr>
      </w:pPr>
    </w:p>
    <w:p w14:paraId="6019642E"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I. El sujeto obligado ante la cual se presentó la solicitud;</w:t>
      </w:r>
    </w:p>
    <w:p w14:paraId="492513E6"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b/>
          <w:i/>
          <w:sz w:val="22"/>
        </w:rPr>
        <w:t>II. El nombre del solicitante que recurre</w:t>
      </w:r>
      <w:r w:rsidRPr="00FB173E">
        <w:rPr>
          <w:rFonts w:eastAsia="Palatino Linotype" w:cs="Palatino Linotype"/>
          <w:i/>
          <w:sz w:val="22"/>
        </w:rPr>
        <w:t xml:space="preserve"> o de su representante y, en su caso, del tercero interesado, así como la dirección o medio que señale para recibir notificaciones;</w:t>
      </w:r>
    </w:p>
    <w:p w14:paraId="2E793A91"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III. El número de folio de respuesta de la solicitud de acceso;</w:t>
      </w:r>
    </w:p>
    <w:p w14:paraId="7BC8A89C"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IV. La fecha en que fue notificada la respuesta al solicitante o tuvo conocimiento del acto reclamado, o de presentación de la solicitud, en caso de falta de respuesta;</w:t>
      </w:r>
    </w:p>
    <w:p w14:paraId="5BF96401"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V. El acto que se recurre;</w:t>
      </w:r>
    </w:p>
    <w:p w14:paraId="097E539B"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VI. Las razones o motivos de inconformidad;</w:t>
      </w:r>
    </w:p>
    <w:p w14:paraId="4E5A2199"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VII. La copia de la respuesta que se impugna y, en su caso, de la notificación correspondiente, en el caso de respuesta de la solicitud; y</w:t>
      </w:r>
    </w:p>
    <w:p w14:paraId="72C7BE93"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VIII. Firma del recurrente, en su caso, cuando se presente por escrito, requisito sin el cual se dará trámite al recurso.</w:t>
      </w:r>
    </w:p>
    <w:p w14:paraId="73E6FEFE" w14:textId="77777777" w:rsidR="00B0352E" w:rsidRPr="00FB173E" w:rsidRDefault="00B0352E" w:rsidP="00B0352E">
      <w:pPr>
        <w:spacing w:line="240" w:lineRule="auto"/>
        <w:ind w:left="567" w:right="567"/>
        <w:contextualSpacing/>
        <w:rPr>
          <w:rFonts w:eastAsia="Palatino Linotype" w:cs="Palatino Linotype"/>
          <w:i/>
          <w:sz w:val="22"/>
        </w:rPr>
      </w:pPr>
    </w:p>
    <w:p w14:paraId="7FD13E32"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Adicionalmente, se podrán anexar las pruebas y demás elementos que considere procedentes someter a juicio del Instituto.</w:t>
      </w:r>
    </w:p>
    <w:p w14:paraId="194C01F9" w14:textId="77777777" w:rsidR="00B0352E" w:rsidRPr="00FB173E" w:rsidRDefault="00B0352E" w:rsidP="00B0352E">
      <w:pPr>
        <w:spacing w:line="240" w:lineRule="auto"/>
        <w:ind w:left="567" w:right="567"/>
        <w:contextualSpacing/>
        <w:rPr>
          <w:rFonts w:eastAsia="Palatino Linotype" w:cs="Palatino Linotype"/>
          <w:i/>
          <w:sz w:val="22"/>
        </w:rPr>
      </w:pPr>
    </w:p>
    <w:p w14:paraId="13F46009"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En ningún caso será necesario que el particular ratifique el recurso de revisión interpuesto.</w:t>
      </w:r>
    </w:p>
    <w:p w14:paraId="2115040D" w14:textId="77777777" w:rsidR="00B0352E" w:rsidRPr="00FB173E" w:rsidRDefault="00B0352E" w:rsidP="00B0352E">
      <w:pPr>
        <w:spacing w:line="240" w:lineRule="auto"/>
        <w:ind w:left="567" w:right="567"/>
        <w:contextualSpacing/>
        <w:rPr>
          <w:rFonts w:eastAsia="Palatino Linotype" w:cs="Palatino Linotype"/>
          <w:i/>
          <w:sz w:val="22"/>
        </w:rPr>
      </w:pPr>
    </w:p>
    <w:p w14:paraId="3E4924D7"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b/>
          <w:i/>
          <w:sz w:val="22"/>
        </w:rPr>
        <w:t>En caso de que el recurso se interponga de manera electrónica no será indispensable que contengan los requisitos establecidos en las fracciones II</w:t>
      </w:r>
      <w:r w:rsidRPr="00FB173E">
        <w:rPr>
          <w:rFonts w:eastAsia="Palatino Linotype" w:cs="Palatino Linotype"/>
          <w:i/>
          <w:sz w:val="22"/>
        </w:rPr>
        <w:t>, IV, VII y VIII.</w:t>
      </w:r>
    </w:p>
    <w:p w14:paraId="171715D6" w14:textId="77777777" w:rsidR="00B0352E" w:rsidRPr="00FB173E" w:rsidRDefault="00B0352E" w:rsidP="00B0352E">
      <w:pPr>
        <w:contextualSpacing/>
        <w:rPr>
          <w:rFonts w:eastAsia="Palatino Linotype" w:cs="Palatino Linotype"/>
          <w:b/>
          <w:i/>
          <w:szCs w:val="24"/>
        </w:rPr>
      </w:pPr>
    </w:p>
    <w:p w14:paraId="6BAD8263" w14:textId="7FFE83CB" w:rsidR="00B0352E" w:rsidRPr="00FB173E" w:rsidRDefault="00B0352E" w:rsidP="00B0352E">
      <w:pPr>
        <w:contextualSpacing/>
        <w:rPr>
          <w:rFonts w:eastAsia="Palatino Linotype" w:cs="Palatino Linotype"/>
          <w:szCs w:val="24"/>
        </w:rPr>
      </w:pPr>
      <w:r w:rsidRPr="00FB173E">
        <w:rPr>
          <w:rFonts w:eastAsia="Palatino Linotype" w:cs="Palatino Linotype"/>
          <w:szCs w:val="24"/>
        </w:rPr>
        <w:t>Cabe señalar que el hoy Recurrente</w:t>
      </w:r>
      <w:r>
        <w:rPr>
          <w:rFonts w:eastAsia="Palatino Linotype" w:cs="Palatino Linotype"/>
          <w:szCs w:val="24"/>
        </w:rPr>
        <w:t xml:space="preserve"> no proporcionó nombre o seudónimo</w:t>
      </w:r>
      <w:r w:rsidRPr="00FB173E">
        <w:rPr>
          <w:rFonts w:eastAsia="Palatino Linotype" w:cs="Palatino Linotype"/>
          <w:szCs w:val="24"/>
        </w:rPr>
        <w:t>; 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7A701363" w14:textId="77777777" w:rsidR="00B0352E" w:rsidRPr="00FB173E" w:rsidRDefault="00B0352E" w:rsidP="00B0352E">
      <w:pPr>
        <w:contextualSpacing/>
        <w:rPr>
          <w:rFonts w:eastAsia="Palatino Linotype" w:cs="Palatino Linotype"/>
          <w:szCs w:val="24"/>
        </w:rPr>
      </w:pPr>
    </w:p>
    <w:p w14:paraId="38A4ADE2"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155.</w:t>
      </w:r>
      <w:r>
        <w:rPr>
          <w:rFonts w:eastAsia="Palatino Linotype" w:cs="Palatino Linotype"/>
          <w:i/>
          <w:sz w:val="22"/>
        </w:rPr>
        <w:t xml:space="preserve"> […]</w:t>
      </w:r>
    </w:p>
    <w:p w14:paraId="20AF86C1" w14:textId="77777777" w:rsidR="00B0352E" w:rsidRPr="00FB173E" w:rsidRDefault="00B0352E" w:rsidP="00B0352E">
      <w:pPr>
        <w:spacing w:line="240" w:lineRule="auto"/>
        <w:ind w:left="567" w:right="567"/>
        <w:contextualSpacing/>
        <w:rPr>
          <w:rFonts w:eastAsia="Palatino Linotype" w:cs="Palatino Linotype"/>
          <w:i/>
          <w:sz w:val="22"/>
        </w:rPr>
      </w:pPr>
    </w:p>
    <w:p w14:paraId="08D150D1"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b/>
          <w:i/>
          <w:sz w:val="22"/>
        </w:rPr>
        <w:lastRenderedPageBreak/>
        <w:t>Las solicitudes anónimas</w:t>
      </w:r>
      <w:r w:rsidRPr="00FB173E">
        <w:rPr>
          <w:rFonts w:eastAsia="Palatino Linotype" w:cs="Palatino Linotype"/>
          <w:i/>
          <w:sz w:val="22"/>
        </w:rPr>
        <w:t xml:space="preserve">, con nombre incompleto o seudónimo </w:t>
      </w:r>
      <w:r w:rsidRPr="00FB173E">
        <w:rPr>
          <w:rFonts w:eastAsia="Palatino Linotype" w:cs="Palatino Linotype"/>
          <w:b/>
          <w:i/>
          <w:sz w:val="22"/>
        </w:rPr>
        <w:t>serán procedentes para su trámite</w:t>
      </w:r>
      <w:r w:rsidRPr="00FB173E">
        <w:rPr>
          <w:rFonts w:eastAsia="Palatino Linotype" w:cs="Palatino Linotype"/>
          <w:i/>
          <w:sz w:val="22"/>
        </w:rPr>
        <w:t xml:space="preserve"> por parte del sujeto obligado ante quien se presente. No podrá requerirse información adicional con motivo del nombre proporcionado por el solicitante.</w:t>
      </w:r>
    </w:p>
    <w:p w14:paraId="611605F7" w14:textId="77777777" w:rsidR="00B0352E" w:rsidRPr="00FB173E" w:rsidRDefault="00B0352E" w:rsidP="00B0352E">
      <w:pPr>
        <w:contextualSpacing/>
        <w:rPr>
          <w:rFonts w:eastAsia="Palatino Linotype" w:cs="Palatino Linotype"/>
          <w:szCs w:val="24"/>
        </w:rPr>
      </w:pPr>
    </w:p>
    <w:p w14:paraId="24EFBCBC" w14:textId="77777777" w:rsidR="00B0352E" w:rsidRPr="00FB173E" w:rsidRDefault="00B0352E" w:rsidP="00B0352E">
      <w:pPr>
        <w:contextualSpacing/>
        <w:rPr>
          <w:rFonts w:eastAsia="Palatino Linotype" w:cs="Palatino Linotype"/>
          <w:szCs w:val="24"/>
        </w:rPr>
      </w:pPr>
      <w:r w:rsidRPr="00FB173E">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C283045" w14:textId="77777777" w:rsidR="00B0352E" w:rsidRPr="00FB173E" w:rsidRDefault="00B0352E" w:rsidP="00B0352E">
      <w:pPr>
        <w:contextualSpacing/>
        <w:rPr>
          <w:rFonts w:eastAsia="Palatino Linotype" w:cs="Palatino Linotype"/>
          <w:szCs w:val="24"/>
        </w:rPr>
      </w:pPr>
    </w:p>
    <w:p w14:paraId="4CD094D7" w14:textId="77777777" w:rsidR="00B0352E" w:rsidRPr="00FB173E" w:rsidRDefault="00B0352E" w:rsidP="00B0352E">
      <w:pPr>
        <w:spacing w:line="240" w:lineRule="auto"/>
        <w:ind w:left="567" w:right="567"/>
        <w:contextualSpacing/>
        <w:jc w:val="center"/>
        <w:rPr>
          <w:rFonts w:eastAsia="Palatino Linotype" w:cs="Palatino Linotype"/>
          <w:b/>
          <w:i/>
          <w:sz w:val="22"/>
          <w:u w:val="single"/>
        </w:rPr>
      </w:pPr>
      <w:r w:rsidRPr="00FB173E">
        <w:rPr>
          <w:rFonts w:eastAsia="Palatino Linotype" w:cs="Palatino Linotype"/>
          <w:b/>
          <w:i/>
          <w:sz w:val="22"/>
          <w:u w:val="single"/>
        </w:rPr>
        <w:t>Constitución Política de los Estados Unidos Mexicanos</w:t>
      </w:r>
    </w:p>
    <w:p w14:paraId="78EAEAC5"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6</w:t>
      </w:r>
      <w:r w:rsidRPr="00FB173E">
        <w:rPr>
          <w:rFonts w:eastAsia="Palatino Linotype" w:cs="Palatino Linotype"/>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73D92A2" w14:textId="77777777" w:rsidR="00B0352E" w:rsidRPr="00FB173E" w:rsidRDefault="00B0352E" w:rsidP="00B0352E">
      <w:pPr>
        <w:spacing w:line="240" w:lineRule="auto"/>
        <w:ind w:left="567" w:right="567"/>
        <w:contextualSpacing/>
        <w:rPr>
          <w:rFonts w:eastAsia="Palatino Linotype" w:cs="Palatino Linotype"/>
          <w:i/>
          <w:sz w:val="22"/>
        </w:rPr>
      </w:pPr>
      <w:r>
        <w:rPr>
          <w:rFonts w:eastAsia="Palatino Linotype" w:cs="Palatino Linotype"/>
          <w:i/>
          <w:sz w:val="22"/>
        </w:rPr>
        <w:t>[…]</w:t>
      </w:r>
    </w:p>
    <w:p w14:paraId="402F2F7C" w14:textId="77777777" w:rsidR="00B0352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Para efectos de lo dispuesto en el presente artículo se observará lo siguiente: </w:t>
      </w:r>
    </w:p>
    <w:p w14:paraId="6D3D91B1" w14:textId="77777777" w:rsidR="00B0352E" w:rsidRPr="00FB173E" w:rsidRDefault="00B0352E" w:rsidP="00B0352E">
      <w:pPr>
        <w:spacing w:line="240" w:lineRule="auto"/>
        <w:ind w:left="567" w:right="567"/>
        <w:contextualSpacing/>
        <w:rPr>
          <w:rFonts w:eastAsia="Palatino Linotype" w:cs="Palatino Linotype"/>
          <w:i/>
          <w:sz w:val="22"/>
        </w:rPr>
      </w:pPr>
    </w:p>
    <w:p w14:paraId="6E0B37D9"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A. Para el ejercicio del derecho de acceso </w:t>
      </w:r>
      <w:r>
        <w:rPr>
          <w:rFonts w:eastAsia="Palatino Linotype" w:cs="Palatino Linotype"/>
          <w:i/>
          <w:sz w:val="22"/>
        </w:rPr>
        <w:t>a la información, la Federación y las entidades federativas</w:t>
      </w:r>
      <w:r w:rsidRPr="00FB173E">
        <w:rPr>
          <w:rFonts w:eastAsia="Palatino Linotype" w:cs="Palatino Linotype"/>
          <w:i/>
          <w:sz w:val="22"/>
        </w:rPr>
        <w:t>, en el ámbito de sus respectivas competencias, se regirán por los siguientes principios y bases:</w:t>
      </w:r>
    </w:p>
    <w:p w14:paraId="3F6A661C" w14:textId="77777777" w:rsidR="00B0352E" w:rsidRPr="00FB173E" w:rsidRDefault="00B0352E" w:rsidP="00B0352E">
      <w:pPr>
        <w:spacing w:line="240" w:lineRule="auto"/>
        <w:ind w:left="567" w:right="567"/>
        <w:contextualSpacing/>
        <w:rPr>
          <w:rFonts w:eastAsia="Palatino Linotype" w:cs="Palatino Linotype"/>
          <w:i/>
          <w:sz w:val="22"/>
        </w:rPr>
      </w:pPr>
      <w:r>
        <w:rPr>
          <w:rFonts w:eastAsia="Palatino Linotype" w:cs="Palatino Linotype"/>
          <w:i/>
          <w:sz w:val="22"/>
        </w:rPr>
        <w:t>[…]</w:t>
      </w:r>
    </w:p>
    <w:p w14:paraId="6FDC17C3"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69887AA4"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3D5C783" w14:textId="77777777" w:rsidR="00B0352E" w:rsidRPr="00FB173E" w:rsidRDefault="00B0352E" w:rsidP="00B0352E">
      <w:pPr>
        <w:spacing w:line="240" w:lineRule="auto"/>
        <w:ind w:left="567" w:right="567"/>
        <w:contextualSpacing/>
        <w:rPr>
          <w:rFonts w:eastAsia="Palatino Linotype" w:cs="Palatino Linotype"/>
          <w:i/>
          <w:sz w:val="22"/>
        </w:rPr>
      </w:pPr>
    </w:p>
    <w:p w14:paraId="2B53AF94" w14:textId="77777777" w:rsidR="00B0352E" w:rsidRPr="00FB173E" w:rsidRDefault="00B0352E" w:rsidP="00B0352E">
      <w:pPr>
        <w:spacing w:line="240" w:lineRule="auto"/>
        <w:ind w:left="567" w:right="567"/>
        <w:contextualSpacing/>
        <w:jc w:val="center"/>
        <w:rPr>
          <w:rFonts w:eastAsia="Palatino Linotype" w:cs="Palatino Linotype"/>
          <w:b/>
          <w:i/>
          <w:sz w:val="22"/>
          <w:u w:val="single"/>
        </w:rPr>
      </w:pPr>
      <w:r w:rsidRPr="00FB173E">
        <w:rPr>
          <w:rFonts w:eastAsia="Palatino Linotype" w:cs="Palatino Linotype"/>
          <w:b/>
          <w:i/>
          <w:sz w:val="22"/>
          <w:u w:val="single"/>
        </w:rPr>
        <w:t>Constitución Política del Estado Libre y Soberano de México</w:t>
      </w:r>
    </w:p>
    <w:p w14:paraId="44838314"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5</w:t>
      </w:r>
      <w:r w:rsidRPr="00FB173E">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4486698" w14:textId="77777777" w:rsidR="00B0352E" w:rsidRPr="00FB173E" w:rsidRDefault="00B0352E" w:rsidP="00B0352E">
      <w:pPr>
        <w:spacing w:line="240" w:lineRule="auto"/>
        <w:ind w:left="567" w:right="567"/>
        <w:contextualSpacing/>
        <w:rPr>
          <w:rFonts w:eastAsia="Palatino Linotype" w:cs="Palatino Linotype"/>
          <w:i/>
          <w:sz w:val="22"/>
        </w:rPr>
      </w:pPr>
      <w:r>
        <w:rPr>
          <w:rFonts w:eastAsia="Palatino Linotype" w:cs="Palatino Linotype"/>
          <w:i/>
          <w:sz w:val="22"/>
        </w:rPr>
        <w:lastRenderedPageBreak/>
        <w:t>[…]</w:t>
      </w:r>
    </w:p>
    <w:p w14:paraId="68947DE7"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23AEF8F6" w14:textId="77777777" w:rsidR="00B0352E" w:rsidRPr="00FB173E" w:rsidRDefault="00B0352E" w:rsidP="00B0352E">
      <w:pPr>
        <w:spacing w:line="240" w:lineRule="auto"/>
        <w:ind w:left="567" w:right="567"/>
        <w:contextualSpacing/>
        <w:rPr>
          <w:rFonts w:eastAsia="Palatino Linotype" w:cs="Palatino Linotype"/>
          <w:i/>
          <w:sz w:val="22"/>
        </w:rPr>
      </w:pPr>
      <w:r>
        <w:rPr>
          <w:rFonts w:eastAsia="Palatino Linotype" w:cs="Palatino Linotype"/>
          <w:i/>
          <w:sz w:val="22"/>
        </w:rPr>
        <w:t>[…]</w:t>
      </w:r>
    </w:p>
    <w:p w14:paraId="0A91BA61"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13A7D9E2" w14:textId="77777777" w:rsidR="00B0352E" w:rsidRPr="00FB173E" w:rsidRDefault="00B0352E" w:rsidP="00B0352E">
      <w:pPr>
        <w:spacing w:line="240" w:lineRule="auto"/>
        <w:ind w:left="567" w:right="567"/>
        <w:contextualSpacing/>
        <w:rPr>
          <w:rFonts w:eastAsia="Palatino Linotype" w:cs="Palatino Linotype"/>
          <w:i/>
          <w:sz w:val="22"/>
        </w:rPr>
      </w:pPr>
    </w:p>
    <w:p w14:paraId="295E60E2"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4B79745" w14:textId="77777777" w:rsidR="00B0352E" w:rsidRPr="00FB173E" w:rsidRDefault="00B0352E" w:rsidP="00B0352E">
      <w:pPr>
        <w:spacing w:line="240" w:lineRule="auto"/>
        <w:ind w:left="567" w:right="567"/>
        <w:contextualSpacing/>
        <w:rPr>
          <w:rFonts w:eastAsia="Palatino Linotype" w:cs="Palatino Linotype"/>
          <w:i/>
          <w:sz w:val="22"/>
        </w:rPr>
      </w:pPr>
    </w:p>
    <w:p w14:paraId="3232EB63"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Este derecho se regirá por los principios y bases siguientes:</w:t>
      </w:r>
    </w:p>
    <w:p w14:paraId="667D0D14" w14:textId="77777777" w:rsidR="00B0352E" w:rsidRPr="00FB173E" w:rsidRDefault="00B0352E" w:rsidP="00B0352E">
      <w:pPr>
        <w:spacing w:line="240" w:lineRule="auto"/>
        <w:ind w:left="567" w:right="567"/>
        <w:contextualSpacing/>
        <w:rPr>
          <w:rFonts w:eastAsia="Palatino Linotype" w:cs="Palatino Linotype"/>
          <w:i/>
          <w:sz w:val="22"/>
        </w:rPr>
      </w:pPr>
      <w:r>
        <w:rPr>
          <w:rFonts w:eastAsia="Palatino Linotype" w:cs="Palatino Linotype"/>
          <w:i/>
          <w:sz w:val="22"/>
        </w:rPr>
        <w:t>[…]</w:t>
      </w:r>
    </w:p>
    <w:p w14:paraId="666BA97B"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b/>
          <w:i/>
          <w:sz w:val="22"/>
        </w:rPr>
        <w:t>III.</w:t>
      </w:r>
      <w:r w:rsidRPr="00FB173E">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4B51BF21"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b/>
          <w:i/>
          <w:sz w:val="22"/>
        </w:rPr>
        <w:t>IV.</w:t>
      </w:r>
      <w:r w:rsidRPr="00FB173E">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1A1E40F6" w14:textId="77777777" w:rsidR="00B0352E" w:rsidRPr="00FB173E" w:rsidRDefault="00B0352E" w:rsidP="00B0352E">
      <w:pPr>
        <w:spacing w:line="240" w:lineRule="auto"/>
        <w:ind w:left="567" w:right="567"/>
        <w:contextualSpacing/>
        <w:rPr>
          <w:rFonts w:eastAsia="Palatino Linotype" w:cs="Palatino Linotype"/>
          <w:i/>
          <w:sz w:val="22"/>
        </w:rPr>
      </w:pPr>
      <w:r>
        <w:rPr>
          <w:rFonts w:eastAsia="Palatino Linotype" w:cs="Palatino Linotype"/>
          <w:i/>
          <w:sz w:val="22"/>
        </w:rPr>
        <w:t>[…]</w:t>
      </w:r>
    </w:p>
    <w:p w14:paraId="15AEED65"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b/>
          <w:i/>
          <w:sz w:val="22"/>
        </w:rPr>
        <w:t>VIII.</w:t>
      </w:r>
      <w:r w:rsidRPr="00FB173E">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2D5EEDD" w14:textId="77777777" w:rsidR="00B0352E" w:rsidRPr="00FB173E" w:rsidRDefault="00B0352E" w:rsidP="00B0352E">
      <w:pPr>
        <w:spacing w:line="240" w:lineRule="auto"/>
        <w:ind w:left="567" w:right="567"/>
        <w:contextualSpacing/>
        <w:rPr>
          <w:rFonts w:eastAsia="Palatino Linotype" w:cs="Palatino Linotype"/>
          <w:i/>
          <w:sz w:val="22"/>
        </w:rPr>
      </w:pPr>
      <w:r>
        <w:rPr>
          <w:rFonts w:eastAsia="Palatino Linotype" w:cs="Palatino Linotype"/>
          <w:i/>
          <w:sz w:val="22"/>
        </w:rPr>
        <w:t>[…]</w:t>
      </w:r>
    </w:p>
    <w:p w14:paraId="143996D0" w14:textId="77777777" w:rsidR="00B0352E" w:rsidRPr="00FB173E" w:rsidRDefault="00B0352E" w:rsidP="00B0352E">
      <w:pPr>
        <w:ind w:left="567" w:right="567"/>
        <w:contextualSpacing/>
        <w:rPr>
          <w:rFonts w:eastAsia="Palatino Linotype" w:cs="Palatino Linotype"/>
          <w:szCs w:val="24"/>
        </w:rPr>
      </w:pPr>
    </w:p>
    <w:p w14:paraId="005B6D3A" w14:textId="77777777" w:rsidR="00B0352E" w:rsidRDefault="00B0352E" w:rsidP="00B0352E">
      <w:pPr>
        <w:ind w:right="49"/>
        <w:contextualSpacing/>
        <w:rPr>
          <w:rFonts w:eastAsia="Palatino Linotype" w:cs="Palatino Linotype"/>
          <w:szCs w:val="24"/>
        </w:rPr>
      </w:pPr>
      <w:r w:rsidRPr="00FB173E">
        <w:rPr>
          <w:rFonts w:eastAsia="Palatino Linotype" w:cs="Palatino Linotype"/>
          <w:szCs w:val="24"/>
        </w:rPr>
        <w:t>Por otra parte, del contenido del artículo 1 de la Constitución Política de los Estados Unidos Mexicanos, se destaca lo siguiente:</w:t>
      </w:r>
    </w:p>
    <w:p w14:paraId="4E79FE5F" w14:textId="77777777" w:rsidR="00B0352E" w:rsidRPr="00FB173E" w:rsidRDefault="00B0352E" w:rsidP="00B0352E">
      <w:pPr>
        <w:ind w:right="49"/>
        <w:contextualSpacing/>
        <w:rPr>
          <w:rFonts w:eastAsia="Palatino Linotype" w:cs="Palatino Linotype"/>
          <w:szCs w:val="24"/>
        </w:rPr>
      </w:pPr>
    </w:p>
    <w:p w14:paraId="3920541C"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1o</w:t>
      </w:r>
      <w:r w:rsidRPr="00FB173E">
        <w:rPr>
          <w:rFonts w:eastAsia="Palatino Linotype" w:cs="Palatino Linotype"/>
          <w:i/>
          <w:sz w:val="22"/>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w:t>
      </w:r>
      <w:r w:rsidRPr="00FB173E">
        <w:rPr>
          <w:rFonts w:eastAsia="Palatino Linotype" w:cs="Palatino Linotype"/>
          <w:i/>
          <w:sz w:val="22"/>
        </w:rPr>
        <w:lastRenderedPageBreak/>
        <w:t>podrá restringirse ni suspenderse, salvo en los casos y bajo las condiciones que esta Constitución establece.</w:t>
      </w:r>
    </w:p>
    <w:p w14:paraId="284796FB" w14:textId="77777777" w:rsidR="00B0352E" w:rsidRPr="00FB173E" w:rsidRDefault="00B0352E" w:rsidP="00B0352E">
      <w:pPr>
        <w:spacing w:line="240" w:lineRule="auto"/>
        <w:ind w:left="567" w:right="567"/>
        <w:contextualSpacing/>
        <w:rPr>
          <w:rFonts w:eastAsia="Palatino Linotype" w:cs="Palatino Linotype"/>
          <w:i/>
          <w:sz w:val="22"/>
        </w:rPr>
      </w:pPr>
    </w:p>
    <w:p w14:paraId="5D77E8BC"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5C284E0F" w14:textId="77777777" w:rsidR="00B0352E" w:rsidRPr="00FB173E" w:rsidRDefault="00B0352E" w:rsidP="00B0352E">
      <w:pPr>
        <w:spacing w:line="240" w:lineRule="auto"/>
        <w:ind w:left="567" w:right="567"/>
        <w:contextualSpacing/>
        <w:rPr>
          <w:rFonts w:eastAsia="Palatino Linotype" w:cs="Palatino Linotype"/>
          <w:i/>
          <w:sz w:val="22"/>
        </w:rPr>
      </w:pPr>
    </w:p>
    <w:p w14:paraId="11478685" w14:textId="77777777" w:rsidR="00B0352E" w:rsidRPr="00FB173E" w:rsidRDefault="00B0352E" w:rsidP="00B0352E">
      <w:pPr>
        <w:spacing w:line="240" w:lineRule="auto"/>
        <w:ind w:left="567" w:right="567"/>
        <w:contextualSpacing/>
        <w:rPr>
          <w:rFonts w:eastAsia="Palatino Linotype" w:cs="Palatino Linotype"/>
          <w:i/>
          <w:sz w:val="22"/>
        </w:rPr>
      </w:pPr>
      <w:r w:rsidRPr="00FB173E">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0005378" w14:textId="77777777" w:rsidR="00B0352E" w:rsidRPr="00FB173E" w:rsidRDefault="00B0352E" w:rsidP="00B0352E"/>
    <w:p w14:paraId="278ECA15" w14:textId="77777777" w:rsidR="00B0352E" w:rsidRPr="00FB173E" w:rsidRDefault="00B0352E" w:rsidP="00B0352E">
      <w:pPr>
        <w:rPr>
          <w:rFonts w:eastAsia="Palatino Linotype" w:cs="Palatino Linotype"/>
          <w:szCs w:val="24"/>
        </w:rPr>
      </w:pPr>
      <w:r w:rsidRPr="00FB173E">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BEB56E8" w14:textId="77777777" w:rsidR="00B0352E" w:rsidRPr="00FB173E" w:rsidRDefault="00B0352E" w:rsidP="00B0352E">
      <w:pPr>
        <w:rPr>
          <w:rFonts w:eastAsia="Palatino Linotype" w:cs="Palatino Linotype"/>
          <w:szCs w:val="24"/>
        </w:rPr>
      </w:pPr>
    </w:p>
    <w:p w14:paraId="7E71CA49" w14:textId="77777777" w:rsidR="00B0352E" w:rsidRDefault="00B0352E" w:rsidP="00B0352E">
      <w:pPr>
        <w:rPr>
          <w:rFonts w:eastAsia="Palatino Linotype" w:cs="Palatino Linotype"/>
          <w:color w:val="000000"/>
          <w:szCs w:val="24"/>
        </w:rPr>
      </w:pPr>
      <w:r w:rsidRPr="00FB173E">
        <w:rPr>
          <w:rFonts w:eastAsia="Palatino Linotype" w:cs="Palatino Linotype"/>
          <w:color w:val="000000"/>
          <w:szCs w:val="24"/>
        </w:rPr>
        <w:t xml:space="preserve">En conclusión, se cubrieron los requisitos de procedencia y </w:t>
      </w:r>
      <w:proofErr w:type="spellStart"/>
      <w:r w:rsidRPr="00FB173E">
        <w:rPr>
          <w:rFonts w:eastAsia="Palatino Linotype" w:cs="Palatino Linotype"/>
          <w:color w:val="000000"/>
          <w:szCs w:val="24"/>
        </w:rPr>
        <w:t>procedibilidad</w:t>
      </w:r>
      <w:proofErr w:type="spellEnd"/>
      <w:r w:rsidRPr="00FB173E">
        <w:rPr>
          <w:rFonts w:eastAsia="Palatino Linotype" w:cs="Palatino Linotype"/>
          <w:color w:val="000000"/>
          <w:szCs w:val="24"/>
        </w:rPr>
        <w:t xml:space="preserve"> y conforme a las constancias que obran en el expediente.</w:t>
      </w:r>
    </w:p>
    <w:p w14:paraId="6E6A41B6" w14:textId="77777777" w:rsidR="00B0352E" w:rsidRDefault="00B0352E" w:rsidP="00B0352E">
      <w:pPr>
        <w:rPr>
          <w:rFonts w:eastAsia="Palatino Linotype" w:cs="Palatino Linotype"/>
          <w:color w:val="000000"/>
          <w:szCs w:val="24"/>
        </w:rPr>
      </w:pPr>
    </w:p>
    <w:p w14:paraId="6D04F852" w14:textId="75CBC438" w:rsidR="00A970D5" w:rsidRPr="006922F5" w:rsidRDefault="00316455" w:rsidP="006922F5">
      <w:pPr>
        <w:pStyle w:val="Ttulo2"/>
        <w:rPr>
          <w:rFonts w:eastAsia="Palatino Linotype"/>
        </w:rPr>
      </w:pPr>
      <w:r>
        <w:rPr>
          <w:rFonts w:eastAsia="Palatino Linotype"/>
        </w:rPr>
        <w:t>CUARTO</w:t>
      </w:r>
      <w:r w:rsidR="00A970D5" w:rsidRPr="006922F5">
        <w:rPr>
          <w:rFonts w:eastAsia="Palatino Linotype"/>
        </w:rPr>
        <w:t>. De las causas de improcedencia.</w:t>
      </w:r>
    </w:p>
    <w:p w14:paraId="72B75EC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w:t>
      </w:r>
      <w:r w:rsidRPr="006922F5">
        <w:rPr>
          <w:rFonts w:eastAsia="Palatino Linotype" w:cs="Palatino Linotype"/>
          <w:color w:val="000000"/>
          <w:szCs w:val="24"/>
        </w:rPr>
        <w:lastRenderedPageBreak/>
        <w:t>artículo 9 de Ley de Transparencia y Acceso a la Información Pública del Estado de México y Municipios, en correlación con la seguridad jurídica que debe generar lo actuado ante este Organismo garante.</w:t>
      </w:r>
    </w:p>
    <w:p w14:paraId="7FBB8481"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w:t>
      </w:r>
      <w:proofErr w:type="spellStart"/>
      <w:r w:rsidRPr="006922F5">
        <w:rPr>
          <w:rFonts w:eastAsia="Palatino Linotype" w:cs="Palatino Linotype"/>
          <w:color w:val="000000"/>
          <w:szCs w:val="24"/>
        </w:rPr>
        <w:t>Resolutor</w:t>
      </w:r>
      <w:proofErr w:type="spellEnd"/>
      <w:r w:rsidRPr="006922F5">
        <w:rPr>
          <w:rFonts w:eastAsia="Palatino Linotype" w:cs="Palatino Linotype"/>
          <w:color w:val="000000"/>
          <w:szCs w:val="24"/>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xml:space="preserve">, la cual permite dilucidar alguna causal que impida el estudio y resolución, cuando una vez admitido el recurso de revisión </w:t>
      </w:r>
      <w:r w:rsidRPr="006922F5">
        <w:rPr>
          <w:rFonts w:eastAsia="Palatino Linotype" w:cs="Palatino Linotype"/>
          <w:color w:val="000000"/>
          <w:szCs w:val="24"/>
        </w:rPr>
        <w:lastRenderedPageBreak/>
        <w:t>se advierta una causa de improcedencia que permita sobreseerlo, sin estudiar el fondo del asunto.</w:t>
      </w:r>
    </w:p>
    <w:p w14:paraId="76DBFCC9"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657781EF" w:rsidR="00A970D5" w:rsidRPr="006922F5" w:rsidRDefault="00316455" w:rsidP="006922F5">
      <w:pPr>
        <w:pStyle w:val="Ttulo2"/>
        <w:rPr>
          <w:rFonts w:eastAsia="Palatino Linotype"/>
        </w:rPr>
      </w:pPr>
      <w:r>
        <w:rPr>
          <w:rFonts w:eastAsia="Palatino Linotype"/>
        </w:rPr>
        <w:t>QUINTO</w:t>
      </w:r>
      <w:r w:rsidR="00A970D5" w:rsidRPr="006922F5">
        <w:rPr>
          <w:rFonts w:eastAsia="Palatino Linotype"/>
        </w:rPr>
        <w:t>. Estudio y resolución del asunto.</w:t>
      </w:r>
    </w:p>
    <w:p w14:paraId="172D5B7B"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BDC665B" w14:textId="4FA887C1" w:rsidR="00316455" w:rsidRDefault="00AC3C01" w:rsidP="00AC3C01">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sidR="00316455">
        <w:rPr>
          <w:rFonts w:eastAsia="Palatino Linotype" w:cs="Palatino Linotype"/>
          <w:color w:val="000000"/>
          <w:szCs w:val="24"/>
        </w:rPr>
        <w:t>el</w:t>
      </w:r>
      <w:r w:rsidRPr="006922F5">
        <w:rPr>
          <w:rFonts w:eastAsia="Palatino Linotype" w:cs="Palatino Linotype"/>
          <w:color w:val="000000"/>
          <w:szCs w:val="24"/>
        </w:rPr>
        <w:t xml:space="preserve"> hoy Recurrente requirió</w:t>
      </w:r>
      <w:r>
        <w:rPr>
          <w:rFonts w:eastAsia="Palatino Linotype" w:cs="Palatino Linotype"/>
          <w:color w:val="000000"/>
          <w:szCs w:val="24"/>
        </w:rPr>
        <w:t xml:space="preserve"> que</w:t>
      </w:r>
      <w:r w:rsidR="00316455">
        <w:rPr>
          <w:rFonts w:eastAsia="Palatino Linotype" w:cs="Palatino Linotype"/>
          <w:color w:val="000000"/>
          <w:szCs w:val="24"/>
        </w:rPr>
        <w:t xml:space="preserve">, conforme a lo dispuesto en el artículo 92 </w:t>
      </w:r>
      <w:proofErr w:type="gramStart"/>
      <w:r w:rsidR="00316455">
        <w:rPr>
          <w:rFonts w:eastAsia="Palatino Linotype" w:cs="Palatino Linotype"/>
          <w:color w:val="000000"/>
          <w:szCs w:val="24"/>
        </w:rPr>
        <w:t>fracción</w:t>
      </w:r>
      <w:proofErr w:type="gramEnd"/>
      <w:r w:rsidR="00316455">
        <w:rPr>
          <w:rFonts w:eastAsia="Palatino Linotype" w:cs="Palatino Linotype"/>
          <w:color w:val="000000"/>
          <w:szCs w:val="24"/>
        </w:rPr>
        <w:t xml:space="preserve"> XIX de la Ley de Transparencia local,</w:t>
      </w:r>
      <w:r>
        <w:rPr>
          <w:rFonts w:eastAsia="Palatino Linotype" w:cs="Palatino Linotype"/>
          <w:color w:val="000000"/>
          <w:szCs w:val="24"/>
        </w:rPr>
        <w:t xml:space="preserve"> se le </w:t>
      </w:r>
      <w:r w:rsidR="005F622D">
        <w:rPr>
          <w:rFonts w:eastAsia="Palatino Linotype" w:cs="Palatino Linotype"/>
          <w:color w:val="000000"/>
          <w:szCs w:val="24"/>
        </w:rPr>
        <w:t>proporcionara</w:t>
      </w:r>
      <w:r w:rsidR="00C52483">
        <w:rPr>
          <w:rFonts w:eastAsia="Palatino Linotype" w:cs="Palatino Linotype"/>
          <w:color w:val="000000"/>
          <w:szCs w:val="24"/>
        </w:rPr>
        <w:t>n lo</w:t>
      </w:r>
      <w:r w:rsidR="00316455">
        <w:rPr>
          <w:rFonts w:eastAsia="Palatino Linotype" w:cs="Palatino Linotype"/>
          <w:color w:val="000000"/>
          <w:szCs w:val="24"/>
        </w:rPr>
        <w:t xml:space="preserve"> siguiente:</w:t>
      </w:r>
    </w:p>
    <w:p w14:paraId="682AF647" w14:textId="77777777" w:rsidR="00316455" w:rsidRDefault="00316455" w:rsidP="00AC3C01">
      <w:pPr>
        <w:pBdr>
          <w:top w:val="nil"/>
          <w:left w:val="nil"/>
          <w:bottom w:val="nil"/>
          <w:right w:val="nil"/>
          <w:between w:val="nil"/>
        </w:pBdr>
        <w:contextualSpacing/>
        <w:rPr>
          <w:rFonts w:eastAsia="Palatino Linotype" w:cs="Palatino Linotype"/>
          <w:color w:val="000000"/>
          <w:szCs w:val="24"/>
        </w:rPr>
      </w:pPr>
    </w:p>
    <w:p w14:paraId="2779FF67" w14:textId="02E41CDE" w:rsidR="00AC3C01" w:rsidRPr="00316455" w:rsidRDefault="00316455" w:rsidP="00316455">
      <w:pPr>
        <w:pStyle w:val="Prrafodelista"/>
        <w:numPr>
          <w:ilvl w:val="0"/>
          <w:numId w:val="22"/>
        </w:numPr>
        <w:pBdr>
          <w:top w:val="nil"/>
          <w:left w:val="nil"/>
          <w:bottom w:val="nil"/>
          <w:right w:val="nil"/>
          <w:between w:val="nil"/>
        </w:pBdr>
        <w:contextualSpacing/>
        <w:rPr>
          <w:rFonts w:eastAsia="Palatino Linotype" w:cs="Palatino Linotype"/>
          <w:color w:val="000000"/>
        </w:rPr>
      </w:pPr>
      <w:r w:rsidRPr="00316455">
        <w:rPr>
          <w:rFonts w:eastAsia="Palatino Linotype" w:cs="Palatino Linotype"/>
          <w:color w:val="000000"/>
        </w:rPr>
        <w:t>Los resultados de cada uno de los procedimientos de licitación pública e invitación a cuando menos tres personas en los ejercicios 2021, 2022 y 2023.</w:t>
      </w:r>
    </w:p>
    <w:p w14:paraId="043422DB" w14:textId="281D0681" w:rsidR="00316455" w:rsidRPr="00316455" w:rsidRDefault="00316455" w:rsidP="00316455">
      <w:pPr>
        <w:pStyle w:val="Prrafodelista"/>
        <w:numPr>
          <w:ilvl w:val="0"/>
          <w:numId w:val="22"/>
        </w:numPr>
        <w:pBdr>
          <w:top w:val="nil"/>
          <w:left w:val="nil"/>
          <w:bottom w:val="nil"/>
          <w:right w:val="nil"/>
          <w:between w:val="nil"/>
        </w:pBdr>
        <w:contextualSpacing/>
        <w:rPr>
          <w:rFonts w:eastAsia="Palatino Linotype" w:cs="Palatino Linotype"/>
          <w:color w:val="000000"/>
        </w:rPr>
      </w:pPr>
      <w:r w:rsidRPr="00316455">
        <w:rPr>
          <w:rFonts w:eastAsia="Palatino Linotype" w:cs="Palatino Linotype"/>
          <w:color w:val="000000"/>
        </w:rPr>
        <w:lastRenderedPageBreak/>
        <w:t>Los resultados de cada uno de los procedimientos de adjudicación directa realizados en los ejercicios 2021, 2022 y 2023</w:t>
      </w:r>
    </w:p>
    <w:p w14:paraId="0E47DF5F" w14:textId="77777777" w:rsidR="00AC3C01" w:rsidRDefault="00AC3C01" w:rsidP="00AC3C01">
      <w:pPr>
        <w:pBdr>
          <w:top w:val="nil"/>
          <w:left w:val="nil"/>
          <w:bottom w:val="nil"/>
          <w:right w:val="nil"/>
          <w:between w:val="nil"/>
        </w:pBdr>
        <w:contextualSpacing/>
        <w:rPr>
          <w:rFonts w:eastAsia="Palatino Linotype" w:cs="Palatino Linotype"/>
          <w:color w:val="000000"/>
          <w:szCs w:val="24"/>
        </w:rPr>
      </w:pPr>
    </w:p>
    <w:p w14:paraId="295E7B61" w14:textId="442F603E" w:rsidR="00F93AF8" w:rsidRDefault="00A970D5" w:rsidP="00F93AF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 xml:space="preserve">respondió </w:t>
      </w:r>
      <w:r w:rsidR="005F622D">
        <w:rPr>
          <w:rFonts w:eastAsia="Palatino Linotype" w:cs="Palatino Linotype"/>
          <w:color w:val="000000"/>
          <w:szCs w:val="24"/>
        </w:rPr>
        <w:t>mediante la entrega de</w:t>
      </w:r>
      <w:r w:rsidR="00316455">
        <w:rPr>
          <w:rFonts w:eastAsia="Palatino Linotype" w:cs="Palatino Linotype"/>
          <w:color w:val="000000"/>
          <w:szCs w:val="24"/>
        </w:rPr>
        <w:t>l</w:t>
      </w:r>
      <w:r w:rsidR="005F622D">
        <w:rPr>
          <w:rFonts w:eastAsia="Palatino Linotype" w:cs="Palatino Linotype"/>
          <w:color w:val="000000"/>
          <w:szCs w:val="24"/>
        </w:rPr>
        <w:t xml:space="preserve"> </w:t>
      </w:r>
      <w:r w:rsidR="00F93AF8">
        <w:rPr>
          <w:rFonts w:eastAsia="Palatino Linotype" w:cs="Palatino Linotype"/>
          <w:color w:val="000000"/>
          <w:szCs w:val="24"/>
        </w:rPr>
        <w:t xml:space="preserve">siguiente </w:t>
      </w:r>
      <w:r w:rsidR="005F622D">
        <w:rPr>
          <w:rFonts w:eastAsia="Palatino Linotype" w:cs="Palatino Linotype"/>
          <w:color w:val="000000"/>
          <w:szCs w:val="24"/>
        </w:rPr>
        <w:t>documento</w:t>
      </w:r>
      <w:r w:rsidR="00E04B51">
        <w:rPr>
          <w:rFonts w:eastAsia="Palatino Linotype" w:cs="Palatino Linotype"/>
          <w:color w:val="000000"/>
          <w:szCs w:val="24"/>
        </w:rPr>
        <w:t>:</w:t>
      </w:r>
    </w:p>
    <w:p w14:paraId="0298FEA3" w14:textId="77777777" w:rsidR="00F93AF8" w:rsidRDefault="00F93AF8" w:rsidP="00F93AF8">
      <w:pPr>
        <w:pBdr>
          <w:top w:val="nil"/>
          <w:left w:val="nil"/>
          <w:bottom w:val="nil"/>
          <w:right w:val="nil"/>
          <w:between w:val="nil"/>
        </w:pBdr>
        <w:contextualSpacing/>
        <w:rPr>
          <w:rFonts w:eastAsia="Palatino Linotype" w:cs="Palatino Linotype"/>
          <w:color w:val="000000"/>
          <w:szCs w:val="24"/>
        </w:rPr>
      </w:pPr>
    </w:p>
    <w:p w14:paraId="108F1265" w14:textId="40AE911C" w:rsidR="00F93AF8" w:rsidRDefault="00443C7E" w:rsidP="00443C7E">
      <w:pPr>
        <w:pStyle w:val="Prrafodelista"/>
        <w:numPr>
          <w:ilvl w:val="0"/>
          <w:numId w:val="23"/>
        </w:numPr>
        <w:pBdr>
          <w:top w:val="nil"/>
          <w:left w:val="nil"/>
          <w:bottom w:val="nil"/>
          <w:right w:val="nil"/>
          <w:between w:val="nil"/>
        </w:pBdr>
        <w:contextualSpacing/>
      </w:pPr>
      <w:r w:rsidRPr="00443C7E">
        <w:rPr>
          <w:rFonts w:eastAsia="Palatino Linotype"/>
          <w:b/>
          <w:bCs/>
        </w:rPr>
        <w:t>PRD DEE CP 0029 2024.pdf</w:t>
      </w:r>
      <w:r w:rsidR="004764A1">
        <w:t xml:space="preserve">. </w:t>
      </w:r>
      <w:r w:rsidR="0061075C">
        <w:t>Oficio</w:t>
      </w:r>
      <w:r>
        <w:t xml:space="preserve"> PRD/DEE-CP/0029/2024 emitido por la Coordinadora de Patrimonio y Recursos Financieros del Sujeto Obligado, mediante el cual </w:t>
      </w:r>
      <w:r w:rsidR="006953E8">
        <w:t>se informó que, conforme a lo dispuesto en la Ley de Adquisiciones, Arrendamientos y Servicios del Sector Público y en la Ley de Adquisiciones de Bienes Muebles y Servicios del Estado de México, los partidos políticos no son sujetos obligados ante dichas normas, por lo que la información solicitada no existe en poder de ese Sujeto Obligado, debido a la inaplicabilidad de la normativa que en materia de adquisiciones establece la legislación. En consecuencia, el Sujeto Obligado no cuenta con información al respecto, lo cual se puede consultar en el artículo 92 fracciones XXIX A y XXIX B en el portal de Información Pública de Oficio Mexiquense</w:t>
      </w:r>
      <w:r w:rsidR="00F61E72">
        <w:t xml:space="preserve"> (IPOMEX)</w:t>
      </w:r>
      <w:r w:rsidR="006953E8">
        <w:t>, mediante una nota fundada y motivada.</w:t>
      </w:r>
    </w:p>
    <w:p w14:paraId="4610BE2D" w14:textId="77777777" w:rsidR="00443C7E" w:rsidRDefault="00443C7E" w:rsidP="006922F5">
      <w:pPr>
        <w:pBdr>
          <w:top w:val="nil"/>
          <w:left w:val="nil"/>
          <w:bottom w:val="nil"/>
          <w:right w:val="nil"/>
          <w:between w:val="nil"/>
        </w:pBdr>
        <w:contextualSpacing/>
        <w:rPr>
          <w:rFonts w:eastAsia="Palatino Linotype" w:cs="Palatino Linotype"/>
          <w:color w:val="000000"/>
          <w:szCs w:val="24"/>
        </w:rPr>
      </w:pPr>
    </w:p>
    <w:p w14:paraId="038F5890" w14:textId="4F4DCD73" w:rsidR="006E52FF"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6953E8">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 xml:space="preserve">nte consideró que </w:t>
      </w:r>
      <w:r w:rsidR="005C706F">
        <w:rPr>
          <w:rFonts w:eastAsia="Palatino Linotype" w:cs="Palatino Linotype"/>
          <w:color w:val="000000"/>
          <w:szCs w:val="24"/>
        </w:rPr>
        <w:t xml:space="preserve">se trasgredió </w:t>
      </w:r>
      <w:r w:rsidR="00A970D5" w:rsidRPr="006922F5">
        <w:rPr>
          <w:rFonts w:eastAsia="Palatino Linotype" w:cs="Palatino Linotype"/>
          <w:color w:val="000000"/>
          <w:szCs w:val="24"/>
        </w:rPr>
        <w:t>su derecho a la información pública, por lo que interpuso el recurso de revisión al rubro citado, señalando como acto impugnado</w:t>
      </w:r>
      <w:r w:rsidR="00BB16D5" w:rsidRPr="006922F5">
        <w:rPr>
          <w:rFonts w:eastAsia="Palatino Linotype" w:cs="Palatino Linotype"/>
          <w:color w:val="000000"/>
          <w:szCs w:val="24"/>
        </w:rPr>
        <w:t xml:space="preserve"> </w:t>
      </w:r>
      <w:r w:rsidR="006953E8">
        <w:rPr>
          <w:rFonts w:eastAsia="Palatino Linotype" w:cs="Palatino Linotype"/>
          <w:color w:val="000000"/>
          <w:szCs w:val="24"/>
        </w:rPr>
        <w:t>la negativa a entregar la información solicitada; dando</w:t>
      </w:r>
      <w:r w:rsidR="008A4387">
        <w:rPr>
          <w:rFonts w:eastAsia="Palatino Linotype" w:cs="Palatino Linotype"/>
          <w:color w:val="000000"/>
          <w:szCs w:val="24"/>
        </w:rPr>
        <w:t xml:space="preserve"> </w:t>
      </w:r>
      <w:r w:rsidR="00C571D1">
        <w:rPr>
          <w:rFonts w:eastAsia="Palatino Linotype" w:cs="Palatino Linotype"/>
          <w:color w:val="000000"/>
          <w:szCs w:val="24"/>
        </w:rPr>
        <w:t xml:space="preserve">como </w:t>
      </w:r>
      <w:r w:rsidR="00E00CDB">
        <w:rPr>
          <w:rFonts w:eastAsia="Palatino Linotype" w:cs="Palatino Linotype"/>
          <w:color w:val="000000"/>
          <w:szCs w:val="24"/>
        </w:rPr>
        <w:t>razon</w:t>
      </w:r>
      <w:r w:rsidR="00C571D1">
        <w:rPr>
          <w:rFonts w:eastAsia="Palatino Linotype" w:cs="Palatino Linotype"/>
          <w:color w:val="000000"/>
          <w:szCs w:val="24"/>
        </w:rPr>
        <w:t xml:space="preserve">es o motivos de inconformidad la negativa a la información solicitada; la falta, deficiencia o insuficiencia en la fundamentación y motivación de la </w:t>
      </w:r>
      <w:r w:rsidR="00C571D1">
        <w:rPr>
          <w:rFonts w:eastAsia="Palatino Linotype" w:cs="Palatino Linotype"/>
          <w:color w:val="000000"/>
          <w:szCs w:val="24"/>
        </w:rPr>
        <w:lastRenderedPageBreak/>
        <w:t xml:space="preserve">respuesta, ya que considera que las tablas de aplicabilidad son de rango inferior a lo dispuesto en la Constitución Política de los Estados Unidos Mexicanos y que contravienen lo dispuesto en ella, </w:t>
      </w:r>
      <w:r w:rsidR="00B772F1">
        <w:rPr>
          <w:rFonts w:eastAsia="Palatino Linotype" w:cs="Palatino Linotype"/>
          <w:color w:val="000000"/>
          <w:szCs w:val="24"/>
        </w:rPr>
        <w:t xml:space="preserve">en la </w:t>
      </w:r>
      <w:r w:rsidR="00B772F1" w:rsidRPr="00B772F1">
        <w:rPr>
          <w:rFonts w:eastAsia="Palatino Linotype" w:cs="Palatino Linotype"/>
          <w:color w:val="000000"/>
          <w:szCs w:val="24"/>
        </w:rPr>
        <w:t>Constitución Política del Estado Libre y Soberano de México, la Ley General de Partidos Políticos, Ley General de Transparencia y Acceso a la Información Pública y la Ley de Transparencia y Acceso a la Información Pública del Estado de México y Municipios</w:t>
      </w:r>
      <w:r w:rsidR="00B772F1">
        <w:rPr>
          <w:rFonts w:eastAsia="Palatino Linotype" w:cs="Palatino Linotype"/>
          <w:color w:val="000000"/>
          <w:szCs w:val="24"/>
        </w:rPr>
        <w:t xml:space="preserve"> en diversos artículos, por lo que se tiene opacidad en el ejercicio de los recursos públicos al no conocer si las compras pública de los partidos políticos se realizaron bajo los esquemas de licitación pública, invitación restringida o adjudicación directa, según conviniera para garantizar el mejor precio, calidad, financiamiento y oportunidad para el Estado.</w:t>
      </w:r>
    </w:p>
    <w:p w14:paraId="73E078DC" w14:textId="77777777" w:rsidR="00C571D1" w:rsidRDefault="00C571D1" w:rsidP="006922F5">
      <w:pPr>
        <w:pBdr>
          <w:top w:val="nil"/>
          <w:left w:val="nil"/>
          <w:bottom w:val="nil"/>
          <w:right w:val="nil"/>
          <w:between w:val="nil"/>
        </w:pBdr>
        <w:contextualSpacing/>
        <w:rPr>
          <w:rFonts w:eastAsia="Palatino Linotype" w:cs="Palatino Linotype"/>
          <w:color w:val="000000"/>
          <w:szCs w:val="24"/>
        </w:rPr>
      </w:pPr>
    </w:p>
    <w:p w14:paraId="482FCA6A" w14:textId="63D796C6" w:rsidR="009622B5" w:rsidRDefault="006E52FF"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Durante la etapa de instrucción, el Sujeto Obligado rindió su</w:t>
      </w:r>
      <w:r w:rsidR="00995077">
        <w:rPr>
          <w:rFonts w:eastAsia="Palatino Linotype" w:cs="Palatino Linotype"/>
          <w:color w:val="000000"/>
          <w:szCs w:val="24"/>
        </w:rPr>
        <w:t xml:space="preserve"> Informe Justificado mediante la entrega del siguiente documento</w:t>
      </w:r>
      <w:r w:rsidR="009622B5">
        <w:rPr>
          <w:rFonts w:eastAsia="Palatino Linotype" w:cs="Palatino Linotype"/>
          <w:color w:val="000000"/>
          <w:szCs w:val="24"/>
        </w:rPr>
        <w:t>:</w:t>
      </w:r>
    </w:p>
    <w:p w14:paraId="623163FD" w14:textId="77777777" w:rsidR="009622B5" w:rsidRDefault="009622B5" w:rsidP="006922F5">
      <w:pPr>
        <w:pBdr>
          <w:top w:val="nil"/>
          <w:left w:val="nil"/>
          <w:bottom w:val="nil"/>
          <w:right w:val="nil"/>
          <w:between w:val="nil"/>
        </w:pBdr>
        <w:contextualSpacing/>
        <w:rPr>
          <w:rFonts w:eastAsia="Palatino Linotype" w:cs="Palatino Linotype"/>
          <w:color w:val="000000"/>
          <w:szCs w:val="24"/>
        </w:rPr>
      </w:pPr>
    </w:p>
    <w:p w14:paraId="35695B46" w14:textId="22E54E2F" w:rsidR="00C006C6" w:rsidRPr="00300E8E" w:rsidRDefault="00B772F1" w:rsidP="00B772F1">
      <w:pPr>
        <w:pStyle w:val="Prrafodelista"/>
        <w:numPr>
          <w:ilvl w:val="0"/>
          <w:numId w:val="17"/>
        </w:numPr>
        <w:pBdr>
          <w:top w:val="nil"/>
          <w:left w:val="nil"/>
          <w:bottom w:val="nil"/>
          <w:right w:val="nil"/>
          <w:between w:val="nil"/>
        </w:pBdr>
        <w:contextualSpacing/>
        <w:rPr>
          <w:b/>
          <w:bCs/>
        </w:rPr>
      </w:pPr>
      <w:r w:rsidRPr="00B772F1">
        <w:rPr>
          <w:rFonts w:eastAsia="Palatino Linotype" w:cs="Palatino Linotype"/>
          <w:b/>
          <w:bCs/>
          <w:color w:val="000000"/>
        </w:rPr>
        <w:t>MANIFESTACIONES_RR_01795_2024_PRD_EDOMEX.pd</w:t>
      </w:r>
      <w:r w:rsidR="009622B5" w:rsidRPr="00D43ED9">
        <w:rPr>
          <w:rFonts w:eastAsia="Palatino Linotype" w:cs="Palatino Linotype"/>
          <w:color w:val="000000"/>
        </w:rPr>
        <w:t xml:space="preserve">. </w:t>
      </w:r>
      <w:r w:rsidRPr="00B772F1">
        <w:rPr>
          <w:rFonts w:eastAsia="Palatino Linotype" w:cs="Palatino Linotype"/>
          <w:color w:val="000000"/>
        </w:rPr>
        <w:t xml:space="preserve">Oficio </w:t>
      </w:r>
      <w:r>
        <w:rPr>
          <w:rFonts w:eastAsia="Palatino Linotype" w:cs="Palatino Linotype"/>
          <w:color w:val="000000"/>
        </w:rPr>
        <w:t>número PRD/DEE-CP/0044</w:t>
      </w:r>
      <w:r w:rsidRPr="00B772F1">
        <w:rPr>
          <w:rFonts w:eastAsia="Palatino Linotype" w:cs="Palatino Linotype"/>
          <w:color w:val="000000"/>
        </w:rPr>
        <w:t>/2024</w:t>
      </w:r>
      <w:r w:rsidR="0043719B">
        <w:rPr>
          <w:rFonts w:eastAsia="Palatino Linotype" w:cs="Palatino Linotype"/>
          <w:color w:val="000000"/>
        </w:rPr>
        <w:t xml:space="preserve"> suscrito por la</w:t>
      </w:r>
      <w:r>
        <w:rPr>
          <w:rFonts w:eastAsia="Palatino Linotype" w:cs="Palatino Linotype"/>
          <w:color w:val="000000"/>
        </w:rPr>
        <w:t xml:space="preserve"> Coordinadora de Patrimonio y Recursos Financieros</w:t>
      </w:r>
      <w:r w:rsidR="0043719B">
        <w:rPr>
          <w:rFonts w:eastAsia="Palatino Linotype" w:cs="Palatino Linotype"/>
          <w:color w:val="000000"/>
        </w:rPr>
        <w:t xml:space="preserve">, </w:t>
      </w:r>
      <w:r>
        <w:rPr>
          <w:rFonts w:eastAsia="Palatino Linotype" w:cs="Palatino Linotype"/>
          <w:color w:val="000000"/>
        </w:rPr>
        <w:t xml:space="preserve">por medio del cual se refutaron los </w:t>
      </w:r>
      <w:r w:rsidR="00F07985">
        <w:rPr>
          <w:rFonts w:eastAsia="Palatino Linotype" w:cs="Palatino Linotype"/>
          <w:color w:val="000000"/>
        </w:rPr>
        <w:t>motivos de inconformidad del Recurrente haciendo referencia a que los partidos políticos no están contemplados como sujetos obligados en materia de procedimientos adquisitivos en las modalidades de licitación pública, invitación restringida o adjudicaciones directas; por lo anterior, se reiteró que la información solicitada no obra en la memoria archivística y contable del Sujeto Obligado, tal como se le señaló en la respuesta emitida.</w:t>
      </w:r>
    </w:p>
    <w:p w14:paraId="1BA558A7" w14:textId="7110B5C9" w:rsidR="00300E8E" w:rsidRPr="009622B5" w:rsidRDefault="00B772F1" w:rsidP="00F07985">
      <w:pPr>
        <w:pStyle w:val="Prrafodelista"/>
        <w:numPr>
          <w:ilvl w:val="0"/>
          <w:numId w:val="17"/>
        </w:numPr>
        <w:pBdr>
          <w:top w:val="nil"/>
          <w:left w:val="nil"/>
          <w:bottom w:val="nil"/>
          <w:right w:val="nil"/>
          <w:between w:val="nil"/>
        </w:pBdr>
        <w:contextualSpacing/>
        <w:rPr>
          <w:b/>
          <w:bCs/>
        </w:rPr>
      </w:pPr>
      <w:r w:rsidRPr="00B772F1">
        <w:rPr>
          <w:rFonts w:eastAsia="Palatino Linotype" w:cs="Palatino Linotype"/>
          <w:b/>
          <w:color w:val="000000"/>
        </w:rPr>
        <w:lastRenderedPageBreak/>
        <w:t>Anexo 1_Respuesta Solicitud 00008_PRD_24.pdf</w:t>
      </w:r>
      <w:r w:rsidR="00300E8E">
        <w:rPr>
          <w:rFonts w:eastAsia="Palatino Linotype" w:cs="Palatino Linotype"/>
          <w:bCs/>
          <w:color w:val="000000"/>
        </w:rPr>
        <w:t>.</w:t>
      </w:r>
      <w:r w:rsidR="00610F0F">
        <w:rPr>
          <w:rFonts w:eastAsia="Palatino Linotype" w:cs="Palatino Linotype"/>
          <w:bCs/>
          <w:color w:val="000000"/>
        </w:rPr>
        <w:t xml:space="preserve"> </w:t>
      </w:r>
      <w:r w:rsidR="00F07985" w:rsidRPr="00F07985">
        <w:t>Oficio PRD/DEE-CP/0029/2024</w:t>
      </w:r>
      <w:r w:rsidR="00F07985">
        <w:t xml:space="preserve"> remitido en respuesta a la solicitud de información.</w:t>
      </w:r>
    </w:p>
    <w:p w14:paraId="44934826" w14:textId="77777777" w:rsidR="00995077" w:rsidRDefault="00995077" w:rsidP="002C04F1">
      <w:pPr>
        <w:pBdr>
          <w:top w:val="nil"/>
          <w:left w:val="nil"/>
          <w:bottom w:val="nil"/>
          <w:right w:val="nil"/>
          <w:between w:val="nil"/>
        </w:pBdr>
        <w:contextualSpacing/>
        <w:rPr>
          <w:rFonts w:eastAsia="Palatino Linotype" w:cs="Palatino Linotype"/>
          <w:color w:val="000000"/>
          <w:szCs w:val="24"/>
        </w:rPr>
      </w:pPr>
    </w:p>
    <w:p w14:paraId="09E3D3C9" w14:textId="171E5134" w:rsidR="00996562" w:rsidRDefault="00896148" w:rsidP="00B772F1">
      <w:pPr>
        <w:pBdr>
          <w:top w:val="nil"/>
          <w:left w:val="nil"/>
          <w:bottom w:val="nil"/>
          <w:right w:val="nil"/>
          <w:between w:val="nil"/>
        </w:pBdr>
        <w:contextualSpacing/>
      </w:pPr>
      <w:r>
        <w:rPr>
          <w:rFonts w:eastAsia="Palatino Linotype" w:cs="Palatino Linotype"/>
          <w:color w:val="000000"/>
          <w:szCs w:val="24"/>
        </w:rPr>
        <w:t xml:space="preserve">Por su parte, </w:t>
      </w:r>
      <w:r w:rsidR="00B772F1">
        <w:rPr>
          <w:rFonts w:eastAsia="Palatino Linotype" w:cs="Palatino Linotype"/>
          <w:color w:val="000000"/>
          <w:szCs w:val="24"/>
        </w:rPr>
        <w:t>el</w:t>
      </w:r>
      <w:r>
        <w:rPr>
          <w:rFonts w:eastAsia="Palatino Linotype" w:cs="Palatino Linotype"/>
          <w:color w:val="000000"/>
          <w:szCs w:val="24"/>
        </w:rPr>
        <w:t xml:space="preserve"> Recurrente </w:t>
      </w:r>
      <w:r w:rsidR="00B772F1">
        <w:rPr>
          <w:rFonts w:eastAsia="Palatino Linotype" w:cs="Palatino Linotype"/>
          <w:color w:val="000000"/>
          <w:szCs w:val="24"/>
        </w:rPr>
        <w:t xml:space="preserve">no </w:t>
      </w:r>
      <w:r>
        <w:rPr>
          <w:rFonts w:eastAsia="Palatino Linotype" w:cs="Palatino Linotype"/>
          <w:color w:val="000000"/>
          <w:szCs w:val="24"/>
        </w:rPr>
        <w:t>emitió manifestaciones</w:t>
      </w:r>
      <w:r w:rsidR="00B772F1">
        <w:rPr>
          <w:rFonts w:eastAsia="Palatino Linotype" w:cs="Palatino Linotype"/>
          <w:color w:val="000000"/>
          <w:szCs w:val="24"/>
        </w:rPr>
        <w:t>, vertió alegatos ni presentó pruebas que a su derecho convinieran; así como tampoco emitió pronunciamiento alguno respecto del Informe Justificado rendido por el Sujeto Obligado.</w:t>
      </w:r>
    </w:p>
    <w:p w14:paraId="38757496" w14:textId="77777777" w:rsidR="007F1AFD" w:rsidRDefault="007F1AFD" w:rsidP="002C04F1">
      <w:pPr>
        <w:pBdr>
          <w:top w:val="nil"/>
          <w:left w:val="nil"/>
          <w:bottom w:val="nil"/>
          <w:right w:val="nil"/>
          <w:between w:val="nil"/>
        </w:pBdr>
        <w:contextualSpacing/>
        <w:rPr>
          <w:rFonts w:eastAsia="Palatino Linotype" w:cs="Palatino Linotype"/>
          <w:color w:val="000000"/>
          <w:szCs w:val="24"/>
        </w:rPr>
      </w:pPr>
    </w:p>
    <w:p w14:paraId="13121B5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38AF8E2E"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41EE4FAE"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E739F4C"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64B325B0"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Artículo 6o.</w:t>
      </w:r>
      <w:r w:rsidRPr="002C04F1">
        <w:rPr>
          <w:rFonts w:eastAsia="Palatino Linotype" w:cs="Palatino Linotype"/>
          <w:i/>
          <w:color w:val="000000"/>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2C04F1">
        <w:rPr>
          <w:rFonts w:eastAsia="Palatino Linotype" w:cs="Palatino Linotype"/>
          <w:b/>
          <w:i/>
          <w:color w:val="000000"/>
          <w:sz w:val="22"/>
          <w:szCs w:val="24"/>
        </w:rPr>
        <w:t>El derecho a la información será garantizado por el Estado.</w:t>
      </w:r>
      <w:r w:rsidRPr="002C04F1">
        <w:rPr>
          <w:rFonts w:eastAsia="Palatino Linotype" w:cs="Palatino Linotype"/>
          <w:i/>
          <w:color w:val="000000"/>
          <w:sz w:val="22"/>
          <w:szCs w:val="24"/>
        </w:rPr>
        <w:t xml:space="preserve"> </w:t>
      </w:r>
    </w:p>
    <w:p w14:paraId="47B9AD2D"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93561D4"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Toda persona tiene derecho al libre acceso a información plural y oportuna, así como a buscar, recibir y difundir información e ideas de toda índole por cualquier medio de expresión.</w:t>
      </w:r>
    </w:p>
    <w:p w14:paraId="4FF6CA9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9C80FF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Para efectos de lo dispuesto en el presente artículo se observará lo siguiente:</w:t>
      </w:r>
    </w:p>
    <w:p w14:paraId="1B19B7F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4B3903E" w14:textId="3F2F5949"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lastRenderedPageBreak/>
        <w:t>A. Para el ejercicio del derecho de acceso a la información, la Federación</w:t>
      </w:r>
      <w:r w:rsidR="00E10F99">
        <w:rPr>
          <w:rFonts w:eastAsia="Palatino Linotype" w:cs="Palatino Linotype"/>
          <w:i/>
          <w:color w:val="000000"/>
          <w:sz w:val="22"/>
          <w:szCs w:val="24"/>
        </w:rPr>
        <w:t xml:space="preserve"> y las entidades federativas</w:t>
      </w:r>
      <w:r w:rsidRPr="002C04F1">
        <w:rPr>
          <w:rFonts w:eastAsia="Palatino Linotype" w:cs="Palatino Linotype"/>
          <w:i/>
          <w:color w:val="000000"/>
          <w:sz w:val="22"/>
          <w:szCs w:val="24"/>
        </w:rPr>
        <w:t>, en el ámbito de sus respectivas competencias, se regirán por los siguientes principios y bases:</w:t>
      </w:r>
    </w:p>
    <w:p w14:paraId="37B16A9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C543645"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I. Toda la información en posesión de</w:t>
      </w:r>
      <w:r w:rsidRPr="002C04F1">
        <w:rPr>
          <w:rFonts w:eastAsia="Palatino Linotype" w:cs="Palatino Linotype"/>
          <w:i/>
          <w:color w:val="000000"/>
          <w:sz w:val="22"/>
          <w:szCs w:val="24"/>
        </w:rPr>
        <w:t xml:space="preserve"> </w:t>
      </w:r>
      <w:r w:rsidRPr="002C04F1">
        <w:rPr>
          <w:rFonts w:eastAsia="Palatino Linotype" w:cs="Palatino Linotype"/>
          <w:b/>
          <w:i/>
          <w:color w:val="000000"/>
          <w:sz w:val="22"/>
          <w:szCs w:val="24"/>
        </w:rPr>
        <w:t>cualquier autoridad</w:t>
      </w:r>
      <w:r w:rsidRPr="002C04F1">
        <w:rPr>
          <w:rFonts w:eastAsia="Palatino Linotype" w:cs="Palatino Linotype"/>
          <w:i/>
          <w:color w:val="000000"/>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2C04F1">
        <w:rPr>
          <w:rFonts w:eastAsia="Palatino Linotype" w:cs="Palatino Linotype"/>
          <w:b/>
          <w:i/>
          <w:color w:val="000000"/>
          <w:sz w:val="22"/>
          <w:szCs w:val="24"/>
        </w:rPr>
        <w:t>en el ámbito federal, estatal y municipal, es pública</w:t>
      </w:r>
      <w:r w:rsidRPr="002C04F1">
        <w:rPr>
          <w:rFonts w:eastAsia="Palatino Linotype" w:cs="Palatino Linotype"/>
          <w:i/>
          <w:color w:val="000000"/>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2C04F1">
        <w:rPr>
          <w:rFonts w:eastAsia="Palatino Linotype" w:cs="Palatino Linotype"/>
          <w:b/>
          <w:i/>
          <w:color w:val="000000"/>
          <w:sz w:val="22"/>
          <w:szCs w:val="24"/>
        </w:rPr>
        <w:t>Los sujetos obligados deberán documentar todo acto que derive del ejercicio de sus facultades, competencias o funciones</w:t>
      </w:r>
      <w:r w:rsidRPr="002C04F1">
        <w:rPr>
          <w:rFonts w:eastAsia="Palatino Linotype" w:cs="Palatino Linotype"/>
          <w:i/>
          <w:color w:val="000000"/>
          <w:sz w:val="22"/>
          <w:szCs w:val="24"/>
        </w:rPr>
        <w:t>, la ley determinará los supuestos específicos bajo los cuales procederá la declaración de inexistencia de la información.</w:t>
      </w:r>
    </w:p>
    <w:p w14:paraId="35B2CD1C"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 La información que se refiere a la vida privada y los datos personales será protegida en los términos y con las excepciones que fijen las leyes.</w:t>
      </w:r>
    </w:p>
    <w:p w14:paraId="27736F0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III. Toda persona, sin necesidad de acreditar interés alguno o justificar su utilización, tendrá acceso gratuito a la información pública, a sus datos personales o a la rectificación de éstos.</w:t>
      </w:r>
    </w:p>
    <w:p w14:paraId="12785BA8" w14:textId="6D1011F6"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IV. Se establecerán mecanismos de acceso a la información y procedimientos de revisión expeditos que se sustanciarán ante los organismos autónomos especializados e imparciales que establece esta Constitución.</w:t>
      </w:r>
    </w:p>
    <w:p w14:paraId="2E610144"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V. Los sujetos obligados deberán preservar sus documentos en archivos administrativos actualizados y publicarán, a través de los medios electrónicos disponibles</w:t>
      </w:r>
      <w:r w:rsidRPr="002C04F1">
        <w:rPr>
          <w:rFonts w:eastAsia="Palatino Linotype" w:cs="Palatino Linotype"/>
          <w:i/>
          <w:color w:val="000000"/>
          <w:sz w:val="22"/>
          <w:szCs w:val="24"/>
        </w:rPr>
        <w:t xml:space="preserve">, </w:t>
      </w:r>
      <w:r w:rsidRPr="002C04F1">
        <w:rPr>
          <w:rFonts w:eastAsia="Palatino Linotype" w:cs="Palatino Linotype"/>
          <w:b/>
          <w:i/>
          <w:color w:val="000000"/>
          <w:sz w:val="22"/>
          <w:szCs w:val="24"/>
        </w:rPr>
        <w:t xml:space="preserve">la información completa y actualizada sobre el ejercicio de los recursos públicos </w:t>
      </w:r>
      <w:r w:rsidRPr="002C04F1">
        <w:rPr>
          <w:rFonts w:eastAsia="Palatino Linotype" w:cs="Palatino Linotype"/>
          <w:i/>
          <w:color w:val="000000"/>
          <w:sz w:val="22"/>
          <w:szCs w:val="24"/>
        </w:rPr>
        <w:t>y los indicadores que permitan rendir cuenta del cumplimiento de sus objetivos y de los resultados obtenidos.</w:t>
      </w:r>
    </w:p>
    <w:p w14:paraId="5A7A613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 Las leyes determinarán la manera en que los sujetos obligados deberán hacer pública la información relativa a los recursos públicos que entreguen a personas físicas o morales.</w:t>
      </w:r>
    </w:p>
    <w:p w14:paraId="23F19C0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VII. La inobservancia a las disposiciones en materia de acceso a la información pública será sancionada en los términos que dispongan las leyes.</w:t>
      </w:r>
    </w:p>
    <w:p w14:paraId="06FBB93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1FC8849" w14:textId="7F35F239" w:rsidR="002C04F1" w:rsidRPr="002C04F1" w:rsidRDefault="000B20DD"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r w:rsidR="00C25A5E">
        <w:rPr>
          <w:rFonts w:eastAsia="Palatino Linotype" w:cs="Palatino Linotype"/>
          <w:i/>
          <w:color w:val="000000"/>
          <w:sz w:val="22"/>
          <w:szCs w:val="24"/>
        </w:rPr>
        <w:t>…]</w:t>
      </w:r>
    </w:p>
    <w:p w14:paraId="5005192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La ley establecerá aquella información que se considere reservada o confidencial.</w:t>
      </w:r>
    </w:p>
    <w:p w14:paraId="6EA3F08C"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22501EDA"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lastRenderedPageBreak/>
        <w:t>Por su parte, la Constitución Política del Estado Libre y Soberano de México, en su artículo 5°, dispone en su parte conducente, lo siguiente:</w:t>
      </w:r>
    </w:p>
    <w:p w14:paraId="76BC4B90"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687F7E0E" w14:textId="77777777" w:rsidR="00C25A5E" w:rsidRPr="002C04F1" w:rsidRDefault="002C04F1" w:rsidP="00C25A5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bCs/>
          <w:i/>
          <w:color w:val="000000"/>
          <w:sz w:val="22"/>
          <w:szCs w:val="24"/>
        </w:rPr>
        <w:t>Artículo 5.</w:t>
      </w:r>
      <w:r w:rsidRPr="002C04F1">
        <w:rPr>
          <w:rFonts w:eastAsia="Palatino Linotype" w:cs="Palatino Linotype"/>
          <w:i/>
          <w:color w:val="000000"/>
          <w:sz w:val="22"/>
          <w:szCs w:val="24"/>
        </w:rPr>
        <w:t xml:space="preserve"> </w:t>
      </w:r>
      <w:r w:rsidR="00C25A5E">
        <w:rPr>
          <w:rFonts w:eastAsia="Palatino Linotype" w:cs="Palatino Linotype"/>
          <w:i/>
          <w:color w:val="000000"/>
          <w:sz w:val="22"/>
          <w:szCs w:val="24"/>
        </w:rPr>
        <w:t>[…]</w:t>
      </w:r>
    </w:p>
    <w:p w14:paraId="45D1A451" w14:textId="7E13D10C" w:rsidR="00C25A5E" w:rsidRPr="002C04F1" w:rsidRDefault="00C25A5E"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7FB820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 xml:space="preserve">El derecho a la información será garantizado por el Estado. La ley establecerá las previsiones que permitan asegurar la protección, el respeto y la difusión de este derecho. </w:t>
      </w:r>
    </w:p>
    <w:p w14:paraId="16B7855C"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983CCD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056840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21439FE"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Este derecho se regirá por los principios y bases siguientes:</w:t>
      </w:r>
    </w:p>
    <w:p w14:paraId="1D018E55"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FBE0A2D"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8993C2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49A4D1B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III. Toda persona, sin necesidad de acreditar interés alguno o justificar su utilización, tendrá acceso gratuito a la información pública, a sus datos personales o a la rectificación de éstos.</w:t>
      </w:r>
    </w:p>
    <w:p w14:paraId="530F6DB8"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IV. Se establecerán mecanismos de acceso a la información y procedimientos de revisión expeditos que se sustanciarán ante el organismo autónomo especializado e imparcial que establece esta Constitución.</w:t>
      </w:r>
    </w:p>
    <w:p w14:paraId="11F103D0"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 xml:space="preserve">V. Los procedimientos de acceso a la información pública, de acceso, corrección y supresión de datos personales, así como los recursos de revisión derivados de los mismos, podrán tramitarse </w:t>
      </w:r>
      <w:r w:rsidRPr="002C04F1">
        <w:rPr>
          <w:rFonts w:eastAsia="Palatino Linotype" w:cs="Palatino Linotype"/>
          <w:i/>
          <w:color w:val="000000"/>
          <w:sz w:val="22"/>
          <w:szCs w:val="24"/>
        </w:rPr>
        <w:lastRenderedPageBreak/>
        <w:t>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662BFF7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0F4DF0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VII. La ley reglamentaria, determinará la manera en que los sujetos obligados deberán hacer pública la información relativa a los recursos públicos que entreguen a personas físicas o jurídicas colectivas.</w:t>
      </w:r>
    </w:p>
    <w:p w14:paraId="0D1C3AF4"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0F0E5359" w14:textId="181A88AE" w:rsidR="002C04F1" w:rsidRPr="002C04F1" w:rsidRDefault="16318319" w:rsidP="16318319">
      <w:pPr>
        <w:rPr>
          <w:rFonts w:eastAsia="Palatino Linotype" w:cs="Palatino Linotype"/>
        </w:rPr>
      </w:pPr>
      <w:r w:rsidRPr="16318319">
        <w:rPr>
          <w:rFonts w:eastAsia="Palatino Linotype" w:cs="Palatino Linotype"/>
        </w:rPr>
        <w:t xml:space="preserve">En ese orden de ideas, la Ley de Transparencia y Acceso a la Información Pública del Estado de México y Municipios, prevé en su artículo 23 fracción </w:t>
      </w:r>
      <w:r w:rsidR="00032783">
        <w:rPr>
          <w:rFonts w:eastAsia="Palatino Linotype" w:cs="Palatino Linotype"/>
        </w:rPr>
        <w:t>VI</w:t>
      </w:r>
      <w:r w:rsidR="00E10F99">
        <w:rPr>
          <w:rFonts w:eastAsia="Palatino Linotype" w:cs="Palatino Linotype"/>
        </w:rPr>
        <w:t>I</w:t>
      </w:r>
      <w:r w:rsidRPr="16318319">
        <w:rPr>
          <w:rFonts w:eastAsia="Palatino Linotype" w:cs="Palatino Linotype"/>
        </w:rPr>
        <w:t xml:space="preserve"> lo siguiente:</w:t>
      </w:r>
    </w:p>
    <w:p w14:paraId="33A0335B" w14:textId="77777777" w:rsidR="002C04F1" w:rsidRPr="002C04F1" w:rsidRDefault="002C04F1" w:rsidP="002C04F1">
      <w:pPr>
        <w:rPr>
          <w:rFonts w:eastAsia="Palatino Linotype" w:cs="Palatino Linotype"/>
          <w:szCs w:val="24"/>
        </w:rPr>
      </w:pPr>
    </w:p>
    <w:p w14:paraId="23DF027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Artículo 23.</w:t>
      </w:r>
      <w:r w:rsidRPr="002C04F1">
        <w:rPr>
          <w:rFonts w:eastAsia="Palatino Linotype" w:cs="Palatino Linotype"/>
          <w:i/>
          <w:color w:val="000000"/>
          <w:sz w:val="22"/>
          <w:szCs w:val="24"/>
        </w:rPr>
        <w:t xml:space="preserve"> Son sujetos obligados a transparentar y permitir el acceso a su información y proteger los datos personales que obren en su poder:</w:t>
      </w:r>
    </w:p>
    <w:p w14:paraId="625CE185" w14:textId="78D6EF2E" w:rsidR="00C25A5E" w:rsidRPr="002C04F1" w:rsidRDefault="00032783" w:rsidP="00C25A5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5D2F8E89" w14:textId="691E58F3" w:rsidR="002C04F1" w:rsidRPr="002C04F1" w:rsidRDefault="00032783"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b/>
          <w:bCs/>
          <w:i/>
          <w:color w:val="000000"/>
          <w:sz w:val="22"/>
          <w:szCs w:val="24"/>
        </w:rPr>
        <w:t>VI</w:t>
      </w:r>
      <w:r w:rsidR="002600FF">
        <w:rPr>
          <w:rFonts w:eastAsia="Palatino Linotype" w:cs="Palatino Linotype"/>
          <w:b/>
          <w:bCs/>
          <w:i/>
          <w:color w:val="000000"/>
          <w:sz w:val="22"/>
          <w:szCs w:val="24"/>
        </w:rPr>
        <w:t>I</w:t>
      </w:r>
      <w:r w:rsidR="002C04F1" w:rsidRPr="002C04F1">
        <w:rPr>
          <w:rFonts w:eastAsia="Palatino Linotype" w:cs="Palatino Linotype"/>
          <w:b/>
          <w:bCs/>
          <w:i/>
          <w:color w:val="000000"/>
          <w:sz w:val="22"/>
          <w:szCs w:val="24"/>
        </w:rPr>
        <w:t>.</w:t>
      </w:r>
      <w:r w:rsidR="00865618">
        <w:rPr>
          <w:rFonts w:eastAsia="Palatino Linotype" w:cs="Palatino Linotype"/>
          <w:bCs/>
          <w:i/>
          <w:color w:val="000000"/>
          <w:sz w:val="22"/>
          <w:szCs w:val="24"/>
        </w:rPr>
        <w:t xml:space="preserve"> </w:t>
      </w:r>
      <w:r>
        <w:rPr>
          <w:rFonts w:eastAsia="Palatino Linotype" w:cs="Palatino Linotype"/>
          <w:bCs/>
          <w:i/>
          <w:color w:val="000000"/>
          <w:sz w:val="22"/>
          <w:szCs w:val="24"/>
        </w:rPr>
        <w:t>LOS</w:t>
      </w:r>
      <w:r w:rsidR="00F95C6F">
        <w:rPr>
          <w:rFonts w:eastAsia="Palatino Linotype" w:cs="Palatino Linotype"/>
          <w:i/>
          <w:color w:val="000000"/>
          <w:sz w:val="22"/>
          <w:szCs w:val="24"/>
        </w:rPr>
        <w:t xml:space="preserve"> </w:t>
      </w:r>
      <w:r w:rsidRPr="00032783">
        <w:rPr>
          <w:rFonts w:eastAsia="Palatino Linotype" w:cs="Palatino Linotype"/>
          <w:i/>
          <w:color w:val="000000"/>
          <w:sz w:val="22"/>
          <w:szCs w:val="24"/>
        </w:rPr>
        <w:t>partidos políticos y agrupaciones políticas, en los términos de las disposiciones aplicables</w:t>
      </w:r>
      <w:r w:rsidR="002C04F1" w:rsidRPr="002C04F1">
        <w:rPr>
          <w:rFonts w:eastAsia="Palatino Linotype" w:cs="Palatino Linotype"/>
          <w:i/>
          <w:color w:val="000000"/>
          <w:sz w:val="22"/>
          <w:szCs w:val="24"/>
        </w:rPr>
        <w:t>;</w:t>
      </w:r>
    </w:p>
    <w:p w14:paraId="413B5920" w14:textId="77777777" w:rsidR="00C25A5E" w:rsidRPr="002C04F1" w:rsidRDefault="00C25A5E" w:rsidP="00C25A5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25C80B76"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066C81B7" w14:textId="652A09C2"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w:t>
      </w:r>
      <w:r w:rsidR="00032783">
        <w:rPr>
          <w:rFonts w:eastAsia="Palatino Linotype" w:cs="Palatino Linotype"/>
          <w:color w:val="000000"/>
          <w:szCs w:val="24"/>
        </w:rPr>
        <w:t xml:space="preserve"> y partidos políticos</w:t>
      </w:r>
      <w:r w:rsidRPr="002C04F1">
        <w:rPr>
          <w:rFonts w:eastAsia="Palatino Linotype" w:cs="Palatino Linotype"/>
          <w:color w:val="000000"/>
          <w:szCs w:val="24"/>
        </w:rPr>
        <w:t>, con el fin de que los particulares conozcan toda aquella información que es considerada como pública.</w:t>
      </w:r>
    </w:p>
    <w:p w14:paraId="0BB906C6" w14:textId="77777777" w:rsidR="002C04F1" w:rsidRDefault="002C04F1" w:rsidP="002C04F1">
      <w:pPr>
        <w:pBdr>
          <w:top w:val="nil"/>
          <w:left w:val="nil"/>
          <w:bottom w:val="nil"/>
          <w:right w:val="nil"/>
          <w:between w:val="nil"/>
        </w:pBdr>
        <w:contextualSpacing/>
        <w:rPr>
          <w:rFonts w:eastAsia="Palatino Linotype" w:cs="Palatino Linotype"/>
          <w:color w:val="000000"/>
          <w:szCs w:val="24"/>
        </w:rPr>
      </w:pPr>
    </w:p>
    <w:p w14:paraId="00A43F20" w14:textId="3986D7B9" w:rsidR="00AE031C" w:rsidRDefault="00AE031C" w:rsidP="002C04F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Asimismo, de acuerdo </w:t>
      </w:r>
      <w:r w:rsidR="000D5C6A">
        <w:rPr>
          <w:rFonts w:eastAsia="Palatino Linotype" w:cs="Palatino Linotype"/>
          <w:color w:val="000000"/>
          <w:szCs w:val="24"/>
        </w:rPr>
        <w:t>con</w:t>
      </w:r>
      <w:r>
        <w:rPr>
          <w:rFonts w:eastAsia="Palatino Linotype" w:cs="Palatino Linotype"/>
          <w:color w:val="000000"/>
          <w:szCs w:val="24"/>
        </w:rPr>
        <w:t xml:space="preserve"> lo expresado por la Recurrente en </w:t>
      </w:r>
      <w:r w:rsidR="00EF2F66">
        <w:rPr>
          <w:rFonts w:eastAsia="Palatino Linotype" w:cs="Palatino Linotype"/>
          <w:color w:val="000000"/>
          <w:szCs w:val="24"/>
        </w:rPr>
        <w:t>los motivos de inconformidad, se estima que se actualiza</w:t>
      </w:r>
      <w:r w:rsidR="00032783">
        <w:rPr>
          <w:rFonts w:eastAsia="Palatino Linotype" w:cs="Palatino Linotype"/>
          <w:color w:val="000000"/>
          <w:szCs w:val="24"/>
        </w:rPr>
        <w:t>n</w:t>
      </w:r>
      <w:r w:rsidR="00EF2F66">
        <w:rPr>
          <w:rFonts w:eastAsia="Palatino Linotype" w:cs="Palatino Linotype"/>
          <w:color w:val="000000"/>
          <w:szCs w:val="24"/>
        </w:rPr>
        <w:t xml:space="preserve"> la</w:t>
      </w:r>
      <w:r w:rsidR="00032783">
        <w:rPr>
          <w:rFonts w:eastAsia="Palatino Linotype" w:cs="Palatino Linotype"/>
          <w:color w:val="000000"/>
          <w:szCs w:val="24"/>
        </w:rPr>
        <w:t>s</w:t>
      </w:r>
      <w:r w:rsidR="00EF2F66">
        <w:rPr>
          <w:rFonts w:eastAsia="Palatino Linotype" w:cs="Palatino Linotype"/>
          <w:color w:val="000000"/>
          <w:szCs w:val="24"/>
        </w:rPr>
        <w:t xml:space="preserve"> hipótesis de procedencia del recurso de </w:t>
      </w:r>
      <w:r w:rsidR="00EF2F66">
        <w:rPr>
          <w:rFonts w:eastAsia="Palatino Linotype" w:cs="Palatino Linotype"/>
          <w:color w:val="000000"/>
          <w:szCs w:val="24"/>
        </w:rPr>
        <w:lastRenderedPageBreak/>
        <w:t>revisión prevista</w:t>
      </w:r>
      <w:r w:rsidR="00032783">
        <w:rPr>
          <w:rFonts w:eastAsia="Palatino Linotype" w:cs="Palatino Linotype"/>
          <w:color w:val="000000"/>
          <w:szCs w:val="24"/>
        </w:rPr>
        <w:t>s</w:t>
      </w:r>
      <w:r w:rsidR="00EF2F66">
        <w:rPr>
          <w:rFonts w:eastAsia="Palatino Linotype" w:cs="Palatino Linotype"/>
          <w:color w:val="000000"/>
          <w:szCs w:val="24"/>
        </w:rPr>
        <w:t xml:space="preserve"> en la</w:t>
      </w:r>
      <w:r w:rsidR="00032783">
        <w:rPr>
          <w:rFonts w:eastAsia="Palatino Linotype" w:cs="Palatino Linotype"/>
          <w:color w:val="000000"/>
          <w:szCs w:val="24"/>
        </w:rPr>
        <w:t>s fracciones</w:t>
      </w:r>
      <w:r w:rsidR="00EF2F66">
        <w:rPr>
          <w:rFonts w:eastAsia="Palatino Linotype" w:cs="Palatino Linotype"/>
          <w:color w:val="000000"/>
          <w:szCs w:val="24"/>
        </w:rPr>
        <w:t xml:space="preserve"> </w:t>
      </w:r>
      <w:r w:rsidR="00032783">
        <w:rPr>
          <w:rFonts w:eastAsia="Palatino Linotype" w:cs="Palatino Linotype"/>
          <w:color w:val="000000"/>
          <w:szCs w:val="24"/>
        </w:rPr>
        <w:t>I y XIII</w:t>
      </w:r>
      <w:r w:rsidR="000D5C6A">
        <w:rPr>
          <w:rFonts w:eastAsia="Palatino Linotype" w:cs="Palatino Linotype"/>
          <w:color w:val="000000"/>
          <w:szCs w:val="24"/>
        </w:rPr>
        <w:t xml:space="preserve"> del artículo 179 de la Ley de la materia, que a la letra estipula lo siguiente:</w:t>
      </w:r>
    </w:p>
    <w:p w14:paraId="14430A2A" w14:textId="77777777" w:rsidR="000D5C6A" w:rsidRDefault="000D5C6A" w:rsidP="002C04F1">
      <w:pPr>
        <w:pBdr>
          <w:top w:val="nil"/>
          <w:left w:val="nil"/>
          <w:bottom w:val="nil"/>
          <w:right w:val="nil"/>
          <w:between w:val="nil"/>
        </w:pBdr>
        <w:contextualSpacing/>
        <w:rPr>
          <w:rFonts w:eastAsia="Palatino Linotype" w:cs="Palatino Linotype"/>
          <w:color w:val="000000"/>
          <w:szCs w:val="24"/>
        </w:rPr>
      </w:pPr>
    </w:p>
    <w:p w14:paraId="219CA8E4" w14:textId="1E60FD49" w:rsidR="000D5C6A" w:rsidRDefault="00CF355A" w:rsidP="00F77304">
      <w:pPr>
        <w:pStyle w:val="Fundamentos"/>
      </w:pPr>
      <w:r w:rsidRPr="00F77304">
        <w:rPr>
          <w:b/>
          <w:bCs/>
        </w:rPr>
        <w:t>Artículo 179.</w:t>
      </w:r>
      <w:r w:rsidRPr="00CF355A">
        <w:t xml:space="preserve"> El recurso de revisión es un medio de protección que la Ley otorga a los particulares, para hacer valer su derecho de acceso a la información pública, y procederá en contra de las siguientes causas:</w:t>
      </w:r>
    </w:p>
    <w:p w14:paraId="35516C0F" w14:textId="0243298E" w:rsidR="00CF355A" w:rsidRDefault="00CF355A" w:rsidP="00F77304">
      <w:pPr>
        <w:pStyle w:val="Fundamentos"/>
      </w:pPr>
    </w:p>
    <w:p w14:paraId="391C5EC4" w14:textId="31D1A49F" w:rsidR="00CF355A" w:rsidRDefault="00F77304" w:rsidP="00F77304">
      <w:pPr>
        <w:pStyle w:val="Fundamentos"/>
      </w:pPr>
      <w:r w:rsidRPr="00F77304">
        <w:rPr>
          <w:b/>
          <w:bCs/>
        </w:rPr>
        <w:t>V.</w:t>
      </w:r>
      <w:r w:rsidR="00032783">
        <w:t xml:space="preserve"> </w:t>
      </w:r>
      <w:r w:rsidRPr="00F77304">
        <w:t xml:space="preserve">La </w:t>
      </w:r>
      <w:r w:rsidR="00032783" w:rsidRPr="00032783">
        <w:t>negativa a la información solicitada</w:t>
      </w:r>
      <w:r w:rsidRPr="00F77304">
        <w:t>;</w:t>
      </w:r>
    </w:p>
    <w:p w14:paraId="1FCDD3F4" w14:textId="01E9E860" w:rsidR="00F77304" w:rsidRDefault="00F77304" w:rsidP="00F77304">
      <w:pPr>
        <w:pStyle w:val="Fundamentos"/>
      </w:pPr>
      <w:r>
        <w:t>[…]</w:t>
      </w:r>
    </w:p>
    <w:p w14:paraId="659DE694" w14:textId="1AB780A8" w:rsidR="00032783" w:rsidRDefault="00032783" w:rsidP="00F77304">
      <w:pPr>
        <w:pStyle w:val="Fundamentos"/>
      </w:pPr>
      <w:r w:rsidRPr="00032783">
        <w:rPr>
          <w:b/>
        </w:rPr>
        <w:t>XIII.</w:t>
      </w:r>
      <w:r>
        <w:t xml:space="preserve"> </w:t>
      </w:r>
      <w:r w:rsidRPr="00032783">
        <w:t>La falta, deficiencia o insuficiencia de la fundamentación y/o motivación en la respuesta; y</w:t>
      </w:r>
    </w:p>
    <w:p w14:paraId="75A3AC3B" w14:textId="0ACCF93A" w:rsidR="00032783" w:rsidRDefault="00032783" w:rsidP="00F77304">
      <w:pPr>
        <w:pStyle w:val="Fundamentos"/>
      </w:pPr>
      <w:r>
        <w:t>[…]</w:t>
      </w:r>
    </w:p>
    <w:p w14:paraId="264254CB" w14:textId="77777777" w:rsidR="00CF355A" w:rsidRDefault="00CF355A" w:rsidP="002C04F1">
      <w:pPr>
        <w:pBdr>
          <w:top w:val="nil"/>
          <w:left w:val="nil"/>
          <w:bottom w:val="nil"/>
          <w:right w:val="nil"/>
          <w:between w:val="nil"/>
        </w:pBdr>
        <w:contextualSpacing/>
        <w:rPr>
          <w:rFonts w:eastAsia="Palatino Linotype" w:cs="Palatino Linotype"/>
          <w:color w:val="000000"/>
          <w:szCs w:val="24"/>
        </w:rPr>
      </w:pPr>
    </w:p>
    <w:p w14:paraId="17D5565E" w14:textId="77777777" w:rsidR="00D36683" w:rsidRDefault="002C04F1" w:rsidP="002C04F1">
      <w:pPr>
        <w:contextualSpacing/>
        <w:rPr>
          <w:rFonts w:eastAsia="Palatino Linotype" w:cs="Palatino Linotype"/>
          <w:szCs w:val="24"/>
        </w:rPr>
      </w:pPr>
      <w:r w:rsidRPr="002C04F1">
        <w:rPr>
          <w:rFonts w:eastAsia="Palatino Linotype" w:cs="Palatino Linotype"/>
          <w:szCs w:val="24"/>
        </w:rPr>
        <w:t xml:space="preserve">En segundo término, </w:t>
      </w:r>
      <w:r w:rsidR="00AF4083">
        <w:rPr>
          <w:rFonts w:eastAsia="Palatino Linotype" w:cs="Palatino Linotype"/>
          <w:szCs w:val="24"/>
        </w:rPr>
        <w:t xml:space="preserve">se debe </w:t>
      </w:r>
      <w:r w:rsidR="00032783">
        <w:rPr>
          <w:rFonts w:eastAsia="Palatino Linotype" w:cs="Palatino Linotype"/>
          <w:szCs w:val="24"/>
        </w:rPr>
        <w:t>señalar que el Sujeto Obligado manifestó que no cuenta con la información solicitada debido a que la normatividad en la materia de procedimientos adquisitivos no lo considera como un sujeto obligado; por tanto, es dable hacer referencia a lo d</w:t>
      </w:r>
      <w:r w:rsidR="00D36683">
        <w:rPr>
          <w:rFonts w:eastAsia="Palatino Linotype" w:cs="Palatino Linotype"/>
          <w:szCs w:val="24"/>
        </w:rPr>
        <w:t>ispuesto en el artículo 1 de la Ley de Contratación Pública del Estado de México y Municipios, que a la letra establece lo siguiente:</w:t>
      </w:r>
    </w:p>
    <w:p w14:paraId="52B3A8C2" w14:textId="77777777" w:rsidR="00D36683" w:rsidRDefault="00D36683" w:rsidP="002C04F1">
      <w:pPr>
        <w:contextualSpacing/>
        <w:rPr>
          <w:rFonts w:eastAsia="Palatino Linotype" w:cs="Palatino Linotype"/>
          <w:szCs w:val="24"/>
        </w:rPr>
      </w:pPr>
    </w:p>
    <w:p w14:paraId="642EF9B1" w14:textId="18DCD31A" w:rsidR="00D36683" w:rsidRDefault="00D36683" w:rsidP="00D36683">
      <w:pPr>
        <w:pStyle w:val="Fundamentos"/>
      </w:pPr>
      <w:r w:rsidRPr="00D36683">
        <w:rPr>
          <w:b/>
        </w:rPr>
        <w:t>Artículo 1.-</w:t>
      </w:r>
      <w:r w:rsidRPr="00D36683">
        <w:t xml:space="preserve"> Esta Ley tiene por objeto regular los actos relativos a la planeación, programación, </w:t>
      </w:r>
      <w:proofErr w:type="spellStart"/>
      <w:r w:rsidRPr="00D36683">
        <w:t>presupuestación</w:t>
      </w:r>
      <w:proofErr w:type="spellEnd"/>
      <w:r w:rsidRPr="00D36683">
        <w:t>, ejecución y control de la adquisición, enajenación y arrendamiento de bienes, y la contratación de servicios de cual</w:t>
      </w:r>
      <w:r>
        <w:t>quier naturaleza, que realicen:</w:t>
      </w:r>
    </w:p>
    <w:p w14:paraId="6A9B39D9" w14:textId="77777777" w:rsidR="00D36683" w:rsidRDefault="00D36683" w:rsidP="00D36683">
      <w:pPr>
        <w:pStyle w:val="Fundamentos"/>
      </w:pPr>
    </w:p>
    <w:p w14:paraId="7244AA7C" w14:textId="60073CE1" w:rsidR="00D36683" w:rsidRDefault="00D36683" w:rsidP="00D36683">
      <w:pPr>
        <w:pStyle w:val="Fundamentos"/>
      </w:pPr>
      <w:r w:rsidRPr="00D36683">
        <w:rPr>
          <w:b/>
        </w:rPr>
        <w:t>I.</w:t>
      </w:r>
      <w:r w:rsidRPr="00D36683">
        <w:t xml:space="preserve"> </w:t>
      </w:r>
      <w:r>
        <w:tab/>
      </w:r>
      <w:r w:rsidRPr="00D36683">
        <w:t xml:space="preserve">Las secretarías y las unidades administrativas del Poder Ejecutivo del Estado.  </w:t>
      </w:r>
    </w:p>
    <w:p w14:paraId="111FAD78" w14:textId="10B77808" w:rsidR="00D36683" w:rsidRDefault="00D36683" w:rsidP="00D36683">
      <w:pPr>
        <w:pStyle w:val="Fundamentos"/>
      </w:pPr>
      <w:r w:rsidRPr="00D36683">
        <w:rPr>
          <w:b/>
        </w:rPr>
        <w:t>II.</w:t>
      </w:r>
      <w:r w:rsidRPr="00D36683">
        <w:t xml:space="preserve"> </w:t>
      </w:r>
      <w:r>
        <w:tab/>
      </w:r>
      <w:r w:rsidRPr="00D36683">
        <w:t xml:space="preserve">Derogada. </w:t>
      </w:r>
    </w:p>
    <w:p w14:paraId="6B5F455B" w14:textId="69847AC9" w:rsidR="00D36683" w:rsidRDefault="00D36683" w:rsidP="00D36683">
      <w:pPr>
        <w:pStyle w:val="Fundamentos"/>
      </w:pPr>
      <w:r w:rsidRPr="00D36683">
        <w:rPr>
          <w:b/>
        </w:rPr>
        <w:t>III.</w:t>
      </w:r>
      <w:r w:rsidRPr="00D36683">
        <w:t xml:space="preserve"> </w:t>
      </w:r>
      <w:r>
        <w:tab/>
      </w:r>
      <w:r w:rsidRPr="00D36683">
        <w:t xml:space="preserve">Los ayuntamientos de los municipios del Estado. </w:t>
      </w:r>
    </w:p>
    <w:p w14:paraId="02A68EDA" w14:textId="1A674D7C" w:rsidR="00D36683" w:rsidRDefault="00D36683" w:rsidP="00D36683">
      <w:pPr>
        <w:pStyle w:val="Fundamentos"/>
      </w:pPr>
      <w:r w:rsidRPr="00D36683">
        <w:rPr>
          <w:b/>
        </w:rPr>
        <w:t>IV.</w:t>
      </w:r>
      <w:r w:rsidRPr="00D36683">
        <w:t xml:space="preserve"> </w:t>
      </w:r>
      <w:r>
        <w:tab/>
      </w:r>
      <w:r w:rsidRPr="00D36683">
        <w:t xml:space="preserve">Los organismos auxiliares y fideicomisos públicos, de carácter estatal o municipal. </w:t>
      </w:r>
    </w:p>
    <w:p w14:paraId="34F1D37F" w14:textId="08144712" w:rsidR="00D36683" w:rsidRDefault="00D36683" w:rsidP="00D36683">
      <w:pPr>
        <w:pStyle w:val="Fundamentos"/>
      </w:pPr>
      <w:r w:rsidRPr="00D36683">
        <w:rPr>
          <w:b/>
        </w:rPr>
        <w:t>V.</w:t>
      </w:r>
      <w:r w:rsidRPr="00D36683">
        <w:t xml:space="preserve"> </w:t>
      </w:r>
      <w:r>
        <w:tab/>
      </w:r>
      <w:r w:rsidRPr="00D36683">
        <w:t xml:space="preserve">Los tribunales administrativos. </w:t>
      </w:r>
    </w:p>
    <w:p w14:paraId="3551D8D8" w14:textId="77777777" w:rsidR="00D36683" w:rsidRDefault="00D36683" w:rsidP="00D36683">
      <w:pPr>
        <w:pStyle w:val="Fundamentos"/>
      </w:pPr>
    </w:p>
    <w:p w14:paraId="1FF89D47" w14:textId="77777777" w:rsidR="00D36683" w:rsidRDefault="00D36683" w:rsidP="00D36683">
      <w:pPr>
        <w:pStyle w:val="Fundamentos"/>
      </w:pPr>
      <w:r w:rsidRPr="00D36683">
        <w:t xml:space="preserve">Los actos a los que se refiere este artículo que se realicen con cargo total o parcial a fondos del Gobierno del Estado de México, se estarán a lo dispuesto por esta Ley.  Los actos a que se refiere </w:t>
      </w:r>
      <w:r w:rsidRPr="00D36683">
        <w:lastRenderedPageBreak/>
        <w:t xml:space="preserve">este artículo que se realicen con cargo total o parcial a fondos del Gobierno Federal, estarán a lo dispuesto por la legislación federal.   </w:t>
      </w:r>
    </w:p>
    <w:p w14:paraId="36553DAC" w14:textId="77777777" w:rsidR="00D36683" w:rsidRDefault="00D36683" w:rsidP="00D36683">
      <w:pPr>
        <w:pStyle w:val="Fundamentos"/>
      </w:pPr>
    </w:p>
    <w:p w14:paraId="7F2BD1A3" w14:textId="77777777" w:rsidR="00D36683" w:rsidRDefault="00D36683" w:rsidP="00D36683">
      <w:pPr>
        <w:pStyle w:val="Fundamentos"/>
      </w:pPr>
      <w:r w:rsidRPr="00D36683">
        <w:t xml:space="preserve">También serán aplicables las disposiciones de esta Ley a los particulares que participen en los procedimientos, operaciones o contratos regulados en esta Ley. </w:t>
      </w:r>
    </w:p>
    <w:p w14:paraId="274CCFFB" w14:textId="77777777" w:rsidR="00D36683" w:rsidRDefault="00D36683" w:rsidP="00D36683">
      <w:pPr>
        <w:pStyle w:val="Fundamentos"/>
      </w:pPr>
    </w:p>
    <w:p w14:paraId="48D3A899" w14:textId="77777777" w:rsidR="00D36683" w:rsidRDefault="00D36683" w:rsidP="00D36683">
      <w:pPr>
        <w:pStyle w:val="Fundamentos"/>
      </w:pPr>
      <w:r w:rsidRPr="00D36683">
        <w:t xml:space="preserve">Los poderes Legislativo y Judicial, así como los organismos autónomos aplicarán las disposiciones de esta Ley en lo que no se oponga a los ordenamientos legales que los regulan, sujetándose a sus propios órganos de control. </w:t>
      </w:r>
    </w:p>
    <w:p w14:paraId="11CB9DAA" w14:textId="77777777" w:rsidR="00D36683" w:rsidRDefault="00D36683" w:rsidP="00D36683">
      <w:pPr>
        <w:pStyle w:val="Fundamentos"/>
      </w:pPr>
    </w:p>
    <w:p w14:paraId="4B6C4A04" w14:textId="77777777" w:rsidR="00D36683" w:rsidRDefault="00D36683" w:rsidP="00D36683">
      <w:pPr>
        <w:pStyle w:val="Fundamentos"/>
      </w:pPr>
      <w:r w:rsidRPr="00D36683">
        <w:t xml:space="preserve">No será aplicable lo dispuesto por esta Ley en los actos objeto del mismo, derivados de convenios celebrados entre dependencias, entidades y ayuntamientos, entre sí o con los de otros estados o de la Federación, excepto cuando sea parte un particular en los procedimientos o contratos respectivos. </w:t>
      </w:r>
    </w:p>
    <w:p w14:paraId="4D36A11E" w14:textId="77777777" w:rsidR="00D36683" w:rsidRDefault="00D36683" w:rsidP="00D36683">
      <w:pPr>
        <w:pStyle w:val="Fundamentos"/>
      </w:pPr>
    </w:p>
    <w:p w14:paraId="515DEAB9" w14:textId="14604B54" w:rsidR="00D36683" w:rsidRDefault="00D36683" w:rsidP="00D36683">
      <w:pPr>
        <w:pStyle w:val="Fundamentos"/>
      </w:pPr>
      <w:r w:rsidRPr="00D36683">
        <w:t>Tampoco serán aplicables las disposiciones de esta Ley en los actos que realicen los fideicomisos públicos en los que el Gobierno del Estado no sea fideicomitente único.</w:t>
      </w:r>
    </w:p>
    <w:p w14:paraId="1B02A9A7" w14:textId="77777777" w:rsidR="00D36683" w:rsidRDefault="00D36683" w:rsidP="002C04F1">
      <w:pPr>
        <w:contextualSpacing/>
        <w:rPr>
          <w:rFonts w:eastAsia="Palatino Linotype" w:cs="Palatino Linotype"/>
          <w:szCs w:val="24"/>
        </w:rPr>
      </w:pPr>
    </w:p>
    <w:p w14:paraId="24820506" w14:textId="6C8DDFA3" w:rsidR="00032783" w:rsidRDefault="00D36683" w:rsidP="002C04F1">
      <w:pPr>
        <w:contextualSpacing/>
        <w:rPr>
          <w:rFonts w:eastAsia="Palatino Linotype" w:cs="Palatino Linotype"/>
          <w:szCs w:val="24"/>
        </w:rPr>
      </w:pPr>
      <w:r>
        <w:rPr>
          <w:rFonts w:eastAsia="Palatino Linotype" w:cs="Palatino Linotype"/>
          <w:szCs w:val="24"/>
        </w:rPr>
        <w:t>Del precepto en cita se desprende que entre las entidades públicas reguladas por esta Ley no se encuentran los partidos políticos, pues esta norma únicamente regula los actos que realizan las secretarías y dependencias del Poder Ejecutivo del Estado, los ayuntamientos, organismos auxiliares y fideicomisos públicos estatales o municipales y los tribunales administrativos.</w:t>
      </w:r>
    </w:p>
    <w:p w14:paraId="19C96269" w14:textId="77777777" w:rsidR="00D36683" w:rsidRDefault="00D36683" w:rsidP="002C04F1">
      <w:pPr>
        <w:contextualSpacing/>
        <w:rPr>
          <w:rFonts w:eastAsia="Palatino Linotype" w:cs="Palatino Linotype"/>
          <w:szCs w:val="24"/>
        </w:rPr>
      </w:pPr>
    </w:p>
    <w:p w14:paraId="5DD102BA" w14:textId="5D915D83" w:rsidR="00D36683" w:rsidRDefault="00D36683" w:rsidP="002C04F1">
      <w:pPr>
        <w:contextualSpacing/>
        <w:rPr>
          <w:rFonts w:eastAsia="Palatino Linotype" w:cs="Palatino Linotype"/>
        </w:rPr>
      </w:pPr>
      <w:r>
        <w:rPr>
          <w:rFonts w:eastAsia="Palatino Linotype" w:cs="Palatino Linotype"/>
          <w:szCs w:val="24"/>
        </w:rPr>
        <w:t xml:space="preserve">En ese orden de ideas, el artículo 50 de la </w:t>
      </w:r>
      <w:r>
        <w:rPr>
          <w:rFonts w:eastAsia="Palatino Linotype" w:cs="Palatino Linotype"/>
        </w:rPr>
        <w:t>Ley General de Partidos Políticos estipula que estos tienen derecho a recibir, para desarrollar sus actividades, financiamiento público que se destinará para el sostenimiento de actividades ordinarias permanentes, gastos de procesos electorales y para actividades específicas.</w:t>
      </w:r>
    </w:p>
    <w:p w14:paraId="2CBD4302" w14:textId="77777777" w:rsidR="00D36683" w:rsidRDefault="00D36683" w:rsidP="002C04F1">
      <w:pPr>
        <w:contextualSpacing/>
        <w:rPr>
          <w:rFonts w:eastAsia="Palatino Linotype" w:cs="Palatino Linotype"/>
        </w:rPr>
      </w:pPr>
    </w:p>
    <w:p w14:paraId="73C06416" w14:textId="689EBDDC" w:rsidR="00D36683" w:rsidRDefault="00D36683" w:rsidP="002C04F1">
      <w:pPr>
        <w:contextualSpacing/>
        <w:rPr>
          <w:rFonts w:eastAsia="Palatino Linotype" w:cs="Palatino Linotype"/>
        </w:rPr>
      </w:pPr>
      <w:r>
        <w:rPr>
          <w:rFonts w:eastAsia="Palatino Linotype" w:cs="Palatino Linotype"/>
        </w:rPr>
        <w:lastRenderedPageBreak/>
        <w:t>Asimismo, por lo que toca a las obligaciones en materia de transparencia que tienen los partidos políticos, la Ley referida establece en su artículo 30 lo siguiente;</w:t>
      </w:r>
    </w:p>
    <w:p w14:paraId="2CE68F84" w14:textId="77777777" w:rsidR="00D36683" w:rsidRDefault="00D36683" w:rsidP="002C04F1">
      <w:pPr>
        <w:contextualSpacing/>
        <w:rPr>
          <w:rFonts w:eastAsia="Palatino Linotype" w:cs="Palatino Linotype"/>
        </w:rPr>
      </w:pPr>
    </w:p>
    <w:p w14:paraId="28F8792A" w14:textId="77777777" w:rsidR="00D36683" w:rsidRPr="00D36683" w:rsidRDefault="00D36683" w:rsidP="00D36683">
      <w:pPr>
        <w:pStyle w:val="Fundamentos"/>
        <w:rPr>
          <w:b/>
        </w:rPr>
      </w:pPr>
      <w:r w:rsidRPr="00D36683">
        <w:rPr>
          <w:b/>
        </w:rPr>
        <w:t>Artículo 30.</w:t>
      </w:r>
    </w:p>
    <w:p w14:paraId="241C98B1" w14:textId="5F4D1AC5" w:rsidR="00D36683" w:rsidRDefault="00D36683" w:rsidP="00D36683">
      <w:pPr>
        <w:pStyle w:val="Fundamentos"/>
      </w:pPr>
      <w:r w:rsidRPr="00D36683">
        <w:rPr>
          <w:b/>
        </w:rPr>
        <w:t>1.</w:t>
      </w:r>
      <w:r w:rsidRPr="00D36683">
        <w:t xml:space="preserve"> Se considera información pública de los partidos políticos:</w:t>
      </w:r>
    </w:p>
    <w:p w14:paraId="5776967C" w14:textId="672331B2" w:rsidR="00032783" w:rsidRDefault="00D36683" w:rsidP="00D36683">
      <w:pPr>
        <w:pStyle w:val="Fundamentos"/>
      </w:pPr>
      <w:r>
        <w:t>[…]</w:t>
      </w:r>
    </w:p>
    <w:p w14:paraId="7B780024" w14:textId="7AF93074" w:rsidR="00032783" w:rsidRDefault="00D36683" w:rsidP="00D36683">
      <w:pPr>
        <w:pStyle w:val="Fundamentos"/>
      </w:pPr>
      <w:r w:rsidRPr="00D36683">
        <w:rPr>
          <w:b/>
        </w:rPr>
        <w:t>g)</w:t>
      </w:r>
      <w:r w:rsidRPr="00D36683">
        <w:tab/>
        <w:t>Los contratos y convenios suscritos para la adquisición, arrendamiento, concesiones y prestación de bienes y servicios;</w:t>
      </w:r>
    </w:p>
    <w:p w14:paraId="45AA50E6" w14:textId="36A2B0F5" w:rsidR="00032783" w:rsidRDefault="00D36683" w:rsidP="00D36683">
      <w:pPr>
        <w:pStyle w:val="Fundamentos"/>
      </w:pPr>
      <w:r>
        <w:t>[…]</w:t>
      </w:r>
    </w:p>
    <w:p w14:paraId="31EE7015" w14:textId="77777777" w:rsidR="00032783" w:rsidRDefault="00032783" w:rsidP="002C04F1">
      <w:pPr>
        <w:contextualSpacing/>
        <w:rPr>
          <w:rFonts w:eastAsia="Palatino Linotype" w:cs="Palatino Linotype"/>
          <w:szCs w:val="24"/>
        </w:rPr>
      </w:pPr>
    </w:p>
    <w:p w14:paraId="234E9804" w14:textId="038E5CF9" w:rsidR="00032783" w:rsidRDefault="00F61E72" w:rsidP="002C04F1">
      <w:pPr>
        <w:contextualSpacing/>
        <w:rPr>
          <w:rFonts w:eastAsia="Palatino Linotype" w:cs="Palatino Linotype"/>
          <w:szCs w:val="24"/>
        </w:rPr>
      </w:pPr>
      <w:r>
        <w:rPr>
          <w:rFonts w:eastAsia="Palatino Linotype" w:cs="Palatino Linotype"/>
          <w:szCs w:val="24"/>
        </w:rPr>
        <w:t>Así, la información relacionada con contratos y convenios celebrados para adquirir, arrendar, concesionar o para la prestación de bienes y servicios generada por los partidos políticos es pública; sin embargo, no se desprende que dichos actos jurídicos deriven de procedimientos de licitación pública, invitación restringida o adjudicación directa.</w:t>
      </w:r>
    </w:p>
    <w:p w14:paraId="192AA8BF" w14:textId="77777777" w:rsidR="00032783" w:rsidRDefault="00032783" w:rsidP="002C04F1">
      <w:pPr>
        <w:contextualSpacing/>
        <w:rPr>
          <w:rFonts w:eastAsia="Palatino Linotype" w:cs="Palatino Linotype"/>
          <w:szCs w:val="24"/>
        </w:rPr>
      </w:pPr>
    </w:p>
    <w:p w14:paraId="07917B8D" w14:textId="6D6192C1" w:rsidR="00F61E72" w:rsidRDefault="00F61E72" w:rsidP="002C04F1">
      <w:pPr>
        <w:contextualSpacing/>
        <w:rPr>
          <w:rFonts w:eastAsia="Palatino Linotype" w:cs="Palatino Linotype"/>
          <w:szCs w:val="24"/>
        </w:rPr>
      </w:pPr>
      <w:r>
        <w:rPr>
          <w:rFonts w:eastAsia="Palatino Linotype" w:cs="Palatino Linotype"/>
          <w:szCs w:val="24"/>
        </w:rPr>
        <w:t>Lo anterior resulta congruente con lo referido por el Sujeto Obligado en su Informe Justificado, en el que se señaló que en el portal IPOMEX</w:t>
      </w:r>
      <w:r w:rsidR="00CA56EC">
        <w:rPr>
          <w:rFonts w:eastAsia="Palatino Linotype" w:cs="Palatino Linotype"/>
          <w:szCs w:val="24"/>
        </w:rPr>
        <w:t xml:space="preserve"> se puede consultar lo relacionado a los contratos y convenio suscritos para la adquisición, arrendamiento, concesiones y prestación de bienes y servicios en el apartado relativo a los artículos 92 fracción XXVII B y 100 fracción IV de la Ley de Transparencia estatal.</w:t>
      </w:r>
    </w:p>
    <w:p w14:paraId="733D8173" w14:textId="77777777" w:rsidR="00F61E72" w:rsidRDefault="00F61E72" w:rsidP="002C04F1">
      <w:pPr>
        <w:contextualSpacing/>
        <w:rPr>
          <w:rFonts w:eastAsia="Palatino Linotype" w:cs="Palatino Linotype"/>
          <w:szCs w:val="24"/>
        </w:rPr>
      </w:pPr>
    </w:p>
    <w:p w14:paraId="199BFF95" w14:textId="457D0666" w:rsidR="00F61E72" w:rsidRDefault="00CA56EC" w:rsidP="002C04F1">
      <w:pPr>
        <w:contextualSpacing/>
        <w:rPr>
          <w:rFonts w:eastAsia="Palatino Linotype" w:cs="Palatino Linotype"/>
          <w:szCs w:val="24"/>
        </w:rPr>
      </w:pPr>
      <w:r>
        <w:rPr>
          <w:rFonts w:eastAsia="Palatino Linotype" w:cs="Palatino Linotype"/>
          <w:szCs w:val="24"/>
        </w:rPr>
        <w:t>En esa tesitura, dichos artículos establecen lo siguiente:</w:t>
      </w:r>
    </w:p>
    <w:p w14:paraId="686B5384" w14:textId="77777777" w:rsidR="00CA56EC" w:rsidRDefault="00CA56EC" w:rsidP="002C04F1">
      <w:pPr>
        <w:contextualSpacing/>
        <w:rPr>
          <w:rFonts w:eastAsia="Palatino Linotype" w:cs="Palatino Linotype"/>
          <w:szCs w:val="24"/>
        </w:rPr>
      </w:pPr>
    </w:p>
    <w:p w14:paraId="551DAE0E" w14:textId="77777777" w:rsidR="00CA56EC" w:rsidRDefault="00CA56EC" w:rsidP="00677498">
      <w:pPr>
        <w:pStyle w:val="Fundamentos"/>
        <w:rPr>
          <w:lang w:val="es-MX"/>
        </w:rPr>
      </w:pPr>
      <w:r w:rsidRPr="00CA56EC">
        <w:rPr>
          <w:b/>
          <w:lang w:val="es-MX"/>
        </w:rPr>
        <w:t xml:space="preserve">Artículo 92. </w:t>
      </w:r>
      <w:r w:rsidRPr="00CA56EC">
        <w:rPr>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847F285" w14:textId="2243520B" w:rsidR="00CA56EC" w:rsidRDefault="00CA56EC" w:rsidP="00677498">
      <w:pPr>
        <w:pStyle w:val="Fundamentos"/>
        <w:rPr>
          <w:lang w:val="es-MX"/>
        </w:rPr>
      </w:pPr>
      <w:r>
        <w:rPr>
          <w:lang w:val="es-MX"/>
        </w:rPr>
        <w:lastRenderedPageBreak/>
        <w:t>[…]</w:t>
      </w:r>
    </w:p>
    <w:p w14:paraId="0BAF32C3" w14:textId="444D6D26" w:rsidR="00CA56EC" w:rsidRDefault="00677498" w:rsidP="00677498">
      <w:pPr>
        <w:pStyle w:val="Fundamentos"/>
        <w:rPr>
          <w:lang w:val="es-MX"/>
        </w:rPr>
      </w:pPr>
      <w:r w:rsidRPr="00677498">
        <w:rPr>
          <w:b/>
          <w:lang w:val="es-MX"/>
        </w:rPr>
        <w:t>XXVII.</w:t>
      </w:r>
      <w:r w:rsidRPr="00677498">
        <w:rPr>
          <w:lang w:val="es-MX"/>
        </w:rPr>
        <w:tab/>
        <w:t>Los montos destinados a gastos relativos a todos los programas y campañas de comunicación social y publicidad oficial desglosada por tipo de medio, proveedores, número de contrato y concepto;</w:t>
      </w:r>
    </w:p>
    <w:p w14:paraId="69613128" w14:textId="2FF3C7F9" w:rsidR="00677498" w:rsidRDefault="00677498" w:rsidP="00677498">
      <w:pPr>
        <w:pStyle w:val="Fundamentos"/>
        <w:rPr>
          <w:lang w:val="es-MX"/>
        </w:rPr>
      </w:pPr>
      <w:r>
        <w:rPr>
          <w:lang w:val="es-MX"/>
        </w:rPr>
        <w:t>[…]</w:t>
      </w:r>
    </w:p>
    <w:p w14:paraId="364B5A53" w14:textId="77777777" w:rsidR="00677498" w:rsidRDefault="00677498" w:rsidP="00677498">
      <w:pPr>
        <w:pStyle w:val="Fundamentos"/>
        <w:rPr>
          <w:lang w:val="es-MX"/>
        </w:rPr>
      </w:pPr>
    </w:p>
    <w:p w14:paraId="03D4E4D8" w14:textId="33CFE502" w:rsidR="00677498" w:rsidRDefault="00677498" w:rsidP="00677498">
      <w:pPr>
        <w:pStyle w:val="Fundamentos"/>
        <w:rPr>
          <w:lang w:val="es-MX"/>
        </w:rPr>
      </w:pPr>
      <w:r w:rsidRPr="00677498">
        <w:rPr>
          <w:b/>
          <w:lang w:val="es-MX"/>
        </w:rPr>
        <w:t xml:space="preserve">Artículo 100. </w:t>
      </w:r>
      <w:r w:rsidRPr="00677498">
        <w:rPr>
          <w:lang w:val="es-MX"/>
        </w:rPr>
        <w:t>Los partidos políticos nacionales acreditados para participar en elecciones locales y los partidos locales, en cuanto hace a sus órganos directivos estatales y municipales, las agrupaciones políticas y las personas jurídicas colectivas constituidas en asociación civil creadas por los ciudadanos que pretendan postular su candidatura independiente, según corresponda, deberán poner a disposición del público y actualizar la siguiente información:</w:t>
      </w:r>
    </w:p>
    <w:p w14:paraId="69DF7B12" w14:textId="76EA17D7" w:rsidR="00677498" w:rsidRDefault="00677498" w:rsidP="00677498">
      <w:pPr>
        <w:pStyle w:val="Fundamentos"/>
        <w:rPr>
          <w:lang w:val="es-MX"/>
        </w:rPr>
      </w:pPr>
      <w:r>
        <w:rPr>
          <w:b/>
          <w:lang w:val="es-MX"/>
        </w:rPr>
        <w:t>[…</w:t>
      </w:r>
      <w:r>
        <w:rPr>
          <w:lang w:val="es-MX"/>
        </w:rPr>
        <w:t>]</w:t>
      </w:r>
    </w:p>
    <w:p w14:paraId="7D992C44" w14:textId="1CB43089" w:rsidR="00677498" w:rsidRDefault="00677498" w:rsidP="00677498">
      <w:pPr>
        <w:pStyle w:val="Fundamentos"/>
        <w:rPr>
          <w:lang w:val="es-MX"/>
        </w:rPr>
      </w:pPr>
      <w:r w:rsidRPr="00677498">
        <w:rPr>
          <w:b/>
          <w:lang w:val="es-MX"/>
        </w:rPr>
        <w:t>IV.</w:t>
      </w:r>
      <w:r w:rsidRPr="00677498">
        <w:rPr>
          <w:lang w:val="es-MX"/>
        </w:rPr>
        <w:tab/>
        <w:t>Contratos y convenios para la adquisición o arrendamiento de bienes y servicios;</w:t>
      </w:r>
    </w:p>
    <w:p w14:paraId="47B6AC98" w14:textId="185ED331" w:rsidR="00677498" w:rsidRPr="00CA56EC" w:rsidRDefault="00677498" w:rsidP="00677498">
      <w:pPr>
        <w:pStyle w:val="Fundamentos"/>
        <w:rPr>
          <w:lang w:val="es-MX"/>
        </w:rPr>
      </w:pPr>
      <w:r>
        <w:rPr>
          <w:b/>
          <w:lang w:val="es-MX"/>
        </w:rPr>
        <w:t>[…</w:t>
      </w:r>
      <w:r>
        <w:rPr>
          <w:lang w:val="es-MX"/>
        </w:rPr>
        <w:t>]</w:t>
      </w:r>
    </w:p>
    <w:p w14:paraId="786FCE55" w14:textId="77777777" w:rsidR="00CA56EC" w:rsidRDefault="00CA56EC" w:rsidP="002C04F1">
      <w:pPr>
        <w:contextualSpacing/>
        <w:rPr>
          <w:rFonts w:eastAsia="Palatino Linotype" w:cs="Palatino Linotype"/>
          <w:szCs w:val="24"/>
        </w:rPr>
      </w:pPr>
    </w:p>
    <w:p w14:paraId="10A8B2B3" w14:textId="6EEAC4B2" w:rsidR="00F61E72" w:rsidRDefault="00677498" w:rsidP="002C04F1">
      <w:pPr>
        <w:contextualSpacing/>
        <w:rPr>
          <w:rFonts w:eastAsia="Palatino Linotype" w:cs="Palatino Linotype"/>
          <w:szCs w:val="24"/>
        </w:rPr>
      </w:pPr>
      <w:r>
        <w:rPr>
          <w:rFonts w:eastAsia="Palatino Linotype" w:cs="Palatino Linotype"/>
          <w:szCs w:val="24"/>
        </w:rPr>
        <w:t xml:space="preserve">Ahora bien, es importante hacer referencia a lo dispuesto en las tablas de aplicabilidad </w:t>
      </w:r>
      <w:r w:rsidR="00A97557">
        <w:rPr>
          <w:rFonts w:eastAsia="Palatino Linotype" w:cs="Palatino Linotype"/>
          <w:szCs w:val="24"/>
        </w:rPr>
        <w:t>correspondiente al Sujeto Obligado, en la que se observa lo siguiente:</w:t>
      </w:r>
    </w:p>
    <w:p w14:paraId="3F88D15B" w14:textId="77777777" w:rsidR="00A97557" w:rsidRDefault="00A97557" w:rsidP="002C04F1">
      <w:pPr>
        <w:contextualSpacing/>
        <w:rPr>
          <w:rFonts w:eastAsia="Palatino Linotype" w:cs="Palatino Linotype"/>
          <w:szCs w:val="24"/>
        </w:rPr>
      </w:pPr>
    </w:p>
    <w:p w14:paraId="7ED47116" w14:textId="2EF11AF9" w:rsidR="00A97557" w:rsidRDefault="00A97557" w:rsidP="002C04F1">
      <w:pPr>
        <w:contextualSpacing/>
        <w:rPr>
          <w:rFonts w:eastAsia="Palatino Linotype" w:cs="Palatino Linotype"/>
          <w:szCs w:val="24"/>
        </w:rPr>
      </w:pPr>
      <w:r w:rsidRPr="00A97557">
        <w:rPr>
          <w:rFonts w:eastAsia="Palatino Linotype" w:cs="Palatino Linotype"/>
          <w:noProof/>
          <w:szCs w:val="24"/>
          <w:lang w:val="es-MX"/>
        </w:rPr>
        <w:drawing>
          <wp:inline distT="0" distB="0" distL="0" distR="0" wp14:anchorId="72A4A177" wp14:editId="7ABAF318">
            <wp:extent cx="5939790" cy="254127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2541270"/>
                    </a:xfrm>
                    <a:prstGeom prst="rect">
                      <a:avLst/>
                    </a:prstGeom>
                  </pic:spPr>
                </pic:pic>
              </a:graphicData>
            </a:graphic>
          </wp:inline>
        </w:drawing>
      </w:r>
    </w:p>
    <w:p w14:paraId="32DC4004" w14:textId="77777777" w:rsidR="00F61E72" w:rsidRDefault="00F61E72" w:rsidP="002C04F1">
      <w:pPr>
        <w:contextualSpacing/>
        <w:rPr>
          <w:rFonts w:eastAsia="Palatino Linotype" w:cs="Palatino Linotype"/>
          <w:szCs w:val="24"/>
        </w:rPr>
      </w:pPr>
    </w:p>
    <w:p w14:paraId="3A53798B" w14:textId="4471BB40" w:rsidR="00A97557" w:rsidRDefault="00A97557" w:rsidP="002C04F1">
      <w:pPr>
        <w:contextualSpacing/>
        <w:rPr>
          <w:rFonts w:eastAsia="Palatino Linotype" w:cs="Palatino Linotype"/>
          <w:szCs w:val="24"/>
        </w:rPr>
      </w:pPr>
      <w:r>
        <w:rPr>
          <w:rFonts w:eastAsia="Palatino Linotype" w:cs="Palatino Linotype"/>
          <w:szCs w:val="24"/>
        </w:rPr>
        <w:t xml:space="preserve">Por otra parte, no se omite señalar que la respuesta fue emitida por la Coordinación de Patrimonio y Recursos Financieros, la cual, conforme al Reglamento del Patrimonio y </w:t>
      </w:r>
      <w:r>
        <w:rPr>
          <w:rFonts w:eastAsia="Palatino Linotype" w:cs="Palatino Linotype"/>
          <w:szCs w:val="24"/>
        </w:rPr>
        <w:lastRenderedPageBreak/>
        <w:t xml:space="preserve">Recursos Financieros del Partido de la Revolución Democrática, en sus artículos 9 y 20 </w:t>
      </w:r>
      <w:proofErr w:type="gramStart"/>
      <w:r>
        <w:rPr>
          <w:rFonts w:eastAsia="Palatino Linotype" w:cs="Palatino Linotype"/>
          <w:szCs w:val="24"/>
        </w:rPr>
        <w:t>inciso</w:t>
      </w:r>
      <w:proofErr w:type="gramEnd"/>
      <w:r>
        <w:rPr>
          <w:rFonts w:eastAsia="Palatino Linotype" w:cs="Palatino Linotype"/>
          <w:szCs w:val="24"/>
        </w:rPr>
        <w:t xml:space="preserve"> g) estipula lo siguiente:</w:t>
      </w:r>
    </w:p>
    <w:p w14:paraId="77FC6762" w14:textId="77777777" w:rsidR="00A97557" w:rsidRDefault="00A97557" w:rsidP="002C04F1">
      <w:pPr>
        <w:contextualSpacing/>
        <w:rPr>
          <w:rFonts w:eastAsia="Palatino Linotype" w:cs="Palatino Linotype"/>
          <w:szCs w:val="24"/>
        </w:rPr>
      </w:pPr>
    </w:p>
    <w:p w14:paraId="29170288" w14:textId="2A2D39C8" w:rsidR="00A97557" w:rsidRDefault="00A97557" w:rsidP="002A2B83">
      <w:pPr>
        <w:pStyle w:val="Fundamentos"/>
      </w:pPr>
      <w:r w:rsidRPr="00A97557">
        <w:rPr>
          <w:b/>
        </w:rPr>
        <w:t>Artículo 9.-</w:t>
      </w:r>
      <w:r w:rsidRPr="00A97557">
        <w:t xml:space="preserve"> Las Coordinaciones del Patrimonio y Recursos Financieros, Nacional y Estatales serán las responsables de administrar el patrimonio y los recursos financieros del Partido, en conjunto con la Dirección Nacional o Estatal correspondiente, y de presentar los informes de ingresos y egresos trimestrales y anu</w:t>
      </w:r>
      <w:r>
        <w:t>ales, de precampaña y campaña.</w:t>
      </w:r>
    </w:p>
    <w:p w14:paraId="240E7DD5" w14:textId="77777777" w:rsidR="00A97557" w:rsidRDefault="00A97557" w:rsidP="002A2B83">
      <w:pPr>
        <w:pStyle w:val="Fundamentos"/>
      </w:pPr>
    </w:p>
    <w:p w14:paraId="5AFE157E" w14:textId="109CDC5D" w:rsidR="00A97557" w:rsidRDefault="00A97557" w:rsidP="002A2B83">
      <w:pPr>
        <w:pStyle w:val="Fundamentos"/>
      </w:pPr>
      <w:r w:rsidRPr="002A2B83">
        <w:rPr>
          <w:b/>
        </w:rPr>
        <w:t xml:space="preserve">Artículo 20.- </w:t>
      </w:r>
      <w:r w:rsidRPr="00A97557">
        <w:t>Son atribuciones específicas de las Coordinaciones a nivel estatal, además de las señaladas anteriormente:</w:t>
      </w:r>
    </w:p>
    <w:p w14:paraId="6CBE9122" w14:textId="0D35C0F7" w:rsidR="00A97557" w:rsidRDefault="00A97557" w:rsidP="002A2B83">
      <w:pPr>
        <w:pStyle w:val="Fundamentos"/>
      </w:pPr>
      <w:r>
        <w:t>[…]</w:t>
      </w:r>
    </w:p>
    <w:p w14:paraId="6238769B" w14:textId="1AD07848" w:rsidR="00A97557" w:rsidRDefault="002A2B83" w:rsidP="002A2B83">
      <w:pPr>
        <w:pStyle w:val="Fundamentos"/>
      </w:pPr>
      <w:r w:rsidRPr="002A2B83">
        <w:rPr>
          <w:b/>
        </w:rPr>
        <w:t>g)</w:t>
      </w:r>
      <w:r w:rsidRPr="002A2B83">
        <w:t xml:space="preserve"> Celebrar contratos y convenios relativos a bienes y servicios e informarlos a la autoridad electoral de conformidad a las normas locales aplicables y los lineamientos de la Dirección Nacional.</w:t>
      </w:r>
    </w:p>
    <w:p w14:paraId="4AA31E19" w14:textId="3F2AF4BE" w:rsidR="002A2B83" w:rsidRDefault="002A2B83" w:rsidP="002A2B83">
      <w:pPr>
        <w:pStyle w:val="Fundamentos"/>
      </w:pPr>
      <w:r>
        <w:t>[…]</w:t>
      </w:r>
    </w:p>
    <w:p w14:paraId="2F6A8D3C" w14:textId="77777777" w:rsidR="00A97557" w:rsidRDefault="00A97557" w:rsidP="002C04F1">
      <w:pPr>
        <w:contextualSpacing/>
        <w:rPr>
          <w:rFonts w:eastAsia="Palatino Linotype" w:cs="Palatino Linotype"/>
          <w:szCs w:val="24"/>
        </w:rPr>
      </w:pPr>
    </w:p>
    <w:p w14:paraId="25B8F211" w14:textId="1E7790E3" w:rsidR="00A97557" w:rsidRDefault="002A2B83" w:rsidP="002C04F1">
      <w:pPr>
        <w:contextualSpacing/>
        <w:rPr>
          <w:rFonts w:eastAsia="Palatino Linotype" w:cs="Palatino Linotype"/>
          <w:szCs w:val="24"/>
        </w:rPr>
      </w:pPr>
      <w:r>
        <w:rPr>
          <w:rFonts w:eastAsia="Palatino Linotype" w:cs="Palatino Linotype"/>
          <w:szCs w:val="24"/>
        </w:rPr>
        <w:t>De los artículos en cita se desprende que las Coordinaciones del Patrimonio y Recursos Financieros son responsables de administrar el patrimonio y recursos financieros del Partido, y las Coordinaciones estatales están facultadas para celebrar contratos y convenios relativos a bienes y servicios de conformidad a las normas locales aplicables.</w:t>
      </w:r>
    </w:p>
    <w:p w14:paraId="6BFE040B" w14:textId="77777777" w:rsidR="002A2B83" w:rsidRDefault="002A2B83" w:rsidP="002C04F1">
      <w:pPr>
        <w:contextualSpacing/>
        <w:rPr>
          <w:rFonts w:eastAsia="Palatino Linotype" w:cs="Palatino Linotype"/>
          <w:szCs w:val="24"/>
        </w:rPr>
      </w:pPr>
    </w:p>
    <w:p w14:paraId="6253DEEC" w14:textId="1AE0012A" w:rsidR="002A2B83" w:rsidRPr="002A2B83" w:rsidRDefault="002A2B83" w:rsidP="002A2B83">
      <w:r>
        <w:rPr>
          <w:rFonts w:eastAsia="Palatino Linotype" w:cs="Palatino Linotype"/>
          <w:szCs w:val="24"/>
        </w:rPr>
        <w:t xml:space="preserve">Por lo anterior, es viable colegir que la respuesta fue emitida por el área con atribuciones para la celebración de contratos y convenios relativos a bienes y </w:t>
      </w:r>
      <w:proofErr w:type="gramStart"/>
      <w:r>
        <w:rPr>
          <w:rFonts w:eastAsia="Palatino Linotype" w:cs="Palatino Linotype"/>
          <w:szCs w:val="24"/>
        </w:rPr>
        <w:t xml:space="preserve">servicios  </w:t>
      </w:r>
      <w:r w:rsidRPr="002A2B83">
        <w:rPr>
          <w:rFonts w:eastAsia="Palatino Linotype" w:cs="Palatino Linotype"/>
          <w:szCs w:val="24"/>
        </w:rPr>
        <w:t>manifestó</w:t>
      </w:r>
      <w:proofErr w:type="gramEnd"/>
      <w:r w:rsidRPr="002A2B83">
        <w:rPr>
          <w:rFonts w:eastAsia="Palatino Linotype" w:cs="Palatino Linotype"/>
          <w:szCs w:val="24"/>
        </w:rPr>
        <w:t xml:space="preserve"> que no </w:t>
      </w:r>
      <w:r>
        <w:rPr>
          <w:rFonts w:eastAsia="Palatino Linotype" w:cs="Palatino Linotype"/>
          <w:szCs w:val="24"/>
        </w:rPr>
        <w:t xml:space="preserve">genera información relacionada con lo referido por el Recurrente en su solicitud dado que </w:t>
      </w:r>
      <w:r w:rsidRPr="002A2B83">
        <w:rPr>
          <w:rFonts w:eastAsia="Palatino Linotype" w:cs="Palatino Linotype"/>
          <w:color w:val="000000"/>
          <w:szCs w:val="24"/>
        </w:rPr>
        <w:t xml:space="preserve">no existe fuente obligacional que </w:t>
      </w:r>
      <w:r>
        <w:rPr>
          <w:rFonts w:eastAsia="Palatino Linotype" w:cs="Palatino Linotype"/>
          <w:color w:val="000000"/>
          <w:szCs w:val="24"/>
        </w:rPr>
        <w:t xml:space="preserve">los </w:t>
      </w:r>
      <w:r w:rsidRPr="002A2B83">
        <w:rPr>
          <w:rFonts w:eastAsia="Palatino Linotype" w:cs="Palatino Linotype"/>
          <w:color w:val="000000"/>
          <w:szCs w:val="24"/>
        </w:rPr>
        <w:t xml:space="preserve">constriña a contar con los documentos solicitados, se debe entender que se está frente a hechos negativos. </w:t>
      </w:r>
      <w:r w:rsidRPr="002A2B83">
        <w:rPr>
          <w:rFonts w:cs="Arial"/>
        </w:rPr>
        <w:t>Así, el Pleno de este Órgano Garante ha sostenido que ante un hecho negativo</w:t>
      </w:r>
      <w:r w:rsidRPr="002A2B83">
        <w:rPr>
          <w:rFonts w:eastAsia="Palatino Linotype" w:cs="Palatino Linotype"/>
          <w:color w:val="000000"/>
          <w:szCs w:val="24"/>
        </w:rPr>
        <w:t xml:space="preserve"> </w:t>
      </w:r>
      <w:r w:rsidRPr="002A2B83">
        <w:rPr>
          <w:rFonts w:cs="Arial"/>
          <w:lang w:eastAsia="es-ES"/>
        </w:rPr>
        <w:t xml:space="preserve">resulta innecesaria una declaratoria de inexistencia en términos de los artículos 19, 169 y 170 de la Ley de </w:t>
      </w:r>
      <w:r w:rsidRPr="002A2B83">
        <w:rPr>
          <w:rFonts w:cs="Arial"/>
          <w:lang w:eastAsia="es-ES"/>
        </w:rPr>
        <w:lastRenderedPageBreak/>
        <w:t>Transparencia y Acceso a la Información Pública del Estado de México y Municipios, resultando aplicable la siguiente tesis:</w:t>
      </w:r>
    </w:p>
    <w:p w14:paraId="469BFE2B" w14:textId="77777777" w:rsidR="002A2B83" w:rsidRPr="002A2B83" w:rsidRDefault="002A2B83" w:rsidP="002A2B83">
      <w:pPr>
        <w:rPr>
          <w:rFonts w:cs="Times New Roman"/>
        </w:rPr>
      </w:pPr>
    </w:p>
    <w:p w14:paraId="697289D1" w14:textId="77777777" w:rsidR="002A2B83" w:rsidRPr="002A2B83" w:rsidRDefault="002A2B83" w:rsidP="002A2B83">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2A2B83">
        <w:rPr>
          <w:rFonts w:eastAsia="Palatino Linotype" w:cs="Palatino Linotype"/>
          <w:b/>
          <w:bCs/>
          <w:i/>
          <w:color w:val="000000"/>
          <w:sz w:val="22"/>
          <w:szCs w:val="24"/>
        </w:rPr>
        <w:t xml:space="preserve">HECHOS NEGATIVOS, NO SON SUSCEPTIBLES DE DEMOSTRACIÓN. </w:t>
      </w:r>
    </w:p>
    <w:p w14:paraId="6A1DFABA" w14:textId="77777777" w:rsidR="002A2B83" w:rsidRPr="002A2B83" w:rsidRDefault="002A2B83" w:rsidP="002A2B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A2B83">
        <w:rPr>
          <w:rFonts w:eastAsia="Palatino Linotype" w:cs="Palatino Linotype"/>
          <w:i/>
          <w:color w:val="000000"/>
          <w:sz w:val="22"/>
          <w:szCs w:val="24"/>
        </w:rPr>
        <w:t>Tratándose de un hecho negativo, el Juez no tiene por qué invocar prueba alguna de la que se desprenda, ya que es bien sabido que esta clase de hechos no son susceptibles de demostración.</w:t>
      </w:r>
    </w:p>
    <w:p w14:paraId="1B28AFAD" w14:textId="77777777" w:rsidR="002A2B83" w:rsidRPr="002A2B83" w:rsidRDefault="002A2B83" w:rsidP="002A2B83">
      <w:pPr>
        <w:rPr>
          <w:rFonts w:cs="Times New Roman"/>
          <w:iCs/>
        </w:rPr>
      </w:pPr>
    </w:p>
    <w:p w14:paraId="02E84E3A" w14:textId="77777777" w:rsidR="002A2B83" w:rsidRPr="002A2B83" w:rsidRDefault="002A2B83" w:rsidP="002A2B83">
      <w:pPr>
        <w:pBdr>
          <w:top w:val="nil"/>
          <w:left w:val="nil"/>
          <w:bottom w:val="nil"/>
          <w:right w:val="nil"/>
          <w:between w:val="nil"/>
        </w:pBdr>
        <w:contextualSpacing/>
        <w:rPr>
          <w:rFonts w:eastAsia="Palatino Linotype" w:cs="Palatino Linotype"/>
          <w:szCs w:val="24"/>
        </w:rPr>
      </w:pPr>
      <w:r w:rsidRPr="002A2B83">
        <w:rPr>
          <w:rFonts w:cs="Times New Roman"/>
        </w:rPr>
        <w:t xml:space="preserve">Además, de conformidad con lo establecido en el artículo 12 de la Ley de la materia, el Sujeto Obligado sólo proporcionará la información que obra en sus archivos, lo que </w:t>
      </w:r>
      <w:r w:rsidRPr="002A2B83">
        <w:rPr>
          <w:rFonts w:cs="Times New Roman"/>
          <w:i/>
        </w:rPr>
        <w:t>a contrario sensu</w:t>
      </w:r>
      <w:r w:rsidRPr="002A2B83">
        <w:rPr>
          <w:rFonts w:cs="Times New Roman"/>
        </w:rPr>
        <w:t xml:space="preserve"> significa que no está obligado a proporcionar lo que no obre en sus archivos.</w:t>
      </w:r>
    </w:p>
    <w:p w14:paraId="250DBA66" w14:textId="77777777" w:rsidR="002A2B83" w:rsidRPr="002A2B83" w:rsidRDefault="002A2B83" w:rsidP="002A2B83">
      <w:pPr>
        <w:pBdr>
          <w:top w:val="nil"/>
          <w:left w:val="nil"/>
          <w:bottom w:val="nil"/>
          <w:right w:val="nil"/>
          <w:between w:val="nil"/>
        </w:pBdr>
        <w:contextualSpacing/>
        <w:rPr>
          <w:rFonts w:eastAsia="Palatino Linotype" w:cs="Palatino Linotype"/>
          <w:szCs w:val="24"/>
        </w:rPr>
      </w:pPr>
    </w:p>
    <w:p w14:paraId="1AB49ECB" w14:textId="77777777" w:rsidR="002A2B83" w:rsidRPr="002A2B83" w:rsidRDefault="002A2B83" w:rsidP="002A2B83">
      <w:r w:rsidRPr="002A2B83">
        <w:t>Asimismo, derivado del pronunciamiento emitido por el Sujeto Obligado, aun en sentido negativo, este Órgano Garante estima conveniente señalar que no está facultado para manifestarse sobre la veracidad de la información proporcionada, ya que no existe precepto legal alguna en la Ley de la Materia que permita, vía recurso de revisión, que se pronuncie al respecto. Por analogía, sirve de apoyo a lo anterior el Criterio 31/10 emitido por el entonces Instituto Federal de Acceso a la Información y Protección de Datos, que a la letra establece lo siguiente:</w:t>
      </w:r>
    </w:p>
    <w:p w14:paraId="1E3CA405" w14:textId="77777777" w:rsidR="002A2B83" w:rsidRPr="002A2B83" w:rsidRDefault="002A2B83" w:rsidP="002A2B83"/>
    <w:p w14:paraId="176D183B" w14:textId="77777777" w:rsidR="002A2B83" w:rsidRPr="002A2B83" w:rsidRDefault="002A2B83" w:rsidP="002A2B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A2B83">
        <w:rPr>
          <w:rFonts w:eastAsia="Palatino Linotype" w:cs="Palatino Linotype"/>
          <w:b/>
          <w:bCs/>
          <w:i/>
          <w:color w:val="000000"/>
          <w:sz w:val="22"/>
          <w:szCs w:val="24"/>
        </w:rPr>
        <w:t>El Instituto Federal de Acceso a la Información y Protección de Datos no cuenta con facultades para pronunciarse respecto de la veracidad de los documentos proporcionados por los sujetos obligados.</w:t>
      </w:r>
      <w:r w:rsidRPr="002A2B83">
        <w:rPr>
          <w:rFonts w:eastAsia="Palatino Linotype" w:cs="Palatino Linotype"/>
          <w:i/>
          <w:color w:val="000000"/>
          <w:sz w:val="22"/>
          <w:szCs w:val="24"/>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w:t>
      </w:r>
      <w:r w:rsidRPr="002A2B83">
        <w:rPr>
          <w:rFonts w:eastAsia="Palatino Linotype" w:cs="Palatino Linotype"/>
          <w:i/>
          <w:color w:val="000000"/>
          <w:sz w:val="22"/>
          <w:szCs w:val="24"/>
        </w:rPr>
        <w:lastRenderedPageBreak/>
        <w:t>proporcionada por las autoridades en respuesta a las solicitudes de información que les presentan los particulares, en virtud de que en los artículos 49 y 50 de la ley Federal de Transparencia y Accesos a la Información Pública Gubernamental no se prevé una causal que permita al Instituto Federal de Acceso a la Información y Protección de Datos conocer, vía recurso de revisión, al respecto.</w:t>
      </w:r>
    </w:p>
    <w:p w14:paraId="4F473CB1" w14:textId="77777777" w:rsidR="002A2B83" w:rsidRPr="002A2B83" w:rsidRDefault="002A2B83" w:rsidP="002A2B83">
      <w:pPr>
        <w:pBdr>
          <w:top w:val="nil"/>
          <w:left w:val="nil"/>
          <w:bottom w:val="nil"/>
          <w:right w:val="nil"/>
          <w:between w:val="nil"/>
        </w:pBdr>
        <w:contextualSpacing/>
        <w:rPr>
          <w:rFonts w:eastAsia="Palatino Linotype" w:cs="Palatino Linotype"/>
          <w:szCs w:val="24"/>
        </w:rPr>
      </w:pPr>
    </w:p>
    <w:p w14:paraId="459D26D2" w14:textId="7CD76E9E" w:rsidR="00FB1C9C" w:rsidRPr="00832554" w:rsidRDefault="002A2B83" w:rsidP="00832554">
      <w:pPr>
        <w:rPr>
          <w:rFonts w:cs="Times New Roman"/>
          <w:szCs w:val="24"/>
          <w:lang w:val="es-ES" w:eastAsia="en-US"/>
        </w:rPr>
      </w:pPr>
      <w:r>
        <w:rPr>
          <w:rFonts w:cs="Times New Roman"/>
          <w:szCs w:val="24"/>
          <w:lang w:val="es-ES" w:eastAsia="en-US"/>
        </w:rPr>
        <w:t xml:space="preserve">En conclusión, </w:t>
      </w:r>
      <w:r w:rsidR="00133058">
        <w:rPr>
          <w:rFonts w:cs="Times New Roman"/>
          <w:szCs w:val="24"/>
          <w:lang w:val="es-ES" w:eastAsia="en-US"/>
        </w:rPr>
        <w:t>al hacer del conocimiento del Recurrente que la información requerida no se genera por no contar con las atribuciones, facultades o competencias</w:t>
      </w:r>
      <w:r w:rsidR="00CC795E">
        <w:rPr>
          <w:rFonts w:cs="Times New Roman"/>
          <w:szCs w:val="24"/>
          <w:lang w:val="es-ES" w:eastAsia="en-US"/>
        </w:rPr>
        <w:t xml:space="preserve">, </w:t>
      </w:r>
      <w:r w:rsidR="00371751">
        <w:rPr>
          <w:rFonts w:cs="Times New Roman"/>
          <w:szCs w:val="24"/>
          <w:lang w:val="es-ES" w:eastAsia="en-US"/>
        </w:rPr>
        <w:t xml:space="preserve">se considera que </w:t>
      </w:r>
      <w:r w:rsidR="00D343C5">
        <w:rPr>
          <w:rFonts w:cs="Times New Roman"/>
          <w:szCs w:val="24"/>
          <w:lang w:val="es-ES" w:eastAsia="en-US"/>
        </w:rPr>
        <w:t>el derecho d</w:t>
      </w:r>
      <w:r w:rsidR="00133058">
        <w:rPr>
          <w:rFonts w:cs="Times New Roman"/>
          <w:szCs w:val="24"/>
          <w:lang w:val="es-ES" w:eastAsia="en-US"/>
        </w:rPr>
        <w:t>e acceso a la información del particular</w:t>
      </w:r>
      <w:r w:rsidR="00371751">
        <w:rPr>
          <w:rFonts w:cs="Times New Roman"/>
          <w:szCs w:val="24"/>
          <w:lang w:val="es-ES" w:eastAsia="en-US"/>
        </w:rPr>
        <w:t xml:space="preserve"> se </w:t>
      </w:r>
      <w:r w:rsidR="00D343C5">
        <w:rPr>
          <w:rFonts w:cs="Times New Roman"/>
          <w:szCs w:val="24"/>
          <w:lang w:val="es-ES" w:eastAsia="en-US"/>
        </w:rPr>
        <w:t>satisfizo</w:t>
      </w:r>
      <w:r w:rsidR="00371751">
        <w:rPr>
          <w:rFonts w:cs="Times New Roman"/>
          <w:szCs w:val="24"/>
          <w:lang w:val="es-ES" w:eastAsia="en-US"/>
        </w:rPr>
        <w:t xml:space="preserve"> plenamente.</w:t>
      </w:r>
    </w:p>
    <w:p w14:paraId="4029E021" w14:textId="77777777" w:rsidR="008065A3" w:rsidRPr="00832554" w:rsidRDefault="008065A3" w:rsidP="00BE02E5">
      <w:pPr>
        <w:contextualSpacing/>
        <w:rPr>
          <w:rFonts w:eastAsia="Palatino Linotype" w:cs="Palatino Linotype"/>
          <w:szCs w:val="24"/>
          <w:lang w:val="es-ES"/>
        </w:rPr>
      </w:pPr>
    </w:p>
    <w:p w14:paraId="76945E87" w14:textId="50406C85"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szCs w:val="24"/>
        </w:rPr>
        <w:t xml:space="preserve">Por lo argumentado en los párrafos que anteceden, </w:t>
      </w:r>
      <w:r w:rsidRPr="002C04F1">
        <w:rPr>
          <w:rFonts w:eastAsia="Palatino Linotype" w:cs="Palatino Linotype"/>
          <w:color w:val="000000"/>
          <w:szCs w:val="24"/>
        </w:rPr>
        <w:t>este Instituto estima que el Sujeto Obligado colmó las pretensiones de</w:t>
      </w:r>
      <w:r w:rsidR="00133058">
        <w:rPr>
          <w:rFonts w:eastAsia="Palatino Linotype" w:cs="Palatino Linotype"/>
          <w:color w:val="000000"/>
          <w:szCs w:val="24"/>
        </w:rPr>
        <w:t>l</w:t>
      </w:r>
      <w:r w:rsidRPr="002C04F1">
        <w:rPr>
          <w:rFonts w:eastAsia="Palatino Linotype" w:cs="Palatino Linotype"/>
          <w:color w:val="000000"/>
          <w:szCs w:val="24"/>
        </w:rPr>
        <w:t xml:space="preserve"> Recurrente con su respuesta y, por tanto, los motivos de inconformidad planteados por </w:t>
      </w:r>
      <w:r w:rsidR="00133058">
        <w:rPr>
          <w:rFonts w:eastAsia="Palatino Linotype" w:cs="Palatino Linotype"/>
          <w:color w:val="000000"/>
          <w:szCs w:val="24"/>
        </w:rPr>
        <w:t>el</w:t>
      </w:r>
      <w:r w:rsidR="00D343C5">
        <w:rPr>
          <w:rFonts w:eastAsia="Palatino Linotype" w:cs="Palatino Linotype"/>
          <w:color w:val="000000"/>
          <w:szCs w:val="24"/>
        </w:rPr>
        <w:t xml:space="preserve"> </w:t>
      </w:r>
      <w:r w:rsidRPr="002C04F1">
        <w:rPr>
          <w:rFonts w:eastAsia="Palatino Linotype" w:cs="Palatino Linotype"/>
          <w:color w:val="000000"/>
          <w:szCs w:val="24"/>
        </w:rPr>
        <w:t>particular devienen infundados; por lo que es procedente confirmar la respuesta del Sujeto Obligado.</w:t>
      </w:r>
    </w:p>
    <w:p w14:paraId="34FB6059" w14:textId="77777777" w:rsidR="002C04F1" w:rsidRPr="002C04F1" w:rsidRDefault="002C04F1" w:rsidP="002C04F1">
      <w:pPr>
        <w:pBdr>
          <w:top w:val="nil"/>
          <w:left w:val="nil"/>
          <w:bottom w:val="nil"/>
          <w:right w:val="nil"/>
          <w:between w:val="nil"/>
        </w:pBdr>
        <w:contextualSpacing/>
        <w:rPr>
          <w:rFonts w:eastAsia="Palatino Linotype" w:cs="Palatino Linotype"/>
          <w:szCs w:val="24"/>
        </w:rPr>
      </w:pPr>
    </w:p>
    <w:p w14:paraId="24AF014A" w14:textId="4CFCD588" w:rsidR="002C04F1" w:rsidRPr="002C04F1" w:rsidRDefault="002C04F1" w:rsidP="002C04F1">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a la solicitud de información pública </w:t>
      </w:r>
      <w:r w:rsidR="00705331">
        <w:rPr>
          <w:rFonts w:eastAsia="Palatino Linotype" w:cs="Palatino Linotype"/>
          <w:b/>
          <w:bCs/>
          <w:color w:val="000000"/>
          <w:szCs w:val="24"/>
        </w:rPr>
        <w:t>00008/PRD/IP/2024</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68D143E7" w14:textId="77777777" w:rsidR="002C04F1" w:rsidRPr="002C04F1" w:rsidRDefault="002C04F1" w:rsidP="002C04F1">
      <w:pPr>
        <w:rPr>
          <w:rFonts w:eastAsia="Times New Roman" w:cs="Times New Roman"/>
          <w:szCs w:val="24"/>
          <w:lang w:eastAsia="es-ES"/>
        </w:rPr>
      </w:pPr>
    </w:p>
    <w:p w14:paraId="3F26F4D2" w14:textId="77777777" w:rsidR="002C04F1" w:rsidRPr="002C04F1" w:rsidRDefault="002C04F1" w:rsidP="002C04F1">
      <w:pPr>
        <w:pBdr>
          <w:top w:val="nil"/>
          <w:left w:val="nil"/>
          <w:bottom w:val="nil"/>
          <w:right w:val="nil"/>
          <w:between w:val="nil"/>
        </w:pBdr>
        <w:contextualSpacing/>
        <w:jc w:val="center"/>
        <w:rPr>
          <w:rFonts w:eastAsia="Palatino Linotype" w:cs="Palatino Linotype"/>
          <w:b/>
          <w:color w:val="000000"/>
          <w:sz w:val="28"/>
          <w:szCs w:val="28"/>
        </w:rPr>
      </w:pPr>
      <w:r w:rsidRPr="002C04F1">
        <w:rPr>
          <w:rFonts w:eastAsia="Palatino Linotype" w:cs="Palatino Linotype"/>
          <w:b/>
          <w:color w:val="000000"/>
          <w:sz w:val="28"/>
          <w:szCs w:val="28"/>
        </w:rPr>
        <w:t>R E S U E L V E</w:t>
      </w:r>
    </w:p>
    <w:p w14:paraId="548AF873" w14:textId="77777777" w:rsidR="002C04F1" w:rsidRPr="002C04F1" w:rsidRDefault="002C04F1" w:rsidP="002C04F1">
      <w:pPr>
        <w:pBdr>
          <w:top w:val="nil"/>
          <w:left w:val="nil"/>
          <w:bottom w:val="nil"/>
          <w:right w:val="nil"/>
          <w:between w:val="nil"/>
        </w:pBdr>
        <w:spacing w:before="240"/>
        <w:contextualSpacing/>
        <w:jc w:val="center"/>
        <w:rPr>
          <w:rFonts w:eastAsia="Palatino Linotype" w:cs="Palatino Linotype"/>
          <w:b/>
          <w:color w:val="000000"/>
          <w:szCs w:val="24"/>
        </w:rPr>
      </w:pPr>
    </w:p>
    <w:p w14:paraId="70CBFC64" w14:textId="42C518FD" w:rsidR="002C04F1" w:rsidRPr="0078045B"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 xml:space="preserve">a la solicitud de información </w:t>
      </w:r>
      <w:r w:rsidR="00705331">
        <w:rPr>
          <w:rFonts w:eastAsia="Palatino Linotype" w:cs="Palatino Linotype"/>
          <w:b/>
          <w:bCs/>
          <w:color w:val="000000"/>
          <w:szCs w:val="24"/>
        </w:rPr>
        <w:t>00008/PRD/IP/2024</w:t>
      </w:r>
      <w:r w:rsidRPr="002C04F1">
        <w:rPr>
          <w:rFonts w:eastAsia="Palatino Linotype" w:cs="Palatino Linotype"/>
          <w:b/>
          <w:color w:val="000000"/>
          <w:szCs w:val="24"/>
        </w:rPr>
        <w:t xml:space="preserve"> </w:t>
      </w:r>
      <w:r w:rsidRPr="002C04F1">
        <w:rPr>
          <w:rFonts w:eastAsia="Palatino Linotype" w:cs="Palatino Linotype"/>
          <w:color w:val="000000"/>
          <w:szCs w:val="24"/>
        </w:rPr>
        <w:t>por resultar infundadas las razones o motivos de i</w:t>
      </w:r>
      <w:r w:rsidR="00133058">
        <w:rPr>
          <w:rFonts w:eastAsia="Palatino Linotype" w:cs="Palatino Linotype"/>
          <w:color w:val="000000"/>
          <w:szCs w:val="24"/>
        </w:rPr>
        <w:t>nconformidad hechos valer por el</w:t>
      </w:r>
      <w:r w:rsidRPr="002C04F1">
        <w:rPr>
          <w:rFonts w:eastAsia="Palatino Linotype" w:cs="Palatino Linotype"/>
          <w:color w:val="000000"/>
          <w:szCs w:val="24"/>
        </w:rPr>
        <w:t xml:space="preserve"> Recurrente, en términos del Considerando </w:t>
      </w:r>
      <w:r w:rsidR="00133058">
        <w:rPr>
          <w:rFonts w:eastAsia="Palatino Linotype" w:cs="Palatino Linotype"/>
          <w:b/>
          <w:color w:val="000000"/>
          <w:szCs w:val="24"/>
        </w:rPr>
        <w:t>QUIN</w:t>
      </w:r>
      <w:r w:rsidRPr="002C04F1">
        <w:rPr>
          <w:rFonts w:eastAsia="Palatino Linotype" w:cs="Palatino Linotype"/>
          <w:b/>
          <w:color w:val="000000"/>
          <w:szCs w:val="24"/>
        </w:rPr>
        <w:t xml:space="preserve">TO </w:t>
      </w:r>
      <w:r w:rsidRPr="002C04F1">
        <w:rPr>
          <w:rFonts w:eastAsia="Palatino Linotype" w:cs="Palatino Linotype"/>
          <w:color w:val="000000"/>
          <w:szCs w:val="24"/>
        </w:rPr>
        <w:t>de esta resolución.</w:t>
      </w:r>
    </w:p>
    <w:p w14:paraId="5C9E888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lastRenderedPageBreak/>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48E89B2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1E950787" w14:textId="69914BC7" w:rsidR="002C04F1" w:rsidRPr="002C04F1" w:rsidRDefault="002C04F1" w:rsidP="002C04F1">
      <w:pPr>
        <w:pBdr>
          <w:top w:val="nil"/>
          <w:left w:val="nil"/>
          <w:bottom w:val="nil"/>
          <w:right w:val="nil"/>
          <w:between w:val="nil"/>
        </w:pBdr>
        <w:rPr>
          <w:rFonts w:eastAsia="Palatino Linotype" w:cs="Palatino Linotype"/>
          <w:color w:val="000000"/>
          <w:szCs w:val="24"/>
          <w:lang w:val="es-MX"/>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Pr="002C04F1">
        <w:rPr>
          <w:rFonts w:eastAsia="Palatino Linotype" w:cs="Palatino Linotype"/>
          <w:b/>
          <w:color w:val="000000"/>
          <w:szCs w:val="24"/>
          <w:lang w:val="es-MX"/>
        </w:rPr>
        <w:t>Notifíquese</w:t>
      </w:r>
      <w:r w:rsidRPr="002C04F1">
        <w:rPr>
          <w:rFonts w:eastAsia="Palatino Linotype" w:cs="Palatino Linotype"/>
          <w:color w:val="000000"/>
          <w:szCs w:val="24"/>
          <w:lang w:val="es-MX"/>
        </w:rPr>
        <w:t xml:space="preserve"> a</w:t>
      </w:r>
      <w:r w:rsidR="00133058">
        <w:rPr>
          <w:rFonts w:eastAsia="Palatino Linotype" w:cs="Palatino Linotype"/>
          <w:color w:val="000000"/>
          <w:szCs w:val="24"/>
          <w:lang w:val="es-MX"/>
        </w:rPr>
        <w:t>l</w:t>
      </w:r>
      <w:r w:rsidRPr="002C04F1">
        <w:rPr>
          <w:rFonts w:eastAsia="Palatino Linotype" w:cs="Palatino Linotype"/>
          <w:color w:val="000000"/>
          <w:szCs w:val="24"/>
          <w:lang w:val="es-MX"/>
        </w:rPr>
        <w:t xml:space="preserve"> Recurrente</w:t>
      </w:r>
      <w:r w:rsidRPr="002C04F1">
        <w:rPr>
          <w:rFonts w:eastAsia="Palatino Linotype" w:cs="Palatino Linotype"/>
          <w:b/>
          <w:color w:val="000000"/>
          <w:szCs w:val="24"/>
          <w:lang w:val="es-MX"/>
        </w:rPr>
        <w:t xml:space="preserve"> </w:t>
      </w:r>
      <w:r w:rsidRPr="002C04F1">
        <w:rPr>
          <w:rFonts w:eastAsia="Palatino Linotype" w:cs="Palatino Linotype"/>
          <w:color w:val="000000"/>
          <w:szCs w:val="24"/>
          <w:lang w:val="es-MX"/>
        </w:rPr>
        <w:t>la presente resolución vía S</w:t>
      </w:r>
      <w:r w:rsidRPr="002C04F1">
        <w:rPr>
          <w:rFonts w:eastAsia="Palatino Linotype" w:cs="Palatino Linotype"/>
          <w:szCs w:val="24"/>
          <w:lang w:val="es-MX"/>
        </w:rPr>
        <w:t>istema de Acceso a la Información Mexiquense</w:t>
      </w:r>
      <w:r w:rsidRPr="002C04F1">
        <w:rPr>
          <w:rFonts w:eastAsia="Palatino Linotype" w:cs="Palatino Linotype"/>
          <w:color w:val="000000"/>
          <w:szCs w:val="24"/>
          <w:lang w:val="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564E9025" w14:textId="77777777" w:rsidR="002C04F1" w:rsidRPr="002C04F1" w:rsidRDefault="002C04F1" w:rsidP="002C04F1">
      <w:pPr>
        <w:rPr>
          <w:lang w:val="es-MX"/>
        </w:rPr>
      </w:pPr>
    </w:p>
    <w:p w14:paraId="1EFCCDEF" w14:textId="038F31E1" w:rsidR="002C04F1" w:rsidRPr="002C04F1" w:rsidRDefault="00221114" w:rsidP="002C04F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 LO RESUELVE POR UNANIMIDAD</w:t>
      </w:r>
      <w:r w:rsidR="002C04F1" w:rsidRPr="002C04F1">
        <w:rPr>
          <w:rFonts w:eastAsia="Palatino Linotype" w:cs="Palatino Linotype"/>
          <w:color w:val="000000"/>
          <w:szCs w:val="24"/>
        </w:rPr>
        <w:t>,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Y GUADALUPE RAMÍREZ PEÑA</w:t>
      </w:r>
      <w:r w:rsidR="007B1BCD">
        <w:rPr>
          <w:rFonts w:eastAsia="Palatino Linotype" w:cs="Palatino Linotype"/>
          <w:color w:val="000000"/>
          <w:szCs w:val="24"/>
        </w:rPr>
        <w:t xml:space="preserve">, </w:t>
      </w:r>
      <w:r w:rsidR="002C04F1" w:rsidRPr="002C04F1">
        <w:rPr>
          <w:rFonts w:eastAsia="Palatino Linotype" w:cs="Palatino Linotype"/>
          <w:color w:val="000000"/>
          <w:szCs w:val="24"/>
        </w:rPr>
        <w:t xml:space="preserve">EN LA </w:t>
      </w:r>
      <w:r w:rsidR="0003574D">
        <w:rPr>
          <w:rFonts w:eastAsia="Palatino Linotype" w:cs="Palatino Linotype"/>
          <w:color w:val="000000"/>
          <w:szCs w:val="24"/>
        </w:rPr>
        <w:t xml:space="preserve">VIGÉSIMA </w:t>
      </w:r>
      <w:r>
        <w:rPr>
          <w:rFonts w:eastAsia="Palatino Linotype" w:cs="Palatino Linotype"/>
          <w:color w:val="000000"/>
          <w:szCs w:val="24"/>
        </w:rPr>
        <w:t>NOVENA</w:t>
      </w:r>
      <w:r w:rsidR="002C04F1" w:rsidRPr="002C04F1">
        <w:rPr>
          <w:rFonts w:eastAsia="Palatino Linotype" w:cs="Palatino Linotype"/>
          <w:color w:val="000000"/>
          <w:szCs w:val="24"/>
        </w:rPr>
        <w:t xml:space="preserve"> SESIÓN ORDINARIA CELEBRADA EL </w:t>
      </w:r>
      <w:r w:rsidR="00717F5D">
        <w:rPr>
          <w:rFonts w:eastAsia="Palatino Linotype" w:cs="Palatino Linotype"/>
          <w:color w:val="000000"/>
          <w:szCs w:val="24"/>
        </w:rPr>
        <w:t>VEINTIUNO DE AGOSTO</w:t>
      </w:r>
      <w:r>
        <w:rPr>
          <w:rFonts w:eastAsia="Palatino Linotype" w:cs="Palatino Linotype"/>
          <w:color w:val="000000"/>
          <w:szCs w:val="24"/>
        </w:rPr>
        <w:t xml:space="preserve"> </w:t>
      </w:r>
      <w:r w:rsidR="005E6814">
        <w:rPr>
          <w:rFonts w:eastAsia="Palatino Linotype" w:cs="Palatino Linotype"/>
          <w:color w:val="000000"/>
          <w:szCs w:val="24"/>
        </w:rPr>
        <w:t>DE DOS MIL VEINTICUATRO</w:t>
      </w:r>
      <w:r w:rsidR="002C04F1" w:rsidRPr="002C04F1">
        <w:rPr>
          <w:rFonts w:eastAsia="Palatino Linotype" w:cs="Palatino Linotype"/>
          <w:color w:val="000000"/>
          <w:szCs w:val="24"/>
        </w:rPr>
        <w:t>, ANTE EL SECRETARIO TÉCNICO DEL PLENO, ALEXIS TAPIA RAMÍREZ.-------------------------------------------------------------------------------------------</w:t>
      </w:r>
      <w:r w:rsidR="002C04F1" w:rsidRPr="002C04F1">
        <w:rPr>
          <w:rFonts w:eastAsia="Times New Roman" w:cs="Times New Roman"/>
          <w:szCs w:val="24"/>
          <w:lang w:eastAsia="es-ES"/>
        </w:rPr>
        <w:t>----------------------------------------------------------------</w:t>
      </w:r>
      <w:r w:rsidR="007B1BCD" w:rsidRPr="002C04F1">
        <w:rPr>
          <w:rFonts w:eastAsia="Palatino Linotype" w:cs="Palatino Linotype"/>
          <w:color w:val="000000"/>
          <w:szCs w:val="24"/>
        </w:rPr>
        <w:t>---------------------------------</w:t>
      </w:r>
      <w:r w:rsidR="007B1BCD" w:rsidRPr="002C04F1">
        <w:rPr>
          <w:rFonts w:eastAsia="Times New Roman" w:cs="Times New Roman"/>
          <w:szCs w:val="24"/>
          <w:lang w:eastAsia="es-ES"/>
        </w:rPr>
        <w:t>---------------------------------------------------------------------------</w:t>
      </w:r>
      <w:r w:rsidR="007B1BCD" w:rsidRPr="002C04F1">
        <w:rPr>
          <w:rFonts w:eastAsia="Palatino Linotype" w:cs="Palatino Linotype"/>
          <w:color w:val="000000"/>
          <w:szCs w:val="24"/>
        </w:rPr>
        <w:t>------------------------------------------</w:t>
      </w:r>
      <w:r w:rsidR="007B1BCD" w:rsidRPr="002C04F1">
        <w:rPr>
          <w:rFonts w:eastAsia="Times New Roman" w:cs="Times New Roman"/>
          <w:szCs w:val="24"/>
          <w:lang w:eastAsia="es-ES"/>
        </w:rPr>
        <w:t>---------------------------------------------------------------------------</w:t>
      </w:r>
      <w:r w:rsidR="007B1BCD" w:rsidRPr="002C04F1">
        <w:rPr>
          <w:rFonts w:eastAsia="Palatino Linotype" w:cs="Palatino Linotype"/>
          <w:color w:val="000000"/>
          <w:szCs w:val="24"/>
        </w:rPr>
        <w:t>------------------------------------------</w:t>
      </w:r>
      <w:r w:rsidR="007B1BCD" w:rsidRPr="002C04F1">
        <w:rPr>
          <w:rFonts w:eastAsia="Times New Roman" w:cs="Times New Roman"/>
          <w:szCs w:val="24"/>
          <w:lang w:eastAsia="es-ES"/>
        </w:rPr>
        <w:t>------------------------------------------------------</w:t>
      </w:r>
      <w:r>
        <w:rPr>
          <w:rFonts w:eastAsia="Times New Roman" w:cs="Times New Roman"/>
          <w:szCs w:val="24"/>
          <w:lang w:eastAsia="es-ES"/>
        </w:rPr>
        <w:t>--------------------</w:t>
      </w:r>
    </w:p>
    <w:p w14:paraId="63751247" w14:textId="77777777" w:rsidR="002C04F1" w:rsidRDefault="002C04F1" w:rsidP="002C04F1">
      <w:pPr>
        <w:pBdr>
          <w:top w:val="nil"/>
          <w:left w:val="nil"/>
          <w:bottom w:val="nil"/>
          <w:right w:val="nil"/>
          <w:between w:val="nil"/>
        </w:pBdr>
        <w:spacing w:line="276" w:lineRule="auto"/>
        <w:contextualSpacing/>
        <w:rPr>
          <w:rFonts w:eastAsia="Palatino Linotype" w:cs="Palatino Linotype"/>
          <w:color w:val="000000"/>
          <w:sz w:val="20"/>
          <w:szCs w:val="20"/>
        </w:rPr>
      </w:pPr>
      <w:r w:rsidRPr="002C04F1">
        <w:rPr>
          <w:rFonts w:eastAsia="Palatino Linotype" w:cs="Palatino Linotype"/>
          <w:color w:val="000000"/>
          <w:sz w:val="20"/>
          <w:szCs w:val="20"/>
        </w:rPr>
        <w:t>JMV/CCR/</w:t>
      </w:r>
      <w:proofErr w:type="spellStart"/>
      <w:r w:rsidRPr="002C04F1">
        <w:rPr>
          <w:rFonts w:eastAsia="Palatino Linotype" w:cs="Palatino Linotype"/>
          <w:color w:val="000000"/>
          <w:sz w:val="20"/>
          <w:szCs w:val="20"/>
        </w:rPr>
        <w:t>fzh</w:t>
      </w:r>
      <w:proofErr w:type="spellEnd"/>
    </w:p>
    <w:p w14:paraId="5FD600CC" w14:textId="77777777" w:rsidR="0078045B" w:rsidRDefault="0078045B"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2A1B4CBA" w14:textId="77777777" w:rsidR="0078045B" w:rsidRDefault="0078045B"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6A25A5A6" w14:textId="77777777" w:rsidR="0078045B" w:rsidRDefault="0078045B"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51DBD86B" w14:textId="77777777" w:rsidR="0078045B" w:rsidRDefault="0078045B"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7C3AF348" w14:textId="77777777" w:rsidR="0078045B" w:rsidRDefault="0078045B"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591FB483" w14:textId="77777777" w:rsidR="0078045B" w:rsidRDefault="0078045B"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750E5AFA" w14:textId="77777777" w:rsidR="0078045B" w:rsidRPr="002C04F1" w:rsidRDefault="0078045B" w:rsidP="002C04F1">
      <w:pPr>
        <w:pBdr>
          <w:top w:val="nil"/>
          <w:left w:val="nil"/>
          <w:bottom w:val="nil"/>
          <w:right w:val="nil"/>
          <w:between w:val="nil"/>
        </w:pBdr>
        <w:spacing w:line="276" w:lineRule="auto"/>
        <w:contextualSpacing/>
        <w:rPr>
          <w:rFonts w:eastAsia="Palatino Linotype" w:cs="Palatino Linotype"/>
          <w:color w:val="000000"/>
          <w:sz w:val="20"/>
          <w:szCs w:val="20"/>
        </w:rPr>
      </w:pPr>
    </w:p>
    <w:sectPr w:rsidR="0078045B" w:rsidRPr="002C04F1" w:rsidSect="00CB62DA">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CFC55" w14:textId="77777777" w:rsidR="00007113" w:rsidRDefault="00007113" w:rsidP="00F2498E">
      <w:pPr>
        <w:spacing w:line="240" w:lineRule="auto"/>
      </w:pPr>
      <w:r>
        <w:separator/>
      </w:r>
    </w:p>
  </w:endnote>
  <w:endnote w:type="continuationSeparator" w:id="0">
    <w:p w14:paraId="479101EF" w14:textId="77777777" w:rsidR="00007113" w:rsidRDefault="00007113" w:rsidP="00F2498E">
      <w:pPr>
        <w:spacing w:line="240" w:lineRule="auto"/>
      </w:pPr>
      <w:r>
        <w:continuationSeparator/>
      </w:r>
    </w:p>
  </w:endnote>
  <w:endnote w:type="continuationNotice" w:id="1">
    <w:p w14:paraId="3413E602" w14:textId="77777777" w:rsidR="00007113" w:rsidRDefault="000071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10805431" w:rsidR="00A97557" w:rsidRPr="00871A91" w:rsidRDefault="00A9755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C3BC8">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C3BC8">
      <w:rPr>
        <w:rFonts w:ascii="Palatino Linotype" w:hAnsi="Palatino Linotype"/>
        <w:b/>
        <w:bCs/>
        <w:noProof/>
        <w:sz w:val="20"/>
      </w:rPr>
      <w:t>32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31C36A83" w:rsidR="00A97557" w:rsidRPr="00871A91" w:rsidRDefault="00A9755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C3BC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C3BC8">
      <w:rPr>
        <w:rFonts w:ascii="Palatino Linotype" w:hAnsi="Palatino Linotype"/>
        <w:b/>
        <w:bCs/>
        <w:noProof/>
        <w:sz w:val="20"/>
      </w:rPr>
      <w:t>32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E3BA7" w14:textId="77777777" w:rsidR="00007113" w:rsidRDefault="00007113" w:rsidP="00F2498E">
      <w:pPr>
        <w:spacing w:line="240" w:lineRule="auto"/>
      </w:pPr>
      <w:r>
        <w:separator/>
      </w:r>
    </w:p>
  </w:footnote>
  <w:footnote w:type="continuationSeparator" w:id="0">
    <w:p w14:paraId="6AF32E74" w14:textId="77777777" w:rsidR="00007113" w:rsidRDefault="00007113" w:rsidP="00F2498E">
      <w:pPr>
        <w:spacing w:line="240" w:lineRule="auto"/>
      </w:pPr>
      <w:r>
        <w:continuationSeparator/>
      </w:r>
    </w:p>
  </w:footnote>
  <w:footnote w:type="continuationNotice" w:id="1">
    <w:p w14:paraId="49A64FF6" w14:textId="77777777" w:rsidR="00007113" w:rsidRDefault="00007113">
      <w:pPr>
        <w:spacing w:line="240" w:lineRule="auto"/>
      </w:pPr>
    </w:p>
  </w:footnote>
  <w:footnote w:id="2">
    <w:p w14:paraId="2348F3B8" w14:textId="77777777" w:rsidR="00A97557" w:rsidRDefault="00A97557"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9332023" w14:textId="77777777" w:rsidR="00A97557" w:rsidRPr="0031280C" w:rsidRDefault="00A97557"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A97557" w:rsidRPr="0031280C" w:rsidRDefault="00A97557"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A97557" w:rsidRPr="0031280C" w:rsidRDefault="00A97557"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A97557" w:rsidRDefault="00CC3BC8">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4099"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97557" w:rsidRPr="00B17577" w14:paraId="37B9EBDE" w14:textId="77777777" w:rsidTr="003938ED">
      <w:trPr>
        <w:trHeight w:val="227"/>
      </w:trPr>
      <w:tc>
        <w:tcPr>
          <w:tcW w:w="5103" w:type="dxa"/>
          <w:hideMark/>
        </w:tcPr>
        <w:p w14:paraId="4964FBC5" w14:textId="54CDA645" w:rsidR="00A97557" w:rsidRPr="00096248" w:rsidRDefault="00A9755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236F439" w:rsidR="00A97557" w:rsidRPr="00096248" w:rsidRDefault="00A97557" w:rsidP="00011C4D">
          <w:pPr>
            <w:spacing w:after="120" w:line="240" w:lineRule="auto"/>
            <w:ind w:right="71"/>
            <w:jc w:val="right"/>
            <w:rPr>
              <w:rFonts w:cs="Arial"/>
              <w:b/>
              <w:szCs w:val="24"/>
            </w:rPr>
          </w:pPr>
          <w:r>
            <w:rPr>
              <w:rFonts w:cs="Arial"/>
              <w:b/>
              <w:bCs/>
              <w:szCs w:val="24"/>
            </w:rPr>
            <w:t>01795</w:t>
          </w:r>
          <w:r w:rsidRPr="00096248">
            <w:rPr>
              <w:rFonts w:cs="Arial"/>
              <w:b/>
              <w:bCs/>
              <w:szCs w:val="24"/>
            </w:rPr>
            <w:t>/INFOEM/IP/RR/202</w:t>
          </w:r>
          <w:r>
            <w:rPr>
              <w:rFonts w:cs="Arial"/>
              <w:b/>
              <w:bCs/>
              <w:szCs w:val="24"/>
            </w:rPr>
            <w:t>4</w:t>
          </w:r>
        </w:p>
      </w:tc>
    </w:tr>
    <w:tr w:rsidR="00A97557" w14:paraId="7591D3C9" w14:textId="77777777" w:rsidTr="003938ED">
      <w:trPr>
        <w:trHeight w:val="242"/>
      </w:trPr>
      <w:tc>
        <w:tcPr>
          <w:tcW w:w="5103" w:type="dxa"/>
          <w:hideMark/>
        </w:tcPr>
        <w:p w14:paraId="729A65A8" w14:textId="77777777" w:rsidR="00A97557" w:rsidRPr="00096248" w:rsidRDefault="00A9755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E893E2D" w:rsidR="00A97557" w:rsidRPr="00096248" w:rsidRDefault="00A97557" w:rsidP="0070042E">
          <w:pPr>
            <w:spacing w:after="120" w:line="240" w:lineRule="auto"/>
            <w:ind w:left="-81" w:right="71"/>
            <w:jc w:val="right"/>
            <w:rPr>
              <w:rFonts w:cs="Arial"/>
              <w:szCs w:val="24"/>
            </w:rPr>
          </w:pPr>
          <w:r>
            <w:rPr>
              <w:rFonts w:cs="Arial"/>
              <w:szCs w:val="24"/>
            </w:rPr>
            <w:t>Partido de la Revolución Democrática</w:t>
          </w:r>
        </w:p>
      </w:tc>
    </w:tr>
    <w:tr w:rsidR="00A97557" w:rsidRPr="00F63239" w14:paraId="037E914D" w14:textId="77777777" w:rsidTr="003938ED">
      <w:trPr>
        <w:trHeight w:val="342"/>
      </w:trPr>
      <w:tc>
        <w:tcPr>
          <w:tcW w:w="5103" w:type="dxa"/>
          <w:hideMark/>
        </w:tcPr>
        <w:p w14:paraId="7676B68F" w14:textId="64D69EAF" w:rsidR="00A97557" w:rsidRPr="00096248" w:rsidRDefault="00A9755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A97557" w:rsidRDefault="00A9755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A97557" w:rsidRPr="00711916" w:rsidRDefault="00A97557" w:rsidP="00011C4D">
          <w:pPr>
            <w:spacing w:after="120" w:line="240" w:lineRule="auto"/>
            <w:ind w:left="-486" w:right="71" w:firstLine="567"/>
            <w:jc w:val="right"/>
            <w:rPr>
              <w:rFonts w:cs="Arial"/>
              <w:sz w:val="2"/>
              <w:szCs w:val="2"/>
            </w:rPr>
          </w:pPr>
        </w:p>
      </w:tc>
    </w:tr>
  </w:tbl>
  <w:p w14:paraId="2998DBFD" w14:textId="262A8E14" w:rsidR="00A97557" w:rsidRPr="00871A91" w:rsidRDefault="00CC3BC8">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alt="" style="position:absolute;left:0;text-align:left;margin-left:-82.1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A9755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97557" w14:paraId="0F9FE9B6" w14:textId="77777777" w:rsidTr="003938ED">
      <w:trPr>
        <w:trHeight w:val="227"/>
      </w:trPr>
      <w:tc>
        <w:tcPr>
          <w:tcW w:w="5103" w:type="dxa"/>
          <w:hideMark/>
        </w:tcPr>
        <w:p w14:paraId="6D1D9D71" w14:textId="11150E5A" w:rsidR="00A97557" w:rsidRPr="00663A37" w:rsidRDefault="00A9755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3E54E1A" w:rsidR="00A97557" w:rsidRPr="00C81ECD" w:rsidRDefault="00A97557" w:rsidP="00011C4D">
          <w:pPr>
            <w:spacing w:after="120" w:line="240" w:lineRule="auto"/>
            <w:ind w:left="-486" w:right="68" w:firstLine="558"/>
            <w:jc w:val="right"/>
            <w:rPr>
              <w:rFonts w:cs="Arial"/>
              <w:b/>
              <w:szCs w:val="24"/>
            </w:rPr>
          </w:pPr>
          <w:r>
            <w:rPr>
              <w:rFonts w:cs="Arial"/>
              <w:b/>
              <w:bCs/>
              <w:szCs w:val="24"/>
            </w:rPr>
            <w:t>01795/INFOEM/IP/RR/2024</w:t>
          </w:r>
        </w:p>
      </w:tc>
    </w:tr>
    <w:tr w:rsidR="00A97557" w:rsidRPr="001F57CD" w14:paraId="1377D264" w14:textId="77777777" w:rsidTr="003938ED">
      <w:trPr>
        <w:trHeight w:val="196"/>
      </w:trPr>
      <w:tc>
        <w:tcPr>
          <w:tcW w:w="5103" w:type="dxa"/>
          <w:hideMark/>
        </w:tcPr>
        <w:p w14:paraId="04D597A1" w14:textId="77777777" w:rsidR="00A97557" w:rsidRPr="00663A37" w:rsidRDefault="00A9755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2F3B9168" w:rsidR="00A97557" w:rsidRPr="00663A37" w:rsidRDefault="00CC3BC8" w:rsidP="00657695">
          <w:pPr>
            <w:spacing w:after="120" w:line="240" w:lineRule="auto"/>
            <w:ind w:right="68"/>
            <w:jc w:val="right"/>
            <w:rPr>
              <w:rFonts w:cs="Arial"/>
              <w:szCs w:val="24"/>
            </w:rPr>
          </w:pPr>
          <w:r>
            <w:rPr>
              <w:rFonts w:cs="Arial"/>
              <w:szCs w:val="24"/>
            </w:rPr>
            <w:t>XXXX</w:t>
          </w:r>
        </w:p>
      </w:tc>
    </w:tr>
    <w:tr w:rsidR="00A97557" w14:paraId="4DC11993" w14:textId="77777777" w:rsidTr="003938ED">
      <w:trPr>
        <w:trHeight w:val="242"/>
      </w:trPr>
      <w:tc>
        <w:tcPr>
          <w:tcW w:w="5103" w:type="dxa"/>
          <w:hideMark/>
        </w:tcPr>
        <w:p w14:paraId="76CEF1B5" w14:textId="77777777" w:rsidR="00A97557" w:rsidRPr="00663A37" w:rsidRDefault="00A9755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5D71D9FF" w:rsidR="00A97557" w:rsidRPr="00663A37" w:rsidRDefault="00A97557" w:rsidP="0070042E">
          <w:pPr>
            <w:spacing w:after="120" w:line="240" w:lineRule="auto"/>
            <w:ind w:left="-70" w:right="68"/>
            <w:jc w:val="right"/>
            <w:rPr>
              <w:rFonts w:cs="Arial"/>
              <w:szCs w:val="24"/>
            </w:rPr>
          </w:pPr>
          <w:r>
            <w:rPr>
              <w:rFonts w:cs="Arial"/>
              <w:szCs w:val="24"/>
            </w:rPr>
            <w:t>Partido de la Revolución Democrática</w:t>
          </w:r>
        </w:p>
      </w:tc>
    </w:tr>
    <w:tr w:rsidR="00A97557" w14:paraId="5C2B511D" w14:textId="77777777" w:rsidTr="003938ED">
      <w:trPr>
        <w:trHeight w:val="342"/>
      </w:trPr>
      <w:tc>
        <w:tcPr>
          <w:tcW w:w="5103" w:type="dxa"/>
          <w:hideMark/>
        </w:tcPr>
        <w:p w14:paraId="03FEF68C" w14:textId="45E91CF4" w:rsidR="00A97557" w:rsidRPr="00663A37" w:rsidRDefault="00A9755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A97557" w:rsidRPr="00663A37" w:rsidRDefault="00A9755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C391ADA" w:rsidR="00A97557" w:rsidRPr="00871A91" w:rsidRDefault="00CC3BC8">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alt="" style="position:absolute;left:0;text-align:left;margin-left:-82.15pt;margin-top:-143.5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A9755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4F3492"/>
    <w:multiLevelType w:val="hybridMultilevel"/>
    <w:tmpl w:val="8F88C16E"/>
    <w:lvl w:ilvl="0" w:tplc="4710C434">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7"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8" w15:restartNumberingAfterBreak="0">
    <w:nsid w:val="38BD5F8D"/>
    <w:multiLevelType w:val="hybridMultilevel"/>
    <w:tmpl w:val="22F44C70"/>
    <w:lvl w:ilvl="0" w:tplc="64E4F6C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943EE8"/>
    <w:multiLevelType w:val="multilevel"/>
    <w:tmpl w:val="B58423B2"/>
    <w:styleLink w:val="Listaactual17"/>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071756"/>
    <w:multiLevelType w:val="multilevel"/>
    <w:tmpl w:val="17381848"/>
    <w:styleLink w:val="Listaactual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563718"/>
    <w:multiLevelType w:val="hybridMultilevel"/>
    <w:tmpl w:val="7AA22368"/>
    <w:lvl w:ilvl="0" w:tplc="15280BB6">
      <w:start w:val="1"/>
      <w:numFmt w:val="decimal"/>
      <w:lvlText w:val="%1."/>
      <w:lvlJc w:val="left"/>
      <w:pPr>
        <w:ind w:left="709" w:hanging="42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0567F9"/>
    <w:multiLevelType w:val="hybridMultilevel"/>
    <w:tmpl w:val="EAE4EACA"/>
    <w:lvl w:ilvl="0" w:tplc="DD6C2CA4">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5032FB"/>
    <w:multiLevelType w:val="multilevel"/>
    <w:tmpl w:val="C7965B38"/>
    <w:styleLink w:val="Listaactual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DD5F41"/>
    <w:multiLevelType w:val="multilevel"/>
    <w:tmpl w:val="D8304F78"/>
    <w:styleLink w:val="Listaactual18"/>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2"/>
  </w:num>
  <w:num w:numId="3">
    <w:abstractNumId w:val="4"/>
  </w:num>
  <w:num w:numId="4">
    <w:abstractNumId w:val="18"/>
  </w:num>
  <w:num w:numId="5">
    <w:abstractNumId w:val="1"/>
  </w:num>
  <w:num w:numId="6">
    <w:abstractNumId w:val="13"/>
  </w:num>
  <w:num w:numId="7">
    <w:abstractNumId w:val="2"/>
  </w:num>
  <w:num w:numId="8">
    <w:abstractNumId w:val="0"/>
  </w:num>
  <w:num w:numId="9">
    <w:abstractNumId w:val="6"/>
  </w:num>
  <w:num w:numId="10">
    <w:abstractNumId w:val="7"/>
  </w:num>
  <w:num w:numId="11">
    <w:abstractNumId w:val="21"/>
  </w:num>
  <w:num w:numId="12">
    <w:abstractNumId w:val="17"/>
  </w:num>
  <w:num w:numId="13">
    <w:abstractNumId w:val="9"/>
  </w:num>
  <w:num w:numId="14">
    <w:abstractNumId w:val="11"/>
  </w:num>
  <w:num w:numId="15">
    <w:abstractNumId w:val="16"/>
  </w:num>
  <w:num w:numId="16">
    <w:abstractNumId w:val="20"/>
  </w:num>
  <w:num w:numId="17">
    <w:abstractNumId w:val="19"/>
  </w:num>
  <w:num w:numId="18">
    <w:abstractNumId w:val="15"/>
  </w:num>
  <w:num w:numId="19">
    <w:abstractNumId w:val="14"/>
  </w:num>
  <w:num w:numId="20">
    <w:abstractNumId w:val="5"/>
  </w:num>
  <w:num w:numId="21">
    <w:abstractNumId w:val="22"/>
  </w:num>
  <w:num w:numId="22">
    <w:abstractNumId w:val="8"/>
  </w:num>
  <w:num w:numId="2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92A"/>
    <w:rsid w:val="00002C6A"/>
    <w:rsid w:val="00003412"/>
    <w:rsid w:val="000034AA"/>
    <w:rsid w:val="00003F45"/>
    <w:rsid w:val="00004014"/>
    <w:rsid w:val="00005965"/>
    <w:rsid w:val="0000665B"/>
    <w:rsid w:val="00007113"/>
    <w:rsid w:val="00007857"/>
    <w:rsid w:val="00007BA4"/>
    <w:rsid w:val="0001033C"/>
    <w:rsid w:val="00010CAD"/>
    <w:rsid w:val="000114A6"/>
    <w:rsid w:val="0001151F"/>
    <w:rsid w:val="000117AB"/>
    <w:rsid w:val="00011C4D"/>
    <w:rsid w:val="00011CCA"/>
    <w:rsid w:val="000122C2"/>
    <w:rsid w:val="000124BD"/>
    <w:rsid w:val="00012909"/>
    <w:rsid w:val="00012A59"/>
    <w:rsid w:val="00012BEE"/>
    <w:rsid w:val="00012D78"/>
    <w:rsid w:val="000133B6"/>
    <w:rsid w:val="00014BF2"/>
    <w:rsid w:val="00015487"/>
    <w:rsid w:val="000154CA"/>
    <w:rsid w:val="000171BE"/>
    <w:rsid w:val="00020B8D"/>
    <w:rsid w:val="00021122"/>
    <w:rsid w:val="00021165"/>
    <w:rsid w:val="00021A08"/>
    <w:rsid w:val="000221D0"/>
    <w:rsid w:val="00024A6D"/>
    <w:rsid w:val="00025560"/>
    <w:rsid w:val="00026582"/>
    <w:rsid w:val="00031BA3"/>
    <w:rsid w:val="00032783"/>
    <w:rsid w:val="00032C99"/>
    <w:rsid w:val="00032FBE"/>
    <w:rsid w:val="00033479"/>
    <w:rsid w:val="00033562"/>
    <w:rsid w:val="0003521B"/>
    <w:rsid w:val="0003574D"/>
    <w:rsid w:val="0003577D"/>
    <w:rsid w:val="00035A30"/>
    <w:rsid w:val="0003692B"/>
    <w:rsid w:val="000369F1"/>
    <w:rsid w:val="00036D5F"/>
    <w:rsid w:val="00036EFC"/>
    <w:rsid w:val="00040A10"/>
    <w:rsid w:val="00041421"/>
    <w:rsid w:val="00041670"/>
    <w:rsid w:val="000417BE"/>
    <w:rsid w:val="00041AE7"/>
    <w:rsid w:val="00041DEA"/>
    <w:rsid w:val="00042C95"/>
    <w:rsid w:val="00045F86"/>
    <w:rsid w:val="00046A15"/>
    <w:rsid w:val="00050D85"/>
    <w:rsid w:val="00050FF1"/>
    <w:rsid w:val="00051732"/>
    <w:rsid w:val="00051C3A"/>
    <w:rsid w:val="00051F5E"/>
    <w:rsid w:val="0005219F"/>
    <w:rsid w:val="0005241C"/>
    <w:rsid w:val="00052F0F"/>
    <w:rsid w:val="000541DC"/>
    <w:rsid w:val="00054689"/>
    <w:rsid w:val="0005480B"/>
    <w:rsid w:val="00054F6A"/>
    <w:rsid w:val="00055891"/>
    <w:rsid w:val="00055C90"/>
    <w:rsid w:val="00055FE9"/>
    <w:rsid w:val="000564B5"/>
    <w:rsid w:val="000565EE"/>
    <w:rsid w:val="000575E4"/>
    <w:rsid w:val="0005787D"/>
    <w:rsid w:val="00057B42"/>
    <w:rsid w:val="00060716"/>
    <w:rsid w:val="00061B46"/>
    <w:rsid w:val="00061B8D"/>
    <w:rsid w:val="00061D9B"/>
    <w:rsid w:val="00063128"/>
    <w:rsid w:val="00064854"/>
    <w:rsid w:val="00065463"/>
    <w:rsid w:val="00066646"/>
    <w:rsid w:val="000666B3"/>
    <w:rsid w:val="000676A2"/>
    <w:rsid w:val="0007107B"/>
    <w:rsid w:val="00072419"/>
    <w:rsid w:val="000739AF"/>
    <w:rsid w:val="00075586"/>
    <w:rsid w:val="00075D5E"/>
    <w:rsid w:val="00076332"/>
    <w:rsid w:val="00077A55"/>
    <w:rsid w:val="00077F28"/>
    <w:rsid w:val="000802BA"/>
    <w:rsid w:val="00081F9F"/>
    <w:rsid w:val="00082E5D"/>
    <w:rsid w:val="00083498"/>
    <w:rsid w:val="00083D73"/>
    <w:rsid w:val="0008496A"/>
    <w:rsid w:val="00085EA2"/>
    <w:rsid w:val="0008628E"/>
    <w:rsid w:val="000864CC"/>
    <w:rsid w:val="0008737D"/>
    <w:rsid w:val="00087AFB"/>
    <w:rsid w:val="00087F54"/>
    <w:rsid w:val="0009020C"/>
    <w:rsid w:val="00090297"/>
    <w:rsid w:val="00090A37"/>
    <w:rsid w:val="00092681"/>
    <w:rsid w:val="00092D82"/>
    <w:rsid w:val="0009320C"/>
    <w:rsid w:val="0009328A"/>
    <w:rsid w:val="0009397B"/>
    <w:rsid w:val="00094B23"/>
    <w:rsid w:val="00094FD7"/>
    <w:rsid w:val="000951B9"/>
    <w:rsid w:val="0009609D"/>
    <w:rsid w:val="00096248"/>
    <w:rsid w:val="000A00BB"/>
    <w:rsid w:val="000A110B"/>
    <w:rsid w:val="000A1D0D"/>
    <w:rsid w:val="000A1D2C"/>
    <w:rsid w:val="000A2CA6"/>
    <w:rsid w:val="000A2F65"/>
    <w:rsid w:val="000A3F41"/>
    <w:rsid w:val="000A4202"/>
    <w:rsid w:val="000A5EA1"/>
    <w:rsid w:val="000A7D80"/>
    <w:rsid w:val="000B1062"/>
    <w:rsid w:val="000B1F27"/>
    <w:rsid w:val="000B20DD"/>
    <w:rsid w:val="000B2390"/>
    <w:rsid w:val="000B28CF"/>
    <w:rsid w:val="000B4159"/>
    <w:rsid w:val="000B491D"/>
    <w:rsid w:val="000B51CE"/>
    <w:rsid w:val="000B5608"/>
    <w:rsid w:val="000B65C3"/>
    <w:rsid w:val="000C0203"/>
    <w:rsid w:val="000C066A"/>
    <w:rsid w:val="000C0E5D"/>
    <w:rsid w:val="000C2D59"/>
    <w:rsid w:val="000C416A"/>
    <w:rsid w:val="000C51AF"/>
    <w:rsid w:val="000C568A"/>
    <w:rsid w:val="000C65DD"/>
    <w:rsid w:val="000C661C"/>
    <w:rsid w:val="000C7472"/>
    <w:rsid w:val="000C7F8F"/>
    <w:rsid w:val="000D0CD3"/>
    <w:rsid w:val="000D14DA"/>
    <w:rsid w:val="000D2C63"/>
    <w:rsid w:val="000D2E93"/>
    <w:rsid w:val="000D3C8A"/>
    <w:rsid w:val="000D40CB"/>
    <w:rsid w:val="000D439B"/>
    <w:rsid w:val="000D5244"/>
    <w:rsid w:val="000D55D2"/>
    <w:rsid w:val="000D5634"/>
    <w:rsid w:val="000D56B9"/>
    <w:rsid w:val="000D5C00"/>
    <w:rsid w:val="000D5C6A"/>
    <w:rsid w:val="000D609A"/>
    <w:rsid w:val="000D66A1"/>
    <w:rsid w:val="000D772A"/>
    <w:rsid w:val="000E06A3"/>
    <w:rsid w:val="000E0D32"/>
    <w:rsid w:val="000E1FD4"/>
    <w:rsid w:val="000E27CE"/>
    <w:rsid w:val="000E35E0"/>
    <w:rsid w:val="000E37D0"/>
    <w:rsid w:val="000E48E3"/>
    <w:rsid w:val="000E4AFE"/>
    <w:rsid w:val="000E4EBC"/>
    <w:rsid w:val="000E513A"/>
    <w:rsid w:val="000E52ED"/>
    <w:rsid w:val="000E57E9"/>
    <w:rsid w:val="000E74D7"/>
    <w:rsid w:val="000E7BF6"/>
    <w:rsid w:val="000F015F"/>
    <w:rsid w:val="000F0B57"/>
    <w:rsid w:val="000F114E"/>
    <w:rsid w:val="000F146C"/>
    <w:rsid w:val="000F196A"/>
    <w:rsid w:val="000F367A"/>
    <w:rsid w:val="000F54F6"/>
    <w:rsid w:val="000F5C16"/>
    <w:rsid w:val="000F6630"/>
    <w:rsid w:val="000F7D93"/>
    <w:rsid w:val="000F7DDA"/>
    <w:rsid w:val="00100B3A"/>
    <w:rsid w:val="0010147E"/>
    <w:rsid w:val="0010149D"/>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20307"/>
    <w:rsid w:val="00121842"/>
    <w:rsid w:val="00121F46"/>
    <w:rsid w:val="001235A0"/>
    <w:rsid w:val="00123D0B"/>
    <w:rsid w:val="0012508E"/>
    <w:rsid w:val="00130C18"/>
    <w:rsid w:val="00131C40"/>
    <w:rsid w:val="00131C6C"/>
    <w:rsid w:val="00131F2D"/>
    <w:rsid w:val="001321ED"/>
    <w:rsid w:val="00133058"/>
    <w:rsid w:val="00133F26"/>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7D2B"/>
    <w:rsid w:val="00160608"/>
    <w:rsid w:val="0016185B"/>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5CF6"/>
    <w:rsid w:val="0017633C"/>
    <w:rsid w:val="00176522"/>
    <w:rsid w:val="00180855"/>
    <w:rsid w:val="001809A8"/>
    <w:rsid w:val="00181A9D"/>
    <w:rsid w:val="001823E3"/>
    <w:rsid w:val="00182FC0"/>
    <w:rsid w:val="00183990"/>
    <w:rsid w:val="00183F45"/>
    <w:rsid w:val="00183FC2"/>
    <w:rsid w:val="00184AEA"/>
    <w:rsid w:val="0018577B"/>
    <w:rsid w:val="00185C61"/>
    <w:rsid w:val="00190B5A"/>
    <w:rsid w:val="00190D0F"/>
    <w:rsid w:val="00190F59"/>
    <w:rsid w:val="00192D02"/>
    <w:rsid w:val="00194C85"/>
    <w:rsid w:val="0019539C"/>
    <w:rsid w:val="001957E6"/>
    <w:rsid w:val="00195845"/>
    <w:rsid w:val="0019584A"/>
    <w:rsid w:val="001960AD"/>
    <w:rsid w:val="00196395"/>
    <w:rsid w:val="00196AF7"/>
    <w:rsid w:val="001A057E"/>
    <w:rsid w:val="001A0AFD"/>
    <w:rsid w:val="001A0E96"/>
    <w:rsid w:val="001A1BDB"/>
    <w:rsid w:val="001A316F"/>
    <w:rsid w:val="001A3982"/>
    <w:rsid w:val="001A3C5F"/>
    <w:rsid w:val="001A3F75"/>
    <w:rsid w:val="001A4BDF"/>
    <w:rsid w:val="001A6849"/>
    <w:rsid w:val="001A773B"/>
    <w:rsid w:val="001B0259"/>
    <w:rsid w:val="001B0262"/>
    <w:rsid w:val="001B28D1"/>
    <w:rsid w:val="001B3FD2"/>
    <w:rsid w:val="001B5693"/>
    <w:rsid w:val="001B6C2D"/>
    <w:rsid w:val="001B7147"/>
    <w:rsid w:val="001C087E"/>
    <w:rsid w:val="001C0EE6"/>
    <w:rsid w:val="001C0F32"/>
    <w:rsid w:val="001C1BF4"/>
    <w:rsid w:val="001C2099"/>
    <w:rsid w:val="001C27A3"/>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660A"/>
    <w:rsid w:val="001D6CA8"/>
    <w:rsid w:val="001E04CC"/>
    <w:rsid w:val="001E059C"/>
    <w:rsid w:val="001E1A95"/>
    <w:rsid w:val="001E2186"/>
    <w:rsid w:val="001E21A0"/>
    <w:rsid w:val="001E2646"/>
    <w:rsid w:val="001E2BA9"/>
    <w:rsid w:val="001E3430"/>
    <w:rsid w:val="001E35AE"/>
    <w:rsid w:val="001E5286"/>
    <w:rsid w:val="001E5453"/>
    <w:rsid w:val="001E5C3D"/>
    <w:rsid w:val="001E678B"/>
    <w:rsid w:val="001E7C62"/>
    <w:rsid w:val="001F13A1"/>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2919"/>
    <w:rsid w:val="00204AA1"/>
    <w:rsid w:val="00205357"/>
    <w:rsid w:val="00205455"/>
    <w:rsid w:val="00205FAC"/>
    <w:rsid w:val="00206139"/>
    <w:rsid w:val="0020678C"/>
    <w:rsid w:val="00206FAA"/>
    <w:rsid w:val="00207028"/>
    <w:rsid w:val="0020763C"/>
    <w:rsid w:val="00207D81"/>
    <w:rsid w:val="00207E11"/>
    <w:rsid w:val="0021063D"/>
    <w:rsid w:val="00210714"/>
    <w:rsid w:val="0021327B"/>
    <w:rsid w:val="00214B09"/>
    <w:rsid w:val="002155ED"/>
    <w:rsid w:val="0021627B"/>
    <w:rsid w:val="0021698E"/>
    <w:rsid w:val="002169E9"/>
    <w:rsid w:val="00216D13"/>
    <w:rsid w:val="00216F33"/>
    <w:rsid w:val="002207CF"/>
    <w:rsid w:val="00221114"/>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4526"/>
    <w:rsid w:val="00245AC1"/>
    <w:rsid w:val="00246269"/>
    <w:rsid w:val="00247588"/>
    <w:rsid w:val="002475C3"/>
    <w:rsid w:val="0024764F"/>
    <w:rsid w:val="00252443"/>
    <w:rsid w:val="002530AE"/>
    <w:rsid w:val="0025386E"/>
    <w:rsid w:val="002547B2"/>
    <w:rsid w:val="0025565C"/>
    <w:rsid w:val="00255FD1"/>
    <w:rsid w:val="00256CE0"/>
    <w:rsid w:val="002600FF"/>
    <w:rsid w:val="00261886"/>
    <w:rsid w:val="00261A13"/>
    <w:rsid w:val="00261E57"/>
    <w:rsid w:val="002620B2"/>
    <w:rsid w:val="00264613"/>
    <w:rsid w:val="00264CA1"/>
    <w:rsid w:val="00264FB2"/>
    <w:rsid w:val="0026506A"/>
    <w:rsid w:val="00266604"/>
    <w:rsid w:val="00267524"/>
    <w:rsid w:val="00267A7B"/>
    <w:rsid w:val="002704DF"/>
    <w:rsid w:val="00270F03"/>
    <w:rsid w:val="002710B5"/>
    <w:rsid w:val="0027116F"/>
    <w:rsid w:val="00272817"/>
    <w:rsid w:val="002729A0"/>
    <w:rsid w:val="00273E61"/>
    <w:rsid w:val="00273F5F"/>
    <w:rsid w:val="00273F7C"/>
    <w:rsid w:val="00274F6E"/>
    <w:rsid w:val="0027555F"/>
    <w:rsid w:val="00275719"/>
    <w:rsid w:val="00275BE9"/>
    <w:rsid w:val="00276CE6"/>
    <w:rsid w:val="00277BEF"/>
    <w:rsid w:val="00280398"/>
    <w:rsid w:val="002811E3"/>
    <w:rsid w:val="002813B2"/>
    <w:rsid w:val="00282431"/>
    <w:rsid w:val="00282E9E"/>
    <w:rsid w:val="00283BBD"/>
    <w:rsid w:val="00283D5E"/>
    <w:rsid w:val="00284245"/>
    <w:rsid w:val="00285034"/>
    <w:rsid w:val="00285175"/>
    <w:rsid w:val="00285A94"/>
    <w:rsid w:val="00290544"/>
    <w:rsid w:val="002913C5"/>
    <w:rsid w:val="00291DE2"/>
    <w:rsid w:val="0029208D"/>
    <w:rsid w:val="00292258"/>
    <w:rsid w:val="0029225E"/>
    <w:rsid w:val="00293A4E"/>
    <w:rsid w:val="00293F85"/>
    <w:rsid w:val="0029482F"/>
    <w:rsid w:val="00294892"/>
    <w:rsid w:val="00296073"/>
    <w:rsid w:val="002964F3"/>
    <w:rsid w:val="00296626"/>
    <w:rsid w:val="00296DB8"/>
    <w:rsid w:val="00296E92"/>
    <w:rsid w:val="00297212"/>
    <w:rsid w:val="002972E8"/>
    <w:rsid w:val="002A02E8"/>
    <w:rsid w:val="002A1797"/>
    <w:rsid w:val="002A2B83"/>
    <w:rsid w:val="002A51B8"/>
    <w:rsid w:val="002A564E"/>
    <w:rsid w:val="002A5ADD"/>
    <w:rsid w:val="002A5FDF"/>
    <w:rsid w:val="002A6FCE"/>
    <w:rsid w:val="002A7501"/>
    <w:rsid w:val="002B0EA1"/>
    <w:rsid w:val="002B317E"/>
    <w:rsid w:val="002B3CE2"/>
    <w:rsid w:val="002B40FF"/>
    <w:rsid w:val="002B44C4"/>
    <w:rsid w:val="002B5F48"/>
    <w:rsid w:val="002B7549"/>
    <w:rsid w:val="002B773C"/>
    <w:rsid w:val="002B78B9"/>
    <w:rsid w:val="002C04F1"/>
    <w:rsid w:val="002C0E65"/>
    <w:rsid w:val="002C0E9B"/>
    <w:rsid w:val="002C15CA"/>
    <w:rsid w:val="002C1DAF"/>
    <w:rsid w:val="002C26CD"/>
    <w:rsid w:val="002C2C08"/>
    <w:rsid w:val="002C2D27"/>
    <w:rsid w:val="002C3141"/>
    <w:rsid w:val="002C42A2"/>
    <w:rsid w:val="002C4718"/>
    <w:rsid w:val="002C48A8"/>
    <w:rsid w:val="002C4AFE"/>
    <w:rsid w:val="002C6010"/>
    <w:rsid w:val="002C6B4C"/>
    <w:rsid w:val="002C7329"/>
    <w:rsid w:val="002C7EC4"/>
    <w:rsid w:val="002D15F2"/>
    <w:rsid w:val="002D1AE3"/>
    <w:rsid w:val="002D2F05"/>
    <w:rsid w:val="002D2F64"/>
    <w:rsid w:val="002D4953"/>
    <w:rsid w:val="002D5CCE"/>
    <w:rsid w:val="002D5D5B"/>
    <w:rsid w:val="002D639B"/>
    <w:rsid w:val="002D785E"/>
    <w:rsid w:val="002E0D37"/>
    <w:rsid w:val="002E0FE2"/>
    <w:rsid w:val="002E1484"/>
    <w:rsid w:val="002E2D8A"/>
    <w:rsid w:val="002E37DA"/>
    <w:rsid w:val="002E40AD"/>
    <w:rsid w:val="002E55C9"/>
    <w:rsid w:val="002E5AFA"/>
    <w:rsid w:val="002E72F0"/>
    <w:rsid w:val="002F368E"/>
    <w:rsid w:val="002F3AAF"/>
    <w:rsid w:val="002F40FF"/>
    <w:rsid w:val="002F5101"/>
    <w:rsid w:val="002F713F"/>
    <w:rsid w:val="002F799E"/>
    <w:rsid w:val="002F7D3E"/>
    <w:rsid w:val="00300919"/>
    <w:rsid w:val="00300E8E"/>
    <w:rsid w:val="00302BF3"/>
    <w:rsid w:val="00302D8C"/>
    <w:rsid w:val="00303F92"/>
    <w:rsid w:val="00304386"/>
    <w:rsid w:val="00304EE5"/>
    <w:rsid w:val="00305568"/>
    <w:rsid w:val="00305D70"/>
    <w:rsid w:val="00310825"/>
    <w:rsid w:val="00310AF9"/>
    <w:rsid w:val="00310E80"/>
    <w:rsid w:val="003110C6"/>
    <w:rsid w:val="00311381"/>
    <w:rsid w:val="00312106"/>
    <w:rsid w:val="003126FB"/>
    <w:rsid w:val="0031280C"/>
    <w:rsid w:val="00313170"/>
    <w:rsid w:val="003136B3"/>
    <w:rsid w:val="00314324"/>
    <w:rsid w:val="00315AE3"/>
    <w:rsid w:val="00315CA2"/>
    <w:rsid w:val="00316455"/>
    <w:rsid w:val="0031667E"/>
    <w:rsid w:val="00316A7B"/>
    <w:rsid w:val="003176D1"/>
    <w:rsid w:val="00321B9A"/>
    <w:rsid w:val="00324F09"/>
    <w:rsid w:val="00325C6E"/>
    <w:rsid w:val="003265D6"/>
    <w:rsid w:val="003275F8"/>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25C9"/>
    <w:rsid w:val="0034444F"/>
    <w:rsid w:val="00344766"/>
    <w:rsid w:val="00344AD3"/>
    <w:rsid w:val="00345089"/>
    <w:rsid w:val="00345427"/>
    <w:rsid w:val="00345687"/>
    <w:rsid w:val="00345708"/>
    <w:rsid w:val="00346373"/>
    <w:rsid w:val="003467CD"/>
    <w:rsid w:val="003471F0"/>
    <w:rsid w:val="003505B2"/>
    <w:rsid w:val="0035063B"/>
    <w:rsid w:val="00352677"/>
    <w:rsid w:val="0035393E"/>
    <w:rsid w:val="00354F3F"/>
    <w:rsid w:val="00355981"/>
    <w:rsid w:val="0035768E"/>
    <w:rsid w:val="00360189"/>
    <w:rsid w:val="0036188D"/>
    <w:rsid w:val="00362013"/>
    <w:rsid w:val="00362136"/>
    <w:rsid w:val="003623F5"/>
    <w:rsid w:val="0036336C"/>
    <w:rsid w:val="003637A1"/>
    <w:rsid w:val="003647C3"/>
    <w:rsid w:val="00364C0A"/>
    <w:rsid w:val="0036714D"/>
    <w:rsid w:val="0037112D"/>
    <w:rsid w:val="003713C2"/>
    <w:rsid w:val="0037172A"/>
    <w:rsid w:val="00371751"/>
    <w:rsid w:val="0037269A"/>
    <w:rsid w:val="0037526D"/>
    <w:rsid w:val="0037545E"/>
    <w:rsid w:val="00376405"/>
    <w:rsid w:val="00380843"/>
    <w:rsid w:val="0038157C"/>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3E14"/>
    <w:rsid w:val="003A4262"/>
    <w:rsid w:val="003A53BF"/>
    <w:rsid w:val="003A59A6"/>
    <w:rsid w:val="003A6D5C"/>
    <w:rsid w:val="003A7D55"/>
    <w:rsid w:val="003A7ED9"/>
    <w:rsid w:val="003B02EE"/>
    <w:rsid w:val="003B0BB2"/>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30DA"/>
    <w:rsid w:val="003C341F"/>
    <w:rsid w:val="003C4A15"/>
    <w:rsid w:val="003C4F09"/>
    <w:rsid w:val="003C4FF5"/>
    <w:rsid w:val="003C57BF"/>
    <w:rsid w:val="003C6226"/>
    <w:rsid w:val="003C6D2C"/>
    <w:rsid w:val="003D0AE2"/>
    <w:rsid w:val="003D17AF"/>
    <w:rsid w:val="003D2120"/>
    <w:rsid w:val="003D2681"/>
    <w:rsid w:val="003D3477"/>
    <w:rsid w:val="003D372B"/>
    <w:rsid w:val="003D5450"/>
    <w:rsid w:val="003D70D0"/>
    <w:rsid w:val="003D7707"/>
    <w:rsid w:val="003D7760"/>
    <w:rsid w:val="003E0B2A"/>
    <w:rsid w:val="003E0F89"/>
    <w:rsid w:val="003E13A1"/>
    <w:rsid w:val="003E2955"/>
    <w:rsid w:val="003E44DA"/>
    <w:rsid w:val="003E468A"/>
    <w:rsid w:val="003E47C3"/>
    <w:rsid w:val="003E4972"/>
    <w:rsid w:val="003E606D"/>
    <w:rsid w:val="003E6C77"/>
    <w:rsid w:val="003E6E17"/>
    <w:rsid w:val="003E7594"/>
    <w:rsid w:val="003F187E"/>
    <w:rsid w:val="003F2126"/>
    <w:rsid w:val="003F2491"/>
    <w:rsid w:val="003F308A"/>
    <w:rsid w:val="003F4582"/>
    <w:rsid w:val="003F4924"/>
    <w:rsid w:val="003F5D5C"/>
    <w:rsid w:val="003F6192"/>
    <w:rsid w:val="004006B1"/>
    <w:rsid w:val="00400915"/>
    <w:rsid w:val="0040187C"/>
    <w:rsid w:val="004021DA"/>
    <w:rsid w:val="004026C2"/>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32C6"/>
    <w:rsid w:val="00426124"/>
    <w:rsid w:val="00426222"/>
    <w:rsid w:val="00426F24"/>
    <w:rsid w:val="00430C63"/>
    <w:rsid w:val="004310BB"/>
    <w:rsid w:val="004325EA"/>
    <w:rsid w:val="004338C7"/>
    <w:rsid w:val="00433E65"/>
    <w:rsid w:val="00434C3F"/>
    <w:rsid w:val="00434EAD"/>
    <w:rsid w:val="00437085"/>
    <w:rsid w:val="0043719B"/>
    <w:rsid w:val="004406B5"/>
    <w:rsid w:val="00442D9A"/>
    <w:rsid w:val="004431D5"/>
    <w:rsid w:val="004436C5"/>
    <w:rsid w:val="00443C7E"/>
    <w:rsid w:val="00444E7F"/>
    <w:rsid w:val="00445514"/>
    <w:rsid w:val="00445853"/>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CF5"/>
    <w:rsid w:val="00464D6B"/>
    <w:rsid w:val="00467ADA"/>
    <w:rsid w:val="00467C83"/>
    <w:rsid w:val="00470110"/>
    <w:rsid w:val="00470DA2"/>
    <w:rsid w:val="00471E09"/>
    <w:rsid w:val="004728C4"/>
    <w:rsid w:val="004728DD"/>
    <w:rsid w:val="00473538"/>
    <w:rsid w:val="0047369A"/>
    <w:rsid w:val="00473C7A"/>
    <w:rsid w:val="00474095"/>
    <w:rsid w:val="00474C35"/>
    <w:rsid w:val="004750A1"/>
    <w:rsid w:val="004764A1"/>
    <w:rsid w:val="004769A4"/>
    <w:rsid w:val="00480212"/>
    <w:rsid w:val="00480D99"/>
    <w:rsid w:val="00482C8B"/>
    <w:rsid w:val="00482D0F"/>
    <w:rsid w:val="004838A8"/>
    <w:rsid w:val="00483EC9"/>
    <w:rsid w:val="004841AE"/>
    <w:rsid w:val="0048423C"/>
    <w:rsid w:val="0048483C"/>
    <w:rsid w:val="00484C7F"/>
    <w:rsid w:val="00485194"/>
    <w:rsid w:val="00486AF0"/>
    <w:rsid w:val="004872D0"/>
    <w:rsid w:val="00487BBD"/>
    <w:rsid w:val="004900E8"/>
    <w:rsid w:val="0049095E"/>
    <w:rsid w:val="00490C99"/>
    <w:rsid w:val="00490CD8"/>
    <w:rsid w:val="0049216F"/>
    <w:rsid w:val="004928F5"/>
    <w:rsid w:val="004933FC"/>
    <w:rsid w:val="00494029"/>
    <w:rsid w:val="004962CD"/>
    <w:rsid w:val="00496590"/>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25E"/>
    <w:rsid w:val="004C2853"/>
    <w:rsid w:val="004C2BB4"/>
    <w:rsid w:val="004C3B02"/>
    <w:rsid w:val="004C3C1C"/>
    <w:rsid w:val="004C3E4F"/>
    <w:rsid w:val="004C43C9"/>
    <w:rsid w:val="004C4418"/>
    <w:rsid w:val="004C45FA"/>
    <w:rsid w:val="004C4707"/>
    <w:rsid w:val="004C4BB7"/>
    <w:rsid w:val="004C6779"/>
    <w:rsid w:val="004C7D54"/>
    <w:rsid w:val="004D069A"/>
    <w:rsid w:val="004D0CC4"/>
    <w:rsid w:val="004D11A8"/>
    <w:rsid w:val="004D571F"/>
    <w:rsid w:val="004D6095"/>
    <w:rsid w:val="004D66AD"/>
    <w:rsid w:val="004D6995"/>
    <w:rsid w:val="004D69A5"/>
    <w:rsid w:val="004E07A1"/>
    <w:rsid w:val="004E1729"/>
    <w:rsid w:val="004E1B3C"/>
    <w:rsid w:val="004E1CA8"/>
    <w:rsid w:val="004E3959"/>
    <w:rsid w:val="004E3F86"/>
    <w:rsid w:val="004E4252"/>
    <w:rsid w:val="004E4AD1"/>
    <w:rsid w:val="004E4E3B"/>
    <w:rsid w:val="004E5659"/>
    <w:rsid w:val="004E63B5"/>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5C7"/>
    <w:rsid w:val="00504B42"/>
    <w:rsid w:val="00505AA3"/>
    <w:rsid w:val="00506DB2"/>
    <w:rsid w:val="00507EFE"/>
    <w:rsid w:val="0051074E"/>
    <w:rsid w:val="00510856"/>
    <w:rsid w:val="00510870"/>
    <w:rsid w:val="00511AE4"/>
    <w:rsid w:val="00512A53"/>
    <w:rsid w:val="00513D8C"/>
    <w:rsid w:val="0051421A"/>
    <w:rsid w:val="005142CE"/>
    <w:rsid w:val="0051495F"/>
    <w:rsid w:val="005149AC"/>
    <w:rsid w:val="00514C55"/>
    <w:rsid w:val="005159EC"/>
    <w:rsid w:val="00515E8C"/>
    <w:rsid w:val="00516890"/>
    <w:rsid w:val="00516A2D"/>
    <w:rsid w:val="00516A4D"/>
    <w:rsid w:val="00517649"/>
    <w:rsid w:val="00520545"/>
    <w:rsid w:val="005205DF"/>
    <w:rsid w:val="00521628"/>
    <w:rsid w:val="0052214D"/>
    <w:rsid w:val="00524986"/>
    <w:rsid w:val="00525F6D"/>
    <w:rsid w:val="005264D1"/>
    <w:rsid w:val="0052661E"/>
    <w:rsid w:val="00526627"/>
    <w:rsid w:val="00526DCA"/>
    <w:rsid w:val="00527EF6"/>
    <w:rsid w:val="00531016"/>
    <w:rsid w:val="00532218"/>
    <w:rsid w:val="00533849"/>
    <w:rsid w:val="00533D56"/>
    <w:rsid w:val="0053468B"/>
    <w:rsid w:val="005350B5"/>
    <w:rsid w:val="00535912"/>
    <w:rsid w:val="00536373"/>
    <w:rsid w:val="005367E7"/>
    <w:rsid w:val="00540926"/>
    <w:rsid w:val="005412A2"/>
    <w:rsid w:val="00541319"/>
    <w:rsid w:val="00542B22"/>
    <w:rsid w:val="00542CDB"/>
    <w:rsid w:val="00543B6B"/>
    <w:rsid w:val="00543B75"/>
    <w:rsid w:val="00544041"/>
    <w:rsid w:val="005449D0"/>
    <w:rsid w:val="0054712E"/>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0BDB"/>
    <w:rsid w:val="00571527"/>
    <w:rsid w:val="00571CCC"/>
    <w:rsid w:val="005727FC"/>
    <w:rsid w:val="00572C2A"/>
    <w:rsid w:val="00572F6A"/>
    <w:rsid w:val="00573B2C"/>
    <w:rsid w:val="00573B96"/>
    <w:rsid w:val="005742BF"/>
    <w:rsid w:val="00574D31"/>
    <w:rsid w:val="005807A2"/>
    <w:rsid w:val="005807A8"/>
    <w:rsid w:val="00580D15"/>
    <w:rsid w:val="00581A2E"/>
    <w:rsid w:val="00584C51"/>
    <w:rsid w:val="00587B1E"/>
    <w:rsid w:val="00587E84"/>
    <w:rsid w:val="005913E6"/>
    <w:rsid w:val="005944ED"/>
    <w:rsid w:val="005964D7"/>
    <w:rsid w:val="00596D61"/>
    <w:rsid w:val="00597018"/>
    <w:rsid w:val="005A030B"/>
    <w:rsid w:val="005A0521"/>
    <w:rsid w:val="005A1C6D"/>
    <w:rsid w:val="005A1EA5"/>
    <w:rsid w:val="005A2CE7"/>
    <w:rsid w:val="005A2F92"/>
    <w:rsid w:val="005A43E7"/>
    <w:rsid w:val="005A4480"/>
    <w:rsid w:val="005A60E9"/>
    <w:rsid w:val="005A77E1"/>
    <w:rsid w:val="005A7E33"/>
    <w:rsid w:val="005B10CC"/>
    <w:rsid w:val="005B4E04"/>
    <w:rsid w:val="005B4E14"/>
    <w:rsid w:val="005B52A0"/>
    <w:rsid w:val="005B538B"/>
    <w:rsid w:val="005B5434"/>
    <w:rsid w:val="005B5BDF"/>
    <w:rsid w:val="005B6FFD"/>
    <w:rsid w:val="005B72D5"/>
    <w:rsid w:val="005C0894"/>
    <w:rsid w:val="005C16D1"/>
    <w:rsid w:val="005C16D8"/>
    <w:rsid w:val="005C196C"/>
    <w:rsid w:val="005C32BE"/>
    <w:rsid w:val="005C3DF3"/>
    <w:rsid w:val="005C5501"/>
    <w:rsid w:val="005C5AEA"/>
    <w:rsid w:val="005C629E"/>
    <w:rsid w:val="005C706F"/>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6814"/>
    <w:rsid w:val="005E7E9F"/>
    <w:rsid w:val="005F1439"/>
    <w:rsid w:val="005F21B0"/>
    <w:rsid w:val="005F274F"/>
    <w:rsid w:val="005F30F1"/>
    <w:rsid w:val="005F3103"/>
    <w:rsid w:val="005F4D3D"/>
    <w:rsid w:val="005F5B10"/>
    <w:rsid w:val="005F622D"/>
    <w:rsid w:val="005F6B90"/>
    <w:rsid w:val="005F6CAB"/>
    <w:rsid w:val="005F760D"/>
    <w:rsid w:val="0060129A"/>
    <w:rsid w:val="0060244C"/>
    <w:rsid w:val="00603546"/>
    <w:rsid w:val="00603CFE"/>
    <w:rsid w:val="006055AB"/>
    <w:rsid w:val="00606DD5"/>
    <w:rsid w:val="0061075C"/>
    <w:rsid w:val="00610A95"/>
    <w:rsid w:val="00610F0F"/>
    <w:rsid w:val="00611CE7"/>
    <w:rsid w:val="00613401"/>
    <w:rsid w:val="0061516D"/>
    <w:rsid w:val="00615B10"/>
    <w:rsid w:val="00615C07"/>
    <w:rsid w:val="006168EB"/>
    <w:rsid w:val="00616DEB"/>
    <w:rsid w:val="00620DE2"/>
    <w:rsid w:val="00624E9E"/>
    <w:rsid w:val="0062573B"/>
    <w:rsid w:val="00625F9E"/>
    <w:rsid w:val="006263D3"/>
    <w:rsid w:val="0062694E"/>
    <w:rsid w:val="00630030"/>
    <w:rsid w:val="00630426"/>
    <w:rsid w:val="00631753"/>
    <w:rsid w:val="00632B22"/>
    <w:rsid w:val="0063420E"/>
    <w:rsid w:val="0063561E"/>
    <w:rsid w:val="00635C2F"/>
    <w:rsid w:val="00635DA1"/>
    <w:rsid w:val="006364F4"/>
    <w:rsid w:val="00636D7B"/>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4B8E"/>
    <w:rsid w:val="00655007"/>
    <w:rsid w:val="0065599C"/>
    <w:rsid w:val="00655B5C"/>
    <w:rsid w:val="0065640E"/>
    <w:rsid w:val="00657695"/>
    <w:rsid w:val="00657B69"/>
    <w:rsid w:val="006609B3"/>
    <w:rsid w:val="00660E52"/>
    <w:rsid w:val="0066148E"/>
    <w:rsid w:val="00661B3F"/>
    <w:rsid w:val="006625F9"/>
    <w:rsid w:val="00663A37"/>
    <w:rsid w:val="00663B72"/>
    <w:rsid w:val="00664BB4"/>
    <w:rsid w:val="00664EA4"/>
    <w:rsid w:val="00665A8F"/>
    <w:rsid w:val="00667860"/>
    <w:rsid w:val="00670232"/>
    <w:rsid w:val="0067157E"/>
    <w:rsid w:val="00672247"/>
    <w:rsid w:val="00673EAA"/>
    <w:rsid w:val="006757E8"/>
    <w:rsid w:val="00675B61"/>
    <w:rsid w:val="00675D66"/>
    <w:rsid w:val="00676D1D"/>
    <w:rsid w:val="00677498"/>
    <w:rsid w:val="00680659"/>
    <w:rsid w:val="00680B0F"/>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30F3"/>
    <w:rsid w:val="0069448A"/>
    <w:rsid w:val="006950D6"/>
    <w:rsid w:val="006953E8"/>
    <w:rsid w:val="00696A11"/>
    <w:rsid w:val="00696FD6"/>
    <w:rsid w:val="00697B3A"/>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977"/>
    <w:rsid w:val="006B7E1D"/>
    <w:rsid w:val="006C2214"/>
    <w:rsid w:val="006C372D"/>
    <w:rsid w:val="006C410C"/>
    <w:rsid w:val="006C45A9"/>
    <w:rsid w:val="006C48DE"/>
    <w:rsid w:val="006C52D3"/>
    <w:rsid w:val="006C55C2"/>
    <w:rsid w:val="006C55D7"/>
    <w:rsid w:val="006C6C41"/>
    <w:rsid w:val="006C7E69"/>
    <w:rsid w:val="006D06D9"/>
    <w:rsid w:val="006D1542"/>
    <w:rsid w:val="006D1EC8"/>
    <w:rsid w:val="006D2D2B"/>
    <w:rsid w:val="006D3F59"/>
    <w:rsid w:val="006D41A6"/>
    <w:rsid w:val="006D438A"/>
    <w:rsid w:val="006D4CBD"/>
    <w:rsid w:val="006D50C7"/>
    <w:rsid w:val="006D6830"/>
    <w:rsid w:val="006D719C"/>
    <w:rsid w:val="006D7DF3"/>
    <w:rsid w:val="006E15A2"/>
    <w:rsid w:val="006E19DD"/>
    <w:rsid w:val="006E20F9"/>
    <w:rsid w:val="006E21FF"/>
    <w:rsid w:val="006E3F38"/>
    <w:rsid w:val="006E4B54"/>
    <w:rsid w:val="006E4C8D"/>
    <w:rsid w:val="006E52FF"/>
    <w:rsid w:val="006E59C4"/>
    <w:rsid w:val="006E5E9F"/>
    <w:rsid w:val="006E6076"/>
    <w:rsid w:val="006E6DD7"/>
    <w:rsid w:val="006E7985"/>
    <w:rsid w:val="006F0222"/>
    <w:rsid w:val="006F04A3"/>
    <w:rsid w:val="006F114C"/>
    <w:rsid w:val="006F1A99"/>
    <w:rsid w:val="006F22DE"/>
    <w:rsid w:val="006F428B"/>
    <w:rsid w:val="006F4C9E"/>
    <w:rsid w:val="006F52DF"/>
    <w:rsid w:val="006F5EE3"/>
    <w:rsid w:val="006F676C"/>
    <w:rsid w:val="006F6AB6"/>
    <w:rsid w:val="0070042E"/>
    <w:rsid w:val="00700C90"/>
    <w:rsid w:val="00701F34"/>
    <w:rsid w:val="007031A2"/>
    <w:rsid w:val="00704693"/>
    <w:rsid w:val="0070491A"/>
    <w:rsid w:val="00704AB9"/>
    <w:rsid w:val="00705331"/>
    <w:rsid w:val="007054D8"/>
    <w:rsid w:val="00706383"/>
    <w:rsid w:val="00706D47"/>
    <w:rsid w:val="007070E1"/>
    <w:rsid w:val="00711916"/>
    <w:rsid w:val="00711EE2"/>
    <w:rsid w:val="00712D71"/>
    <w:rsid w:val="007130DA"/>
    <w:rsid w:val="00713185"/>
    <w:rsid w:val="007132C5"/>
    <w:rsid w:val="00713380"/>
    <w:rsid w:val="00713DD5"/>
    <w:rsid w:val="007147B9"/>
    <w:rsid w:val="007152E6"/>
    <w:rsid w:val="0071601C"/>
    <w:rsid w:val="007167AE"/>
    <w:rsid w:val="00717F5D"/>
    <w:rsid w:val="00720D8F"/>
    <w:rsid w:val="0072149D"/>
    <w:rsid w:val="007214D9"/>
    <w:rsid w:val="00723C6D"/>
    <w:rsid w:val="0072514D"/>
    <w:rsid w:val="00725C5A"/>
    <w:rsid w:val="007263E6"/>
    <w:rsid w:val="007264EA"/>
    <w:rsid w:val="00726D09"/>
    <w:rsid w:val="00726F49"/>
    <w:rsid w:val="007327E4"/>
    <w:rsid w:val="00732AB3"/>
    <w:rsid w:val="007332CF"/>
    <w:rsid w:val="0073486B"/>
    <w:rsid w:val="00734FB5"/>
    <w:rsid w:val="00735D93"/>
    <w:rsid w:val="00736F47"/>
    <w:rsid w:val="00736F6B"/>
    <w:rsid w:val="00740ACC"/>
    <w:rsid w:val="00740DFE"/>
    <w:rsid w:val="007410C2"/>
    <w:rsid w:val="007411F0"/>
    <w:rsid w:val="00741E1F"/>
    <w:rsid w:val="0074208A"/>
    <w:rsid w:val="00743C11"/>
    <w:rsid w:val="00746DD6"/>
    <w:rsid w:val="00746E60"/>
    <w:rsid w:val="00746FA8"/>
    <w:rsid w:val="00746FB9"/>
    <w:rsid w:val="007479B5"/>
    <w:rsid w:val="007502BD"/>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2CF"/>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95F"/>
    <w:rsid w:val="00766A73"/>
    <w:rsid w:val="00766F19"/>
    <w:rsid w:val="007712C7"/>
    <w:rsid w:val="0077455A"/>
    <w:rsid w:val="00775A30"/>
    <w:rsid w:val="007762CE"/>
    <w:rsid w:val="00776581"/>
    <w:rsid w:val="00777372"/>
    <w:rsid w:val="00777417"/>
    <w:rsid w:val="00777527"/>
    <w:rsid w:val="0078045B"/>
    <w:rsid w:val="00780E83"/>
    <w:rsid w:val="00781849"/>
    <w:rsid w:val="00781B6F"/>
    <w:rsid w:val="0078246A"/>
    <w:rsid w:val="00782890"/>
    <w:rsid w:val="007833CB"/>
    <w:rsid w:val="00783618"/>
    <w:rsid w:val="00783B56"/>
    <w:rsid w:val="00783D2D"/>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A6C3E"/>
    <w:rsid w:val="007B0F21"/>
    <w:rsid w:val="007B13B0"/>
    <w:rsid w:val="007B1BCD"/>
    <w:rsid w:val="007B28CF"/>
    <w:rsid w:val="007B3F26"/>
    <w:rsid w:val="007B3FFC"/>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2664"/>
    <w:rsid w:val="007D4712"/>
    <w:rsid w:val="007D4AFF"/>
    <w:rsid w:val="007D5D30"/>
    <w:rsid w:val="007D6CF0"/>
    <w:rsid w:val="007D7E4D"/>
    <w:rsid w:val="007D7E9C"/>
    <w:rsid w:val="007E0B5E"/>
    <w:rsid w:val="007E0C9C"/>
    <w:rsid w:val="007E0FE3"/>
    <w:rsid w:val="007E18F8"/>
    <w:rsid w:val="007E3792"/>
    <w:rsid w:val="007E38F1"/>
    <w:rsid w:val="007E3C2E"/>
    <w:rsid w:val="007E3F8B"/>
    <w:rsid w:val="007E4625"/>
    <w:rsid w:val="007E648C"/>
    <w:rsid w:val="007E660F"/>
    <w:rsid w:val="007E781F"/>
    <w:rsid w:val="007E7E50"/>
    <w:rsid w:val="007F1049"/>
    <w:rsid w:val="007F120F"/>
    <w:rsid w:val="007F1538"/>
    <w:rsid w:val="007F15FE"/>
    <w:rsid w:val="007F1AFD"/>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65A3"/>
    <w:rsid w:val="00807B2A"/>
    <w:rsid w:val="008101FB"/>
    <w:rsid w:val="00810E97"/>
    <w:rsid w:val="0081123B"/>
    <w:rsid w:val="00811393"/>
    <w:rsid w:val="00814E25"/>
    <w:rsid w:val="008151D2"/>
    <w:rsid w:val="00815716"/>
    <w:rsid w:val="00816C5A"/>
    <w:rsid w:val="00817344"/>
    <w:rsid w:val="00817678"/>
    <w:rsid w:val="0082049D"/>
    <w:rsid w:val="008215DC"/>
    <w:rsid w:val="008217BC"/>
    <w:rsid w:val="00822BA1"/>
    <w:rsid w:val="00822DED"/>
    <w:rsid w:val="00824570"/>
    <w:rsid w:val="00824E58"/>
    <w:rsid w:val="008275DC"/>
    <w:rsid w:val="0082778F"/>
    <w:rsid w:val="00827D60"/>
    <w:rsid w:val="008302C5"/>
    <w:rsid w:val="00830D47"/>
    <w:rsid w:val="00831867"/>
    <w:rsid w:val="00831D6C"/>
    <w:rsid w:val="00832554"/>
    <w:rsid w:val="00832F6C"/>
    <w:rsid w:val="008341ED"/>
    <w:rsid w:val="008355B9"/>
    <w:rsid w:val="008362CE"/>
    <w:rsid w:val="00837584"/>
    <w:rsid w:val="00837E77"/>
    <w:rsid w:val="00841673"/>
    <w:rsid w:val="00841963"/>
    <w:rsid w:val="008438D1"/>
    <w:rsid w:val="00845B52"/>
    <w:rsid w:val="00846D3E"/>
    <w:rsid w:val="00846DE7"/>
    <w:rsid w:val="008477B9"/>
    <w:rsid w:val="00847C27"/>
    <w:rsid w:val="008505FB"/>
    <w:rsid w:val="00850C49"/>
    <w:rsid w:val="008523FA"/>
    <w:rsid w:val="008529E6"/>
    <w:rsid w:val="00852CDD"/>
    <w:rsid w:val="008542A4"/>
    <w:rsid w:val="00855E11"/>
    <w:rsid w:val="0085719C"/>
    <w:rsid w:val="008575E1"/>
    <w:rsid w:val="0085760A"/>
    <w:rsid w:val="0086170A"/>
    <w:rsid w:val="00861D35"/>
    <w:rsid w:val="00863328"/>
    <w:rsid w:val="00863820"/>
    <w:rsid w:val="00864348"/>
    <w:rsid w:val="0086448F"/>
    <w:rsid w:val="008647F5"/>
    <w:rsid w:val="00864D6E"/>
    <w:rsid w:val="00865618"/>
    <w:rsid w:val="008659A2"/>
    <w:rsid w:val="0086690B"/>
    <w:rsid w:val="00866973"/>
    <w:rsid w:val="00866AF6"/>
    <w:rsid w:val="00867A0C"/>
    <w:rsid w:val="008708AA"/>
    <w:rsid w:val="008710F8"/>
    <w:rsid w:val="00871A91"/>
    <w:rsid w:val="00871B94"/>
    <w:rsid w:val="00872B4A"/>
    <w:rsid w:val="00872F21"/>
    <w:rsid w:val="00873012"/>
    <w:rsid w:val="008732A2"/>
    <w:rsid w:val="0087384A"/>
    <w:rsid w:val="0087417C"/>
    <w:rsid w:val="00874274"/>
    <w:rsid w:val="00874678"/>
    <w:rsid w:val="008755C2"/>
    <w:rsid w:val="00875A6F"/>
    <w:rsid w:val="00875B7E"/>
    <w:rsid w:val="00877767"/>
    <w:rsid w:val="00881947"/>
    <w:rsid w:val="00881D64"/>
    <w:rsid w:val="00882C01"/>
    <w:rsid w:val="00882CC7"/>
    <w:rsid w:val="00882E02"/>
    <w:rsid w:val="00883C16"/>
    <w:rsid w:val="008853EC"/>
    <w:rsid w:val="008857B0"/>
    <w:rsid w:val="00885B03"/>
    <w:rsid w:val="00885F19"/>
    <w:rsid w:val="00886866"/>
    <w:rsid w:val="00886880"/>
    <w:rsid w:val="00886B67"/>
    <w:rsid w:val="00890A94"/>
    <w:rsid w:val="00891CFC"/>
    <w:rsid w:val="00891E79"/>
    <w:rsid w:val="008921AE"/>
    <w:rsid w:val="00895187"/>
    <w:rsid w:val="00895BD3"/>
    <w:rsid w:val="00896148"/>
    <w:rsid w:val="00896915"/>
    <w:rsid w:val="00896EDC"/>
    <w:rsid w:val="008A06D7"/>
    <w:rsid w:val="008A0C9F"/>
    <w:rsid w:val="008A14F6"/>
    <w:rsid w:val="008A1645"/>
    <w:rsid w:val="008A3E6F"/>
    <w:rsid w:val="008A4387"/>
    <w:rsid w:val="008A4596"/>
    <w:rsid w:val="008A56C3"/>
    <w:rsid w:val="008A637C"/>
    <w:rsid w:val="008A7EF2"/>
    <w:rsid w:val="008B003A"/>
    <w:rsid w:val="008B0DFB"/>
    <w:rsid w:val="008B2951"/>
    <w:rsid w:val="008B2BBB"/>
    <w:rsid w:val="008B389B"/>
    <w:rsid w:val="008B4FFE"/>
    <w:rsid w:val="008B507B"/>
    <w:rsid w:val="008B60D9"/>
    <w:rsid w:val="008B646D"/>
    <w:rsid w:val="008B6842"/>
    <w:rsid w:val="008B70C4"/>
    <w:rsid w:val="008B7348"/>
    <w:rsid w:val="008B7F11"/>
    <w:rsid w:val="008C004B"/>
    <w:rsid w:val="008C04D3"/>
    <w:rsid w:val="008C0CAF"/>
    <w:rsid w:val="008C12EC"/>
    <w:rsid w:val="008C18C1"/>
    <w:rsid w:val="008C2BC9"/>
    <w:rsid w:val="008C2CC3"/>
    <w:rsid w:val="008C3DC2"/>
    <w:rsid w:val="008C4229"/>
    <w:rsid w:val="008C442E"/>
    <w:rsid w:val="008C4943"/>
    <w:rsid w:val="008C5658"/>
    <w:rsid w:val="008C5DCA"/>
    <w:rsid w:val="008C6338"/>
    <w:rsid w:val="008D0243"/>
    <w:rsid w:val="008D0ADE"/>
    <w:rsid w:val="008D0EE2"/>
    <w:rsid w:val="008D29AF"/>
    <w:rsid w:val="008D2D8F"/>
    <w:rsid w:val="008D344B"/>
    <w:rsid w:val="008D346A"/>
    <w:rsid w:val="008D370B"/>
    <w:rsid w:val="008D41FC"/>
    <w:rsid w:val="008D4CC6"/>
    <w:rsid w:val="008D4DD5"/>
    <w:rsid w:val="008D4ED9"/>
    <w:rsid w:val="008D6B04"/>
    <w:rsid w:val="008D72B9"/>
    <w:rsid w:val="008E2254"/>
    <w:rsid w:val="008E24B6"/>
    <w:rsid w:val="008E2654"/>
    <w:rsid w:val="008E3669"/>
    <w:rsid w:val="008E4929"/>
    <w:rsid w:val="008E4FF4"/>
    <w:rsid w:val="008E5682"/>
    <w:rsid w:val="008F1C22"/>
    <w:rsid w:val="008F2554"/>
    <w:rsid w:val="008F2C23"/>
    <w:rsid w:val="008F47DC"/>
    <w:rsid w:val="008F52B5"/>
    <w:rsid w:val="008F635E"/>
    <w:rsid w:val="008F738E"/>
    <w:rsid w:val="009002CE"/>
    <w:rsid w:val="00901D5D"/>
    <w:rsid w:val="009025FB"/>
    <w:rsid w:val="009029DB"/>
    <w:rsid w:val="009038A8"/>
    <w:rsid w:val="009042E8"/>
    <w:rsid w:val="00905C6E"/>
    <w:rsid w:val="0090753F"/>
    <w:rsid w:val="009118BA"/>
    <w:rsid w:val="00913E51"/>
    <w:rsid w:val="00914986"/>
    <w:rsid w:val="00914DFE"/>
    <w:rsid w:val="0091549C"/>
    <w:rsid w:val="00915C3F"/>
    <w:rsid w:val="0091614B"/>
    <w:rsid w:val="00916CEC"/>
    <w:rsid w:val="0091735D"/>
    <w:rsid w:val="00917E8B"/>
    <w:rsid w:val="009202C9"/>
    <w:rsid w:val="00921287"/>
    <w:rsid w:val="0092131F"/>
    <w:rsid w:val="00921595"/>
    <w:rsid w:val="00925352"/>
    <w:rsid w:val="00925D59"/>
    <w:rsid w:val="00926716"/>
    <w:rsid w:val="00927429"/>
    <w:rsid w:val="009279EC"/>
    <w:rsid w:val="009308DA"/>
    <w:rsid w:val="00932A82"/>
    <w:rsid w:val="0093319A"/>
    <w:rsid w:val="00933540"/>
    <w:rsid w:val="0093396C"/>
    <w:rsid w:val="00933E6E"/>
    <w:rsid w:val="0093425F"/>
    <w:rsid w:val="00934877"/>
    <w:rsid w:val="009350EC"/>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4A0"/>
    <w:rsid w:val="009558AA"/>
    <w:rsid w:val="009603E5"/>
    <w:rsid w:val="0096071A"/>
    <w:rsid w:val="00960A35"/>
    <w:rsid w:val="00960C91"/>
    <w:rsid w:val="00961AEB"/>
    <w:rsid w:val="00961B6D"/>
    <w:rsid w:val="009622B5"/>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6B05"/>
    <w:rsid w:val="00977693"/>
    <w:rsid w:val="00977BB1"/>
    <w:rsid w:val="009816AB"/>
    <w:rsid w:val="009818E4"/>
    <w:rsid w:val="00982494"/>
    <w:rsid w:val="009845F3"/>
    <w:rsid w:val="009845FD"/>
    <w:rsid w:val="00984A5C"/>
    <w:rsid w:val="00986E0B"/>
    <w:rsid w:val="00990935"/>
    <w:rsid w:val="00990A99"/>
    <w:rsid w:val="00990AFD"/>
    <w:rsid w:val="00991001"/>
    <w:rsid w:val="00991069"/>
    <w:rsid w:val="0099397C"/>
    <w:rsid w:val="00993F46"/>
    <w:rsid w:val="00994A07"/>
    <w:rsid w:val="00995077"/>
    <w:rsid w:val="00996257"/>
    <w:rsid w:val="00996562"/>
    <w:rsid w:val="00996BCA"/>
    <w:rsid w:val="009A0E79"/>
    <w:rsid w:val="009A1740"/>
    <w:rsid w:val="009A216A"/>
    <w:rsid w:val="009A23B0"/>
    <w:rsid w:val="009A35C9"/>
    <w:rsid w:val="009A3604"/>
    <w:rsid w:val="009A473C"/>
    <w:rsid w:val="009A4D87"/>
    <w:rsid w:val="009A52E0"/>
    <w:rsid w:val="009A640D"/>
    <w:rsid w:val="009A6950"/>
    <w:rsid w:val="009A7F00"/>
    <w:rsid w:val="009B1548"/>
    <w:rsid w:val="009B321A"/>
    <w:rsid w:val="009B3A1D"/>
    <w:rsid w:val="009B41F0"/>
    <w:rsid w:val="009B69E9"/>
    <w:rsid w:val="009B7FFD"/>
    <w:rsid w:val="009C0279"/>
    <w:rsid w:val="009C1887"/>
    <w:rsid w:val="009C21B4"/>
    <w:rsid w:val="009C3225"/>
    <w:rsid w:val="009C3CB8"/>
    <w:rsid w:val="009C3E2A"/>
    <w:rsid w:val="009C4284"/>
    <w:rsid w:val="009C5DC4"/>
    <w:rsid w:val="009C61A3"/>
    <w:rsid w:val="009C66AA"/>
    <w:rsid w:val="009C6B84"/>
    <w:rsid w:val="009C72BB"/>
    <w:rsid w:val="009C740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9C"/>
    <w:rsid w:val="009E46F2"/>
    <w:rsid w:val="009E620D"/>
    <w:rsid w:val="009E7192"/>
    <w:rsid w:val="009E7F49"/>
    <w:rsid w:val="009F0B98"/>
    <w:rsid w:val="009F1641"/>
    <w:rsid w:val="009F1A13"/>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FFB"/>
    <w:rsid w:val="00A04C7E"/>
    <w:rsid w:val="00A06896"/>
    <w:rsid w:val="00A07CA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2CCD"/>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3608F"/>
    <w:rsid w:val="00A40625"/>
    <w:rsid w:val="00A40E66"/>
    <w:rsid w:val="00A40FB6"/>
    <w:rsid w:val="00A42629"/>
    <w:rsid w:val="00A43620"/>
    <w:rsid w:val="00A438B9"/>
    <w:rsid w:val="00A43944"/>
    <w:rsid w:val="00A43A45"/>
    <w:rsid w:val="00A43D2B"/>
    <w:rsid w:val="00A4524B"/>
    <w:rsid w:val="00A45454"/>
    <w:rsid w:val="00A45866"/>
    <w:rsid w:val="00A45978"/>
    <w:rsid w:val="00A4637B"/>
    <w:rsid w:val="00A46BB9"/>
    <w:rsid w:val="00A476B4"/>
    <w:rsid w:val="00A476D0"/>
    <w:rsid w:val="00A50D2F"/>
    <w:rsid w:val="00A50EE4"/>
    <w:rsid w:val="00A516B1"/>
    <w:rsid w:val="00A521D4"/>
    <w:rsid w:val="00A534E3"/>
    <w:rsid w:val="00A53511"/>
    <w:rsid w:val="00A53B31"/>
    <w:rsid w:val="00A541FE"/>
    <w:rsid w:val="00A55724"/>
    <w:rsid w:val="00A5658D"/>
    <w:rsid w:val="00A60841"/>
    <w:rsid w:val="00A61A4E"/>
    <w:rsid w:val="00A62045"/>
    <w:rsid w:val="00A62049"/>
    <w:rsid w:val="00A63700"/>
    <w:rsid w:val="00A64575"/>
    <w:rsid w:val="00A64C36"/>
    <w:rsid w:val="00A651C0"/>
    <w:rsid w:val="00A65A26"/>
    <w:rsid w:val="00A66189"/>
    <w:rsid w:val="00A67625"/>
    <w:rsid w:val="00A67EF4"/>
    <w:rsid w:val="00A73EF9"/>
    <w:rsid w:val="00A74EA2"/>
    <w:rsid w:val="00A75324"/>
    <w:rsid w:val="00A756C6"/>
    <w:rsid w:val="00A76999"/>
    <w:rsid w:val="00A77200"/>
    <w:rsid w:val="00A80BB6"/>
    <w:rsid w:val="00A80C68"/>
    <w:rsid w:val="00A8147A"/>
    <w:rsid w:val="00A821AF"/>
    <w:rsid w:val="00A837D0"/>
    <w:rsid w:val="00A844B8"/>
    <w:rsid w:val="00A849C8"/>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324"/>
    <w:rsid w:val="00A97557"/>
    <w:rsid w:val="00A97638"/>
    <w:rsid w:val="00A978AF"/>
    <w:rsid w:val="00AA0B4E"/>
    <w:rsid w:val="00AA1BBB"/>
    <w:rsid w:val="00AA1E74"/>
    <w:rsid w:val="00AA24D2"/>
    <w:rsid w:val="00AA423E"/>
    <w:rsid w:val="00AA6175"/>
    <w:rsid w:val="00AA6C98"/>
    <w:rsid w:val="00AA7316"/>
    <w:rsid w:val="00AA78CE"/>
    <w:rsid w:val="00AA7F42"/>
    <w:rsid w:val="00AB0C12"/>
    <w:rsid w:val="00AB0FA7"/>
    <w:rsid w:val="00AB2605"/>
    <w:rsid w:val="00AB26D5"/>
    <w:rsid w:val="00AB3885"/>
    <w:rsid w:val="00AB49EA"/>
    <w:rsid w:val="00AB4F00"/>
    <w:rsid w:val="00AB5F3B"/>
    <w:rsid w:val="00AC0041"/>
    <w:rsid w:val="00AC004D"/>
    <w:rsid w:val="00AC09F1"/>
    <w:rsid w:val="00AC2BD0"/>
    <w:rsid w:val="00AC38A9"/>
    <w:rsid w:val="00AC3C01"/>
    <w:rsid w:val="00AC4BB1"/>
    <w:rsid w:val="00AC4BF6"/>
    <w:rsid w:val="00AC5375"/>
    <w:rsid w:val="00AC5AF0"/>
    <w:rsid w:val="00AC6797"/>
    <w:rsid w:val="00AC6A7A"/>
    <w:rsid w:val="00AC6F68"/>
    <w:rsid w:val="00AC7896"/>
    <w:rsid w:val="00AD104E"/>
    <w:rsid w:val="00AD124D"/>
    <w:rsid w:val="00AD1EAE"/>
    <w:rsid w:val="00AD2280"/>
    <w:rsid w:val="00AD26C0"/>
    <w:rsid w:val="00AD3CC4"/>
    <w:rsid w:val="00AD4839"/>
    <w:rsid w:val="00AD4A0A"/>
    <w:rsid w:val="00AD4C7C"/>
    <w:rsid w:val="00AD76EF"/>
    <w:rsid w:val="00AE031C"/>
    <w:rsid w:val="00AE19D1"/>
    <w:rsid w:val="00AE2666"/>
    <w:rsid w:val="00AE29DB"/>
    <w:rsid w:val="00AE2E9B"/>
    <w:rsid w:val="00AE3BE0"/>
    <w:rsid w:val="00AE50C7"/>
    <w:rsid w:val="00AE5D09"/>
    <w:rsid w:val="00AE6037"/>
    <w:rsid w:val="00AE6B11"/>
    <w:rsid w:val="00AE72BA"/>
    <w:rsid w:val="00AE7EBC"/>
    <w:rsid w:val="00AF4083"/>
    <w:rsid w:val="00AF434D"/>
    <w:rsid w:val="00AF4EE4"/>
    <w:rsid w:val="00AF5B98"/>
    <w:rsid w:val="00B0036F"/>
    <w:rsid w:val="00B00C8E"/>
    <w:rsid w:val="00B02AA5"/>
    <w:rsid w:val="00B0352E"/>
    <w:rsid w:val="00B04F50"/>
    <w:rsid w:val="00B05CA6"/>
    <w:rsid w:val="00B1073D"/>
    <w:rsid w:val="00B11CD7"/>
    <w:rsid w:val="00B1205D"/>
    <w:rsid w:val="00B120FC"/>
    <w:rsid w:val="00B128F0"/>
    <w:rsid w:val="00B13307"/>
    <w:rsid w:val="00B1367C"/>
    <w:rsid w:val="00B13B7B"/>
    <w:rsid w:val="00B15202"/>
    <w:rsid w:val="00B1553A"/>
    <w:rsid w:val="00B17577"/>
    <w:rsid w:val="00B21CD1"/>
    <w:rsid w:val="00B23256"/>
    <w:rsid w:val="00B24CF5"/>
    <w:rsid w:val="00B26507"/>
    <w:rsid w:val="00B269CE"/>
    <w:rsid w:val="00B27CC1"/>
    <w:rsid w:val="00B3055A"/>
    <w:rsid w:val="00B31920"/>
    <w:rsid w:val="00B31CD8"/>
    <w:rsid w:val="00B32535"/>
    <w:rsid w:val="00B3277B"/>
    <w:rsid w:val="00B32B21"/>
    <w:rsid w:val="00B32C76"/>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2A3F"/>
    <w:rsid w:val="00B539AD"/>
    <w:rsid w:val="00B5462A"/>
    <w:rsid w:val="00B54BC7"/>
    <w:rsid w:val="00B565AE"/>
    <w:rsid w:val="00B56C15"/>
    <w:rsid w:val="00B57348"/>
    <w:rsid w:val="00B60FA3"/>
    <w:rsid w:val="00B61E5E"/>
    <w:rsid w:val="00B625B5"/>
    <w:rsid w:val="00B629EA"/>
    <w:rsid w:val="00B62D2B"/>
    <w:rsid w:val="00B62DEC"/>
    <w:rsid w:val="00B63807"/>
    <w:rsid w:val="00B63B25"/>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772F1"/>
    <w:rsid w:val="00B80EB5"/>
    <w:rsid w:val="00B8179C"/>
    <w:rsid w:val="00B822DB"/>
    <w:rsid w:val="00B82D4E"/>
    <w:rsid w:val="00B84A8A"/>
    <w:rsid w:val="00B87C64"/>
    <w:rsid w:val="00B87E47"/>
    <w:rsid w:val="00B91A82"/>
    <w:rsid w:val="00B9279C"/>
    <w:rsid w:val="00B92C96"/>
    <w:rsid w:val="00B934BE"/>
    <w:rsid w:val="00B93569"/>
    <w:rsid w:val="00B94B37"/>
    <w:rsid w:val="00B95178"/>
    <w:rsid w:val="00B9576A"/>
    <w:rsid w:val="00B962BB"/>
    <w:rsid w:val="00BA088E"/>
    <w:rsid w:val="00BA152C"/>
    <w:rsid w:val="00BA2861"/>
    <w:rsid w:val="00BA2EAC"/>
    <w:rsid w:val="00BA3873"/>
    <w:rsid w:val="00BA636A"/>
    <w:rsid w:val="00BA6707"/>
    <w:rsid w:val="00BA76AF"/>
    <w:rsid w:val="00BA7C0B"/>
    <w:rsid w:val="00BA7C85"/>
    <w:rsid w:val="00BB0F85"/>
    <w:rsid w:val="00BB16D5"/>
    <w:rsid w:val="00BB1940"/>
    <w:rsid w:val="00BB2A3A"/>
    <w:rsid w:val="00BB2E4D"/>
    <w:rsid w:val="00BB5190"/>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4531"/>
    <w:rsid w:val="00BD5782"/>
    <w:rsid w:val="00BD780A"/>
    <w:rsid w:val="00BE0194"/>
    <w:rsid w:val="00BE02E5"/>
    <w:rsid w:val="00BE0CEB"/>
    <w:rsid w:val="00BE1E12"/>
    <w:rsid w:val="00BE346A"/>
    <w:rsid w:val="00BE46DF"/>
    <w:rsid w:val="00BE635E"/>
    <w:rsid w:val="00BE6364"/>
    <w:rsid w:val="00BE6D71"/>
    <w:rsid w:val="00BE718D"/>
    <w:rsid w:val="00BE7A12"/>
    <w:rsid w:val="00BE7ADF"/>
    <w:rsid w:val="00BE7CAE"/>
    <w:rsid w:val="00BF229E"/>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871"/>
    <w:rsid w:val="00C0787B"/>
    <w:rsid w:val="00C07B7F"/>
    <w:rsid w:val="00C07EC8"/>
    <w:rsid w:val="00C10243"/>
    <w:rsid w:val="00C10601"/>
    <w:rsid w:val="00C12BFE"/>
    <w:rsid w:val="00C134F6"/>
    <w:rsid w:val="00C13C38"/>
    <w:rsid w:val="00C1424F"/>
    <w:rsid w:val="00C14933"/>
    <w:rsid w:val="00C14D71"/>
    <w:rsid w:val="00C14E0B"/>
    <w:rsid w:val="00C157FC"/>
    <w:rsid w:val="00C170D0"/>
    <w:rsid w:val="00C200F2"/>
    <w:rsid w:val="00C2027F"/>
    <w:rsid w:val="00C20B16"/>
    <w:rsid w:val="00C216A8"/>
    <w:rsid w:val="00C22169"/>
    <w:rsid w:val="00C233B3"/>
    <w:rsid w:val="00C235D5"/>
    <w:rsid w:val="00C238FB"/>
    <w:rsid w:val="00C23BF7"/>
    <w:rsid w:val="00C240FA"/>
    <w:rsid w:val="00C24A6A"/>
    <w:rsid w:val="00C25A5E"/>
    <w:rsid w:val="00C25B3F"/>
    <w:rsid w:val="00C2627B"/>
    <w:rsid w:val="00C31158"/>
    <w:rsid w:val="00C3227B"/>
    <w:rsid w:val="00C32ACE"/>
    <w:rsid w:val="00C32F37"/>
    <w:rsid w:val="00C33352"/>
    <w:rsid w:val="00C346DD"/>
    <w:rsid w:val="00C34DB4"/>
    <w:rsid w:val="00C35A64"/>
    <w:rsid w:val="00C35E7C"/>
    <w:rsid w:val="00C36B0D"/>
    <w:rsid w:val="00C3744C"/>
    <w:rsid w:val="00C37839"/>
    <w:rsid w:val="00C37EA0"/>
    <w:rsid w:val="00C4025C"/>
    <w:rsid w:val="00C409F6"/>
    <w:rsid w:val="00C410D2"/>
    <w:rsid w:val="00C41479"/>
    <w:rsid w:val="00C43810"/>
    <w:rsid w:val="00C439F1"/>
    <w:rsid w:val="00C4452E"/>
    <w:rsid w:val="00C5042D"/>
    <w:rsid w:val="00C52483"/>
    <w:rsid w:val="00C536D2"/>
    <w:rsid w:val="00C53B8E"/>
    <w:rsid w:val="00C54558"/>
    <w:rsid w:val="00C558A4"/>
    <w:rsid w:val="00C559CD"/>
    <w:rsid w:val="00C571D1"/>
    <w:rsid w:val="00C57E04"/>
    <w:rsid w:val="00C606E2"/>
    <w:rsid w:val="00C61419"/>
    <w:rsid w:val="00C61818"/>
    <w:rsid w:val="00C61B06"/>
    <w:rsid w:val="00C61FEC"/>
    <w:rsid w:val="00C62B4F"/>
    <w:rsid w:val="00C62FC2"/>
    <w:rsid w:val="00C65918"/>
    <w:rsid w:val="00C65F8F"/>
    <w:rsid w:val="00C65FA7"/>
    <w:rsid w:val="00C7008E"/>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90FC8"/>
    <w:rsid w:val="00C929B3"/>
    <w:rsid w:val="00C92A0D"/>
    <w:rsid w:val="00C9443B"/>
    <w:rsid w:val="00C9490F"/>
    <w:rsid w:val="00C9629D"/>
    <w:rsid w:val="00C96C19"/>
    <w:rsid w:val="00C96E34"/>
    <w:rsid w:val="00C97067"/>
    <w:rsid w:val="00C9717B"/>
    <w:rsid w:val="00C97192"/>
    <w:rsid w:val="00C97465"/>
    <w:rsid w:val="00C9749B"/>
    <w:rsid w:val="00C97586"/>
    <w:rsid w:val="00CA076C"/>
    <w:rsid w:val="00CA0E7A"/>
    <w:rsid w:val="00CA1AD6"/>
    <w:rsid w:val="00CA22F9"/>
    <w:rsid w:val="00CA39B7"/>
    <w:rsid w:val="00CA4057"/>
    <w:rsid w:val="00CA43EA"/>
    <w:rsid w:val="00CA45E8"/>
    <w:rsid w:val="00CA56EC"/>
    <w:rsid w:val="00CA5AF6"/>
    <w:rsid w:val="00CA6A87"/>
    <w:rsid w:val="00CA6B6E"/>
    <w:rsid w:val="00CA760E"/>
    <w:rsid w:val="00CB2149"/>
    <w:rsid w:val="00CB2159"/>
    <w:rsid w:val="00CB252D"/>
    <w:rsid w:val="00CB4BBD"/>
    <w:rsid w:val="00CB4C86"/>
    <w:rsid w:val="00CB508B"/>
    <w:rsid w:val="00CB5B7B"/>
    <w:rsid w:val="00CB5F3F"/>
    <w:rsid w:val="00CB62DA"/>
    <w:rsid w:val="00CB6418"/>
    <w:rsid w:val="00CB6D15"/>
    <w:rsid w:val="00CB740B"/>
    <w:rsid w:val="00CC0309"/>
    <w:rsid w:val="00CC0C48"/>
    <w:rsid w:val="00CC2E09"/>
    <w:rsid w:val="00CC2F81"/>
    <w:rsid w:val="00CC3BC8"/>
    <w:rsid w:val="00CC3DCA"/>
    <w:rsid w:val="00CC435D"/>
    <w:rsid w:val="00CC4F1E"/>
    <w:rsid w:val="00CC5FBE"/>
    <w:rsid w:val="00CC6BC0"/>
    <w:rsid w:val="00CC7706"/>
    <w:rsid w:val="00CC795E"/>
    <w:rsid w:val="00CD19A8"/>
    <w:rsid w:val="00CD19DB"/>
    <w:rsid w:val="00CD2E3C"/>
    <w:rsid w:val="00CD30FC"/>
    <w:rsid w:val="00CD39A2"/>
    <w:rsid w:val="00CD4857"/>
    <w:rsid w:val="00CD4B87"/>
    <w:rsid w:val="00CD55DB"/>
    <w:rsid w:val="00CD63AD"/>
    <w:rsid w:val="00CD64CC"/>
    <w:rsid w:val="00CE1045"/>
    <w:rsid w:val="00CE12F6"/>
    <w:rsid w:val="00CE1632"/>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2732"/>
    <w:rsid w:val="00CF31B4"/>
    <w:rsid w:val="00CF355A"/>
    <w:rsid w:val="00CF378E"/>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2AFE"/>
    <w:rsid w:val="00D13846"/>
    <w:rsid w:val="00D146EB"/>
    <w:rsid w:val="00D15656"/>
    <w:rsid w:val="00D15927"/>
    <w:rsid w:val="00D20835"/>
    <w:rsid w:val="00D20D52"/>
    <w:rsid w:val="00D20EF6"/>
    <w:rsid w:val="00D219AA"/>
    <w:rsid w:val="00D21D01"/>
    <w:rsid w:val="00D2237A"/>
    <w:rsid w:val="00D22D3F"/>
    <w:rsid w:val="00D22D6B"/>
    <w:rsid w:val="00D23688"/>
    <w:rsid w:val="00D23E73"/>
    <w:rsid w:val="00D240B5"/>
    <w:rsid w:val="00D24BD1"/>
    <w:rsid w:val="00D2588A"/>
    <w:rsid w:val="00D25B60"/>
    <w:rsid w:val="00D25EA2"/>
    <w:rsid w:val="00D26217"/>
    <w:rsid w:val="00D26522"/>
    <w:rsid w:val="00D278F0"/>
    <w:rsid w:val="00D32986"/>
    <w:rsid w:val="00D338DB"/>
    <w:rsid w:val="00D343C5"/>
    <w:rsid w:val="00D3511F"/>
    <w:rsid w:val="00D360DF"/>
    <w:rsid w:val="00D36683"/>
    <w:rsid w:val="00D36BE0"/>
    <w:rsid w:val="00D36DB6"/>
    <w:rsid w:val="00D3752B"/>
    <w:rsid w:val="00D40470"/>
    <w:rsid w:val="00D41147"/>
    <w:rsid w:val="00D43ED9"/>
    <w:rsid w:val="00D44AD8"/>
    <w:rsid w:val="00D4515E"/>
    <w:rsid w:val="00D4521D"/>
    <w:rsid w:val="00D45819"/>
    <w:rsid w:val="00D46397"/>
    <w:rsid w:val="00D464F2"/>
    <w:rsid w:val="00D509E9"/>
    <w:rsid w:val="00D50F44"/>
    <w:rsid w:val="00D52933"/>
    <w:rsid w:val="00D52C36"/>
    <w:rsid w:val="00D52FF0"/>
    <w:rsid w:val="00D537E5"/>
    <w:rsid w:val="00D55CE1"/>
    <w:rsid w:val="00D56683"/>
    <w:rsid w:val="00D574A2"/>
    <w:rsid w:val="00D57F1A"/>
    <w:rsid w:val="00D6001A"/>
    <w:rsid w:val="00D60FC7"/>
    <w:rsid w:val="00D6189E"/>
    <w:rsid w:val="00D61E4F"/>
    <w:rsid w:val="00D62166"/>
    <w:rsid w:val="00D62E71"/>
    <w:rsid w:val="00D63146"/>
    <w:rsid w:val="00D634D5"/>
    <w:rsid w:val="00D64BB4"/>
    <w:rsid w:val="00D65159"/>
    <w:rsid w:val="00D65AEB"/>
    <w:rsid w:val="00D65BE9"/>
    <w:rsid w:val="00D65C56"/>
    <w:rsid w:val="00D66CBB"/>
    <w:rsid w:val="00D70514"/>
    <w:rsid w:val="00D71305"/>
    <w:rsid w:val="00D718B8"/>
    <w:rsid w:val="00D71BF7"/>
    <w:rsid w:val="00D71CEC"/>
    <w:rsid w:val="00D7260C"/>
    <w:rsid w:val="00D72B70"/>
    <w:rsid w:val="00D731D0"/>
    <w:rsid w:val="00D738D2"/>
    <w:rsid w:val="00D73CDD"/>
    <w:rsid w:val="00D741C8"/>
    <w:rsid w:val="00D74E94"/>
    <w:rsid w:val="00D75395"/>
    <w:rsid w:val="00D76565"/>
    <w:rsid w:val="00D766B4"/>
    <w:rsid w:val="00D809E4"/>
    <w:rsid w:val="00D81B85"/>
    <w:rsid w:val="00D81EDD"/>
    <w:rsid w:val="00D841E0"/>
    <w:rsid w:val="00D8486E"/>
    <w:rsid w:val="00D84EA2"/>
    <w:rsid w:val="00D84F77"/>
    <w:rsid w:val="00D8663B"/>
    <w:rsid w:val="00D877F3"/>
    <w:rsid w:val="00D878B6"/>
    <w:rsid w:val="00D87FC0"/>
    <w:rsid w:val="00D905AB"/>
    <w:rsid w:val="00D90C1B"/>
    <w:rsid w:val="00D90FB3"/>
    <w:rsid w:val="00D910B9"/>
    <w:rsid w:val="00D925D1"/>
    <w:rsid w:val="00D92668"/>
    <w:rsid w:val="00D93AD4"/>
    <w:rsid w:val="00D94BE4"/>
    <w:rsid w:val="00D94F27"/>
    <w:rsid w:val="00D95B37"/>
    <w:rsid w:val="00D9746B"/>
    <w:rsid w:val="00D979CF"/>
    <w:rsid w:val="00DA04CA"/>
    <w:rsid w:val="00DA0B8F"/>
    <w:rsid w:val="00DA1A7B"/>
    <w:rsid w:val="00DA1F2A"/>
    <w:rsid w:val="00DA432C"/>
    <w:rsid w:val="00DA4677"/>
    <w:rsid w:val="00DA5392"/>
    <w:rsid w:val="00DA6AF1"/>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B3"/>
    <w:rsid w:val="00DC6B6C"/>
    <w:rsid w:val="00DD12A3"/>
    <w:rsid w:val="00DD2877"/>
    <w:rsid w:val="00DD2EDE"/>
    <w:rsid w:val="00DD2F31"/>
    <w:rsid w:val="00DD3144"/>
    <w:rsid w:val="00DD38A3"/>
    <w:rsid w:val="00DD5995"/>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1DD8"/>
    <w:rsid w:val="00DF2CB0"/>
    <w:rsid w:val="00DF383C"/>
    <w:rsid w:val="00DF4465"/>
    <w:rsid w:val="00DF451B"/>
    <w:rsid w:val="00DF451C"/>
    <w:rsid w:val="00DF5D03"/>
    <w:rsid w:val="00DF6006"/>
    <w:rsid w:val="00DF6955"/>
    <w:rsid w:val="00DF7B01"/>
    <w:rsid w:val="00DF7E4B"/>
    <w:rsid w:val="00E00957"/>
    <w:rsid w:val="00E00CDB"/>
    <w:rsid w:val="00E01DDD"/>
    <w:rsid w:val="00E0349F"/>
    <w:rsid w:val="00E0443E"/>
    <w:rsid w:val="00E0480A"/>
    <w:rsid w:val="00E04B51"/>
    <w:rsid w:val="00E05F1C"/>
    <w:rsid w:val="00E05FA6"/>
    <w:rsid w:val="00E05FCE"/>
    <w:rsid w:val="00E076EA"/>
    <w:rsid w:val="00E0777D"/>
    <w:rsid w:val="00E0787C"/>
    <w:rsid w:val="00E10F99"/>
    <w:rsid w:val="00E120FC"/>
    <w:rsid w:val="00E12D07"/>
    <w:rsid w:val="00E14BA9"/>
    <w:rsid w:val="00E1701F"/>
    <w:rsid w:val="00E21494"/>
    <w:rsid w:val="00E2168A"/>
    <w:rsid w:val="00E22FD4"/>
    <w:rsid w:val="00E23A0E"/>
    <w:rsid w:val="00E23EE3"/>
    <w:rsid w:val="00E245A1"/>
    <w:rsid w:val="00E24831"/>
    <w:rsid w:val="00E25228"/>
    <w:rsid w:val="00E25C0E"/>
    <w:rsid w:val="00E27953"/>
    <w:rsid w:val="00E31001"/>
    <w:rsid w:val="00E314BF"/>
    <w:rsid w:val="00E34A4E"/>
    <w:rsid w:val="00E35198"/>
    <w:rsid w:val="00E363F0"/>
    <w:rsid w:val="00E41A0A"/>
    <w:rsid w:val="00E41A97"/>
    <w:rsid w:val="00E41D06"/>
    <w:rsid w:val="00E41D0D"/>
    <w:rsid w:val="00E41E33"/>
    <w:rsid w:val="00E426BD"/>
    <w:rsid w:val="00E43C83"/>
    <w:rsid w:val="00E45508"/>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1239"/>
    <w:rsid w:val="00E61FF8"/>
    <w:rsid w:val="00E62EF4"/>
    <w:rsid w:val="00E632EA"/>
    <w:rsid w:val="00E650E0"/>
    <w:rsid w:val="00E654A0"/>
    <w:rsid w:val="00E65521"/>
    <w:rsid w:val="00E65D6D"/>
    <w:rsid w:val="00E66C2F"/>
    <w:rsid w:val="00E67455"/>
    <w:rsid w:val="00E67FF3"/>
    <w:rsid w:val="00E701AC"/>
    <w:rsid w:val="00E719E2"/>
    <w:rsid w:val="00E721FF"/>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5C49"/>
    <w:rsid w:val="00E8653F"/>
    <w:rsid w:val="00E86C05"/>
    <w:rsid w:val="00E87A9A"/>
    <w:rsid w:val="00E90C8F"/>
    <w:rsid w:val="00E91006"/>
    <w:rsid w:val="00E91851"/>
    <w:rsid w:val="00E92106"/>
    <w:rsid w:val="00E92204"/>
    <w:rsid w:val="00E93276"/>
    <w:rsid w:val="00E93457"/>
    <w:rsid w:val="00E93F35"/>
    <w:rsid w:val="00E9527D"/>
    <w:rsid w:val="00EA04FB"/>
    <w:rsid w:val="00EA1F76"/>
    <w:rsid w:val="00EA209E"/>
    <w:rsid w:val="00EA4C1F"/>
    <w:rsid w:val="00EA5469"/>
    <w:rsid w:val="00EA5B2B"/>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14F5"/>
    <w:rsid w:val="00EC238F"/>
    <w:rsid w:val="00EC291E"/>
    <w:rsid w:val="00EC2EEA"/>
    <w:rsid w:val="00EC6033"/>
    <w:rsid w:val="00EC6ABB"/>
    <w:rsid w:val="00EC7B44"/>
    <w:rsid w:val="00ED0AC6"/>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F6C"/>
    <w:rsid w:val="00EE1465"/>
    <w:rsid w:val="00EE1CAC"/>
    <w:rsid w:val="00EE1D25"/>
    <w:rsid w:val="00EE2C69"/>
    <w:rsid w:val="00EE3066"/>
    <w:rsid w:val="00EE34DD"/>
    <w:rsid w:val="00EE3C92"/>
    <w:rsid w:val="00EE447F"/>
    <w:rsid w:val="00EE4674"/>
    <w:rsid w:val="00EE47C6"/>
    <w:rsid w:val="00EE4D84"/>
    <w:rsid w:val="00EE575C"/>
    <w:rsid w:val="00EE5F95"/>
    <w:rsid w:val="00EE6B6F"/>
    <w:rsid w:val="00EE730F"/>
    <w:rsid w:val="00EE76B1"/>
    <w:rsid w:val="00EF023B"/>
    <w:rsid w:val="00EF0F59"/>
    <w:rsid w:val="00EF1196"/>
    <w:rsid w:val="00EF2B23"/>
    <w:rsid w:val="00EF2F66"/>
    <w:rsid w:val="00EF3A01"/>
    <w:rsid w:val="00EF4D0F"/>
    <w:rsid w:val="00EF52F1"/>
    <w:rsid w:val="00EF5FF8"/>
    <w:rsid w:val="00EF6F58"/>
    <w:rsid w:val="00EF7935"/>
    <w:rsid w:val="00EF7CEA"/>
    <w:rsid w:val="00F01526"/>
    <w:rsid w:val="00F023A7"/>
    <w:rsid w:val="00F02EDC"/>
    <w:rsid w:val="00F039E2"/>
    <w:rsid w:val="00F04A95"/>
    <w:rsid w:val="00F058D3"/>
    <w:rsid w:val="00F05E2E"/>
    <w:rsid w:val="00F07985"/>
    <w:rsid w:val="00F10A38"/>
    <w:rsid w:val="00F1176A"/>
    <w:rsid w:val="00F11FF3"/>
    <w:rsid w:val="00F128D3"/>
    <w:rsid w:val="00F12BF1"/>
    <w:rsid w:val="00F12F4D"/>
    <w:rsid w:val="00F12FB0"/>
    <w:rsid w:val="00F13A10"/>
    <w:rsid w:val="00F16039"/>
    <w:rsid w:val="00F20491"/>
    <w:rsid w:val="00F206DE"/>
    <w:rsid w:val="00F20903"/>
    <w:rsid w:val="00F20DCF"/>
    <w:rsid w:val="00F22B90"/>
    <w:rsid w:val="00F23331"/>
    <w:rsid w:val="00F23CF2"/>
    <w:rsid w:val="00F2498E"/>
    <w:rsid w:val="00F249C5"/>
    <w:rsid w:val="00F25865"/>
    <w:rsid w:val="00F270F0"/>
    <w:rsid w:val="00F276A8"/>
    <w:rsid w:val="00F27DB1"/>
    <w:rsid w:val="00F30FCB"/>
    <w:rsid w:val="00F3332A"/>
    <w:rsid w:val="00F34068"/>
    <w:rsid w:val="00F3421F"/>
    <w:rsid w:val="00F35AA7"/>
    <w:rsid w:val="00F35ED7"/>
    <w:rsid w:val="00F36B72"/>
    <w:rsid w:val="00F4001D"/>
    <w:rsid w:val="00F4047A"/>
    <w:rsid w:val="00F423F6"/>
    <w:rsid w:val="00F43528"/>
    <w:rsid w:val="00F43916"/>
    <w:rsid w:val="00F44F84"/>
    <w:rsid w:val="00F466E6"/>
    <w:rsid w:val="00F47508"/>
    <w:rsid w:val="00F4786D"/>
    <w:rsid w:val="00F47B84"/>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4E4"/>
    <w:rsid w:val="00F6068A"/>
    <w:rsid w:val="00F61E72"/>
    <w:rsid w:val="00F62332"/>
    <w:rsid w:val="00F62371"/>
    <w:rsid w:val="00F62B5A"/>
    <w:rsid w:val="00F62E06"/>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655F"/>
    <w:rsid w:val="00F77304"/>
    <w:rsid w:val="00F775A3"/>
    <w:rsid w:val="00F77D38"/>
    <w:rsid w:val="00F809C6"/>
    <w:rsid w:val="00F81408"/>
    <w:rsid w:val="00F815F4"/>
    <w:rsid w:val="00F86C5F"/>
    <w:rsid w:val="00F86D62"/>
    <w:rsid w:val="00F874BB"/>
    <w:rsid w:val="00F90DA5"/>
    <w:rsid w:val="00F9118F"/>
    <w:rsid w:val="00F914C6"/>
    <w:rsid w:val="00F9172C"/>
    <w:rsid w:val="00F92B59"/>
    <w:rsid w:val="00F931A2"/>
    <w:rsid w:val="00F93AF8"/>
    <w:rsid w:val="00F95C6F"/>
    <w:rsid w:val="00F95F2A"/>
    <w:rsid w:val="00F97115"/>
    <w:rsid w:val="00F97289"/>
    <w:rsid w:val="00F97B3C"/>
    <w:rsid w:val="00F97DE7"/>
    <w:rsid w:val="00FA00A8"/>
    <w:rsid w:val="00FA016F"/>
    <w:rsid w:val="00FA0887"/>
    <w:rsid w:val="00FA1CA1"/>
    <w:rsid w:val="00FA1F4B"/>
    <w:rsid w:val="00FA3644"/>
    <w:rsid w:val="00FA4168"/>
    <w:rsid w:val="00FA4571"/>
    <w:rsid w:val="00FA4A6C"/>
    <w:rsid w:val="00FA4CAD"/>
    <w:rsid w:val="00FA4DC7"/>
    <w:rsid w:val="00FA4FF3"/>
    <w:rsid w:val="00FA5D15"/>
    <w:rsid w:val="00FB119F"/>
    <w:rsid w:val="00FB1C9C"/>
    <w:rsid w:val="00FB3596"/>
    <w:rsid w:val="00FB41FD"/>
    <w:rsid w:val="00FB4353"/>
    <w:rsid w:val="00FB4E64"/>
    <w:rsid w:val="00FB6398"/>
    <w:rsid w:val="00FB6F5A"/>
    <w:rsid w:val="00FB7C1F"/>
    <w:rsid w:val="00FC16AB"/>
    <w:rsid w:val="00FC37AD"/>
    <w:rsid w:val="00FC3FBD"/>
    <w:rsid w:val="00FC54A4"/>
    <w:rsid w:val="00FC5909"/>
    <w:rsid w:val="00FC5CDF"/>
    <w:rsid w:val="00FC79E8"/>
    <w:rsid w:val="00FD0A58"/>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106"/>
    <w:rsid w:val="00FE4867"/>
    <w:rsid w:val="00FE599A"/>
    <w:rsid w:val="00FE663C"/>
    <w:rsid w:val="00FE76FD"/>
    <w:rsid w:val="00FF0847"/>
    <w:rsid w:val="00FF1B91"/>
    <w:rsid w:val="00FF28A0"/>
    <w:rsid w:val="00FF299D"/>
    <w:rsid w:val="00FF32F4"/>
    <w:rsid w:val="00FF35B6"/>
    <w:rsid w:val="00FF47CD"/>
    <w:rsid w:val="00FF5344"/>
    <w:rsid w:val="00FF5532"/>
    <w:rsid w:val="00FF67D7"/>
    <w:rsid w:val="16318319"/>
    <w:rsid w:val="78B613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character" w:customStyle="1" w:styleId="Mencinsinresolver2">
    <w:name w:val="Mención sin resolver2"/>
    <w:basedOn w:val="Fuentedeprrafopredeter"/>
    <w:uiPriority w:val="99"/>
    <w:semiHidden/>
    <w:unhideWhenUsed/>
    <w:rsid w:val="00F128D3"/>
    <w:rPr>
      <w:color w:val="605E5C"/>
      <w:shd w:val="clear" w:color="auto" w:fill="E1DFDD"/>
    </w:rPr>
  </w:style>
  <w:style w:type="numbering" w:customStyle="1" w:styleId="Listaactual15">
    <w:name w:val="Lista actual15"/>
    <w:uiPriority w:val="99"/>
    <w:rsid w:val="00354F3F"/>
    <w:pPr>
      <w:numPr>
        <w:numId w:val="16"/>
      </w:numPr>
    </w:pPr>
  </w:style>
  <w:style w:type="numbering" w:customStyle="1" w:styleId="Listaactual16">
    <w:name w:val="Lista actual16"/>
    <w:uiPriority w:val="99"/>
    <w:rsid w:val="00D43ED9"/>
    <w:pPr>
      <w:numPr>
        <w:numId w:val="18"/>
      </w:numPr>
    </w:pPr>
  </w:style>
  <w:style w:type="numbering" w:customStyle="1" w:styleId="Listaactual17">
    <w:name w:val="Lista actual17"/>
    <w:uiPriority w:val="99"/>
    <w:rsid w:val="00CF378E"/>
    <w:pPr>
      <w:numPr>
        <w:numId w:val="19"/>
      </w:numPr>
    </w:pPr>
  </w:style>
  <w:style w:type="numbering" w:customStyle="1" w:styleId="Listaactual18">
    <w:name w:val="Lista actual18"/>
    <w:uiPriority w:val="99"/>
    <w:rsid w:val="00300E8E"/>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50465-4801-4572-97D5-CEADEE0D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32</Pages>
  <Words>8853</Words>
  <Characters>48697</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193</cp:revision>
  <cp:lastPrinted>2019-06-13T15:30:00Z</cp:lastPrinted>
  <dcterms:created xsi:type="dcterms:W3CDTF">2023-11-08T21:17:00Z</dcterms:created>
  <dcterms:modified xsi:type="dcterms:W3CDTF">2024-09-03T17:11:00Z</dcterms:modified>
</cp:coreProperties>
</file>