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8B3B5" w14:textId="77777777" w:rsidR="006A2889" w:rsidRPr="0024200F" w:rsidRDefault="006A2889" w:rsidP="006A2889">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Pr>
          <w:rFonts w:ascii="Palatino Linotype" w:hAnsi="Palatino Linotype"/>
        </w:rPr>
        <w:t>seis de noviembre de dos mil veinticuatro.</w:t>
      </w:r>
    </w:p>
    <w:p w14:paraId="7212F08E" w14:textId="77777777" w:rsidR="006A2889" w:rsidRPr="0024200F" w:rsidRDefault="006A2889" w:rsidP="006A2889">
      <w:pPr>
        <w:spacing w:line="360" w:lineRule="auto"/>
        <w:jc w:val="both"/>
        <w:rPr>
          <w:rFonts w:ascii="Palatino Linotype" w:hAnsi="Palatino Linotype"/>
        </w:rPr>
      </w:pPr>
    </w:p>
    <w:p w14:paraId="5BA37491" w14:textId="203CED0D" w:rsidR="006A2889" w:rsidRPr="002C3EC8" w:rsidRDefault="006A2889" w:rsidP="006A2889">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sidR="00C22A75">
        <w:rPr>
          <w:rFonts w:ascii="Palatino Linotype" w:hAnsi="Palatino Linotype" w:cs="Arial"/>
          <w:b/>
        </w:rPr>
        <w:t>0</w:t>
      </w:r>
      <w:r>
        <w:rPr>
          <w:rFonts w:ascii="Palatino Linotype" w:hAnsi="Palatino Linotype" w:cs="Arial"/>
          <w:b/>
          <w:bCs/>
          <w:lang w:eastAsia="es-MX"/>
        </w:rPr>
        <w:t>5860/INFOEM/IP/RR/2024</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 xml:space="preserve">por </w:t>
      </w:r>
      <w:r w:rsidR="00585D34">
        <w:rPr>
          <w:rFonts w:ascii="Palatino Linotype" w:hAnsi="Palatino Linotype"/>
          <w:b/>
        </w:rPr>
        <w:t>XXXXXXXXXXXXXXXXXXXXX</w:t>
      </w:r>
      <w:r w:rsidRPr="006A2889">
        <w:rPr>
          <w:rFonts w:ascii="Palatino Linotype" w:hAnsi="Palatino Linotype"/>
          <w:b/>
        </w:rPr>
        <w:t xml:space="preserve"> </w:t>
      </w:r>
      <w:r w:rsidR="00585D34">
        <w:rPr>
          <w:rFonts w:ascii="Palatino Linotype" w:hAnsi="Palatino Linotype"/>
          <w:b/>
        </w:rPr>
        <w:t>XXXXXXXX</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Pr>
          <w:rFonts w:ascii="Palatino Linotype" w:hAnsi="Palatino Linotype"/>
          <w:b/>
        </w:rPr>
        <w:t>Ayuntamiento de Nextlalpan</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14:paraId="28BBB79E" w14:textId="77777777" w:rsidR="006A2889" w:rsidRPr="002C3EC8" w:rsidRDefault="006A2889" w:rsidP="006A2889">
      <w:pPr>
        <w:tabs>
          <w:tab w:val="left" w:pos="1701"/>
        </w:tabs>
        <w:spacing w:before="240" w:line="360" w:lineRule="auto"/>
        <w:jc w:val="both"/>
        <w:rPr>
          <w:rFonts w:ascii="Palatino Linotype" w:hAnsi="Palatino Linotype" w:cs="Arial"/>
          <w:b/>
        </w:rPr>
      </w:pPr>
      <w:bookmarkStart w:id="0" w:name="_GoBack"/>
      <w:bookmarkEnd w:id="0"/>
    </w:p>
    <w:p w14:paraId="447FF32D" w14:textId="77777777" w:rsidR="006A2889" w:rsidRDefault="006A2889" w:rsidP="006A2889">
      <w:pPr>
        <w:pStyle w:val="infoemcitas"/>
        <w:jc w:val="center"/>
        <w:rPr>
          <w:b/>
          <w:bCs/>
          <w:i w:val="0"/>
          <w:iCs/>
          <w:sz w:val="28"/>
          <w:szCs w:val="28"/>
        </w:rPr>
      </w:pPr>
      <w:r w:rsidRPr="002C3EC8">
        <w:rPr>
          <w:b/>
          <w:bCs/>
          <w:i w:val="0"/>
          <w:iCs/>
          <w:sz w:val="28"/>
          <w:szCs w:val="28"/>
        </w:rPr>
        <w:t>A N T E C E D E N T E S   D E L   A S U N T O</w:t>
      </w:r>
    </w:p>
    <w:p w14:paraId="7BA0E9D3" w14:textId="77777777" w:rsidR="006A2889" w:rsidRPr="002C3EC8" w:rsidRDefault="006A2889" w:rsidP="006A2889">
      <w:pPr>
        <w:pStyle w:val="infoemcitas"/>
        <w:jc w:val="center"/>
        <w:rPr>
          <w:b/>
          <w:bCs/>
          <w:i w:val="0"/>
          <w:iCs/>
          <w:sz w:val="28"/>
          <w:szCs w:val="28"/>
        </w:rPr>
      </w:pPr>
    </w:p>
    <w:p w14:paraId="673733BE" w14:textId="77777777" w:rsidR="006A2889" w:rsidRPr="002C3EC8" w:rsidRDefault="006A2889" w:rsidP="006A2889">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4BC8F609" w14:textId="77777777" w:rsidR="006A2889" w:rsidRPr="00D705FF" w:rsidRDefault="006A2889" w:rsidP="006A2889">
      <w:pPr>
        <w:spacing w:before="240" w:line="360" w:lineRule="auto"/>
        <w:jc w:val="both"/>
        <w:rPr>
          <w:rFonts w:ascii="Palatino Linotype" w:hAnsi="Palatino Linotype" w:cs="Arial"/>
        </w:rPr>
      </w:pPr>
      <w:r w:rsidRPr="00D705FF">
        <w:rPr>
          <w:rFonts w:ascii="Palatino Linotype" w:hAnsi="Palatino Linotype" w:cs="Arial"/>
        </w:rPr>
        <w:t xml:space="preserve">Con fecha </w:t>
      </w:r>
      <w:r w:rsidR="004C4A50">
        <w:rPr>
          <w:rFonts w:ascii="Palatino Linotype" w:hAnsi="Palatino Linotype" w:cs="Arial"/>
        </w:rPr>
        <w:t>cinco de septiembre</w:t>
      </w:r>
      <w:r>
        <w:rPr>
          <w:rFonts w:ascii="Palatino Linotype" w:hAnsi="Palatino Linotype" w:cs="Arial"/>
        </w:rPr>
        <w:t xml:space="preserve"> de dos mil veinticuatro,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sidR="004C4A50">
        <w:rPr>
          <w:rFonts w:ascii="Palatino Linotype" w:hAnsi="Palatino Linotype" w:cs="Arial"/>
          <w:b/>
        </w:rPr>
        <w:t>00057/NEXTLAL/IP/2024</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14:paraId="77939454" w14:textId="77777777" w:rsidR="006A2889" w:rsidRPr="001C7F6F" w:rsidRDefault="006A2889" w:rsidP="006A2889">
      <w:pPr>
        <w:pStyle w:val="INFOEM"/>
        <w:rPr>
          <w:lang w:val="es-ES_tradnl" w:eastAsia="es-ES"/>
        </w:rPr>
      </w:pPr>
      <w:r w:rsidRPr="00D705FF">
        <w:rPr>
          <w:lang w:val="es-ES_tradnl" w:eastAsia="es-ES"/>
        </w:rPr>
        <w:lastRenderedPageBreak/>
        <w:t>“</w:t>
      </w:r>
      <w:r w:rsidR="004C4A50" w:rsidRPr="004C4A50">
        <w:rPr>
          <w:lang w:val="es-ES" w:eastAsia="es-ES"/>
        </w:rPr>
        <w:t>Nómina del mes de agosto de 2024 de la administración, nombres, puestos y sueldos de personal administrativo y de elección popular, junto con información del Sistema DIF Municipal.</w:t>
      </w:r>
      <w:r w:rsidRPr="00D705FF">
        <w:rPr>
          <w:lang w:val="es-ES_tradnl" w:eastAsia="es-ES"/>
        </w:rPr>
        <w:t>” (Sic)</w:t>
      </w:r>
    </w:p>
    <w:p w14:paraId="73AE4B48" w14:textId="77777777" w:rsidR="006A2889" w:rsidRPr="002C3EC8" w:rsidRDefault="006A2889" w:rsidP="006A2889">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008AF13C" w14:textId="77777777" w:rsidR="006A2889" w:rsidRDefault="006A2889" w:rsidP="006A2889">
      <w:pPr>
        <w:spacing w:before="240" w:line="360" w:lineRule="auto"/>
        <w:jc w:val="both"/>
        <w:rPr>
          <w:rFonts w:ascii="Palatino Linotype" w:hAnsi="Palatino Linotype" w:cs="Arial"/>
          <w:b/>
          <w:sz w:val="28"/>
        </w:rPr>
      </w:pPr>
    </w:p>
    <w:p w14:paraId="6D5549CF" w14:textId="77777777" w:rsidR="006A2889" w:rsidRDefault="006A2889" w:rsidP="006A2889">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14:paraId="7BFD812F" w14:textId="77777777" w:rsidR="006A2889" w:rsidRPr="009062B2" w:rsidRDefault="006A2889" w:rsidP="006A2889">
      <w:pPr>
        <w:pStyle w:val="Sinespaciado"/>
        <w:spacing w:line="360" w:lineRule="auto"/>
        <w:jc w:val="both"/>
        <w:rPr>
          <w:rFonts w:ascii="Palatino Linotype" w:hAnsi="Palatino Linotype" w:cs="Arial"/>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sidR="004C4A50">
        <w:rPr>
          <w:rFonts w:ascii="Palatino Linotype" w:hAnsi="Palatino Linotype" w:cs="Arial"/>
          <w:b/>
          <w:sz w:val="24"/>
        </w:rPr>
        <w:t>veinticinco</w:t>
      </w:r>
      <w:r>
        <w:rPr>
          <w:rFonts w:ascii="Palatino Linotype" w:hAnsi="Palatino Linotype" w:cs="Arial"/>
          <w:b/>
          <w:sz w:val="24"/>
        </w:rPr>
        <w:t xml:space="preserve"> de septiembre de dos mil veinticuatro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14:paraId="4751DE89" w14:textId="77777777" w:rsidR="006A2889" w:rsidRPr="00E818A5" w:rsidRDefault="006A2889" w:rsidP="006A2889">
      <w:pPr>
        <w:spacing w:line="360" w:lineRule="auto"/>
        <w:jc w:val="both"/>
        <w:rPr>
          <w:rFonts w:ascii="Palatino Linotype" w:hAnsi="Palatino Linotype" w:cs="Arial"/>
        </w:rPr>
      </w:pPr>
    </w:p>
    <w:p w14:paraId="2AD30E5B" w14:textId="77777777" w:rsidR="006A2889" w:rsidRDefault="006A2889" w:rsidP="006A2889">
      <w:pPr>
        <w:ind w:left="567" w:right="567"/>
        <w:jc w:val="both"/>
        <w:rPr>
          <w:rFonts w:ascii="Palatino Linotype" w:hAnsi="Palatino Linotype" w:cs="Arial"/>
          <w:i/>
        </w:rPr>
      </w:pPr>
      <w:r>
        <w:rPr>
          <w:rFonts w:ascii="Palatino Linotype" w:hAnsi="Palatino Linotype" w:cs="Arial"/>
          <w:i/>
        </w:rPr>
        <w:t>“</w:t>
      </w:r>
      <w:r w:rsidR="004C4A50" w:rsidRPr="004C4A50">
        <w:rPr>
          <w:rFonts w:ascii="Palatino Linotype" w:hAnsi="Palatino Linotype" w:cs="Arial"/>
          <w:i/>
        </w:rPr>
        <w:t xml:space="preserve">SE ENVÍA RESPUESTA EN ARCHIVO ADJUNTO DE LA SOLICITUD NÚMERO: 00057/NEXTLAL/IP/2024. Por lo que solicito se tenga por contestada su solicitud en tiempo y forma, aprovechando la ocasión para enviarle un cordial saludo. </w:t>
      </w:r>
      <w:r w:rsidRPr="00667998">
        <w:rPr>
          <w:rFonts w:ascii="Palatino Linotype" w:hAnsi="Palatino Linotype" w:cs="Arial"/>
          <w:i/>
        </w:rPr>
        <w:t>“(Sic).</w:t>
      </w:r>
    </w:p>
    <w:p w14:paraId="7DDA71B3" w14:textId="77777777" w:rsidR="006A2889" w:rsidRDefault="006A2889" w:rsidP="006A2889">
      <w:pPr>
        <w:spacing w:line="360" w:lineRule="auto"/>
        <w:ind w:right="567"/>
        <w:jc w:val="both"/>
        <w:rPr>
          <w:rFonts w:ascii="Palatino Linotype" w:hAnsi="Palatino Linotype" w:cs="Arial"/>
        </w:rPr>
      </w:pPr>
    </w:p>
    <w:p w14:paraId="4048EC85" w14:textId="77777777" w:rsidR="006A2889" w:rsidRPr="003750D2" w:rsidRDefault="006A2889" w:rsidP="006A2889">
      <w:pPr>
        <w:spacing w:line="360" w:lineRule="auto"/>
        <w:jc w:val="both"/>
        <w:rPr>
          <w:rFonts w:ascii="Palatino Linotype" w:hAnsi="Palatino Linotype" w:cs="Arial"/>
        </w:rPr>
      </w:pPr>
      <w:r>
        <w:rPr>
          <w:rFonts w:ascii="Palatino Linotype" w:hAnsi="Palatino Linotype" w:cs="Arial"/>
        </w:rPr>
        <w:t>Adicionalmente, el Sujeto Obligado adjuntó el archivo electrónico denominado “</w:t>
      </w:r>
      <w:r w:rsidR="004C4A50" w:rsidRPr="004C4A50">
        <w:rPr>
          <w:rFonts w:ascii="Palatino Linotype" w:hAnsi="Palatino Linotype" w:cs="Arial"/>
          <w:b/>
          <w:i/>
        </w:rPr>
        <w:t>RESPUESTA-SOLICITUD-00057-2024.pdf</w:t>
      </w:r>
      <w:r>
        <w:rPr>
          <w:rFonts w:ascii="Palatino Linotype" w:hAnsi="Palatino Linotype" w:cs="Arial"/>
          <w:b/>
          <w:i/>
        </w:rPr>
        <w:t xml:space="preserve">”, </w:t>
      </w:r>
      <w:r>
        <w:rPr>
          <w:rFonts w:ascii="Palatino Linotype" w:hAnsi="Palatino Linotype" w:cs="Arial"/>
        </w:rPr>
        <w:t xml:space="preserve">mismo que no se reproduce por ser del conocimiento de las partes, sin embargo, será materia de estudio en el considerando respectivo. </w:t>
      </w:r>
    </w:p>
    <w:p w14:paraId="48A673F9" w14:textId="77777777" w:rsidR="006A2889" w:rsidRDefault="006A2889" w:rsidP="006A2889">
      <w:pPr>
        <w:spacing w:before="240" w:line="360" w:lineRule="auto"/>
        <w:jc w:val="both"/>
        <w:rPr>
          <w:rFonts w:ascii="Palatino Linotype" w:hAnsi="Palatino Linotype" w:cs="Arial"/>
          <w:b/>
          <w:sz w:val="28"/>
        </w:rPr>
      </w:pPr>
    </w:p>
    <w:p w14:paraId="34BBE023" w14:textId="77777777" w:rsidR="006A2889" w:rsidRPr="002C3EC8" w:rsidRDefault="006A2889" w:rsidP="006A2889">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26927FE6" w14:textId="1825160F" w:rsidR="006A2889" w:rsidRDefault="006A2889" w:rsidP="006A2889">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4C4A50">
        <w:rPr>
          <w:rFonts w:ascii="Palatino Linotype" w:hAnsi="Palatino Linotype" w:cs="Arial"/>
          <w:b/>
        </w:rPr>
        <w:t>veinticinco</w:t>
      </w:r>
      <w:r>
        <w:rPr>
          <w:rFonts w:ascii="Palatino Linotype" w:hAnsi="Palatino Linotype" w:cs="Arial"/>
          <w:b/>
        </w:rPr>
        <w:t xml:space="preserve"> de septiembre de dos mil </w:t>
      </w:r>
      <w:r>
        <w:rPr>
          <w:rFonts w:ascii="Palatino Linotype" w:hAnsi="Palatino Linotype" w:cs="Arial"/>
          <w:b/>
        </w:rPr>
        <w:lastRenderedPageBreak/>
        <w:t>veinticuatro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sidR="00C22A75" w:rsidRPr="00C22A75">
        <w:rPr>
          <w:rFonts w:ascii="Palatino Linotype" w:hAnsi="Palatino Linotype" w:cs="Arial"/>
          <w:b/>
          <w:bCs/>
        </w:rPr>
        <w:t>0</w:t>
      </w:r>
      <w:r>
        <w:rPr>
          <w:rFonts w:ascii="Palatino Linotype" w:hAnsi="Palatino Linotype" w:cs="Arial"/>
          <w:b/>
        </w:rPr>
        <w:t>5860/INFOEM/IP/RR/2024</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14:paraId="5D416495" w14:textId="77777777" w:rsidR="006A2889" w:rsidRDefault="006A2889" w:rsidP="006A2889">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14:paraId="30BC93A7" w14:textId="77777777" w:rsidR="006A2889" w:rsidRPr="007E4713" w:rsidRDefault="006A2889" w:rsidP="006A2889">
      <w:pPr>
        <w:pStyle w:val="INFOEM"/>
      </w:pPr>
      <w:r w:rsidRPr="007E4713">
        <w:t>“</w:t>
      </w:r>
      <w:r w:rsidR="004C4A50" w:rsidRPr="004C4A50">
        <w:t>Nómina del mes de agosto de 2024 de la administración, nombres, puestos y sueldos de personal administrativo y de elección popular, junto con información del Sistema DIF Municipal.</w:t>
      </w:r>
      <w:r>
        <w:t>” (</w:t>
      </w:r>
      <w:proofErr w:type="gramStart"/>
      <w:r>
        <w:t>sic</w:t>
      </w:r>
      <w:proofErr w:type="gramEnd"/>
      <w:r>
        <w:t>)</w:t>
      </w:r>
    </w:p>
    <w:p w14:paraId="4D793A3F" w14:textId="77777777" w:rsidR="006A2889" w:rsidRPr="0033050B" w:rsidRDefault="006A2889" w:rsidP="006A2889">
      <w:pPr>
        <w:pStyle w:val="Prrafodelista"/>
        <w:numPr>
          <w:ilvl w:val="0"/>
          <w:numId w:val="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3EBC4ECA" w14:textId="77777777" w:rsidR="006A2889" w:rsidRPr="009068C9" w:rsidRDefault="006A2889" w:rsidP="006A2889">
      <w:pPr>
        <w:pStyle w:val="INFOEM"/>
      </w:pPr>
      <w:r>
        <w:t>“</w:t>
      </w:r>
      <w:r w:rsidR="004C4A50" w:rsidRPr="004C4A50">
        <w:t>Aducen falta de capacidad técnica, administrativa y humana lo cual es inconcebible puesto que se cuentan con recursos tecnológicos propios para realizar las actividades correspondientes. Con esto se deja entrever su poca voluntad para ser un ayuntamiento transparente puesto que esta información debe de obrar en la plataforma de transparencia</w:t>
      </w:r>
      <w:r>
        <w:t>” (sic)</w:t>
      </w:r>
    </w:p>
    <w:p w14:paraId="5927754C" w14:textId="77777777" w:rsidR="006A2889" w:rsidRDefault="006A2889" w:rsidP="006A2889">
      <w:pPr>
        <w:spacing w:line="360" w:lineRule="auto"/>
        <w:jc w:val="both"/>
        <w:rPr>
          <w:rFonts w:ascii="Palatino Linotype" w:hAnsi="Palatino Linotype" w:cs="Arial"/>
        </w:rPr>
      </w:pPr>
    </w:p>
    <w:p w14:paraId="59CBBD40" w14:textId="77777777" w:rsidR="006A2889" w:rsidRPr="002C3EC8" w:rsidRDefault="006A2889" w:rsidP="006A2889">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78281584" w14:textId="77777777" w:rsidR="006A2889" w:rsidRDefault="006A2889" w:rsidP="006A2889">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4C4A50">
        <w:rPr>
          <w:rFonts w:ascii="Palatino Linotype" w:hAnsi="Palatino Linotype"/>
          <w:b/>
        </w:rPr>
        <w:t>dos de octubre</w:t>
      </w:r>
      <w:r>
        <w:rPr>
          <w:rFonts w:ascii="Palatino Linotype" w:hAnsi="Palatino Linotype"/>
          <w:b/>
        </w:rPr>
        <w:t xml:space="preserve"> de dos mil veinticuatro</w:t>
      </w:r>
      <w:r w:rsidRPr="002C3EC8">
        <w:rPr>
          <w:rFonts w:ascii="Palatino Linotype" w:hAnsi="Palatino Linotype"/>
        </w:rPr>
        <w:t>, determinándose en ellos, un plazo de siete días para que las partes manifestaran lo que a su derecho corresponda en términos del numeral ya citado.</w:t>
      </w:r>
    </w:p>
    <w:p w14:paraId="34CE5DEB" w14:textId="77777777" w:rsidR="006A2889" w:rsidRPr="004C20B7" w:rsidRDefault="006A2889" w:rsidP="006A2889">
      <w:pPr>
        <w:spacing w:before="240" w:line="360" w:lineRule="auto"/>
        <w:jc w:val="both"/>
        <w:rPr>
          <w:rFonts w:ascii="Palatino Linotype" w:hAnsi="Palatino Linotype" w:cs="Arial"/>
          <w:sz w:val="28"/>
        </w:rPr>
      </w:pPr>
    </w:p>
    <w:p w14:paraId="6BF5C8AD" w14:textId="77777777" w:rsidR="006A2889" w:rsidRPr="00E52C83" w:rsidRDefault="006A2889" w:rsidP="006A2889">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4F20798D" w14:textId="77777777" w:rsidR="006A2889" w:rsidRDefault="006A2889" w:rsidP="006A2889">
      <w:pPr>
        <w:spacing w:line="360" w:lineRule="auto"/>
        <w:jc w:val="both"/>
        <w:rPr>
          <w:rFonts w:ascii="Palatino Linotype" w:hAnsi="Palatino Linotype"/>
        </w:rPr>
      </w:pPr>
      <w:r w:rsidRPr="00DD2E32">
        <w:rPr>
          <w:rFonts w:ascii="Palatino Linotype" w:hAnsi="Palatino Linotype" w:cs="Arial"/>
        </w:rPr>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w:t>
      </w:r>
      <w:r>
        <w:rPr>
          <w:rFonts w:ascii="Palatino Linotype" w:hAnsi="Palatino Linotype" w:cs="Arial"/>
        </w:rPr>
        <w:t xml:space="preserve">fue omiso al rendir su informe justificado. </w:t>
      </w:r>
      <w:r w:rsidRPr="0006745F">
        <w:rPr>
          <w:rFonts w:ascii="Palatino Linotype" w:hAnsi="Palatino Linotype" w:cs="Arial"/>
        </w:rPr>
        <w:t>De igual manera, se advierte que el Recurrente</w:t>
      </w:r>
      <w:r w:rsidRPr="0006745F">
        <w:rPr>
          <w:rFonts w:ascii="Palatino Linotype" w:hAnsi="Palatino Linotype" w:cs="Arial"/>
          <w:b/>
        </w:rPr>
        <w:t>,</w:t>
      </w:r>
      <w:r w:rsidRPr="0006745F">
        <w:rPr>
          <w:rFonts w:ascii="Palatino Linotype" w:hAnsi="Palatino Linotype" w:cs="Arial"/>
        </w:rPr>
        <w:t xml:space="preserve"> omitió rendir dentro del término de Ley, las manifestaciones que a sus intereses conviniera.</w:t>
      </w:r>
    </w:p>
    <w:p w14:paraId="2BE3F4DC" w14:textId="77777777" w:rsidR="006A2889" w:rsidRDefault="006A2889" w:rsidP="006A2889">
      <w:pPr>
        <w:spacing w:line="360" w:lineRule="auto"/>
        <w:jc w:val="both"/>
        <w:rPr>
          <w:rFonts w:ascii="Palatino Linotype" w:hAnsi="Palatino Linotype" w:cs="Arial"/>
          <w:b/>
          <w:sz w:val="28"/>
          <w:szCs w:val="28"/>
        </w:rPr>
      </w:pPr>
    </w:p>
    <w:p w14:paraId="63355F35" w14:textId="77777777" w:rsidR="006A2889" w:rsidRPr="002C3EC8" w:rsidRDefault="006A2889" w:rsidP="006A2889">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14:paraId="11925271" w14:textId="77777777" w:rsidR="006A2889" w:rsidRDefault="006A2889" w:rsidP="006A2889">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4C4A50">
        <w:rPr>
          <w:rFonts w:ascii="Palatino Linotype" w:hAnsi="Palatino Linotype" w:cs="Arial"/>
          <w:b/>
        </w:rPr>
        <w:t>veintiuno de octubre</w:t>
      </w:r>
      <w:r>
        <w:rPr>
          <w:rFonts w:ascii="Palatino Linotype" w:hAnsi="Palatino Linotype" w:cs="Arial"/>
          <w:b/>
        </w:rPr>
        <w:t xml:space="preserve"> de dos mil veinticuatro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357178E4" w14:textId="77777777" w:rsidR="006A2889" w:rsidRDefault="006A2889" w:rsidP="006A2889">
      <w:pPr>
        <w:spacing w:line="360" w:lineRule="auto"/>
        <w:jc w:val="both"/>
        <w:rPr>
          <w:rFonts w:ascii="Palatino Linotype" w:hAnsi="Palatino Linotype" w:cs="Arial"/>
          <w:b/>
          <w:sz w:val="28"/>
          <w:szCs w:val="28"/>
        </w:rPr>
      </w:pPr>
    </w:p>
    <w:p w14:paraId="5D379360" w14:textId="77777777" w:rsidR="006A2889" w:rsidRPr="0024200F" w:rsidRDefault="006A2889" w:rsidP="006A2889">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381DADD5" w14:textId="77777777" w:rsidR="006A2889" w:rsidRPr="00825F67" w:rsidRDefault="006A2889" w:rsidP="006A2889">
      <w:pPr>
        <w:spacing w:line="360" w:lineRule="auto"/>
        <w:ind w:right="49"/>
        <w:jc w:val="both"/>
        <w:rPr>
          <w:rFonts w:ascii="Palatino Linotype" w:hAnsi="Palatino Linotype"/>
          <w:szCs w:val="28"/>
        </w:rPr>
      </w:pPr>
    </w:p>
    <w:p w14:paraId="65A283B1" w14:textId="77777777" w:rsidR="006A2889" w:rsidRPr="002C3EC8" w:rsidRDefault="006A2889" w:rsidP="006A2889">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26A309CC" w14:textId="77777777" w:rsidR="006A2889" w:rsidRPr="007C6AB6" w:rsidRDefault="006A2889" w:rsidP="006A2889">
      <w:pPr>
        <w:tabs>
          <w:tab w:val="left" w:pos="3402"/>
        </w:tabs>
        <w:spacing w:line="360" w:lineRule="auto"/>
        <w:jc w:val="both"/>
        <w:rPr>
          <w:rFonts w:ascii="Palatino Linotype" w:hAnsi="Palatino Linotype"/>
        </w:rPr>
      </w:pPr>
      <w:r w:rsidRPr="007C6AB6">
        <w:rPr>
          <w:rFonts w:ascii="Palatino Linotype" w:hAnsi="Palatino Linotype"/>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w:t>
      </w:r>
      <w:r w:rsidRPr="007C6AB6">
        <w:rPr>
          <w:rFonts w:ascii="Palatino Linotype" w:hAnsi="Palatino Linotype"/>
        </w:rPr>
        <w:lastRenderedPageBreak/>
        <w:t>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7BBB18C" w14:textId="77777777" w:rsidR="006A2889" w:rsidRPr="002C3EC8" w:rsidRDefault="006A2889" w:rsidP="006A2889">
      <w:pPr>
        <w:spacing w:before="240" w:line="360" w:lineRule="auto"/>
        <w:jc w:val="both"/>
        <w:rPr>
          <w:rFonts w:ascii="Palatino Linotype" w:eastAsia="Calibri" w:hAnsi="Palatino Linotype"/>
          <w:b/>
          <w:color w:val="000000" w:themeColor="text1"/>
        </w:rPr>
      </w:pPr>
    </w:p>
    <w:p w14:paraId="56972AEA" w14:textId="77777777" w:rsidR="006A2889" w:rsidRPr="002C3EC8" w:rsidRDefault="006A2889" w:rsidP="006A2889">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005631CC" w14:textId="77777777" w:rsidR="006A2889" w:rsidRDefault="006A2889" w:rsidP="006A2889">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5C109F9" w14:textId="77777777" w:rsidR="004C4A50" w:rsidRDefault="004C4A50" w:rsidP="006A2889">
      <w:pPr>
        <w:pStyle w:val="Prrafodelista"/>
        <w:autoSpaceDE w:val="0"/>
        <w:autoSpaceDN w:val="0"/>
        <w:adjustRightInd w:val="0"/>
        <w:spacing w:before="240" w:after="160" w:line="360" w:lineRule="auto"/>
        <w:ind w:left="0"/>
        <w:jc w:val="both"/>
        <w:rPr>
          <w:rFonts w:ascii="Palatino Linotype" w:hAnsi="Palatino Linotype" w:cs="Arial"/>
          <w:b/>
          <w:sz w:val="28"/>
        </w:rPr>
      </w:pPr>
    </w:p>
    <w:p w14:paraId="59A84509" w14:textId="77777777" w:rsidR="006A2889" w:rsidRPr="002C3EC8" w:rsidRDefault="006A2889" w:rsidP="006A2889">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276D5F98" w14:textId="77777777" w:rsidR="006A2889" w:rsidRPr="002C3EC8" w:rsidRDefault="006A2889" w:rsidP="006A2889">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procedibilidad, los cuales deben estudiarse </w:t>
      </w:r>
      <w:r w:rsidRPr="002C3EC8">
        <w:rPr>
          <w:rFonts w:ascii="Palatino Linotype" w:hAnsi="Palatino Linotype" w:cs="Arial"/>
        </w:rPr>
        <w:lastRenderedPageBreak/>
        <w:t>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9F91E71" w14:textId="77777777" w:rsidR="006A2889" w:rsidRPr="002C3EC8" w:rsidRDefault="006A2889" w:rsidP="006A2889">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1DA0E9DB" w14:textId="77777777" w:rsidR="006A2889" w:rsidRPr="002C3EC8" w:rsidRDefault="006A2889" w:rsidP="006A2889">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lastRenderedPageBreak/>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413828B0" w14:textId="77777777" w:rsidR="006A2889" w:rsidRPr="007379EE" w:rsidRDefault="006A2889" w:rsidP="006A288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27DAF45" w14:textId="77777777" w:rsidR="006A2889" w:rsidRDefault="006A2889" w:rsidP="006A2889">
      <w:pPr>
        <w:autoSpaceDE w:val="0"/>
        <w:autoSpaceDN w:val="0"/>
        <w:adjustRightInd w:val="0"/>
        <w:ind w:left="567" w:right="567"/>
        <w:jc w:val="right"/>
        <w:rPr>
          <w:rFonts w:ascii="Palatino Linotype" w:eastAsia="Calibri" w:hAnsi="Palatino Linotype" w:cs="Arial"/>
        </w:rPr>
      </w:pPr>
    </w:p>
    <w:p w14:paraId="4AB9C0E8" w14:textId="77777777" w:rsidR="006A2889" w:rsidRDefault="006A2889" w:rsidP="006A2889">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14:paraId="532A7220" w14:textId="77777777" w:rsidR="00954A6A" w:rsidRPr="00954A6A" w:rsidRDefault="00954A6A" w:rsidP="00954A6A">
      <w:pPr>
        <w:pStyle w:val="Prrafodelista"/>
        <w:numPr>
          <w:ilvl w:val="0"/>
          <w:numId w:val="3"/>
        </w:numPr>
        <w:tabs>
          <w:tab w:val="left" w:pos="1828"/>
        </w:tabs>
        <w:spacing w:line="360" w:lineRule="auto"/>
        <w:jc w:val="both"/>
        <w:rPr>
          <w:rFonts w:ascii="Palatino Linotype" w:hAnsi="Palatino Linotype" w:cs="Tahoma"/>
          <w:bCs/>
        </w:rPr>
      </w:pPr>
      <w:r w:rsidRPr="00954A6A">
        <w:rPr>
          <w:rFonts w:ascii="Palatino Linotype" w:hAnsi="Palatino Linotype" w:cs="Tahoma"/>
          <w:bCs/>
        </w:rPr>
        <w:t xml:space="preserve">Nómina del mes de agosto de 2024 de la administración, </w:t>
      </w:r>
      <w:r>
        <w:rPr>
          <w:rFonts w:ascii="Palatino Linotype" w:hAnsi="Palatino Linotype" w:cs="Tahoma"/>
          <w:bCs/>
        </w:rPr>
        <w:t xml:space="preserve">con </w:t>
      </w:r>
      <w:r w:rsidRPr="00954A6A">
        <w:rPr>
          <w:rFonts w:ascii="Palatino Linotype" w:hAnsi="Palatino Linotype" w:cs="Tahoma"/>
          <w:bCs/>
        </w:rPr>
        <w:t>nombres, puestos y sueldos de personal administrativo y de elección popular, junto con información del Sistema DIF Municipal</w:t>
      </w:r>
      <w:r w:rsidR="006A2889" w:rsidRPr="00BE61FC">
        <w:rPr>
          <w:rFonts w:ascii="Palatino Linotype" w:hAnsi="Palatino Linotype" w:cs="Tahoma"/>
          <w:bCs/>
        </w:rPr>
        <w:t xml:space="preserve">. </w:t>
      </w:r>
    </w:p>
    <w:p w14:paraId="1E691A68" w14:textId="77777777" w:rsidR="006A2889" w:rsidRPr="001106D5" w:rsidRDefault="006A2889" w:rsidP="006A2889">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sidR="004C4A50">
        <w:rPr>
          <w:rFonts w:ascii="Palatino Linotype" w:hAnsi="Palatino Linotype" w:cs="Arial"/>
          <w:b/>
        </w:rPr>
        <w:t>00057/NEXTLAL/IP/2024</w:t>
      </w:r>
      <w:r w:rsidRPr="001106D5">
        <w:rPr>
          <w:rFonts w:ascii="Palatino Linotype" w:hAnsi="Palatino Linotype" w:cs="Arial"/>
          <w:b/>
        </w:rPr>
        <w:t xml:space="preserve">; </w:t>
      </w:r>
      <w:r>
        <w:rPr>
          <w:rFonts w:ascii="Palatino Linotype" w:hAnsi="Palatino Linotype" w:cs="Arial"/>
        </w:rPr>
        <w:t>a través de los archivos electrónicos</w:t>
      </w:r>
      <w:r w:rsidRPr="001106D5">
        <w:rPr>
          <w:rFonts w:ascii="Palatino Linotype" w:hAnsi="Palatino Linotype" w:cs="Arial"/>
          <w:b/>
        </w:rPr>
        <w:t>:</w:t>
      </w:r>
    </w:p>
    <w:p w14:paraId="4126C705" w14:textId="77777777" w:rsidR="00954A6A" w:rsidRPr="00954A6A" w:rsidRDefault="00954A6A" w:rsidP="00954A6A">
      <w:pPr>
        <w:pStyle w:val="Sinespaciado"/>
        <w:numPr>
          <w:ilvl w:val="0"/>
          <w:numId w:val="1"/>
        </w:numPr>
        <w:spacing w:before="240" w:line="360" w:lineRule="auto"/>
        <w:jc w:val="both"/>
        <w:rPr>
          <w:rFonts w:ascii="Palatino Linotype" w:hAnsi="Palatino Linotype" w:cs="Arial"/>
          <w:b/>
          <w:i/>
          <w:sz w:val="24"/>
        </w:rPr>
      </w:pPr>
      <w:r w:rsidRPr="00954A6A">
        <w:rPr>
          <w:rFonts w:ascii="Palatino Linotype" w:hAnsi="Palatino Linotype" w:cs="Arial"/>
          <w:b/>
          <w:i/>
          <w:sz w:val="24"/>
        </w:rPr>
        <w:t>RESPUESTA-SOLICITUD-00057-2024.pdf</w:t>
      </w:r>
      <w:r w:rsidR="006A2889">
        <w:rPr>
          <w:rFonts w:ascii="Palatino Linotype" w:hAnsi="Palatino Linotype" w:cs="Arial"/>
          <w:b/>
          <w:i/>
          <w:sz w:val="24"/>
        </w:rPr>
        <w:t xml:space="preserve">: </w:t>
      </w:r>
      <w:r w:rsidR="006A2889">
        <w:rPr>
          <w:rFonts w:ascii="Palatino Linotype" w:hAnsi="Palatino Linotype" w:cs="Arial"/>
          <w:sz w:val="24"/>
        </w:rPr>
        <w:t xml:space="preserve">constante de </w:t>
      </w:r>
      <w:r>
        <w:rPr>
          <w:rFonts w:ascii="Palatino Linotype" w:hAnsi="Palatino Linotype" w:cs="Arial"/>
          <w:sz w:val="24"/>
        </w:rPr>
        <w:t>tres</w:t>
      </w:r>
      <w:r w:rsidR="006A2889">
        <w:rPr>
          <w:rFonts w:ascii="Palatino Linotype" w:hAnsi="Palatino Linotype" w:cs="Arial"/>
          <w:sz w:val="24"/>
        </w:rPr>
        <w:t xml:space="preserve"> foja</w:t>
      </w:r>
      <w:r>
        <w:rPr>
          <w:rFonts w:ascii="Palatino Linotype" w:hAnsi="Palatino Linotype" w:cs="Arial"/>
          <w:sz w:val="24"/>
        </w:rPr>
        <w:t xml:space="preserve">s, en formato </w:t>
      </w:r>
      <w:proofErr w:type="spellStart"/>
      <w:r>
        <w:rPr>
          <w:rFonts w:ascii="Palatino Linotype" w:hAnsi="Palatino Linotype" w:cs="Arial"/>
          <w:sz w:val="24"/>
        </w:rPr>
        <w:t>pdf</w:t>
      </w:r>
      <w:proofErr w:type="spellEnd"/>
      <w:r>
        <w:rPr>
          <w:rFonts w:ascii="Palatino Linotype" w:hAnsi="Palatino Linotype" w:cs="Arial"/>
          <w:sz w:val="24"/>
        </w:rPr>
        <w:t xml:space="preserve">, contiene </w:t>
      </w:r>
      <w:r w:rsidR="006A2889">
        <w:rPr>
          <w:rFonts w:ascii="Palatino Linotype" w:hAnsi="Palatino Linotype" w:cs="Arial"/>
          <w:sz w:val="24"/>
        </w:rPr>
        <w:t>l</w:t>
      </w:r>
      <w:r>
        <w:rPr>
          <w:rFonts w:ascii="Palatino Linotype" w:hAnsi="Palatino Linotype" w:cs="Arial"/>
          <w:sz w:val="24"/>
        </w:rPr>
        <w:t>os</w:t>
      </w:r>
      <w:r w:rsidR="006A2889">
        <w:rPr>
          <w:rFonts w:ascii="Palatino Linotype" w:hAnsi="Palatino Linotype" w:cs="Arial"/>
          <w:sz w:val="24"/>
        </w:rPr>
        <w:t xml:space="preserve"> oficio</w:t>
      </w:r>
      <w:r>
        <w:rPr>
          <w:rFonts w:ascii="Palatino Linotype" w:hAnsi="Palatino Linotype" w:cs="Arial"/>
          <w:sz w:val="24"/>
        </w:rPr>
        <w:t>s</w:t>
      </w:r>
      <w:r w:rsidR="006A2889">
        <w:rPr>
          <w:rFonts w:ascii="Palatino Linotype" w:hAnsi="Palatino Linotype" w:cs="Arial"/>
          <w:sz w:val="24"/>
        </w:rPr>
        <w:t xml:space="preserve"> número</w:t>
      </w:r>
      <w:r>
        <w:rPr>
          <w:rFonts w:ascii="Palatino Linotype" w:hAnsi="Palatino Linotype" w:cs="Arial"/>
          <w:sz w:val="24"/>
        </w:rPr>
        <w:t>s:</w:t>
      </w:r>
    </w:p>
    <w:p w14:paraId="07ADF059" w14:textId="77777777" w:rsidR="006A2889" w:rsidRPr="00954A6A" w:rsidRDefault="006A2889" w:rsidP="00954A6A">
      <w:pPr>
        <w:pStyle w:val="Sinespaciado"/>
        <w:numPr>
          <w:ilvl w:val="0"/>
          <w:numId w:val="8"/>
        </w:numPr>
        <w:spacing w:before="240" w:line="360" w:lineRule="auto"/>
        <w:jc w:val="both"/>
        <w:rPr>
          <w:rFonts w:ascii="Palatino Linotype" w:hAnsi="Palatino Linotype" w:cs="Arial"/>
          <w:b/>
          <w:i/>
          <w:sz w:val="24"/>
        </w:rPr>
      </w:pPr>
      <w:r>
        <w:rPr>
          <w:rFonts w:ascii="Palatino Linotype" w:hAnsi="Palatino Linotype" w:cs="Arial"/>
          <w:sz w:val="24"/>
        </w:rPr>
        <w:t xml:space="preserve"> </w:t>
      </w:r>
      <w:r w:rsidR="00954A6A">
        <w:rPr>
          <w:rFonts w:ascii="Palatino Linotype" w:hAnsi="Palatino Linotype" w:cs="Arial"/>
          <w:sz w:val="24"/>
        </w:rPr>
        <w:t>NEXUTAIP/106</w:t>
      </w:r>
      <w:r>
        <w:rPr>
          <w:rFonts w:ascii="Palatino Linotype" w:hAnsi="Palatino Linotype" w:cs="Arial"/>
          <w:sz w:val="24"/>
        </w:rPr>
        <w:t xml:space="preserve">/2024, de fecha </w:t>
      </w:r>
      <w:r w:rsidR="00954A6A">
        <w:rPr>
          <w:rFonts w:ascii="Palatino Linotype" w:hAnsi="Palatino Linotype" w:cs="Arial"/>
          <w:sz w:val="24"/>
        </w:rPr>
        <w:t>veinticinco</w:t>
      </w:r>
      <w:r>
        <w:rPr>
          <w:rFonts w:ascii="Palatino Linotype" w:hAnsi="Palatino Linotype" w:cs="Arial"/>
          <w:sz w:val="24"/>
        </w:rPr>
        <w:t xml:space="preserve"> de septiembre de dos mil veinticuatro, firmado por el </w:t>
      </w:r>
      <w:r w:rsidR="00954A6A">
        <w:rPr>
          <w:rFonts w:ascii="Palatino Linotype" w:hAnsi="Palatino Linotype" w:cs="Arial"/>
          <w:sz w:val="24"/>
        </w:rPr>
        <w:t>Titular de la Unidad de Transparencia</w:t>
      </w:r>
      <w:r>
        <w:rPr>
          <w:rFonts w:ascii="Palatino Linotype" w:hAnsi="Palatino Linotype" w:cs="Arial"/>
          <w:sz w:val="24"/>
        </w:rPr>
        <w:t xml:space="preserve">, </w:t>
      </w:r>
      <w:r w:rsidR="00954A6A">
        <w:rPr>
          <w:rFonts w:ascii="Palatino Linotype" w:hAnsi="Palatino Linotype" w:cs="Arial"/>
          <w:sz w:val="24"/>
        </w:rPr>
        <w:t>en el que sustancialmente remite respuesta por medio de los oficios siguientes.</w:t>
      </w:r>
    </w:p>
    <w:p w14:paraId="36EA3E87" w14:textId="77777777" w:rsidR="00954A6A" w:rsidRPr="00A2631F" w:rsidRDefault="00954A6A" w:rsidP="00954A6A">
      <w:pPr>
        <w:pStyle w:val="Sinespaciado"/>
        <w:numPr>
          <w:ilvl w:val="0"/>
          <w:numId w:val="8"/>
        </w:numPr>
        <w:spacing w:before="240" w:line="360" w:lineRule="auto"/>
        <w:jc w:val="both"/>
        <w:rPr>
          <w:rFonts w:ascii="Palatino Linotype" w:hAnsi="Palatino Linotype" w:cs="Arial"/>
          <w:b/>
          <w:i/>
          <w:sz w:val="24"/>
        </w:rPr>
      </w:pPr>
      <w:r>
        <w:rPr>
          <w:rFonts w:ascii="Palatino Linotype" w:hAnsi="Palatino Linotype" w:cs="Arial"/>
          <w:sz w:val="24"/>
        </w:rPr>
        <w:lastRenderedPageBreak/>
        <w:t>ADM/064/2024, de fecha veinticinco de septiembre de dos mil veinticuatro, firmado por el Director de Administración, en el que refiere siguiente:</w:t>
      </w:r>
    </w:p>
    <w:p w14:paraId="536DA3B9" w14:textId="77777777" w:rsidR="006A2889" w:rsidRDefault="006A2889" w:rsidP="006A2889">
      <w:pPr>
        <w:pStyle w:val="INFOEM"/>
      </w:pPr>
      <w:r>
        <w:t>“(…)</w:t>
      </w:r>
    </w:p>
    <w:p w14:paraId="302ED284" w14:textId="77777777" w:rsidR="006A2889" w:rsidRDefault="00954A6A" w:rsidP="006A2889">
      <w:pPr>
        <w:pStyle w:val="INFOEM"/>
      </w:pPr>
      <w:r>
        <w:t xml:space="preserve">Con fundamento al </w:t>
      </w:r>
      <w:proofErr w:type="spellStart"/>
      <w:r>
        <w:t>articulo</w:t>
      </w:r>
      <w:proofErr w:type="spellEnd"/>
      <w:r>
        <w:t xml:space="preserve"> 158 de la ley de transparencia y acceso a la información pública del estado de México y municipios, me permito informarle, se pone para su disposición para su </w:t>
      </w:r>
      <w:r>
        <w:rPr>
          <w:b/>
        </w:rPr>
        <w:t xml:space="preserve">CONSULTA DIRECTA, </w:t>
      </w:r>
      <w:r>
        <w:t xml:space="preserve">la información solicitada implica el </w:t>
      </w:r>
      <w:r>
        <w:rPr>
          <w:b/>
        </w:rPr>
        <w:t xml:space="preserve">procesamiento de documentos, </w:t>
      </w:r>
      <w:r>
        <w:t xml:space="preserve">cuya entrega o reproducción </w:t>
      </w:r>
      <w:r>
        <w:rPr>
          <w:b/>
        </w:rPr>
        <w:t xml:space="preserve">sobrepasa las capacidades técnicas, administrativas y humanas del sujeto obligado, </w:t>
      </w:r>
      <w:r>
        <w:t xml:space="preserve">así mismo se pone a su disposición los </w:t>
      </w:r>
      <w:r w:rsidR="00000C71">
        <w:t>documento</w:t>
      </w:r>
      <w:r>
        <w:t xml:space="preserve"> para consulta, dentro de las oficinas que ocupa la Dirección de Admini</w:t>
      </w:r>
      <w:r w:rsidR="00000C71">
        <w:t xml:space="preserve">stración Municipal, ubicada en </w:t>
      </w:r>
      <w:r>
        <w:t xml:space="preserve">av. </w:t>
      </w:r>
      <w:r w:rsidR="00000C71">
        <w:t>Juárez</w:t>
      </w:r>
      <w:r>
        <w:t xml:space="preserve"> esquina con av. Ayuntamiento Municipio de Nextlalpan Estado de México, de lunes a viernes en un horario de 16:00 a 18:00 horas, con el servidor público C. Jessica Mirian Raya Chávez, toda vez que paso el </w:t>
      </w:r>
      <w:r w:rsidR="00000C71">
        <w:t xml:space="preserve">máximo de archivos sobre pasa a las capacidades técnicas del sistema para adjuntar como respuesta su solicitud de información, garantizando que el cuidado no tenga problemas en la descarga de información usando conexiones de internet convencionales, bajo parámetros de escaneo de resolución máxima de 150 </w:t>
      </w:r>
      <w:proofErr w:type="spellStart"/>
      <w:r w:rsidR="00000C71">
        <w:t>Dpi´s</w:t>
      </w:r>
      <w:proofErr w:type="spellEnd"/>
      <w:r w:rsidR="00000C71">
        <w:t>, escala de grises y formato “PDF” extraído directamente del escáner.</w:t>
      </w:r>
      <w:r w:rsidR="006A2889">
        <w:t xml:space="preserve">  </w:t>
      </w:r>
    </w:p>
    <w:p w14:paraId="0F4ED16C" w14:textId="77777777" w:rsidR="006A2889" w:rsidRPr="00A2631F" w:rsidRDefault="006A2889" w:rsidP="006A2889">
      <w:pPr>
        <w:pStyle w:val="INFOEM"/>
        <w:rPr>
          <w:rFonts w:cs="Arial"/>
          <w:b/>
          <w:sz w:val="24"/>
        </w:rPr>
      </w:pPr>
      <w:r>
        <w:t xml:space="preserve"> (…)” (Sic)</w:t>
      </w:r>
    </w:p>
    <w:p w14:paraId="5DC4C9F0" w14:textId="77777777" w:rsidR="00000C71" w:rsidRPr="00A2631F" w:rsidRDefault="00000C71" w:rsidP="00000C71">
      <w:pPr>
        <w:pStyle w:val="Sinespaciado"/>
        <w:numPr>
          <w:ilvl w:val="0"/>
          <w:numId w:val="8"/>
        </w:numPr>
        <w:spacing w:before="240" w:line="360" w:lineRule="auto"/>
        <w:jc w:val="both"/>
        <w:rPr>
          <w:rFonts w:ascii="Palatino Linotype" w:hAnsi="Palatino Linotype" w:cs="Arial"/>
          <w:b/>
          <w:i/>
          <w:sz w:val="24"/>
        </w:rPr>
      </w:pPr>
      <w:r>
        <w:rPr>
          <w:rFonts w:ascii="Palatino Linotype" w:hAnsi="Palatino Linotype" w:cs="Arial"/>
          <w:sz w:val="24"/>
        </w:rPr>
        <w:t>PRESDIFNEXT/1/2024, de fecha veinticinco de septiembre de dos mil veinticuatro, firmado por la Presidenta Honorifica del Sistema Municipal para el DIF, en el que refiere siguiente:</w:t>
      </w:r>
    </w:p>
    <w:p w14:paraId="6183F4BF" w14:textId="77777777" w:rsidR="00000C71" w:rsidRDefault="00000C71" w:rsidP="00000C71">
      <w:pPr>
        <w:pStyle w:val="INFOEM"/>
      </w:pPr>
      <w:r>
        <w:t>“(…)</w:t>
      </w:r>
    </w:p>
    <w:p w14:paraId="1E512732" w14:textId="77777777" w:rsidR="00000C71" w:rsidRDefault="00000C71" w:rsidP="00000C71">
      <w:pPr>
        <w:pStyle w:val="INFOEM"/>
      </w:pPr>
      <w:r>
        <w:lastRenderedPageBreak/>
        <w:t xml:space="preserve">Con fundamento en el artículo 158 de la Ley de Transparencia y acceso a la información pública del estado de México y Municipios, me permito informarle, se pone para su disposición para su </w:t>
      </w:r>
      <w:r>
        <w:rPr>
          <w:b/>
        </w:rPr>
        <w:t xml:space="preserve">CONSULTA DIRECTA, </w:t>
      </w:r>
      <w:r>
        <w:t xml:space="preserve">la información solicitada implica el </w:t>
      </w:r>
      <w:r>
        <w:rPr>
          <w:b/>
        </w:rPr>
        <w:t xml:space="preserve">procesamiento de documentos, </w:t>
      </w:r>
      <w:r>
        <w:t xml:space="preserve">cuya entrega o reproducción </w:t>
      </w:r>
      <w:r>
        <w:rPr>
          <w:b/>
        </w:rPr>
        <w:t xml:space="preserve">sobrepasa las capacidades técnicas, administrativas y humanas del sujeto obligado, </w:t>
      </w:r>
      <w:r>
        <w:t xml:space="preserve">así mismo se pone a su disposición los documento para consulta, dentro de las oficinas que ocupa la Dirección General del Sistema Municipal para el Desarrollo Integral de la Familia del Municipio de Nextlalpan de Felipe Sánchez Solís, Estado de México, ubicada en Av. Hombres Ilustres Oriente No. 728 Bo. San Francisco </w:t>
      </w:r>
      <w:proofErr w:type="spellStart"/>
      <w:r>
        <w:t>Molonco</w:t>
      </w:r>
      <w:proofErr w:type="spellEnd"/>
      <w:r>
        <w:t xml:space="preserve">, Municipio de </w:t>
      </w:r>
      <w:proofErr w:type="spellStart"/>
      <w:r>
        <w:t>Nextlalpan</w:t>
      </w:r>
      <w:proofErr w:type="spellEnd"/>
      <w:r>
        <w:t xml:space="preserve">, Estado de México, de lunes a viernes en un horario de 15:00 a 17:00 horas, con la servidor público C. Carolina Gómez Mondragón, toda vez que paso el máximo de archivos sobre pasa a las capacidades técnicas del sistema para adjuntar como respuesta su solicitud de información, garantizando que el cuidado no tenga problemas en la descarga de información usando conexiones de internet convencionales, bajo parámetros de escaneo de resolución máxima de 150 </w:t>
      </w:r>
      <w:proofErr w:type="spellStart"/>
      <w:r>
        <w:t>Dpi´s</w:t>
      </w:r>
      <w:proofErr w:type="spellEnd"/>
      <w:r>
        <w:t xml:space="preserve">, escala de grises y formato “PDF” extraído directamente del escáner.  </w:t>
      </w:r>
    </w:p>
    <w:p w14:paraId="2A595A8B" w14:textId="77777777" w:rsidR="00000C71" w:rsidRPr="00A2631F" w:rsidRDefault="00000C71" w:rsidP="00000C71">
      <w:pPr>
        <w:pStyle w:val="INFOEM"/>
        <w:rPr>
          <w:rFonts w:cs="Arial"/>
          <w:b/>
          <w:sz w:val="24"/>
        </w:rPr>
      </w:pPr>
      <w:r>
        <w:t xml:space="preserve"> (…)” (Sic)</w:t>
      </w:r>
    </w:p>
    <w:p w14:paraId="40F354DF" w14:textId="77777777" w:rsidR="006A2889" w:rsidRDefault="006A2889" w:rsidP="006A2889">
      <w:pPr>
        <w:spacing w:line="360" w:lineRule="auto"/>
        <w:jc w:val="both"/>
        <w:rPr>
          <w:rFonts w:ascii="Palatino Linotype" w:hAnsi="Palatino Linotype" w:cs="Arial"/>
          <w:bCs/>
        </w:rPr>
      </w:pPr>
    </w:p>
    <w:p w14:paraId="520BC8B3" w14:textId="77777777" w:rsidR="006A2889" w:rsidRDefault="006A2889" w:rsidP="006A2889">
      <w:pPr>
        <w:spacing w:line="360" w:lineRule="auto"/>
        <w:jc w:val="both"/>
        <w:rPr>
          <w:rFonts w:ascii="Palatino Linotype" w:hAnsi="Palatino Linotype"/>
          <w:i/>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000C71" w:rsidRPr="00000C71">
        <w:rPr>
          <w:rFonts w:ascii="Palatino Linotype" w:hAnsi="Palatino Linotype"/>
          <w:i/>
        </w:rPr>
        <w:t>Aducen falta de capacidad técnica, administrativa y humana lo cual es inconcebible puesto que se cuentan con recursos tecnológicos propios para realizar las actividades correspondientes. Con esto se deja entrever su poca voluntad para ser un ayuntamiento transparente puesto que esta información debe de obrar en la plataforma de transparencia</w:t>
      </w:r>
      <w:r>
        <w:rPr>
          <w:rFonts w:ascii="Palatino Linotype" w:hAnsi="Palatino Linotype"/>
          <w:i/>
        </w:rPr>
        <w:t>” (Sic).</w:t>
      </w:r>
    </w:p>
    <w:p w14:paraId="291F6521" w14:textId="77777777" w:rsidR="006A2889" w:rsidRPr="00000C71" w:rsidRDefault="006A2889" w:rsidP="006A2889">
      <w:pPr>
        <w:spacing w:line="360" w:lineRule="auto"/>
        <w:jc w:val="both"/>
        <w:rPr>
          <w:rFonts w:ascii="Palatino Linotype" w:hAnsi="Palatino Linotype"/>
        </w:rPr>
      </w:pPr>
    </w:p>
    <w:p w14:paraId="34775E42" w14:textId="77777777" w:rsidR="006A2889" w:rsidRPr="00177253" w:rsidRDefault="006A2889" w:rsidP="006A2889">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177253">
        <w:rPr>
          <w:rFonts w:ascii="Palatino Linotype" w:eastAsia="Calibri" w:hAnsi="Palatino Linotype" w:cs="Calibri"/>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6267D773" w14:textId="77777777" w:rsidR="006A2889" w:rsidRDefault="006A2889" w:rsidP="006A2889">
      <w:pPr>
        <w:spacing w:line="360" w:lineRule="auto"/>
        <w:jc w:val="both"/>
        <w:rPr>
          <w:rFonts w:ascii="Palatino Linotype" w:eastAsiaTheme="minorHAnsi" w:hAnsi="Palatino Linotype" w:cs="Arial"/>
          <w:lang w:val="es-MX" w:eastAsia="en-US"/>
        </w:rPr>
      </w:pPr>
    </w:p>
    <w:p w14:paraId="44C14FF0" w14:textId="77777777" w:rsidR="0045004E" w:rsidRPr="00CD51D5" w:rsidRDefault="0045004E" w:rsidP="0045004E">
      <w:pPr>
        <w:spacing w:line="360" w:lineRule="auto"/>
        <w:jc w:val="both"/>
        <w:rPr>
          <w:rFonts w:ascii="Palatino Linotype" w:eastAsiaTheme="minorHAnsi" w:hAnsi="Palatino Linotype" w:cs="Arial"/>
          <w:lang w:val="es-MX" w:eastAsia="en-US"/>
        </w:rPr>
      </w:pPr>
      <w:r w:rsidRPr="00CD51D5">
        <w:rPr>
          <w:rFonts w:ascii="Palatino Linotype" w:eastAsiaTheme="minorHAnsi" w:hAnsi="Palatino Linotype" w:cs="Arial"/>
          <w:lang w:val="es-MX" w:eastAsia="en-US"/>
        </w:rPr>
        <w:t>Derivado de lo anterior, resulta traer a colación al Bando Municipal de Nextlalpan, mismo que establece las áreas con las que cuenta el Sujeto Obligado, en los artículos:</w:t>
      </w:r>
    </w:p>
    <w:p w14:paraId="47247903" w14:textId="77777777" w:rsidR="0045004E" w:rsidRPr="00CD51D5" w:rsidRDefault="0045004E" w:rsidP="001749A6">
      <w:pPr>
        <w:pStyle w:val="INFOEM"/>
        <w:spacing w:before="0" w:after="0" w:line="276" w:lineRule="auto"/>
      </w:pPr>
      <w:r w:rsidRPr="00CD51D5">
        <w:t>Artículo 40.- Actualmente el Municipio cuenta con los siguientes Organismos Descentralizados:</w:t>
      </w:r>
    </w:p>
    <w:p w14:paraId="5D434539" w14:textId="77777777" w:rsidR="0045004E" w:rsidRPr="00CD51D5" w:rsidRDefault="0045004E" w:rsidP="001749A6">
      <w:pPr>
        <w:pStyle w:val="INFOEM"/>
        <w:spacing w:before="0" w:after="0" w:line="276" w:lineRule="auto"/>
      </w:pPr>
      <w:r w:rsidRPr="00CD51D5">
        <w:rPr>
          <w:b/>
        </w:rPr>
        <w:t>1. El Sistema Municipal para el Desarrollo Integral de la Familia (DIF</w:t>
      </w:r>
      <w:r w:rsidRPr="00CD51D5">
        <w:t>); y</w:t>
      </w:r>
    </w:p>
    <w:p w14:paraId="78C39370" w14:textId="77777777" w:rsidR="0045004E" w:rsidRPr="00CD51D5" w:rsidRDefault="0045004E" w:rsidP="001749A6">
      <w:pPr>
        <w:pStyle w:val="INFOEM"/>
        <w:spacing w:before="0" w:after="0" w:line="276" w:lineRule="auto"/>
      </w:pPr>
      <w:r w:rsidRPr="00CD51D5">
        <w:t>2. El Organismo de Agua Potable, Alcantarillado y Saneamiento de Nextlalpan (O.D.A.P.A.N.E.X.T).</w:t>
      </w:r>
    </w:p>
    <w:p w14:paraId="01FC39EF" w14:textId="77777777" w:rsidR="0045004E" w:rsidRPr="00CD51D5" w:rsidRDefault="0045004E" w:rsidP="001749A6">
      <w:pPr>
        <w:pStyle w:val="INFOEM"/>
        <w:spacing w:before="0" w:after="0" w:line="276" w:lineRule="auto"/>
      </w:pPr>
      <w:r w:rsidRPr="00CD51D5">
        <w:t>3. Instituto Municipal de Cultura Física y Deporte de Nextlalpan de F.S.S;</w:t>
      </w:r>
    </w:p>
    <w:p w14:paraId="44473E3F" w14:textId="77777777" w:rsidR="0045004E" w:rsidRPr="00CD51D5" w:rsidRDefault="0045004E" w:rsidP="001749A6">
      <w:pPr>
        <w:pStyle w:val="INFOEM"/>
        <w:spacing w:before="0" w:after="0" w:line="276" w:lineRule="auto"/>
      </w:pPr>
      <w:r w:rsidRPr="00CD51D5">
        <w:t>Artículo 42.- Para el ejercicio de sus atribuciones y responsabilidades ejecutivas, el Ayuntamiento se auxiliará de las siguientes Dependencias de la Administración Pública Municipal, mismas que están subordinadas a la Presidenta Municipal:</w:t>
      </w:r>
    </w:p>
    <w:p w14:paraId="7C2BC81C" w14:textId="77777777" w:rsidR="0045004E" w:rsidRPr="00CD51D5" w:rsidRDefault="0045004E" w:rsidP="001749A6">
      <w:pPr>
        <w:pStyle w:val="INFOEM"/>
        <w:numPr>
          <w:ilvl w:val="0"/>
          <w:numId w:val="9"/>
        </w:numPr>
        <w:spacing w:before="0" w:after="0" w:line="276" w:lineRule="auto"/>
        <w:rPr>
          <w:lang w:val="es-ES"/>
        </w:rPr>
      </w:pPr>
      <w:r w:rsidRPr="00CD51D5">
        <w:rPr>
          <w:lang w:val="es-ES"/>
        </w:rPr>
        <w:t xml:space="preserve">Secretaría del Ayuntamiento; </w:t>
      </w:r>
    </w:p>
    <w:p w14:paraId="36A8C71E" w14:textId="77777777" w:rsidR="0045004E" w:rsidRPr="00CD51D5" w:rsidRDefault="0045004E" w:rsidP="001749A6">
      <w:pPr>
        <w:pStyle w:val="INFOEM"/>
        <w:numPr>
          <w:ilvl w:val="0"/>
          <w:numId w:val="9"/>
        </w:numPr>
        <w:spacing w:before="0" w:after="0" w:line="276" w:lineRule="auto"/>
      </w:pPr>
      <w:r w:rsidRPr="00CD51D5">
        <w:rPr>
          <w:lang w:val="es-ES"/>
        </w:rPr>
        <w:t xml:space="preserve">Tesorería Municipal; </w:t>
      </w:r>
    </w:p>
    <w:p w14:paraId="03EBA7F0" w14:textId="77777777" w:rsidR="0045004E" w:rsidRPr="00CD51D5" w:rsidRDefault="0045004E" w:rsidP="001749A6">
      <w:pPr>
        <w:pStyle w:val="INFOEM"/>
        <w:numPr>
          <w:ilvl w:val="0"/>
          <w:numId w:val="9"/>
        </w:numPr>
        <w:spacing w:before="0" w:after="0" w:line="276" w:lineRule="auto"/>
      </w:pPr>
      <w:r w:rsidRPr="00CD51D5">
        <w:rPr>
          <w:lang w:val="es-ES"/>
        </w:rPr>
        <w:t xml:space="preserve">Contraloría Interna Municipal; </w:t>
      </w:r>
    </w:p>
    <w:p w14:paraId="02965418" w14:textId="77777777" w:rsidR="0045004E" w:rsidRPr="00CD51D5" w:rsidRDefault="0045004E" w:rsidP="001749A6">
      <w:pPr>
        <w:pStyle w:val="INFOEM"/>
        <w:numPr>
          <w:ilvl w:val="0"/>
          <w:numId w:val="9"/>
        </w:numPr>
        <w:spacing w:before="0" w:after="0" w:line="276" w:lineRule="auto"/>
      </w:pPr>
      <w:r w:rsidRPr="00CD51D5">
        <w:rPr>
          <w:lang w:val="es-ES"/>
        </w:rPr>
        <w:t xml:space="preserve">Secretaría Técnica; </w:t>
      </w:r>
    </w:p>
    <w:p w14:paraId="5C24CF25" w14:textId="77777777" w:rsidR="0045004E" w:rsidRPr="00CD51D5" w:rsidRDefault="0045004E" w:rsidP="001749A6">
      <w:pPr>
        <w:pStyle w:val="INFOEM"/>
        <w:numPr>
          <w:ilvl w:val="0"/>
          <w:numId w:val="9"/>
        </w:numPr>
        <w:spacing w:before="0" w:after="0" w:line="276" w:lineRule="auto"/>
      </w:pPr>
      <w:r w:rsidRPr="00CD51D5">
        <w:rPr>
          <w:lang w:val="es-ES"/>
        </w:rPr>
        <w:t xml:space="preserve">Direcciones de: </w:t>
      </w:r>
    </w:p>
    <w:p w14:paraId="0B2BA1A7" w14:textId="77777777" w:rsidR="0045004E" w:rsidRPr="00CD51D5" w:rsidRDefault="0045004E" w:rsidP="001749A6">
      <w:pPr>
        <w:pStyle w:val="INFOEM"/>
        <w:spacing w:before="0" w:after="0" w:line="276" w:lineRule="auto"/>
        <w:ind w:left="1571"/>
        <w:rPr>
          <w:lang w:val="es-ES"/>
        </w:rPr>
      </w:pPr>
      <w:r w:rsidRPr="00CD51D5">
        <w:rPr>
          <w:lang w:val="es-ES"/>
        </w:rPr>
        <w:t xml:space="preserve">a). Gobierno; </w:t>
      </w:r>
    </w:p>
    <w:p w14:paraId="23E53AAB" w14:textId="77777777" w:rsidR="0045004E" w:rsidRPr="00CD51D5" w:rsidRDefault="0045004E" w:rsidP="001749A6">
      <w:pPr>
        <w:pStyle w:val="INFOEM"/>
        <w:spacing w:before="0" w:after="0" w:line="276" w:lineRule="auto"/>
        <w:ind w:left="1571"/>
        <w:rPr>
          <w:lang w:val="es-ES"/>
        </w:rPr>
      </w:pPr>
      <w:r w:rsidRPr="00CD51D5">
        <w:rPr>
          <w:lang w:val="es-ES"/>
        </w:rPr>
        <w:t xml:space="preserve">b). Administración; </w:t>
      </w:r>
    </w:p>
    <w:p w14:paraId="2C087209" w14:textId="77777777" w:rsidR="0045004E" w:rsidRPr="00CD51D5" w:rsidRDefault="0045004E" w:rsidP="001749A6">
      <w:pPr>
        <w:pStyle w:val="INFOEM"/>
        <w:spacing w:before="0" w:after="0" w:line="276" w:lineRule="auto"/>
        <w:ind w:left="1571"/>
        <w:rPr>
          <w:lang w:val="es-ES"/>
        </w:rPr>
      </w:pPr>
      <w:proofErr w:type="gramStart"/>
      <w:r w:rsidRPr="00CD51D5">
        <w:rPr>
          <w:lang w:val="es-ES"/>
        </w:rPr>
        <w:t>c)</w:t>
      </w:r>
      <w:proofErr w:type="gramEnd"/>
      <w:r w:rsidRPr="00CD51D5">
        <w:rPr>
          <w:lang w:val="es-ES"/>
        </w:rPr>
        <w:t xml:space="preserve">. Jurídico; </w:t>
      </w:r>
    </w:p>
    <w:p w14:paraId="5B0B9AC9" w14:textId="77777777" w:rsidR="0045004E" w:rsidRPr="00CD51D5" w:rsidRDefault="0045004E" w:rsidP="001749A6">
      <w:pPr>
        <w:pStyle w:val="INFOEM"/>
        <w:spacing w:before="0" w:after="0" w:line="276" w:lineRule="auto"/>
        <w:ind w:left="1571"/>
        <w:rPr>
          <w:lang w:val="es-ES"/>
        </w:rPr>
      </w:pPr>
      <w:r w:rsidRPr="00CD51D5">
        <w:rPr>
          <w:lang w:val="es-ES"/>
        </w:rPr>
        <w:t xml:space="preserve">d). Obras Públicas; </w:t>
      </w:r>
    </w:p>
    <w:p w14:paraId="673DF0DA" w14:textId="77777777" w:rsidR="0045004E" w:rsidRPr="00CD51D5" w:rsidRDefault="0045004E" w:rsidP="001749A6">
      <w:pPr>
        <w:pStyle w:val="INFOEM"/>
        <w:spacing w:before="0" w:after="0" w:line="276" w:lineRule="auto"/>
        <w:ind w:left="1571"/>
        <w:rPr>
          <w:lang w:val="es-ES"/>
        </w:rPr>
      </w:pPr>
      <w:r w:rsidRPr="00CD51D5">
        <w:rPr>
          <w:lang w:val="es-ES"/>
        </w:rPr>
        <w:lastRenderedPageBreak/>
        <w:t xml:space="preserve">e). Desarrollo Urbano; </w:t>
      </w:r>
    </w:p>
    <w:p w14:paraId="4E4DC13F" w14:textId="77777777" w:rsidR="0045004E" w:rsidRPr="00CD51D5" w:rsidRDefault="0045004E" w:rsidP="001749A6">
      <w:pPr>
        <w:pStyle w:val="INFOEM"/>
        <w:spacing w:before="0" w:after="0" w:line="276" w:lineRule="auto"/>
        <w:ind w:left="1571"/>
        <w:rPr>
          <w:lang w:val="es-ES"/>
        </w:rPr>
      </w:pPr>
      <w:r w:rsidRPr="00CD51D5">
        <w:rPr>
          <w:lang w:val="es-ES"/>
        </w:rPr>
        <w:t xml:space="preserve">f). Protección Civil y Bomberos; </w:t>
      </w:r>
    </w:p>
    <w:p w14:paraId="17FB76DD" w14:textId="77777777" w:rsidR="0045004E" w:rsidRPr="00CD51D5" w:rsidRDefault="0045004E" w:rsidP="001749A6">
      <w:pPr>
        <w:pStyle w:val="INFOEM"/>
        <w:spacing w:before="0" w:after="0" w:line="276" w:lineRule="auto"/>
        <w:ind w:left="1571"/>
        <w:rPr>
          <w:lang w:val="es-ES"/>
        </w:rPr>
      </w:pPr>
      <w:r w:rsidRPr="00CD51D5">
        <w:rPr>
          <w:lang w:val="es-ES"/>
        </w:rPr>
        <w:t xml:space="preserve">g). Servicios Públicos; </w:t>
      </w:r>
    </w:p>
    <w:p w14:paraId="250BC21F" w14:textId="77777777" w:rsidR="0045004E" w:rsidRPr="00CD51D5" w:rsidRDefault="0045004E" w:rsidP="001749A6">
      <w:pPr>
        <w:pStyle w:val="INFOEM"/>
        <w:spacing w:before="0" w:after="0" w:line="276" w:lineRule="auto"/>
        <w:ind w:left="1571"/>
        <w:rPr>
          <w:lang w:val="es-ES"/>
        </w:rPr>
      </w:pPr>
      <w:r w:rsidRPr="00CD51D5">
        <w:rPr>
          <w:lang w:val="es-ES"/>
        </w:rPr>
        <w:t xml:space="preserve">h). Bienestar Social; </w:t>
      </w:r>
    </w:p>
    <w:p w14:paraId="4F22DDD4" w14:textId="77777777" w:rsidR="0045004E" w:rsidRPr="00CD51D5" w:rsidRDefault="0045004E" w:rsidP="001749A6">
      <w:pPr>
        <w:pStyle w:val="INFOEM"/>
        <w:spacing w:before="0" w:after="0" w:line="276" w:lineRule="auto"/>
        <w:ind w:left="1571"/>
        <w:rPr>
          <w:lang w:val="es-ES"/>
        </w:rPr>
      </w:pPr>
      <w:r w:rsidRPr="00CD51D5">
        <w:rPr>
          <w:lang w:val="es-ES"/>
        </w:rPr>
        <w:t xml:space="preserve">i). Educación; </w:t>
      </w:r>
    </w:p>
    <w:p w14:paraId="07A4DB32" w14:textId="77777777" w:rsidR="0045004E" w:rsidRPr="00CD51D5" w:rsidRDefault="0045004E" w:rsidP="001749A6">
      <w:pPr>
        <w:pStyle w:val="INFOEM"/>
        <w:spacing w:before="0" w:after="0" w:line="276" w:lineRule="auto"/>
        <w:ind w:left="1571"/>
        <w:rPr>
          <w:lang w:val="es-ES"/>
        </w:rPr>
      </w:pPr>
      <w:r w:rsidRPr="00CD51D5">
        <w:rPr>
          <w:lang w:val="es-ES"/>
        </w:rPr>
        <w:t xml:space="preserve">j). Cultura; </w:t>
      </w:r>
    </w:p>
    <w:p w14:paraId="5A79C416" w14:textId="77777777" w:rsidR="0045004E" w:rsidRPr="00CD51D5" w:rsidRDefault="0045004E" w:rsidP="001749A6">
      <w:pPr>
        <w:pStyle w:val="INFOEM"/>
        <w:spacing w:before="0" w:after="0" w:line="276" w:lineRule="auto"/>
        <w:ind w:left="1571"/>
        <w:rPr>
          <w:lang w:val="es-ES"/>
        </w:rPr>
      </w:pPr>
      <w:r w:rsidRPr="00CD51D5">
        <w:rPr>
          <w:lang w:val="es-ES"/>
        </w:rPr>
        <w:t xml:space="preserve">k). Monumentos Históricos y Artísticos; </w:t>
      </w:r>
    </w:p>
    <w:p w14:paraId="0C645F4E" w14:textId="77777777" w:rsidR="0045004E" w:rsidRPr="00CD51D5" w:rsidRDefault="0045004E" w:rsidP="001749A6">
      <w:pPr>
        <w:pStyle w:val="INFOEM"/>
        <w:spacing w:before="0" w:after="0" w:line="276" w:lineRule="auto"/>
        <w:ind w:left="1571"/>
        <w:rPr>
          <w:lang w:val="es-ES"/>
        </w:rPr>
      </w:pPr>
      <w:r w:rsidRPr="00CD51D5">
        <w:rPr>
          <w:lang w:val="es-ES"/>
        </w:rPr>
        <w:t xml:space="preserve">l). Desarrollo Económico; </w:t>
      </w:r>
    </w:p>
    <w:p w14:paraId="01A8E89D" w14:textId="77777777" w:rsidR="0045004E" w:rsidRPr="00CD51D5" w:rsidRDefault="0045004E" w:rsidP="001749A6">
      <w:pPr>
        <w:pStyle w:val="INFOEM"/>
        <w:spacing w:before="0" w:after="0" w:line="276" w:lineRule="auto"/>
        <w:ind w:left="1571"/>
        <w:rPr>
          <w:lang w:val="es-ES"/>
        </w:rPr>
      </w:pPr>
      <w:r w:rsidRPr="00CD51D5">
        <w:rPr>
          <w:lang w:val="es-ES"/>
        </w:rPr>
        <w:t xml:space="preserve">m). Fomento Agropecuario; </w:t>
      </w:r>
    </w:p>
    <w:p w14:paraId="47F08821" w14:textId="77777777" w:rsidR="0045004E" w:rsidRPr="00CD51D5" w:rsidRDefault="0045004E" w:rsidP="001749A6">
      <w:pPr>
        <w:pStyle w:val="INFOEM"/>
        <w:spacing w:before="0" w:after="0" w:line="276" w:lineRule="auto"/>
        <w:ind w:left="1571"/>
        <w:rPr>
          <w:lang w:val="es-ES"/>
        </w:rPr>
      </w:pPr>
      <w:r w:rsidRPr="00CD51D5">
        <w:rPr>
          <w:lang w:val="es-ES"/>
        </w:rPr>
        <w:t xml:space="preserve">n). Medio Ambiente; </w:t>
      </w:r>
    </w:p>
    <w:p w14:paraId="71A34390" w14:textId="77777777" w:rsidR="0045004E" w:rsidRPr="00CD51D5" w:rsidRDefault="0045004E" w:rsidP="001749A6">
      <w:pPr>
        <w:pStyle w:val="INFOEM"/>
        <w:spacing w:before="0" w:after="0" w:line="276" w:lineRule="auto"/>
        <w:ind w:left="1571"/>
        <w:rPr>
          <w:lang w:val="es-ES"/>
        </w:rPr>
      </w:pPr>
      <w:r w:rsidRPr="00CD51D5">
        <w:rPr>
          <w:lang w:val="es-ES"/>
        </w:rPr>
        <w:t xml:space="preserve">o). Catastro Municipal; </w:t>
      </w:r>
    </w:p>
    <w:p w14:paraId="1F63CDFF" w14:textId="77777777" w:rsidR="0045004E" w:rsidRPr="00CD51D5" w:rsidRDefault="0045004E" w:rsidP="001749A6">
      <w:pPr>
        <w:pStyle w:val="INFOEM"/>
        <w:spacing w:before="0" w:after="0" w:line="276" w:lineRule="auto"/>
        <w:ind w:left="1571"/>
        <w:rPr>
          <w:lang w:val="es-ES"/>
        </w:rPr>
      </w:pPr>
      <w:r w:rsidRPr="00CD51D5">
        <w:rPr>
          <w:lang w:val="es-ES"/>
        </w:rPr>
        <w:t xml:space="preserve">p). Sistemas; </w:t>
      </w:r>
    </w:p>
    <w:p w14:paraId="52E26BA7" w14:textId="77777777" w:rsidR="0045004E" w:rsidRPr="00CD51D5" w:rsidRDefault="0045004E" w:rsidP="001749A6">
      <w:pPr>
        <w:pStyle w:val="INFOEM"/>
        <w:spacing w:before="0" w:after="0" w:line="276" w:lineRule="auto"/>
        <w:ind w:left="1571"/>
        <w:rPr>
          <w:lang w:val="es-ES"/>
        </w:rPr>
      </w:pPr>
      <w:r w:rsidRPr="00CD51D5">
        <w:rPr>
          <w:lang w:val="es-ES"/>
        </w:rPr>
        <w:t>q). Comunicación Social.</w:t>
      </w:r>
    </w:p>
    <w:p w14:paraId="5348D277" w14:textId="77777777" w:rsidR="0045004E" w:rsidRPr="00CD51D5" w:rsidRDefault="001749A6" w:rsidP="001749A6">
      <w:pPr>
        <w:pStyle w:val="INFOEM"/>
        <w:spacing w:before="0" w:after="0" w:line="276" w:lineRule="auto"/>
        <w:rPr>
          <w:lang w:val="es-ES"/>
        </w:rPr>
      </w:pPr>
      <w:r w:rsidRPr="00CD51D5">
        <w:rPr>
          <w:lang w:val="es-ES"/>
        </w:rPr>
        <w:t xml:space="preserve">VI. </w:t>
      </w:r>
      <w:r w:rsidR="0045004E" w:rsidRPr="00CD51D5">
        <w:rPr>
          <w:lang w:val="es-ES"/>
        </w:rPr>
        <w:t xml:space="preserve">Comisaría de Seguridad Pública y Vialidad </w:t>
      </w:r>
    </w:p>
    <w:p w14:paraId="2BBEEF2E" w14:textId="77777777" w:rsidR="0045004E" w:rsidRPr="00CD51D5" w:rsidRDefault="0045004E" w:rsidP="001749A6">
      <w:pPr>
        <w:pStyle w:val="INFOEM"/>
        <w:numPr>
          <w:ilvl w:val="0"/>
          <w:numId w:val="10"/>
        </w:numPr>
        <w:spacing w:before="0" w:after="0" w:line="276" w:lineRule="auto"/>
        <w:rPr>
          <w:lang w:val="es-ES"/>
        </w:rPr>
      </w:pPr>
      <w:r w:rsidRPr="00CD51D5">
        <w:rPr>
          <w:lang w:val="es-ES"/>
        </w:rPr>
        <w:t>Juez Cívico;</w:t>
      </w:r>
    </w:p>
    <w:p w14:paraId="56EA8A48" w14:textId="77777777" w:rsidR="0045004E" w:rsidRPr="00CD51D5" w:rsidRDefault="0045004E" w:rsidP="001749A6">
      <w:pPr>
        <w:pStyle w:val="INFOEM"/>
        <w:numPr>
          <w:ilvl w:val="0"/>
          <w:numId w:val="10"/>
        </w:numPr>
        <w:spacing w:before="0" w:after="0" w:line="276" w:lineRule="auto"/>
      </w:pPr>
      <w:r w:rsidRPr="00CD51D5">
        <w:rPr>
          <w:lang w:val="es-ES"/>
        </w:rPr>
        <w:t>Defensoría Municipal de los Derechos Humano</w:t>
      </w:r>
    </w:p>
    <w:p w14:paraId="7EC7CC70" w14:textId="77777777" w:rsidR="0045004E" w:rsidRDefault="0045004E" w:rsidP="006A2889">
      <w:pPr>
        <w:spacing w:line="360" w:lineRule="auto"/>
        <w:jc w:val="both"/>
        <w:rPr>
          <w:rFonts w:ascii="Palatino Linotype" w:hAnsi="Palatino Linotype" w:cs="Arial"/>
        </w:rPr>
      </w:pPr>
    </w:p>
    <w:p w14:paraId="51FACE30" w14:textId="77777777" w:rsidR="001749A6" w:rsidRDefault="001749A6" w:rsidP="006A2889">
      <w:pPr>
        <w:spacing w:line="360" w:lineRule="auto"/>
        <w:jc w:val="both"/>
        <w:rPr>
          <w:rFonts w:ascii="Palatino Linotype" w:hAnsi="Palatino Linotype" w:cs="Arial"/>
        </w:rPr>
      </w:pPr>
      <w:r>
        <w:rPr>
          <w:rFonts w:ascii="Palatino Linotype" w:hAnsi="Palatino Linotype" w:cs="Arial"/>
        </w:rPr>
        <w:t xml:space="preserve">Derivado de lo anterior, se tiene que el Sistema Municipal para el Desarrollo Integral de la Familia de Nextlalpan se encuentra dentro del organigrama del Sujeto Obligado, por lo que genera, posee y administra la información solicitada. Aunado a ello, al realizar un cambio de modalidad a Consulta Directa el Sujeto Obligado admitió contar con la información. </w:t>
      </w:r>
    </w:p>
    <w:p w14:paraId="1DC4D7B0" w14:textId="77777777" w:rsidR="001749A6" w:rsidRDefault="001749A6" w:rsidP="006A2889">
      <w:pPr>
        <w:spacing w:line="360" w:lineRule="auto"/>
        <w:jc w:val="both"/>
        <w:rPr>
          <w:rFonts w:ascii="Palatino Linotype" w:hAnsi="Palatino Linotype" w:cs="Arial"/>
        </w:rPr>
      </w:pPr>
    </w:p>
    <w:p w14:paraId="23934305" w14:textId="77777777" w:rsidR="006A2889" w:rsidRPr="00E95582" w:rsidRDefault="00000C71" w:rsidP="006A2889">
      <w:pPr>
        <w:spacing w:line="360" w:lineRule="auto"/>
        <w:jc w:val="both"/>
        <w:rPr>
          <w:rFonts w:ascii="Palatino Linotype" w:hAnsi="Palatino Linotype"/>
        </w:rPr>
      </w:pPr>
      <w:r>
        <w:rPr>
          <w:rFonts w:ascii="Palatino Linotype" w:hAnsi="Palatino Linotype" w:cs="Arial"/>
        </w:rPr>
        <w:t>Ahora bien</w:t>
      </w:r>
      <w:r w:rsidR="006A2889" w:rsidRPr="00E95582">
        <w:rPr>
          <w:rFonts w:ascii="Palatino Linotype" w:hAnsi="Palatino Linotype" w:cs="Arial"/>
        </w:rPr>
        <w:t xml:space="preserve">, </w:t>
      </w:r>
      <w:r w:rsidR="006A2889" w:rsidRPr="00E95582">
        <w:rPr>
          <w:rFonts w:ascii="Palatino Linotype" w:hAnsi="Palatino Linotype"/>
        </w:rPr>
        <w:t>la Ley Orgánica Municipal del Estado de México</w:t>
      </w:r>
      <w:r w:rsidR="006A2889">
        <w:rPr>
          <w:rFonts w:ascii="Palatino Linotype" w:hAnsi="Palatino Linotype"/>
        </w:rPr>
        <w:t xml:space="preserve"> establece las atribuciones del tesorero municipal en </w:t>
      </w:r>
      <w:r w:rsidR="006A2889" w:rsidRPr="00E95582">
        <w:rPr>
          <w:rFonts w:ascii="Palatino Linotype" w:hAnsi="Palatino Linotype" w:cs="Arial"/>
        </w:rPr>
        <w:t>los</w:t>
      </w:r>
      <w:r w:rsidR="006A2889" w:rsidRPr="00E95582">
        <w:rPr>
          <w:rFonts w:ascii="Palatino Linotype" w:hAnsi="Palatino Linotype"/>
        </w:rPr>
        <w:t xml:space="preserve"> artículos 87, 93, 94 y 95, fracciones I, IV, V, XVI y XVII; porciones normativas que disponen a la literalidad lo siguiente: </w:t>
      </w:r>
    </w:p>
    <w:p w14:paraId="637EE69D" w14:textId="77777777" w:rsidR="006A2889" w:rsidRDefault="006A2889" w:rsidP="006A2889">
      <w:pPr>
        <w:spacing w:line="360" w:lineRule="auto"/>
        <w:jc w:val="both"/>
        <w:rPr>
          <w:rFonts w:ascii="Palatino Linotype" w:hAnsi="Palatino Linotype"/>
        </w:rPr>
      </w:pPr>
    </w:p>
    <w:p w14:paraId="624E3D4C" w14:textId="77777777" w:rsidR="00CD51D5" w:rsidRDefault="00CD51D5" w:rsidP="006A2889">
      <w:pPr>
        <w:spacing w:line="360" w:lineRule="auto"/>
        <w:jc w:val="both"/>
        <w:rPr>
          <w:rFonts w:ascii="Palatino Linotype" w:hAnsi="Palatino Linotype"/>
        </w:rPr>
      </w:pPr>
    </w:p>
    <w:p w14:paraId="6E9272A9" w14:textId="77777777" w:rsidR="00CD51D5" w:rsidRDefault="00CD51D5" w:rsidP="006A2889">
      <w:pPr>
        <w:spacing w:line="360" w:lineRule="auto"/>
        <w:jc w:val="both"/>
        <w:rPr>
          <w:rFonts w:ascii="Palatino Linotype" w:hAnsi="Palatino Linotype"/>
        </w:rPr>
      </w:pPr>
    </w:p>
    <w:p w14:paraId="0345A660" w14:textId="77777777" w:rsidR="00CD51D5" w:rsidRPr="0053681B" w:rsidRDefault="00CD51D5" w:rsidP="006A2889">
      <w:pPr>
        <w:spacing w:line="360" w:lineRule="auto"/>
        <w:jc w:val="both"/>
        <w:rPr>
          <w:rFonts w:ascii="Palatino Linotype" w:hAnsi="Palatino Linotype"/>
        </w:rPr>
      </w:pPr>
    </w:p>
    <w:p w14:paraId="16620009" w14:textId="77777777" w:rsidR="006A2889" w:rsidRPr="0053681B" w:rsidRDefault="006A2889" w:rsidP="006A2889">
      <w:pPr>
        <w:ind w:left="567" w:right="567"/>
        <w:jc w:val="center"/>
        <w:rPr>
          <w:rFonts w:ascii="Palatino Linotype" w:hAnsi="Palatino Linotype"/>
          <w:b/>
          <w:i/>
        </w:rPr>
      </w:pPr>
      <w:r w:rsidRPr="0053681B">
        <w:rPr>
          <w:rFonts w:ascii="Palatino Linotype" w:hAnsi="Palatino Linotype"/>
          <w:b/>
          <w:i/>
        </w:rPr>
        <w:lastRenderedPageBreak/>
        <w:t>LEY ORGÁNICA MUNICIPAL DEL ESTADO DE MÉXICO</w:t>
      </w:r>
    </w:p>
    <w:p w14:paraId="48A81B6E" w14:textId="77777777" w:rsidR="006A2889" w:rsidRPr="0053681B" w:rsidRDefault="006A2889" w:rsidP="006A2889">
      <w:pPr>
        <w:ind w:left="567" w:right="567"/>
        <w:jc w:val="both"/>
        <w:rPr>
          <w:rFonts w:ascii="Palatino Linotype" w:hAnsi="Palatino Linotype"/>
          <w:i/>
        </w:rPr>
      </w:pPr>
    </w:p>
    <w:p w14:paraId="743133B5" w14:textId="77777777" w:rsidR="006A2889" w:rsidRPr="0053681B" w:rsidRDefault="006A2889" w:rsidP="006A2889">
      <w:pPr>
        <w:ind w:left="567" w:right="567"/>
        <w:jc w:val="both"/>
        <w:rPr>
          <w:rFonts w:ascii="Palatino Linotype" w:hAnsi="Palatino Linotype"/>
          <w:i/>
        </w:rPr>
      </w:pPr>
      <w:r w:rsidRPr="0053681B">
        <w:rPr>
          <w:rFonts w:ascii="Palatino Linotype" w:hAnsi="Palatino Linotype"/>
          <w:i/>
        </w:rPr>
        <w:t>“</w:t>
      </w:r>
      <w:r w:rsidRPr="0053681B">
        <w:rPr>
          <w:rFonts w:ascii="Palatino Linotype" w:hAnsi="Palatino Linotype"/>
          <w:b/>
          <w:i/>
        </w:rPr>
        <w:t xml:space="preserve">Artículo 87.- </w:t>
      </w:r>
      <w:r w:rsidRPr="0053681B">
        <w:rPr>
          <w:rFonts w:ascii="Palatino Linotype" w:hAnsi="Palatino Linotype"/>
          <w:i/>
        </w:rPr>
        <w:t>Para el despacho, estudio y planeación de los diversos asuntos de la administración municipal, el ayuntamiento contará por lo menos con las siguientes Dependencias:</w:t>
      </w:r>
    </w:p>
    <w:p w14:paraId="1E99A469" w14:textId="77777777" w:rsidR="006A2889" w:rsidRPr="0053681B" w:rsidRDefault="006A2889" w:rsidP="006A2889">
      <w:pPr>
        <w:ind w:left="567" w:right="567"/>
        <w:jc w:val="both"/>
        <w:rPr>
          <w:rFonts w:ascii="Palatino Linotype" w:hAnsi="Palatino Linotype"/>
          <w:i/>
        </w:rPr>
      </w:pPr>
      <w:r w:rsidRPr="0053681B">
        <w:rPr>
          <w:rFonts w:ascii="Palatino Linotype" w:hAnsi="Palatino Linotype"/>
          <w:i/>
        </w:rPr>
        <w:t>I. La secretaría del ayuntamiento;</w:t>
      </w:r>
    </w:p>
    <w:p w14:paraId="07451B27" w14:textId="77777777" w:rsidR="006A2889" w:rsidRPr="001737D5" w:rsidRDefault="006A2889" w:rsidP="006A2889">
      <w:pPr>
        <w:ind w:left="567" w:right="567"/>
        <w:jc w:val="both"/>
        <w:rPr>
          <w:rFonts w:ascii="Palatino Linotype" w:hAnsi="Palatino Linotype"/>
          <w:b/>
          <w:i/>
        </w:rPr>
      </w:pPr>
      <w:r w:rsidRPr="001737D5">
        <w:rPr>
          <w:rFonts w:ascii="Palatino Linotype" w:hAnsi="Palatino Linotype"/>
          <w:b/>
          <w:i/>
          <w:u w:val="single"/>
        </w:rPr>
        <w:t>II. La tesorería municipal</w:t>
      </w:r>
      <w:r w:rsidRPr="001737D5">
        <w:rPr>
          <w:rFonts w:ascii="Palatino Linotype" w:hAnsi="Palatino Linotype"/>
          <w:b/>
          <w:i/>
        </w:rPr>
        <w:t>.</w:t>
      </w:r>
    </w:p>
    <w:p w14:paraId="012F53D4" w14:textId="77777777" w:rsidR="006A2889" w:rsidRPr="0053681B" w:rsidRDefault="006A2889" w:rsidP="006A2889">
      <w:pPr>
        <w:ind w:left="567" w:right="567"/>
        <w:jc w:val="both"/>
        <w:rPr>
          <w:rFonts w:ascii="Palatino Linotype" w:hAnsi="Palatino Linotype"/>
          <w:i/>
        </w:rPr>
      </w:pPr>
      <w:r w:rsidRPr="0053681B">
        <w:rPr>
          <w:rFonts w:ascii="Palatino Linotype" w:hAnsi="Palatino Linotype"/>
          <w:i/>
        </w:rPr>
        <w:t>III. La Dirección de Obras Públicas o equivalente.</w:t>
      </w:r>
    </w:p>
    <w:p w14:paraId="0FAFA963" w14:textId="77777777" w:rsidR="006A2889" w:rsidRPr="0053681B" w:rsidRDefault="006A2889" w:rsidP="006A2889">
      <w:pPr>
        <w:ind w:left="567" w:right="567"/>
        <w:jc w:val="both"/>
        <w:rPr>
          <w:rFonts w:ascii="Palatino Linotype" w:hAnsi="Palatino Linotype"/>
          <w:i/>
        </w:rPr>
      </w:pPr>
      <w:r w:rsidRPr="0053681B">
        <w:rPr>
          <w:rFonts w:ascii="Palatino Linotype" w:hAnsi="Palatino Linotype"/>
          <w:i/>
        </w:rPr>
        <w:t>IV. La Dirección de Desarrollo Económico o equivalente.</w:t>
      </w:r>
    </w:p>
    <w:p w14:paraId="6101E560" w14:textId="77777777" w:rsidR="006A2889" w:rsidRPr="0053681B" w:rsidRDefault="006A2889" w:rsidP="006A2889">
      <w:pPr>
        <w:ind w:left="567" w:right="567"/>
        <w:jc w:val="both"/>
        <w:rPr>
          <w:rFonts w:ascii="Palatino Linotype" w:hAnsi="Palatino Linotype"/>
          <w:i/>
        </w:rPr>
      </w:pPr>
      <w:r w:rsidRPr="0053681B">
        <w:rPr>
          <w:rFonts w:ascii="Palatino Linotype" w:hAnsi="Palatino Linotype"/>
          <w:i/>
        </w:rPr>
        <w:t>V. La Dirección de Desarrollo Urbano o equivalente;</w:t>
      </w:r>
    </w:p>
    <w:p w14:paraId="20C971E0" w14:textId="77777777" w:rsidR="006A2889" w:rsidRPr="0053681B" w:rsidRDefault="006A2889" w:rsidP="006A2889">
      <w:pPr>
        <w:ind w:left="567" w:right="567"/>
        <w:jc w:val="both"/>
        <w:rPr>
          <w:rFonts w:ascii="Palatino Linotype" w:hAnsi="Palatino Linotype"/>
          <w:i/>
        </w:rPr>
      </w:pPr>
      <w:r w:rsidRPr="0053681B">
        <w:rPr>
          <w:rFonts w:ascii="Palatino Linotype" w:hAnsi="Palatino Linotype"/>
          <w:i/>
        </w:rPr>
        <w:t>VI. La Dirección de Ecología o equivalente.</w:t>
      </w:r>
    </w:p>
    <w:p w14:paraId="6B226003" w14:textId="77777777" w:rsidR="006A2889" w:rsidRPr="0053681B" w:rsidRDefault="006A2889" w:rsidP="006A2889">
      <w:pPr>
        <w:ind w:left="567" w:right="567"/>
        <w:jc w:val="both"/>
        <w:rPr>
          <w:rFonts w:ascii="Palatino Linotype" w:hAnsi="Palatino Linotype"/>
          <w:i/>
        </w:rPr>
      </w:pPr>
      <w:r w:rsidRPr="0053681B">
        <w:rPr>
          <w:rFonts w:ascii="Palatino Linotype" w:hAnsi="Palatino Linotype"/>
          <w:i/>
        </w:rPr>
        <w:t>VII. La Dirección de Desarrollo Social o equivalente.</w:t>
      </w:r>
    </w:p>
    <w:p w14:paraId="20CA316D" w14:textId="77777777" w:rsidR="006A2889" w:rsidRPr="0053681B" w:rsidRDefault="006A2889" w:rsidP="006A2889">
      <w:pPr>
        <w:ind w:left="567" w:right="567"/>
        <w:jc w:val="both"/>
        <w:rPr>
          <w:rFonts w:ascii="Palatino Linotype" w:hAnsi="Palatino Linotype"/>
          <w:i/>
        </w:rPr>
      </w:pPr>
      <w:r w:rsidRPr="0053681B">
        <w:rPr>
          <w:rFonts w:ascii="Palatino Linotype" w:hAnsi="Palatino Linotype"/>
          <w:i/>
        </w:rPr>
        <w:t>VIII. La Coordinación Municipal de Protección Civil o equivalente.</w:t>
      </w:r>
    </w:p>
    <w:p w14:paraId="07D6F074" w14:textId="77777777" w:rsidR="006A2889" w:rsidRDefault="006A2889" w:rsidP="006A2889">
      <w:pPr>
        <w:ind w:left="567" w:right="567"/>
        <w:jc w:val="both"/>
        <w:rPr>
          <w:rFonts w:ascii="Palatino Linotype" w:hAnsi="Palatino Linotype"/>
          <w:i/>
        </w:rPr>
      </w:pPr>
      <w:r w:rsidRPr="0053681B">
        <w:rPr>
          <w:rFonts w:ascii="Palatino Linotype" w:hAnsi="Palatino Linotype"/>
          <w:i/>
        </w:rPr>
        <w:t>IX. La Dirección de las Mujeres o equivalente.”</w:t>
      </w:r>
    </w:p>
    <w:p w14:paraId="5BD33B0D" w14:textId="77777777" w:rsidR="006A2889" w:rsidRPr="0053681B" w:rsidRDefault="006A2889" w:rsidP="006A2889">
      <w:pPr>
        <w:ind w:left="567" w:right="567"/>
        <w:jc w:val="both"/>
        <w:rPr>
          <w:rFonts w:ascii="Palatino Linotype" w:hAnsi="Palatino Linotype"/>
          <w:i/>
        </w:rPr>
      </w:pPr>
    </w:p>
    <w:p w14:paraId="518D424E" w14:textId="77777777" w:rsidR="006A2889" w:rsidRDefault="006A2889" w:rsidP="006A2889">
      <w:pPr>
        <w:ind w:left="567" w:right="567"/>
        <w:jc w:val="both"/>
        <w:rPr>
          <w:rFonts w:ascii="Palatino Linotype" w:eastAsia="Calibri" w:hAnsi="Palatino Linotype" w:cs="Arial"/>
          <w:i/>
          <w:lang w:val="es-ES_tradnl"/>
        </w:rPr>
      </w:pPr>
      <w:r w:rsidRPr="00C94E05">
        <w:rPr>
          <w:rFonts w:ascii="Palatino Linotype" w:eastAsia="Calibri" w:hAnsi="Palatino Linotype" w:cs="Arial"/>
          <w:b/>
          <w:i/>
          <w:lang w:val="es-ES_tradnl"/>
        </w:rPr>
        <w:t>Artículo 93</w:t>
      </w:r>
      <w:r w:rsidRPr="00C94E05">
        <w:rPr>
          <w:rFonts w:ascii="Palatino Linotype" w:eastAsia="Calibri" w:hAnsi="Palatino Linotype" w:cs="Arial"/>
          <w:i/>
          <w:lang w:val="es-ES_tradnl"/>
        </w:rPr>
        <w:t xml:space="preserve">.- </w:t>
      </w:r>
      <w:r w:rsidRPr="00C94E05">
        <w:rPr>
          <w:rFonts w:ascii="Palatino Linotype" w:eastAsia="Calibri" w:hAnsi="Palatino Linotype" w:cs="Arial"/>
          <w:b/>
          <w:bCs/>
          <w:i/>
          <w:lang w:val="es-ES_tradnl"/>
        </w:rPr>
        <w:t>La tesorería municipal es el órgano encargado de la recaudación de los ingresos municipales y responsable de realizar las erogaciones que haga el ayuntamiento</w:t>
      </w:r>
      <w:r w:rsidRPr="00C94E05">
        <w:rPr>
          <w:rFonts w:ascii="Palatino Linotype" w:eastAsia="Calibri" w:hAnsi="Palatino Linotype" w:cs="Arial"/>
          <w:i/>
          <w:lang w:val="es-ES_tradnl"/>
        </w:rPr>
        <w:t>.</w:t>
      </w:r>
    </w:p>
    <w:p w14:paraId="33358959" w14:textId="77777777" w:rsidR="006A2889" w:rsidRPr="00C94E05" w:rsidRDefault="006A2889" w:rsidP="006A2889">
      <w:pPr>
        <w:ind w:left="567" w:right="567"/>
        <w:jc w:val="both"/>
        <w:rPr>
          <w:rFonts w:ascii="Palatino Linotype" w:eastAsia="Calibri" w:hAnsi="Palatino Linotype" w:cs="Arial"/>
          <w:i/>
          <w:lang w:val="es-ES_tradnl"/>
        </w:rPr>
      </w:pPr>
    </w:p>
    <w:p w14:paraId="27E2DB19" w14:textId="77777777" w:rsidR="006A2889" w:rsidRPr="001737D5" w:rsidRDefault="006A2889" w:rsidP="006A2889">
      <w:pPr>
        <w:ind w:left="567" w:right="567"/>
        <w:jc w:val="both"/>
        <w:rPr>
          <w:rFonts w:ascii="Palatino Linotype" w:eastAsia="Calibri" w:hAnsi="Palatino Linotype" w:cs="Arial"/>
          <w:i/>
          <w:lang w:val="es-ES_tradnl"/>
        </w:rPr>
      </w:pPr>
      <w:r w:rsidRPr="00C94E05">
        <w:rPr>
          <w:rFonts w:ascii="Palatino Linotype" w:eastAsia="Calibri" w:hAnsi="Palatino Linotype" w:cs="Arial"/>
          <w:b/>
          <w:bCs/>
          <w:i/>
          <w:lang w:val="es-ES_tradnl"/>
        </w:rPr>
        <w:t>Artículo 94.-</w:t>
      </w:r>
      <w:r w:rsidRPr="00C94E05">
        <w:rPr>
          <w:rFonts w:ascii="Palatino Linotype" w:eastAsia="Calibri" w:hAnsi="Palatino Linotype" w:cs="Arial"/>
          <w:i/>
          <w:lang w:val="es-ES_tradnl"/>
        </w:rPr>
        <w:t xml:space="preserve">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14:paraId="44FC17A9" w14:textId="77777777" w:rsidR="006A2889" w:rsidRPr="0053681B" w:rsidRDefault="006A2889" w:rsidP="006A2889">
      <w:pPr>
        <w:ind w:left="567" w:right="567"/>
        <w:jc w:val="both"/>
        <w:rPr>
          <w:rFonts w:ascii="Palatino Linotype" w:hAnsi="Palatino Linotype"/>
          <w:i/>
        </w:rPr>
      </w:pPr>
    </w:p>
    <w:p w14:paraId="16249679" w14:textId="77777777" w:rsidR="006A2889" w:rsidRPr="0053681B" w:rsidRDefault="006A2889" w:rsidP="006A2889">
      <w:pPr>
        <w:ind w:left="567" w:right="567"/>
        <w:jc w:val="both"/>
        <w:rPr>
          <w:rFonts w:ascii="Palatino Linotype" w:hAnsi="Palatino Linotype"/>
          <w:i/>
        </w:rPr>
      </w:pPr>
      <w:r w:rsidRPr="0053681B">
        <w:rPr>
          <w:rFonts w:ascii="Palatino Linotype" w:hAnsi="Palatino Linotype"/>
          <w:i/>
        </w:rPr>
        <w:t>“</w:t>
      </w:r>
      <w:r w:rsidRPr="0053681B">
        <w:rPr>
          <w:rFonts w:ascii="Palatino Linotype" w:hAnsi="Palatino Linotype"/>
          <w:b/>
          <w:i/>
        </w:rPr>
        <w:t>Artículo 95.-</w:t>
      </w:r>
      <w:r w:rsidRPr="0053681B">
        <w:rPr>
          <w:rFonts w:ascii="Palatino Linotype" w:hAnsi="Palatino Linotype"/>
          <w:i/>
        </w:rPr>
        <w:t xml:space="preserve"> Son atribuciones del </w:t>
      </w:r>
      <w:r w:rsidRPr="00E14773">
        <w:rPr>
          <w:rFonts w:ascii="Palatino Linotype" w:hAnsi="Palatino Linotype"/>
          <w:b/>
          <w:i/>
          <w:u w:val="single"/>
        </w:rPr>
        <w:t>tesorero municipal</w:t>
      </w:r>
      <w:r w:rsidRPr="0053681B">
        <w:rPr>
          <w:rFonts w:ascii="Palatino Linotype" w:hAnsi="Palatino Linotype"/>
          <w:i/>
        </w:rPr>
        <w:t xml:space="preserve">: </w:t>
      </w:r>
    </w:p>
    <w:p w14:paraId="14AD5EE6" w14:textId="77777777" w:rsidR="006A2889" w:rsidRPr="0053681B" w:rsidRDefault="006A2889" w:rsidP="006A2889">
      <w:pPr>
        <w:ind w:left="567" w:right="567"/>
        <w:jc w:val="both"/>
        <w:rPr>
          <w:rFonts w:ascii="Palatino Linotype" w:hAnsi="Palatino Linotype"/>
          <w:i/>
        </w:rPr>
      </w:pPr>
      <w:r w:rsidRPr="0053681B">
        <w:rPr>
          <w:rFonts w:ascii="Palatino Linotype" w:hAnsi="Palatino Linotype"/>
          <w:i/>
        </w:rPr>
        <w:t>I. Administrar la hacienda pública municipal, de conformidad con las disposiciones legales aplicables;</w:t>
      </w:r>
    </w:p>
    <w:p w14:paraId="5A1E6735" w14:textId="77777777" w:rsidR="006A2889" w:rsidRPr="0053681B" w:rsidRDefault="006A2889" w:rsidP="006A2889">
      <w:pPr>
        <w:ind w:left="567" w:right="567"/>
        <w:jc w:val="both"/>
        <w:rPr>
          <w:rFonts w:ascii="Palatino Linotype" w:hAnsi="Palatino Linotype"/>
          <w:i/>
        </w:rPr>
      </w:pPr>
      <w:r w:rsidRPr="0053681B">
        <w:rPr>
          <w:rFonts w:ascii="Palatino Linotype" w:hAnsi="Palatino Linotype"/>
          <w:i/>
        </w:rPr>
        <w:t>(…)</w:t>
      </w:r>
    </w:p>
    <w:p w14:paraId="5B6A4B4C" w14:textId="77777777" w:rsidR="006A2889" w:rsidRPr="0053681B" w:rsidRDefault="006A2889" w:rsidP="006A2889">
      <w:pPr>
        <w:ind w:left="567" w:right="567"/>
        <w:jc w:val="both"/>
        <w:rPr>
          <w:rFonts w:ascii="Palatino Linotype" w:hAnsi="Palatino Linotype"/>
          <w:i/>
          <w:u w:val="single"/>
        </w:rPr>
      </w:pPr>
      <w:r w:rsidRPr="0053681B">
        <w:rPr>
          <w:rFonts w:ascii="Palatino Linotype" w:hAnsi="Palatino Linotype"/>
          <w:i/>
        </w:rPr>
        <w:t>IV</w:t>
      </w:r>
      <w:r w:rsidRPr="0053681B">
        <w:rPr>
          <w:rFonts w:ascii="Palatino Linotype" w:hAnsi="Palatino Linotype"/>
          <w:b/>
          <w:i/>
          <w:u w:val="single"/>
        </w:rPr>
        <w:t>. Llevar los registros contables, financieros y administrativos de los ingresos, egresos, e inventarios;</w:t>
      </w:r>
    </w:p>
    <w:p w14:paraId="17D783CB" w14:textId="77777777" w:rsidR="006A2889" w:rsidRPr="0053681B" w:rsidRDefault="006A2889" w:rsidP="006A2889">
      <w:pPr>
        <w:ind w:left="567" w:right="567"/>
        <w:jc w:val="both"/>
        <w:rPr>
          <w:rFonts w:ascii="Palatino Linotype" w:hAnsi="Palatino Linotype"/>
          <w:i/>
        </w:rPr>
      </w:pPr>
      <w:r w:rsidRPr="0053681B">
        <w:rPr>
          <w:rFonts w:ascii="Palatino Linotype" w:hAnsi="Palatino Linotype"/>
          <w:i/>
        </w:rPr>
        <w:t>V. Proporcionar oportunamente al ayuntamiento todos los datos o informes que sean necesarios para la formulación del Presupuesto de Egresos Municipales, vigilando que se ajuste a las disposiciones de esta Ley y otros ordenamientos aplicables;</w:t>
      </w:r>
    </w:p>
    <w:p w14:paraId="41E7CCC7" w14:textId="77777777" w:rsidR="006A2889" w:rsidRPr="0053681B" w:rsidRDefault="006A2889" w:rsidP="006A2889">
      <w:pPr>
        <w:ind w:left="567" w:right="567"/>
        <w:jc w:val="both"/>
        <w:rPr>
          <w:rFonts w:ascii="Palatino Linotype" w:hAnsi="Palatino Linotype"/>
          <w:i/>
        </w:rPr>
      </w:pPr>
      <w:r w:rsidRPr="0053681B">
        <w:rPr>
          <w:rFonts w:ascii="Palatino Linotype" w:hAnsi="Palatino Linotype"/>
          <w:i/>
        </w:rPr>
        <w:t>(…)</w:t>
      </w:r>
    </w:p>
    <w:p w14:paraId="74A7B373" w14:textId="77777777" w:rsidR="006A2889" w:rsidRPr="0053681B" w:rsidRDefault="006A2889" w:rsidP="006A2889">
      <w:pPr>
        <w:ind w:left="567" w:right="567"/>
        <w:jc w:val="both"/>
        <w:rPr>
          <w:rFonts w:ascii="Palatino Linotype" w:hAnsi="Palatino Linotype"/>
          <w:i/>
        </w:rPr>
      </w:pPr>
      <w:r w:rsidRPr="0053681B">
        <w:rPr>
          <w:rFonts w:ascii="Palatino Linotype" w:hAnsi="Palatino Linotype"/>
          <w:i/>
        </w:rPr>
        <w:t xml:space="preserve">XVI. Glosar oportunamente las cuentas del ayuntamiento; </w:t>
      </w:r>
    </w:p>
    <w:p w14:paraId="609C35B7" w14:textId="77777777" w:rsidR="006A2889" w:rsidRPr="0053681B" w:rsidRDefault="006A2889" w:rsidP="006A2889">
      <w:pPr>
        <w:ind w:left="567" w:right="567"/>
        <w:jc w:val="both"/>
        <w:rPr>
          <w:rFonts w:ascii="Palatino Linotype" w:hAnsi="Palatino Linotype"/>
          <w:i/>
        </w:rPr>
      </w:pPr>
      <w:r w:rsidRPr="0053681B">
        <w:rPr>
          <w:rFonts w:ascii="Palatino Linotype" w:hAnsi="Palatino Linotype"/>
          <w:i/>
        </w:rPr>
        <w:t xml:space="preserve">XVII. Contestar oportunamente los pliegos de observaciones y responsabilidad que haga el Órgano Superior de Fiscalización del Estado de México, así como atender en </w:t>
      </w:r>
      <w:r w:rsidRPr="0053681B">
        <w:rPr>
          <w:rFonts w:ascii="Palatino Linotype" w:hAnsi="Palatino Linotype"/>
          <w:i/>
        </w:rPr>
        <w:lastRenderedPageBreak/>
        <w:t>tiempo y forma las solicitudes de información que éste requiera, informando al Ayuntamiento;</w:t>
      </w:r>
    </w:p>
    <w:p w14:paraId="63C59FE5" w14:textId="77777777" w:rsidR="006A2889" w:rsidRPr="0053681B" w:rsidRDefault="006A2889" w:rsidP="006A2889">
      <w:pPr>
        <w:ind w:left="567" w:right="567"/>
        <w:jc w:val="both"/>
        <w:rPr>
          <w:rFonts w:ascii="Palatino Linotype" w:hAnsi="Palatino Linotype"/>
          <w:i/>
        </w:rPr>
      </w:pPr>
      <w:r w:rsidRPr="0053681B">
        <w:rPr>
          <w:rFonts w:ascii="Palatino Linotype" w:hAnsi="Palatino Linotype"/>
          <w:i/>
        </w:rPr>
        <w:t>(…)” (Sic)</w:t>
      </w:r>
    </w:p>
    <w:p w14:paraId="2F93FC0B" w14:textId="77777777" w:rsidR="006A2889" w:rsidRDefault="006A2889" w:rsidP="006A288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B390265" w14:textId="77777777" w:rsidR="006A2889" w:rsidRDefault="006A2889" w:rsidP="006A2889">
      <w:pPr>
        <w:pStyle w:val="Prrafodelista"/>
        <w:spacing w:line="360" w:lineRule="auto"/>
        <w:ind w:left="0" w:right="49"/>
        <w:contextualSpacing/>
        <w:jc w:val="both"/>
        <w:rPr>
          <w:rFonts w:ascii="Palatino Linotype" w:hAnsi="Palatino Linotype" w:cs="Arial"/>
        </w:rPr>
      </w:pPr>
      <w:r w:rsidRPr="007D2692">
        <w:rPr>
          <w:rFonts w:ascii="Palatino Linotype" w:hAnsi="Palatino Linotype" w:cs="Arial"/>
        </w:rPr>
        <w:t xml:space="preserve">De lo anterior se advierte que los Ayuntamientos tienen la atribución de administrar libremente su hacienda y controlar la aplicación del presupuesto de egresos aprobado por dicho cuerpo colegiado, </w:t>
      </w:r>
      <w:r w:rsidRPr="007D2692">
        <w:rPr>
          <w:rFonts w:ascii="Palatino Linotype" w:hAnsi="Palatino Linotype" w:cs="Arial"/>
          <w:b/>
        </w:rPr>
        <w:t>siendo atribución del Tesorero Municipal la de llevar los registros contables, financieros y administrativos de los ingresos, egresos e inventarios</w:t>
      </w:r>
      <w:r w:rsidRPr="007D2692">
        <w:rPr>
          <w:rFonts w:ascii="Palatino Linotype" w:hAnsi="Palatino Linotype" w:cs="Arial"/>
        </w:rPr>
        <w:t>.</w:t>
      </w:r>
    </w:p>
    <w:p w14:paraId="351DB2B6" w14:textId="77777777" w:rsidR="006A2889" w:rsidRDefault="006A2889" w:rsidP="006A2889">
      <w:pPr>
        <w:spacing w:line="360" w:lineRule="auto"/>
        <w:jc w:val="both"/>
        <w:rPr>
          <w:rFonts w:ascii="Palatino Linotype" w:eastAsiaTheme="minorHAnsi" w:hAnsi="Palatino Linotype" w:cs="Arial"/>
          <w:lang w:val="es-MX" w:eastAsia="en-US"/>
        </w:rPr>
      </w:pPr>
    </w:p>
    <w:p w14:paraId="4F5DB7AC" w14:textId="77777777" w:rsidR="006A2889" w:rsidRPr="002C5A45" w:rsidRDefault="006A2889" w:rsidP="006A2889">
      <w:pPr>
        <w:spacing w:line="360" w:lineRule="auto"/>
        <w:jc w:val="both"/>
        <w:rPr>
          <w:rFonts w:ascii="Palatino Linotype" w:eastAsiaTheme="minorHAnsi" w:hAnsi="Palatino Linotype" w:cs="Arial"/>
          <w:lang w:val="es-MX" w:eastAsia="en-US"/>
        </w:rPr>
      </w:pPr>
    </w:p>
    <w:p w14:paraId="595C2D3B" w14:textId="77777777" w:rsidR="006A2889" w:rsidRPr="002C5A45" w:rsidRDefault="006A2889" w:rsidP="006A2889">
      <w:pPr>
        <w:spacing w:line="360" w:lineRule="auto"/>
        <w:jc w:val="both"/>
        <w:rPr>
          <w:rFonts w:ascii="Palatino Linotype" w:eastAsiaTheme="minorHAnsi" w:hAnsi="Palatino Linotype" w:cs="Arial"/>
          <w:b/>
          <w:lang w:val="es-MX" w:eastAsia="en-US"/>
        </w:rPr>
      </w:pPr>
      <w:r w:rsidRPr="002C5A45">
        <w:rPr>
          <w:rFonts w:ascii="Palatino Linotype" w:eastAsiaTheme="minorHAnsi" w:hAnsi="Palatino Linotype" w:cs="Arial"/>
          <w:lang w:val="es-MX" w:eastAsia="en-US"/>
        </w:rPr>
        <w:t xml:space="preserve">De lo anteriormente expuesto, este Instituto advierte que tanto en la nómina general o recibos de pagos de salarios es donde se registran las remuneraciones otorgadas a los servidores públicos, las cuales de acuerdo con los artículos 127 de la Constitución Política de los Estados Unidos Mexicanos y 3, fracción XXXII del Código Financiero del Estado de México y Municipios, </w:t>
      </w:r>
      <w:r w:rsidRPr="002C5A45">
        <w:rPr>
          <w:rFonts w:ascii="Palatino Linotype" w:eastAsiaTheme="minorHAnsi" w:hAnsi="Palatino Linotype" w:cs="Arial"/>
          <w:b/>
          <w:lang w:val="es-MX" w:eastAsia="en-US"/>
        </w:rPr>
        <w:t>constituyen toda percepción o pagos por concepto de sueldo, compensaciones, gratificaciones, habitación, primas, comisiones, prestaciones en especie, premios, recompensas, bonos, estímulos, dietas, aguinaldos, comisiones y cualquier otra prestación que se entregue a los servidores públicos por su trabajo.</w:t>
      </w:r>
    </w:p>
    <w:p w14:paraId="404011EA" w14:textId="77777777" w:rsidR="006A2889" w:rsidRPr="002C5A45" w:rsidRDefault="006A2889" w:rsidP="006A2889">
      <w:pPr>
        <w:spacing w:line="360" w:lineRule="auto"/>
        <w:jc w:val="both"/>
        <w:rPr>
          <w:rFonts w:ascii="Palatino Linotype" w:eastAsiaTheme="minorHAnsi" w:hAnsi="Palatino Linotype" w:cs="Arial"/>
          <w:lang w:val="es-MX" w:eastAsia="en-US"/>
        </w:rPr>
      </w:pPr>
    </w:p>
    <w:p w14:paraId="74FC23E8" w14:textId="77777777" w:rsidR="006A2889" w:rsidRDefault="006A2889" w:rsidP="006A2889">
      <w:pPr>
        <w:spacing w:before="240" w:after="240" w:line="360" w:lineRule="auto"/>
        <w:jc w:val="both"/>
        <w:rPr>
          <w:rFonts w:ascii="Palatino Linotype" w:hAnsi="Palatino Linotype"/>
        </w:rPr>
      </w:pPr>
      <w:r w:rsidRPr="003E0BC5">
        <w:rPr>
          <w:rFonts w:ascii="Palatino Linotype" w:hAnsi="Palatino Linotype"/>
        </w:rPr>
        <w:t xml:space="preserve">Aunado a lo anterior, </w:t>
      </w:r>
      <w:r w:rsidRPr="003E0BC5">
        <w:rPr>
          <w:rFonts w:ascii="Palatino Linotype" w:hAnsi="Palatino Linotype" w:cs="Arial"/>
          <w:color w:val="000000"/>
        </w:rPr>
        <w:t>l</w:t>
      </w:r>
      <w:r w:rsidRPr="003E0BC5">
        <w:rPr>
          <w:rFonts w:ascii="Palatino Linotype" w:hAnsi="Palatino Linotype"/>
          <w:color w:val="000000"/>
        </w:rPr>
        <w:t xml:space="preserve">os Lineamientos para la </w:t>
      </w:r>
      <w:r>
        <w:rPr>
          <w:rFonts w:ascii="Palatino Linotype" w:hAnsi="Palatino Linotype"/>
          <w:color w:val="000000"/>
        </w:rPr>
        <w:t>Presentación del Informe Trimestral Municipal Ejercicio Fiscal 2024</w:t>
      </w:r>
      <w:r w:rsidRPr="003E0BC5">
        <w:rPr>
          <w:rFonts w:ascii="Palatino Linotype" w:hAnsi="Palatino Linotype"/>
          <w:color w:val="000000"/>
        </w:rPr>
        <w:t>, visibles en la página oficial del Órgano Superior de Fiscalizaci</w:t>
      </w:r>
      <w:r>
        <w:rPr>
          <w:rFonts w:ascii="Palatino Linotype" w:hAnsi="Palatino Linotype"/>
          <w:color w:val="000000"/>
        </w:rPr>
        <w:t xml:space="preserve">ón del Estado de México (OSFEM), </w:t>
      </w:r>
      <w:r>
        <w:rPr>
          <w:rFonts w:ascii="Palatino Linotype" w:hAnsi="Palatino Linotype"/>
        </w:rPr>
        <w:t xml:space="preserve">donde se destaca que dentro de los informes trimestrales que </w:t>
      </w:r>
      <w:r>
        <w:rPr>
          <w:rFonts w:ascii="Palatino Linotype" w:hAnsi="Palatino Linotype"/>
          <w:b/>
        </w:rPr>
        <w:t xml:space="preserve">El Sujeto Obligado </w:t>
      </w:r>
      <w:r>
        <w:rPr>
          <w:rFonts w:ascii="Palatino Linotype" w:hAnsi="Palatino Linotype"/>
        </w:rPr>
        <w:t xml:space="preserve">tiene la obligación de rendir, se </w:t>
      </w:r>
      <w:r>
        <w:rPr>
          <w:rFonts w:ascii="Palatino Linotype" w:hAnsi="Palatino Linotype"/>
        </w:rPr>
        <w:lastRenderedPageBreak/>
        <w:t>contempla precisamente la presentación de la información referente a la Conciliación de Nómina, los cuales define como:</w:t>
      </w:r>
    </w:p>
    <w:p w14:paraId="07FA7CB0" w14:textId="77777777" w:rsidR="006A2889" w:rsidRDefault="006A2889" w:rsidP="006A2889">
      <w:pPr>
        <w:pStyle w:val="Prrafodelista"/>
        <w:numPr>
          <w:ilvl w:val="0"/>
          <w:numId w:val="6"/>
        </w:numPr>
        <w:spacing w:before="240" w:after="240" w:line="360" w:lineRule="auto"/>
        <w:jc w:val="both"/>
        <w:rPr>
          <w:rFonts w:ascii="Palatino Linotype" w:hAnsi="Palatino Linotype"/>
        </w:rPr>
      </w:pPr>
      <w:r w:rsidRPr="0038100F">
        <w:rPr>
          <w:rFonts w:ascii="Palatino Linotype" w:hAnsi="Palatino Linotype"/>
          <w:b/>
        </w:rPr>
        <w:t>Conciliación de Nómina:</w:t>
      </w:r>
      <w:r>
        <w:rPr>
          <w:rFonts w:ascii="Palatino Linotype" w:hAnsi="Palatino Linotype"/>
        </w:rPr>
        <w:t xml:space="preserve"> es el concentrado mensual de las cifras derivadas de todas las erogaciones realizadas por concepto de remuneraciones al trabajo, registradas en la nómina; las cuales deben coincidir con las contenidas en los registros contables, por concepto de remuneraciones o trabajo personal.</w:t>
      </w:r>
    </w:p>
    <w:p w14:paraId="2F8E13BA" w14:textId="77777777" w:rsidR="006A2889" w:rsidRDefault="006A2889" w:rsidP="006A2889">
      <w:pPr>
        <w:pStyle w:val="Prrafodelista"/>
        <w:spacing w:before="240" w:after="240" w:line="360" w:lineRule="auto"/>
        <w:ind w:left="720"/>
        <w:jc w:val="both"/>
        <w:rPr>
          <w:rFonts w:ascii="Palatino Linotype" w:hAnsi="Palatino Linotype"/>
        </w:rPr>
      </w:pPr>
      <w:r>
        <w:rPr>
          <w:rFonts w:ascii="Palatino Linotype" w:hAnsi="Palatino Linotype"/>
          <w:noProof/>
          <w:lang w:val="es-MX" w:eastAsia="es-MX"/>
        </w:rPr>
        <w:drawing>
          <wp:inline distT="0" distB="0" distL="0" distR="0" wp14:anchorId="5C4806FC" wp14:editId="5240D86C">
            <wp:extent cx="5229225" cy="3770630"/>
            <wp:effectExtent l="0" t="0" r="952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145C63.tmp"/>
                    <pic:cNvPicPr/>
                  </pic:nvPicPr>
                  <pic:blipFill>
                    <a:blip r:embed="rId7">
                      <a:extLst>
                        <a:ext uri="{28A0092B-C50C-407E-A947-70E740481C1C}">
                          <a14:useLocalDpi xmlns:a14="http://schemas.microsoft.com/office/drawing/2010/main" val="0"/>
                        </a:ext>
                      </a:extLst>
                    </a:blip>
                    <a:stretch>
                      <a:fillRect/>
                    </a:stretch>
                  </pic:blipFill>
                  <pic:spPr>
                    <a:xfrm>
                      <a:off x="0" y="0"/>
                      <a:ext cx="5229225" cy="3770630"/>
                    </a:xfrm>
                    <a:prstGeom prst="rect">
                      <a:avLst/>
                    </a:prstGeom>
                  </pic:spPr>
                </pic:pic>
              </a:graphicData>
            </a:graphic>
          </wp:inline>
        </w:drawing>
      </w:r>
    </w:p>
    <w:p w14:paraId="78978B5A" w14:textId="77777777" w:rsidR="006A2889" w:rsidRDefault="006A2889" w:rsidP="006A2889">
      <w:pPr>
        <w:pStyle w:val="Prrafodelista"/>
        <w:spacing w:before="240" w:after="240" w:line="360" w:lineRule="auto"/>
        <w:ind w:left="720"/>
        <w:rPr>
          <w:rFonts w:ascii="Palatino Linotype" w:hAnsi="Palatino Linotype"/>
        </w:rPr>
      </w:pPr>
      <w:r>
        <w:rPr>
          <w:rFonts w:ascii="Palatino Linotype" w:hAnsi="Palatino Linotype"/>
          <w:noProof/>
          <w:lang w:val="es-MX" w:eastAsia="es-MX"/>
        </w:rPr>
        <w:lastRenderedPageBreak/>
        <w:drawing>
          <wp:inline distT="0" distB="0" distL="0" distR="0" wp14:anchorId="1CBB9023" wp14:editId="62954D94">
            <wp:extent cx="5229225" cy="1652905"/>
            <wp:effectExtent l="0" t="0" r="952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14CAED.tmp"/>
                    <pic:cNvPicPr/>
                  </pic:nvPicPr>
                  <pic:blipFill>
                    <a:blip r:embed="rId8">
                      <a:extLst>
                        <a:ext uri="{28A0092B-C50C-407E-A947-70E740481C1C}">
                          <a14:useLocalDpi xmlns:a14="http://schemas.microsoft.com/office/drawing/2010/main" val="0"/>
                        </a:ext>
                      </a:extLst>
                    </a:blip>
                    <a:stretch>
                      <a:fillRect/>
                    </a:stretch>
                  </pic:blipFill>
                  <pic:spPr>
                    <a:xfrm>
                      <a:off x="0" y="0"/>
                      <a:ext cx="5229225" cy="1652905"/>
                    </a:xfrm>
                    <a:prstGeom prst="rect">
                      <a:avLst/>
                    </a:prstGeom>
                  </pic:spPr>
                </pic:pic>
              </a:graphicData>
            </a:graphic>
          </wp:inline>
        </w:drawing>
      </w:r>
    </w:p>
    <w:p w14:paraId="68C9F228" w14:textId="77777777" w:rsidR="006A2889" w:rsidRDefault="006A2889" w:rsidP="006A2889">
      <w:pPr>
        <w:spacing w:before="240" w:after="240" w:line="360" w:lineRule="auto"/>
        <w:jc w:val="center"/>
        <w:rPr>
          <w:rFonts w:ascii="Palatino Linotype" w:hAnsi="Palatino Linotype"/>
        </w:rPr>
      </w:pPr>
      <w:r>
        <w:rPr>
          <w:rFonts w:ascii="Palatino Linotype" w:hAnsi="Palatino Linotype"/>
          <w:noProof/>
          <w:lang w:val="es-MX" w:eastAsia="es-MX"/>
        </w:rPr>
        <w:drawing>
          <wp:inline distT="0" distB="0" distL="0" distR="0" wp14:anchorId="14CE0FD1" wp14:editId="404191BA">
            <wp:extent cx="4191000" cy="5366716"/>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149013.tmp"/>
                    <pic:cNvPicPr/>
                  </pic:nvPicPr>
                  <pic:blipFill>
                    <a:blip r:embed="rId9">
                      <a:extLst>
                        <a:ext uri="{28A0092B-C50C-407E-A947-70E740481C1C}">
                          <a14:useLocalDpi xmlns:a14="http://schemas.microsoft.com/office/drawing/2010/main" val="0"/>
                        </a:ext>
                      </a:extLst>
                    </a:blip>
                    <a:stretch>
                      <a:fillRect/>
                    </a:stretch>
                  </pic:blipFill>
                  <pic:spPr>
                    <a:xfrm>
                      <a:off x="0" y="0"/>
                      <a:ext cx="4196706" cy="5374022"/>
                    </a:xfrm>
                    <a:prstGeom prst="rect">
                      <a:avLst/>
                    </a:prstGeom>
                  </pic:spPr>
                </pic:pic>
              </a:graphicData>
            </a:graphic>
          </wp:inline>
        </w:drawing>
      </w:r>
    </w:p>
    <w:p w14:paraId="265BC91E" w14:textId="77777777" w:rsidR="006A2889" w:rsidRPr="006963F6" w:rsidRDefault="006A2889" w:rsidP="006A2889">
      <w:pPr>
        <w:spacing w:before="240" w:after="240" w:line="360" w:lineRule="auto"/>
        <w:jc w:val="center"/>
        <w:rPr>
          <w:rFonts w:ascii="Palatino Linotype" w:hAnsi="Palatino Linotype"/>
        </w:rPr>
      </w:pPr>
    </w:p>
    <w:p w14:paraId="2A3F3C8C" w14:textId="77777777" w:rsidR="006A2889" w:rsidRDefault="006A2889" w:rsidP="006A2889">
      <w:pPr>
        <w:spacing w:before="240" w:after="240" w:line="360" w:lineRule="auto"/>
        <w:jc w:val="center"/>
        <w:rPr>
          <w:rFonts w:ascii="Palatino Linotype" w:hAnsi="Palatino Linotype"/>
        </w:rPr>
      </w:pPr>
      <w:r>
        <w:rPr>
          <w:rFonts w:ascii="Palatino Linotype" w:hAnsi="Palatino Linotype"/>
          <w:noProof/>
          <w:lang w:val="es-MX" w:eastAsia="es-MX"/>
        </w:rPr>
        <w:drawing>
          <wp:inline distT="0" distB="0" distL="0" distR="0" wp14:anchorId="2E806D61" wp14:editId="0FF0EFCB">
            <wp:extent cx="5267325" cy="167681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14F575.tmp"/>
                    <pic:cNvPicPr/>
                  </pic:nvPicPr>
                  <pic:blipFill>
                    <a:blip r:embed="rId10">
                      <a:extLst>
                        <a:ext uri="{28A0092B-C50C-407E-A947-70E740481C1C}">
                          <a14:useLocalDpi xmlns:a14="http://schemas.microsoft.com/office/drawing/2010/main" val="0"/>
                        </a:ext>
                      </a:extLst>
                    </a:blip>
                    <a:stretch>
                      <a:fillRect/>
                    </a:stretch>
                  </pic:blipFill>
                  <pic:spPr>
                    <a:xfrm>
                      <a:off x="0" y="0"/>
                      <a:ext cx="5283127" cy="1681843"/>
                    </a:xfrm>
                    <a:prstGeom prst="rect">
                      <a:avLst/>
                    </a:prstGeom>
                  </pic:spPr>
                </pic:pic>
              </a:graphicData>
            </a:graphic>
          </wp:inline>
        </w:drawing>
      </w:r>
    </w:p>
    <w:p w14:paraId="5702869F" w14:textId="77777777" w:rsidR="006A2889" w:rsidRDefault="006A2889" w:rsidP="006A2889">
      <w:pPr>
        <w:autoSpaceDE w:val="0"/>
        <w:autoSpaceDN w:val="0"/>
        <w:adjustRightInd w:val="0"/>
        <w:spacing w:line="360" w:lineRule="auto"/>
        <w:ind w:right="49"/>
        <w:contextualSpacing/>
        <w:jc w:val="both"/>
        <w:rPr>
          <w:rFonts w:ascii="Palatino Linotype" w:eastAsiaTheme="minorHAnsi" w:hAnsi="Palatino Linotype" w:cs="Arial"/>
          <w:lang w:val="es-MX" w:eastAsia="en-US"/>
        </w:rPr>
      </w:pPr>
      <w:r w:rsidRPr="002C5A45">
        <w:rPr>
          <w:rFonts w:ascii="Palatino Linotype" w:eastAsiaTheme="minorHAnsi" w:hAnsi="Palatino Linotype" w:cs="Arial"/>
          <w:lang w:val="es-MX" w:eastAsia="en-US"/>
        </w:rPr>
        <w:t xml:space="preserve">De lo anteriormente expuesto, este Instituto advierte que tanto en la nómina general o recibos de pagos de salarios es donde se registran las remuneraciones otorgadas a los servidores públicos, las cuales de acuerdo con los artículos 127 de la </w:t>
      </w:r>
      <w:r w:rsidRPr="002C5A45">
        <w:rPr>
          <w:rFonts w:ascii="Palatino Linotype" w:eastAsiaTheme="minorHAnsi" w:hAnsi="Palatino Linotype" w:cs="Arial"/>
          <w:b/>
          <w:lang w:val="es-MX" w:eastAsia="en-US"/>
        </w:rPr>
        <w:t>Constitución Política de los Estados Unidos Mexicanos</w:t>
      </w:r>
      <w:r w:rsidRPr="002C5A45">
        <w:rPr>
          <w:rFonts w:ascii="Palatino Linotype" w:eastAsiaTheme="minorHAnsi" w:hAnsi="Palatino Linotype" w:cs="Arial"/>
          <w:lang w:val="es-MX" w:eastAsia="en-US"/>
        </w:rPr>
        <w:t xml:space="preserve"> y 3, fracción XXXII del </w:t>
      </w:r>
      <w:r w:rsidRPr="002C5A45">
        <w:rPr>
          <w:rFonts w:ascii="Palatino Linotype" w:eastAsiaTheme="minorHAnsi" w:hAnsi="Palatino Linotype" w:cs="Arial"/>
          <w:b/>
          <w:lang w:val="es-MX" w:eastAsia="en-US"/>
        </w:rPr>
        <w:t>Código Financiero del Estado de México y Municipios</w:t>
      </w:r>
      <w:r w:rsidRPr="002C5A45">
        <w:rPr>
          <w:rFonts w:ascii="Palatino Linotype" w:eastAsiaTheme="minorHAnsi" w:hAnsi="Palatino Linotype" w:cs="Arial"/>
          <w:lang w:val="es-MX" w:eastAsia="en-US"/>
        </w:rPr>
        <w:t>, constituyen toda percepción o pagos por concepto de sueldo, compensaciones, gratificaciones, habitación, primas, comisiones, prestaciones en especie, premios, recompensas, bonos, estímulos, dietas, aguinaldos, comisiones y cualquier otra prestación que se entregue a los servidores públicos por su trabajo.</w:t>
      </w:r>
    </w:p>
    <w:p w14:paraId="16F371B5" w14:textId="77777777" w:rsidR="006A2889" w:rsidRDefault="006A2889" w:rsidP="006A2889">
      <w:pPr>
        <w:spacing w:before="240" w:after="240" w:line="360" w:lineRule="auto"/>
        <w:jc w:val="both"/>
        <w:rPr>
          <w:rFonts w:ascii="Palatino Linotype" w:hAnsi="Palatino Linotype" w:cs="Arial"/>
        </w:rPr>
      </w:pPr>
      <w:r w:rsidRPr="00B272A6">
        <w:rPr>
          <w:rFonts w:ascii="Palatino Linotype" w:hAnsi="Palatino Linotype" w:cs="Arial"/>
        </w:rPr>
        <w:t xml:space="preserve">En este sentido, </w:t>
      </w:r>
      <w:r w:rsidRPr="00B272A6">
        <w:rPr>
          <w:rFonts w:ascii="Palatino Linotype" w:hAnsi="Palatino Linotype" w:cs="Arial"/>
          <w:b/>
        </w:rPr>
        <w:t>E</w:t>
      </w:r>
      <w:r>
        <w:rPr>
          <w:rFonts w:ascii="Palatino Linotype" w:hAnsi="Palatino Linotype" w:cs="Arial"/>
          <w:b/>
        </w:rPr>
        <w:t>l</w:t>
      </w:r>
      <w:r w:rsidRPr="00B272A6">
        <w:rPr>
          <w:rFonts w:ascii="Palatino Linotype" w:hAnsi="Palatino Linotype" w:cs="Arial"/>
          <w:b/>
        </w:rPr>
        <w:t xml:space="preserve"> </w:t>
      </w:r>
      <w:r>
        <w:rPr>
          <w:rFonts w:ascii="Palatino Linotype" w:hAnsi="Palatino Linotype" w:cs="Arial"/>
          <w:b/>
        </w:rPr>
        <w:t>Sujeto</w:t>
      </w:r>
      <w:r w:rsidRPr="00B272A6">
        <w:rPr>
          <w:rFonts w:ascii="Palatino Linotype" w:hAnsi="Palatino Linotype" w:cs="Arial"/>
          <w:b/>
        </w:rPr>
        <w:t xml:space="preserve"> </w:t>
      </w:r>
      <w:r>
        <w:rPr>
          <w:rFonts w:ascii="Palatino Linotype" w:hAnsi="Palatino Linotype" w:cs="Arial"/>
          <w:b/>
        </w:rPr>
        <w:t>Obligado</w:t>
      </w:r>
      <w:r w:rsidRPr="00B272A6">
        <w:rPr>
          <w:rFonts w:ascii="Palatino Linotype" w:hAnsi="Palatino Linotype" w:cs="Arial"/>
        </w:rPr>
        <w:t xml:space="preserve"> se encuentra constreñido a entregar la información solicitada por</w:t>
      </w:r>
      <w:r>
        <w:rPr>
          <w:rFonts w:ascii="Palatino Linotype" w:hAnsi="Palatino Linotype" w:cs="Arial"/>
        </w:rPr>
        <w:t xml:space="preserve"> </w:t>
      </w:r>
      <w:r>
        <w:rPr>
          <w:rFonts w:ascii="Palatino Linotype" w:hAnsi="Palatino Linotype" w:cs="Arial"/>
          <w:b/>
        </w:rPr>
        <w:t>El</w:t>
      </w:r>
      <w:r w:rsidRPr="00B272A6">
        <w:rPr>
          <w:rFonts w:ascii="Palatino Linotype" w:hAnsi="Palatino Linotype" w:cs="Arial"/>
          <w:b/>
          <w:color w:val="000000"/>
          <w:lang w:eastAsia="es-MX"/>
        </w:rPr>
        <w:t xml:space="preserve"> R</w:t>
      </w:r>
      <w:r>
        <w:rPr>
          <w:rFonts w:ascii="Palatino Linotype" w:hAnsi="Palatino Linotype" w:cs="Arial"/>
          <w:b/>
          <w:color w:val="000000"/>
          <w:lang w:eastAsia="es-MX"/>
        </w:rPr>
        <w:t>ecurrente</w:t>
      </w:r>
      <w:r w:rsidRPr="00B272A6">
        <w:rPr>
          <w:rFonts w:ascii="Palatino Linotype" w:hAnsi="Palatino Linotype" w:cs="Arial"/>
        </w:rPr>
        <w:t xml:space="preserve">, de acuerdo a lo dispuesto por los artículos 3, fracción XI y 12 </w:t>
      </w:r>
      <w:r w:rsidRPr="00B272A6">
        <w:rPr>
          <w:rFonts w:ascii="Palatino Linotype" w:hAnsi="Palatino Linotype" w:cs="Arial"/>
          <w:bCs/>
        </w:rPr>
        <w:t>de la Ley de Transparencia y Acceso a la Información Pública del Estado de México y Municipios</w:t>
      </w:r>
      <w:r w:rsidRPr="00B272A6">
        <w:rPr>
          <w:rFonts w:ascii="Palatino Linotype" w:hAnsi="Palatino Linotype" w:cs="Arial"/>
        </w:rPr>
        <w:t>, de los cuales se desprende que es información pública la contenida en los documentos que los Sujetos Obligados generen, administren o se encuentre en su posesión en ejercicio de sus atribuciones.</w:t>
      </w:r>
    </w:p>
    <w:p w14:paraId="145DEE78" w14:textId="77777777" w:rsidR="002309EF" w:rsidRPr="00CD51D5" w:rsidRDefault="002309EF" w:rsidP="002309EF">
      <w:pPr>
        <w:tabs>
          <w:tab w:val="left" w:pos="7938"/>
        </w:tabs>
        <w:spacing w:line="360" w:lineRule="auto"/>
        <w:jc w:val="both"/>
        <w:rPr>
          <w:rFonts w:ascii="Palatino Linotype" w:hAnsi="Palatino Linotype" w:cs="Arial"/>
        </w:rPr>
      </w:pPr>
      <w:r w:rsidRPr="00CD51D5">
        <w:rPr>
          <w:rFonts w:ascii="Palatino Linotype" w:hAnsi="Palatino Linotype" w:cs="Arial"/>
        </w:rPr>
        <w:lastRenderedPageBreak/>
        <w:t>Ahora bien, respecto del cambio de modalidad, para este Órgano Garante no se justifica dicho cambio, pues no se acredita las imposibilidades del personal para poder entregar la información vía SAIMEX, sólo se refiere que</w:t>
      </w:r>
      <w:r w:rsidRPr="00CD51D5">
        <w:rPr>
          <w:rFonts w:ascii="Palatino Linotype" w:hAnsi="Palatino Linotype" w:cs="Arial"/>
          <w:lang w:val="es-419"/>
        </w:rPr>
        <w:t xml:space="preserve"> </w:t>
      </w:r>
      <w:r w:rsidRPr="00CD51D5">
        <w:rPr>
          <w:rFonts w:ascii="Palatino Linotype" w:hAnsi="Palatino Linotype" w:cs="Arial"/>
          <w:i/>
          <w:iCs/>
          <w:color w:val="222222"/>
        </w:rPr>
        <w:t>“…</w:t>
      </w:r>
      <w:r w:rsidR="00A21F4B" w:rsidRPr="00CD51D5">
        <w:rPr>
          <w:rFonts w:ascii="Palatino Linotype" w:hAnsi="Palatino Linotype"/>
          <w:b/>
          <w:i/>
        </w:rPr>
        <w:t>la información solicitada implica el procesamiento de documentos, cuya entrega o reproducción sobrepasa las capacidades técnicas, administrativas y humanas del sujeto obligado</w:t>
      </w:r>
      <w:r w:rsidRPr="00CD51D5">
        <w:rPr>
          <w:rFonts w:ascii="Palatino Linotype" w:hAnsi="Palatino Linotype" w:cs="Arial"/>
          <w:i/>
          <w:iCs/>
          <w:color w:val="222222"/>
        </w:rPr>
        <w:t>”</w:t>
      </w:r>
      <w:r w:rsidRPr="00CD51D5">
        <w:rPr>
          <w:rFonts w:ascii="Palatino Linotype" w:hAnsi="Palatino Linotype" w:cs="Arial"/>
          <w:lang w:val="es-419"/>
        </w:rPr>
        <w:t>, sin embargo, son manifestaciones</w:t>
      </w:r>
      <w:r w:rsidRPr="00CD51D5">
        <w:rPr>
          <w:rFonts w:ascii="Palatino Linotype" w:hAnsi="Palatino Linotype" w:cs="Arial"/>
        </w:rPr>
        <w:t xml:space="preserve"> que no le hacen caer en cuenta a este Instituto que efectivamente se intentó subir la información al SAIMEX, y que por alguna cuestión técnica no logró cargarse en dicho sistema electrónico; </w:t>
      </w:r>
      <w:r w:rsidRPr="00CD51D5">
        <w:rPr>
          <w:rFonts w:ascii="Palatino Linotype" w:hAnsi="Palatino Linotype" w:cs="Arial"/>
          <w:lang w:val="es-419"/>
        </w:rPr>
        <w:t>e</w:t>
      </w:r>
      <w:r w:rsidRPr="00CD51D5">
        <w:rPr>
          <w:rFonts w:ascii="Palatino Linotype" w:hAnsi="Palatino Linotype" w:cs="Arial"/>
        </w:rPr>
        <w:t xml:space="preserve">l </w:t>
      </w:r>
      <w:r w:rsidRPr="00CD51D5">
        <w:rPr>
          <w:rFonts w:ascii="Palatino Linotype" w:hAnsi="Palatino Linotype" w:cs="Arial"/>
          <w:b/>
        </w:rPr>
        <w:t>Sujeto Obligado</w:t>
      </w:r>
      <w:r w:rsidRPr="00CD51D5">
        <w:rPr>
          <w:rFonts w:ascii="Palatino Linotype" w:hAnsi="Palatino Linotype" w:cs="Arial"/>
        </w:rPr>
        <w:t xml:space="preserve"> no demuestra porque </w:t>
      </w:r>
      <w:r w:rsidRPr="00CD51D5">
        <w:rPr>
          <w:rFonts w:ascii="Palatino Linotype" w:hAnsi="Palatino Linotype" w:cs="Arial"/>
          <w:lang w:val="es-419"/>
        </w:rPr>
        <w:t>la información solicitada</w:t>
      </w:r>
      <w:r w:rsidRPr="00CD51D5">
        <w:rPr>
          <w:rFonts w:ascii="Palatino Linotype" w:hAnsi="Palatino Linotype" w:cs="Arial"/>
        </w:rPr>
        <w:t xml:space="preserve"> no se puede escanear uno a uno</w:t>
      </w:r>
      <w:r w:rsidRPr="00CD51D5">
        <w:rPr>
          <w:rFonts w:ascii="Palatino Linotype" w:hAnsi="Palatino Linotype" w:cs="Arial"/>
          <w:lang w:val="es-419"/>
        </w:rPr>
        <w:t>, guardarlos en un archivo PDF</w:t>
      </w:r>
      <w:r w:rsidRPr="00CD51D5">
        <w:rPr>
          <w:rFonts w:ascii="Palatino Linotype" w:hAnsi="Palatino Linotype" w:cs="Arial"/>
        </w:rPr>
        <w:t xml:space="preserve"> y cargarlos al SAIMEX.</w:t>
      </w:r>
    </w:p>
    <w:p w14:paraId="72923088" w14:textId="77777777" w:rsidR="002309EF" w:rsidRPr="00CD51D5" w:rsidRDefault="002309EF" w:rsidP="002309EF">
      <w:pPr>
        <w:tabs>
          <w:tab w:val="left" w:pos="7938"/>
        </w:tabs>
        <w:spacing w:line="360" w:lineRule="auto"/>
        <w:jc w:val="center"/>
        <w:rPr>
          <w:rFonts w:ascii="Palatino Linotype" w:hAnsi="Palatino Linotype" w:cs="Arial"/>
        </w:rPr>
      </w:pPr>
    </w:p>
    <w:p w14:paraId="6D5CC16C" w14:textId="77777777" w:rsidR="002309EF" w:rsidRPr="00CD51D5" w:rsidRDefault="002309EF" w:rsidP="002309EF">
      <w:pPr>
        <w:tabs>
          <w:tab w:val="left" w:pos="7938"/>
        </w:tabs>
        <w:spacing w:line="360" w:lineRule="auto"/>
        <w:jc w:val="both"/>
        <w:rPr>
          <w:rFonts w:ascii="Palatino Linotype" w:hAnsi="Palatino Linotype" w:cs="Arial"/>
        </w:rPr>
      </w:pPr>
      <w:r w:rsidRPr="00CD51D5">
        <w:rPr>
          <w:rFonts w:ascii="Palatino Linotype" w:hAnsi="Palatino Linotype" w:cs="Arial"/>
        </w:rPr>
        <w:t>Bajo tal premisa, el numeral 158 de la Ley de Transparencia y Acceso a la Información Pública del Estado de México y Municipios, señala que cuando lo determine el sujeto obligado podrá solicitar el cambio de modalidad a consulta directa, en el supuesto de que la información se encuentre en su posesión y esta implique análisis, estudio o procesamiento de documentos y cuya entrega o reproducción sobrepase las capacidades técnicas, administrativas y humanas, para el cumplimiento de las obligaciones de transparencia,</w:t>
      </w:r>
      <w:r w:rsidRPr="00CD51D5">
        <w:rPr>
          <w:rFonts w:ascii="Palatino Linotype" w:hAnsi="Palatino Linotype" w:cs="Arial"/>
          <w:b/>
        </w:rPr>
        <w:t xml:space="preserve"> no siendo óbice mencionar que dicho cambio de modalidad de entrega deberá de estar debidamente fundado y motivado</w:t>
      </w:r>
      <w:r w:rsidRPr="00CD51D5">
        <w:rPr>
          <w:rFonts w:ascii="Palatino Linotype" w:hAnsi="Palatino Linotype" w:cs="Arial"/>
        </w:rPr>
        <w:t>, en el cual se expliquen las razones o motivos del cambio, exceptuando la información clasificada, la cual se deberá de respaldar de igual manera por un acuerdo de clasificación, y que como hasta aquí se ha analizado, no se realizó por parte del sujeto obligado, no esgrimió las razones o motivos por los cuales la entrega o reproducción sobrepasó sus capacidades técnicas, administrativas y humanas.</w:t>
      </w:r>
    </w:p>
    <w:p w14:paraId="1A753B5B" w14:textId="77777777" w:rsidR="002309EF" w:rsidRPr="00CD51D5" w:rsidRDefault="002309EF" w:rsidP="002309EF">
      <w:pPr>
        <w:tabs>
          <w:tab w:val="left" w:pos="7938"/>
        </w:tabs>
        <w:spacing w:line="360" w:lineRule="auto"/>
        <w:jc w:val="both"/>
        <w:rPr>
          <w:rFonts w:ascii="Palatino Linotype" w:hAnsi="Palatino Linotype" w:cs="Arial"/>
        </w:rPr>
      </w:pPr>
    </w:p>
    <w:p w14:paraId="1E72D3EC" w14:textId="77777777" w:rsidR="002309EF" w:rsidRPr="00CD51D5" w:rsidRDefault="002309EF" w:rsidP="002309EF">
      <w:pPr>
        <w:tabs>
          <w:tab w:val="left" w:pos="7938"/>
        </w:tabs>
        <w:spacing w:line="360" w:lineRule="auto"/>
        <w:jc w:val="both"/>
        <w:rPr>
          <w:rFonts w:ascii="Palatino Linotype" w:hAnsi="Palatino Linotype" w:cs="Arial"/>
        </w:rPr>
      </w:pPr>
      <w:r w:rsidRPr="00CD51D5">
        <w:rPr>
          <w:rFonts w:ascii="Palatino Linotype" w:hAnsi="Palatino Linotype" w:cs="Arial"/>
        </w:rPr>
        <w:lastRenderedPageBreak/>
        <w:t>Por lo anterior, de la respuesta otorgada por el Sujeto Obligado no se denota que se actualicen los supuestos establecidos en el numeral 158 y 164 de la Ley de Transparencia local vigente.</w:t>
      </w:r>
    </w:p>
    <w:p w14:paraId="3638D19D" w14:textId="77777777" w:rsidR="002309EF" w:rsidRPr="00CD51D5" w:rsidRDefault="002309EF" w:rsidP="002309EF">
      <w:pPr>
        <w:tabs>
          <w:tab w:val="left" w:pos="7938"/>
        </w:tabs>
        <w:spacing w:line="360" w:lineRule="auto"/>
        <w:jc w:val="both"/>
        <w:rPr>
          <w:rFonts w:ascii="Palatino Linotype" w:hAnsi="Palatino Linotype" w:cs="Arial"/>
        </w:rPr>
      </w:pPr>
    </w:p>
    <w:p w14:paraId="3CCE3573" w14:textId="77777777" w:rsidR="002309EF" w:rsidRDefault="002309EF" w:rsidP="002309EF">
      <w:pPr>
        <w:tabs>
          <w:tab w:val="left" w:pos="7938"/>
        </w:tabs>
        <w:spacing w:line="360" w:lineRule="auto"/>
        <w:jc w:val="both"/>
        <w:rPr>
          <w:rFonts w:ascii="Palatino Linotype" w:hAnsi="Palatino Linotype" w:cs="Arial"/>
        </w:rPr>
      </w:pPr>
      <w:r w:rsidRPr="00CD51D5">
        <w:rPr>
          <w:rFonts w:ascii="Palatino Linotype" w:hAnsi="Palatino Linotype" w:cs="Arial"/>
        </w:rPr>
        <w:t>Asimismo, no se aprecia que el sujeto obligado haya aportado mayores elementos para justificar el cambio de modalidad</w:t>
      </w:r>
      <w:r w:rsidR="00A21F4B" w:rsidRPr="00CD51D5">
        <w:rPr>
          <w:rFonts w:ascii="Palatino Linotype" w:hAnsi="Palatino Linotype" w:cs="Arial"/>
        </w:rPr>
        <w:t>, ya que únicamente se solicitó la nómina del mes de agosto de 2024, es decir la conciliación de nómina de dos quincenas, no así recibos de nómina o CFDI, razón por la que no se justifica el cambio de modalidad.</w:t>
      </w:r>
    </w:p>
    <w:p w14:paraId="4DE54635" w14:textId="77777777" w:rsidR="002309EF" w:rsidRDefault="002309EF" w:rsidP="006A2889">
      <w:pPr>
        <w:autoSpaceDE w:val="0"/>
        <w:autoSpaceDN w:val="0"/>
        <w:adjustRightInd w:val="0"/>
        <w:spacing w:before="240" w:after="160" w:line="360" w:lineRule="auto"/>
        <w:jc w:val="both"/>
        <w:rPr>
          <w:rFonts w:ascii="Palatino Linotype" w:eastAsiaTheme="minorHAnsi" w:hAnsi="Palatino Linotype" w:cs="Arial"/>
          <w:lang w:val="es-MX" w:eastAsia="en-US"/>
        </w:rPr>
      </w:pPr>
    </w:p>
    <w:p w14:paraId="6FC33964" w14:textId="77777777" w:rsidR="006A2889" w:rsidRPr="002C5A45" w:rsidRDefault="006A2889" w:rsidP="006A2889">
      <w:pPr>
        <w:autoSpaceDE w:val="0"/>
        <w:autoSpaceDN w:val="0"/>
        <w:adjustRightInd w:val="0"/>
        <w:spacing w:before="240" w:after="160" w:line="360" w:lineRule="auto"/>
        <w:jc w:val="both"/>
        <w:rPr>
          <w:rFonts w:ascii="Palatino Linotype" w:eastAsiaTheme="minorHAnsi" w:hAnsi="Palatino Linotype" w:cs="Arial"/>
          <w:lang w:val="es-MX" w:eastAsia="en-US"/>
        </w:rPr>
      </w:pPr>
      <w:r w:rsidRPr="002C5A45">
        <w:rPr>
          <w:rFonts w:ascii="Palatino Linotype" w:eastAsiaTheme="minorHAnsi" w:hAnsi="Palatino Linotype" w:cs="Arial"/>
          <w:lang w:val="es-MX" w:eastAsia="en-US"/>
        </w:rPr>
        <w:t xml:space="preserve">De manera complementaria, resulta oportuno traer a colación los artículos 24 fracción XII y 92, fracción VIII de la Ley de Transparencia y Acceso a la Información Pública del Estado de México y Municipios, cuyo contenido literal es el siguiente: </w:t>
      </w:r>
    </w:p>
    <w:p w14:paraId="2F7D9EE0" w14:textId="77777777" w:rsidR="006A2889" w:rsidRPr="002C5A45" w:rsidRDefault="006A2889" w:rsidP="006A2889">
      <w:pPr>
        <w:autoSpaceDE w:val="0"/>
        <w:autoSpaceDN w:val="0"/>
        <w:adjustRightInd w:val="0"/>
        <w:spacing w:before="240" w:after="160" w:line="360" w:lineRule="auto"/>
        <w:ind w:left="851" w:right="851"/>
        <w:jc w:val="both"/>
        <w:rPr>
          <w:rFonts w:ascii="Palatino Linotype" w:eastAsiaTheme="minorHAnsi" w:hAnsi="Palatino Linotype" w:cs="Arial"/>
          <w:b/>
          <w:bCs/>
          <w:i/>
          <w:color w:val="000000"/>
          <w:sz w:val="22"/>
          <w:szCs w:val="22"/>
          <w:lang w:val="es-MX" w:eastAsia="en-US"/>
        </w:rPr>
      </w:pPr>
      <w:r w:rsidRPr="002C5A45">
        <w:rPr>
          <w:rFonts w:ascii="Palatino Linotype" w:eastAsiaTheme="minorHAnsi" w:hAnsi="Palatino Linotype" w:cs="Arial"/>
          <w:b/>
          <w:bCs/>
          <w:i/>
          <w:color w:val="000000"/>
          <w:sz w:val="22"/>
          <w:szCs w:val="22"/>
          <w:lang w:val="es-MX" w:eastAsia="en-US"/>
        </w:rPr>
        <w:t xml:space="preserve">“Artículo 24. </w:t>
      </w:r>
      <w:r w:rsidRPr="002C5A45">
        <w:rPr>
          <w:rFonts w:ascii="Palatino Linotype" w:eastAsiaTheme="minorHAnsi" w:hAnsi="Palatino Linotype" w:cs="Arial"/>
          <w:i/>
          <w:color w:val="000000"/>
          <w:sz w:val="22"/>
          <w:szCs w:val="22"/>
          <w:lang w:val="es-MX" w:eastAsia="en-US"/>
        </w:rPr>
        <w:t>Para el cumplimiento de los objetivos de esta Ley, los sujetos obligados deberán cumplir con las siguientes obligaciones, según corresponda, de acuerdo a su naturaleza:</w:t>
      </w:r>
    </w:p>
    <w:p w14:paraId="0144C06F" w14:textId="77777777" w:rsidR="006A2889" w:rsidRPr="002C5A45" w:rsidRDefault="006A2889" w:rsidP="006A2889">
      <w:pPr>
        <w:autoSpaceDE w:val="0"/>
        <w:autoSpaceDN w:val="0"/>
        <w:adjustRightInd w:val="0"/>
        <w:spacing w:before="240" w:after="160" w:line="360" w:lineRule="auto"/>
        <w:ind w:left="851" w:right="851"/>
        <w:jc w:val="both"/>
        <w:rPr>
          <w:rFonts w:ascii="Palatino Linotype" w:eastAsiaTheme="minorHAnsi" w:hAnsi="Palatino Linotype" w:cs="Arial"/>
          <w:b/>
          <w:bCs/>
          <w:i/>
          <w:color w:val="000000"/>
          <w:sz w:val="22"/>
          <w:szCs w:val="22"/>
          <w:lang w:val="es-MX" w:eastAsia="en-US"/>
        </w:rPr>
      </w:pPr>
      <w:r w:rsidRPr="002C5A45">
        <w:rPr>
          <w:rFonts w:ascii="Palatino Linotype" w:eastAsiaTheme="minorHAnsi" w:hAnsi="Palatino Linotype" w:cs="Arial"/>
          <w:b/>
          <w:bCs/>
          <w:i/>
          <w:color w:val="000000"/>
          <w:sz w:val="22"/>
          <w:szCs w:val="22"/>
          <w:lang w:val="es-MX" w:eastAsia="en-US"/>
        </w:rPr>
        <w:t xml:space="preserve">XII. </w:t>
      </w:r>
      <w:r w:rsidRPr="002C5A45">
        <w:rPr>
          <w:rFonts w:ascii="Palatino Linotype" w:eastAsiaTheme="minorHAnsi" w:hAnsi="Palatino Linotype" w:cs="Arial"/>
          <w:b/>
          <w:i/>
          <w:color w:val="000000"/>
          <w:sz w:val="22"/>
          <w:szCs w:val="22"/>
          <w:u w:val="single"/>
          <w:lang w:val="es-MX" w:eastAsia="en-US"/>
        </w:rPr>
        <w:t>Publicar y mantener actualizada la información relativa a las obligaciones generales de transparencia</w:t>
      </w:r>
      <w:r w:rsidRPr="002C5A45">
        <w:rPr>
          <w:rFonts w:ascii="Palatino Linotype" w:eastAsiaTheme="minorHAnsi" w:hAnsi="Palatino Linotype" w:cs="Arial"/>
          <w:i/>
          <w:color w:val="000000"/>
          <w:sz w:val="22"/>
          <w:szCs w:val="22"/>
          <w:lang w:val="es-MX" w:eastAsia="en-US"/>
        </w:rPr>
        <w:t xml:space="preserve"> previstas en la presente Ley o determinadas así por el Instituto, y en general aquella que sea de interés público;</w:t>
      </w:r>
    </w:p>
    <w:p w14:paraId="4597199F" w14:textId="77777777" w:rsidR="006A2889" w:rsidRPr="002C5A45" w:rsidRDefault="006A2889" w:rsidP="006A2889">
      <w:pPr>
        <w:autoSpaceDE w:val="0"/>
        <w:autoSpaceDN w:val="0"/>
        <w:adjustRightInd w:val="0"/>
        <w:spacing w:before="240" w:after="160" w:line="360" w:lineRule="auto"/>
        <w:ind w:left="851" w:right="851"/>
        <w:jc w:val="both"/>
        <w:rPr>
          <w:rFonts w:ascii="Palatino Linotype" w:eastAsiaTheme="minorHAnsi" w:hAnsi="Palatino Linotype" w:cs="Arial"/>
          <w:i/>
          <w:color w:val="000000"/>
          <w:sz w:val="22"/>
          <w:szCs w:val="22"/>
          <w:lang w:val="es-MX" w:eastAsia="en-US"/>
        </w:rPr>
      </w:pPr>
      <w:r w:rsidRPr="002C5A45">
        <w:rPr>
          <w:rFonts w:ascii="Palatino Linotype" w:eastAsiaTheme="minorHAnsi" w:hAnsi="Palatino Linotype" w:cs="Arial"/>
          <w:b/>
          <w:bCs/>
          <w:i/>
          <w:color w:val="000000"/>
          <w:sz w:val="22"/>
          <w:szCs w:val="22"/>
          <w:lang w:val="es-MX" w:eastAsia="en-US"/>
        </w:rPr>
        <w:t xml:space="preserve">Artículo 92. </w:t>
      </w:r>
      <w:r w:rsidRPr="002C5A45">
        <w:rPr>
          <w:rFonts w:ascii="Palatino Linotype" w:eastAsiaTheme="minorHAnsi" w:hAnsi="Palatino Linotype" w:cs="Arial"/>
          <w:i/>
          <w:color w:val="000000"/>
          <w:sz w:val="22"/>
          <w:szCs w:val="22"/>
          <w:lang w:val="es-MX" w:eastAsia="en-US"/>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50BEC48D" w14:textId="77777777" w:rsidR="006A2889" w:rsidRPr="002C5A45" w:rsidRDefault="006A2889" w:rsidP="006A2889">
      <w:pPr>
        <w:autoSpaceDE w:val="0"/>
        <w:autoSpaceDN w:val="0"/>
        <w:adjustRightInd w:val="0"/>
        <w:spacing w:before="240" w:after="160" w:line="360" w:lineRule="auto"/>
        <w:ind w:left="851" w:right="851"/>
        <w:jc w:val="both"/>
        <w:rPr>
          <w:rFonts w:ascii="Palatino Linotype" w:eastAsiaTheme="minorHAnsi" w:hAnsi="Palatino Linotype" w:cs="Arial"/>
          <w:i/>
          <w:color w:val="000000"/>
          <w:sz w:val="22"/>
          <w:szCs w:val="22"/>
          <w:lang w:val="es-MX" w:eastAsia="en-US"/>
        </w:rPr>
      </w:pPr>
      <w:r w:rsidRPr="002C5A45">
        <w:rPr>
          <w:rFonts w:ascii="Palatino Linotype" w:eastAsiaTheme="minorHAnsi" w:hAnsi="Palatino Linotype" w:cs="Arial"/>
          <w:b/>
          <w:bCs/>
          <w:i/>
          <w:color w:val="000000"/>
          <w:sz w:val="22"/>
          <w:szCs w:val="22"/>
          <w:lang w:val="es-MX" w:eastAsia="en-US"/>
        </w:rPr>
        <w:lastRenderedPageBreak/>
        <w:t>(…</w:t>
      </w:r>
      <w:r w:rsidRPr="002C5A45">
        <w:rPr>
          <w:rFonts w:ascii="Palatino Linotype" w:eastAsiaTheme="minorHAnsi" w:hAnsi="Palatino Linotype" w:cs="Arial"/>
          <w:i/>
          <w:color w:val="000000"/>
          <w:sz w:val="22"/>
          <w:szCs w:val="22"/>
          <w:lang w:val="es-MX" w:eastAsia="en-US"/>
        </w:rPr>
        <w:t>)</w:t>
      </w:r>
    </w:p>
    <w:p w14:paraId="418727B8" w14:textId="77777777" w:rsidR="006A2889" w:rsidRPr="002C5A45" w:rsidRDefault="006A2889" w:rsidP="006A2889">
      <w:pPr>
        <w:autoSpaceDE w:val="0"/>
        <w:autoSpaceDN w:val="0"/>
        <w:adjustRightInd w:val="0"/>
        <w:spacing w:before="240" w:after="160" w:line="360" w:lineRule="auto"/>
        <w:ind w:left="851" w:right="851"/>
        <w:jc w:val="both"/>
        <w:rPr>
          <w:rFonts w:ascii="Palatino Linotype" w:eastAsiaTheme="minorHAnsi" w:hAnsi="Palatino Linotype" w:cstheme="minorBidi"/>
          <w:b/>
          <w:i/>
          <w:sz w:val="22"/>
          <w:szCs w:val="22"/>
          <w:u w:val="single"/>
          <w:lang w:val="es-MX" w:eastAsia="en-US"/>
        </w:rPr>
      </w:pPr>
      <w:r w:rsidRPr="002C5A45">
        <w:rPr>
          <w:rFonts w:ascii="Palatino Linotype" w:eastAsiaTheme="minorHAnsi" w:hAnsi="Palatino Linotype" w:cstheme="minorBidi"/>
          <w:b/>
          <w:bCs/>
          <w:i/>
          <w:sz w:val="22"/>
          <w:szCs w:val="22"/>
          <w:u w:val="single"/>
          <w:lang w:val="es-MX" w:eastAsia="en-US"/>
        </w:rPr>
        <w:t xml:space="preserve">VIII. </w:t>
      </w:r>
      <w:r w:rsidRPr="002C5A45">
        <w:rPr>
          <w:rFonts w:ascii="Palatino Linotype" w:eastAsiaTheme="minorHAnsi" w:hAnsi="Palatino Linotype" w:cstheme="minorBidi"/>
          <w:b/>
          <w:i/>
          <w:sz w:val="22"/>
          <w:szCs w:val="22"/>
          <w:u w:val="single"/>
          <w:lang w:val="es-MX" w:eastAsia="en-US"/>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790B9728" w14:textId="77777777" w:rsidR="006A2889" w:rsidRPr="002C5A45" w:rsidRDefault="006A2889" w:rsidP="006A2889">
      <w:pPr>
        <w:autoSpaceDE w:val="0"/>
        <w:autoSpaceDN w:val="0"/>
        <w:adjustRightInd w:val="0"/>
        <w:spacing w:before="240" w:after="160" w:line="360" w:lineRule="auto"/>
        <w:ind w:left="851" w:right="851"/>
        <w:jc w:val="both"/>
        <w:rPr>
          <w:rFonts w:ascii="Palatino Linotype" w:eastAsiaTheme="minorHAnsi" w:hAnsi="Palatino Linotype" w:cstheme="minorBidi"/>
          <w:b/>
          <w:i/>
          <w:sz w:val="22"/>
          <w:szCs w:val="22"/>
          <w:u w:val="single"/>
          <w:lang w:val="es-MX" w:eastAsia="en-US"/>
        </w:rPr>
      </w:pPr>
      <w:r w:rsidRPr="002C5A45">
        <w:rPr>
          <w:rFonts w:ascii="Palatino Linotype" w:eastAsiaTheme="minorHAnsi" w:hAnsi="Palatino Linotype" w:cstheme="minorBidi"/>
          <w:b/>
          <w:i/>
          <w:sz w:val="22"/>
          <w:szCs w:val="22"/>
          <w:u w:val="single"/>
          <w:lang w:val="es-MX" w:eastAsia="en-US"/>
        </w:rPr>
        <w:t>(…)”</w:t>
      </w:r>
      <w:r w:rsidRPr="002C5A45">
        <w:rPr>
          <w:rFonts w:ascii="Palatino Linotype" w:eastAsiaTheme="minorHAnsi" w:hAnsi="Palatino Linotype" w:cstheme="minorBidi"/>
          <w:i/>
          <w:sz w:val="22"/>
          <w:szCs w:val="22"/>
          <w:u w:val="single"/>
          <w:lang w:val="es-MX" w:eastAsia="en-US"/>
        </w:rPr>
        <w:t xml:space="preserve"> </w:t>
      </w:r>
      <w:r w:rsidRPr="002C5A45">
        <w:rPr>
          <w:rFonts w:ascii="Palatino Linotype" w:eastAsiaTheme="minorHAnsi" w:hAnsi="Palatino Linotype" w:cstheme="minorBidi"/>
          <w:b/>
          <w:i/>
          <w:sz w:val="22"/>
          <w:szCs w:val="22"/>
          <w:u w:val="single"/>
          <w:lang w:val="es-MX" w:eastAsia="en-US"/>
        </w:rPr>
        <w:t>[Sic]</w:t>
      </w:r>
    </w:p>
    <w:p w14:paraId="4CB2C727" w14:textId="77777777" w:rsidR="006A2889" w:rsidRDefault="006A2889" w:rsidP="006A2889">
      <w:pPr>
        <w:spacing w:line="360" w:lineRule="auto"/>
        <w:contextualSpacing/>
        <w:jc w:val="both"/>
        <w:rPr>
          <w:rFonts w:ascii="Palatino Linotype" w:eastAsia="Palatino Linotype" w:hAnsi="Palatino Linotype" w:cs="Palatino Linotype"/>
        </w:rPr>
      </w:pPr>
    </w:p>
    <w:p w14:paraId="018EF31F" w14:textId="77777777" w:rsidR="006A2889" w:rsidRDefault="006A2889" w:rsidP="006A2889">
      <w:pPr>
        <w:tabs>
          <w:tab w:val="left" w:pos="2130"/>
        </w:tabs>
        <w:spacing w:line="360" w:lineRule="auto"/>
        <w:jc w:val="both"/>
        <w:rPr>
          <w:rFonts w:ascii="Palatino Linotype" w:eastAsia="Calibri" w:hAnsi="Palatino Linotype" w:cs="Tahoma"/>
          <w:bCs/>
        </w:rPr>
      </w:pPr>
    </w:p>
    <w:p w14:paraId="64119878" w14:textId="77777777" w:rsidR="006A2889" w:rsidRDefault="006A2889" w:rsidP="006A2889">
      <w:pPr>
        <w:autoSpaceDE w:val="0"/>
        <w:autoSpaceDN w:val="0"/>
        <w:adjustRightInd w:val="0"/>
        <w:spacing w:line="360" w:lineRule="auto"/>
        <w:contextualSpacing/>
        <w:jc w:val="both"/>
        <w:rPr>
          <w:rFonts w:ascii="Palatino Linotype" w:hAnsi="Palatino Linotype" w:cs="Arial"/>
          <w:b/>
          <w:i/>
          <w:sz w:val="28"/>
        </w:rPr>
      </w:pPr>
      <w:r w:rsidRPr="002444BB">
        <w:rPr>
          <w:rFonts w:ascii="Palatino Linotype" w:hAnsi="Palatino Linotype" w:cs="Arial"/>
          <w:b/>
          <w:i/>
          <w:sz w:val="28"/>
        </w:rPr>
        <w:t>De la versión pública</w:t>
      </w:r>
    </w:p>
    <w:p w14:paraId="121313E2" w14:textId="77777777" w:rsidR="006A2889" w:rsidRPr="0039499D" w:rsidRDefault="006A2889" w:rsidP="006A2889">
      <w:pPr>
        <w:spacing w:line="360" w:lineRule="auto"/>
        <w:jc w:val="both"/>
        <w:rPr>
          <w:rFonts w:ascii="Palatino Linotype" w:hAnsi="Palatino Linotype" w:cs="Arial"/>
        </w:rPr>
      </w:pPr>
      <w:r>
        <w:rPr>
          <w:rFonts w:ascii="Palatino Linotype" w:hAnsi="Palatino Linotype" w:cs="Arial"/>
        </w:rPr>
        <w:t>E</w:t>
      </w:r>
      <w:r w:rsidRPr="0039499D">
        <w:rPr>
          <w:rFonts w:ascii="Palatino Linotype" w:hAnsi="Palatino Linotype" w:cs="Arial"/>
        </w:rPr>
        <w:t xml:space="preserve">ste Órgano Garante determina ordenar que la entrega de la información al </w:t>
      </w:r>
      <w:r w:rsidRPr="0039499D">
        <w:rPr>
          <w:rFonts w:ascii="Palatino Linotype" w:hAnsi="Palatino Linotype" w:cs="Arial"/>
          <w:b/>
        </w:rPr>
        <w:t>Recurrente</w:t>
      </w:r>
      <w:r w:rsidRPr="0039499D">
        <w:rPr>
          <w:rFonts w:ascii="Palatino Linotype" w:hAnsi="Palatino Linotype" w:cs="Arial"/>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00EE6D58" w14:textId="77777777" w:rsidR="006A2889" w:rsidRPr="0039499D" w:rsidRDefault="006A2889" w:rsidP="006A2889">
      <w:pPr>
        <w:spacing w:line="360" w:lineRule="auto"/>
        <w:jc w:val="both"/>
        <w:rPr>
          <w:rFonts w:ascii="Palatino Linotype" w:hAnsi="Palatino Linotype" w:cs="Arial"/>
        </w:rPr>
      </w:pPr>
    </w:p>
    <w:p w14:paraId="55E56AD6"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A este respecto, los artículos 3, fracciones IX, XX, XXI y XLV; 51 y 52, de la Ley de Transparencia y Acceso a la Información Pública del Estado de México y Municipios establecen:</w:t>
      </w:r>
    </w:p>
    <w:p w14:paraId="5D40717A" w14:textId="77777777" w:rsidR="006A2889" w:rsidRPr="0039499D" w:rsidRDefault="006A2889" w:rsidP="006A2889">
      <w:pPr>
        <w:spacing w:line="360" w:lineRule="auto"/>
        <w:jc w:val="both"/>
        <w:rPr>
          <w:rFonts w:ascii="Palatino Linotype" w:hAnsi="Palatino Linotype" w:cs="Arial"/>
        </w:rPr>
      </w:pPr>
    </w:p>
    <w:p w14:paraId="0C4E438B"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Artículo 3.</w:t>
      </w:r>
      <w:r w:rsidRPr="0039499D">
        <w:rPr>
          <w:rFonts w:ascii="Palatino Linotype" w:hAnsi="Palatino Linotype" w:cs="Arial"/>
          <w:i/>
        </w:rPr>
        <w:t xml:space="preserve"> Para los efectos de la presente Ley se entenderá por: </w:t>
      </w:r>
    </w:p>
    <w:p w14:paraId="3181E664"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w:t>
      </w:r>
    </w:p>
    <w:p w14:paraId="5F705B53"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IX</w:t>
      </w:r>
      <w:r w:rsidRPr="0039499D">
        <w:rPr>
          <w:rFonts w:ascii="Palatino Linotype" w:hAnsi="Palatino Linotype" w:cs="Arial"/>
          <w:i/>
        </w:rPr>
        <w:t xml:space="preserve">. </w:t>
      </w:r>
      <w:r w:rsidRPr="0039499D">
        <w:rPr>
          <w:rFonts w:ascii="Palatino Linotype" w:hAnsi="Palatino Linotype" w:cs="Arial"/>
          <w:b/>
          <w:i/>
        </w:rPr>
        <w:t>Datos personales:</w:t>
      </w:r>
      <w:r w:rsidRPr="0039499D">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746C668D" w14:textId="77777777" w:rsidR="006A2889" w:rsidRPr="0039499D" w:rsidRDefault="006A2889" w:rsidP="006A2889">
      <w:pPr>
        <w:spacing w:line="276" w:lineRule="auto"/>
        <w:ind w:left="567" w:right="567"/>
        <w:jc w:val="both"/>
        <w:rPr>
          <w:rFonts w:ascii="Palatino Linotype" w:hAnsi="Palatino Linotype" w:cs="Arial"/>
          <w:i/>
        </w:rPr>
      </w:pPr>
    </w:p>
    <w:p w14:paraId="7DA72289"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XX. Información clasificada:</w:t>
      </w:r>
      <w:r w:rsidRPr="0039499D">
        <w:rPr>
          <w:rFonts w:ascii="Palatino Linotype" w:hAnsi="Palatino Linotype" w:cs="Arial"/>
          <w:i/>
        </w:rPr>
        <w:t xml:space="preserve"> Aquella considerada por la presente Ley como reservada o confidencial; </w:t>
      </w:r>
    </w:p>
    <w:p w14:paraId="0FE4D097" w14:textId="77777777" w:rsidR="006A2889" w:rsidRPr="0039499D" w:rsidRDefault="006A2889" w:rsidP="006A2889">
      <w:pPr>
        <w:spacing w:line="276" w:lineRule="auto"/>
        <w:ind w:left="567" w:right="567"/>
        <w:jc w:val="both"/>
        <w:rPr>
          <w:rFonts w:ascii="Palatino Linotype" w:hAnsi="Palatino Linotype" w:cs="Arial"/>
          <w:i/>
        </w:rPr>
      </w:pPr>
    </w:p>
    <w:p w14:paraId="5822FD35"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XXI. Información confidencial:</w:t>
      </w:r>
      <w:r w:rsidRPr="0039499D">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158B79D"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XLV. Versión pública:</w:t>
      </w:r>
      <w:r w:rsidRPr="0039499D">
        <w:rPr>
          <w:rFonts w:ascii="Palatino Linotype" w:hAnsi="Palatino Linotype" w:cs="Arial"/>
          <w:i/>
        </w:rPr>
        <w:t xml:space="preserve"> Documento en el que se elimine, suprime o borra la información clasificada como reservada o confidencial para permitir su acceso. </w:t>
      </w:r>
    </w:p>
    <w:p w14:paraId="5388E850" w14:textId="77777777" w:rsidR="006A2889" w:rsidRPr="0039499D" w:rsidRDefault="006A2889" w:rsidP="006A2889">
      <w:pPr>
        <w:spacing w:line="276" w:lineRule="auto"/>
        <w:ind w:left="567" w:right="567"/>
        <w:jc w:val="both"/>
        <w:rPr>
          <w:rFonts w:ascii="Palatino Linotype" w:hAnsi="Palatino Linotype" w:cs="Arial"/>
          <w:i/>
        </w:rPr>
      </w:pPr>
    </w:p>
    <w:p w14:paraId="46451C94"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 xml:space="preserve">Artículo 51. </w:t>
      </w:r>
      <w:r w:rsidRPr="0039499D">
        <w:rPr>
          <w:rFonts w:ascii="Palatino Linotype" w:hAnsi="Palatino Linotype" w:cs="Arial"/>
          <w:i/>
        </w:rPr>
        <w:t xml:space="preserve">Los sujetos obligados designaran a un responsable para atender la Unidad de Transparencia, quien fungirá como enlace entre éstos y los solicitantes. Dicha Unidad será la encargada de tramitar internamente la solicitud de información </w:t>
      </w:r>
      <w:r w:rsidRPr="0039499D">
        <w:rPr>
          <w:rFonts w:ascii="Palatino Linotype" w:hAnsi="Palatino Linotype" w:cs="Arial"/>
          <w:b/>
          <w:i/>
        </w:rPr>
        <w:t>y tendrá la responsabilidad de verificar en cada caso que la misma no sea confidencial o reservada</w:t>
      </w:r>
      <w:r w:rsidRPr="0039499D">
        <w:rPr>
          <w:rFonts w:ascii="Palatino Linotype" w:hAnsi="Palatino Linotype" w:cs="Arial"/>
          <w:i/>
        </w:rPr>
        <w:t xml:space="preserve">. Dicha Unidad contará con las facultades internas necesarias para gestionar la atención a las solicitudes de información en los términos de la Ley General y la presente Ley. </w:t>
      </w:r>
    </w:p>
    <w:p w14:paraId="64663999" w14:textId="77777777" w:rsidR="006A2889" w:rsidRPr="0039499D" w:rsidRDefault="006A2889" w:rsidP="006A2889">
      <w:pPr>
        <w:spacing w:line="276" w:lineRule="auto"/>
        <w:ind w:left="567" w:right="567"/>
        <w:jc w:val="both"/>
        <w:rPr>
          <w:rFonts w:ascii="Palatino Linotype" w:hAnsi="Palatino Linotype" w:cs="Arial"/>
          <w:i/>
        </w:rPr>
      </w:pPr>
    </w:p>
    <w:p w14:paraId="40BC88A2"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Artículo 52.</w:t>
      </w:r>
      <w:r w:rsidRPr="0039499D">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1BD297D4" w14:textId="77777777" w:rsidR="006A2889" w:rsidRPr="0039499D" w:rsidRDefault="006A2889" w:rsidP="006A2889">
      <w:pPr>
        <w:spacing w:line="360" w:lineRule="auto"/>
        <w:jc w:val="both"/>
        <w:rPr>
          <w:rFonts w:ascii="Palatino Linotype" w:hAnsi="Palatino Linotype" w:cs="Arial"/>
        </w:rPr>
      </w:pPr>
    </w:p>
    <w:p w14:paraId="791765D8"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w:t>
      </w:r>
      <w:r w:rsidRPr="0039499D">
        <w:rPr>
          <w:rFonts w:ascii="Palatino Linotype" w:hAnsi="Palatino Linotype" w:cs="Arial"/>
        </w:rPr>
        <w:lastRenderedPageBreak/>
        <w:t xml:space="preserve">anterior, en términos de lo dispuesto por el artículo 22, con relación con el 38, de la Ley de Protección de Datos Personales en Posesión de Sujetos Obligados del Estado de México y Municipios, los cuales se transcriben para mayor referencia: </w:t>
      </w:r>
    </w:p>
    <w:p w14:paraId="11AB1AC3" w14:textId="77777777" w:rsidR="006A2889" w:rsidRPr="0039499D" w:rsidRDefault="006A2889" w:rsidP="006A2889">
      <w:pPr>
        <w:spacing w:line="360" w:lineRule="auto"/>
        <w:jc w:val="both"/>
        <w:rPr>
          <w:rFonts w:ascii="Palatino Linotype" w:hAnsi="Palatino Linotype" w:cs="Arial"/>
        </w:rPr>
      </w:pPr>
    </w:p>
    <w:p w14:paraId="6C2E7817"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Artículo 22.</w:t>
      </w:r>
      <w:r w:rsidRPr="0039499D">
        <w:rPr>
          <w:rFonts w:ascii="Palatino Linotype" w:hAnsi="Palatino Linotype" w:cs="Arial"/>
          <w:i/>
        </w:rPr>
        <w:t xml:space="preserve"> Todo tratamiento de datos personales que efectúe el responsable deberá estar justificado por finalidades concretas, lícitas, explícitas y legítimas, relacionadas con las atribuciones que la normatividad aplicable les confiera.</w:t>
      </w:r>
    </w:p>
    <w:p w14:paraId="4DC1EE9C" w14:textId="77777777" w:rsidR="006A2889" w:rsidRPr="0039499D" w:rsidRDefault="006A2889" w:rsidP="006A2889">
      <w:pPr>
        <w:spacing w:line="276" w:lineRule="auto"/>
        <w:ind w:left="567" w:right="567"/>
        <w:jc w:val="both"/>
        <w:rPr>
          <w:rFonts w:ascii="Palatino Linotype" w:hAnsi="Palatino Linotype" w:cs="Arial"/>
          <w:i/>
        </w:rPr>
      </w:pPr>
    </w:p>
    <w:p w14:paraId="23EBB203"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El responsable podrá tratar datos personales para finalidades distintas a aquéllas establecidas en el aviso de privacidad, en los casos siguientes:</w:t>
      </w:r>
    </w:p>
    <w:p w14:paraId="2418E0AD" w14:textId="77777777" w:rsidR="006A2889" w:rsidRPr="0039499D" w:rsidRDefault="006A2889" w:rsidP="006A2889">
      <w:pPr>
        <w:spacing w:line="276" w:lineRule="auto"/>
        <w:ind w:left="567" w:right="567"/>
        <w:jc w:val="both"/>
        <w:rPr>
          <w:rFonts w:ascii="Palatino Linotype" w:hAnsi="Palatino Linotype" w:cs="Arial"/>
          <w:i/>
        </w:rPr>
      </w:pPr>
    </w:p>
    <w:p w14:paraId="6970208A"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I. Cuente con atribuciones conferidas en ley y medie el consentimiento del titular.</w:t>
      </w:r>
    </w:p>
    <w:p w14:paraId="0D9D4A38"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II. Se trate de una persona reportada como desaparecida, en los términos previstos en la presente Ley y demás disposiciones legales aplicables...</w:t>
      </w:r>
    </w:p>
    <w:p w14:paraId="6634F206" w14:textId="77777777" w:rsidR="006A2889" w:rsidRPr="0039499D" w:rsidRDefault="006A2889" w:rsidP="006A2889">
      <w:pPr>
        <w:spacing w:line="276" w:lineRule="auto"/>
        <w:ind w:left="567" w:right="567"/>
        <w:jc w:val="both"/>
        <w:rPr>
          <w:rFonts w:ascii="Palatino Linotype" w:hAnsi="Palatino Linotype" w:cs="Arial"/>
          <w:i/>
        </w:rPr>
      </w:pPr>
    </w:p>
    <w:p w14:paraId="1835CC6A"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Artículo 38.</w:t>
      </w:r>
      <w:r w:rsidRPr="0039499D">
        <w:rPr>
          <w:rFonts w:ascii="Palatino Linotype"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62EFB820" w14:textId="77777777" w:rsidR="006A2889" w:rsidRPr="0039499D" w:rsidRDefault="006A2889" w:rsidP="006A2889">
      <w:pPr>
        <w:spacing w:line="360" w:lineRule="auto"/>
        <w:jc w:val="both"/>
        <w:rPr>
          <w:rFonts w:ascii="Palatino Linotype" w:hAnsi="Palatino Linotype" w:cs="Arial"/>
        </w:rPr>
      </w:pPr>
    </w:p>
    <w:p w14:paraId="2177979E"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w:t>
      </w:r>
      <w:r w:rsidRPr="0039499D">
        <w:rPr>
          <w:rFonts w:ascii="Palatino Linotype" w:hAnsi="Palatino Linotype" w:cs="Arial"/>
        </w:rPr>
        <w:lastRenderedPageBreak/>
        <w:t xml:space="preserve">datos personales, entendiéndose por tales, aquéllos que hacen identificable a una persona. </w:t>
      </w:r>
    </w:p>
    <w:p w14:paraId="040042C6" w14:textId="77777777" w:rsidR="006A2889" w:rsidRPr="0039499D" w:rsidRDefault="006A2889" w:rsidP="006A2889">
      <w:pPr>
        <w:spacing w:line="360" w:lineRule="auto"/>
        <w:jc w:val="both"/>
        <w:rPr>
          <w:rFonts w:ascii="Palatino Linotype" w:hAnsi="Palatino Linotype" w:cs="Arial"/>
        </w:rPr>
      </w:pPr>
    </w:p>
    <w:p w14:paraId="190E4627"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53A5FDB0" w14:textId="77777777" w:rsidR="006A2889" w:rsidRPr="0039499D" w:rsidRDefault="006A2889" w:rsidP="006A2889">
      <w:pPr>
        <w:spacing w:line="360" w:lineRule="auto"/>
        <w:jc w:val="both"/>
        <w:rPr>
          <w:rFonts w:ascii="Palatino Linotype" w:hAnsi="Palatino Linotype" w:cs="Arial"/>
        </w:rPr>
      </w:pPr>
    </w:p>
    <w:p w14:paraId="220239A2"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 xml:space="preserve">Asimismo, de la versión pública deberá dejarse a la vista del </w:t>
      </w:r>
      <w:r w:rsidRPr="0039499D">
        <w:rPr>
          <w:rFonts w:ascii="Palatino Linotype" w:hAnsi="Palatino Linotype" w:cs="Arial"/>
          <w:b/>
        </w:rPr>
        <w:t>Recurrente</w:t>
      </w:r>
      <w:r w:rsidRPr="0039499D">
        <w:rPr>
          <w:rFonts w:ascii="Palatino Linotype" w:hAnsi="Palatino Linotype" w:cs="Arial"/>
        </w:rPr>
        <w:t xml:space="preserve"> los siguientes elementos de información pública: monto total del sueldo neto y bruto, compensaciones, prestaciones, aguinaldos, bonos, el </w:t>
      </w:r>
      <w:r w:rsidRPr="0039499D">
        <w:rPr>
          <w:rFonts w:ascii="Palatino Linotype" w:hAnsi="Palatino Linotype" w:cs="Arial"/>
          <w:b/>
        </w:rPr>
        <w:t>nombre del servidor público</w:t>
      </w:r>
      <w:r w:rsidRPr="0039499D">
        <w:rPr>
          <w:rFonts w:ascii="Palatino Linotype" w:hAnsi="Palatino Linotype" w:cs="Arial"/>
        </w:rPr>
        <w:t xml:space="preserve">, el cargo que desempeña, área de adscripción, número de empleado (sólo en caso de no arrojar datos personales) y el período de la nómina respectiva, básicamente.  </w:t>
      </w:r>
    </w:p>
    <w:p w14:paraId="4A69B685" w14:textId="77777777" w:rsidR="006A2889" w:rsidRDefault="006A2889" w:rsidP="006A2889">
      <w:pPr>
        <w:spacing w:line="360" w:lineRule="auto"/>
        <w:jc w:val="both"/>
        <w:rPr>
          <w:rFonts w:ascii="Palatino Linotype" w:hAnsi="Palatino Linotype" w:cs="Arial"/>
        </w:rPr>
      </w:pPr>
    </w:p>
    <w:p w14:paraId="548BEEC5" w14:textId="77777777" w:rsidR="004A3F48" w:rsidRDefault="004A3F48" w:rsidP="004A3F48">
      <w:pPr>
        <w:autoSpaceDE w:val="0"/>
        <w:autoSpaceDN w:val="0"/>
        <w:adjustRightInd w:val="0"/>
        <w:spacing w:line="360" w:lineRule="auto"/>
        <w:ind w:right="49"/>
        <w:contextualSpacing/>
        <w:jc w:val="both"/>
        <w:rPr>
          <w:rFonts w:ascii="Palatino Linotype" w:eastAsiaTheme="minorHAnsi" w:hAnsi="Palatino Linotype" w:cs="Arial"/>
          <w:lang w:eastAsia="en-US"/>
        </w:rPr>
      </w:pPr>
      <w:r>
        <w:rPr>
          <w:rFonts w:ascii="Palatino Linotype" w:eastAsiaTheme="minorHAnsi" w:hAnsi="Palatino Linotype" w:cs="Arial"/>
          <w:lang w:eastAsia="en-US"/>
        </w:rPr>
        <w:t>E</w:t>
      </w:r>
      <w:r w:rsidRPr="00E24957">
        <w:rPr>
          <w:rFonts w:ascii="Palatino Linotype" w:eastAsiaTheme="minorHAnsi" w:hAnsi="Palatino Linotype" w:cs="Arial"/>
          <w:lang w:eastAsia="en-US"/>
        </w:rPr>
        <w:t xml:space="preserv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 </w:t>
      </w:r>
    </w:p>
    <w:p w14:paraId="1753EF55" w14:textId="77777777" w:rsidR="004A3F48" w:rsidRDefault="004A3F48" w:rsidP="004A3F48">
      <w:pPr>
        <w:autoSpaceDE w:val="0"/>
        <w:autoSpaceDN w:val="0"/>
        <w:adjustRightInd w:val="0"/>
        <w:spacing w:line="360" w:lineRule="auto"/>
        <w:ind w:right="49"/>
        <w:contextualSpacing/>
        <w:jc w:val="both"/>
        <w:rPr>
          <w:rFonts w:ascii="Palatino Linotype" w:eastAsiaTheme="minorHAnsi" w:hAnsi="Palatino Linotype" w:cs="Arial"/>
          <w:lang w:eastAsia="en-US"/>
        </w:rPr>
      </w:pPr>
    </w:p>
    <w:p w14:paraId="0A115BB6" w14:textId="77777777" w:rsidR="004A3F48" w:rsidRDefault="004A3F48" w:rsidP="004A3F48">
      <w:pPr>
        <w:autoSpaceDE w:val="0"/>
        <w:autoSpaceDN w:val="0"/>
        <w:adjustRightInd w:val="0"/>
        <w:spacing w:line="360" w:lineRule="auto"/>
        <w:ind w:right="49"/>
        <w:contextualSpacing/>
        <w:jc w:val="both"/>
        <w:rPr>
          <w:rFonts w:ascii="Palatino Linotype" w:eastAsiaTheme="minorHAnsi" w:hAnsi="Palatino Linotype" w:cs="Arial"/>
          <w:lang w:eastAsia="en-US"/>
        </w:rPr>
      </w:pPr>
      <w:r w:rsidRPr="00E24957">
        <w:rPr>
          <w:rFonts w:ascii="Palatino Linotype" w:eastAsiaTheme="minorHAnsi" w:hAnsi="Palatino Linotype" w:cs="Arial"/>
          <w:lang w:eastAsia="en-US"/>
        </w:rPr>
        <w:t xml:space="preserve">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w:t>
      </w:r>
      <w:r w:rsidRPr="00E24957">
        <w:rPr>
          <w:rFonts w:ascii="Palatino Linotype" w:eastAsiaTheme="minorHAnsi" w:hAnsi="Palatino Linotype" w:cs="Arial"/>
          <w:lang w:eastAsia="en-US"/>
        </w:rPr>
        <w:lastRenderedPageBreak/>
        <w:t xml:space="preserve">símbolos que no revelan datos personales, no reviste el carácter de confidencial, al no dar por sí solo acceso a datos personales. </w:t>
      </w:r>
    </w:p>
    <w:p w14:paraId="56F801B3" w14:textId="77777777" w:rsidR="004A3F48" w:rsidRDefault="004A3F48" w:rsidP="004A3F48">
      <w:pPr>
        <w:autoSpaceDE w:val="0"/>
        <w:autoSpaceDN w:val="0"/>
        <w:adjustRightInd w:val="0"/>
        <w:spacing w:line="360" w:lineRule="auto"/>
        <w:ind w:right="49"/>
        <w:contextualSpacing/>
        <w:jc w:val="both"/>
        <w:rPr>
          <w:rFonts w:ascii="Palatino Linotype" w:eastAsiaTheme="minorHAnsi" w:hAnsi="Palatino Linotype" w:cs="Arial"/>
          <w:lang w:eastAsia="en-US"/>
        </w:rPr>
      </w:pPr>
    </w:p>
    <w:p w14:paraId="03660CCB" w14:textId="77777777" w:rsidR="004A3F48" w:rsidRDefault="004A3F48" w:rsidP="004A3F48">
      <w:pPr>
        <w:autoSpaceDE w:val="0"/>
        <w:autoSpaceDN w:val="0"/>
        <w:adjustRightInd w:val="0"/>
        <w:spacing w:line="360" w:lineRule="auto"/>
        <w:ind w:right="49"/>
        <w:contextualSpacing/>
        <w:jc w:val="both"/>
        <w:rPr>
          <w:rFonts w:ascii="Palatino Linotype" w:eastAsiaTheme="minorHAnsi" w:hAnsi="Palatino Linotype" w:cs="Arial"/>
          <w:lang w:eastAsia="en-US"/>
        </w:rPr>
      </w:pPr>
      <w:r w:rsidRPr="00E24957">
        <w:rPr>
          <w:rFonts w:ascii="Palatino Linotype" w:eastAsiaTheme="minorHAnsi" w:hAnsi="Palatino Linotype" w:cs="Arial"/>
          <w:lang w:eastAsia="en-US"/>
        </w:rPr>
        <w:t xml:space="preserve">Lo anterior, toma sustento en el Criterio 06/19, emitido por el Instituto Nacional de Transparencia, Acceso a la Información y Protección de Datos Personales, que establece lo siguiente: </w:t>
      </w:r>
    </w:p>
    <w:p w14:paraId="7D057646" w14:textId="77777777" w:rsidR="004A3F48" w:rsidRDefault="004A3F48" w:rsidP="004A3F48">
      <w:pPr>
        <w:pStyle w:val="Citas"/>
      </w:pPr>
      <w:r w:rsidRPr="00E24957">
        <w:t>“</w:t>
      </w:r>
      <w:r w:rsidRPr="00E24957">
        <w:rPr>
          <w:b/>
        </w:rPr>
        <w:t>Número de empleado.</w:t>
      </w:r>
      <w:r w:rsidRPr="00E24957">
        <w:t xml:space="preserve">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 </w:t>
      </w:r>
    </w:p>
    <w:p w14:paraId="559753EA" w14:textId="77777777" w:rsidR="004A3F48" w:rsidRDefault="004A3F48" w:rsidP="004A3F48">
      <w:pPr>
        <w:autoSpaceDE w:val="0"/>
        <w:autoSpaceDN w:val="0"/>
        <w:adjustRightInd w:val="0"/>
        <w:spacing w:line="360" w:lineRule="auto"/>
        <w:ind w:right="49"/>
        <w:contextualSpacing/>
        <w:jc w:val="both"/>
        <w:rPr>
          <w:rFonts w:ascii="Palatino Linotype" w:eastAsiaTheme="minorHAnsi" w:hAnsi="Palatino Linotype" w:cs="Arial"/>
          <w:lang w:eastAsia="en-US"/>
        </w:rPr>
      </w:pPr>
    </w:p>
    <w:p w14:paraId="297B14D8" w14:textId="77777777" w:rsidR="004A3F48" w:rsidRPr="00E24957" w:rsidRDefault="004A3F48" w:rsidP="004A3F48">
      <w:pPr>
        <w:autoSpaceDE w:val="0"/>
        <w:autoSpaceDN w:val="0"/>
        <w:adjustRightInd w:val="0"/>
        <w:spacing w:line="360" w:lineRule="auto"/>
        <w:ind w:right="49"/>
        <w:contextualSpacing/>
        <w:jc w:val="both"/>
        <w:rPr>
          <w:rFonts w:ascii="Palatino Linotype" w:eastAsiaTheme="minorHAnsi" w:hAnsi="Palatino Linotype" w:cs="Arial"/>
          <w:lang w:val="es-MX" w:eastAsia="en-US"/>
        </w:rPr>
      </w:pPr>
      <w:r w:rsidRPr="00E24957">
        <w:rPr>
          <w:rFonts w:ascii="Palatino Linotype" w:eastAsiaTheme="minorHAnsi" w:hAnsi="Palatino Linotype" w:cs="Arial"/>
          <w:lang w:eastAsia="en-US"/>
        </w:rPr>
        <w:t>Así, se colige que solamente procederá la clasificación del número de empleado, cuando se integre con datos personales de los servidores públicos o funcione como clave de acceso que no requiera una contraseña para ingresar a sistemas o bases de datos.</w:t>
      </w:r>
    </w:p>
    <w:p w14:paraId="71DB7E54" w14:textId="77777777" w:rsidR="004A3F48" w:rsidRDefault="004A3F48" w:rsidP="004A3F48">
      <w:pPr>
        <w:autoSpaceDE w:val="0"/>
        <w:autoSpaceDN w:val="0"/>
        <w:adjustRightInd w:val="0"/>
        <w:spacing w:line="360" w:lineRule="auto"/>
        <w:ind w:right="49"/>
        <w:contextualSpacing/>
        <w:jc w:val="both"/>
        <w:rPr>
          <w:rFonts w:ascii="Palatino Linotype" w:eastAsiaTheme="minorHAnsi" w:hAnsi="Palatino Linotype" w:cs="Arial"/>
          <w:lang w:val="es-MX" w:eastAsia="en-US"/>
        </w:rPr>
      </w:pPr>
    </w:p>
    <w:p w14:paraId="0C8A50E2" w14:textId="77777777" w:rsidR="004A3F48" w:rsidRPr="002C5A45" w:rsidRDefault="004A3F48" w:rsidP="004A3F48">
      <w:pPr>
        <w:autoSpaceDE w:val="0"/>
        <w:autoSpaceDN w:val="0"/>
        <w:adjustRightInd w:val="0"/>
        <w:spacing w:line="360" w:lineRule="auto"/>
        <w:ind w:right="49"/>
        <w:contextualSpacing/>
        <w:jc w:val="both"/>
        <w:rPr>
          <w:rFonts w:ascii="Palatino Linotype" w:eastAsiaTheme="minorHAnsi" w:hAnsi="Palatino Linotype" w:cs="Arial"/>
          <w:lang w:val="es-MX" w:eastAsia="en-US"/>
        </w:rPr>
      </w:pPr>
      <w:r w:rsidRPr="00E24957">
        <w:rPr>
          <w:rFonts w:ascii="Palatino Linotype" w:eastAsiaTheme="minorHAnsi" w:hAnsi="Palatino Linotype" w:cs="Arial"/>
          <w:lang w:eastAsia="en-US"/>
        </w:rPr>
        <w:t>En ese contexto, se logra vislumbrar que el número de empleado únicamente se conforma por dígitos numéricos, por lo que, no da acceso a datos personales, ni refleja estos, lo cual da como resultado que no resulte procedente su clasificación, en términos del artículo 143, fracción I, de la Ley de Transparencia y Acceso a la Información Pública del Estado de México y Municipios.</w:t>
      </w:r>
    </w:p>
    <w:p w14:paraId="314DA506" w14:textId="77777777" w:rsidR="004A3F48" w:rsidRPr="0039499D" w:rsidRDefault="004A3F48" w:rsidP="006A2889">
      <w:pPr>
        <w:spacing w:line="360" w:lineRule="auto"/>
        <w:jc w:val="both"/>
        <w:rPr>
          <w:rFonts w:ascii="Palatino Linotype" w:hAnsi="Palatino Linotype" w:cs="Arial"/>
        </w:rPr>
      </w:pPr>
    </w:p>
    <w:p w14:paraId="0AC0B67E"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 xml:space="preserve">Robustece lo anterior, el criterio sustentado por la Segunda Sala de la Suprema Corte de Justicia de la Nación, visible en la página 2518 del Tomo XXII, de la Novena Época </w:t>
      </w:r>
      <w:r w:rsidRPr="0039499D">
        <w:rPr>
          <w:rFonts w:ascii="Palatino Linotype" w:hAnsi="Palatino Linotype" w:cs="Arial"/>
        </w:rPr>
        <w:lastRenderedPageBreak/>
        <w:t>del Semanario Judicial de la Federación y su Gaceta, Julio de 2008, de rubro y texto siguientes:</w:t>
      </w:r>
    </w:p>
    <w:p w14:paraId="1E25B50D" w14:textId="77777777" w:rsidR="006A2889" w:rsidRPr="0039499D" w:rsidRDefault="006A2889" w:rsidP="006A2889">
      <w:pPr>
        <w:spacing w:line="360" w:lineRule="auto"/>
        <w:jc w:val="both"/>
        <w:rPr>
          <w:rFonts w:ascii="Palatino Linotype" w:hAnsi="Palatino Linotype" w:cs="Arial"/>
        </w:rPr>
      </w:pPr>
    </w:p>
    <w:p w14:paraId="279F6CD2" w14:textId="77777777" w:rsidR="006A2889" w:rsidRPr="00E5613E" w:rsidRDefault="006A2889" w:rsidP="006A2889">
      <w:pPr>
        <w:spacing w:line="360" w:lineRule="auto"/>
        <w:ind w:left="567" w:right="567"/>
        <w:jc w:val="both"/>
        <w:rPr>
          <w:rFonts w:ascii="Palatino Linotype" w:hAnsi="Palatino Linotype" w:cs="Arial"/>
          <w:i/>
        </w:rPr>
      </w:pPr>
      <w:r w:rsidRPr="00E5613E">
        <w:rPr>
          <w:rFonts w:ascii="Palatino Linotype" w:hAnsi="Palatino Linotype" w:cs="Arial"/>
          <w:i/>
        </w:rPr>
        <w:t>"</w:t>
      </w:r>
      <w:r w:rsidRPr="00E5613E">
        <w:rPr>
          <w:rFonts w:ascii="Palatino Linotype" w:hAnsi="Palatino Linotype" w:cs="Arial"/>
          <w:b/>
          <w:i/>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E5613E">
        <w:rPr>
          <w:rFonts w:ascii="Palatino Linotype" w:hAnsi="Palatino Linotype" w:cs="Arial"/>
          <w:i/>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2A1E7780" w14:textId="77777777" w:rsidR="006A2889" w:rsidRPr="0039499D" w:rsidRDefault="006A2889" w:rsidP="006A2889">
      <w:pPr>
        <w:spacing w:line="360" w:lineRule="auto"/>
        <w:jc w:val="both"/>
        <w:rPr>
          <w:rFonts w:ascii="Palatino Linotype" w:hAnsi="Palatino Linotype" w:cs="Arial"/>
        </w:rPr>
      </w:pPr>
    </w:p>
    <w:p w14:paraId="6DDB40B7"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39499D">
        <w:rPr>
          <w:rFonts w:ascii="Palatino Linotype" w:hAnsi="Palatino Linotype" w:cs="Arial"/>
          <w:b/>
        </w:rPr>
        <w:t>Lineamientos Generales en Materia de Clasificación y Desclasificación de la Información, así como para la Elaboración de Versiones Públicas</w:t>
      </w:r>
      <w:r w:rsidRPr="0039499D">
        <w:rPr>
          <w:rFonts w:ascii="Palatino Linotype" w:hAnsi="Palatino Linotype" w:cs="Arial"/>
        </w:rPr>
        <w:t>, publicados en el Diario Oficial de la Federación en fecha quince de abril del año dos mil dieciséis, mediante Acuerdo del Consejo Nacional del Sistema Nacional de Transparencia, Acceso a la Información Pública y Protección de Datos Personales.</w:t>
      </w:r>
    </w:p>
    <w:p w14:paraId="0F4E96CF" w14:textId="77777777" w:rsidR="006A2889" w:rsidRPr="0039499D" w:rsidRDefault="006A2889" w:rsidP="006A2889">
      <w:pPr>
        <w:spacing w:line="360" w:lineRule="auto"/>
        <w:jc w:val="both"/>
        <w:rPr>
          <w:rFonts w:ascii="Palatino Linotype" w:hAnsi="Palatino Linotype" w:cs="Arial"/>
        </w:rPr>
      </w:pPr>
    </w:p>
    <w:p w14:paraId="54FC2D15"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695A6D12" w14:textId="77777777" w:rsidR="006A2889" w:rsidRPr="0039499D" w:rsidRDefault="006A2889" w:rsidP="006A2889">
      <w:pPr>
        <w:spacing w:line="360" w:lineRule="auto"/>
        <w:jc w:val="both"/>
        <w:rPr>
          <w:rFonts w:ascii="Palatino Linotype" w:hAnsi="Palatino Linotype" w:cs="Arial"/>
        </w:rPr>
      </w:pPr>
    </w:p>
    <w:p w14:paraId="4D1741B3"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 xml:space="preserve">Respecto de ello se destaca que a criterio de este Instituto la información relativa al nombre de </w:t>
      </w:r>
      <w:r w:rsidRPr="0039499D">
        <w:rPr>
          <w:rFonts w:ascii="Palatino Linotype" w:hAnsi="Palatino Linotype" w:cs="Arial"/>
          <w:b/>
        </w:rPr>
        <w:t>los servidores públicos que ocupan un cargo en las dependencias de gobierno encargadas de la seguridad pública</w:t>
      </w:r>
      <w:r w:rsidRPr="0039499D">
        <w:rPr>
          <w:rFonts w:ascii="Palatino Linotype" w:hAnsi="Palatino Linotype" w:cs="Arial"/>
        </w:rPr>
        <w:t xml:space="preserve">, debe ser objeto de un proceso de </w:t>
      </w:r>
      <w:r w:rsidRPr="0039499D">
        <w:rPr>
          <w:rFonts w:ascii="Palatino Linotype" w:hAnsi="Palatino Linotype" w:cs="Arial"/>
          <w:b/>
        </w:rPr>
        <w:t>reserva de la información,</w:t>
      </w:r>
      <w:r w:rsidRPr="0039499D">
        <w:rPr>
          <w:rFonts w:ascii="Palatino Linotype" w:hAnsi="Palatino Linotype" w:cs="Arial"/>
        </w:rPr>
        <w:t xml:space="preserve"> para no hacer identificable al titular de tal dato personal.</w:t>
      </w:r>
    </w:p>
    <w:p w14:paraId="10405B07"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Ello, conforme al propio concepto de versión pública contenido en el artículo 3, fracción XXIV, de la multicitada Ley se define como:</w:t>
      </w:r>
    </w:p>
    <w:p w14:paraId="0FF0DDB5" w14:textId="77777777" w:rsidR="006A2889" w:rsidRPr="0039499D" w:rsidRDefault="006A2889" w:rsidP="006A2889">
      <w:pPr>
        <w:spacing w:line="360" w:lineRule="auto"/>
        <w:jc w:val="both"/>
        <w:rPr>
          <w:rFonts w:ascii="Palatino Linotype" w:hAnsi="Palatino Linotype" w:cs="Arial"/>
        </w:rPr>
      </w:pPr>
    </w:p>
    <w:p w14:paraId="26762B24" w14:textId="77777777" w:rsidR="006A2889" w:rsidRPr="0039499D" w:rsidRDefault="006A2889" w:rsidP="006A2889">
      <w:pPr>
        <w:spacing w:line="360" w:lineRule="auto"/>
        <w:ind w:left="567" w:right="567"/>
        <w:jc w:val="both"/>
        <w:rPr>
          <w:rFonts w:ascii="Palatino Linotype" w:hAnsi="Palatino Linotype" w:cs="Arial"/>
          <w:i/>
        </w:rPr>
      </w:pPr>
      <w:r w:rsidRPr="0039499D">
        <w:rPr>
          <w:rFonts w:ascii="Palatino Linotype" w:hAnsi="Palatino Linotype" w:cs="Arial"/>
          <w:i/>
        </w:rPr>
        <w:lastRenderedPageBreak/>
        <w:t>“</w:t>
      </w:r>
      <w:r w:rsidRPr="0039499D">
        <w:rPr>
          <w:rFonts w:ascii="Palatino Linotype" w:hAnsi="Palatino Linotype" w:cs="Arial"/>
          <w:b/>
          <w:i/>
        </w:rPr>
        <w:t>XXIV</w:t>
      </w:r>
      <w:r w:rsidRPr="0039499D">
        <w:rPr>
          <w:rFonts w:ascii="Palatino Linotype" w:hAnsi="Palatino Linotype" w:cs="Arial"/>
          <w:i/>
        </w:rPr>
        <w:t xml:space="preserve">. </w:t>
      </w:r>
      <w:r w:rsidRPr="0039499D">
        <w:rPr>
          <w:rFonts w:ascii="Palatino Linotype" w:hAnsi="Palatino Linotype" w:cs="Arial"/>
          <w:b/>
          <w:i/>
        </w:rPr>
        <w:t>Información reservada:</w:t>
      </w:r>
      <w:r w:rsidRPr="0039499D">
        <w:rPr>
          <w:rFonts w:ascii="Palatino Linotype" w:hAnsi="Palatino Linotype" w:cs="Arial"/>
          <w:i/>
        </w:rPr>
        <w:t xml:space="preserve"> La clasificada con este carácter de manera temporal por las disposiciones de esta Ley, cuya divulgación puede causar daño en términos de lo establecido por esta Ley;”</w:t>
      </w:r>
    </w:p>
    <w:p w14:paraId="1E61DB5F" w14:textId="77777777" w:rsidR="006A2889" w:rsidRPr="0039499D" w:rsidRDefault="006A2889" w:rsidP="006A2889">
      <w:pPr>
        <w:spacing w:line="360" w:lineRule="auto"/>
        <w:jc w:val="both"/>
        <w:rPr>
          <w:rFonts w:ascii="Palatino Linotype" w:hAnsi="Palatino Linotype" w:cs="Arial"/>
        </w:rPr>
      </w:pPr>
    </w:p>
    <w:p w14:paraId="2B299671"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 xml:space="preserve">No obstante que si bien, por regla general dentro de la nómina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a la </w:t>
      </w:r>
      <w:r w:rsidRPr="0039499D">
        <w:rPr>
          <w:rFonts w:ascii="Palatino Linotype" w:hAnsi="Palatino Linotype" w:cs="Arial"/>
          <w:b/>
        </w:rPr>
        <w:t>nómina de elementos de seguridad pública, la elaboración de versiones públicas pudiera variar, eliminando información adicional, siempre y cuando se demuestre que pueda poner en riesgo la vida e integridad física con motivo de las funciones de servidores públicos</w:t>
      </w:r>
      <w:r w:rsidRPr="0039499D">
        <w:rPr>
          <w:rFonts w:ascii="Palatino Linotype" w:hAnsi="Palatino Linotype" w:cs="Arial"/>
        </w:rPr>
        <w:t>.</w:t>
      </w:r>
    </w:p>
    <w:p w14:paraId="757D391A" w14:textId="77777777" w:rsidR="006A2889" w:rsidRPr="0039499D" w:rsidRDefault="006A2889" w:rsidP="006A2889">
      <w:pPr>
        <w:spacing w:line="360" w:lineRule="auto"/>
        <w:jc w:val="both"/>
        <w:rPr>
          <w:rFonts w:ascii="Palatino Linotype" w:hAnsi="Palatino Linotype" w:cs="Arial"/>
        </w:rPr>
      </w:pPr>
    </w:p>
    <w:p w14:paraId="6004824B"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 xml:space="preserve">Esto es así, ya que el artículo 81, fracción III, de la Ley de Seguridad del Estado de México, establece lo siguiente: </w:t>
      </w:r>
    </w:p>
    <w:p w14:paraId="28076E29" w14:textId="77777777" w:rsidR="006A2889" w:rsidRPr="0039499D" w:rsidRDefault="006A2889" w:rsidP="006A2889">
      <w:pPr>
        <w:spacing w:line="360" w:lineRule="auto"/>
        <w:jc w:val="both"/>
        <w:rPr>
          <w:rFonts w:ascii="Palatino Linotype" w:hAnsi="Palatino Linotype" w:cs="Arial"/>
        </w:rPr>
      </w:pPr>
    </w:p>
    <w:p w14:paraId="4019D87C"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Artículo 81.-</w:t>
      </w:r>
      <w:r w:rsidRPr="0039499D">
        <w:rPr>
          <w:rFonts w:ascii="Palatino Linotype" w:hAnsi="Palatino Linotype" w:cs="Arial"/>
          <w:i/>
        </w:rPr>
        <w:t xml:space="preserve"> </w:t>
      </w:r>
      <w:r w:rsidRPr="0039499D">
        <w:rPr>
          <w:rFonts w:ascii="Palatino Linotype" w:hAnsi="Palatino Linotype" w:cs="Arial"/>
          <w:i/>
          <w:u w:val="single"/>
        </w:rPr>
        <w:t>Toda información para la seguridad pública</w:t>
      </w:r>
      <w:r w:rsidRPr="0039499D">
        <w:rPr>
          <w:rFonts w:ascii="Palatino Linotype" w:hAnsi="Palatino Linotype" w:cs="Arial"/>
          <w:i/>
        </w:rPr>
        <w:t xml:space="preserve"> generada o en poder de Instituciones de Seguridad Pública o de cualquier instancia del Sistema Estatal </w:t>
      </w:r>
      <w:r w:rsidRPr="0039499D">
        <w:rPr>
          <w:rFonts w:ascii="Palatino Linotype" w:hAnsi="Palatino Linotype" w:cs="Arial"/>
          <w:i/>
          <w:u w:val="single"/>
        </w:rPr>
        <w:t>debe</w:t>
      </w:r>
      <w:r w:rsidRPr="0039499D">
        <w:rPr>
          <w:rFonts w:ascii="Palatino Linotype" w:hAnsi="Palatino Linotype" w:cs="Arial"/>
          <w:i/>
        </w:rPr>
        <w:t xml:space="preserve"> registrarse, </w:t>
      </w:r>
      <w:r w:rsidRPr="0039499D">
        <w:rPr>
          <w:rFonts w:ascii="Palatino Linotype" w:hAnsi="Palatino Linotype" w:cs="Arial"/>
          <w:i/>
          <w:u w:val="single"/>
        </w:rPr>
        <w:t>clasificarse</w:t>
      </w:r>
      <w:r w:rsidRPr="0039499D">
        <w:rPr>
          <w:rFonts w:ascii="Palatino Linotype" w:hAnsi="Palatino Linotype" w:cs="Arial"/>
          <w:i/>
        </w:rPr>
        <w:t xml:space="preserve"> y tratarse de conformidad con las disposiciones aplicables. No obstante lo anterior, esta información se considerará reservada en los casos siguientes:</w:t>
      </w:r>
    </w:p>
    <w:p w14:paraId="3A92F2BA"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w:t>
      </w:r>
    </w:p>
    <w:p w14:paraId="32768FB4"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III</w:t>
      </w:r>
      <w:r w:rsidRPr="0039499D">
        <w:rPr>
          <w:rFonts w:ascii="Palatino Linotype" w:hAnsi="Palatino Linotype" w:cs="Arial"/>
          <w:i/>
        </w:rPr>
        <w:t xml:space="preserve">. </w:t>
      </w:r>
      <w:r w:rsidRPr="0039499D">
        <w:rPr>
          <w:rFonts w:ascii="Palatino Linotype" w:hAnsi="Palatino Linotype" w:cs="Arial"/>
          <w:i/>
          <w:u w:val="single"/>
        </w:rPr>
        <w:t>La relativa a servidores públicos miembros de las instituciones de seguridad pública, cuya revelación pueda poner en riesgo su vida e integridad física con motivo de sus funciones;”</w:t>
      </w:r>
    </w:p>
    <w:p w14:paraId="0973C6D5" w14:textId="77777777" w:rsidR="006A2889" w:rsidRPr="0039499D" w:rsidRDefault="006A2889" w:rsidP="006A2889">
      <w:pPr>
        <w:spacing w:line="360" w:lineRule="auto"/>
        <w:jc w:val="both"/>
        <w:rPr>
          <w:rFonts w:ascii="Palatino Linotype" w:hAnsi="Palatino Linotype" w:cs="Arial"/>
        </w:rPr>
      </w:pPr>
    </w:p>
    <w:p w14:paraId="399F9612"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lastRenderedPageBreak/>
        <w:t>Por tanto, el Sujeto Obligado deberá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3A4D0F53"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3951B460" w14:textId="77777777" w:rsidR="006A2889" w:rsidRPr="0039499D" w:rsidRDefault="006A2889" w:rsidP="006A2889">
      <w:pPr>
        <w:spacing w:line="360" w:lineRule="auto"/>
        <w:jc w:val="both"/>
        <w:rPr>
          <w:rFonts w:ascii="Palatino Linotype" w:hAnsi="Palatino Linotype" w:cs="Arial"/>
        </w:rPr>
      </w:pPr>
    </w:p>
    <w:p w14:paraId="0E819CD2"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1D69E4E1" w14:textId="77777777" w:rsidR="006A2889" w:rsidRPr="0039499D" w:rsidRDefault="006A2889" w:rsidP="006A2889">
      <w:pPr>
        <w:spacing w:line="360" w:lineRule="auto"/>
        <w:jc w:val="both"/>
        <w:rPr>
          <w:rFonts w:ascii="Palatino Linotype" w:hAnsi="Palatino Linotype" w:cs="Arial"/>
        </w:rPr>
      </w:pPr>
    </w:p>
    <w:p w14:paraId="027E553F" w14:textId="77777777" w:rsidR="006A2889" w:rsidRPr="000317F4" w:rsidRDefault="006A2889" w:rsidP="006A2889">
      <w:pPr>
        <w:spacing w:line="360" w:lineRule="auto"/>
        <w:jc w:val="both"/>
        <w:rPr>
          <w:rFonts w:ascii="Palatino Linotype" w:hAnsi="Palatino Linotype" w:cs="Arial"/>
        </w:rPr>
      </w:pPr>
      <w:r w:rsidRPr="000317F4">
        <w:rPr>
          <w:rFonts w:ascii="Palatino Linotype" w:hAnsi="Palatino Linotype" w:cs="Arial"/>
        </w:rPr>
        <w:lastRenderedPageBreak/>
        <w:t>Resulta alusivo por analogía el criterio 06-09 emitido por el entonces Instituto Federal de Acceso a la Información (IFAI), ahora Instituto Nacional de Transparencia, Acceso a la Información y Protección de Datos Personales (INAI) que a la letra dice:</w:t>
      </w:r>
    </w:p>
    <w:p w14:paraId="43990CA1" w14:textId="77777777" w:rsidR="006A2889" w:rsidRPr="000317F4" w:rsidRDefault="006A2889" w:rsidP="006A2889">
      <w:pPr>
        <w:spacing w:line="276" w:lineRule="auto"/>
        <w:jc w:val="both"/>
        <w:rPr>
          <w:rFonts w:ascii="Palatino Linotype" w:hAnsi="Palatino Linotype" w:cs="Arial"/>
        </w:rPr>
      </w:pPr>
    </w:p>
    <w:p w14:paraId="618665EA" w14:textId="77777777" w:rsidR="006A2889" w:rsidRPr="0039499D" w:rsidRDefault="006A2889" w:rsidP="006A2889">
      <w:pPr>
        <w:spacing w:line="276" w:lineRule="auto"/>
        <w:ind w:left="567" w:right="567"/>
        <w:jc w:val="both"/>
        <w:rPr>
          <w:rFonts w:ascii="Palatino Linotype" w:hAnsi="Palatino Linotype" w:cs="Arial"/>
          <w:i/>
        </w:rPr>
      </w:pPr>
      <w:r w:rsidRPr="000317F4">
        <w:rPr>
          <w:rFonts w:ascii="Palatino Linotype" w:hAnsi="Palatino Linotype" w:cs="Arial"/>
          <w:i/>
        </w:rPr>
        <w:t>“</w:t>
      </w:r>
      <w:r w:rsidRPr="000317F4">
        <w:rPr>
          <w:rFonts w:ascii="Palatino Linotype" w:hAnsi="Palatino Linotype" w:cs="Arial"/>
          <w:b/>
          <w:i/>
        </w:rPr>
        <w:t>Nombres de servidores públicos dedicados a actividades en materia de seguridad, por excepción pueden considerarse información reservada.</w:t>
      </w:r>
      <w:r w:rsidRPr="000317F4">
        <w:rPr>
          <w:rFonts w:ascii="Palatino Linotype" w:hAnsi="Palatino Linotype" w:cs="Arial"/>
          <w:i/>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7C00A24A" w14:textId="77777777" w:rsidR="006A2889" w:rsidRPr="0039499D" w:rsidRDefault="006A2889" w:rsidP="006A2889">
      <w:pPr>
        <w:spacing w:line="360" w:lineRule="auto"/>
        <w:jc w:val="both"/>
        <w:rPr>
          <w:rFonts w:ascii="Palatino Linotype" w:hAnsi="Palatino Linotype" w:cs="Arial"/>
        </w:rPr>
      </w:pPr>
    </w:p>
    <w:p w14:paraId="3F5EDA62" w14:textId="77777777" w:rsidR="006A2889" w:rsidRPr="0039499D" w:rsidRDefault="006A2889" w:rsidP="006A2889">
      <w:pPr>
        <w:spacing w:line="360" w:lineRule="auto"/>
        <w:jc w:val="both"/>
        <w:rPr>
          <w:rFonts w:ascii="Palatino Linotype" w:hAnsi="Palatino Linotype" w:cs="Arial"/>
          <w:b/>
        </w:rPr>
      </w:pPr>
      <w:r w:rsidRPr="0039499D">
        <w:rPr>
          <w:rFonts w:ascii="Palatino Linotype" w:hAnsi="Palatino Linotype" w:cs="Arial"/>
        </w:rPr>
        <w:t xml:space="preserve">En caso específico, de los documentos solicitados obran datos que son considerados confidenciales, cuyo acceso debe ser restringido, los cuales deben testarse al momento de la elaboración de versiones públicas, como es el caso del </w:t>
      </w:r>
      <w:r w:rsidRPr="0039499D">
        <w:rPr>
          <w:rFonts w:ascii="Palatino Linotype" w:hAnsi="Palatino Linotype" w:cs="Arial"/>
          <w:b/>
        </w:rPr>
        <w:t xml:space="preserve">Registro Federal de </w:t>
      </w:r>
      <w:r w:rsidRPr="0039499D">
        <w:rPr>
          <w:rFonts w:ascii="Palatino Linotype" w:hAnsi="Palatino Linotype" w:cs="Arial"/>
          <w:b/>
        </w:rPr>
        <w:lastRenderedPageBreak/>
        <w:t>Contribuyentes (RFC)</w:t>
      </w:r>
      <w:r w:rsidRPr="0039499D">
        <w:rPr>
          <w:rFonts w:ascii="Palatino Linotype" w:hAnsi="Palatino Linotype" w:cs="Arial"/>
        </w:rPr>
        <w:t xml:space="preserve">, la </w:t>
      </w:r>
      <w:r w:rsidRPr="0039499D">
        <w:rPr>
          <w:rFonts w:ascii="Palatino Linotype" w:hAnsi="Palatino Linotype" w:cs="Arial"/>
          <w:b/>
        </w:rPr>
        <w:t>Clave Única de Registro de Población (CURP)</w:t>
      </w:r>
      <w:r w:rsidRPr="0039499D">
        <w:rPr>
          <w:rFonts w:ascii="Palatino Linotype" w:hAnsi="Palatino Linotype" w:cs="Arial"/>
        </w:rPr>
        <w:t xml:space="preserve">, la </w:t>
      </w:r>
      <w:r w:rsidRPr="0039499D">
        <w:rPr>
          <w:rFonts w:ascii="Palatino Linotype" w:hAnsi="Palatino Linotype" w:cs="Arial"/>
          <w:b/>
        </w:rPr>
        <w:t>Clave de cualquier tipo de seguridad social</w:t>
      </w:r>
      <w:r w:rsidRPr="0039499D">
        <w:rPr>
          <w:rFonts w:ascii="Palatino Linotype" w:hAnsi="Palatino Linotype" w:cs="Arial"/>
        </w:rPr>
        <w:t xml:space="preserve"> (</w:t>
      </w:r>
      <w:r w:rsidRPr="0039499D">
        <w:rPr>
          <w:rFonts w:ascii="Palatino Linotype" w:hAnsi="Palatino Linotype" w:cs="Arial"/>
          <w:b/>
        </w:rPr>
        <w:t>ISSEMYM</w:t>
      </w:r>
      <w:r w:rsidRPr="0039499D">
        <w:rPr>
          <w:rFonts w:ascii="Palatino Linotype" w:hAnsi="Palatino Linotype" w:cs="Arial"/>
        </w:rPr>
        <w:t xml:space="preserve">, u otros), así como, los préstamos o descuentos que se le hagan al servidor público, que no se encuentren relacionados con los impuestos o la </w:t>
      </w:r>
      <w:r w:rsidRPr="0039499D">
        <w:rPr>
          <w:rFonts w:ascii="Palatino Linotype" w:hAnsi="Palatino Linotype" w:cs="Arial"/>
          <w:b/>
        </w:rPr>
        <w:t>cuotas</w:t>
      </w:r>
      <w:r w:rsidRPr="0039499D">
        <w:rPr>
          <w:rFonts w:ascii="Palatino Linotype" w:hAnsi="Palatino Linotype" w:cs="Arial"/>
        </w:rPr>
        <w:t xml:space="preserve"> por </w:t>
      </w:r>
      <w:r w:rsidRPr="0039499D">
        <w:rPr>
          <w:rFonts w:ascii="Palatino Linotype" w:hAnsi="Palatino Linotype" w:cs="Arial"/>
          <w:b/>
        </w:rPr>
        <w:t>seguridad social, Cadenas Originales y Sellos Digitales</w:t>
      </w:r>
    </w:p>
    <w:p w14:paraId="34ECB1DA"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b/>
        </w:rPr>
        <w:t>Códigos Bidimensionales</w:t>
      </w:r>
      <w:r w:rsidRPr="0039499D">
        <w:rPr>
          <w:rFonts w:ascii="Palatino Linotype" w:hAnsi="Palatino Linotype" w:cs="Arial"/>
        </w:rPr>
        <w:t xml:space="preserve"> y los denominados </w:t>
      </w:r>
      <w:r w:rsidRPr="0039499D">
        <w:rPr>
          <w:rFonts w:ascii="Palatino Linotype" w:hAnsi="Palatino Linotype" w:cs="Arial"/>
          <w:b/>
        </w:rPr>
        <w:t>Códigos QR</w:t>
      </w:r>
      <w:r w:rsidRPr="0039499D">
        <w:rPr>
          <w:rFonts w:ascii="Palatino Linotype" w:hAnsi="Palatino Linotype" w:cs="Arial"/>
        </w:rPr>
        <w:t>.</w:t>
      </w:r>
    </w:p>
    <w:p w14:paraId="776FC046" w14:textId="77777777" w:rsidR="006A2889" w:rsidRPr="0039499D" w:rsidRDefault="006A2889" w:rsidP="006A2889">
      <w:pPr>
        <w:spacing w:line="360" w:lineRule="auto"/>
        <w:jc w:val="both"/>
        <w:rPr>
          <w:rFonts w:ascii="Palatino Linotype" w:hAnsi="Palatino Linotype" w:cs="Arial"/>
        </w:rPr>
      </w:pPr>
    </w:p>
    <w:p w14:paraId="15303398"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 xml:space="preserve">Por cuanto hace al </w:t>
      </w:r>
      <w:r w:rsidRPr="0039499D">
        <w:rPr>
          <w:rFonts w:ascii="Palatino Linotype" w:hAnsi="Palatino Linotype" w:cs="Arial"/>
          <w:b/>
        </w:rPr>
        <w:t>Registro Federal de Contribuyentes de las personas físicas</w:t>
      </w:r>
      <w:r w:rsidRPr="0039499D">
        <w:rPr>
          <w:rFonts w:ascii="Palatino Linotype" w:hAnsi="Palatino Linotype" w:cs="Arial"/>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39499D">
        <w:rPr>
          <w:rFonts w:ascii="Palatino Linotype" w:hAnsi="Palatino Linotype" w:cs="Arial"/>
        </w:rPr>
        <w:t>homoclave</w:t>
      </w:r>
      <w:proofErr w:type="spellEnd"/>
      <w:r w:rsidRPr="0039499D">
        <w:rPr>
          <w:rFonts w:ascii="Palatino Linotype" w:hAnsi="Palatino Linotype" w:cs="Arial"/>
        </w:rPr>
        <w:t>; la cual para su obtención es necesario acreditar personalidad, fecha de nacimiento entre otros con documentos oficiales.</w:t>
      </w:r>
    </w:p>
    <w:p w14:paraId="753812ED" w14:textId="77777777" w:rsidR="006A2889" w:rsidRPr="0039499D" w:rsidRDefault="006A2889" w:rsidP="006A2889">
      <w:pPr>
        <w:spacing w:line="360" w:lineRule="auto"/>
        <w:jc w:val="both"/>
        <w:rPr>
          <w:rFonts w:ascii="Palatino Linotype" w:hAnsi="Palatino Linotype" w:cs="Arial"/>
        </w:rPr>
      </w:pPr>
    </w:p>
    <w:p w14:paraId="033AFD98"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Al respecto, el Instituto Nacional Transparencia, Acceso a la Información y Protección de Datos Personales (INAI) a través del Criterio 19/17, señala literalmente lo siguiente:</w:t>
      </w:r>
    </w:p>
    <w:p w14:paraId="091F6E7D" w14:textId="77777777" w:rsidR="006A2889" w:rsidRPr="0039499D" w:rsidRDefault="006A2889" w:rsidP="006A2889">
      <w:pPr>
        <w:spacing w:line="360" w:lineRule="auto"/>
        <w:jc w:val="both"/>
        <w:rPr>
          <w:rFonts w:ascii="Palatino Linotype" w:hAnsi="Palatino Linotype" w:cs="Arial"/>
        </w:rPr>
      </w:pPr>
    </w:p>
    <w:p w14:paraId="15DE62B8"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Registro Federal de Contribuyentes (RFC) de personas físicas</w:t>
      </w:r>
      <w:r w:rsidRPr="0039499D">
        <w:rPr>
          <w:rFonts w:ascii="Palatino Linotype" w:hAnsi="Palatino Linotype" w:cs="Arial"/>
          <w:i/>
        </w:rPr>
        <w:t xml:space="preserve">. El RFC es una clave de carácter fiscal, </w:t>
      </w:r>
      <w:proofErr w:type="gramStart"/>
      <w:r w:rsidRPr="0039499D">
        <w:rPr>
          <w:rFonts w:ascii="Palatino Linotype" w:hAnsi="Palatino Linotype" w:cs="Arial"/>
          <w:i/>
        </w:rPr>
        <w:t>única</w:t>
      </w:r>
      <w:proofErr w:type="gramEnd"/>
      <w:r w:rsidRPr="0039499D">
        <w:rPr>
          <w:rFonts w:ascii="Palatino Linotype" w:hAnsi="Palatino Linotype" w:cs="Arial"/>
          <w:i/>
        </w:rPr>
        <w:t xml:space="preserve"> e irrepetible, que permite identificar al titular, su edad y fecha de nacimiento, por lo que es un dato personal de carácter confidencial.</w:t>
      </w:r>
    </w:p>
    <w:p w14:paraId="0F7DE4E2" w14:textId="77777777" w:rsidR="006A2889" w:rsidRPr="0039499D" w:rsidRDefault="006A2889" w:rsidP="006A2889">
      <w:pPr>
        <w:spacing w:line="360" w:lineRule="auto"/>
        <w:jc w:val="both"/>
        <w:rPr>
          <w:rFonts w:ascii="Palatino Linotype" w:hAnsi="Palatino Linotype" w:cs="Arial"/>
        </w:rPr>
      </w:pPr>
    </w:p>
    <w:p w14:paraId="6BC27798"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 xml:space="preserve">De lo anterior, se desprende que el Registro Federal de Contribuyentes se vincula al nombre de su titular, permitiendo identificar la edad de la persona, fecha de nacimiento, así como su </w:t>
      </w:r>
      <w:proofErr w:type="spellStart"/>
      <w:r w:rsidRPr="0039499D">
        <w:rPr>
          <w:rFonts w:ascii="Palatino Linotype" w:hAnsi="Palatino Linotype" w:cs="Arial"/>
        </w:rPr>
        <w:t>homoclave</w:t>
      </w:r>
      <w:proofErr w:type="spellEnd"/>
      <w:r w:rsidRPr="0039499D">
        <w:rPr>
          <w:rFonts w:ascii="Palatino Linotype" w:hAnsi="Palatino Linotype" w:cs="Arial"/>
        </w:rPr>
        <w:t xml:space="preserve">, determinando la identificación de dicha persona para efectos fiscales, por lo que éste constituye un dato personal que concierne a una </w:t>
      </w:r>
      <w:r w:rsidRPr="0039499D">
        <w:rPr>
          <w:rFonts w:ascii="Palatino Linotype" w:hAnsi="Palatino Linotype" w:cs="Arial"/>
        </w:rPr>
        <w:lastRenderedPageBreak/>
        <w:t>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14:paraId="1E730156" w14:textId="77777777" w:rsidR="006A2889" w:rsidRPr="0039499D" w:rsidRDefault="006A2889" w:rsidP="006A2889">
      <w:pPr>
        <w:spacing w:line="360" w:lineRule="auto"/>
        <w:jc w:val="both"/>
        <w:rPr>
          <w:rFonts w:ascii="Palatino Linotype" w:hAnsi="Palatino Linotype" w:cs="Arial"/>
        </w:rPr>
      </w:pPr>
    </w:p>
    <w:p w14:paraId="3D070CE5"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 xml:space="preserve">Por cuanto hace a la </w:t>
      </w:r>
      <w:r w:rsidRPr="0039499D">
        <w:rPr>
          <w:rFonts w:ascii="Palatino Linotype" w:hAnsi="Palatino Linotype" w:cs="Arial"/>
          <w:b/>
        </w:rPr>
        <w:t>Clave Única de Registro de Población</w:t>
      </w:r>
      <w:r w:rsidRPr="0039499D">
        <w:rPr>
          <w:rFonts w:ascii="Palatino Linotype" w:hAnsi="Palatino Linotype" w:cs="Arial"/>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2868010" w14:textId="77777777" w:rsidR="006A2889" w:rsidRPr="0039499D" w:rsidRDefault="006A2889" w:rsidP="006A2889">
      <w:pPr>
        <w:spacing w:line="360" w:lineRule="auto"/>
        <w:jc w:val="both"/>
        <w:rPr>
          <w:rFonts w:ascii="Palatino Linotype" w:hAnsi="Palatino Linotype" w:cs="Arial"/>
        </w:rPr>
      </w:pPr>
    </w:p>
    <w:p w14:paraId="0CEBBB9C"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Lo anterior, tiene sustento en los artículos 86 y 91, de la Ley General de Población, la cual señala lo siguiente:</w:t>
      </w:r>
    </w:p>
    <w:p w14:paraId="4A890253" w14:textId="77777777" w:rsidR="006A2889" w:rsidRPr="0039499D" w:rsidRDefault="006A2889" w:rsidP="006A2889">
      <w:pPr>
        <w:spacing w:line="276" w:lineRule="auto"/>
        <w:jc w:val="both"/>
        <w:rPr>
          <w:rFonts w:ascii="Palatino Linotype" w:hAnsi="Palatino Linotype" w:cs="Arial"/>
        </w:rPr>
      </w:pPr>
    </w:p>
    <w:p w14:paraId="052AFBE7"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Artículo 86.</w:t>
      </w:r>
      <w:r w:rsidRPr="0039499D">
        <w:rPr>
          <w:rFonts w:ascii="Palatino Linotype" w:hAnsi="Palatino Linotype" w:cs="Arial"/>
          <w:i/>
        </w:rPr>
        <w:t xml:space="preserve"> El Registro Nacional de Población tiene como finalidad registrar a cada una de las personas que integran la población del país, con los datos que permitan certificar y acreditar fehacientemente su identidad.</w:t>
      </w:r>
    </w:p>
    <w:p w14:paraId="5D0E86E9" w14:textId="77777777" w:rsidR="006A2889" w:rsidRPr="0039499D" w:rsidRDefault="006A2889" w:rsidP="006A2889">
      <w:pPr>
        <w:spacing w:line="276" w:lineRule="auto"/>
        <w:ind w:left="567" w:right="567"/>
        <w:jc w:val="both"/>
        <w:rPr>
          <w:rFonts w:ascii="Palatino Linotype" w:hAnsi="Palatino Linotype" w:cs="Arial"/>
          <w:i/>
        </w:rPr>
      </w:pPr>
    </w:p>
    <w:p w14:paraId="115A891D"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Artículo 91.</w:t>
      </w:r>
      <w:r w:rsidRPr="0039499D">
        <w:rPr>
          <w:rFonts w:ascii="Palatino Linotype" w:hAnsi="Palatino Linotype" w:cs="Arial"/>
          <w:i/>
        </w:rPr>
        <w:t xml:space="preserve"> Al incorporar a una persona en el Registro Nacional de Población, se le asignará una clave que se denominará Clave Única de Registro de Población. Esta servirá para registrarla e identificarla en forma individual.”</w:t>
      </w:r>
    </w:p>
    <w:p w14:paraId="594AE9A9" w14:textId="77777777" w:rsidR="006A2889" w:rsidRPr="0039499D" w:rsidRDefault="006A2889" w:rsidP="006A2889">
      <w:pPr>
        <w:spacing w:line="360" w:lineRule="auto"/>
        <w:jc w:val="both"/>
        <w:rPr>
          <w:rFonts w:ascii="Palatino Linotype" w:hAnsi="Palatino Linotype" w:cs="Arial"/>
        </w:rPr>
      </w:pPr>
    </w:p>
    <w:p w14:paraId="29F2E737"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w:t>
      </w:r>
      <w:r w:rsidRPr="0039499D">
        <w:rPr>
          <w:rFonts w:ascii="Palatino Linotype" w:hAnsi="Palatino Linotype" w:cs="Arial"/>
        </w:rPr>
        <w:lastRenderedPageBreak/>
        <w:t xml:space="preserve">año/mes/día; sexo; Entidad Federativa o lugar de nacimiento; finalmente un digito verificador, compuesto de dos elementos, con el que se evitan duplicaciones en la Clave, identifican el cambio de siglo y garantizan la correcta integración. </w:t>
      </w:r>
    </w:p>
    <w:p w14:paraId="669CF541" w14:textId="77777777" w:rsidR="006A2889" w:rsidRPr="0039499D" w:rsidRDefault="006A2889" w:rsidP="006A2889">
      <w:pPr>
        <w:spacing w:line="360" w:lineRule="auto"/>
        <w:jc w:val="both"/>
        <w:rPr>
          <w:rFonts w:ascii="Palatino Linotype" w:hAnsi="Palatino Linotype" w:cs="Arial"/>
        </w:rPr>
      </w:pPr>
    </w:p>
    <w:p w14:paraId="2E79BB5F"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Al respecto, el Instituto Nacional de Transparencia, Acceso a la Información y Protección de Datos Personales (INAI) a través del Criterio 18/17, señala literalmente lo siguiente:</w:t>
      </w:r>
    </w:p>
    <w:p w14:paraId="0F15EF8D" w14:textId="77777777" w:rsidR="006A2889" w:rsidRPr="0039499D" w:rsidRDefault="006A2889" w:rsidP="006A2889">
      <w:pPr>
        <w:spacing w:line="360" w:lineRule="auto"/>
        <w:jc w:val="both"/>
        <w:rPr>
          <w:rFonts w:ascii="Palatino Linotype" w:hAnsi="Palatino Linotype" w:cs="Arial"/>
        </w:rPr>
      </w:pPr>
    </w:p>
    <w:p w14:paraId="5793A500"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Clave Única de Registro de Población (CURP).</w:t>
      </w:r>
      <w:r w:rsidRPr="0039499D">
        <w:rPr>
          <w:rFonts w:ascii="Palatino Linotype" w:hAnsi="Palatino Linotype" w:cs="Arial"/>
          <w:i/>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62DD45B" w14:textId="77777777" w:rsidR="006A2889" w:rsidRPr="0039499D" w:rsidRDefault="006A2889" w:rsidP="006A2889">
      <w:pPr>
        <w:spacing w:line="276" w:lineRule="auto"/>
        <w:jc w:val="both"/>
        <w:rPr>
          <w:rFonts w:ascii="Palatino Linotype" w:hAnsi="Palatino Linotype" w:cs="Arial"/>
        </w:rPr>
      </w:pPr>
    </w:p>
    <w:p w14:paraId="37387B5B"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CE112CD" w14:textId="77777777" w:rsidR="006A2889" w:rsidRPr="0039499D" w:rsidRDefault="006A2889" w:rsidP="006A2889">
      <w:pPr>
        <w:spacing w:line="360" w:lineRule="auto"/>
        <w:jc w:val="both"/>
        <w:rPr>
          <w:rFonts w:ascii="Palatino Linotype" w:hAnsi="Palatino Linotype" w:cs="Arial"/>
        </w:rPr>
      </w:pPr>
    </w:p>
    <w:p w14:paraId="319AF38D"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 xml:space="preserve">Por cuanto hace a la </w:t>
      </w:r>
      <w:r w:rsidRPr="0039499D">
        <w:rPr>
          <w:rFonts w:ascii="Palatino Linotype" w:hAnsi="Palatino Linotype" w:cs="Arial"/>
          <w:b/>
        </w:rPr>
        <w:t>Clave de cualquier tipo de seguridad social</w:t>
      </w:r>
      <w:r w:rsidRPr="0039499D">
        <w:rPr>
          <w:rFonts w:ascii="Palatino Linotype" w:hAnsi="Palatino Linotype" w:cs="Arial"/>
        </w:rPr>
        <w:t xml:space="preserve"> (ISSEMYM, u otros), está integrado por una secuencia de números con los que se identifica a los trabajadores </w:t>
      </w:r>
      <w:r w:rsidRPr="0039499D">
        <w:rPr>
          <w:rFonts w:ascii="Palatino Linotype" w:hAnsi="Palatino Linotype" w:cs="Arial"/>
        </w:rPr>
        <w:lastRenderedPageBreak/>
        <w:t>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207E4117" w14:textId="77777777" w:rsidR="006A2889" w:rsidRPr="0039499D" w:rsidRDefault="006A2889" w:rsidP="006A2889">
      <w:pPr>
        <w:spacing w:line="360" w:lineRule="auto"/>
        <w:jc w:val="both"/>
        <w:rPr>
          <w:rFonts w:ascii="Palatino Linotype" w:hAnsi="Palatino Linotype" w:cs="Arial"/>
        </w:rPr>
      </w:pPr>
    </w:p>
    <w:p w14:paraId="2693D32B"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 xml:space="preserve">Respecto de los </w:t>
      </w:r>
      <w:r w:rsidRPr="0039499D">
        <w:rPr>
          <w:rFonts w:ascii="Palatino Linotype" w:hAnsi="Palatino Linotype" w:cs="Arial"/>
          <w:b/>
        </w:rPr>
        <w:t>préstamos o descuentos de carácter personal</w:t>
      </w:r>
      <w:r w:rsidRPr="0039499D">
        <w:rPr>
          <w:rFonts w:ascii="Palatino Linotype" w:hAnsi="Palatino Linotype" w:cs="Arial"/>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1018DADC" w14:textId="77777777" w:rsidR="006A2889" w:rsidRPr="0039499D" w:rsidRDefault="006A2889" w:rsidP="006A2889">
      <w:pPr>
        <w:spacing w:line="360" w:lineRule="auto"/>
        <w:jc w:val="both"/>
        <w:rPr>
          <w:rFonts w:ascii="Palatino Linotype" w:hAnsi="Palatino Linotype" w:cs="Arial"/>
        </w:rPr>
      </w:pPr>
    </w:p>
    <w:p w14:paraId="2490F347"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Por su parte, el artículo 84 de la Ley del Trabajo de los Servidores Públicos del Estado y Municipios, señala:</w:t>
      </w:r>
    </w:p>
    <w:p w14:paraId="67D1BDF6" w14:textId="77777777" w:rsidR="006A2889" w:rsidRPr="00E5613E" w:rsidRDefault="006A2889" w:rsidP="006A2889">
      <w:pPr>
        <w:spacing w:line="276" w:lineRule="auto"/>
        <w:ind w:left="567" w:right="567"/>
        <w:jc w:val="both"/>
        <w:rPr>
          <w:rFonts w:ascii="Palatino Linotype" w:hAnsi="Palatino Linotype" w:cs="Arial"/>
          <w:i/>
        </w:rPr>
      </w:pPr>
      <w:r w:rsidRPr="00E5613E">
        <w:rPr>
          <w:rFonts w:ascii="Palatino Linotype" w:hAnsi="Palatino Linotype" w:cs="Arial"/>
          <w:b/>
          <w:i/>
        </w:rPr>
        <w:t>ARTICULO 84.</w:t>
      </w:r>
      <w:r w:rsidRPr="00E5613E">
        <w:rPr>
          <w:rFonts w:ascii="Palatino Linotype" w:hAnsi="Palatino Linotype" w:cs="Arial"/>
          <w:i/>
        </w:rPr>
        <w:t xml:space="preserve"> Sólo podrán hacerse retenciones, descuentos o deducciones al sueldo de los servidores públicos por concepto de:</w:t>
      </w:r>
    </w:p>
    <w:p w14:paraId="74717808" w14:textId="77777777" w:rsidR="006A2889" w:rsidRPr="00E5613E" w:rsidRDefault="006A2889" w:rsidP="006A2889">
      <w:pPr>
        <w:spacing w:line="276" w:lineRule="auto"/>
        <w:ind w:left="567" w:right="567"/>
        <w:jc w:val="both"/>
        <w:rPr>
          <w:rFonts w:ascii="Palatino Linotype" w:hAnsi="Palatino Linotype" w:cs="Arial"/>
          <w:i/>
        </w:rPr>
      </w:pPr>
      <w:r w:rsidRPr="00E5613E">
        <w:rPr>
          <w:rFonts w:ascii="Palatino Linotype" w:hAnsi="Palatino Linotype" w:cs="Arial"/>
          <w:b/>
          <w:i/>
        </w:rPr>
        <w:t>I.</w:t>
      </w:r>
      <w:r w:rsidRPr="00E5613E">
        <w:rPr>
          <w:rFonts w:ascii="Palatino Linotype" w:hAnsi="Palatino Linotype" w:cs="Arial"/>
          <w:i/>
        </w:rPr>
        <w:t xml:space="preserve"> Gravámenes fiscales relacionados con el sueldo;</w:t>
      </w:r>
    </w:p>
    <w:p w14:paraId="4016B9CD" w14:textId="77777777" w:rsidR="006A2889" w:rsidRPr="00E5613E" w:rsidRDefault="006A2889" w:rsidP="006A2889">
      <w:pPr>
        <w:spacing w:line="276" w:lineRule="auto"/>
        <w:ind w:left="567" w:right="567"/>
        <w:jc w:val="both"/>
        <w:rPr>
          <w:rFonts w:ascii="Palatino Linotype" w:hAnsi="Palatino Linotype" w:cs="Arial"/>
          <w:i/>
        </w:rPr>
      </w:pPr>
      <w:r w:rsidRPr="00E5613E">
        <w:rPr>
          <w:rFonts w:ascii="Palatino Linotype" w:hAnsi="Palatino Linotype" w:cs="Arial"/>
          <w:b/>
          <w:i/>
        </w:rPr>
        <w:t>II.</w:t>
      </w:r>
      <w:r w:rsidRPr="00E5613E">
        <w:rPr>
          <w:rFonts w:ascii="Palatino Linotype" w:hAnsi="Palatino Linotype" w:cs="Arial"/>
          <w:i/>
        </w:rPr>
        <w:t xml:space="preserve"> Deudas contraídas con las instituciones públicas o dependencias por concepto de anticipos de sueldo, pagos hechos con exceso, errores o pérdidas debidamente comprobados;</w:t>
      </w:r>
    </w:p>
    <w:p w14:paraId="42E2C0B8" w14:textId="77777777" w:rsidR="006A2889" w:rsidRPr="00E5613E" w:rsidRDefault="006A2889" w:rsidP="006A2889">
      <w:pPr>
        <w:spacing w:line="276" w:lineRule="auto"/>
        <w:ind w:left="567" w:right="567"/>
        <w:jc w:val="both"/>
        <w:rPr>
          <w:rFonts w:ascii="Palatino Linotype" w:hAnsi="Palatino Linotype" w:cs="Arial"/>
          <w:i/>
        </w:rPr>
      </w:pPr>
      <w:r w:rsidRPr="00E5613E">
        <w:rPr>
          <w:rFonts w:ascii="Palatino Linotype" w:hAnsi="Palatino Linotype" w:cs="Arial"/>
          <w:b/>
          <w:i/>
        </w:rPr>
        <w:t>III.</w:t>
      </w:r>
      <w:r w:rsidRPr="00E5613E">
        <w:rPr>
          <w:rFonts w:ascii="Palatino Linotype" w:hAnsi="Palatino Linotype" w:cs="Arial"/>
          <w:i/>
        </w:rPr>
        <w:t xml:space="preserve"> Cuotas sindicales;</w:t>
      </w:r>
    </w:p>
    <w:p w14:paraId="1008251E" w14:textId="77777777" w:rsidR="006A2889" w:rsidRPr="00E5613E" w:rsidRDefault="006A2889" w:rsidP="006A2889">
      <w:pPr>
        <w:spacing w:line="276" w:lineRule="auto"/>
        <w:ind w:left="567" w:right="567"/>
        <w:jc w:val="both"/>
        <w:rPr>
          <w:rFonts w:ascii="Palatino Linotype" w:hAnsi="Palatino Linotype" w:cs="Arial"/>
          <w:i/>
        </w:rPr>
      </w:pPr>
      <w:r w:rsidRPr="00E5613E">
        <w:rPr>
          <w:rFonts w:ascii="Palatino Linotype" w:hAnsi="Palatino Linotype" w:cs="Arial"/>
          <w:b/>
          <w:i/>
        </w:rPr>
        <w:lastRenderedPageBreak/>
        <w:t>IV.</w:t>
      </w:r>
      <w:r w:rsidRPr="00E5613E">
        <w:rPr>
          <w:rFonts w:ascii="Palatino Linotype" w:hAnsi="Palatino Linotype" w:cs="Arial"/>
          <w:i/>
        </w:rPr>
        <w:t xml:space="preserve"> Cuotas de aportación a fondos para la constitución de cooperativas y de cajas de ahorro, siempre que el servidor público hubiese manifestado previamente, de manera expresa, su conformidad;</w:t>
      </w:r>
    </w:p>
    <w:p w14:paraId="2384B44F" w14:textId="77777777" w:rsidR="006A2889" w:rsidRPr="00E5613E" w:rsidRDefault="006A2889" w:rsidP="006A2889">
      <w:pPr>
        <w:spacing w:line="276" w:lineRule="auto"/>
        <w:ind w:left="567" w:right="567"/>
        <w:jc w:val="both"/>
        <w:rPr>
          <w:rFonts w:ascii="Palatino Linotype" w:hAnsi="Palatino Linotype" w:cs="Arial"/>
          <w:i/>
        </w:rPr>
      </w:pPr>
      <w:r w:rsidRPr="00E5613E">
        <w:rPr>
          <w:rFonts w:ascii="Palatino Linotype" w:hAnsi="Palatino Linotype" w:cs="Arial"/>
          <w:b/>
          <w:i/>
        </w:rPr>
        <w:t>V.</w:t>
      </w:r>
      <w:r w:rsidRPr="00E5613E">
        <w:rPr>
          <w:rFonts w:ascii="Palatino Linotype" w:hAnsi="Palatino Linotype" w:cs="Arial"/>
          <w:i/>
        </w:rPr>
        <w:t xml:space="preserve"> Descuentos ordenados por el Instituto de Seguridad Social del Estado de México y Municipios, con motivo de cuotas y obligaciones contraídas con éste por los servidores públicos;</w:t>
      </w:r>
    </w:p>
    <w:p w14:paraId="35060E52" w14:textId="77777777" w:rsidR="006A2889" w:rsidRPr="00E5613E" w:rsidRDefault="006A2889" w:rsidP="006A2889">
      <w:pPr>
        <w:spacing w:line="276" w:lineRule="auto"/>
        <w:ind w:left="567" w:right="567"/>
        <w:jc w:val="both"/>
        <w:rPr>
          <w:rFonts w:ascii="Palatino Linotype" w:hAnsi="Palatino Linotype" w:cs="Arial"/>
          <w:i/>
        </w:rPr>
      </w:pPr>
      <w:r w:rsidRPr="00E5613E">
        <w:rPr>
          <w:rFonts w:ascii="Palatino Linotype" w:hAnsi="Palatino Linotype" w:cs="Arial"/>
          <w:b/>
          <w:i/>
        </w:rPr>
        <w:t>VI.</w:t>
      </w:r>
      <w:r w:rsidRPr="00E5613E">
        <w:rPr>
          <w:rFonts w:ascii="Palatino Linotype" w:hAnsi="Palatino Linotype" w:cs="Arial"/>
          <w:i/>
        </w:rPr>
        <w:t xml:space="preserve"> Obligaciones a cargo del servidor público con las que haya consentido, derivadas de la adquisición o del uso de habitaciones consideradas como de interés social;</w:t>
      </w:r>
    </w:p>
    <w:p w14:paraId="44602E8A" w14:textId="77777777" w:rsidR="006A2889" w:rsidRPr="00E5613E" w:rsidRDefault="006A2889" w:rsidP="006A2889">
      <w:pPr>
        <w:spacing w:line="276" w:lineRule="auto"/>
        <w:ind w:left="567" w:right="567"/>
        <w:jc w:val="both"/>
        <w:rPr>
          <w:rFonts w:ascii="Palatino Linotype" w:hAnsi="Palatino Linotype" w:cs="Arial"/>
          <w:i/>
        </w:rPr>
      </w:pPr>
      <w:r w:rsidRPr="00E5613E">
        <w:rPr>
          <w:rFonts w:ascii="Palatino Linotype" w:hAnsi="Palatino Linotype" w:cs="Arial"/>
          <w:b/>
          <w:i/>
        </w:rPr>
        <w:t>VII.</w:t>
      </w:r>
      <w:r w:rsidRPr="00E5613E">
        <w:rPr>
          <w:rFonts w:ascii="Palatino Linotype" w:hAnsi="Palatino Linotype" w:cs="Arial"/>
          <w:i/>
        </w:rPr>
        <w:t xml:space="preserve"> Faltas de puntualidad o de asistencia injustificadas;</w:t>
      </w:r>
    </w:p>
    <w:p w14:paraId="38E63A4D" w14:textId="77777777" w:rsidR="006A2889" w:rsidRPr="00E5613E" w:rsidRDefault="006A2889" w:rsidP="006A2889">
      <w:pPr>
        <w:spacing w:line="276" w:lineRule="auto"/>
        <w:ind w:left="567" w:right="567"/>
        <w:jc w:val="both"/>
        <w:rPr>
          <w:rFonts w:ascii="Palatino Linotype" w:hAnsi="Palatino Linotype" w:cs="Arial"/>
          <w:i/>
        </w:rPr>
      </w:pPr>
      <w:r w:rsidRPr="00E5613E">
        <w:rPr>
          <w:rFonts w:ascii="Palatino Linotype" w:hAnsi="Palatino Linotype" w:cs="Arial"/>
          <w:b/>
          <w:i/>
        </w:rPr>
        <w:t>VIII.</w:t>
      </w:r>
      <w:r w:rsidRPr="00E5613E">
        <w:rPr>
          <w:rFonts w:ascii="Palatino Linotype" w:hAnsi="Palatino Linotype" w:cs="Arial"/>
          <w:i/>
        </w:rPr>
        <w:t xml:space="preserve"> Pensiones alimenticias ordenadas por la autoridad judicial; o</w:t>
      </w:r>
    </w:p>
    <w:p w14:paraId="73577177" w14:textId="77777777" w:rsidR="006A2889" w:rsidRPr="00E5613E" w:rsidRDefault="006A2889" w:rsidP="006A2889">
      <w:pPr>
        <w:spacing w:line="276" w:lineRule="auto"/>
        <w:ind w:left="567" w:right="567"/>
        <w:jc w:val="both"/>
        <w:rPr>
          <w:rFonts w:ascii="Palatino Linotype" w:hAnsi="Palatino Linotype" w:cs="Arial"/>
          <w:i/>
        </w:rPr>
      </w:pPr>
      <w:r w:rsidRPr="00E5613E">
        <w:rPr>
          <w:rFonts w:ascii="Palatino Linotype" w:hAnsi="Palatino Linotype" w:cs="Arial"/>
          <w:b/>
          <w:i/>
        </w:rPr>
        <w:t>IX.</w:t>
      </w:r>
      <w:r w:rsidRPr="00E5613E">
        <w:rPr>
          <w:rFonts w:ascii="Palatino Linotype" w:hAnsi="Palatino Linotype" w:cs="Arial"/>
          <w:i/>
        </w:rPr>
        <w:t xml:space="preserve"> Cualquier otro convenido con instituciones de servicios y aceptado por el servidor público.</w:t>
      </w:r>
    </w:p>
    <w:p w14:paraId="7CA8C5BB" w14:textId="77777777" w:rsidR="006A2889" w:rsidRPr="00E5613E" w:rsidRDefault="006A2889" w:rsidP="006A2889">
      <w:pPr>
        <w:spacing w:line="276" w:lineRule="auto"/>
        <w:ind w:left="567" w:right="567"/>
        <w:jc w:val="both"/>
        <w:rPr>
          <w:rFonts w:ascii="Palatino Linotype" w:hAnsi="Palatino Linotype" w:cs="Arial"/>
          <w:i/>
        </w:rPr>
      </w:pPr>
    </w:p>
    <w:p w14:paraId="71B69F86" w14:textId="77777777" w:rsidR="006A2889" w:rsidRPr="00E5613E" w:rsidRDefault="006A2889" w:rsidP="006A2889">
      <w:pPr>
        <w:spacing w:line="276" w:lineRule="auto"/>
        <w:ind w:left="567" w:right="567"/>
        <w:jc w:val="both"/>
        <w:rPr>
          <w:rFonts w:ascii="Palatino Linotype" w:hAnsi="Palatino Linotype" w:cs="Arial"/>
          <w:i/>
        </w:rPr>
      </w:pPr>
      <w:r w:rsidRPr="00E5613E">
        <w:rPr>
          <w:rFonts w:ascii="Palatino Linotype" w:hAnsi="Palatino Linotype" w:cs="Arial"/>
          <w:i/>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0612DCFB" w14:textId="77777777" w:rsidR="006A2889" w:rsidRPr="0039499D" w:rsidRDefault="006A2889" w:rsidP="006A2889">
      <w:pPr>
        <w:spacing w:line="360" w:lineRule="auto"/>
        <w:jc w:val="both"/>
        <w:rPr>
          <w:rFonts w:ascii="Palatino Linotype" w:hAnsi="Palatino Linotype" w:cs="Arial"/>
        </w:rPr>
      </w:pPr>
    </w:p>
    <w:p w14:paraId="1CB4420F"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4A56E7C1" w14:textId="77777777" w:rsidR="006A2889" w:rsidRPr="008D66C3" w:rsidRDefault="006A2889" w:rsidP="006A2889">
      <w:pPr>
        <w:spacing w:line="360" w:lineRule="auto"/>
        <w:jc w:val="both"/>
        <w:rPr>
          <w:rFonts w:ascii="Palatino Linotype" w:hAnsi="Palatino Linotype" w:cs="Arial"/>
        </w:rPr>
      </w:pPr>
    </w:p>
    <w:p w14:paraId="0305BAB2" w14:textId="77777777" w:rsidR="006A2889" w:rsidRPr="00D76604" w:rsidRDefault="006A2889" w:rsidP="006A2889">
      <w:pPr>
        <w:spacing w:line="360" w:lineRule="auto"/>
        <w:ind w:right="51"/>
        <w:jc w:val="both"/>
        <w:rPr>
          <w:rFonts w:ascii="Palatino Linotype" w:hAnsi="Palatino Linotype"/>
          <w:szCs w:val="14"/>
        </w:rPr>
      </w:pPr>
      <w:r w:rsidRPr="00D76604">
        <w:rPr>
          <w:rFonts w:ascii="Palatino Linotype" w:eastAsia="Palatino Linotype" w:hAnsi="Palatino Linotype" w:cs="Palatino Linotype"/>
        </w:rPr>
        <w:t xml:space="preserve">Igualmente, resulta importante destacar que el </w:t>
      </w:r>
      <w:r w:rsidRPr="00D76604">
        <w:rPr>
          <w:rFonts w:ascii="Palatino Linotype" w:eastAsia="Palatino Linotype" w:hAnsi="Palatino Linotype" w:cs="Palatino Linotype"/>
          <w:b/>
          <w:i/>
        </w:rPr>
        <w:t>número de cuenta bancaria</w:t>
      </w:r>
      <w:r w:rsidRPr="00D76604">
        <w:rPr>
          <w:rFonts w:ascii="Palatino Linotype" w:eastAsia="Palatino Linotype" w:hAnsi="Palatino Linotype" w:cs="Palatino Linotype"/>
          <w:b/>
        </w:rPr>
        <w:t xml:space="preserve"> de las personas físicas </w:t>
      </w:r>
      <w:r w:rsidRPr="00D76604">
        <w:rPr>
          <w:rFonts w:ascii="Palatino Linotype" w:eastAsia="Palatino Linotype" w:hAnsi="Palatino Linotype" w:cs="Palatino Linotype"/>
        </w:rPr>
        <w:t xml:space="preserve">es información que sólo su titular o personas autorizadas poseen para </w:t>
      </w:r>
      <w:r w:rsidRPr="00D76604">
        <w:rPr>
          <w:rFonts w:ascii="Palatino Linotype" w:eastAsia="Palatino Linotype" w:hAnsi="Palatino Linotype" w:cs="Palatino Linotype"/>
        </w:rPr>
        <w:lastRenderedPageBreak/>
        <w:t>el acceso o consulta de información patrimonial, o para la realización de operaciones bancarias de diversa naturaleza, por lo que la difusión pública del mismo facilitaría la afectación al patrimonio del titular de la cuenta.</w:t>
      </w:r>
    </w:p>
    <w:p w14:paraId="0DD80181" w14:textId="77777777" w:rsidR="006A2889" w:rsidRDefault="006A2889" w:rsidP="006A2889">
      <w:pPr>
        <w:spacing w:line="360" w:lineRule="auto"/>
        <w:ind w:right="50"/>
        <w:jc w:val="both"/>
        <w:rPr>
          <w:rFonts w:ascii="Palatino Linotype" w:eastAsia="Palatino Linotype" w:hAnsi="Palatino Linotype" w:cs="Palatino Linotype"/>
        </w:rPr>
      </w:pPr>
    </w:p>
    <w:p w14:paraId="32BE663E" w14:textId="77777777" w:rsidR="006A2889" w:rsidRPr="00D76604" w:rsidRDefault="006A2889" w:rsidP="006A2889">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4D6521BA" w14:textId="77777777" w:rsidR="006A2889" w:rsidRPr="00D76604" w:rsidRDefault="006A2889" w:rsidP="006A2889">
      <w:pPr>
        <w:spacing w:line="360" w:lineRule="auto"/>
        <w:ind w:right="50"/>
        <w:jc w:val="both"/>
        <w:rPr>
          <w:rFonts w:ascii="Palatino Linotype" w:eastAsia="Palatino Linotype" w:hAnsi="Palatino Linotype" w:cs="Palatino Linotype"/>
        </w:rPr>
      </w:pPr>
    </w:p>
    <w:p w14:paraId="3BCBC82B" w14:textId="77777777" w:rsidR="006A2889" w:rsidRPr="00D76604" w:rsidRDefault="006A2889" w:rsidP="006A2889">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13CAED2B" w14:textId="77777777" w:rsidR="006A2889" w:rsidRPr="00D76604" w:rsidRDefault="006A2889" w:rsidP="006A2889">
      <w:pPr>
        <w:spacing w:line="360" w:lineRule="auto"/>
        <w:ind w:right="50"/>
        <w:jc w:val="both"/>
        <w:rPr>
          <w:rFonts w:ascii="Palatino Linotype" w:eastAsia="Palatino Linotype" w:hAnsi="Palatino Linotype" w:cs="Palatino Linotype"/>
        </w:rPr>
      </w:pPr>
    </w:p>
    <w:p w14:paraId="6AF95266" w14:textId="77777777" w:rsidR="006A2889" w:rsidRPr="00D76604" w:rsidRDefault="006A2889" w:rsidP="006A2889">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14:paraId="79DB13B4" w14:textId="77777777" w:rsidR="006A2889" w:rsidRPr="00D76604" w:rsidRDefault="006A2889" w:rsidP="006A2889">
      <w:pPr>
        <w:spacing w:line="360" w:lineRule="auto"/>
        <w:ind w:right="50"/>
        <w:jc w:val="both"/>
        <w:rPr>
          <w:rFonts w:ascii="Palatino Linotype" w:eastAsia="Palatino Linotype" w:hAnsi="Palatino Linotype" w:cs="Palatino Linotype"/>
        </w:rPr>
      </w:pPr>
    </w:p>
    <w:p w14:paraId="648FDBF2" w14:textId="77777777" w:rsidR="006A2889" w:rsidRPr="00D76604" w:rsidRDefault="006A2889" w:rsidP="006A2889">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Es por esta razón que se debe omitir el o los números de cuentas bancarias de particulares en las versiones públicas, para ser entregadas.</w:t>
      </w:r>
    </w:p>
    <w:p w14:paraId="7DF5C0FB" w14:textId="77777777" w:rsidR="006A2889" w:rsidRPr="00D76604" w:rsidRDefault="006A2889" w:rsidP="006A2889">
      <w:pPr>
        <w:spacing w:line="360" w:lineRule="auto"/>
        <w:ind w:right="50"/>
        <w:jc w:val="both"/>
        <w:rPr>
          <w:rFonts w:ascii="Palatino Linotype" w:eastAsia="Palatino Linotype" w:hAnsi="Palatino Linotype" w:cs="Palatino Linotype"/>
        </w:rPr>
      </w:pPr>
    </w:p>
    <w:p w14:paraId="57F956DE" w14:textId="77777777" w:rsidR="006A2889" w:rsidRPr="00D76604" w:rsidRDefault="006A2889" w:rsidP="006A2889">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lastRenderedPageBreak/>
        <w:t>Lo anterior, no es así tratándose de las cuentas bancarias o claves interbancarias de los Sujetos Obligados ya que su publicidad cede a la rendición de cuentas al transparentar la forma en que son administrados los recursos públicos.</w:t>
      </w:r>
    </w:p>
    <w:p w14:paraId="13865BE4" w14:textId="77777777" w:rsidR="006A2889" w:rsidRPr="00D76604" w:rsidRDefault="006A2889" w:rsidP="006A2889">
      <w:pPr>
        <w:spacing w:line="360" w:lineRule="auto"/>
        <w:ind w:right="50"/>
        <w:jc w:val="both"/>
        <w:rPr>
          <w:rFonts w:ascii="Palatino Linotype" w:eastAsia="Palatino Linotype" w:hAnsi="Palatino Linotype" w:cs="Palatino Linotype"/>
        </w:rPr>
      </w:pPr>
    </w:p>
    <w:p w14:paraId="247FFA1E" w14:textId="77777777" w:rsidR="006A2889" w:rsidRPr="00D76604" w:rsidRDefault="006A2889" w:rsidP="006A2889">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14:paraId="5CAB24E4" w14:textId="77777777" w:rsidR="006A2889" w:rsidRDefault="006A2889" w:rsidP="006A2889">
      <w:pPr>
        <w:spacing w:line="360" w:lineRule="auto"/>
        <w:ind w:right="50"/>
        <w:jc w:val="both"/>
        <w:rPr>
          <w:rFonts w:ascii="Palatino Linotype" w:eastAsia="Palatino Linotype" w:hAnsi="Palatino Linotype" w:cs="Palatino Linotype"/>
        </w:rPr>
      </w:pPr>
    </w:p>
    <w:p w14:paraId="2CB3306C" w14:textId="77777777" w:rsidR="006A2889" w:rsidRDefault="006A2889" w:rsidP="006A2889">
      <w:pPr>
        <w:spacing w:after="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“Cuentas bancarias y/o CLABE interbancaria de personas físicas y morales privadas.</w:t>
      </w:r>
      <w:r>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715560CB" w14:textId="77777777" w:rsidR="006A2889" w:rsidRDefault="006A2889" w:rsidP="006A2889">
      <w:pPr>
        <w:spacing w:before="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Cuentas bancarias y/o CLABE interbancaria de sujetos obligados que reciben y/o transfieren recursos públicos, son información pública</w:t>
      </w:r>
      <w:r>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736F4979" w14:textId="77777777" w:rsidR="006A2889" w:rsidRDefault="006A2889" w:rsidP="006A2889">
      <w:pPr>
        <w:spacing w:line="360" w:lineRule="auto"/>
        <w:ind w:left="851" w:right="900"/>
        <w:jc w:val="both"/>
        <w:rPr>
          <w:rFonts w:ascii="Palatino Linotype" w:eastAsia="Palatino Linotype" w:hAnsi="Palatino Linotype" w:cs="Palatino Linotype"/>
          <w:i/>
        </w:rPr>
      </w:pPr>
    </w:p>
    <w:p w14:paraId="0F629F5F" w14:textId="77777777" w:rsidR="006A2889" w:rsidRDefault="006A2889" w:rsidP="006A2889">
      <w:pPr>
        <w:spacing w:line="360" w:lineRule="auto"/>
        <w:jc w:val="both"/>
        <w:rPr>
          <w:rFonts w:ascii="Palatino Linotype" w:hAnsi="Palatino Linotype" w:cs="Arial"/>
        </w:rPr>
      </w:pPr>
    </w:p>
    <w:p w14:paraId="5588AF17"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w:t>
      </w:r>
      <w:r w:rsidRPr="0039499D">
        <w:rPr>
          <w:rFonts w:ascii="Palatino Linotype" w:hAnsi="Palatino Linotype" w:cs="Arial"/>
        </w:rPr>
        <w:lastRenderedPageBreak/>
        <w:t>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77B1EC4E" w14:textId="77777777" w:rsidR="006A2889" w:rsidRPr="0039499D" w:rsidRDefault="006A2889" w:rsidP="006A2889">
      <w:pPr>
        <w:spacing w:line="360" w:lineRule="auto"/>
        <w:jc w:val="both"/>
        <w:rPr>
          <w:rFonts w:ascii="Palatino Linotype" w:hAnsi="Palatino Linotype" w:cs="Arial"/>
        </w:rPr>
      </w:pPr>
    </w:p>
    <w:p w14:paraId="7FC35C33"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04B51814" w14:textId="77777777" w:rsidR="006A2889" w:rsidRPr="0039499D" w:rsidRDefault="006A2889" w:rsidP="006A2889">
      <w:pPr>
        <w:spacing w:line="360" w:lineRule="auto"/>
        <w:jc w:val="both"/>
        <w:rPr>
          <w:rFonts w:ascii="Palatino Linotype" w:hAnsi="Palatino Linotype" w:cs="Arial"/>
        </w:rPr>
      </w:pPr>
    </w:p>
    <w:p w14:paraId="32695B02"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w:t>
      </w:r>
      <w:r w:rsidRPr="0039499D">
        <w:rPr>
          <w:rFonts w:ascii="Palatino Linotype" w:hAnsi="Palatino Linotype" w:cs="Arial"/>
        </w:rPr>
        <w:lastRenderedPageBreak/>
        <w:t>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ED527DB" w14:textId="77777777" w:rsidR="006A2889" w:rsidRPr="0039499D" w:rsidRDefault="006A2889" w:rsidP="006A2889">
      <w:pPr>
        <w:spacing w:line="360" w:lineRule="auto"/>
        <w:jc w:val="both"/>
        <w:rPr>
          <w:rFonts w:ascii="Palatino Linotype" w:hAnsi="Palatino Linotype" w:cs="Arial"/>
        </w:rPr>
      </w:pPr>
    </w:p>
    <w:p w14:paraId="2266C504"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Artículo 49.</w:t>
      </w:r>
      <w:r w:rsidRPr="0039499D">
        <w:rPr>
          <w:rFonts w:ascii="Palatino Linotype" w:hAnsi="Palatino Linotype" w:cs="Arial"/>
          <w:i/>
        </w:rPr>
        <w:t xml:space="preserve"> Los Comités de Transparencia tendrán las siguientes atribuciones:</w:t>
      </w:r>
    </w:p>
    <w:p w14:paraId="5BA0F6BB"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w:t>
      </w:r>
    </w:p>
    <w:p w14:paraId="49263A53"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VIII</w:t>
      </w:r>
      <w:r w:rsidRPr="0039499D">
        <w:rPr>
          <w:rFonts w:ascii="Palatino Linotype" w:hAnsi="Palatino Linotype" w:cs="Arial"/>
          <w:i/>
        </w:rPr>
        <w:t>. Aprobar, modificar o revocar la clasificación de la información;</w:t>
      </w:r>
    </w:p>
    <w:p w14:paraId="5A986C8D"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Artículo 132.</w:t>
      </w:r>
      <w:r w:rsidRPr="0039499D">
        <w:rPr>
          <w:rFonts w:ascii="Palatino Linotype" w:hAnsi="Palatino Linotype" w:cs="Arial"/>
          <w:i/>
        </w:rPr>
        <w:t xml:space="preserve"> La clasificación de la información se llevará a cabo en el momento en que:</w:t>
      </w:r>
    </w:p>
    <w:p w14:paraId="2489345E"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I. Se reciba una solicitud de acceso a la información;</w:t>
      </w:r>
    </w:p>
    <w:p w14:paraId="3EAAB724"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II. Se determine mediante resolución de autoridad competente; o</w:t>
      </w:r>
    </w:p>
    <w:p w14:paraId="3640B460"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III. Se generen versiones públicas para dar cumplimiento a las obligaciones de transparencia previstas en esta Ley.”</w:t>
      </w:r>
    </w:p>
    <w:p w14:paraId="6B54879C"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Segundo</w:t>
      </w:r>
      <w:r w:rsidRPr="0039499D">
        <w:rPr>
          <w:rFonts w:ascii="Palatino Linotype" w:hAnsi="Palatino Linotype" w:cs="Arial"/>
          <w:i/>
        </w:rPr>
        <w:t>.- Para efectos de los presentes Lineamientos Generales, se entenderá por:</w:t>
      </w:r>
    </w:p>
    <w:p w14:paraId="24E3697A"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w:t>
      </w:r>
    </w:p>
    <w:p w14:paraId="43524643"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XVIII</w:t>
      </w:r>
      <w:r w:rsidRPr="0039499D">
        <w:rPr>
          <w:rFonts w:ascii="Palatino Linotype" w:hAnsi="Palatino Linotype" w:cs="Arial"/>
          <w:i/>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65E431E"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Cuarto</w:t>
      </w:r>
      <w:r w:rsidRPr="0039499D">
        <w:rPr>
          <w:rFonts w:ascii="Palatino Linotype" w:hAnsi="Palatino Linotype" w:cs="Arial"/>
          <w:i/>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941BA61"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Los Sujetos Obligados deberán aplicar, de manera estricta, las excepciones al derecho de acceso a la información y sólo podrán invocarlas cuando acrediten su procedencia.</w:t>
      </w:r>
    </w:p>
    <w:p w14:paraId="5997E4F7" w14:textId="77777777" w:rsidR="006A2889" w:rsidRPr="0039499D" w:rsidRDefault="006A2889" w:rsidP="006A2889">
      <w:pPr>
        <w:spacing w:line="276" w:lineRule="auto"/>
        <w:ind w:left="567" w:right="567"/>
        <w:jc w:val="both"/>
        <w:rPr>
          <w:rFonts w:ascii="Palatino Linotype" w:hAnsi="Palatino Linotype" w:cs="Arial"/>
          <w:i/>
        </w:rPr>
      </w:pPr>
    </w:p>
    <w:p w14:paraId="3337CDBE"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lastRenderedPageBreak/>
        <w:t>Quinto</w:t>
      </w:r>
      <w:r w:rsidRPr="0039499D">
        <w:rPr>
          <w:rFonts w:ascii="Palatino Linotype" w:hAnsi="Palatino Linotype" w:cs="Arial"/>
          <w:i/>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EDCCF15" w14:textId="77777777" w:rsidR="006A2889" w:rsidRPr="0039499D" w:rsidRDefault="006A2889" w:rsidP="006A2889">
      <w:pPr>
        <w:spacing w:line="276" w:lineRule="auto"/>
        <w:ind w:left="567" w:right="567"/>
        <w:jc w:val="both"/>
        <w:rPr>
          <w:rFonts w:ascii="Palatino Linotype" w:hAnsi="Palatino Linotype" w:cs="Arial"/>
          <w:i/>
        </w:rPr>
      </w:pPr>
    </w:p>
    <w:p w14:paraId="78014965"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Sexto</w:t>
      </w:r>
      <w:r w:rsidRPr="0039499D">
        <w:rPr>
          <w:rFonts w:ascii="Palatino Linotype" w:hAnsi="Palatino Linotype" w:cs="Arial"/>
          <w:i/>
        </w:rPr>
        <w:t>. Los Sujetos Obligados no podrán emitir acuerdos de carácter general ni particular que clasifiquen documentos o expedientes como reservados, ni clasificar documentos antes de que se genere la información o cuando éstos no obren en sus archivos.</w:t>
      </w:r>
    </w:p>
    <w:p w14:paraId="64698FC4"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La clasificación de información se realizará conforme a un análisis caso por caso, mediante la aplicación de la prueba de daño y de interés público.</w:t>
      </w:r>
    </w:p>
    <w:p w14:paraId="40BD3795" w14:textId="77777777" w:rsidR="006A2889" w:rsidRPr="0039499D" w:rsidRDefault="006A2889" w:rsidP="006A2889">
      <w:pPr>
        <w:spacing w:line="276" w:lineRule="auto"/>
        <w:ind w:left="567" w:right="567"/>
        <w:jc w:val="both"/>
        <w:rPr>
          <w:rFonts w:ascii="Palatino Linotype" w:hAnsi="Palatino Linotype" w:cs="Arial"/>
          <w:i/>
        </w:rPr>
      </w:pPr>
    </w:p>
    <w:p w14:paraId="360A1FC1"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Séptimo</w:t>
      </w:r>
      <w:r w:rsidRPr="0039499D">
        <w:rPr>
          <w:rFonts w:ascii="Palatino Linotype" w:hAnsi="Palatino Linotype" w:cs="Arial"/>
          <w:i/>
        </w:rPr>
        <w:t>. La clasificación de la información se llevará a cabo en el momento en que:</w:t>
      </w:r>
    </w:p>
    <w:p w14:paraId="3D70F3AC"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I.</w:t>
      </w:r>
      <w:r w:rsidRPr="0039499D">
        <w:rPr>
          <w:rFonts w:ascii="Palatino Linotype" w:hAnsi="Palatino Linotype" w:cs="Arial"/>
          <w:i/>
        </w:rPr>
        <w:t xml:space="preserve"> Se reciba una solicitud de acceso a la información;</w:t>
      </w:r>
    </w:p>
    <w:p w14:paraId="3140EF0B"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II</w:t>
      </w:r>
      <w:r w:rsidRPr="0039499D">
        <w:rPr>
          <w:rFonts w:ascii="Palatino Linotype" w:hAnsi="Palatino Linotype" w:cs="Arial"/>
          <w:i/>
        </w:rPr>
        <w:t>. Se determine mediante resolución de autoridad competente, o</w:t>
      </w:r>
    </w:p>
    <w:p w14:paraId="231F3F81"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III</w:t>
      </w:r>
      <w:r w:rsidRPr="0039499D">
        <w:rPr>
          <w:rFonts w:ascii="Palatino Linotype" w:hAnsi="Palatino Linotype" w:cs="Arial"/>
          <w:i/>
        </w:rPr>
        <w:t>. Se generen versiones públicas para dar cumplimiento a las obligaciones de transparencia previstas en la Ley General, la Ley Federal y las correspondientes de las entidades federativas.</w:t>
      </w:r>
    </w:p>
    <w:p w14:paraId="00D40EC9"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Los titulares de las áreas deberán revisar la clasificación al momento de la recepción de una solicitud de acceso a la información, para verificar si encuadra en una causal de reserva o de confidencialidad.</w:t>
      </w:r>
    </w:p>
    <w:p w14:paraId="6247DD1B"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Octavo</w:t>
      </w:r>
      <w:r w:rsidRPr="0039499D">
        <w:rPr>
          <w:rFonts w:ascii="Palatino Linotype" w:hAnsi="Palatino Linotype" w:cs="Arial"/>
          <w:i/>
        </w:rPr>
        <w:t>. Para fundar la clasificación de la información se debe señalar el artículo, fracción, inciso, párrafo o numeral de la ley o tratado internacional suscrito por el Estado mexicano que expresamente le otorga el carácter de reservada o confidencial.</w:t>
      </w:r>
    </w:p>
    <w:p w14:paraId="79FA3577"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Para motivar la clasificación se deberán señalar las razones o circunstancias especiales que lo llevaron a concluir que el caso particular se ajusta al supuesto previsto por la norma legal invocada como fundamento.</w:t>
      </w:r>
    </w:p>
    <w:p w14:paraId="0EE207AD"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lastRenderedPageBreak/>
        <w:t>En caso de referirse a información reservada, la motivación de la clasificación también deberá comprender las circunstancias que justifican el establecimiento de determinado plazo de reserva.</w:t>
      </w:r>
    </w:p>
    <w:p w14:paraId="104D2BA0"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7B8F604E"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Los documentos contenidos en los archivos históricos y los identificados como históricos confidenciales no serán susceptibles de clasificación como reservados.</w:t>
      </w:r>
    </w:p>
    <w:p w14:paraId="466E7F9B" w14:textId="77777777" w:rsidR="006A2889" w:rsidRPr="0039499D" w:rsidRDefault="006A2889" w:rsidP="006A2889">
      <w:pPr>
        <w:spacing w:line="276" w:lineRule="auto"/>
        <w:ind w:left="567" w:right="567"/>
        <w:jc w:val="both"/>
        <w:rPr>
          <w:rFonts w:ascii="Palatino Linotype" w:hAnsi="Palatino Linotype" w:cs="Arial"/>
          <w:i/>
        </w:rPr>
      </w:pPr>
    </w:p>
    <w:p w14:paraId="18222D1C"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Noveno</w:t>
      </w:r>
      <w:r w:rsidRPr="0039499D">
        <w:rPr>
          <w:rFonts w:ascii="Palatino Linotype" w:hAnsi="Palatino Linotype" w:cs="Arial"/>
          <w:i/>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2294FCE" w14:textId="77777777" w:rsidR="006A2889" w:rsidRPr="0039499D" w:rsidRDefault="006A2889" w:rsidP="006A2889">
      <w:pPr>
        <w:spacing w:line="276" w:lineRule="auto"/>
        <w:ind w:left="567" w:right="567"/>
        <w:jc w:val="both"/>
        <w:rPr>
          <w:rFonts w:ascii="Palatino Linotype" w:hAnsi="Palatino Linotype" w:cs="Arial"/>
          <w:i/>
        </w:rPr>
      </w:pPr>
    </w:p>
    <w:p w14:paraId="35E77A5D"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Décimo</w:t>
      </w:r>
      <w:r w:rsidRPr="0039499D">
        <w:rPr>
          <w:rFonts w:ascii="Palatino Linotype" w:hAnsi="Palatino Linotype" w:cs="Arial"/>
          <w:i/>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0C4E0440" w14:textId="77777777" w:rsidR="006A2889" w:rsidRPr="0039499D" w:rsidRDefault="006A2889" w:rsidP="006A2889">
      <w:pPr>
        <w:spacing w:line="276" w:lineRule="auto"/>
        <w:ind w:left="567" w:right="567"/>
        <w:jc w:val="both"/>
        <w:rPr>
          <w:rFonts w:ascii="Palatino Linotype" w:hAnsi="Palatino Linotype" w:cs="Arial"/>
          <w:i/>
        </w:rPr>
      </w:pPr>
    </w:p>
    <w:p w14:paraId="2805C326"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i/>
        </w:rPr>
        <w:t>En ausencia de los titulares de las áreas, la información será clasificada o desclasificada por la persona que lo supla, en términos de la normativa que rija la actuación del sujeto obligado.</w:t>
      </w:r>
    </w:p>
    <w:p w14:paraId="001C4F9E" w14:textId="77777777" w:rsidR="006A2889" w:rsidRPr="0039499D" w:rsidRDefault="006A2889" w:rsidP="006A2889">
      <w:pPr>
        <w:spacing w:line="276" w:lineRule="auto"/>
        <w:ind w:left="567" w:right="567"/>
        <w:jc w:val="both"/>
        <w:rPr>
          <w:rFonts w:ascii="Palatino Linotype" w:hAnsi="Palatino Linotype" w:cs="Arial"/>
          <w:i/>
        </w:rPr>
      </w:pPr>
    </w:p>
    <w:p w14:paraId="59270676"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Décimo primero.</w:t>
      </w:r>
      <w:r w:rsidRPr="0039499D">
        <w:rPr>
          <w:rFonts w:ascii="Palatino Linotype" w:hAnsi="Palatino Linotype" w:cs="Arial"/>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92FC133" w14:textId="77777777" w:rsidR="006A2889" w:rsidRPr="0039499D" w:rsidRDefault="006A2889" w:rsidP="006A2889">
      <w:pPr>
        <w:spacing w:line="360" w:lineRule="auto"/>
        <w:jc w:val="both"/>
        <w:rPr>
          <w:rFonts w:ascii="Palatino Linotype" w:hAnsi="Palatino Linotype" w:cs="Arial"/>
        </w:rPr>
      </w:pPr>
    </w:p>
    <w:p w14:paraId="48138BB5"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lastRenderedPageBreak/>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30E371DA" w14:textId="77777777" w:rsidR="006A2889" w:rsidRPr="0039499D" w:rsidRDefault="006A2889" w:rsidP="006A2889">
      <w:pPr>
        <w:spacing w:line="360" w:lineRule="auto"/>
        <w:jc w:val="both"/>
        <w:rPr>
          <w:rFonts w:ascii="Palatino Linotype" w:hAnsi="Palatino Linotype" w:cs="Arial"/>
        </w:rPr>
      </w:pPr>
    </w:p>
    <w:p w14:paraId="20937C88"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Por tanto, la fundamentación y motivación consiste en la obligación que tiene todo ente público de expresar los preceptos jurídicos aplicables al asunto motivo del acto y las razones o argumentos de su actuar.</w:t>
      </w:r>
    </w:p>
    <w:p w14:paraId="551D3A0F" w14:textId="77777777" w:rsidR="006A2889" w:rsidRPr="0039499D" w:rsidRDefault="006A2889" w:rsidP="006A2889">
      <w:pPr>
        <w:spacing w:line="360" w:lineRule="auto"/>
        <w:jc w:val="both"/>
        <w:rPr>
          <w:rFonts w:ascii="Palatino Linotype" w:hAnsi="Palatino Linotype" w:cs="Arial"/>
        </w:rPr>
      </w:pPr>
    </w:p>
    <w:p w14:paraId="5D492452"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Al respecto, el máximo tribunal del país ha establecido jurisprudencia respecto a qué debe entenderse por fundamentación y motivación, en los siguientes términos:</w:t>
      </w:r>
    </w:p>
    <w:p w14:paraId="5A033395" w14:textId="77777777" w:rsidR="006A2889" w:rsidRPr="0039499D" w:rsidRDefault="006A2889" w:rsidP="006A2889">
      <w:pPr>
        <w:spacing w:line="360" w:lineRule="auto"/>
        <w:jc w:val="both"/>
        <w:rPr>
          <w:rFonts w:ascii="Palatino Linotype" w:hAnsi="Palatino Linotype" w:cs="Arial"/>
        </w:rPr>
      </w:pPr>
    </w:p>
    <w:p w14:paraId="47DEB425"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FUNDAMENTACIÓN Y MOTIVACIÓN</w:t>
      </w:r>
      <w:r w:rsidRPr="0039499D">
        <w:rPr>
          <w:rFonts w:ascii="Palatino Linotype" w:hAnsi="Palatino Linotype" w:cs="Arial"/>
          <w:i/>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45B1C130" w14:textId="77777777" w:rsidR="006A2889" w:rsidRPr="0039499D" w:rsidRDefault="006A2889" w:rsidP="006A2889">
      <w:pPr>
        <w:spacing w:line="360" w:lineRule="auto"/>
        <w:jc w:val="both"/>
        <w:rPr>
          <w:rFonts w:ascii="Palatino Linotype" w:hAnsi="Palatino Linotype" w:cs="Arial"/>
        </w:rPr>
      </w:pPr>
    </w:p>
    <w:p w14:paraId="4F4D2ECB"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F091236" w14:textId="77777777" w:rsidR="006A2889" w:rsidRPr="0039499D" w:rsidRDefault="006A2889" w:rsidP="006A2889">
      <w:pPr>
        <w:spacing w:line="360" w:lineRule="auto"/>
        <w:jc w:val="both"/>
        <w:rPr>
          <w:rFonts w:ascii="Palatino Linotype" w:hAnsi="Palatino Linotype" w:cs="Arial"/>
        </w:rPr>
      </w:pPr>
    </w:p>
    <w:p w14:paraId="7A0C941B"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4F9ABEA0" w14:textId="77777777" w:rsidR="006A2889" w:rsidRPr="0039499D" w:rsidRDefault="006A2889" w:rsidP="006A2889">
      <w:pPr>
        <w:spacing w:line="276" w:lineRule="auto"/>
        <w:jc w:val="both"/>
        <w:rPr>
          <w:rFonts w:ascii="Palatino Linotype" w:hAnsi="Palatino Linotype" w:cs="Arial"/>
        </w:rPr>
      </w:pPr>
    </w:p>
    <w:p w14:paraId="7E8FF2D6" w14:textId="77777777" w:rsidR="006A2889" w:rsidRPr="0039499D" w:rsidRDefault="006A2889" w:rsidP="006A2889">
      <w:pPr>
        <w:spacing w:line="276" w:lineRule="auto"/>
        <w:ind w:left="567" w:right="567"/>
        <w:jc w:val="both"/>
        <w:rPr>
          <w:rFonts w:ascii="Palatino Linotype" w:hAnsi="Palatino Linotype" w:cs="Arial"/>
          <w:i/>
        </w:rPr>
      </w:pPr>
      <w:r w:rsidRPr="0039499D">
        <w:rPr>
          <w:rFonts w:ascii="Palatino Linotype" w:hAnsi="Palatino Linotype" w:cs="Arial"/>
          <w:b/>
          <w:i/>
        </w:rPr>
        <w:t>FUNDAMENTACIÓN Y MOTIVACIÓN. EL ASPECTO FORMAL DE LA GARANTÍA Y SU FINALIDAD SE TRADUCEN EN EXPLICAR, JUSTIFICAR, POSIBILITAR LA DEFENSA Y COMUNICAR LA DECISIÓN.</w:t>
      </w:r>
      <w:r w:rsidRPr="0039499D">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7363FF77" w14:textId="77777777" w:rsidR="006A2889" w:rsidRPr="0039499D" w:rsidRDefault="006A2889" w:rsidP="006A2889">
      <w:pPr>
        <w:spacing w:line="276" w:lineRule="auto"/>
        <w:jc w:val="both"/>
        <w:rPr>
          <w:rFonts w:ascii="Palatino Linotype" w:hAnsi="Palatino Linotype" w:cs="Arial"/>
        </w:rPr>
      </w:pPr>
    </w:p>
    <w:p w14:paraId="5E4C5EA8"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lastRenderedPageBreak/>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2D8388F" w14:textId="77777777" w:rsidR="006A2889" w:rsidRPr="0039499D" w:rsidRDefault="006A2889" w:rsidP="006A2889">
      <w:pPr>
        <w:spacing w:line="360" w:lineRule="auto"/>
        <w:jc w:val="both"/>
        <w:rPr>
          <w:rFonts w:ascii="Palatino Linotype" w:hAnsi="Palatino Linotype" w:cs="Arial"/>
        </w:rPr>
      </w:pPr>
    </w:p>
    <w:p w14:paraId="2BFEA483" w14:textId="77777777" w:rsidR="006A2889" w:rsidRPr="0039499D" w:rsidRDefault="006A2889" w:rsidP="006A2889">
      <w:pPr>
        <w:spacing w:line="360" w:lineRule="auto"/>
        <w:jc w:val="both"/>
        <w:rPr>
          <w:rFonts w:ascii="Palatino Linotype" w:hAnsi="Palatino Linotype" w:cs="Arial"/>
        </w:rPr>
      </w:pPr>
      <w:r w:rsidRPr="0039499D">
        <w:rPr>
          <w:rFonts w:ascii="Palatino Linotype" w:hAnsi="Palatino Linotype" w:cs="Arial"/>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2F9F1E8" w14:textId="77777777" w:rsidR="006A2889" w:rsidRDefault="006A2889" w:rsidP="006A2889">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p>
    <w:p w14:paraId="29C23397" w14:textId="77777777" w:rsidR="006A2889" w:rsidRPr="00CD0D60" w:rsidRDefault="006A2889" w:rsidP="006A2889">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CD0D60">
        <w:rPr>
          <w:rFonts w:ascii="Palatino Linotype" w:eastAsia="Palatino Linotype" w:hAnsi="Palatino Linotype" w:cs="Palatino Linotype"/>
          <w:color w:val="000000"/>
          <w:lang w:val="es-ES_tradnl" w:eastAsia="es-MX"/>
        </w:rPr>
        <w:t xml:space="preserve">En mérito de lo expuesto en líneas anteriores, este Instituto considera que los motivos de inconformidad planteados por la Recurrente resultan fundados en el recurso de revisión que es materia de esta resolución; por ello </w:t>
      </w:r>
      <w:r w:rsidRPr="00CD0D60">
        <w:rPr>
          <w:rFonts w:ascii="Palatino Linotype" w:eastAsia="Palatino Linotype" w:hAnsi="Palatino Linotype" w:cs="Palatino Linotype"/>
          <w:b/>
          <w:color w:val="000000"/>
          <w:lang w:val="es-ES_tradnl" w:eastAsia="es-MX"/>
        </w:rPr>
        <w:t xml:space="preserve">con fundamento en la </w:t>
      </w:r>
      <w:r>
        <w:rPr>
          <w:rFonts w:ascii="Palatino Linotype" w:eastAsia="Palatino Linotype" w:hAnsi="Palatino Linotype" w:cs="Palatino Linotype"/>
          <w:b/>
          <w:color w:val="000000"/>
          <w:lang w:val="es-ES_tradnl" w:eastAsia="es-MX"/>
        </w:rPr>
        <w:t>primera</w:t>
      </w:r>
      <w:r w:rsidRPr="00CD0D60">
        <w:rPr>
          <w:rFonts w:ascii="Palatino Linotype" w:eastAsia="Palatino Linotype" w:hAnsi="Palatino Linotype" w:cs="Palatino Linotype"/>
          <w:b/>
          <w:color w:val="000000"/>
          <w:lang w:val="es-ES_tradnl" w:eastAsia="es-MX"/>
        </w:rPr>
        <w:t xml:space="preserve"> hipótesis de la fracción III del artículo 186 </w:t>
      </w:r>
      <w:r w:rsidRPr="00CD0D60">
        <w:rPr>
          <w:rFonts w:ascii="Palatino Linotype" w:eastAsia="Palatino Linotype" w:hAnsi="Palatino Linotype" w:cs="Palatino Linotype"/>
          <w:color w:val="000000"/>
          <w:lang w:val="es-ES_tradnl" w:eastAsia="es-MX"/>
        </w:rPr>
        <w:t xml:space="preserve">de la Ley de Transparencia y Acceso a la Información Pública del Estado de México y Municipios, se </w:t>
      </w:r>
      <w:r>
        <w:rPr>
          <w:rFonts w:ascii="Palatino Linotype" w:eastAsia="Palatino Linotype" w:hAnsi="Palatino Linotype" w:cs="Palatino Linotype"/>
          <w:b/>
          <w:color w:val="000000"/>
          <w:lang w:val="es-ES_tradnl" w:eastAsia="es-MX"/>
        </w:rPr>
        <w:t>REVO</w:t>
      </w:r>
      <w:r w:rsidRPr="00CD0D60">
        <w:rPr>
          <w:rFonts w:ascii="Palatino Linotype" w:eastAsia="Palatino Linotype" w:hAnsi="Palatino Linotype" w:cs="Palatino Linotype"/>
          <w:b/>
          <w:color w:val="000000"/>
          <w:lang w:val="es-ES_tradnl" w:eastAsia="es-MX"/>
        </w:rPr>
        <w:t xml:space="preserve">CA </w:t>
      </w:r>
      <w:r w:rsidRPr="00CD0D60">
        <w:rPr>
          <w:rFonts w:ascii="Palatino Linotype" w:eastAsia="Palatino Linotype" w:hAnsi="Palatino Linotype" w:cs="Palatino Linotype"/>
          <w:color w:val="000000"/>
          <w:lang w:val="es-ES_tradnl" w:eastAsia="es-MX"/>
        </w:rPr>
        <w:t>la respuesta a la solicitud de información número</w:t>
      </w:r>
      <w:r w:rsidRPr="00CD0D60">
        <w:rPr>
          <w:rFonts w:ascii="Palatino Linotype" w:eastAsia="Palatino Linotype" w:hAnsi="Palatino Linotype" w:cs="Palatino Linotype"/>
          <w:b/>
          <w:color w:val="000000"/>
          <w:lang w:val="es-ES_tradnl" w:eastAsia="es-MX"/>
        </w:rPr>
        <w:t xml:space="preserve"> </w:t>
      </w:r>
      <w:r w:rsidR="004C4A50">
        <w:rPr>
          <w:rFonts w:ascii="Palatino Linotype" w:hAnsi="Palatino Linotype"/>
          <w:b/>
          <w:bCs/>
        </w:rPr>
        <w:t>00057/NEXTLAL/IP/2024</w:t>
      </w:r>
      <w:r w:rsidRPr="00CD0D60">
        <w:rPr>
          <w:rFonts w:ascii="Palatino Linotype" w:eastAsia="Palatino Linotype" w:hAnsi="Palatino Linotype" w:cs="Palatino Linotype"/>
          <w:color w:val="000000"/>
          <w:lang w:val="es-ES_tradnl" w:eastAsia="es-MX"/>
        </w:rPr>
        <w:t>, que ha sido materia del presente estudio.</w:t>
      </w:r>
    </w:p>
    <w:p w14:paraId="1A41E753" w14:textId="77777777" w:rsidR="006A2889" w:rsidRPr="009A71E1" w:rsidRDefault="006A2889" w:rsidP="006A2889">
      <w:pPr>
        <w:spacing w:line="360" w:lineRule="auto"/>
        <w:jc w:val="both"/>
        <w:rPr>
          <w:rFonts w:ascii="Palatino Linotype" w:eastAsiaTheme="minorHAnsi" w:hAnsi="Palatino Linotype" w:cstheme="minorBidi"/>
          <w:lang w:val="es-MX" w:eastAsia="en-US"/>
        </w:rPr>
      </w:pPr>
    </w:p>
    <w:p w14:paraId="6D5408DB" w14:textId="77777777" w:rsidR="006A2889" w:rsidRDefault="006A2889" w:rsidP="006A2889">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14:paraId="4BE4B21E" w14:textId="77777777" w:rsidR="006A2889" w:rsidRPr="009A71E1" w:rsidRDefault="006A2889" w:rsidP="006A2889">
      <w:pPr>
        <w:spacing w:line="360" w:lineRule="auto"/>
        <w:jc w:val="both"/>
        <w:rPr>
          <w:rFonts w:ascii="Palatino Linotype" w:hAnsi="Palatino Linotype"/>
          <w:lang w:val="es-MX"/>
        </w:rPr>
      </w:pPr>
    </w:p>
    <w:p w14:paraId="1F920CC8" w14:textId="77777777" w:rsidR="006A2889" w:rsidRPr="009A71E1" w:rsidRDefault="006A2889" w:rsidP="006A2889">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14:paraId="41010D01" w14:textId="77777777" w:rsidR="006A2889" w:rsidRDefault="006A2889" w:rsidP="006A2889">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14:paraId="605CA99E" w14:textId="77777777" w:rsidR="006A2889" w:rsidRPr="00165D42" w:rsidRDefault="006A2889" w:rsidP="006A2889">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Pr>
          <w:rFonts w:ascii="Palatino Linotype" w:hAnsi="Palatino Linotype" w:cs="Arial"/>
          <w:b/>
        </w:rPr>
        <w:t>REVO</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sidR="004C4A50">
        <w:rPr>
          <w:rFonts w:ascii="Palatino Linotype" w:hAnsi="Palatino Linotype"/>
          <w:b/>
          <w:bCs/>
        </w:rPr>
        <w:t>00057/NEXTLAL/IP/2024</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Pr>
          <w:rFonts w:ascii="Palatino Linotype" w:hAnsi="Palatino Linotype" w:cs="Arial"/>
        </w:rPr>
        <w:t xml:space="preserve"> fundados</w:t>
      </w:r>
      <w:r w:rsidRPr="00165D42">
        <w:rPr>
          <w:rFonts w:ascii="Palatino Linotype" w:hAnsi="Palatino Linotype" w:cs="Arial"/>
          <w:b/>
        </w:rPr>
        <w:t xml:space="preserve">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14:paraId="5DE3EC76" w14:textId="77777777" w:rsidR="006A2889" w:rsidRPr="00165D42" w:rsidRDefault="006A2889" w:rsidP="006A2889">
      <w:pPr>
        <w:spacing w:line="360" w:lineRule="auto"/>
        <w:jc w:val="both"/>
        <w:rPr>
          <w:rFonts w:ascii="Palatino Linotype" w:hAnsi="Palatino Linotype" w:cs="Arial"/>
        </w:rPr>
      </w:pPr>
    </w:p>
    <w:p w14:paraId="0BF35173" w14:textId="77777777" w:rsidR="006A2889" w:rsidRDefault="006A2889" w:rsidP="006A2889">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Pr>
          <w:rFonts w:ascii="Palatino Linotype" w:hAnsi="Palatino Linotype" w:cs="Tahoma"/>
        </w:rPr>
        <w:t xml:space="preserve">, </w:t>
      </w:r>
      <w:r w:rsidRPr="00165D42">
        <w:rPr>
          <w:rFonts w:ascii="Palatino Linotype" w:hAnsi="Palatino Linotype" w:cs="Tahoma"/>
        </w:rPr>
        <w:t>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Pr>
          <w:rFonts w:ascii="Palatino Linotype" w:hAnsi="Palatino Linotype" w:cs="Tahoma"/>
        </w:rPr>
        <w:t xml:space="preserve">en versión pública, de </w:t>
      </w:r>
      <w:r w:rsidRPr="00165D42">
        <w:rPr>
          <w:rFonts w:ascii="Palatino Linotype" w:hAnsi="Palatino Linotype" w:cs="Tahoma"/>
        </w:rPr>
        <w:t>lo siguiente:</w:t>
      </w:r>
    </w:p>
    <w:p w14:paraId="10884F72" w14:textId="77777777" w:rsidR="006A2889" w:rsidRPr="004A3F48" w:rsidRDefault="004A3F48" w:rsidP="004A3F48">
      <w:pPr>
        <w:pStyle w:val="Prrafodelista"/>
        <w:numPr>
          <w:ilvl w:val="0"/>
          <w:numId w:val="5"/>
        </w:numPr>
        <w:spacing w:before="240" w:line="360" w:lineRule="auto"/>
        <w:jc w:val="both"/>
        <w:rPr>
          <w:rFonts w:ascii="Palatino Linotype" w:hAnsi="Palatino Linotype"/>
        </w:rPr>
      </w:pPr>
      <w:r>
        <w:rPr>
          <w:rFonts w:ascii="Palatino Linotype" w:hAnsi="Palatino Linotype" w:cs="Tahoma"/>
          <w:bCs/>
        </w:rPr>
        <w:t>Conciliación de nómina de la primera y segunda quincena de agosto de dos mil veinticuatro, incluyendo al Sistema Municipal DIF</w:t>
      </w:r>
      <w:r>
        <w:rPr>
          <w:rFonts w:ascii="Palatino Linotype" w:hAnsi="Palatino Linotype"/>
        </w:rPr>
        <w:t>.</w:t>
      </w:r>
    </w:p>
    <w:p w14:paraId="585C7166" w14:textId="77777777" w:rsidR="006A2889" w:rsidRDefault="006A2889" w:rsidP="006A2889">
      <w:pPr>
        <w:pStyle w:val="Citas"/>
      </w:pPr>
      <w:r w:rsidRPr="00C960DD">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6D773D9A" w14:textId="77777777" w:rsidR="006A2889" w:rsidRPr="00DC5E29" w:rsidRDefault="006A2889" w:rsidP="006A2889">
      <w:pPr>
        <w:spacing w:line="360" w:lineRule="auto"/>
        <w:jc w:val="both"/>
        <w:rPr>
          <w:rFonts w:ascii="Palatino Linotype" w:hAnsi="Palatino Linotype" w:cs="Arial"/>
        </w:rPr>
      </w:pPr>
    </w:p>
    <w:p w14:paraId="12833E33" w14:textId="77777777" w:rsidR="006A2889" w:rsidRPr="00DC5E29" w:rsidRDefault="006A2889" w:rsidP="006A2889">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w:t>
      </w:r>
      <w:r w:rsidRPr="00DC5E29">
        <w:rPr>
          <w:rFonts w:ascii="Palatino Linotype" w:hAnsi="Palatino Linotype" w:cs="Tahoma"/>
        </w:rPr>
        <w:lastRenderedPageBreak/>
        <w:t xml:space="preserve">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FF5EABE" w14:textId="77777777" w:rsidR="006A2889" w:rsidRPr="00DC5E29" w:rsidRDefault="006A2889" w:rsidP="006A2889">
      <w:pPr>
        <w:spacing w:line="360" w:lineRule="auto"/>
        <w:ind w:right="-595"/>
        <w:jc w:val="both"/>
        <w:rPr>
          <w:rFonts w:ascii="Palatino Linotype" w:hAnsi="Palatino Linotype" w:cs="Tahoma"/>
          <w:bCs/>
        </w:rPr>
      </w:pPr>
    </w:p>
    <w:p w14:paraId="283B480D" w14:textId="77777777" w:rsidR="006A2889" w:rsidRDefault="006A2889" w:rsidP="006A2889">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14:paraId="0547EA13" w14:textId="77777777" w:rsidR="006A2889" w:rsidRPr="00DC5E29" w:rsidRDefault="006A2889" w:rsidP="006A2889">
      <w:pPr>
        <w:autoSpaceDE w:val="0"/>
        <w:autoSpaceDN w:val="0"/>
        <w:adjustRightInd w:val="0"/>
        <w:spacing w:line="360" w:lineRule="auto"/>
        <w:jc w:val="both"/>
        <w:rPr>
          <w:rFonts w:ascii="Palatino Linotype" w:hAnsi="Palatino Linotype" w:cs="Arial"/>
        </w:rPr>
      </w:pPr>
    </w:p>
    <w:p w14:paraId="32EB9C17" w14:textId="77777777" w:rsidR="006A2889" w:rsidRDefault="006A2889" w:rsidP="006A2889">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 xml:space="preserve">ormación Mexiquense </w:t>
      </w:r>
      <w:r w:rsidRPr="00E27DC5">
        <w:rPr>
          <w:rFonts w:ascii="Palatino Linotype" w:hAnsi="Palatino Linotype" w:cs="Arial"/>
          <w:b/>
        </w:rPr>
        <w:t>(SAIMEX)</w:t>
      </w:r>
      <w:r>
        <w:rPr>
          <w:rFonts w:ascii="Palatino Linotype" w:hAnsi="Palatino Linotype" w:cs="Arial"/>
        </w:rPr>
        <w:t>,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3CFF93F" w14:textId="77777777" w:rsidR="006A2889" w:rsidRDefault="006A2889" w:rsidP="006A2889">
      <w:pPr>
        <w:spacing w:line="360" w:lineRule="auto"/>
        <w:jc w:val="both"/>
        <w:rPr>
          <w:rFonts w:ascii="Palatino Linotype" w:hAnsi="Palatino Linotype"/>
          <w:lang w:eastAsia="es-ES_tradnl"/>
        </w:rPr>
      </w:pPr>
    </w:p>
    <w:p w14:paraId="43A1D9A0" w14:textId="77777777" w:rsidR="00CD51D5" w:rsidRDefault="00CD51D5" w:rsidP="006A2889">
      <w:pPr>
        <w:spacing w:line="360" w:lineRule="auto"/>
        <w:jc w:val="both"/>
        <w:rPr>
          <w:rFonts w:ascii="Palatino Linotype" w:hAnsi="Palatino Linotype"/>
          <w:lang w:eastAsia="es-ES_tradnl"/>
        </w:rPr>
      </w:pPr>
    </w:p>
    <w:p w14:paraId="3326A3B8" w14:textId="77777777" w:rsidR="00CD51D5" w:rsidRPr="007C3942" w:rsidRDefault="00CD51D5" w:rsidP="006A2889">
      <w:pPr>
        <w:spacing w:line="360" w:lineRule="auto"/>
        <w:jc w:val="both"/>
        <w:rPr>
          <w:rFonts w:ascii="Palatino Linotype" w:hAnsi="Palatino Linotype"/>
          <w:lang w:eastAsia="es-ES_tradnl"/>
        </w:rPr>
      </w:pPr>
    </w:p>
    <w:p w14:paraId="2C99A607" w14:textId="7AA6924D" w:rsidR="006A2889" w:rsidRPr="007C3942" w:rsidRDefault="006A2889" w:rsidP="006A2889">
      <w:pPr>
        <w:spacing w:line="360" w:lineRule="auto"/>
        <w:jc w:val="both"/>
        <w:rPr>
          <w:rFonts w:ascii="Palatino Linotype" w:hAnsi="Palatino Linotype" w:cs="Arial"/>
        </w:rPr>
      </w:pPr>
      <w:r w:rsidRPr="007C3942">
        <w:rPr>
          <w:rFonts w:ascii="Palatino Linotype" w:hAnsi="Palatino Linotype" w:cs="Arial"/>
        </w:rPr>
        <w:lastRenderedPageBreak/>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w:t>
      </w:r>
      <w:r w:rsidR="00961EF2">
        <w:rPr>
          <w:rFonts w:ascii="Palatino Linotype" w:hAnsi="Palatino Linotype" w:cs="Arial"/>
        </w:rPr>
        <w:t xml:space="preserve"> (</w:t>
      </w:r>
      <w:r w:rsidR="00C22A75">
        <w:rPr>
          <w:rFonts w:ascii="Palatino Linotype" w:hAnsi="Palatino Linotype" w:cs="Arial"/>
        </w:rPr>
        <w:t xml:space="preserve">EMITIENDO </w:t>
      </w:r>
      <w:r w:rsidR="00961EF2">
        <w:rPr>
          <w:rFonts w:ascii="Palatino Linotype" w:hAnsi="Palatino Linotype" w:cs="Arial"/>
        </w:rPr>
        <w:t>VOTO PARTICULAR)</w:t>
      </w:r>
      <w:r w:rsidR="00CD51D5">
        <w:rPr>
          <w:rFonts w:ascii="Palatino Linotype" w:hAnsi="Palatino Linotype" w:cs="Arial"/>
        </w:rPr>
        <w:t xml:space="preserve"> </w:t>
      </w:r>
      <w:r w:rsidRPr="007C3942">
        <w:rPr>
          <w:rFonts w:ascii="Palatino Linotype" w:hAnsi="Palatino Linotype" w:cs="Arial"/>
        </w:rPr>
        <w:t>Y GUADALUPE RAMÍREZ PEÑA</w:t>
      </w:r>
      <w:r w:rsidR="00961EF2">
        <w:rPr>
          <w:rFonts w:ascii="Palatino Linotype" w:hAnsi="Palatino Linotype" w:cs="Arial"/>
        </w:rPr>
        <w:t xml:space="preserve"> (</w:t>
      </w:r>
      <w:r w:rsidR="00C22A75">
        <w:rPr>
          <w:rFonts w:ascii="Palatino Linotype" w:hAnsi="Palatino Linotype" w:cs="Arial"/>
        </w:rPr>
        <w:t xml:space="preserve">EMITIENDO </w:t>
      </w:r>
      <w:r w:rsidR="00961EF2">
        <w:rPr>
          <w:rFonts w:ascii="Palatino Linotype" w:hAnsi="Palatino Linotype" w:cs="Arial"/>
        </w:rPr>
        <w:t>VOTO PARTICULAR)</w:t>
      </w:r>
      <w:r w:rsidRPr="007C3942">
        <w:rPr>
          <w:rFonts w:ascii="Palatino Linotype" w:hAnsi="Palatino Linotype" w:cs="Arial"/>
        </w:rPr>
        <w:t xml:space="preserve">, EN LA </w:t>
      </w:r>
      <w:r w:rsidR="004A3F48">
        <w:rPr>
          <w:rFonts w:ascii="Palatino Linotype" w:hAnsi="Palatino Linotype" w:cs="Arial"/>
        </w:rPr>
        <w:t>TRIGÉSIMA OCTAVA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4A3F48">
        <w:rPr>
          <w:rFonts w:ascii="Palatino Linotype" w:hAnsi="Palatino Linotype" w:cs="Arial"/>
        </w:rPr>
        <w:t>SEIS DE NOVIEMBRE</w:t>
      </w:r>
      <w:r>
        <w:rPr>
          <w:rFonts w:ascii="Palatino Linotype" w:hAnsi="Palatino Linotype" w:cs="Arial"/>
        </w:rPr>
        <w:t xml:space="preserve"> DE DOS MIL VEINTICUATRO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p>
    <w:p w14:paraId="1D83209A" w14:textId="4D6DE443" w:rsidR="006A2889" w:rsidRPr="00A151D0" w:rsidRDefault="006A2889" w:rsidP="006A2889">
      <w:pPr>
        <w:spacing w:line="360" w:lineRule="auto"/>
        <w:jc w:val="both"/>
        <w:rPr>
          <w:rFonts w:ascii="Palatino Linotype" w:hAnsi="Palatino Linotype" w:cs="Arial"/>
          <w:sz w:val="20"/>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Pr="00692461">
        <w:rPr>
          <w:rFonts w:ascii="Palatino Linotype" w:hAnsi="Palatino Linotype" w:cs="Arial"/>
        </w:rPr>
        <w:t>--------------------------------------------------------------------------------------------------------------------------------------------------------------------------------------------------------------------------------------------------------------------------------------------------------------------------------------------------------------------------------------------------------------------------------------------</w:t>
      </w:r>
      <w:r>
        <w:rPr>
          <w:rFonts w:ascii="Palatino Linotype" w:hAnsi="Palatino Linotype" w:cs="Arial"/>
        </w:rPr>
        <w:t>---------------------------</w:t>
      </w:r>
      <w:r w:rsidR="00C22A75" w:rsidRPr="003820F3">
        <w:rPr>
          <w:rFonts w:ascii="Palatino Linotype" w:eastAsiaTheme="minorHAnsi" w:hAnsi="Palatino Linotype" w:cs="Arial"/>
          <w:lang w:val="es-MX" w:eastAsia="en-US"/>
        </w:rPr>
        <w:t>---</w:t>
      </w:r>
      <w:r w:rsidR="00C22A75" w:rsidRPr="00037B15">
        <w:rPr>
          <w:rFonts w:ascii="Palatino Linotype" w:eastAsiaTheme="minorHAnsi" w:hAnsi="Palatino Linotype" w:cs="Arial"/>
          <w:lang w:val="es-MX" w:eastAsia="en-US"/>
        </w:rPr>
        <w:t>---------------------------------</w:t>
      </w:r>
      <w:r w:rsidR="00C22A75">
        <w:rPr>
          <w:rFonts w:ascii="Palatino Linotype" w:eastAsiaTheme="minorHAnsi" w:hAnsi="Palatino Linotype" w:cs="Arial"/>
          <w:lang w:val="es-MX" w:eastAsia="en-US"/>
        </w:rPr>
        <w:t>------------------------------------------------------------------------------</w:t>
      </w:r>
      <w:r w:rsidR="00C22A75" w:rsidRPr="003820F3">
        <w:rPr>
          <w:rFonts w:ascii="Palatino Linotype" w:eastAsiaTheme="minorHAnsi" w:hAnsi="Palatino Linotype" w:cs="Arial"/>
          <w:lang w:val="es-MX" w:eastAsia="en-US"/>
        </w:rPr>
        <w:t>---</w:t>
      </w:r>
      <w:r w:rsidR="00C22A75" w:rsidRPr="00037B15">
        <w:rPr>
          <w:rFonts w:ascii="Palatino Linotype" w:eastAsiaTheme="minorHAnsi" w:hAnsi="Palatino Linotype" w:cs="Arial"/>
          <w:lang w:val="es-MX" w:eastAsia="en-US"/>
        </w:rPr>
        <w:t>---------------------------------</w:t>
      </w:r>
      <w:r w:rsidR="00C22A75">
        <w:rPr>
          <w:rFonts w:ascii="Palatino Linotype" w:eastAsiaTheme="minorHAnsi" w:hAnsi="Palatino Linotype" w:cs="Arial"/>
          <w:lang w:val="es-MX" w:eastAsia="en-US"/>
        </w:rPr>
        <w:t>------------------------------------------------------------------------------</w:t>
      </w:r>
      <w:r w:rsidR="00C22A75" w:rsidRPr="003820F3">
        <w:rPr>
          <w:rFonts w:ascii="Palatino Linotype" w:eastAsiaTheme="minorHAnsi" w:hAnsi="Palatino Linotype" w:cs="Arial"/>
          <w:lang w:val="es-MX" w:eastAsia="en-US"/>
        </w:rPr>
        <w:t>---</w:t>
      </w:r>
      <w:r w:rsidR="00C22A75" w:rsidRPr="00037B15">
        <w:rPr>
          <w:rFonts w:ascii="Palatino Linotype" w:eastAsiaTheme="minorHAnsi" w:hAnsi="Palatino Linotype" w:cs="Arial"/>
          <w:lang w:val="es-MX" w:eastAsia="en-US"/>
        </w:rPr>
        <w:t>---------------------------------</w:t>
      </w:r>
      <w:r w:rsidR="00C22A75">
        <w:rPr>
          <w:rFonts w:ascii="Palatino Linotype" w:eastAsiaTheme="minorHAnsi" w:hAnsi="Palatino Linotype" w:cs="Arial"/>
          <w:lang w:val="es-MX" w:eastAsia="en-US"/>
        </w:rPr>
        <w:t>------------------------------------------------------------------------------</w:t>
      </w:r>
    </w:p>
    <w:p w14:paraId="4A86876A" w14:textId="77777777" w:rsidR="006A2889" w:rsidRPr="00E23C8F" w:rsidRDefault="006A2889" w:rsidP="006A2889">
      <w:pPr>
        <w:spacing w:line="360" w:lineRule="auto"/>
        <w:jc w:val="both"/>
        <w:rPr>
          <w:rFonts w:ascii="Palatino Linotype" w:hAnsi="Palatino Linotype" w:cs="Arial"/>
          <w:sz w:val="16"/>
        </w:rPr>
      </w:pPr>
      <w:r>
        <w:rPr>
          <w:rFonts w:ascii="Palatino Linotype" w:hAnsi="Palatino Linotype" w:cs="Arial"/>
          <w:sz w:val="16"/>
        </w:rPr>
        <w:t>JMV/CCR/</w:t>
      </w:r>
      <w:r w:rsidR="00961EF2">
        <w:rPr>
          <w:rFonts w:ascii="Palatino Linotype" w:hAnsi="Palatino Linotype" w:cs="Arial"/>
          <w:sz w:val="16"/>
        </w:rPr>
        <w:t>LMST</w:t>
      </w:r>
    </w:p>
    <w:p w14:paraId="2605D4B0" w14:textId="77777777" w:rsidR="006A2889" w:rsidRDefault="006A2889" w:rsidP="006A2889"/>
    <w:p w14:paraId="48BD1BFC" w14:textId="77777777" w:rsidR="006A2889" w:rsidRDefault="006A2889" w:rsidP="006A2889"/>
    <w:p w14:paraId="19E7674B" w14:textId="77777777" w:rsidR="006A2889" w:rsidRDefault="006A2889" w:rsidP="006A2889"/>
    <w:p w14:paraId="5D726C6E" w14:textId="77777777" w:rsidR="006A2889" w:rsidRDefault="006A2889" w:rsidP="006A2889"/>
    <w:p w14:paraId="09B69D0B" w14:textId="77777777" w:rsidR="006A2889" w:rsidRDefault="006A2889" w:rsidP="006A2889"/>
    <w:p w14:paraId="3DB363BF" w14:textId="77777777" w:rsidR="006A2889" w:rsidRDefault="006A2889" w:rsidP="006A2889"/>
    <w:p w14:paraId="26066B6F" w14:textId="77777777" w:rsidR="006A2889" w:rsidRDefault="006A2889" w:rsidP="006A2889"/>
    <w:p w14:paraId="5F543B04" w14:textId="77777777" w:rsidR="006A2889" w:rsidRDefault="006A2889" w:rsidP="006A2889"/>
    <w:p w14:paraId="3D690369" w14:textId="77777777" w:rsidR="006A2889" w:rsidRDefault="006A2889" w:rsidP="006A2889"/>
    <w:p w14:paraId="00B4AFC3" w14:textId="77777777" w:rsidR="006A2889" w:rsidRDefault="006A2889" w:rsidP="006A2889"/>
    <w:p w14:paraId="2EC76C6F" w14:textId="77777777" w:rsidR="006A2889" w:rsidRDefault="006A2889" w:rsidP="006A2889"/>
    <w:p w14:paraId="3397B8B1" w14:textId="77777777" w:rsidR="006A2889" w:rsidRDefault="006A2889" w:rsidP="006A2889"/>
    <w:p w14:paraId="5E951F86" w14:textId="77777777" w:rsidR="006A2889" w:rsidRDefault="006A2889" w:rsidP="006A2889"/>
    <w:p w14:paraId="19E7493C" w14:textId="77777777" w:rsidR="006A2889" w:rsidRDefault="006A2889" w:rsidP="006A2889"/>
    <w:p w14:paraId="58F15405" w14:textId="77777777" w:rsidR="006A2889" w:rsidRDefault="006A2889" w:rsidP="006A2889"/>
    <w:p w14:paraId="3D3119C2" w14:textId="77777777" w:rsidR="006A2889" w:rsidRDefault="006A2889" w:rsidP="006A2889"/>
    <w:p w14:paraId="1FB60E6E" w14:textId="77777777" w:rsidR="006A2889" w:rsidRDefault="006A2889" w:rsidP="006A2889"/>
    <w:p w14:paraId="26545B78" w14:textId="77777777" w:rsidR="006A2889" w:rsidRDefault="006A2889" w:rsidP="006A2889"/>
    <w:p w14:paraId="0D45C557" w14:textId="77777777" w:rsidR="006A2889" w:rsidRDefault="006A2889" w:rsidP="006A2889"/>
    <w:p w14:paraId="48B05DAB" w14:textId="77777777" w:rsidR="006A2889" w:rsidRDefault="006A2889" w:rsidP="006A2889"/>
    <w:p w14:paraId="31063267" w14:textId="77777777" w:rsidR="006A2889" w:rsidRDefault="006A2889" w:rsidP="006A2889"/>
    <w:p w14:paraId="55C8659E" w14:textId="77777777" w:rsidR="006A2889" w:rsidRDefault="006A2889" w:rsidP="006A2889"/>
    <w:p w14:paraId="03EF5431" w14:textId="77777777" w:rsidR="006A2889" w:rsidRDefault="006A2889" w:rsidP="006A2889"/>
    <w:p w14:paraId="0F7D7D99" w14:textId="77777777" w:rsidR="00DB5816" w:rsidRDefault="00DB5816"/>
    <w:sectPr w:rsidR="00DB5816" w:rsidSect="00954A6A">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A2F23" w14:textId="77777777" w:rsidR="005A67B9" w:rsidRDefault="005A67B9" w:rsidP="006A2889">
      <w:r>
        <w:separator/>
      </w:r>
    </w:p>
  </w:endnote>
  <w:endnote w:type="continuationSeparator" w:id="0">
    <w:p w14:paraId="3EA4849A" w14:textId="77777777" w:rsidR="005A67B9" w:rsidRDefault="005A67B9" w:rsidP="006A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8BA20" w14:textId="77777777" w:rsidR="001749A6" w:rsidRPr="00A2780F" w:rsidRDefault="001749A6" w:rsidP="00954A6A">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585D34">
      <w:rPr>
        <w:rFonts w:ascii="Arial" w:hAnsi="Arial" w:cs="Arial"/>
        <w:b/>
        <w:bCs/>
        <w:noProof/>
        <w:sz w:val="20"/>
        <w:szCs w:val="20"/>
      </w:rPr>
      <w:t>45</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585D34">
      <w:rPr>
        <w:rFonts w:ascii="Arial" w:hAnsi="Arial" w:cs="Arial"/>
        <w:b/>
        <w:bCs/>
        <w:noProof/>
        <w:sz w:val="20"/>
        <w:szCs w:val="20"/>
      </w:rPr>
      <w:t>46</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5CD96" w14:textId="77777777" w:rsidR="001749A6" w:rsidRPr="00070856" w:rsidRDefault="001749A6" w:rsidP="00954A6A">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585D34">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585D34">
      <w:rPr>
        <w:rFonts w:ascii="Arial" w:hAnsi="Arial" w:cs="Arial"/>
        <w:b/>
        <w:bCs/>
        <w:noProof/>
        <w:sz w:val="20"/>
        <w:szCs w:val="20"/>
      </w:rPr>
      <w:t>46</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BAFB5" w14:textId="77777777" w:rsidR="005A67B9" w:rsidRDefault="005A67B9" w:rsidP="006A2889">
      <w:r>
        <w:separator/>
      </w:r>
    </w:p>
  </w:footnote>
  <w:footnote w:type="continuationSeparator" w:id="0">
    <w:p w14:paraId="49C12500" w14:textId="77777777" w:rsidR="005A67B9" w:rsidRDefault="005A67B9" w:rsidP="006A2889">
      <w:r>
        <w:continuationSeparator/>
      </w:r>
    </w:p>
  </w:footnote>
  <w:footnote w:id="1">
    <w:p w14:paraId="61BB1B20" w14:textId="77777777" w:rsidR="001749A6" w:rsidRPr="005552A8" w:rsidRDefault="001749A6" w:rsidP="006A2889">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620C8F23" w14:textId="77777777" w:rsidR="001749A6" w:rsidRPr="005552A8" w:rsidRDefault="001749A6" w:rsidP="006A2889">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1749A6" w:rsidRPr="008F2CCC" w14:paraId="4398C895" w14:textId="77777777" w:rsidTr="00954A6A">
      <w:tc>
        <w:tcPr>
          <w:tcW w:w="3620" w:type="dxa"/>
          <w:shd w:val="clear" w:color="auto" w:fill="auto"/>
        </w:tcPr>
        <w:p w14:paraId="739EEC63" w14:textId="77777777" w:rsidR="001749A6" w:rsidRPr="007E5FC4" w:rsidRDefault="001749A6" w:rsidP="00954A6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32DF825C" w14:textId="1966CF22" w:rsidR="001749A6" w:rsidRPr="00664658" w:rsidRDefault="00C22A75" w:rsidP="00954A6A">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1749A6">
            <w:rPr>
              <w:rFonts w:ascii="Palatino Linotype" w:hAnsi="Palatino Linotype"/>
              <w:b/>
              <w:sz w:val="22"/>
              <w:szCs w:val="22"/>
              <w:lang w:val="es-ES_tradnl"/>
            </w:rPr>
            <w:t>5860/INFOEM/IP/RR/2024</w:t>
          </w:r>
        </w:p>
      </w:tc>
    </w:tr>
    <w:tr w:rsidR="001749A6" w:rsidRPr="008F2CCC" w14:paraId="08F86DF3" w14:textId="77777777" w:rsidTr="00954A6A">
      <w:tc>
        <w:tcPr>
          <w:tcW w:w="3620" w:type="dxa"/>
          <w:shd w:val="clear" w:color="auto" w:fill="auto"/>
        </w:tcPr>
        <w:p w14:paraId="5753C8B4" w14:textId="77777777" w:rsidR="001749A6" w:rsidRPr="007E5FC4" w:rsidRDefault="001749A6" w:rsidP="00954A6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444793A8" w14:textId="77777777" w:rsidR="001749A6" w:rsidRPr="00664658" w:rsidRDefault="001749A6" w:rsidP="00954A6A">
          <w:pPr>
            <w:spacing w:line="276" w:lineRule="auto"/>
            <w:jc w:val="right"/>
            <w:rPr>
              <w:rFonts w:ascii="Palatino Linotype" w:hAnsi="Palatino Linotype"/>
              <w:b/>
              <w:sz w:val="22"/>
              <w:szCs w:val="22"/>
              <w:lang w:val="es-ES_tradnl"/>
            </w:rPr>
          </w:pPr>
          <w:r w:rsidRPr="006A2889">
            <w:rPr>
              <w:rFonts w:ascii="Palatino Linotype" w:hAnsi="Palatino Linotype"/>
              <w:b/>
              <w:sz w:val="22"/>
              <w:szCs w:val="22"/>
            </w:rPr>
            <w:t>Ayuntamiento de Nextlalpan</w:t>
          </w:r>
        </w:p>
      </w:tc>
    </w:tr>
    <w:tr w:rsidR="001749A6" w:rsidRPr="008F2CCC" w14:paraId="1EF6E929" w14:textId="77777777" w:rsidTr="00954A6A">
      <w:trPr>
        <w:trHeight w:val="228"/>
      </w:trPr>
      <w:tc>
        <w:tcPr>
          <w:tcW w:w="3620" w:type="dxa"/>
          <w:shd w:val="clear" w:color="auto" w:fill="auto"/>
        </w:tcPr>
        <w:p w14:paraId="3D9EB58E" w14:textId="77777777" w:rsidR="001749A6" w:rsidRPr="007E5FC4" w:rsidRDefault="001749A6" w:rsidP="00954A6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0CA7DDDC" w14:textId="77777777" w:rsidR="001749A6" w:rsidRPr="00664658" w:rsidRDefault="001749A6" w:rsidP="00954A6A">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015B9221" w14:textId="77777777" w:rsidR="001749A6" w:rsidRDefault="001749A6" w:rsidP="00954A6A">
    <w:pPr>
      <w:pStyle w:val="Encabezado"/>
      <w:tabs>
        <w:tab w:val="clear" w:pos="4252"/>
        <w:tab w:val="clear" w:pos="8504"/>
        <w:tab w:val="left" w:pos="2326"/>
      </w:tabs>
      <w:rPr>
        <w:rFonts w:ascii="Palatino Linotype" w:hAnsi="Palatino Linotype"/>
        <w:sz w:val="20"/>
      </w:rPr>
    </w:pPr>
  </w:p>
  <w:p w14:paraId="3101B35D" w14:textId="77777777" w:rsidR="001749A6" w:rsidRPr="001779E0" w:rsidRDefault="001749A6" w:rsidP="00954A6A">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9349F28" wp14:editId="62CA7767">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1749A6" w:rsidRPr="008F2CCC" w14:paraId="4A0D55D8" w14:textId="77777777" w:rsidTr="00954A6A">
      <w:tc>
        <w:tcPr>
          <w:tcW w:w="2977" w:type="dxa"/>
          <w:shd w:val="clear" w:color="auto" w:fill="auto"/>
        </w:tcPr>
        <w:p w14:paraId="1A91AD42" w14:textId="77777777" w:rsidR="001749A6" w:rsidRPr="007E5FC4" w:rsidRDefault="001749A6" w:rsidP="00954A6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61B0788B" w14:textId="3687F8F6" w:rsidR="001749A6" w:rsidRPr="008F2CCC" w:rsidRDefault="00C22A75" w:rsidP="00954A6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1749A6">
            <w:rPr>
              <w:rFonts w:ascii="Palatino Linotype" w:hAnsi="Palatino Linotype"/>
              <w:b/>
              <w:sz w:val="22"/>
              <w:szCs w:val="22"/>
              <w:lang w:val="es-ES_tradnl"/>
            </w:rPr>
            <w:t>5860/INFOEM/IP/RR/2024</w:t>
          </w:r>
        </w:p>
      </w:tc>
    </w:tr>
    <w:tr w:rsidR="001749A6" w:rsidRPr="008F2CCC" w14:paraId="52F9A540" w14:textId="77777777" w:rsidTr="00954A6A">
      <w:tc>
        <w:tcPr>
          <w:tcW w:w="2977" w:type="dxa"/>
          <w:shd w:val="clear" w:color="auto" w:fill="auto"/>
          <w:vAlign w:val="center"/>
        </w:tcPr>
        <w:p w14:paraId="7CA32824" w14:textId="77777777" w:rsidR="001749A6" w:rsidRPr="007E5FC4" w:rsidRDefault="001749A6" w:rsidP="00954A6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1A47E3C4" w14:textId="311A4F89" w:rsidR="001749A6" w:rsidRPr="008F2CCC" w:rsidRDefault="00585D34" w:rsidP="00954A6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XXXXXXXXXXXXXXXXXXXXXXXX</w:t>
          </w:r>
        </w:p>
      </w:tc>
    </w:tr>
    <w:tr w:rsidR="001749A6" w:rsidRPr="008F2CCC" w14:paraId="48BA269E" w14:textId="77777777" w:rsidTr="00954A6A">
      <w:trPr>
        <w:trHeight w:val="228"/>
      </w:trPr>
      <w:tc>
        <w:tcPr>
          <w:tcW w:w="2977" w:type="dxa"/>
          <w:shd w:val="clear" w:color="auto" w:fill="auto"/>
        </w:tcPr>
        <w:p w14:paraId="4E457A4A" w14:textId="77777777" w:rsidR="001749A6" w:rsidRPr="007E5FC4" w:rsidRDefault="001749A6" w:rsidP="00954A6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5A715441" w14:textId="77777777" w:rsidR="001749A6" w:rsidRPr="00DC41C8" w:rsidRDefault="001749A6" w:rsidP="00954A6A">
          <w:pPr>
            <w:spacing w:line="360" w:lineRule="auto"/>
            <w:jc w:val="right"/>
            <w:rPr>
              <w:rFonts w:ascii="Palatino Linotype" w:hAnsi="Palatino Linotype"/>
              <w:b/>
              <w:sz w:val="22"/>
              <w:szCs w:val="22"/>
            </w:rPr>
          </w:pPr>
          <w:r w:rsidRPr="006A2889">
            <w:rPr>
              <w:rFonts w:ascii="Palatino Linotype" w:hAnsi="Palatino Linotype"/>
              <w:b/>
              <w:sz w:val="22"/>
              <w:szCs w:val="22"/>
            </w:rPr>
            <w:t>Ayuntamiento de Nextlalpan</w:t>
          </w:r>
        </w:p>
      </w:tc>
    </w:tr>
    <w:tr w:rsidR="001749A6" w:rsidRPr="008F2CCC" w14:paraId="23491314" w14:textId="77777777" w:rsidTr="00954A6A">
      <w:tc>
        <w:tcPr>
          <w:tcW w:w="2977" w:type="dxa"/>
          <w:shd w:val="clear" w:color="auto" w:fill="auto"/>
        </w:tcPr>
        <w:p w14:paraId="28684F8B" w14:textId="77777777" w:rsidR="001749A6" w:rsidRPr="007E5FC4" w:rsidRDefault="001749A6" w:rsidP="00954A6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44C060A9" w14:textId="77777777" w:rsidR="001749A6" w:rsidRPr="008F2CCC" w:rsidRDefault="001749A6" w:rsidP="00954A6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456DBE62" w14:textId="77777777" w:rsidR="001749A6" w:rsidRPr="009F1AB6" w:rsidRDefault="001749A6">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C539B43" wp14:editId="7E7821F1">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C36BE9"/>
    <w:multiLevelType w:val="hybridMultilevel"/>
    <w:tmpl w:val="83CC8AEC"/>
    <w:lvl w:ilvl="0" w:tplc="2AC407A4">
      <w:start w:val="7"/>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A41FA8"/>
    <w:multiLevelType w:val="hybridMultilevel"/>
    <w:tmpl w:val="6242DB24"/>
    <w:lvl w:ilvl="0" w:tplc="4F12C35E">
      <w:numFmt w:val="bullet"/>
      <w:lvlText w:val="-"/>
      <w:lvlJc w:val="left"/>
      <w:pPr>
        <w:ind w:left="1211" w:hanging="360"/>
      </w:pPr>
      <w:rPr>
        <w:rFonts w:ascii="Palatino Linotype" w:eastAsiaTheme="minorHAnsi" w:hAnsi="Palatino Linotype"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4"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5F41124"/>
    <w:multiLevelType w:val="hybridMultilevel"/>
    <w:tmpl w:val="BE287920"/>
    <w:lvl w:ilvl="0" w:tplc="4DB0BD04">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7DB1117"/>
    <w:multiLevelType w:val="hybridMultilevel"/>
    <w:tmpl w:val="B2E82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CF0BCD"/>
    <w:multiLevelType w:val="hybridMultilevel"/>
    <w:tmpl w:val="C64A9BE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840947"/>
    <w:multiLevelType w:val="hybridMultilevel"/>
    <w:tmpl w:val="3B5C88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6EC1EB6"/>
    <w:multiLevelType w:val="hybridMultilevel"/>
    <w:tmpl w:val="7F5C5A80"/>
    <w:lvl w:ilvl="0" w:tplc="A9465AC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2"/>
  </w:num>
  <w:num w:numId="2">
    <w:abstractNumId w:val="0"/>
  </w:num>
  <w:num w:numId="3">
    <w:abstractNumId w:val="4"/>
  </w:num>
  <w:num w:numId="4">
    <w:abstractNumId w:val="7"/>
  </w:num>
  <w:num w:numId="5">
    <w:abstractNumId w:val="8"/>
  </w:num>
  <w:num w:numId="6">
    <w:abstractNumId w:val="6"/>
  </w:num>
  <w:num w:numId="7">
    <w:abstractNumId w:val="3"/>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89"/>
    <w:rsid w:val="00000C71"/>
    <w:rsid w:val="001749A6"/>
    <w:rsid w:val="002309EF"/>
    <w:rsid w:val="0045004E"/>
    <w:rsid w:val="004A3F48"/>
    <w:rsid w:val="004C4A50"/>
    <w:rsid w:val="00585D34"/>
    <w:rsid w:val="005A67B9"/>
    <w:rsid w:val="006A2889"/>
    <w:rsid w:val="006A4B22"/>
    <w:rsid w:val="00954A6A"/>
    <w:rsid w:val="00961EF2"/>
    <w:rsid w:val="00A21F4B"/>
    <w:rsid w:val="00C22A75"/>
    <w:rsid w:val="00CD51D5"/>
    <w:rsid w:val="00DB5816"/>
    <w:rsid w:val="00EB79F3"/>
    <w:rsid w:val="00FF1F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021C"/>
  <w15:chartTrackingRefBased/>
  <w15:docId w15:val="{B0595CA4-9537-403A-A026-DD988A2A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88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2889"/>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6A2889"/>
    <w:rPr>
      <w:rFonts w:eastAsiaTheme="minorEastAsia"/>
      <w:sz w:val="24"/>
      <w:szCs w:val="24"/>
      <w:lang w:val="es-ES_tradnl" w:eastAsia="es-ES"/>
    </w:rPr>
  </w:style>
  <w:style w:type="paragraph" w:styleId="Piedepgina">
    <w:name w:val="footer"/>
    <w:basedOn w:val="Normal"/>
    <w:link w:val="PiedepginaCar"/>
    <w:uiPriority w:val="99"/>
    <w:unhideWhenUsed/>
    <w:rsid w:val="006A2889"/>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6A2889"/>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A2889"/>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A2889"/>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6A2889"/>
    <w:pPr>
      <w:spacing w:after="0" w:line="240" w:lineRule="auto"/>
    </w:pPr>
  </w:style>
  <w:style w:type="character" w:customStyle="1" w:styleId="SinespaciadoCar">
    <w:name w:val="Sin espaciado Car"/>
    <w:aliases w:val="Francesa Car,INAI Car"/>
    <w:link w:val="Sinespaciado"/>
    <w:uiPriority w:val="1"/>
    <w:locked/>
    <w:rsid w:val="006A2889"/>
  </w:style>
  <w:style w:type="character" w:styleId="Hipervnculo">
    <w:name w:val="Hyperlink"/>
    <w:aliases w:val="Hipervínculo1,Hipervínculo11,Hipervínculo12,Hipervínculo13,Hipervínculo14,Hipervínculo15"/>
    <w:basedOn w:val="Fuentedeprrafopredeter"/>
    <w:uiPriority w:val="99"/>
    <w:unhideWhenUsed/>
    <w:rsid w:val="006A2889"/>
    <w:rPr>
      <w:color w:val="0563C1" w:themeColor="hyperlink"/>
      <w:u w:val="single"/>
    </w:rPr>
  </w:style>
  <w:style w:type="paragraph" w:customStyle="1" w:styleId="INFOEM">
    <w:name w:val="INFOEM"/>
    <w:basedOn w:val="Normal"/>
    <w:qFormat/>
    <w:rsid w:val="006A2889"/>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6A2889"/>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A2889"/>
    <w:rPr>
      <w:vertAlign w:val="superscript"/>
    </w:rPr>
  </w:style>
  <w:style w:type="paragraph" w:customStyle="1" w:styleId="infoemcitas">
    <w:name w:val="infoem citas"/>
    <w:basedOn w:val="Normal"/>
    <w:qFormat/>
    <w:rsid w:val="006A2889"/>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customStyle="1" w:styleId="Tablaconcuadrcula1">
    <w:name w:val="Tabla con cuadrícula1"/>
    <w:basedOn w:val="Tablanormal"/>
    <w:next w:val="Tablaconcuadrcula"/>
    <w:uiPriority w:val="39"/>
    <w:rsid w:val="006A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6A2889"/>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concuadrcula">
    <w:name w:val="Table Grid"/>
    <w:basedOn w:val="Tablanormal"/>
    <w:uiPriority w:val="39"/>
    <w:rsid w:val="006A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46</Pages>
  <Words>10828</Words>
  <Characters>59559</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8</cp:revision>
  <dcterms:created xsi:type="dcterms:W3CDTF">2024-10-29T18:46:00Z</dcterms:created>
  <dcterms:modified xsi:type="dcterms:W3CDTF">2024-12-03T23:55:00Z</dcterms:modified>
</cp:coreProperties>
</file>