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08" w:rsidRDefault="00093B98">
      <w:pPr>
        <w:tabs>
          <w:tab w:val="left" w:pos="3465"/>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eastAsia="Palatino Linotype" w:hAnsi="Palatino Linotype" w:cs="Palatino Linotype"/>
        </w:rPr>
        <w:t>catorce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14</w:t>
      </w:r>
      <w:r>
        <w:rPr>
          <w:rFonts w:ascii="Palatino Linotype" w:eastAsia="Palatino Linotype" w:hAnsi="Palatino Linotype" w:cs="Palatino Linotype"/>
          <w:color w:val="000000"/>
        </w:rPr>
        <w:t>) de agosto de dos mil veinticuatro.</w:t>
      </w:r>
    </w:p>
    <w:p w:rsidR="00762008" w:rsidRDefault="00762008">
      <w:pPr>
        <w:tabs>
          <w:tab w:val="left" w:pos="3465"/>
        </w:tabs>
        <w:spacing w:line="360" w:lineRule="auto"/>
        <w:ind w:right="-787"/>
        <w:jc w:val="both"/>
        <w:rPr>
          <w:rFonts w:ascii="Palatino Linotype" w:eastAsia="Palatino Linotype" w:hAnsi="Palatino Linotype" w:cs="Palatino Linotype"/>
          <w:color w:val="000000"/>
        </w:rPr>
      </w:pPr>
    </w:p>
    <w:p w:rsidR="00762008" w:rsidRDefault="00093B98">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01058/INFOEM/IP/RR/2023</w:t>
      </w:r>
      <w:r>
        <w:rPr>
          <w:rFonts w:ascii="Palatino Linotype" w:eastAsia="Palatino Linotype" w:hAnsi="Palatino Linotype" w:cs="Palatino Linotype"/>
          <w:color w:val="000000"/>
        </w:rPr>
        <w:t xml:space="preserve">, interpuesto por </w:t>
      </w:r>
      <w:r>
        <w:rPr>
          <w:rFonts w:ascii="Palatino Linotype" w:eastAsia="Palatino Linotype" w:hAnsi="Palatino Linotype" w:cs="Palatino Linotype"/>
          <w:b/>
          <w:color w:val="000000"/>
        </w:rPr>
        <w:t>una o un usuario del Sistema de Acceso a la Información Mexiquense (SAIMEX)</w:t>
      </w:r>
      <w:r>
        <w:rPr>
          <w:rFonts w:ascii="Palatino Linotype" w:eastAsia="Palatino Linotype" w:hAnsi="Palatino Linotype" w:cs="Palatino Linotype"/>
          <w:color w:val="000000"/>
        </w:rPr>
        <w:t xml:space="preserve"> quien no señaló nombre a</w:t>
      </w:r>
      <w:r>
        <w:rPr>
          <w:rFonts w:ascii="Palatino Linotype" w:eastAsia="Palatino Linotype" w:hAnsi="Palatino Linotype" w:cs="Palatino Linotype"/>
        </w:rPr>
        <w:t>lguno</w:t>
      </w:r>
      <w:r>
        <w:rPr>
          <w:rFonts w:ascii="Palatino Linotype" w:eastAsia="Palatino Linotype" w:hAnsi="Palatino Linotype" w:cs="Palatino Linotype"/>
          <w:color w:val="000000"/>
        </w:rPr>
        <w:t xml:space="preserve">, seudónimo o carácter para identificarse, por lo que en lo sucesivo se le denominará </w:t>
      </w:r>
      <w:r>
        <w:rPr>
          <w:rFonts w:ascii="Palatino Linotype" w:eastAsia="Palatino Linotype" w:hAnsi="Palatino Linotype" w:cs="Palatino Linotype"/>
          <w:b/>
          <w:color w:val="000000"/>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Poder Judicial</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rsidR="00762008" w:rsidRDefault="00762008">
      <w:pPr>
        <w:spacing w:line="360" w:lineRule="auto"/>
        <w:ind w:right="-787"/>
        <w:jc w:val="both"/>
        <w:rPr>
          <w:rFonts w:ascii="Palatino Linotype" w:eastAsia="Palatino Linotype" w:hAnsi="Palatino Linotype" w:cs="Palatino Linotype"/>
          <w:b/>
          <w:color w:val="000000"/>
        </w:rPr>
      </w:pPr>
    </w:p>
    <w:p w:rsidR="00762008" w:rsidRDefault="00093B98">
      <w:pPr>
        <w:pStyle w:val="Ttulo1"/>
        <w:spacing w:before="0" w:line="360" w:lineRule="auto"/>
        <w:ind w:right="-787"/>
        <w:jc w:val="center"/>
        <w:rPr>
          <w:b/>
          <w:color w:val="000000"/>
        </w:rPr>
      </w:pPr>
      <w:bookmarkStart w:id="0" w:name="_heading=h.gjdgxs" w:colFirst="0" w:colLast="0"/>
      <w:bookmarkEnd w:id="0"/>
      <w:r>
        <w:rPr>
          <w:b/>
          <w:color w:val="000000"/>
        </w:rPr>
        <w:t>A N T E C E D E N T E 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diecinueve (19) de enero de dos mil veintitrés</w:t>
      </w:r>
      <w:r>
        <w:rPr>
          <w:rFonts w:ascii="Palatino Linotype" w:eastAsia="Palatino Linotype" w:hAnsi="Palatino Linotype" w:cs="Palatino Linotype"/>
          <w:color w:val="000000"/>
        </w:rPr>
        <w:t>,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SAIMEX, la solicitud de información pública registrada con el número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en la</w:t>
      </w:r>
      <w:r>
        <w:rPr>
          <w:rFonts w:ascii="Palatino Linotype" w:eastAsia="Palatino Linotype" w:hAnsi="Palatino Linotype" w:cs="Palatino Linotype"/>
          <w:color w:val="000000"/>
        </w:rPr>
        <w:t xml:space="preserve"> que requirió lo siguiente:</w:t>
      </w:r>
    </w:p>
    <w:p w:rsidR="00762008" w:rsidRDefault="00762008">
      <w:pPr>
        <w:pBdr>
          <w:top w:val="nil"/>
          <w:left w:val="nil"/>
          <w:bottom w:val="nil"/>
          <w:right w:val="nil"/>
          <w:between w:val="nil"/>
        </w:pBdr>
        <w:spacing w:line="276" w:lineRule="auto"/>
        <w:ind w:left="567" w:right="-787"/>
        <w:jc w:val="both"/>
        <w:rPr>
          <w:rFonts w:ascii="Palatino Linotype" w:eastAsia="Palatino Linotype" w:hAnsi="Palatino Linotype" w:cs="Palatino Linotype"/>
          <w:i/>
          <w:color w:val="000000"/>
        </w:rPr>
      </w:pPr>
    </w:p>
    <w:p w:rsidR="00762008" w:rsidRDefault="00093B98">
      <w:pPr>
        <w:pBdr>
          <w:top w:val="nil"/>
          <w:left w:val="nil"/>
          <w:bottom w:val="nil"/>
          <w:right w:val="nil"/>
          <w:between w:val="nil"/>
        </w:pBdr>
        <w:spacing w:line="276" w:lineRule="auto"/>
        <w:ind w:left="567" w:right="-78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“15 expedientes completos de </w:t>
      </w:r>
      <w:proofErr w:type="spellStart"/>
      <w:r>
        <w:rPr>
          <w:rFonts w:ascii="Palatino Linotype" w:eastAsia="Palatino Linotype" w:hAnsi="Palatino Linotype" w:cs="Palatino Linotype"/>
          <w:i/>
          <w:color w:val="000000"/>
        </w:rPr>
        <w:t>usucapion</w:t>
      </w:r>
      <w:proofErr w:type="spellEnd"/>
      <w:r>
        <w:rPr>
          <w:rFonts w:ascii="Palatino Linotype" w:eastAsia="Palatino Linotype" w:hAnsi="Palatino Linotype" w:cs="Palatino Linotype"/>
          <w:i/>
          <w:color w:val="000000"/>
        </w:rPr>
        <w:t xml:space="preserve"> del juzgado sumario de </w:t>
      </w:r>
      <w:proofErr w:type="spellStart"/>
      <w:r>
        <w:rPr>
          <w:rFonts w:ascii="Palatino Linotype" w:eastAsia="Palatino Linotype" w:hAnsi="Palatino Linotype" w:cs="Palatino Linotype"/>
          <w:i/>
          <w:color w:val="000000"/>
        </w:rPr>
        <w:t>usucapion</w:t>
      </w:r>
      <w:proofErr w:type="spellEnd"/>
      <w:r>
        <w:rPr>
          <w:rFonts w:ascii="Palatino Linotype" w:eastAsia="Palatino Linotype" w:hAnsi="Palatino Linotype" w:cs="Palatino Linotype"/>
          <w:i/>
          <w:color w:val="000000"/>
        </w:rPr>
        <w:t xml:space="preserve"> de </w:t>
      </w:r>
      <w:proofErr w:type="spellStart"/>
      <w:r>
        <w:rPr>
          <w:rFonts w:ascii="Palatino Linotype" w:eastAsia="Palatino Linotype" w:hAnsi="Palatino Linotype" w:cs="Palatino Linotype"/>
          <w:i/>
          <w:color w:val="000000"/>
        </w:rPr>
        <w:t>xonacatlan</w:t>
      </w:r>
      <w:proofErr w:type="spellEnd"/>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p>
    <w:p w:rsidR="00762008" w:rsidRDefault="00762008">
      <w:pPr>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diez (10) de febrero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rsidR="00762008" w:rsidRDefault="00762008">
      <w:pPr>
        <w:pBdr>
          <w:top w:val="nil"/>
          <w:left w:val="nil"/>
          <w:bottom w:val="nil"/>
          <w:right w:val="nil"/>
          <w:between w:val="nil"/>
        </w:pBdr>
        <w:ind w:left="567" w:right="-787"/>
        <w:jc w:val="right"/>
        <w:rPr>
          <w:rFonts w:ascii="Palatino Linotype" w:eastAsia="Palatino Linotype" w:hAnsi="Palatino Linotype" w:cs="Palatino Linotype"/>
          <w:i/>
          <w:color w:val="000000"/>
        </w:rPr>
      </w:pPr>
    </w:p>
    <w:p w:rsidR="00762008" w:rsidRDefault="00093B98">
      <w:pPr>
        <w:pBdr>
          <w:top w:val="nil"/>
          <w:left w:val="nil"/>
          <w:bottom w:val="nil"/>
          <w:right w:val="nil"/>
          <w:between w:val="nil"/>
        </w:pBdr>
        <w:spacing w:line="276" w:lineRule="auto"/>
        <w:ind w:left="567"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 xml:space="preserve"> “Se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Pr>
          <w:rFonts w:ascii="Palatino Linotype" w:eastAsia="Palatino Linotype" w:hAnsi="Palatino Linotype" w:cs="Palatino Linotype"/>
          <w:color w:val="000000"/>
          <w:sz w:val="22"/>
          <w:szCs w:val="22"/>
        </w:rPr>
        <w:t xml:space="preserve"> (Sic.)</w:t>
      </w:r>
    </w:p>
    <w:p w:rsidR="00762008" w:rsidRDefault="00762008">
      <w:pPr>
        <w:pBdr>
          <w:top w:val="nil"/>
          <w:left w:val="nil"/>
          <w:bottom w:val="nil"/>
          <w:right w:val="nil"/>
          <w:between w:val="nil"/>
        </w:pBdr>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Adjunto al acuse de respuesta,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al particular los archivos electrónicos cuyo título y contenido se resume a continuación:</w:t>
      </w:r>
    </w:p>
    <w:p w:rsidR="00762008" w:rsidRDefault="00093B98">
      <w:pPr>
        <w:numPr>
          <w:ilvl w:val="1"/>
          <w:numId w:val="4"/>
        </w:numPr>
        <w:pBdr>
          <w:top w:val="nil"/>
          <w:left w:val="nil"/>
          <w:bottom w:val="nil"/>
          <w:right w:val="nil"/>
          <w:between w:val="nil"/>
        </w:pBdr>
        <w:tabs>
          <w:tab w:val="left" w:pos="284"/>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“RESPUESTA 00072-2023.pdf”</w:t>
      </w:r>
      <w:r>
        <w:rPr>
          <w:rFonts w:ascii="Palatino Linotype" w:eastAsia="Palatino Linotype" w:hAnsi="Palatino Linotype" w:cs="Palatino Linotype"/>
          <w:color w:val="000000"/>
          <w:sz w:val="22"/>
          <w:szCs w:val="22"/>
        </w:rPr>
        <w:t xml:space="preserve">: Documento de siete fojas, consistente en el oficio de diez (10) de febrero de dos mil veintidós, emitido por el Titular de la Unidad de Transparencia, dirigido al entonces </w:t>
      </w:r>
      <w:r>
        <w:rPr>
          <w:rFonts w:ascii="Palatino Linotype" w:eastAsia="Palatino Linotype" w:hAnsi="Palatino Linotype" w:cs="Palatino Linotype"/>
          <w:b/>
          <w:color w:val="000000"/>
          <w:sz w:val="22"/>
          <w:szCs w:val="22"/>
        </w:rPr>
        <w:t>SOLICITANTE</w:t>
      </w:r>
      <w:r>
        <w:rPr>
          <w:rFonts w:ascii="Palatino Linotype" w:eastAsia="Palatino Linotype" w:hAnsi="Palatino Linotype" w:cs="Palatino Linotype"/>
          <w:color w:val="000000"/>
          <w:sz w:val="22"/>
          <w:szCs w:val="22"/>
        </w:rPr>
        <w:t>, por el que informa la actual residencia del Juzgado Especializado en Juicio Sumario de Usucapión, enlista los últimos expedientes que causaron ejecutoria y cobra por los derechos de digitalización de cada uno, al sobrepasar las 20 hojas simples.</w:t>
      </w:r>
    </w:p>
    <w:p w:rsidR="00762008" w:rsidRDefault="00093B98">
      <w:pPr>
        <w:numPr>
          <w:ilvl w:val="1"/>
          <w:numId w:val="4"/>
        </w:numPr>
        <w:pBdr>
          <w:top w:val="nil"/>
          <w:left w:val="nil"/>
          <w:bottom w:val="nil"/>
          <w:right w:val="nil"/>
          <w:between w:val="nil"/>
        </w:pBdr>
        <w:tabs>
          <w:tab w:val="left" w:pos="284"/>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“20220802 GUIA PARA OBTENER HOJA DE AYUDA.pdf”</w:t>
      </w:r>
      <w:r>
        <w:rPr>
          <w:rFonts w:ascii="Palatino Linotype" w:eastAsia="Palatino Linotype" w:hAnsi="Palatino Linotype" w:cs="Palatino Linotype"/>
          <w:color w:val="000000"/>
          <w:sz w:val="22"/>
          <w:szCs w:val="22"/>
        </w:rPr>
        <w:t>: Documento de siete fojas consistente en la Guía para Obtener la Hoja de Ayuda para realizar el pago por los derechos de digitalización de la información.</w:t>
      </w:r>
    </w:p>
    <w:p w:rsidR="00762008" w:rsidRDefault="00093B98">
      <w:pPr>
        <w:numPr>
          <w:ilvl w:val="1"/>
          <w:numId w:val="4"/>
        </w:numPr>
        <w:pBdr>
          <w:top w:val="nil"/>
          <w:left w:val="nil"/>
          <w:bottom w:val="nil"/>
          <w:right w:val="nil"/>
          <w:between w:val="nil"/>
        </w:pBdr>
        <w:tabs>
          <w:tab w:val="left" w:pos="284"/>
          <w:tab w:val="left" w:pos="426"/>
        </w:tabs>
        <w:spacing w:line="360" w:lineRule="auto"/>
        <w:ind w:left="1134" w:right="62"/>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sz w:val="22"/>
          <w:szCs w:val="22"/>
        </w:rPr>
        <w:t>“</w:t>
      </w:r>
      <w:proofErr w:type="spellStart"/>
      <w:r>
        <w:rPr>
          <w:rFonts w:ascii="Palatino Linotype" w:eastAsia="Palatino Linotype" w:hAnsi="Palatino Linotype" w:cs="Palatino Linotype"/>
          <w:b/>
          <w:i/>
          <w:color w:val="000000"/>
          <w:sz w:val="22"/>
          <w:szCs w:val="22"/>
        </w:rPr>
        <w:t>ENTREGA.rar</w:t>
      </w:r>
      <w:proofErr w:type="spellEnd"/>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color w:val="000000"/>
          <w:sz w:val="22"/>
          <w:szCs w:val="22"/>
        </w:rPr>
        <w:t>: Carpeta comprimida que contiene 15 documentos, consistentes en la digitalización parcial de 15 expedientes que ya causaron ejecutoria, formados, sustanciados y resueltos por el Juzgado Sumario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z w:val="22"/>
          <w:szCs w:val="22"/>
        </w:rPr>
        <w:t>de Usucapión, con Residencia en Lerma durante el dos mil veintidós.</w:t>
      </w:r>
    </w:p>
    <w:p w:rsidR="00762008" w:rsidRDefault="00762008">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veintidós (22) de febrero de dos mil veintitrés</w:t>
      </w:r>
      <w:r>
        <w:rPr>
          <w:rFonts w:ascii="Palatino Linotype" w:eastAsia="Palatino Linotype" w:hAnsi="Palatino Linotype" w:cs="Palatino Linotype"/>
          <w:color w:val="000000"/>
        </w:rPr>
        <w:t xml:space="preserve">, el particular interpuso el recurso de revisión </w:t>
      </w:r>
      <w:r>
        <w:rPr>
          <w:rFonts w:ascii="Palatino Linotype" w:eastAsia="Palatino Linotype" w:hAnsi="Palatino Linotype" w:cs="Palatino Linotype"/>
          <w:b/>
          <w:color w:val="000000"/>
        </w:rPr>
        <w:t>01058/INFOEM/IP/RR/2023</w:t>
      </w:r>
      <w:r>
        <w:rPr>
          <w:rFonts w:ascii="Palatino Linotype" w:eastAsia="Palatino Linotype" w:hAnsi="Palatino Linotype" w:cs="Palatino Linotype"/>
          <w:color w:val="000000"/>
        </w:rPr>
        <w:t>; impugnación en la que refirió lo siguiente:</w:t>
      </w:r>
    </w:p>
    <w:p w:rsidR="00762008" w:rsidRDefault="00093B98">
      <w:pPr>
        <w:numPr>
          <w:ilvl w:val="0"/>
          <w:numId w:val="9"/>
        </w:numPr>
        <w:pBdr>
          <w:top w:val="nil"/>
          <w:left w:val="nil"/>
          <w:bottom w:val="nil"/>
          <w:right w:val="nil"/>
          <w:between w:val="nil"/>
        </w:pBdr>
        <w:tabs>
          <w:tab w:val="left" w:pos="1418"/>
        </w:tabs>
        <w:spacing w:line="276" w:lineRule="auto"/>
        <w:ind w:left="1134" w:right="62" w:hanging="28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Respuesta a la solicitud de información pública 00072/</w:t>
      </w:r>
      <w:proofErr w:type="spellStart"/>
      <w:r>
        <w:rPr>
          <w:rFonts w:ascii="Palatino Linotype" w:eastAsia="Palatino Linotype" w:hAnsi="Palatino Linotype" w:cs="Palatino Linotype"/>
          <w:i/>
          <w:color w:val="000000"/>
          <w:sz w:val="22"/>
          <w:szCs w:val="22"/>
        </w:rPr>
        <w:t>PJudici</w:t>
      </w:r>
      <w:proofErr w:type="spellEnd"/>
      <w:r>
        <w:rPr>
          <w:rFonts w:ascii="Palatino Linotype" w:eastAsia="Palatino Linotype" w:hAnsi="Palatino Linotype" w:cs="Palatino Linotype"/>
          <w:i/>
          <w:color w:val="000000"/>
          <w:sz w:val="22"/>
          <w:szCs w:val="22"/>
        </w:rPr>
        <w:t>/</w:t>
      </w:r>
      <w:proofErr w:type="spellStart"/>
      <w:r>
        <w:rPr>
          <w:rFonts w:ascii="Palatino Linotype" w:eastAsia="Palatino Linotype" w:hAnsi="Palatino Linotype" w:cs="Palatino Linotype"/>
          <w:i/>
          <w:color w:val="000000"/>
          <w:sz w:val="22"/>
          <w:szCs w:val="22"/>
        </w:rPr>
        <w:t>ip</w:t>
      </w:r>
      <w:proofErr w:type="spellEnd"/>
      <w:r>
        <w:rPr>
          <w:rFonts w:ascii="Palatino Linotype" w:eastAsia="Palatino Linotype" w:hAnsi="Palatino Linotype" w:cs="Palatino Linotype"/>
          <w:i/>
          <w:color w:val="000000"/>
          <w:sz w:val="22"/>
          <w:szCs w:val="22"/>
        </w:rPr>
        <w:t>/2023”</w:t>
      </w:r>
      <w:r>
        <w:rPr>
          <w:rFonts w:ascii="Palatino Linotype" w:eastAsia="Palatino Linotype" w:hAnsi="Palatino Linotype" w:cs="Palatino Linotype"/>
          <w:color w:val="000000"/>
          <w:sz w:val="22"/>
          <w:szCs w:val="22"/>
        </w:rPr>
        <w:t xml:space="preserve"> (Sic).</w:t>
      </w:r>
    </w:p>
    <w:p w:rsidR="00762008" w:rsidRDefault="00093B98">
      <w:pPr>
        <w:numPr>
          <w:ilvl w:val="0"/>
          <w:numId w:val="9"/>
        </w:numPr>
        <w:pBdr>
          <w:top w:val="nil"/>
          <w:left w:val="nil"/>
          <w:bottom w:val="nil"/>
          <w:right w:val="nil"/>
          <w:between w:val="nil"/>
        </w:pBdr>
        <w:tabs>
          <w:tab w:val="left" w:pos="1418"/>
        </w:tabs>
        <w:spacing w:line="276"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“Versiones públicas mal elaboradas con datos testados que no son personales. Datos personales visibles. Me dejan en estado de indefensión al no proporcionar el acta sustente su versión pública, en ese sentido solo están proporcionando un documento alterado, no pueden subsanar el daño de entregar una versión pública mal elaboradas al dejar al descubierto datos personales y al negar el </w:t>
      </w:r>
      <w:r>
        <w:rPr>
          <w:rFonts w:ascii="Palatino Linotype" w:eastAsia="Palatino Linotype" w:hAnsi="Palatino Linotype" w:cs="Palatino Linotype"/>
          <w:i/>
          <w:color w:val="000000"/>
          <w:sz w:val="22"/>
          <w:szCs w:val="22"/>
        </w:rPr>
        <w:lastRenderedPageBreak/>
        <w:t>acta para sustentar su dicho. Cobro indebido ya que cuentan con la obligación de escanear todas y cada una de más actuaciones procesales.”</w:t>
      </w:r>
      <w:r>
        <w:rPr>
          <w:rFonts w:ascii="Palatino Linotype" w:eastAsia="Palatino Linotype" w:hAnsi="Palatino Linotype" w:cs="Palatino Linotype"/>
          <w:color w:val="000000"/>
          <w:sz w:val="22"/>
          <w:szCs w:val="22"/>
        </w:rPr>
        <w:t xml:space="preserve"> (Sic)</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w:t>
      </w:r>
      <w:r>
        <w:rPr>
          <w:rFonts w:ascii="Palatino Linotype" w:eastAsia="Palatino Linotype" w:hAnsi="Palatino Linotype" w:cs="Palatino Linotype"/>
          <w:b/>
          <w:color w:val="000000"/>
        </w:rPr>
        <w:t>01058/INFOEM/IP/RR/2023</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su análisis.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Pr>
          <w:rFonts w:ascii="Palatino Linotype" w:eastAsia="Palatino Linotype" w:hAnsi="Palatino Linotype" w:cs="Palatino Linotype"/>
          <w:b/>
          <w:color w:val="000000"/>
        </w:rPr>
        <w:t>seis (06) de marzo de dos mil veintitrés</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procedente.</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dieciséis (16) de octubre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en vía de informe justificado, los archivos electrónicos siguientes:</w:t>
      </w:r>
    </w:p>
    <w:p w:rsidR="00762008" w:rsidRDefault="00093B98">
      <w:pPr>
        <w:numPr>
          <w:ilvl w:val="1"/>
          <w:numId w:val="4"/>
        </w:numPr>
        <w:pBdr>
          <w:top w:val="nil"/>
          <w:left w:val="nil"/>
          <w:bottom w:val="nil"/>
          <w:right w:val="nil"/>
          <w:between w:val="nil"/>
        </w:pBdr>
        <w:tabs>
          <w:tab w:val="left" w:pos="426"/>
        </w:tabs>
        <w:spacing w:line="360" w:lineRule="auto"/>
        <w:ind w:left="1134"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“INFORME JUSTIFICADO 1058.pdf”</w:t>
      </w:r>
      <w:r>
        <w:rPr>
          <w:rFonts w:ascii="Palatino Linotype" w:eastAsia="Palatino Linotype" w:hAnsi="Palatino Linotype" w:cs="Palatino Linotype"/>
          <w:color w:val="000000"/>
          <w:sz w:val="22"/>
          <w:szCs w:val="22"/>
        </w:rPr>
        <w:t>: Documento de cinco fojas consistente en el oficio de dieciséis (16) de octubre de dos mil veintitrés, emitido por el Titular de la Unidad de Transparencia, dirigido a la Comisionada Ponente, por el que expresa remitir el Acta Sesión Extraordinaria del Comité de Transparencia que avala las versiones públicas proveídas en respuesta y solicita se decrete el sobreseimiento del recurso de revisión.</w:t>
      </w:r>
    </w:p>
    <w:p w:rsidR="00762008" w:rsidRDefault="00093B98">
      <w:pPr>
        <w:numPr>
          <w:ilvl w:val="1"/>
          <w:numId w:val="4"/>
        </w:numPr>
        <w:pBdr>
          <w:top w:val="nil"/>
          <w:left w:val="nil"/>
          <w:bottom w:val="nil"/>
          <w:right w:val="nil"/>
          <w:between w:val="nil"/>
        </w:pBdr>
        <w:tabs>
          <w:tab w:val="left" w:pos="426"/>
        </w:tabs>
        <w:spacing w:line="360" w:lineRule="auto"/>
        <w:ind w:left="1134"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“27032023 SE 07-2023 F.pdf”</w:t>
      </w:r>
      <w:r>
        <w:rPr>
          <w:rFonts w:ascii="Palatino Linotype" w:eastAsia="Palatino Linotype" w:hAnsi="Palatino Linotype" w:cs="Palatino Linotype"/>
          <w:color w:val="000000"/>
          <w:sz w:val="22"/>
          <w:szCs w:val="22"/>
        </w:rPr>
        <w:t xml:space="preserve">: Documento de 42 fojas consistente en el Acta de la Sesión Extraordinaria del Comité de Transparencia número 07/2023, cuyo punto tres del Orden del Día, consistió en el análisis para la aprobación, modificación o </w:t>
      </w:r>
      <w:r>
        <w:rPr>
          <w:rFonts w:ascii="Palatino Linotype" w:eastAsia="Palatino Linotype" w:hAnsi="Palatino Linotype" w:cs="Palatino Linotype"/>
          <w:color w:val="000000"/>
          <w:sz w:val="22"/>
          <w:szCs w:val="22"/>
        </w:rPr>
        <w:lastRenderedPageBreak/>
        <w:t xml:space="preserve">revocación de clasificación de información para la atención de la solicitud número </w:t>
      </w:r>
      <w:r>
        <w:rPr>
          <w:rFonts w:ascii="Palatino Linotype" w:eastAsia="Palatino Linotype" w:hAnsi="Palatino Linotype" w:cs="Palatino Linotype"/>
          <w:b/>
          <w:color w:val="000000"/>
          <w:sz w:val="22"/>
          <w:szCs w:val="22"/>
        </w:rPr>
        <w:t>00072/PJUDICI/IP/2023</w:t>
      </w:r>
      <w:r>
        <w:rPr>
          <w:rFonts w:ascii="Palatino Linotype" w:eastAsia="Palatino Linotype" w:hAnsi="Palatino Linotype" w:cs="Palatino Linotype"/>
          <w:color w:val="000000"/>
          <w:sz w:val="22"/>
          <w:szCs w:val="22"/>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nueve (09) de junio de dos mil veintitrés</w:t>
      </w:r>
      <w:r>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(30) días para resolver el recurso de revisión sería ampliado por un periodo de 15 días hábiles adicionales.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rPr>
        <w:t>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762008" w:rsidRDefault="00093B98">
      <w:pPr>
        <w:numPr>
          <w:ilvl w:val="1"/>
          <w:numId w:val="10"/>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762008" w:rsidRDefault="00093B98">
      <w:pPr>
        <w:numPr>
          <w:ilvl w:val="1"/>
          <w:numId w:val="10"/>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762008" w:rsidRDefault="00093B98">
      <w:pPr>
        <w:numPr>
          <w:ilvl w:val="1"/>
          <w:numId w:val="10"/>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762008" w:rsidRDefault="00093B98">
      <w:pPr>
        <w:numPr>
          <w:ilvl w:val="1"/>
          <w:numId w:val="10"/>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17A52" w:rsidRDefault="00E17A52" w:rsidP="00E17A52">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i/>
          <w:color w:val="000000"/>
        </w:rPr>
        <w:lastRenderedPageBreak/>
        <w:t>LEGISLADOR AL FIJARLOS Y LAS CARACTERÍSTICAS DEL CASO.”</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visible en la Gaceta del Semanario Judicial de la Federación con el registro digital 205635.</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rsidR="00762008" w:rsidRDefault="00093B98">
      <w:pPr>
        <w:pBdr>
          <w:top w:val="nil"/>
          <w:left w:val="nil"/>
          <w:bottom w:val="nil"/>
          <w:right w:val="nil"/>
          <w:between w:val="nil"/>
        </w:pBdr>
        <w:spacing w:line="276"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2"/>
      </w:r>
    </w:p>
    <w:p w:rsidR="00762008" w:rsidRDefault="00762008">
      <w:pPr>
        <w:pBdr>
          <w:top w:val="nil"/>
          <w:left w:val="nil"/>
          <w:bottom w:val="nil"/>
          <w:right w:val="nil"/>
          <w:between w:val="nil"/>
        </w:pBdr>
        <w:spacing w:line="276" w:lineRule="auto"/>
        <w:ind w:left="567" w:right="62"/>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spacing w:line="276" w:lineRule="auto"/>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3"/>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del plazo legal para resolver el presente asunto, resulta de carácter excepcional. </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dieciséis (16) de abril de dos mil veinticuatro</w:t>
      </w:r>
      <w:r>
        <w:rPr>
          <w:rFonts w:ascii="Palatino Linotype" w:eastAsia="Palatino Linotype" w:hAnsi="Palatino Linotype" w:cs="Palatino Linotype"/>
          <w:color w:val="000000"/>
        </w:rPr>
        <w:t xml:space="preserve">, los archivos presentados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vía de informe justificado, se pusieron a la vista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concediéndole un plazo de tres días hábiles a fin de que manifestara lo que a su derecho conviniera, de acuerdo con lo dispuesto por el artículo 185, fracción III, de la Ley de Transparencia y Acceso a la Información Pública del Estado de México y Municipios. Empero, se hace constar que el particular no ejerció su derecho de réplica respecto de los nuevos contenidos.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rPr>
        <w:t xml:space="preserve">Finalmente, el </w:t>
      </w:r>
      <w:r>
        <w:rPr>
          <w:rFonts w:ascii="Palatino Linotype" w:eastAsia="Palatino Linotype" w:hAnsi="Palatino Linotype" w:cs="Palatino Linotype"/>
          <w:b/>
          <w:color w:val="000000"/>
        </w:rPr>
        <w:t>veintidós (22) de abril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r w:rsidR="00E17A52">
        <w:rPr>
          <w:rFonts w:ascii="Palatino Linotype" w:eastAsia="Palatino Linotype" w:hAnsi="Palatino Linotype" w:cs="Palatino Linotype"/>
          <w:color w:val="000000"/>
        </w:rPr>
        <w:t>---------------------------</w:t>
      </w:r>
    </w:p>
    <w:p w:rsidR="00762008" w:rsidRDefault="00093B98">
      <w:pPr>
        <w:ind w:right="-787"/>
        <w:rPr>
          <w:rFonts w:ascii="Palatino Linotype" w:eastAsia="Palatino Linotype" w:hAnsi="Palatino Linotype" w:cs="Palatino Linotype"/>
          <w:color w:val="000000"/>
        </w:rPr>
      </w:pPr>
      <w:r>
        <w:br w:type="page"/>
      </w:r>
    </w:p>
    <w:p w:rsidR="00762008" w:rsidRDefault="00093B98">
      <w:pPr>
        <w:pStyle w:val="Ttulo1"/>
        <w:spacing w:before="0"/>
        <w:ind w:right="-787"/>
        <w:jc w:val="center"/>
        <w:rPr>
          <w:b/>
          <w:color w:val="000000"/>
        </w:rPr>
      </w:pPr>
      <w:bookmarkStart w:id="3" w:name="_heading=h.3znysh7" w:colFirst="0" w:colLast="0"/>
      <w:bookmarkEnd w:id="3"/>
      <w:r>
        <w:rPr>
          <w:b/>
          <w:color w:val="000000"/>
        </w:rPr>
        <w:lastRenderedPageBreak/>
        <w:t>C O N S I D E R A N D O</w:t>
      </w:r>
    </w:p>
    <w:p w:rsidR="00762008" w:rsidRDefault="00762008">
      <w:pPr>
        <w:ind w:right="-787"/>
        <w:rPr>
          <w:color w:val="000000"/>
        </w:rPr>
      </w:pPr>
    </w:p>
    <w:p w:rsidR="00762008" w:rsidRDefault="00762008">
      <w:pPr>
        <w:ind w:right="-787"/>
        <w:rPr>
          <w:color w:val="000000"/>
        </w:rPr>
      </w:pPr>
    </w:p>
    <w:p w:rsidR="00762008" w:rsidRDefault="00093B98">
      <w:pPr>
        <w:pStyle w:val="Ttulo2"/>
        <w:spacing w:before="0"/>
        <w:ind w:right="-787"/>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p>
    <w:p w:rsidR="00762008" w:rsidRDefault="00093B98">
      <w:pPr>
        <w:pStyle w:val="Ttulo2"/>
        <w:tabs>
          <w:tab w:val="left" w:pos="426"/>
        </w:tabs>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rsidR="00762008" w:rsidRDefault="00093B98">
      <w:pPr>
        <w:numPr>
          <w:ilvl w:val="0"/>
          <w:numId w:val="4"/>
        </w:numPr>
        <w:tabs>
          <w:tab w:val="left" w:pos="426"/>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Pr>
          <w:rFonts w:ascii="Palatino Linotype" w:eastAsia="Palatino Linotype" w:hAnsi="Palatino Linotype" w:cs="Palatino Linotype"/>
          <w:b/>
        </w:rPr>
        <w:t>diez (10) de febrero de dos mil veintitrés</w:t>
      </w:r>
      <w:r>
        <w:rPr>
          <w:rFonts w:ascii="Palatino Linotype" w:eastAsia="Palatino Linotype" w:hAnsi="Palatino Linotype" w:cs="Palatino Linotype"/>
        </w:rPr>
        <w:t xml:space="preserve">, el plazo para interponer el recurso de revisión transcurrió del </w:t>
      </w:r>
      <w:r>
        <w:rPr>
          <w:rFonts w:ascii="Palatino Linotype" w:eastAsia="Palatino Linotype" w:hAnsi="Palatino Linotype" w:cs="Palatino Linotype"/>
          <w:b/>
        </w:rPr>
        <w:t>trece (13) de febrero</w:t>
      </w:r>
      <w:r>
        <w:rPr>
          <w:rFonts w:ascii="Palatino Linotype" w:eastAsia="Palatino Linotype" w:hAnsi="Palatino Linotype" w:cs="Palatino Linotype"/>
        </w:rPr>
        <w:t xml:space="preserve"> al </w:t>
      </w:r>
      <w:r>
        <w:rPr>
          <w:rFonts w:ascii="Palatino Linotype" w:eastAsia="Palatino Linotype" w:hAnsi="Palatino Linotype" w:cs="Palatino Linotype"/>
          <w:b/>
        </w:rPr>
        <w:t>seis (06) de marzo de dos mil veintitrés</w:t>
      </w:r>
      <w:r>
        <w:rPr>
          <w:rFonts w:ascii="Palatino Linotype" w:eastAsia="Palatino Linotype" w:hAnsi="Palatino Linotype" w:cs="Palatino Linotype"/>
        </w:rPr>
        <w:t>; sin contemplar en el cómputo los sábados, domingos y días inhábiles, en términos del artículo 3, fracción X, de la Ley de Transparencia y Acceso a la Información Pública del Estado de México y Municipios.</w:t>
      </w:r>
    </w:p>
    <w:p w:rsidR="00762008" w:rsidRDefault="00762008">
      <w:pPr>
        <w:tabs>
          <w:tab w:val="left" w:pos="426"/>
        </w:tabs>
        <w:spacing w:line="360" w:lineRule="auto"/>
        <w:ind w:right="-787"/>
        <w:jc w:val="both"/>
        <w:rPr>
          <w:rFonts w:ascii="Palatino Linotype" w:eastAsia="Palatino Linotype" w:hAnsi="Palatino Linotype" w:cs="Palatino Linotype"/>
        </w:rPr>
      </w:pPr>
    </w:p>
    <w:p w:rsidR="00762008" w:rsidRDefault="00093B98">
      <w:pPr>
        <w:numPr>
          <w:ilvl w:val="0"/>
          <w:numId w:val="4"/>
        </w:numPr>
        <w:tabs>
          <w:tab w:val="left" w:pos="426"/>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Luego entonces, si el hoy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presentó el recurso de revisión con número </w:t>
      </w:r>
      <w:r>
        <w:rPr>
          <w:rFonts w:ascii="Palatino Linotype" w:eastAsia="Palatino Linotype" w:hAnsi="Palatino Linotype" w:cs="Palatino Linotype"/>
          <w:b/>
        </w:rPr>
        <w:t>01058/INFOEM/IP/RR/2023</w:t>
      </w:r>
      <w:r>
        <w:rPr>
          <w:rFonts w:ascii="Palatino Linotype" w:eastAsia="Palatino Linotype" w:hAnsi="Palatino Linotype" w:cs="Palatino Linotype"/>
        </w:rPr>
        <w:t xml:space="preserve"> el </w:t>
      </w:r>
      <w:r>
        <w:rPr>
          <w:rFonts w:ascii="Palatino Linotype" w:eastAsia="Palatino Linotype" w:hAnsi="Palatino Linotype" w:cs="Palatino Linotype"/>
          <w:b/>
        </w:rPr>
        <w:t>veintidós (22) de febrero de dos mil veintitrés</w:t>
      </w:r>
      <w:r>
        <w:rPr>
          <w:rFonts w:ascii="Palatino Linotype" w:eastAsia="Palatino Linotype" w:hAnsi="Palatino Linotype" w:cs="Palatino Linotype"/>
        </w:rPr>
        <w:t>, éste se encuentra dentro de los márgenes temporales previstos en la Ley de la materia.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de la revisión al expediente electrónico contenido en el SAIMEX</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se desprende que la parte solicitante, en ejercicio de su derecho de acceso a la información pública en el expediente que se revisa, tanto en la solicitud de información como en el recurso de revisión, </w:t>
      </w:r>
      <w:r>
        <w:rPr>
          <w:rFonts w:ascii="Palatino Linotype" w:eastAsia="Palatino Linotype" w:hAnsi="Palatino Linotype" w:cs="Palatino Linotype"/>
          <w:b/>
          <w:color w:val="000000"/>
        </w:rPr>
        <w:t>no señaló ningún nombre, seudónimo o carácter para identificarse, ni se tiene certeza de su identidad</w:t>
      </w:r>
      <w:r>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así, ya que de conformidad con los artículos 6, apartado A, fracciones III y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vigésimo segundo, vigésimo tercero y vigésimo cuarto, fracciones III,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cual, de una interpretación sistemática, armónica y progresiva del derecho humano de acceso a la información pública se aprecia que toda persona, sin necesidad de </w:t>
      </w:r>
      <w:r>
        <w:rPr>
          <w:rFonts w:ascii="Palatino Linotype" w:eastAsia="Palatino Linotype" w:hAnsi="Palatino Linotype" w:cs="Palatino Linotype"/>
          <w:color w:val="000000"/>
        </w:rPr>
        <w:lastRenderedPageBreak/>
        <w:t>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como lo establece la Convención Americana en su artículo 13, el derecho de acceso a la información es un derecho humano universal y en consecuencia, toda persona tiene derecho a solicitar acceso a la información.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el nombre del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y subsecuente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762008" w:rsidRDefault="00093B98">
      <w:pPr>
        <w:pStyle w:val="Ttulo2"/>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lastRenderedPageBreak/>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bookmarkStart w:id="7" w:name="_heading=h.1t3h5sf" w:colFirst="0" w:colLast="0"/>
      <w:bookmarkEnd w:id="7"/>
      <w:r>
        <w:rPr>
          <w:rFonts w:ascii="Palatino Linotype" w:eastAsia="Palatino Linotype" w:hAnsi="Palatino Linotype" w:cs="Palatino Linotype"/>
          <w:color w:val="000000"/>
        </w:rPr>
        <w:t xml:space="preserve">Se requirieron 15 expedientes completos de usucapión, del Juzgado Sumario de Usucapión de </w:t>
      </w:r>
      <w:proofErr w:type="spellStart"/>
      <w:r>
        <w:rPr>
          <w:rFonts w:ascii="Palatino Linotype" w:eastAsia="Palatino Linotype" w:hAnsi="Palatino Linotype" w:cs="Palatino Linotype"/>
          <w:color w:val="000000"/>
        </w:rPr>
        <w:t>Xonacatlán</w:t>
      </w:r>
      <w:proofErr w:type="spellEnd"/>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15 expedientes en versión pública y requirió al particular que </w:t>
      </w:r>
      <w:r>
        <w:rPr>
          <w:rFonts w:ascii="Palatino Linotype" w:eastAsia="Palatino Linotype" w:hAnsi="Palatino Linotype" w:cs="Palatino Linotype"/>
        </w:rPr>
        <w:t>pagará</w:t>
      </w:r>
      <w:r>
        <w:rPr>
          <w:rFonts w:ascii="Palatino Linotype" w:eastAsia="Palatino Linotype" w:hAnsi="Palatino Linotype" w:cs="Palatino Linotype"/>
          <w:color w:val="000000"/>
        </w:rPr>
        <w:t xml:space="preserve"> los derechos por su digitalización completa.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mediante el recurso de revisión con número indicado al rubro, y en el que señaló por agravios, esencialmente, la clasificación de la información y el cobro por la digitalización.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este Órgano Garante advierte que las razones o motivos de inconformidad manifestados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sugieren que la respuesta proporcionada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 con los principios </w:t>
      </w:r>
      <w:r>
        <w:rPr>
          <w:rFonts w:ascii="Palatino Linotype" w:eastAsia="Palatino Linotype" w:hAnsi="Palatino Linotype" w:cs="Palatino Linotype"/>
        </w:rPr>
        <w:t>contenidos</w:t>
      </w:r>
      <w:r>
        <w:rPr>
          <w:rFonts w:ascii="Palatino Linotype" w:eastAsia="Palatino Linotype" w:hAnsi="Palatino Linotype" w:cs="Palatino Linotype"/>
          <w:color w:val="000000"/>
        </w:rPr>
        <w:t xml:space="preserve"> en el artículo 11 de la Ley de Transparencia y Acceso a la Información Pública del Estado de México y Municipios, los cuales señalan que en la generación, publicación y entrega de información se deberá garantizar que ésta sea </w:t>
      </w:r>
      <w:r>
        <w:rPr>
          <w:rFonts w:ascii="Palatino Linotype" w:eastAsia="Palatino Linotype" w:hAnsi="Palatino Linotype" w:cs="Palatino Linotype"/>
          <w:b/>
          <w:color w:val="000000"/>
        </w:rPr>
        <w:t xml:space="preserve">completa </w:t>
      </w:r>
      <w:r>
        <w:rPr>
          <w:rFonts w:ascii="Palatino Linotype" w:eastAsia="Palatino Linotype" w:hAnsi="Palatino Linotype" w:cs="Palatino Linotype"/>
          <w:color w:val="000000"/>
        </w:rPr>
        <w:t xml:space="preserve">y </w:t>
      </w:r>
      <w:r>
        <w:rPr>
          <w:rFonts w:ascii="Palatino Linotype" w:eastAsia="Palatino Linotype" w:hAnsi="Palatino Linotype" w:cs="Palatino Linotype"/>
          <w:b/>
          <w:color w:val="000000"/>
        </w:rPr>
        <w:t>sujeta a un régimen limitado de restricciones</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colmó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si por el contrario, se actualiza la causal de procedencia del recurso de revisión establecida en el artículo 179</w:t>
      </w:r>
      <w:r>
        <w:rPr>
          <w:rFonts w:ascii="Palatino Linotype" w:eastAsia="Palatino Linotype" w:hAnsi="Palatino Linotype" w:cs="Palatino Linotype"/>
          <w:color w:val="000000"/>
          <w:vertAlign w:val="superscript"/>
        </w:rPr>
        <w:footnoteReference w:id="4"/>
      </w:r>
      <w:r>
        <w:rPr>
          <w:rFonts w:ascii="Palatino Linotype" w:eastAsia="Palatino Linotype" w:hAnsi="Palatino Linotype" w:cs="Palatino Linotype"/>
          <w:color w:val="000000"/>
        </w:rPr>
        <w:t>, fracción II, de la Ley de Transparencia y Acceso a la Información Pública del Estado de México y Municipios.</w:t>
      </w:r>
    </w:p>
    <w:p w:rsidR="00762008" w:rsidRDefault="00762008">
      <w:pPr>
        <w:pBdr>
          <w:top w:val="nil"/>
          <w:left w:val="nil"/>
          <w:bottom w:val="nil"/>
          <w:right w:val="nil"/>
          <w:between w:val="nil"/>
        </w:pBdr>
        <w:tabs>
          <w:tab w:val="left" w:pos="426"/>
        </w:tabs>
        <w:ind w:right="-787"/>
        <w:jc w:val="both"/>
        <w:rPr>
          <w:rFonts w:ascii="Palatino Linotype" w:eastAsia="Palatino Linotype" w:hAnsi="Palatino Linotype" w:cs="Palatino Linotype"/>
          <w:color w:val="000000"/>
        </w:rPr>
      </w:pPr>
    </w:p>
    <w:p w:rsidR="00762008" w:rsidRDefault="00093B98">
      <w:pPr>
        <w:pStyle w:val="Ttulo2"/>
        <w:tabs>
          <w:tab w:val="left" w:pos="426"/>
        </w:tabs>
        <w:ind w:right="-787"/>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Estudio y Resolución del asunto.</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Pr>
          <w:rFonts w:ascii="Palatino Linotype" w:eastAsia="Palatino Linotype" w:hAnsi="Palatino Linotype" w:cs="Palatino Linotype"/>
          <w:b/>
          <w:color w:val="000000"/>
        </w:rPr>
        <w:t>el procedimiento de acceso a la información es la garantía primaria del derecho en cuestión y se rige por los principios de</w:t>
      </w:r>
      <w:r>
        <w:rPr>
          <w:rFonts w:ascii="Palatino Linotype" w:eastAsia="Palatino Linotype" w:hAnsi="Palatino Linotype" w:cs="Palatino Linotype"/>
          <w:color w:val="000000"/>
        </w:rPr>
        <w:t xml:space="preserve"> simplicidad, rapidez gratuidad del procedimiento, </w:t>
      </w:r>
      <w:r>
        <w:rPr>
          <w:rFonts w:ascii="Palatino Linotype" w:eastAsia="Palatino Linotype" w:hAnsi="Palatino Linotype" w:cs="Palatino Linotype"/>
          <w:b/>
          <w:color w:val="000000"/>
        </w:rPr>
        <w:t>auxilio y orientación a los particulares</w:t>
      </w:r>
      <w:r>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recurso de revisión es la garantía secundaria mediante la cual se pretende reparar cualquier posible afectación al derecho de acceso a la información pública</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w:t>
      </w:r>
      <w:r>
        <w:rPr>
          <w:rFonts w:ascii="Palatino Linotype" w:eastAsia="Palatino Linotype" w:hAnsi="Palatino Linotype" w:cs="Palatino Linotype"/>
          <w:color w:val="000000"/>
        </w:rPr>
        <w:br/>
      </w:r>
    </w:p>
    <w:p w:rsidR="00762008" w:rsidRDefault="00093B98">
      <w:pPr>
        <w:pStyle w:val="Ttulo3"/>
        <w:spacing w:before="0" w:after="0" w:line="360" w:lineRule="auto"/>
        <w:ind w:right="-78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 De la atención a la solicitud de información.</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Pr>
          <w:rFonts w:ascii="Palatino Linotype" w:eastAsia="Palatino Linotype" w:hAnsi="Palatino Linotype" w:cs="Palatino Linotype"/>
          <w:b/>
          <w:color w:val="000000"/>
        </w:rPr>
        <w:t>el procedimiento de acceso a la información es la garantía primaria del derecho en cuestión y se rige por los principios de</w:t>
      </w:r>
      <w:r>
        <w:rPr>
          <w:rFonts w:ascii="Palatino Linotype" w:eastAsia="Palatino Linotype" w:hAnsi="Palatino Linotype" w:cs="Palatino Linotype"/>
          <w:color w:val="000000"/>
        </w:rPr>
        <w:t xml:space="preserve"> simplicidad, rapidez gratuidad del procedimiento, </w:t>
      </w:r>
      <w:r>
        <w:rPr>
          <w:rFonts w:ascii="Palatino Linotype" w:eastAsia="Palatino Linotype" w:hAnsi="Palatino Linotype" w:cs="Palatino Linotype"/>
          <w:b/>
          <w:color w:val="000000"/>
        </w:rPr>
        <w:t>auxilio y orientación a los particulares</w:t>
      </w:r>
      <w:r>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atender las solicitudes de información, los Sujetos Obligados contarán con un área denominada </w:t>
      </w:r>
      <w:r>
        <w:rPr>
          <w:rFonts w:ascii="Palatino Linotype" w:eastAsia="Palatino Linotype" w:hAnsi="Palatino Linotype" w:cs="Palatino Linotype"/>
          <w:b/>
          <w:color w:val="000000"/>
        </w:rPr>
        <w:t>Unidad de Transparencia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la cual será presidida por un Titular, quien fungirá como enlace entre éstos y los solicitantes. Dicha Unidad </w:t>
      </w:r>
      <w:r>
        <w:rPr>
          <w:rFonts w:ascii="Palatino Linotype" w:eastAsia="Palatino Linotype" w:hAnsi="Palatino Linotype" w:cs="Palatino Linotype"/>
          <w:b/>
          <w:color w:val="000000"/>
        </w:rPr>
        <w:t xml:space="preserve">será la encargada de tramitar </w:t>
      </w:r>
      <w:r>
        <w:rPr>
          <w:rFonts w:ascii="Palatino Linotype" w:eastAsia="Palatino Linotype" w:hAnsi="Palatino Linotype" w:cs="Palatino Linotype"/>
          <w:b/>
          <w:color w:val="000000"/>
        </w:rPr>
        <w:lastRenderedPageBreak/>
        <w:t>internamente la solicitud de información</w:t>
      </w:r>
      <w:r>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Pr>
          <w:rFonts w:ascii="Palatino Linotype" w:eastAsia="Palatino Linotype" w:hAnsi="Palatino Linotype" w:cs="Palatino Linotype"/>
          <w:b/>
          <w:color w:val="000000"/>
        </w:rPr>
        <w:t xml:space="preserve">gestionar la atención a las solicitudes de información </w:t>
      </w:r>
      <w:r>
        <w:rPr>
          <w:rFonts w:ascii="Palatino Linotype" w:eastAsia="Palatino Linotype" w:hAnsi="Palatino Linotype" w:cs="Palatino Linotype"/>
          <w:color w:val="000000"/>
        </w:rPr>
        <w:t>en los términos de la Ley General y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rsidR="00762008" w:rsidRDefault="00093B98">
      <w:pPr>
        <w:numPr>
          <w:ilvl w:val="1"/>
          <w:numId w:val="3"/>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Recibir, tramitar y dar respuesta a las solicitudes de acceso a la información;</w:t>
      </w:r>
    </w:p>
    <w:p w:rsidR="00762008" w:rsidRDefault="00093B98">
      <w:pPr>
        <w:numPr>
          <w:ilvl w:val="1"/>
          <w:numId w:val="3"/>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rsidR="00762008" w:rsidRDefault="00093B98">
      <w:pPr>
        <w:numPr>
          <w:ilvl w:val="1"/>
          <w:numId w:val="3"/>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Entregar, en su caso, a los particulares la información solicitada; y </w:t>
      </w:r>
    </w:p>
    <w:p w:rsidR="00762008" w:rsidRDefault="00093B98">
      <w:pPr>
        <w:numPr>
          <w:ilvl w:val="1"/>
          <w:numId w:val="3"/>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Otros sujetos del proceso de atención a las solicitudes de información son los </w:t>
      </w:r>
      <w:r>
        <w:rPr>
          <w:rFonts w:ascii="Palatino Linotype" w:eastAsia="Palatino Linotype" w:hAnsi="Palatino Linotype" w:cs="Palatino Linotype"/>
          <w:b/>
          <w:color w:val="000000"/>
        </w:rPr>
        <w:t>servidores públicos habilitados</w:t>
      </w:r>
      <w:r>
        <w:rPr>
          <w:rFonts w:ascii="Palatino Linotype" w:eastAsia="Palatino Linotype" w:hAnsi="Palatino Linotype" w:cs="Palatino Linotype"/>
          <w:color w:val="000000"/>
        </w:rPr>
        <w:t xml:space="preserve">, quienes serán designados por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propuesta del responsable de la Unidad de Transparencia</w:t>
      </w:r>
      <w:r>
        <w:rPr>
          <w:rFonts w:ascii="Palatino Linotype" w:eastAsia="Palatino Linotype" w:hAnsi="Palatino Linotype" w:cs="Palatino Linotype"/>
          <w:color w:val="000000"/>
          <w:vertAlign w:val="superscript"/>
        </w:rPr>
        <w:footnoteReference w:id="8"/>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w:t>
      </w:r>
    </w:p>
    <w:p w:rsidR="00762008" w:rsidRDefault="00093B98">
      <w:pPr>
        <w:numPr>
          <w:ilvl w:val="1"/>
          <w:numId w:val="1"/>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Localizar la información que le solicite la Unidad de Transparencia; y</w:t>
      </w:r>
    </w:p>
    <w:p w:rsidR="00762008" w:rsidRDefault="00093B98">
      <w:pPr>
        <w:numPr>
          <w:ilvl w:val="1"/>
          <w:numId w:val="1"/>
        </w:numPr>
        <w:pBdr>
          <w:top w:val="nil"/>
          <w:left w:val="nil"/>
          <w:bottom w:val="nil"/>
          <w:right w:val="nil"/>
          <w:between w:val="nil"/>
        </w:pBdr>
        <w:tabs>
          <w:tab w:val="left" w:pos="426"/>
        </w:tabs>
        <w:spacing w:line="360" w:lineRule="auto"/>
        <w:ind w:left="1134"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tal manera que cada una de las áreas administrativas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expuesto lo anterior, de la lectura a la solicitud de información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 xml:space="preserve">, y como fuera señalado en el </w:t>
      </w:r>
      <w:r>
        <w:rPr>
          <w:rFonts w:ascii="Palatino Linotype" w:eastAsia="Palatino Linotype" w:hAnsi="Palatino Linotype" w:cs="Palatino Linotype"/>
          <w:i/>
          <w:color w:val="000000"/>
        </w:rPr>
        <w:t>Planteamiento de la Litis</w:t>
      </w:r>
      <w:r>
        <w:rPr>
          <w:rFonts w:ascii="Palatino Linotype" w:eastAsia="Palatino Linotype" w:hAnsi="Palatino Linotype" w:cs="Palatino Linotype"/>
          <w:color w:val="000000"/>
        </w:rPr>
        <w:t xml:space="preserve"> de esta resolución, se advierte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la siguiente información:</w:t>
      </w:r>
    </w:p>
    <w:p w:rsidR="00762008" w:rsidRDefault="00093B98">
      <w:pPr>
        <w:numPr>
          <w:ilvl w:val="1"/>
          <w:numId w:val="11"/>
        </w:numPr>
        <w:pBdr>
          <w:top w:val="nil"/>
          <w:left w:val="nil"/>
          <w:bottom w:val="nil"/>
          <w:right w:val="nil"/>
          <w:between w:val="nil"/>
        </w:pBdr>
        <w:tabs>
          <w:tab w:val="left" w:pos="426"/>
        </w:tabs>
        <w:spacing w:line="360" w:lineRule="auto"/>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15 expedientes completos de usucapión, del Juzgado Sumario de Usucapión, de </w:t>
      </w:r>
      <w:proofErr w:type="spellStart"/>
      <w:r>
        <w:rPr>
          <w:rFonts w:ascii="Palatino Linotype" w:eastAsia="Palatino Linotype" w:hAnsi="Palatino Linotype" w:cs="Palatino Linotype"/>
          <w:color w:val="000000"/>
          <w:sz w:val="22"/>
          <w:szCs w:val="22"/>
        </w:rPr>
        <w:t>Xonacatlán</w:t>
      </w:r>
      <w:proofErr w:type="spellEnd"/>
      <w:r>
        <w:rPr>
          <w:rFonts w:ascii="Palatino Linotype" w:eastAsia="Palatino Linotype" w:hAnsi="Palatino Linotype" w:cs="Palatino Linotype"/>
          <w:color w:val="000000"/>
          <w:sz w:val="22"/>
          <w:szCs w:val="22"/>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Dicho lo anterior, y como fuera señalado en el apartado de </w:t>
      </w:r>
      <w:r>
        <w:rPr>
          <w:rFonts w:ascii="Palatino Linotype" w:eastAsia="Palatino Linotype" w:hAnsi="Palatino Linotype" w:cs="Palatino Linotype"/>
          <w:i/>
          <w:color w:val="000000"/>
        </w:rPr>
        <w:t>Antecedentes</w:t>
      </w:r>
      <w:r>
        <w:rPr>
          <w:rFonts w:ascii="Palatino Linotype" w:eastAsia="Palatino Linotype" w:hAnsi="Palatino Linotype" w:cs="Palatino Linotype"/>
          <w:color w:val="000000"/>
        </w:rPr>
        <w:t xml:space="preserve"> de la presente resolución, en respuesta a la solicitud de información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un oficio de diez (10) de febrero de dos mil veintidós, firmado por el Titular de la Unidad de Transparencia, cuyo contenido elemental se transcribe a continuación:</w:t>
      </w:r>
    </w:p>
    <w:p w:rsidR="00762008" w:rsidRDefault="00093B98">
      <w:pPr>
        <w:pBdr>
          <w:top w:val="nil"/>
          <w:left w:val="nil"/>
          <w:bottom w:val="nil"/>
          <w:right w:val="nil"/>
          <w:between w:val="nil"/>
        </w:pBdr>
        <w:tabs>
          <w:tab w:val="left" w:pos="426"/>
        </w:tabs>
        <w:spacing w:line="276"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hace de su conocimiento que conforme a la Circular 71/2021 que contiene el ACUERDO DEL PLENO DEL CONSEJO DE LA JUDICATURA DEL ESTADO DE MÉXICO DE VEINTITRÉS DE AGOSTO DE DOS MIL VEINTIUNO POR EL QUE SE HOMOLOGA LA DENOMINACIÓN Y SE EMITEN LOS CÓDIGOS DE IDENTIFICACIÓN DE LAS SALAS, TRIBUNALES DE ALZADA, TRIBUNALES Y JUZGADOS DEL PODER JUDICIAL DELA ENTIDAD; ASIMISMO, SE APRUEBA LA ACTUALIZACIÓN DEL MODELO TÉCNICO PARA EL EFECTO”, en el cual se señala el cambio de la denominación del Juzgado Especializado en Juicio Sumario de Usucapión, con residencia en </w:t>
      </w:r>
      <w:proofErr w:type="spellStart"/>
      <w:r>
        <w:rPr>
          <w:rFonts w:ascii="Palatino Linotype" w:eastAsia="Palatino Linotype" w:hAnsi="Palatino Linotype" w:cs="Palatino Linotype"/>
          <w:i/>
          <w:color w:val="000000"/>
          <w:sz w:val="22"/>
          <w:szCs w:val="22"/>
        </w:rPr>
        <w:t>Xonacatlán</w:t>
      </w:r>
      <w:proofErr w:type="spellEnd"/>
      <w:r>
        <w:rPr>
          <w:rFonts w:ascii="Palatino Linotype" w:eastAsia="Palatino Linotype" w:hAnsi="Palatino Linotype" w:cs="Palatino Linotype"/>
          <w:i/>
          <w:color w:val="000000"/>
          <w:sz w:val="22"/>
          <w:szCs w:val="22"/>
        </w:rPr>
        <w:t xml:space="preserve"> por Juzgado Especializado en Juicio Sumario de Usucapión con residencia en Lerma, bajo ese tenor, se enlistan los expedientes siguientes: </w:t>
      </w:r>
    </w:p>
    <w:p w:rsidR="00762008" w:rsidRDefault="00762008">
      <w:pPr>
        <w:pBdr>
          <w:top w:val="nil"/>
          <w:left w:val="nil"/>
          <w:bottom w:val="nil"/>
          <w:right w:val="nil"/>
          <w:between w:val="nil"/>
        </w:pBdr>
        <w:tabs>
          <w:tab w:val="left" w:pos="426"/>
        </w:tabs>
        <w:spacing w:line="276" w:lineRule="auto"/>
        <w:ind w:left="567" w:right="-79"/>
        <w:jc w:val="both"/>
        <w:rPr>
          <w:rFonts w:ascii="Palatino Linotype" w:eastAsia="Palatino Linotype" w:hAnsi="Palatino Linotype" w:cs="Palatino Linotype"/>
          <w:i/>
          <w:color w:val="000000"/>
          <w:sz w:val="22"/>
          <w:szCs w:val="22"/>
        </w:rPr>
      </w:pP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El expediente número 1410/2022, el cual cuenta con cincuenta y dos fojas, de las cuales treinta y seis son antes de la sentencia, nueve de la sentencia y siete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1455/2022, el cual cuenta con cuarenta y siete fojas, de las cuales treinta son antes de la sentencia, nueve de la sentencia y ocho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1513/2022, mismo que cuenta con cuarenta y una fojas, de las cuales diecinueve son antes de la sentencia, nueve de la sentencia y trece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1530/2022 mismo que cuenta con treinta y cinco fojas, de las cuales veinte son antes de la sentencia, ocho de la sentencia y siete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expediente número 1520/2022 mismo que cuenta con cuarenta y cinco fojas, de las cuales veintisiete son antes de la sentencia, diez de la sentencia y ocho después de la sentencia, mismo que se encuentra en resguardo físico y ya causó ejecutoria.</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1553/2022, mismo que cuenta con cuarenta y cinco fojas, de las cuales veintinueve son antes de la sentencia, nueve de la sentencia y siete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1555/2022 mismo que cuenta con cuarenta y una fojas, de las cuales veinticinco son antes de la sentencia, ocho de la sentencia y ocho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1615/2022, el cual cuenta con cuarenta y cinco fojas, de las cuales veintinueve son antes de la sentencia, nueve de la sentencia y siete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1656/2022 mismo que cuenta con cuarenta y tres fojas, de las cuales veinticinco son antes de la sentencia, once de la sentencia y siete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1740/2022, el cual cuenta con cuarenta y una fojas, de las cuales veinticuatro son antes de la sentencia, once de la sentencia y seis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1949/2022, el cual cuenta con treinta y nueve fojas, de las cuales veintitrés son antes de la sentencia, nueve de la sentencia y siete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1961/2022 el cual cuenta con cuarenta y una fojas, de las cuales veinticuatro son antes de la sentencia, ocho de la sentencia y nueve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El expediente número 1965/2022, el cual cuenta con cuarenta y tres fojas, de las cuales veinticinco son antes de la sentencia, nueve de la sentencia y nueve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expediente número 1981/2022, el cual cuenta con cuarenta y tres fojas, de las cuales veinticuatro son antes de la sentencia, nueve de la sentencia y diez después de la sentencia, mismo que se encuentra en resguardo físico y ya causó ejecutoria. </w:t>
      </w:r>
    </w:p>
    <w:p w:rsidR="00762008" w:rsidRDefault="00093B98">
      <w:pPr>
        <w:numPr>
          <w:ilvl w:val="3"/>
          <w:numId w:val="7"/>
        </w:numPr>
        <w:pBdr>
          <w:top w:val="nil"/>
          <w:left w:val="nil"/>
          <w:bottom w:val="nil"/>
          <w:right w:val="nil"/>
          <w:between w:val="nil"/>
        </w:pBdr>
        <w:tabs>
          <w:tab w:val="left" w:pos="426"/>
        </w:tabs>
        <w:spacing w:line="276" w:lineRule="auto"/>
        <w:ind w:left="1134"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expediente número 1991/2022, mismo que cuenta con treinta y seis fojas, de las cuales veinte son antes de la sentencia, nueve de la sentencia y siete son después de la sentencia, mismo que se encuentra en resguardo físico y ya causó ejecutoria.</w:t>
      </w:r>
    </w:p>
    <w:p w:rsidR="00762008" w:rsidRDefault="00762008">
      <w:pPr>
        <w:pBdr>
          <w:top w:val="nil"/>
          <w:left w:val="nil"/>
          <w:bottom w:val="nil"/>
          <w:right w:val="nil"/>
          <w:between w:val="nil"/>
        </w:pBdr>
        <w:tabs>
          <w:tab w:val="left" w:pos="426"/>
        </w:tabs>
        <w:spacing w:line="276" w:lineRule="auto"/>
        <w:ind w:left="567" w:right="-79"/>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tabs>
          <w:tab w:val="left" w:pos="426"/>
        </w:tabs>
        <w:spacing w:line="276"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 anterior, cobra relevancia toda vez que, con fundamento en el artículo 17 de la Ley de Transparencia y Acceso a la Información Pública del Estado de México y Municipios, la búsqueda y acceso a la información es gratuita y solo se cubrirán los gastos de reproducción, por la modalidad de entrega solicitada, de conformidad con los derechos, productos y aprovechamientos establecidos en la legislación aplicable; en este sentido, se hace de su conocimiento que los expedientes físicos a los cuales desea acceder solo se encuentra de forma impresa por lo que para poder entregarlo, es necesario fotocopiar el documento para testar en la copia y posteriormente digitalizarlo. Aunado a ello, los artículos 174 y 175 de la Ley en comento, establecen que la información deberá ser entregada sin costo, cuando implique la entrega de no más de veinte hojas simples; en los casos de existir costo para obtener la información, este deberá cubrirse de manera previa a la entrega y no podrá ser superior a los costos de los materiales utilizados en la reproducción de la información.</w:t>
      </w:r>
    </w:p>
    <w:p w:rsidR="00762008" w:rsidRDefault="00762008">
      <w:pPr>
        <w:pBdr>
          <w:top w:val="nil"/>
          <w:left w:val="nil"/>
          <w:bottom w:val="nil"/>
          <w:right w:val="nil"/>
          <w:between w:val="nil"/>
        </w:pBdr>
        <w:tabs>
          <w:tab w:val="left" w:pos="426"/>
        </w:tabs>
        <w:spacing w:line="276" w:lineRule="auto"/>
        <w:ind w:left="567" w:right="-79"/>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tabs>
          <w:tab w:val="left" w:pos="426"/>
        </w:tabs>
        <w:spacing w:line="276"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Bajo este contexto, se advierte que </w:t>
      </w:r>
      <w:r>
        <w:rPr>
          <w:rFonts w:ascii="Palatino Linotype" w:eastAsia="Palatino Linotype" w:hAnsi="Palatino Linotype" w:cs="Palatino Linotype"/>
          <w:b/>
          <w:i/>
          <w:color w:val="000000"/>
          <w:sz w:val="22"/>
          <w:szCs w:val="22"/>
        </w:rPr>
        <w:t>los expedientes 1410/2022, 1455/2022, 1513/2022, 1520/2022, 1530/2022, 1553/2022, 1555/2022, 1615/2022, 1656/2022, 1740/2022, 1949/2022, 1961/2022,1965/2022, 1981/2022 y 1991/2022</w:t>
      </w:r>
      <w:r>
        <w:rPr>
          <w:rFonts w:ascii="Palatino Linotype" w:eastAsia="Palatino Linotype" w:hAnsi="Palatino Linotype" w:cs="Palatino Linotype"/>
          <w:i/>
          <w:color w:val="000000"/>
          <w:sz w:val="22"/>
          <w:szCs w:val="22"/>
        </w:rPr>
        <w:t xml:space="preserve"> del órgano jurisdiccional antes mencionado, sobrepasa las veinte hojas simples que se entregan de manera gratuita, por lo cual es necesario cubrir de previamente el pago por la reproducción del expediente solicitado, de conformidad a lo establecido por el Acuerdo del Pleno del Consejo de la Judicatura del Estado de México, de nueve de mayo de dos mil veintidós, por el que se autoriza el establecimiento de las cuotas de recuperación para el Ejercicio Fiscal 2022, de los Servicios Proporcionados por el Poder Judicial del Estado de México, para áreas internas y externas (…)”</w:t>
      </w:r>
    </w:p>
    <w:p w:rsidR="00762008" w:rsidRDefault="00762008">
      <w:pPr>
        <w:pBdr>
          <w:top w:val="nil"/>
          <w:left w:val="nil"/>
          <w:bottom w:val="nil"/>
          <w:right w:val="nil"/>
          <w:between w:val="nil"/>
        </w:pBdr>
        <w:tabs>
          <w:tab w:val="left" w:pos="426"/>
        </w:tabs>
        <w:spacing w:line="276" w:lineRule="auto"/>
        <w:ind w:left="567" w:right="-787"/>
        <w:jc w:val="both"/>
        <w:rPr>
          <w:rFonts w:ascii="Palatino Linotype" w:eastAsia="Palatino Linotype" w:hAnsi="Palatino Linotype" w:cs="Palatino Linotype"/>
          <w:i/>
          <w:color w:val="000000"/>
        </w:rPr>
      </w:pP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acompañamiento al documento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la carpeta comprimida titulada </w:t>
      </w:r>
      <w:r>
        <w:rPr>
          <w:rFonts w:ascii="Palatino Linotype" w:eastAsia="Palatino Linotype" w:hAnsi="Palatino Linotype" w:cs="Palatino Linotype"/>
          <w:b/>
          <w:i/>
          <w:color w:val="000000"/>
        </w:rPr>
        <w:t>“</w:t>
      </w:r>
      <w:proofErr w:type="spellStart"/>
      <w:r>
        <w:rPr>
          <w:rFonts w:ascii="Palatino Linotype" w:eastAsia="Palatino Linotype" w:hAnsi="Palatino Linotype" w:cs="Palatino Linotype"/>
          <w:b/>
          <w:i/>
          <w:color w:val="000000"/>
        </w:rPr>
        <w:t>ENTREGA.rar</w:t>
      </w:r>
      <w:proofErr w:type="spellEnd"/>
      <w:r>
        <w:rPr>
          <w:rFonts w:ascii="Palatino Linotype" w:eastAsia="Palatino Linotype" w:hAnsi="Palatino Linotype" w:cs="Palatino Linotype"/>
          <w:b/>
          <w:i/>
          <w:color w:val="000000"/>
        </w:rPr>
        <w:t>”</w:t>
      </w:r>
      <w:r>
        <w:rPr>
          <w:rFonts w:ascii="Palatino Linotype" w:eastAsia="Palatino Linotype" w:hAnsi="Palatino Linotype" w:cs="Palatino Linotype"/>
          <w:color w:val="000000"/>
        </w:rPr>
        <w:t>, la cual integra a los siguientes documentos:</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“1991-22_Censurado OK.pdf”</w:t>
      </w:r>
      <w:r>
        <w:rPr>
          <w:rFonts w:ascii="Palatino Linotype" w:eastAsia="Palatino Linotype" w:hAnsi="Palatino Linotype" w:cs="Palatino Linotype"/>
          <w:color w:val="000000"/>
          <w:sz w:val="22"/>
          <w:szCs w:val="22"/>
        </w:rPr>
        <w:t>: Documento de 33 fojas consistente en el expediente 1991/2022,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“1981-22_Censuardo OK.pdf”</w:t>
      </w:r>
      <w:r>
        <w:rPr>
          <w:rFonts w:ascii="Palatino Linotype" w:eastAsia="Palatino Linotype" w:hAnsi="Palatino Linotype" w:cs="Palatino Linotype"/>
          <w:color w:val="000000"/>
          <w:sz w:val="22"/>
          <w:szCs w:val="22"/>
        </w:rPr>
        <w:t>: Documento de 30 fojas consistente en el expediente 1981/2022,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“1965-22_Censurado OK.pdf”</w:t>
      </w:r>
      <w:r>
        <w:rPr>
          <w:rFonts w:ascii="Palatino Linotype" w:eastAsia="Palatino Linotype" w:hAnsi="Palatino Linotype" w:cs="Palatino Linotype"/>
          <w:color w:val="000000"/>
          <w:sz w:val="22"/>
          <w:szCs w:val="22"/>
        </w:rPr>
        <w:t>: Documento de 30 fojas consistente en el expediente 1965/2022,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“1961-22_Censurado OK.pdf”</w:t>
      </w:r>
      <w:r>
        <w:rPr>
          <w:rFonts w:ascii="Palatino Linotype" w:eastAsia="Palatino Linotype" w:hAnsi="Palatino Linotype" w:cs="Palatino Linotype"/>
          <w:color w:val="000000"/>
          <w:sz w:val="22"/>
          <w:szCs w:val="22"/>
        </w:rPr>
        <w:t>: Documento de 29 fojas consistente en el expediente 1961/2022,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“1949-22_Censurado OK.pdf”</w:t>
      </w:r>
      <w:r>
        <w:rPr>
          <w:rFonts w:ascii="Palatino Linotype" w:eastAsia="Palatino Linotype" w:hAnsi="Palatino Linotype" w:cs="Palatino Linotype"/>
          <w:color w:val="000000"/>
          <w:sz w:val="22"/>
          <w:szCs w:val="22"/>
        </w:rPr>
        <w:t>: Documento de 30 fojas consistente en el expediente 1949/2022,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“1740-22_Censurado OK.pdf”</w:t>
      </w:r>
      <w:r>
        <w:rPr>
          <w:rFonts w:ascii="Palatino Linotype" w:eastAsia="Palatino Linotype" w:hAnsi="Palatino Linotype" w:cs="Palatino Linotype"/>
          <w:color w:val="000000"/>
          <w:sz w:val="22"/>
          <w:szCs w:val="22"/>
        </w:rPr>
        <w:t>: Documento de 31 fojas consistente en el expediente 1740/2022,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“1656-22_Censurado OK.pdf”</w:t>
      </w:r>
      <w:r>
        <w:rPr>
          <w:rFonts w:ascii="Palatino Linotype" w:eastAsia="Palatino Linotype" w:hAnsi="Palatino Linotype" w:cs="Palatino Linotype"/>
          <w:color w:val="000000"/>
          <w:sz w:val="22"/>
          <w:szCs w:val="22"/>
        </w:rPr>
        <w:t>: Documento de 36 fojas consistente en el expediente 1656/2022,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“1615-22_Censurado OK.pdf”</w:t>
      </w:r>
      <w:r>
        <w:rPr>
          <w:rFonts w:ascii="Palatino Linotype" w:eastAsia="Palatino Linotype" w:hAnsi="Palatino Linotype" w:cs="Palatino Linotype"/>
          <w:color w:val="000000"/>
          <w:sz w:val="22"/>
          <w:szCs w:val="22"/>
        </w:rPr>
        <w:t>: Documento de 30 fojas consistente en el expediente 1615/2022,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“1555-22_Censurado OK.pdf”</w:t>
      </w:r>
      <w:r>
        <w:rPr>
          <w:rFonts w:ascii="Palatino Linotype" w:eastAsia="Palatino Linotype" w:hAnsi="Palatino Linotype" w:cs="Palatino Linotype"/>
          <w:color w:val="000000"/>
          <w:sz w:val="22"/>
          <w:szCs w:val="22"/>
        </w:rPr>
        <w:t>: Documento de 28 fojas consistente en el expediente 1555/2022,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“1553-22_Censurado OK.pdf”</w:t>
      </w:r>
      <w:r>
        <w:rPr>
          <w:rFonts w:ascii="Palatino Linotype" w:eastAsia="Palatino Linotype" w:hAnsi="Palatino Linotype" w:cs="Palatino Linotype"/>
          <w:color w:val="000000"/>
          <w:sz w:val="22"/>
          <w:szCs w:val="22"/>
        </w:rPr>
        <w:t>: Documento de 33 fojas consistente en el expediente 1553/2022,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“1530-22 Censurado ok.pdf”</w:t>
      </w:r>
      <w:r>
        <w:rPr>
          <w:rFonts w:ascii="Palatino Linotype" w:eastAsia="Palatino Linotype" w:hAnsi="Palatino Linotype" w:cs="Palatino Linotype"/>
          <w:color w:val="000000"/>
          <w:sz w:val="22"/>
          <w:szCs w:val="22"/>
        </w:rPr>
        <w:t>: Documento de 30 fojas consistente en el expediente 1530/2022,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“1520-22_Censurado OK.pdf”</w:t>
      </w:r>
      <w:r>
        <w:rPr>
          <w:rFonts w:ascii="Palatino Linotype" w:eastAsia="Palatino Linotype" w:hAnsi="Palatino Linotype" w:cs="Palatino Linotype"/>
          <w:color w:val="000000"/>
          <w:sz w:val="22"/>
          <w:szCs w:val="22"/>
        </w:rPr>
        <w:t>: Documento de 31 fojas consistente en el expediente 1520/2022,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“1455-22_Censurado ok.pdf”</w:t>
      </w:r>
      <w:r>
        <w:rPr>
          <w:rFonts w:ascii="Palatino Linotype" w:eastAsia="Palatino Linotype" w:hAnsi="Palatino Linotype" w:cs="Palatino Linotype"/>
          <w:color w:val="000000"/>
          <w:sz w:val="22"/>
          <w:szCs w:val="22"/>
        </w:rPr>
        <w:t>: Documento de 33 fojas consistente en el expediente 1455/2022, en versión pública, radicado en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“1513-22_Censurado OK.pdf”</w:t>
      </w:r>
      <w:r>
        <w:rPr>
          <w:rFonts w:ascii="Palatino Linotype" w:eastAsia="Palatino Linotype" w:hAnsi="Palatino Linotype" w:cs="Palatino Linotype"/>
          <w:color w:val="000000"/>
          <w:sz w:val="22"/>
          <w:szCs w:val="22"/>
        </w:rPr>
        <w:t>: Documento de 23 fojas consistente en el expediente 1513/2022, en versión pública, radicado en el Juzgado Especializado en Juicio Sumario de Usucapión con Residencia en Lerma.</w:t>
      </w:r>
    </w:p>
    <w:p w:rsidR="00762008" w:rsidRDefault="00093B98">
      <w:pPr>
        <w:numPr>
          <w:ilvl w:val="2"/>
          <w:numId w:val="8"/>
        </w:numPr>
        <w:pBdr>
          <w:top w:val="nil"/>
          <w:left w:val="nil"/>
          <w:bottom w:val="nil"/>
          <w:right w:val="nil"/>
          <w:between w:val="nil"/>
        </w:pBdr>
        <w:tabs>
          <w:tab w:val="left" w:pos="284"/>
          <w:tab w:val="left" w:pos="426"/>
        </w:tabs>
        <w:spacing w:line="360" w:lineRule="auto"/>
        <w:ind w:left="1134" w:right="-79" w:hanging="21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“1410-22_Censurado ok.pdf”</w:t>
      </w:r>
      <w:r>
        <w:rPr>
          <w:rFonts w:ascii="Palatino Linotype" w:eastAsia="Palatino Linotype" w:hAnsi="Palatino Linotype" w:cs="Palatino Linotype"/>
          <w:color w:val="000000"/>
          <w:sz w:val="22"/>
          <w:szCs w:val="22"/>
        </w:rPr>
        <w:t>: Documento de 35 fojas consistente en el expediente 1410/2022, en versión pública, radicado en el Juzgado Especializado en Juicio Sumario de Usucapión con Residencia en Lerma.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el recurso de revisión con número al rubro citado, en contra de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y en el que señaló como razones o motivos de inconformidad, los siguientes:</w:t>
      </w:r>
    </w:p>
    <w:p w:rsidR="00762008" w:rsidRDefault="00093B98">
      <w:pPr>
        <w:numPr>
          <w:ilvl w:val="1"/>
          <w:numId w:val="2"/>
        </w:numPr>
        <w:pBdr>
          <w:top w:val="nil"/>
          <w:left w:val="nil"/>
          <w:bottom w:val="nil"/>
          <w:right w:val="nil"/>
          <w:between w:val="nil"/>
        </w:pBdr>
        <w:tabs>
          <w:tab w:val="left" w:pos="426"/>
        </w:tabs>
        <w:spacing w:line="360" w:lineRule="auto"/>
        <w:ind w:left="1134"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Que las versiones públicas no estaban elaboradas de forma correcta, aunado a que no se presentó el Acuerdo del Comité de Transparencia que justificara su clasificación ; y</w:t>
      </w:r>
    </w:p>
    <w:p w:rsidR="00762008" w:rsidRDefault="00093B98">
      <w:pPr>
        <w:numPr>
          <w:ilvl w:val="1"/>
          <w:numId w:val="2"/>
        </w:numPr>
        <w:pBdr>
          <w:top w:val="nil"/>
          <w:left w:val="nil"/>
          <w:bottom w:val="nil"/>
          <w:right w:val="nil"/>
          <w:between w:val="nil"/>
        </w:pBdr>
        <w:tabs>
          <w:tab w:val="left" w:pos="426"/>
        </w:tabs>
        <w:spacing w:line="360" w:lineRule="auto"/>
        <w:ind w:left="1134"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cobro por </w:t>
      </w:r>
      <w:r w:rsidRPr="00DB7E72">
        <w:rPr>
          <w:rFonts w:ascii="Palatino Linotype" w:eastAsia="Palatino Linotype" w:hAnsi="Palatino Linotype" w:cs="Palatino Linotype"/>
          <w:color w:val="000000"/>
          <w:sz w:val="22"/>
          <w:szCs w:val="22"/>
        </w:rPr>
        <w:t>la digitalización de la</w:t>
      </w:r>
      <w:r>
        <w:rPr>
          <w:rFonts w:ascii="Palatino Linotype" w:eastAsia="Palatino Linotype" w:hAnsi="Palatino Linotype" w:cs="Palatino Linotype"/>
          <w:color w:val="000000"/>
          <w:sz w:val="22"/>
          <w:szCs w:val="22"/>
        </w:rPr>
        <w:t xml:space="preserve"> información.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en vía de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la digitalización del Acuerdo número 07/2023, de veintisiete (27) de marzo de dos mil veintitrés, en cuyo punto tres del Orden del Día, se establece el análisis para la aprobación, modificación o revocación de clasificación de información para la atención de la solicitud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pStyle w:val="Ttulo3"/>
        <w:spacing w:before="0" w:after="0" w:line="360" w:lineRule="auto"/>
        <w:ind w:right="-78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II. Del derecho de acceso a la información.</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Previo a iniciar el análisis del marco legal y de competencia relacionado con la información solicitada, se considera 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sea generada por los Sujetos Obligados;</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762008" w:rsidRDefault="00093B98">
      <w:pPr>
        <w:spacing w:line="276" w:lineRule="auto"/>
        <w:ind w:left="567"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rsidR="00762008" w:rsidRDefault="00762008">
      <w:pPr>
        <w:pBdr>
          <w:top w:val="nil"/>
          <w:left w:val="nil"/>
          <w:bottom w:val="nil"/>
          <w:right w:val="nil"/>
          <w:between w:val="nil"/>
        </w:pBdr>
        <w:tabs>
          <w:tab w:val="left" w:pos="426"/>
        </w:tabs>
        <w:spacing w:before="240"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 para darnos un mejor panorama:</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Documento: </w:t>
      </w:r>
      <w:r>
        <w:rPr>
          <w:rFonts w:ascii="Palatino Linotype" w:eastAsia="Palatino Linotype" w:hAnsi="Palatino Linotype" w:cs="Palatino Linotype"/>
          <w:i/>
          <w:sz w:val="22"/>
          <w:szCs w:val="22"/>
        </w:rPr>
        <w:t xml:space="preserve">Los </w:t>
      </w:r>
      <w:r>
        <w:rPr>
          <w:rFonts w:ascii="Palatino Linotype" w:eastAsia="Palatino Linotype" w:hAnsi="Palatino Linotype" w:cs="Palatino Linotype"/>
          <w:b/>
          <w:i/>
          <w:sz w:val="22"/>
          <w:szCs w:val="22"/>
          <w:u w:val="single"/>
        </w:rPr>
        <w:t>expedientes</w:t>
      </w:r>
      <w:r>
        <w:rPr>
          <w:rFonts w:ascii="Palatino Linotype" w:eastAsia="Palatino Linotype" w:hAnsi="Palatino Linotype" w:cs="Palatino Linotype"/>
          <w:i/>
          <w:sz w:val="22"/>
          <w:szCs w:val="22"/>
        </w:rPr>
        <w:t xml:space="preserve">,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sz w:val="22"/>
          <w:szCs w:val="22"/>
        </w:rPr>
        <w:t>cualquier</w:t>
      </w:r>
      <w:r>
        <w:rPr>
          <w:rFonts w:ascii="Palatino Linotype" w:eastAsia="Palatino Linotype" w:hAnsi="Palatino Linotype" w:cs="Palatino Linotype"/>
          <w:i/>
          <w:sz w:val="22"/>
          <w:szCs w:val="22"/>
        </w:rPr>
        <w:t xml:space="preserve"> otro </w:t>
      </w:r>
      <w:r>
        <w:rPr>
          <w:rFonts w:ascii="Palatino Linotype" w:eastAsia="Palatino Linotype" w:hAnsi="Palatino Linotype" w:cs="Palatino Linotype"/>
          <w:b/>
          <w:i/>
          <w:sz w:val="22"/>
          <w:szCs w:val="22"/>
        </w:rPr>
        <w:t>registro que documente el ejercicio de las facultades, funciones y competencias de los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sujetos obligados</w:t>
      </w:r>
      <w:r>
        <w:rPr>
          <w:rFonts w:ascii="Palatino Linotype" w:eastAsia="Palatino Linotype" w:hAnsi="Palatino Linotype" w:cs="Palatino Linotype"/>
          <w:i/>
          <w:sz w:val="22"/>
          <w:szCs w:val="22"/>
        </w:rPr>
        <w:t>, sus servidores públicos e integrantes, sin importar su fuente o fecha de elaboración. Los documentos podrán estar en cualquier medio, sea escrito, impreso,  sonoro, visual, electrónico, informático u holográfico;”</w:t>
      </w:r>
    </w:p>
    <w:p w:rsidR="00762008" w:rsidRDefault="00093B98">
      <w:pPr>
        <w:spacing w:line="276" w:lineRule="auto"/>
        <w:ind w:left="567"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762008" w:rsidRDefault="00762008">
      <w:pPr>
        <w:pBdr>
          <w:top w:val="nil"/>
          <w:left w:val="nil"/>
          <w:bottom w:val="nil"/>
          <w:right w:val="nil"/>
          <w:between w:val="nil"/>
        </w:pBdr>
        <w:tabs>
          <w:tab w:val="left" w:pos="426"/>
        </w:tabs>
        <w:spacing w:before="240"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Correlativo a lo anterior, debemos tomar en cuenta los artículos 4 y 12, de la Ley de Transparencia y Acceso a la Información Pública del Estado de México y Municipios, los cuales establecen lo siguiente:</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w:t>
      </w:r>
      <w:r>
        <w:rPr>
          <w:rFonts w:ascii="Palatino Linotype" w:eastAsia="Palatino Linotype" w:hAnsi="Palatino Linotype" w:cs="Palatino Linotype"/>
          <w:i/>
          <w:sz w:val="22"/>
          <w:szCs w:val="22"/>
        </w:rPr>
        <w:lastRenderedPageBreak/>
        <w:t>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62008" w:rsidRDefault="00093B98">
      <w:pPr>
        <w:spacing w:line="276"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rsidR="00762008" w:rsidRDefault="00762008">
      <w:pPr>
        <w:spacing w:line="276" w:lineRule="auto"/>
        <w:ind w:right="62"/>
        <w:jc w:val="both"/>
        <w:rPr>
          <w:rFonts w:ascii="Palatino Linotype" w:eastAsia="Palatino Linotype" w:hAnsi="Palatino Linotype" w:cs="Palatino Linotype"/>
          <w:i/>
          <w:color w:val="000000"/>
          <w:sz w:val="22"/>
          <w:szCs w:val="22"/>
        </w:rPr>
      </w:pP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Pr>
          <w:rFonts w:ascii="Palatino Linotype" w:eastAsia="Palatino Linotype" w:hAnsi="Palatino Linotype" w:cs="Palatino Linotype"/>
          <w:i/>
          <w:sz w:val="22"/>
          <w:szCs w:val="22"/>
        </w:rPr>
        <w:t xml:space="preserve">. </w:t>
      </w:r>
    </w:p>
    <w:p w:rsidR="00762008" w:rsidRDefault="00093B98">
      <w:pPr>
        <w:spacing w:line="276"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762008" w:rsidRDefault="00093B98">
      <w:pPr>
        <w:spacing w:line="276" w:lineRule="auto"/>
        <w:ind w:left="567"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762008" w:rsidRDefault="00762008">
      <w:pPr>
        <w:pBdr>
          <w:top w:val="nil"/>
          <w:left w:val="nil"/>
          <w:bottom w:val="nil"/>
          <w:right w:val="nil"/>
          <w:between w:val="nil"/>
        </w:pBdr>
        <w:tabs>
          <w:tab w:val="left" w:pos="426"/>
        </w:tabs>
        <w:spacing w:before="240"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w:t>
      </w:r>
      <w:r>
        <w:rPr>
          <w:rFonts w:ascii="Palatino Linotype" w:eastAsia="Palatino Linotype" w:hAnsi="Palatino Linotype" w:cs="Palatino Linotype"/>
          <w:color w:val="000000"/>
        </w:rPr>
        <w:lastRenderedPageBreak/>
        <w:t>democrática, por lo que atenderá las necesidades del derecho de acceso a la información de toda persona</w:t>
      </w:r>
      <w:r>
        <w:rPr>
          <w:rFonts w:ascii="Palatino Linotype" w:eastAsia="Palatino Linotype" w:hAnsi="Palatino Linotype" w:cs="Palatino Linotype"/>
          <w:color w:val="000000"/>
          <w:vertAlign w:val="superscript"/>
        </w:rPr>
        <w:footnoteReference w:id="11"/>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12"/>
      </w:r>
      <w:r>
        <w:rPr>
          <w:rFonts w:ascii="Palatino Linotype" w:eastAsia="Palatino Linotype" w:hAnsi="Palatino Linotype" w:cs="Palatino Linotype"/>
          <w:color w:val="000000"/>
        </w:rPr>
        <w:t xml:space="preserve"> y máxima publicidad; sobre éste último se debe poner mayor énfasis, puesto que establece que </w:t>
      </w:r>
      <w:r>
        <w:rPr>
          <w:rFonts w:ascii="Palatino Linotype" w:eastAsia="Palatino Linotype" w:hAnsi="Palatino Linotype" w:cs="Palatino Linotype"/>
          <w:b/>
          <w:color w:val="000000"/>
          <w:u w:val="single"/>
        </w:rPr>
        <w:t>toda la información en posesión de los Sujetos Obligados será</w:t>
      </w:r>
      <w:r>
        <w:rPr>
          <w:rFonts w:ascii="Palatino Linotype" w:eastAsia="Palatino Linotype" w:hAnsi="Palatino Linotype" w:cs="Palatino Linotype"/>
          <w:color w:val="000000"/>
        </w:rPr>
        <w:t xml:space="preserve"> pública, completa, </w:t>
      </w:r>
      <w:r>
        <w:rPr>
          <w:rFonts w:ascii="Palatino Linotype" w:eastAsia="Palatino Linotype" w:hAnsi="Palatino Linotype" w:cs="Palatino Linotype"/>
          <w:b/>
          <w:color w:val="000000"/>
          <w:u w:val="single"/>
        </w:rPr>
        <w:t>oportuna</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u w:val="single"/>
        </w:rPr>
        <w:t>accesible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lo que permite que la ciudadanía tenga un amplio acceso sobre lo que es el actuar de las autoridades</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Semanario Judicial de la Federación y su Gaceta en el libro XVIII, Marzo 2013, Página 1899:</w:t>
      </w:r>
    </w:p>
    <w:p w:rsidR="00762008" w:rsidRDefault="00093B98">
      <w:pPr>
        <w:pBdr>
          <w:top w:val="nil"/>
          <w:left w:val="nil"/>
          <w:bottom w:val="nil"/>
          <w:right w:val="nil"/>
          <w:between w:val="nil"/>
        </w:pBdr>
        <w:tabs>
          <w:tab w:val="left" w:pos="142"/>
          <w:tab w:val="left" w:pos="284"/>
          <w:tab w:val="left" w:pos="426"/>
        </w:tabs>
        <w:spacing w:line="276" w:lineRule="auto"/>
        <w:ind w:left="567"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w:t>
      </w:r>
      <w:r>
        <w:rPr>
          <w:rFonts w:ascii="Palatino Linotype" w:eastAsia="Palatino Linotype" w:hAnsi="Palatino Linotype" w:cs="Palatino Linotype"/>
          <w:i/>
          <w:color w:val="000000"/>
          <w:sz w:val="22"/>
          <w:szCs w:val="22"/>
        </w:rPr>
        <w:lastRenderedPageBreak/>
        <w:t>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762008" w:rsidRDefault="00762008">
      <w:pPr>
        <w:pBdr>
          <w:top w:val="nil"/>
          <w:left w:val="nil"/>
          <w:bottom w:val="nil"/>
          <w:right w:val="nil"/>
          <w:between w:val="nil"/>
        </w:pBdr>
        <w:tabs>
          <w:tab w:val="left" w:pos="426"/>
        </w:tabs>
        <w:spacing w:before="240"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Tal y como se ha señalado, </w:t>
      </w:r>
      <w:r>
        <w:rPr>
          <w:rFonts w:ascii="Palatino Linotype" w:eastAsia="Palatino Linotype" w:hAnsi="Palatino Linotype" w:cs="Palatino Linotype"/>
          <w:b/>
          <w:color w:val="000000"/>
        </w:rPr>
        <w:t>el derecho de acceso a la información se basa en permitir que la ciudadanía conozca de primera mano toda aquella información que se encuentra en posesión de los Sujetos Obligados</w:t>
      </w:r>
      <w:r>
        <w:rPr>
          <w:rFonts w:ascii="Palatino Linotype" w:eastAsia="Palatino Linotype" w:hAnsi="Palatino Linotype" w:cs="Palatino Linotype"/>
          <w:color w:val="000000"/>
        </w:rPr>
        <w:t xml:space="preserve">, ya sea porque la genera, posee o administra; </w:t>
      </w:r>
      <w:r>
        <w:rPr>
          <w:rFonts w:ascii="Palatino Linotype" w:eastAsia="Palatino Linotype" w:hAnsi="Palatino Linotype" w:cs="Palatino Linotype"/>
          <w:b/>
          <w:color w:val="000000"/>
        </w:rPr>
        <w:t>toda vez que</w:t>
      </w:r>
      <w:r>
        <w:rPr>
          <w:rFonts w:ascii="Palatino Linotype" w:eastAsia="Palatino Linotype" w:hAnsi="Palatino Linotype" w:cs="Palatino Linotype"/>
          <w:color w:val="000000"/>
        </w:rPr>
        <w:t xml:space="preserve">, a través de dicha acción, </w:t>
      </w:r>
      <w:r>
        <w:rPr>
          <w:rFonts w:ascii="Palatino Linotype" w:eastAsia="Palatino Linotype" w:hAnsi="Palatino Linotype" w:cs="Palatino Linotype"/>
          <w:b/>
          <w:color w:val="000000"/>
        </w:rPr>
        <w:t>permite que las personas ejerzan un medio de control sobre las acciones que se están ejerciendo y evaluar su desempeño</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pStyle w:val="Ttulo3"/>
        <w:spacing w:before="0" w:after="0" w:line="360" w:lineRule="auto"/>
        <w:ind w:right="-78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III. De la usucapión.</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Nuestra Constitución Política del Estado Libre y Soberano de México, en su artículo 88, establece que el ejercicio del </w:t>
      </w:r>
      <w:r>
        <w:rPr>
          <w:rFonts w:ascii="Palatino Linotype" w:eastAsia="Palatino Linotype" w:hAnsi="Palatino Linotype" w:cs="Palatino Linotype"/>
          <w:b/>
          <w:color w:val="000000"/>
        </w:rPr>
        <w:t>Poder Judicial del Estado</w:t>
      </w:r>
      <w:r>
        <w:rPr>
          <w:rFonts w:ascii="Palatino Linotype" w:eastAsia="Palatino Linotype" w:hAnsi="Palatino Linotype" w:cs="Palatino Linotype"/>
          <w:color w:val="000000"/>
        </w:rPr>
        <w:t xml:space="preserve"> se deposita en un Órgano Colegiado denominado Tribunal Superior de Justicia, el cual funcionará en Pleno, Sala Constitucional, Salas Colegiadas y Unitarias Regionales; y, en Tribunales y Juzgados de Primera Instancia, Juzgados de Cuantía Menor y Tribunales Laborales, organizados de acuerdo a su competencia establecida en las leyes secundarias.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bien, la </w:t>
      </w:r>
      <w:r>
        <w:rPr>
          <w:rFonts w:ascii="Palatino Linotype" w:eastAsia="Palatino Linotype" w:hAnsi="Palatino Linotype" w:cs="Palatino Linotype"/>
          <w:b/>
          <w:color w:val="000000"/>
        </w:rPr>
        <w:t>usucapión</w:t>
      </w:r>
      <w:r>
        <w:rPr>
          <w:rFonts w:ascii="Palatino Linotype" w:eastAsia="Palatino Linotype" w:hAnsi="Palatino Linotype" w:cs="Palatino Linotype"/>
          <w:color w:val="000000"/>
        </w:rPr>
        <w:t xml:space="preserve"> consiste en una relevante en el Derecho Mexicano, que encuentra su origen en el Derecho Romano; proviene del concepto </w:t>
      </w:r>
      <w:proofErr w:type="spellStart"/>
      <w:r>
        <w:rPr>
          <w:rFonts w:ascii="Palatino Linotype" w:eastAsia="Palatino Linotype" w:hAnsi="Palatino Linotype" w:cs="Palatino Linotype"/>
          <w:i/>
          <w:color w:val="000000"/>
        </w:rPr>
        <w:t>usucapio</w:t>
      </w:r>
      <w:proofErr w:type="spellEnd"/>
      <w:r>
        <w:rPr>
          <w:rFonts w:ascii="Palatino Linotype" w:eastAsia="Palatino Linotype" w:hAnsi="Palatino Linotype" w:cs="Palatino Linotype"/>
          <w:color w:val="000000"/>
        </w:rPr>
        <w:t xml:space="preserve">, que deviene de las palabras latinas </w:t>
      </w:r>
      <w:proofErr w:type="spellStart"/>
      <w:r>
        <w:rPr>
          <w:rFonts w:ascii="Palatino Linotype" w:eastAsia="Palatino Linotype" w:hAnsi="Palatino Linotype" w:cs="Palatino Linotype"/>
          <w:i/>
          <w:color w:val="000000"/>
        </w:rPr>
        <w:t>usus</w:t>
      </w:r>
      <w:proofErr w:type="spellEnd"/>
      <w:r>
        <w:rPr>
          <w:rFonts w:ascii="Palatino Linotype" w:eastAsia="Palatino Linotype" w:hAnsi="Palatino Linotype" w:cs="Palatino Linotype"/>
          <w:color w:val="000000"/>
        </w:rPr>
        <w:t xml:space="preserve"> y </w:t>
      </w:r>
      <w:proofErr w:type="spellStart"/>
      <w:r>
        <w:rPr>
          <w:rFonts w:ascii="Palatino Linotype" w:eastAsia="Palatino Linotype" w:hAnsi="Palatino Linotype" w:cs="Palatino Linotype"/>
          <w:i/>
          <w:color w:val="000000"/>
        </w:rPr>
        <w:t>captus</w:t>
      </w:r>
      <w:proofErr w:type="spellEnd"/>
      <w:r>
        <w:rPr>
          <w:rFonts w:ascii="Palatino Linotype" w:eastAsia="Palatino Linotype" w:hAnsi="Palatino Linotype" w:cs="Palatino Linotype"/>
          <w:i/>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Para </w:t>
      </w:r>
      <w:proofErr w:type="spellStart"/>
      <w:r>
        <w:rPr>
          <w:rFonts w:ascii="Palatino Linotype" w:eastAsia="Palatino Linotype" w:hAnsi="Palatino Linotype" w:cs="Palatino Linotype"/>
          <w:color w:val="000000"/>
        </w:rPr>
        <w:t>Planiol</w:t>
      </w:r>
      <w:proofErr w:type="spellEnd"/>
      <w:r>
        <w:rPr>
          <w:rFonts w:ascii="Palatino Linotype" w:eastAsia="Palatino Linotype" w:hAnsi="Palatino Linotype" w:cs="Palatino Linotype"/>
          <w:color w:val="000000"/>
        </w:rPr>
        <w:t xml:space="preserve"> y </w:t>
      </w:r>
      <w:proofErr w:type="spellStart"/>
      <w:r>
        <w:rPr>
          <w:rFonts w:ascii="Palatino Linotype" w:eastAsia="Palatino Linotype" w:hAnsi="Palatino Linotype" w:cs="Palatino Linotype"/>
          <w:color w:val="000000"/>
        </w:rPr>
        <w:t>Ripert</w:t>
      </w:r>
      <w:proofErr w:type="spellEnd"/>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 la prescripción adquisitiva </w:t>
      </w:r>
      <w:r>
        <w:rPr>
          <w:rFonts w:ascii="Palatino Linotype" w:eastAsia="Palatino Linotype" w:hAnsi="Palatino Linotype" w:cs="Palatino Linotype"/>
          <w:color w:val="000000"/>
        </w:rPr>
        <w:t>(o usucapión)</w:t>
      </w:r>
      <w:r>
        <w:rPr>
          <w:rFonts w:ascii="Palatino Linotype" w:eastAsia="Palatino Linotype" w:hAnsi="Palatino Linotype" w:cs="Palatino Linotype"/>
          <w:i/>
          <w:color w:val="000000"/>
        </w:rPr>
        <w:t xml:space="preserve"> es un medio de adquirir la propiedad de una cosa por la posesión prolongada de la misma, durante un tiempo determinado.”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José María Manresa y Navarro considera a la </w:t>
      </w:r>
      <w:r>
        <w:rPr>
          <w:rFonts w:ascii="Palatino Linotype" w:eastAsia="Palatino Linotype" w:hAnsi="Palatino Linotype" w:cs="Palatino Linotype"/>
          <w:b/>
          <w:color w:val="000000"/>
        </w:rPr>
        <w:t>usucapión</w:t>
      </w:r>
      <w:r>
        <w:rPr>
          <w:rFonts w:ascii="Palatino Linotype" w:eastAsia="Palatino Linotype" w:hAnsi="Palatino Linotype" w:cs="Palatino Linotype"/>
          <w:color w:val="000000"/>
        </w:rPr>
        <w:t xml:space="preserve"> como una institución más compleja, pues afirma que  </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i/>
          <w:color w:val="000000"/>
        </w:rPr>
        <w:t>la prescripción resuelve en nombre de la equidad y del bien común</w:t>
      </w:r>
      <w:r>
        <w:rPr>
          <w:rFonts w:ascii="Palatino Linotype" w:eastAsia="Palatino Linotype" w:hAnsi="Palatino Linotype" w:cs="Palatino Linotype"/>
          <w:i/>
          <w:color w:val="000000"/>
        </w:rPr>
        <w:t xml:space="preserve">, una cuestión pendiente entre dos personas, de las cuales, </w:t>
      </w:r>
      <w:r>
        <w:rPr>
          <w:rFonts w:ascii="Palatino Linotype" w:eastAsia="Palatino Linotype" w:hAnsi="Palatino Linotype" w:cs="Palatino Linotype"/>
          <w:b/>
          <w:i/>
          <w:color w:val="000000"/>
        </w:rPr>
        <w:t xml:space="preserve">una solo tiene a su favor título </w:t>
      </w:r>
      <w:r>
        <w:rPr>
          <w:rFonts w:ascii="Palatino Linotype" w:eastAsia="Palatino Linotype" w:hAnsi="Palatino Linotype" w:cs="Palatino Linotype"/>
          <w:i/>
          <w:color w:val="000000"/>
        </w:rPr>
        <w:t xml:space="preserve">y la </w:t>
      </w:r>
      <w:r>
        <w:rPr>
          <w:rFonts w:ascii="Palatino Linotype" w:eastAsia="Palatino Linotype" w:hAnsi="Palatino Linotype" w:cs="Palatino Linotype"/>
          <w:b/>
          <w:i/>
          <w:color w:val="000000"/>
        </w:rPr>
        <w:t xml:space="preserve">otra título y posesión </w:t>
      </w:r>
      <w:r>
        <w:rPr>
          <w:rFonts w:ascii="Palatino Linotype" w:eastAsia="Palatino Linotype" w:hAnsi="Palatino Linotype" w:cs="Palatino Linotype"/>
          <w:i/>
          <w:color w:val="000000"/>
        </w:rPr>
        <w:t xml:space="preserve">siendo que la prescripción decide a su favor de la segunda dicha cuestión, o sea </w:t>
      </w:r>
      <w:r>
        <w:rPr>
          <w:rFonts w:ascii="Palatino Linotype" w:eastAsia="Palatino Linotype" w:hAnsi="Palatino Linotype" w:cs="Palatino Linotype"/>
          <w:b/>
          <w:i/>
          <w:color w:val="000000"/>
        </w:rPr>
        <w:t>la propiedad</w:t>
      </w:r>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por que</w:t>
      </w:r>
      <w:proofErr w:type="spellEnd"/>
      <w:r>
        <w:rPr>
          <w:rFonts w:ascii="Palatino Linotype" w:eastAsia="Palatino Linotype" w:hAnsi="Palatino Linotype" w:cs="Palatino Linotype"/>
          <w:i/>
          <w:color w:val="000000"/>
        </w:rPr>
        <w:t xml:space="preserve"> reúne condiciones y circunstancias más atendibles, toda vez que a un título que le permite creerse legítimo dueños de las cosas, añade el hecho de ser el dueño en el concepto público, pues a tanto equivale la posesión no interrumpida durante cierto número de años. El poseedor dice reúne el hecho y el derecho, el dominio y el ejercicio de éste, mientras que el simple propietario, por virtud de un título legal, sólo tiene el derecho pero no el ejercicio del derecho.” </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señalar que la </w:t>
      </w:r>
      <w:r>
        <w:rPr>
          <w:rFonts w:ascii="Palatino Linotype" w:eastAsia="Palatino Linotype" w:hAnsi="Palatino Linotype" w:cs="Palatino Linotype"/>
          <w:b/>
          <w:color w:val="000000"/>
        </w:rPr>
        <w:t>usucapión</w:t>
      </w:r>
      <w:r>
        <w:rPr>
          <w:rFonts w:ascii="Palatino Linotype" w:eastAsia="Palatino Linotype" w:hAnsi="Palatino Linotype" w:cs="Palatino Linotype"/>
          <w:color w:val="000000"/>
        </w:rPr>
        <w:t xml:space="preserve"> se encuentra regulada dentro del Libro Quinto, de los Bienes, del Código Civil del Estado de México, en cuyo artículo 5.127, establece que la usucapión es un medio de adquirir la propiedad de los bienes mediante la posesión de los mismos, durante el tiempo y con las condiciones establecidas en el propio Código.</w:t>
      </w:r>
    </w:p>
    <w:p w:rsidR="00762008" w:rsidRDefault="00093B9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el mismo sentido, se establece que la posesión necesaria para </w:t>
      </w:r>
      <w:r>
        <w:rPr>
          <w:rFonts w:ascii="Palatino Linotype" w:eastAsia="Palatino Linotype" w:hAnsi="Palatino Linotype" w:cs="Palatino Linotype"/>
          <w:b/>
          <w:color w:val="000000"/>
        </w:rPr>
        <w:t>usucapir</w:t>
      </w:r>
      <w:r>
        <w:rPr>
          <w:rFonts w:ascii="Palatino Linotype" w:eastAsia="Palatino Linotype" w:hAnsi="Palatino Linotype" w:cs="Palatino Linotype"/>
          <w:color w:val="000000"/>
        </w:rPr>
        <w:t xml:space="preserve"> deberá ser en concepto de propietario; pacífica; continua y pública</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Dicho lo anterior, y de acuerdo con el Directorio de Juzgados del Poder Judicial del Estado de México</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 xml:space="preserve">, dentro del territorio </w:t>
      </w:r>
      <w:r w:rsidR="00E17A52">
        <w:rPr>
          <w:rFonts w:ascii="Palatino Linotype" w:eastAsia="Palatino Linotype" w:hAnsi="Palatino Linotype" w:cs="Palatino Linotype"/>
          <w:color w:val="000000"/>
        </w:rPr>
        <w:t>estatal</w:t>
      </w:r>
      <w:r>
        <w:rPr>
          <w:rFonts w:ascii="Palatino Linotype" w:eastAsia="Palatino Linotype" w:hAnsi="Palatino Linotype" w:cs="Palatino Linotype"/>
          <w:color w:val="000000"/>
        </w:rPr>
        <w:t xml:space="preserve"> existirán dos Juzgados Especializados en Juicio Sumario de Usucapión, el primero, con residencia en </w:t>
      </w:r>
      <w:r>
        <w:rPr>
          <w:rFonts w:ascii="Palatino Linotype" w:eastAsia="Palatino Linotype" w:hAnsi="Palatino Linotype" w:cs="Palatino Linotype"/>
          <w:b/>
          <w:color w:val="000000"/>
        </w:rPr>
        <w:t>Ecatepec</w:t>
      </w:r>
      <w:r>
        <w:rPr>
          <w:rFonts w:ascii="Palatino Linotype" w:eastAsia="Palatino Linotype" w:hAnsi="Palatino Linotype" w:cs="Palatino Linotype"/>
          <w:color w:val="000000"/>
        </w:rPr>
        <w:t xml:space="preserve">, el cual conocerá de los asuntos relacionados con los Distritos Judiciales de e Ecatepec, Cuautitlán, Tlalnepantla, Zumpango, </w:t>
      </w:r>
      <w:proofErr w:type="spellStart"/>
      <w:r>
        <w:rPr>
          <w:rFonts w:ascii="Palatino Linotype" w:eastAsia="Palatino Linotype" w:hAnsi="Palatino Linotype" w:cs="Palatino Linotype"/>
          <w:color w:val="000000"/>
        </w:rPr>
        <w:t>Otumba</w:t>
      </w:r>
      <w:proofErr w:type="spellEnd"/>
      <w:r>
        <w:rPr>
          <w:rFonts w:ascii="Palatino Linotype" w:eastAsia="Palatino Linotype" w:hAnsi="Palatino Linotype" w:cs="Palatino Linotype"/>
          <w:color w:val="000000"/>
        </w:rPr>
        <w:t xml:space="preserve">, Texcoco, Nezahualcóyotl y Chalco; mientras que el segundo tendrá residencia en </w:t>
      </w:r>
      <w:proofErr w:type="spellStart"/>
      <w:r>
        <w:rPr>
          <w:rFonts w:ascii="Palatino Linotype" w:eastAsia="Palatino Linotype" w:hAnsi="Palatino Linotype" w:cs="Palatino Linotype"/>
          <w:b/>
          <w:color w:val="000000"/>
        </w:rPr>
        <w:t>Xonacatlán</w:t>
      </w:r>
      <w:proofErr w:type="spellEnd"/>
      <w:r>
        <w:rPr>
          <w:rFonts w:ascii="Palatino Linotype" w:eastAsia="Palatino Linotype" w:hAnsi="Palatino Linotype" w:cs="Palatino Linotype"/>
          <w:color w:val="000000"/>
        </w:rPr>
        <w:t xml:space="preserve">, y conocerá sobre los asuntos que se desarrollen en los Distritos Judiciales de Toluca, Lerma, Sultepec, </w:t>
      </w:r>
      <w:proofErr w:type="spellStart"/>
      <w:r>
        <w:rPr>
          <w:rFonts w:ascii="Palatino Linotype" w:eastAsia="Palatino Linotype" w:hAnsi="Palatino Linotype" w:cs="Palatino Linotype"/>
          <w:color w:val="000000"/>
        </w:rPr>
        <w:t>Temascaltepec</w:t>
      </w:r>
      <w:proofErr w:type="spellEnd"/>
      <w:r>
        <w:rPr>
          <w:rFonts w:ascii="Palatino Linotype" w:eastAsia="Palatino Linotype" w:hAnsi="Palatino Linotype" w:cs="Palatino Linotype"/>
          <w:color w:val="000000"/>
        </w:rPr>
        <w:t xml:space="preserve">, Valle de Bravo, Tenango del Valle, </w:t>
      </w:r>
      <w:r>
        <w:rPr>
          <w:rFonts w:ascii="Palatino Linotype" w:eastAsia="Palatino Linotype" w:hAnsi="Palatino Linotype" w:cs="Palatino Linotype"/>
        </w:rPr>
        <w:t>Tenancingo</w:t>
      </w:r>
      <w:r>
        <w:rPr>
          <w:rFonts w:ascii="Palatino Linotype" w:eastAsia="Palatino Linotype" w:hAnsi="Palatino Linotype" w:cs="Palatino Linotype"/>
          <w:color w:val="000000"/>
        </w:rPr>
        <w:t>, Ixtlahuaca, El Oro y Jilotepec.</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obstante lo anterior, en respuesta a la solicitud de información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hizo del conocimiento del particular que, con base en el ACUERDO DEL PLENO DEL CONSEJO DE LA JUDICATURA DEL ESTADO DE MÉXICO DE VEINTITRÉS DE AGOSTO DE DOS MIL VEINTIUNO POR EL QUE SE HOMOLOGA LA DENOMINACIÓN Y SE EMITEN LOS CÓDIGOS DE IDENTIFICACIÓN DE LAS SALAS, TRIBUNALES DE ALZADA, TRIBUNALES Y JUZGADOS DEL PODER JUDICIAL </w:t>
      </w:r>
      <w:r>
        <w:rPr>
          <w:rFonts w:ascii="Palatino Linotype" w:eastAsia="Palatino Linotype" w:hAnsi="Palatino Linotype" w:cs="Palatino Linotype"/>
        </w:rPr>
        <w:t>DE LA</w:t>
      </w:r>
      <w:r>
        <w:rPr>
          <w:rFonts w:ascii="Palatino Linotype" w:eastAsia="Palatino Linotype" w:hAnsi="Palatino Linotype" w:cs="Palatino Linotype"/>
          <w:color w:val="000000"/>
        </w:rPr>
        <w:t xml:space="preserve"> ENTIDAD; ASIMISMO, SE APRUEBA LA ACTUALIZACIÓN DEL MODELO TÉCNICO PARA EL EFECTO, se determinó que el Juzgado Especializado en Juicio Sumario de Usucapión, con residencia en </w:t>
      </w:r>
      <w:proofErr w:type="spellStart"/>
      <w:r>
        <w:rPr>
          <w:rFonts w:ascii="Palatino Linotype" w:eastAsia="Palatino Linotype" w:hAnsi="Palatino Linotype" w:cs="Palatino Linotype"/>
          <w:b/>
          <w:color w:val="000000"/>
        </w:rPr>
        <w:t>Xonacatlán</w:t>
      </w:r>
      <w:proofErr w:type="spellEnd"/>
      <w:r>
        <w:rPr>
          <w:rFonts w:ascii="Palatino Linotype" w:eastAsia="Palatino Linotype" w:hAnsi="Palatino Linotype" w:cs="Palatino Linotype"/>
          <w:color w:val="000000"/>
        </w:rPr>
        <w:t xml:space="preserve">, cambiaría su residencia a </w:t>
      </w:r>
      <w:r>
        <w:rPr>
          <w:rFonts w:ascii="Palatino Linotype" w:eastAsia="Palatino Linotype" w:hAnsi="Palatino Linotype" w:cs="Palatino Linotype"/>
          <w:b/>
          <w:color w:val="000000"/>
        </w:rPr>
        <w:t>Lerma</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Cabe señalar que este Organismo Garante carece de facultades para dudar de la veracidad de la información proveída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pues no es parte del objeto que persigue el garantizar el derecho de acceso a la información.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Sustenta lo anterior el Criterio de Interpretación Histórico 031/2010, publicado por el Organismo Garante Nacional, mismo que establece:</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EL INSTITUTO FEDERAL DE ACCESO A LA INFORMACIÓN Y PROTECCIÓN DE DATOS NO CUENTA CON FACULTADES PARA PRONUNCIARSE RESPECTO DE LA VERACIDAD DE LOS DOCUMENTOS PROPORCIONADOS POR LOS SUJETOS OBLIGADOS.</w:t>
      </w:r>
      <w:r w:rsidRPr="00E17A52">
        <w:rPr>
          <w:rFonts w:ascii="Palatino Linotype" w:eastAsia="Palatino Linotype" w:hAnsi="Palatino Linotype" w:cs="Palatino Linotype"/>
          <w:i/>
          <w:color w:val="000000"/>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se tiene que si bien el particular requirió 15 expedientes de usucapión, sustanciados en el Juzgado Especializado en Juicio Sumario de Usucapión, con residencia en </w:t>
      </w:r>
      <w:proofErr w:type="spellStart"/>
      <w:r>
        <w:rPr>
          <w:rFonts w:ascii="Palatino Linotype" w:eastAsia="Palatino Linotype" w:hAnsi="Palatino Linotype" w:cs="Palatino Linotype"/>
          <w:color w:val="000000"/>
        </w:rPr>
        <w:t>Xonacatlán</w:t>
      </w:r>
      <w:proofErr w:type="spellEnd"/>
      <w:r>
        <w:rPr>
          <w:rFonts w:ascii="Palatino Linotype" w:eastAsia="Palatino Linotype" w:hAnsi="Palatino Linotype" w:cs="Palatino Linotype"/>
          <w:color w:val="000000"/>
        </w:rPr>
        <w:t>; este Juzgado cambió de residencia al municipio de Lerma. Por lo tanto, debe entenderse que los expedientes proveídos en respuesta son justamente los requeridos por el particular.</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pStyle w:val="Ttulo3"/>
        <w:spacing w:before="0" w:after="0" w:line="360" w:lineRule="auto"/>
        <w:ind w:right="-78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IV. De la clasificación de la información realizada por el SUJETO OBLIGADO.</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el artículo 122 de la Ley de Transparencia y Acceso a la Información Pública del Estado de México y Municipios, establece que la </w:t>
      </w:r>
      <w:r>
        <w:rPr>
          <w:rFonts w:ascii="Palatino Linotype" w:eastAsia="Palatino Linotype" w:hAnsi="Palatino Linotype" w:cs="Palatino Linotype"/>
          <w:b/>
          <w:color w:val="000000"/>
        </w:rPr>
        <w:t>clasificación</w:t>
      </w:r>
      <w:r>
        <w:rPr>
          <w:rFonts w:ascii="Palatino Linotype" w:eastAsia="Palatino Linotype" w:hAnsi="Palatino Linotype" w:cs="Palatino Linotype"/>
          <w:color w:val="000000"/>
        </w:rPr>
        <w:t xml:space="preserve"> es el proceso mediante el </w:t>
      </w:r>
      <w:r>
        <w:rPr>
          <w:rFonts w:ascii="Palatino Linotype" w:eastAsia="Palatino Linotype" w:hAnsi="Palatino Linotype" w:cs="Palatino Linotype"/>
          <w:color w:val="000000"/>
        </w:rPr>
        <w:lastRenderedPageBreak/>
        <w:t xml:space="preserve">cual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determina que la información en su poder </w:t>
      </w:r>
      <w:proofErr w:type="spellStart"/>
      <w:r w:rsidR="00E17A52">
        <w:rPr>
          <w:rFonts w:ascii="Palatino Linotype" w:eastAsia="Palatino Linotype" w:hAnsi="Palatino Linotype" w:cs="Palatino Linotype"/>
          <w:color w:val="000000"/>
        </w:rPr>
        <w:t>actualiza</w:t>
      </w:r>
      <w:proofErr w:type="spellEnd"/>
      <w:r>
        <w:rPr>
          <w:rFonts w:ascii="Palatino Linotype" w:eastAsia="Palatino Linotype" w:hAnsi="Palatino Linotype" w:cs="Palatino Linotype"/>
          <w:color w:val="000000"/>
        </w:rPr>
        <w:t xml:space="preserve"> alguno de los supuestos de reserva o </w:t>
      </w:r>
      <w:r>
        <w:rPr>
          <w:rFonts w:ascii="Palatino Linotype" w:eastAsia="Palatino Linotype" w:hAnsi="Palatino Linotype" w:cs="Palatino Linotype"/>
          <w:b/>
          <w:color w:val="000000"/>
        </w:rPr>
        <w:t>confidencialidad</w:t>
      </w:r>
      <w:r>
        <w:rPr>
          <w:rFonts w:ascii="Palatino Linotype" w:eastAsia="Palatino Linotype" w:hAnsi="Palatino Linotype" w:cs="Palatino Linotype"/>
          <w:color w:val="000000"/>
        </w:rPr>
        <w:t xml:space="preserve"> contenidos en los artículos 140 o 143 de la Ley de mérito.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Aunado a lo anterior, la Ley de la materia establece que la clasificación de la información se llevará a cabo en el momento en que</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w:t>
      </w:r>
    </w:p>
    <w:p w:rsidR="00762008" w:rsidRDefault="00093B98">
      <w:pPr>
        <w:numPr>
          <w:ilvl w:val="1"/>
          <w:numId w:val="5"/>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reciba una solicitud de acceso a la información; </w:t>
      </w:r>
    </w:p>
    <w:p w:rsidR="00762008" w:rsidRDefault="00093B98">
      <w:pPr>
        <w:numPr>
          <w:ilvl w:val="1"/>
          <w:numId w:val="5"/>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determine mediante resolución de autoridad competente; o </w:t>
      </w:r>
    </w:p>
    <w:p w:rsidR="00762008" w:rsidRDefault="00093B98">
      <w:pPr>
        <w:numPr>
          <w:ilvl w:val="1"/>
          <w:numId w:val="5"/>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 generen versiones públicas para dar cumplimiento a las obligaciones de transparencia previstas en la Ley.</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tercer párrafo del artículo 122 de la Ley de mérito establece que </w:t>
      </w:r>
      <w:r>
        <w:rPr>
          <w:rFonts w:ascii="Palatino Linotype" w:eastAsia="Palatino Linotype" w:hAnsi="Palatino Linotype" w:cs="Palatino Linotype"/>
          <w:b/>
          <w:color w:val="000000"/>
        </w:rPr>
        <w:t>los titulares de las áreas de los sujetos obligados serán los responsables de clasificar la información</w:t>
      </w:r>
      <w:r>
        <w:rPr>
          <w:rFonts w:ascii="Palatino Linotype" w:eastAsia="Palatino Linotype" w:hAnsi="Palatino Linotype" w:cs="Palatino Linotype"/>
          <w:color w:val="000000"/>
        </w:rPr>
        <w:t>.</w:t>
      </w:r>
    </w:p>
    <w:p w:rsidR="00E17A52" w:rsidRDefault="00E17A52" w:rsidP="00E17A52">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tenor, conviene señalar que </w:t>
      </w:r>
      <w:r>
        <w:rPr>
          <w:rFonts w:ascii="Palatino Linotype" w:eastAsia="Palatino Linotype" w:hAnsi="Palatino Linotype" w:cs="Palatino Linotype"/>
          <w:b/>
          <w:color w:val="000000"/>
        </w:rPr>
        <w:t>en los casos en que se niegue el acceso a la información, por actualizarse alguno de los supuestos de clasificación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Comité de Transparencia deberá confirmar, modificar o revocar la decisión</w:t>
      </w:r>
      <w:r>
        <w:rPr>
          <w:rFonts w:ascii="Palatino Linotype" w:eastAsia="Palatino Linotype" w:hAnsi="Palatino Linotype" w:cs="Palatino Linotype"/>
          <w:color w:val="000000"/>
        </w:rPr>
        <w:t xml:space="preserve">; y, 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w:t>
      </w:r>
      <w:r>
        <w:rPr>
          <w:rFonts w:ascii="Palatino Linotype" w:eastAsia="Palatino Linotype" w:hAnsi="Palatino Linotype" w:cs="Palatino Linotype"/>
          <w:b/>
          <w:color w:val="000000"/>
        </w:rPr>
        <w:t>prueba de daño</w:t>
      </w:r>
      <w:r>
        <w:rPr>
          <w:rFonts w:ascii="Palatino Linotype" w:eastAsia="Palatino Linotype" w:hAnsi="Palatino Linotype" w:cs="Palatino Linotype"/>
          <w:b/>
          <w:color w:val="000000"/>
          <w:vertAlign w:val="superscript"/>
        </w:rPr>
        <w:footnoteReference w:id="16"/>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Cabe destacar que, en la aplicación de la prueba de daño,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precisar las razones objetivas por las que la apertura de la información generaría una afectación, justificando que</w:t>
      </w:r>
      <w:r>
        <w:rPr>
          <w:rFonts w:ascii="Palatino Linotype" w:eastAsia="Palatino Linotype" w:hAnsi="Palatino Linotype" w:cs="Palatino Linotype"/>
          <w:color w:val="000000"/>
          <w:vertAlign w:val="superscript"/>
        </w:rPr>
        <w:footnoteReference w:id="17"/>
      </w:r>
      <w:r>
        <w:rPr>
          <w:rFonts w:ascii="Palatino Linotype" w:eastAsia="Palatino Linotype" w:hAnsi="Palatino Linotype" w:cs="Palatino Linotype"/>
          <w:color w:val="000000"/>
        </w:rPr>
        <w:t>:</w:t>
      </w:r>
    </w:p>
    <w:p w:rsidR="00762008" w:rsidRDefault="00093B98">
      <w:pPr>
        <w:numPr>
          <w:ilvl w:val="1"/>
          <w:numId w:val="4"/>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divulgación de la información representa un riesgo real, demostrable e identificable del perjuicio significativo al interés público o a la seguridad pública; </w:t>
      </w:r>
    </w:p>
    <w:p w:rsidR="00762008" w:rsidRDefault="00093B98">
      <w:pPr>
        <w:numPr>
          <w:ilvl w:val="1"/>
          <w:numId w:val="4"/>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riesgo de perjuicio que supondría la divulgación supera el interés público general de que se difunda; y </w:t>
      </w:r>
    </w:p>
    <w:p w:rsidR="00762008" w:rsidRDefault="00093B98">
      <w:pPr>
        <w:numPr>
          <w:ilvl w:val="1"/>
          <w:numId w:val="4"/>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limitación se adecua al principio de proporcionalidad y representa el medio menos restrictivo disponible representa el medio menos restrictivo disponible para evitar el perjuicio.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w:t>
      </w:r>
      <w:r>
        <w:rPr>
          <w:rFonts w:ascii="Palatino Linotype" w:eastAsia="Palatino Linotype" w:hAnsi="Palatino Linotype" w:cs="Palatino Linotype"/>
        </w:rPr>
        <w:t xml:space="preserve">, el Lineamiento Trigésimo Tercero, fracción V, de los Lineamientos Generales en Materia de Clasificación y Desclasificación de la Información, así como para la Elaboración de Versiones Públicas, precisa que para motivar la clasificación también se deben acreditar las circunstancias de </w:t>
      </w:r>
      <w:r>
        <w:rPr>
          <w:rFonts w:ascii="Palatino Linotype" w:eastAsia="Palatino Linotype" w:hAnsi="Palatino Linotype" w:cs="Palatino Linotype"/>
          <w:b/>
        </w:rPr>
        <w:t>tiempo</w:t>
      </w:r>
      <w:r>
        <w:rPr>
          <w:rFonts w:ascii="Palatino Linotype" w:eastAsia="Palatino Linotype" w:hAnsi="Palatino Linotype" w:cs="Palatino Linotype"/>
        </w:rPr>
        <w:t xml:space="preserve">, </w:t>
      </w:r>
      <w:r>
        <w:rPr>
          <w:rFonts w:ascii="Palatino Linotype" w:eastAsia="Palatino Linotype" w:hAnsi="Palatino Linotype" w:cs="Palatino Linotype"/>
          <w:b/>
        </w:rPr>
        <w:t>modo</w:t>
      </w:r>
      <w:r>
        <w:rPr>
          <w:rFonts w:ascii="Palatino Linotype" w:eastAsia="Palatino Linotype" w:hAnsi="Palatino Linotype" w:cs="Palatino Linotype"/>
        </w:rPr>
        <w:t xml:space="preserve"> y </w:t>
      </w:r>
      <w:r>
        <w:rPr>
          <w:rFonts w:ascii="Palatino Linotype" w:eastAsia="Palatino Linotype" w:hAnsi="Palatino Linotype" w:cs="Palatino Linotype"/>
          <w:b/>
        </w:rPr>
        <w:t>lugar</w:t>
      </w:r>
      <w:r>
        <w:rPr>
          <w:rFonts w:ascii="Palatino Linotype" w:eastAsia="Palatino Linotype" w:hAnsi="Palatino Linotype" w:cs="Palatino Linotype"/>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rPr>
        <w:t>Como consecuencia</w:t>
      </w:r>
      <w:r>
        <w:rPr>
          <w:rFonts w:ascii="Palatino Linotype" w:eastAsia="Palatino Linotype" w:hAnsi="Palatino Linotype" w:cs="Palatino Linotype"/>
          <w:color w:val="000000"/>
        </w:rPr>
        <w:t xml:space="preserve"> de lo anterior,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la Ley de Transparencia y Acceso a la Información Pública del Estado de México y Municipios, como información clasificada</w:t>
      </w:r>
      <w:r>
        <w:rPr>
          <w:rFonts w:ascii="Palatino Linotype" w:eastAsia="Palatino Linotype" w:hAnsi="Palatino Linotype" w:cs="Palatino Linotype"/>
          <w:color w:val="000000"/>
          <w:vertAlign w:val="superscript"/>
        </w:rPr>
        <w:footnoteReference w:id="18"/>
      </w:r>
      <w:r>
        <w:rPr>
          <w:rFonts w:ascii="Palatino Linotype" w:eastAsia="Palatino Linotype" w:hAnsi="Palatino Linotype" w:cs="Palatino Linotype"/>
          <w:color w:val="000000"/>
        </w:rPr>
        <w:t>.</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Al respecto, las </w:t>
      </w:r>
      <w:r>
        <w:rPr>
          <w:rFonts w:ascii="Palatino Linotype" w:eastAsia="Palatino Linotype" w:hAnsi="Palatino Linotype" w:cs="Palatino Linotype"/>
        </w:rPr>
        <w:t>disposiciones constitucionales y legales en la materia establecen los dos supuestos generales para clasificar la información: por reserva y por confidencialidad.</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13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cuanto hace a la reserva de la información, el artículo 140 de la Ley de Transparencia y Acceso a la Información Pública del Estado de México y Municipios, establece que el acceso a la información pública será restringido excepcionalmente, cuando por razones de interés público, ésta sea clasificada como </w:t>
      </w:r>
      <w:r>
        <w:rPr>
          <w:rFonts w:ascii="Palatino Linotype" w:eastAsia="Palatino Linotype" w:hAnsi="Palatino Linotype" w:cs="Palatino Linotype"/>
          <w:b/>
          <w:color w:val="000000"/>
        </w:rPr>
        <w:t>reservada</w:t>
      </w:r>
      <w:r>
        <w:rPr>
          <w:rFonts w:ascii="Palatino Linotype" w:eastAsia="Palatino Linotype" w:hAnsi="Palatino Linotype" w:cs="Palatino Linotype"/>
          <w:color w:val="000000"/>
        </w:rPr>
        <w:t>, conforme a los criterios siguientes:</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i/>
          <w:color w:val="000000"/>
          <w:sz w:val="22"/>
        </w:rPr>
        <w:t>“</w:t>
      </w:r>
      <w:r w:rsidRPr="00E17A52">
        <w:rPr>
          <w:rFonts w:ascii="Palatino Linotype" w:eastAsia="Palatino Linotype" w:hAnsi="Palatino Linotype" w:cs="Palatino Linotype"/>
          <w:b/>
          <w:i/>
          <w:color w:val="000000"/>
          <w:sz w:val="22"/>
        </w:rPr>
        <w:t>I.</w:t>
      </w:r>
      <w:r w:rsidRPr="00E17A52">
        <w:rPr>
          <w:rFonts w:ascii="Palatino Linotype" w:eastAsia="Palatino Linotype" w:hAnsi="Palatino Linotype" w:cs="Palatino Linotype"/>
          <w:i/>
          <w:color w:val="000000"/>
          <w:sz w:val="22"/>
        </w:rPr>
        <w:t xml:space="preserve"> Comprometa la seguridad pública y cuente con un propósito genuino y un efecto demostrable;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II.</w:t>
      </w:r>
      <w:r w:rsidRPr="00E17A52">
        <w:rPr>
          <w:rFonts w:ascii="Palatino Linotype" w:eastAsia="Palatino Linotype" w:hAnsi="Palatino Linotype" w:cs="Palatino Linotype"/>
          <w:i/>
          <w:color w:val="000000"/>
          <w:sz w:val="22"/>
        </w:rPr>
        <w:t xml:space="preserve"> Pueda menoscabar la conducción de las negociaciones y relaciones internacionales;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III.</w:t>
      </w:r>
      <w:r w:rsidRPr="00E17A52">
        <w:rPr>
          <w:rFonts w:ascii="Palatino Linotype" w:eastAsia="Palatino Linotype" w:hAnsi="Palatino Linotype" w:cs="Palatino Linotype"/>
          <w:i/>
          <w:color w:val="000000"/>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IV.</w:t>
      </w:r>
      <w:r w:rsidRPr="00E17A52">
        <w:rPr>
          <w:rFonts w:ascii="Palatino Linotype" w:eastAsia="Palatino Linotype" w:hAnsi="Palatino Linotype" w:cs="Palatino Linotype"/>
          <w:i/>
          <w:color w:val="000000"/>
          <w:sz w:val="22"/>
        </w:rPr>
        <w:t xml:space="preserve"> Ponga en riesgo la vida, la seguridad o la salud de una persona física;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V.</w:t>
      </w:r>
      <w:r w:rsidRPr="00E17A52">
        <w:rPr>
          <w:rFonts w:ascii="Palatino Linotype" w:eastAsia="Palatino Linotype" w:hAnsi="Palatino Linotype" w:cs="Palatino Linotype"/>
          <w:i/>
          <w:color w:val="000000"/>
          <w:sz w:val="22"/>
        </w:rPr>
        <w:t xml:space="preserve"> Aquella cuya divulgación obstruya o pueda causar un serio perjuicio a: </w:t>
      </w:r>
    </w:p>
    <w:p w:rsidR="00762008" w:rsidRPr="00E17A52" w:rsidRDefault="00093B98">
      <w:pPr>
        <w:pBdr>
          <w:top w:val="nil"/>
          <w:left w:val="nil"/>
          <w:bottom w:val="nil"/>
          <w:right w:val="nil"/>
          <w:between w:val="nil"/>
        </w:pBdr>
        <w:tabs>
          <w:tab w:val="left" w:pos="426"/>
        </w:tabs>
        <w:spacing w:line="276" w:lineRule="auto"/>
        <w:ind w:left="851"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1.</w:t>
      </w:r>
      <w:r w:rsidRPr="00E17A52">
        <w:rPr>
          <w:rFonts w:ascii="Palatino Linotype" w:eastAsia="Palatino Linotype" w:hAnsi="Palatino Linotype" w:cs="Palatino Linotype"/>
          <w:i/>
          <w:color w:val="000000"/>
          <w:sz w:val="22"/>
        </w:rPr>
        <w:t xml:space="preserve"> Las actividades de fiscalización, verificación, inspección, comprobación y auditoría sobre el cumplimiento de las Leyes; o </w:t>
      </w:r>
    </w:p>
    <w:p w:rsidR="00762008" w:rsidRPr="00E17A52" w:rsidRDefault="00093B98">
      <w:pPr>
        <w:pBdr>
          <w:top w:val="nil"/>
          <w:left w:val="nil"/>
          <w:bottom w:val="nil"/>
          <w:right w:val="nil"/>
          <w:between w:val="nil"/>
        </w:pBdr>
        <w:tabs>
          <w:tab w:val="left" w:pos="426"/>
        </w:tabs>
        <w:spacing w:line="276" w:lineRule="auto"/>
        <w:ind w:left="851"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2.</w:t>
      </w:r>
      <w:r w:rsidRPr="00E17A52">
        <w:rPr>
          <w:rFonts w:ascii="Palatino Linotype" w:eastAsia="Palatino Linotype" w:hAnsi="Palatino Linotype" w:cs="Palatino Linotype"/>
          <w:i/>
          <w:color w:val="000000"/>
          <w:sz w:val="22"/>
        </w:rPr>
        <w:t xml:space="preserve"> La recaudación de las contribuciones.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VI.</w:t>
      </w:r>
      <w:r w:rsidRPr="00E17A52">
        <w:rPr>
          <w:rFonts w:ascii="Palatino Linotype" w:eastAsia="Palatino Linotype" w:hAnsi="Palatino Linotype" w:cs="Palatino Linotype"/>
          <w:i/>
          <w:color w:val="000000"/>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VII.</w:t>
      </w:r>
      <w:r w:rsidRPr="00E17A52">
        <w:rPr>
          <w:rFonts w:ascii="Palatino Linotype" w:eastAsia="Palatino Linotype" w:hAnsi="Palatino Linotype" w:cs="Palatino Linotype"/>
          <w:i/>
          <w:color w:val="000000"/>
          <w:sz w:val="22"/>
        </w:rPr>
        <w:t xml:space="preserve"> La que contengan las opiniones, recomendaciones o puntos de vista que formen parte del proceso deliberativo de los servidores públicos, hasta en tanto sea adoptada la decisión definitiva, la cual deberá estar documentada;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VIII.</w:t>
      </w:r>
      <w:r w:rsidRPr="00E17A52">
        <w:rPr>
          <w:rFonts w:ascii="Palatino Linotype" w:eastAsia="Palatino Linotype" w:hAnsi="Palatino Linotype" w:cs="Palatino Linotype"/>
          <w:i/>
          <w:color w:val="000000"/>
          <w:sz w:val="22"/>
        </w:rPr>
        <w:t xml:space="preserve"> Vulnere la conducción de los expedientes judiciales o de los procedimientos administrativos seguidos en forma de juicio, en tanto no hayan quedado firmes;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IX.</w:t>
      </w:r>
      <w:r w:rsidRPr="00E17A52">
        <w:rPr>
          <w:rFonts w:ascii="Palatino Linotype" w:eastAsia="Palatino Linotype" w:hAnsi="Palatino Linotype" w:cs="Palatino Linotype"/>
          <w:i/>
          <w:color w:val="000000"/>
          <w:sz w:val="22"/>
        </w:rPr>
        <w:t xml:space="preserve"> Se encuentre contenida dentro de las investigaciones de hechos que la Ley señale como delitos y se tramiten ante el Ministerio Público;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lastRenderedPageBreak/>
        <w:t>X.</w:t>
      </w:r>
      <w:r w:rsidRPr="00E17A52">
        <w:rPr>
          <w:rFonts w:ascii="Palatino Linotype" w:eastAsia="Palatino Linotype" w:hAnsi="Palatino Linotype" w:cs="Palatino Linotype"/>
          <w:i/>
          <w:color w:val="000000"/>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i/>
          <w:color w:val="000000"/>
          <w:sz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XI.</w:t>
      </w:r>
      <w:r w:rsidRPr="00E17A52">
        <w:rPr>
          <w:rFonts w:ascii="Palatino Linotype" w:eastAsia="Palatino Linotype" w:hAnsi="Palatino Linotype" w:cs="Palatino Linotype"/>
          <w:i/>
          <w:color w:val="000000"/>
          <w:sz w:val="22"/>
        </w:rPr>
        <w:t xml:space="preserve"> Las que por disposición expresa de una ley tengan tal carácter, siempre que sean acordes con las bases, principios y disposiciones establecidos en esta Ley y no la contravengan; así como las previstas en tratados internacionales.”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Mientras que el artículo 143 de la Ley de mérito reconoce que se considerará a información </w:t>
      </w:r>
      <w:r>
        <w:rPr>
          <w:rFonts w:ascii="Palatino Linotype" w:eastAsia="Palatino Linotype" w:hAnsi="Palatino Linotype" w:cs="Palatino Linotype"/>
          <w:b/>
          <w:color w:val="000000"/>
        </w:rPr>
        <w:t>confidencial</w:t>
      </w:r>
      <w:r>
        <w:rPr>
          <w:rFonts w:ascii="Palatino Linotype" w:eastAsia="Palatino Linotype" w:hAnsi="Palatino Linotype" w:cs="Palatino Linotype"/>
          <w:color w:val="000000"/>
        </w:rPr>
        <w:t>, la clasificada como tal, de manera permanente, por su naturaleza, cuando:</w:t>
      </w:r>
    </w:p>
    <w:p w:rsidR="00762008"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 refiera a la información privada y los datos personales concernientes a una persona física o jurídico colectiva identificada o identificable; </w:t>
      </w:r>
    </w:p>
    <w:p w:rsidR="00762008"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rsidR="00762008"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La que presenten los particulares a los sujetos obligados, de conformidad con lo dispuesto por las leyes o los tratados internacionales.”</w:t>
      </w:r>
    </w:p>
    <w:p w:rsidR="00762008" w:rsidRDefault="00762008">
      <w:pPr>
        <w:pBdr>
          <w:top w:val="nil"/>
          <w:left w:val="nil"/>
          <w:bottom w:val="nil"/>
          <w:right w:val="nil"/>
          <w:between w:val="nil"/>
        </w:pBdr>
        <w:tabs>
          <w:tab w:val="left" w:pos="426"/>
        </w:tabs>
        <w:spacing w:line="360" w:lineRule="auto"/>
        <w:ind w:right="137"/>
        <w:jc w:val="both"/>
        <w:rPr>
          <w:rFonts w:ascii="Palatino Linotype" w:eastAsia="Palatino Linotype" w:hAnsi="Palatino Linotype" w:cs="Palatino Linotype"/>
          <w:color w:val="000000"/>
          <w:sz w:val="22"/>
          <w:szCs w:val="22"/>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los Sujetos Obligados deberán aplicar, de manera restrictiva y limitada, las excepciones al derecho de acceso a la información y sólo podrán invocarlas cuando acrediten su procedencia, sin ampliar las excepciones o supuestos de </w:t>
      </w:r>
      <w:r>
        <w:rPr>
          <w:rFonts w:ascii="Palatino Linotype" w:eastAsia="Palatino Linotype" w:hAnsi="Palatino Linotype" w:cs="Palatino Linotype"/>
          <w:b/>
          <w:color w:val="000000"/>
        </w:rPr>
        <w:t>reserva</w:t>
      </w:r>
      <w:r>
        <w:rPr>
          <w:rFonts w:ascii="Palatino Linotype" w:eastAsia="Palatino Linotype" w:hAnsi="Palatino Linotype" w:cs="Palatino Linotype"/>
          <w:color w:val="000000"/>
        </w:rPr>
        <w:t xml:space="preserve"> o </w:t>
      </w:r>
      <w:r>
        <w:rPr>
          <w:rFonts w:ascii="Palatino Linotype" w:eastAsia="Palatino Linotype" w:hAnsi="Palatino Linotype" w:cs="Palatino Linotype"/>
          <w:b/>
          <w:color w:val="000000"/>
        </w:rPr>
        <w:t>confidencialidad</w:t>
      </w:r>
      <w:r>
        <w:rPr>
          <w:rFonts w:ascii="Palatino Linotype" w:eastAsia="Palatino Linotype" w:hAnsi="Palatino Linotype" w:cs="Palatino Linotype"/>
          <w:color w:val="000000"/>
        </w:rPr>
        <w:t xml:space="preserve"> previstos en la Ley General y la Ley de Transparencia y Acceso a la Información Pública del Estado de México y Municipios, aduciendo analogía o mayoría de razón</w:t>
      </w:r>
      <w:r>
        <w:rPr>
          <w:rFonts w:ascii="Palatino Linotype" w:eastAsia="Palatino Linotype" w:hAnsi="Palatino Linotype" w:cs="Palatino Linotype"/>
          <w:color w:val="000000"/>
          <w:vertAlign w:val="superscript"/>
        </w:rPr>
        <w:footnoteReference w:id="19"/>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Bajo el contexto anterior, conviene recordar que, a través de la solicitud de información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 xml:space="preserv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15 expedientes completos de usucapión, del Juzgado Especializado en Juicio Sumario de Usucapión, con residencia en Lerma.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en respuesta a la solicitud de información,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hizo entrega de 15 expedientes, en versión pública, con números </w:t>
      </w:r>
      <w:r>
        <w:rPr>
          <w:rFonts w:ascii="Palatino Linotype" w:eastAsia="Palatino Linotype" w:hAnsi="Palatino Linotype" w:cs="Palatino Linotype"/>
          <w:b/>
          <w:color w:val="000000"/>
        </w:rPr>
        <w:t xml:space="preserve">1410/22, 1513/22, 1455/22, 1520/22, 1530/22, 1553/22, 1555/22, 1615/22, 1656/22, 1740/22, 1949/22, 1961/22, 1965/22, 1981/22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1991/22</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fin de justificar las versiones públicas, no fue sino hasta la presentación del informe justificado,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el Acuerdo del Comité de Transparencia número 07/2023, de veintisiete (27) de marzo de dos mil veintitrés, cuyo contenido elemental se transcribe a continuación:</w:t>
      </w: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b/>
          <w:i/>
          <w:color w:val="000000"/>
          <w:sz w:val="22"/>
        </w:rPr>
      </w:pPr>
      <w:r w:rsidRPr="00E17A52">
        <w:rPr>
          <w:rFonts w:ascii="Palatino Linotype" w:eastAsia="Palatino Linotype" w:hAnsi="Palatino Linotype" w:cs="Palatino Linotype"/>
          <w:i/>
          <w:color w:val="000000"/>
          <w:sz w:val="22"/>
        </w:rPr>
        <w:t>“</w:t>
      </w:r>
      <w:r w:rsidRPr="00E17A52">
        <w:rPr>
          <w:rFonts w:ascii="Palatino Linotype" w:eastAsia="Palatino Linotype" w:hAnsi="Palatino Linotype" w:cs="Palatino Linotype"/>
          <w:b/>
          <w:i/>
          <w:color w:val="000000"/>
          <w:sz w:val="22"/>
        </w:rPr>
        <w:t>PUNTO TRES. ANÁLISIS PARA LA APROBACIÓN, MODIFICACIÓN O REVOCACIÓN DE CLASIFICACIÓN DE INFORMACIÓN PARA LA ATENCIÓN DE LA SOLICITUD DE ACCESO A LA INFORMACIÓN PÚBLICA NÚMERO 00072/PJUDICI/IP/2023.</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i/>
          <w:color w:val="000000"/>
          <w:sz w:val="22"/>
        </w:rPr>
        <w:t>(…)</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center"/>
        <w:rPr>
          <w:rFonts w:ascii="Palatino Linotype" w:eastAsia="Palatino Linotype" w:hAnsi="Palatino Linotype" w:cs="Palatino Linotype"/>
          <w:b/>
          <w:i/>
          <w:color w:val="000000"/>
          <w:sz w:val="22"/>
        </w:rPr>
      </w:pPr>
      <w:r w:rsidRPr="00E17A52">
        <w:rPr>
          <w:rFonts w:ascii="Palatino Linotype" w:eastAsia="Palatino Linotype" w:hAnsi="Palatino Linotype" w:cs="Palatino Linotype"/>
          <w:b/>
          <w:i/>
          <w:color w:val="000000"/>
          <w:sz w:val="22"/>
        </w:rPr>
        <w:t>Considerando.</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i/>
          <w:color w:val="000000"/>
          <w:sz w:val="22"/>
        </w:rPr>
        <w:t>(…)</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Segundo.-</w:t>
      </w:r>
      <w:r w:rsidRPr="00E17A52">
        <w:rPr>
          <w:rFonts w:ascii="Palatino Linotype" w:eastAsia="Palatino Linotype" w:hAnsi="Palatino Linotype" w:cs="Palatino Linotype"/>
          <w:i/>
          <w:color w:val="000000"/>
          <w:sz w:val="22"/>
        </w:rPr>
        <w:t xml:space="preserve"> De acuerdo con el artículo 143, fracción I, de la Ley de Transparencia y Acceso a la Información Pública del Estado de México y Municipios, se considera </w:t>
      </w:r>
      <w:r w:rsidRPr="00E17A52">
        <w:rPr>
          <w:rFonts w:ascii="Palatino Linotype" w:eastAsia="Palatino Linotype" w:hAnsi="Palatino Linotype" w:cs="Palatino Linotype"/>
          <w:color w:val="000000"/>
          <w:sz w:val="22"/>
        </w:rPr>
        <w:t>información confidencial</w:t>
      </w:r>
      <w:r w:rsidRPr="00E17A52">
        <w:rPr>
          <w:rFonts w:ascii="Palatino Linotype" w:eastAsia="Palatino Linotype" w:hAnsi="Palatino Linotype" w:cs="Palatino Linotype"/>
          <w:i/>
          <w:color w:val="000000"/>
          <w:sz w:val="22"/>
        </w:rPr>
        <w:t>, la clasificada como tal, de manera permanente, por su naturaleza, cuando se refiera a información privada y datos personales concernientes a una persona física o jurídico colectiva identificada o identificable.</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i/>
          <w:color w:val="000000"/>
          <w:sz w:val="22"/>
        </w:rPr>
        <w:t>En ese tenor, en cumplimiento a lo dispuesto por el artículo 149, de la Ley de Transparencia y Acceso a la Información Pública del estado de México y Municipios, existe un razonamiento lógico que demuestra que la información solicitada se encuentra en la hipótesis prevista en la fracción I, del artículo 143, de la citada Ley.</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i/>
          <w:color w:val="000000"/>
          <w:sz w:val="22"/>
        </w:rPr>
        <w:t>(…)</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Tercero.-</w:t>
      </w:r>
      <w:r w:rsidRPr="00E17A52">
        <w:rPr>
          <w:rFonts w:ascii="Palatino Linotype" w:eastAsia="Palatino Linotype" w:hAnsi="Palatino Linotype" w:cs="Palatino Linotype"/>
          <w:i/>
          <w:color w:val="000000"/>
          <w:sz w:val="22"/>
        </w:rPr>
        <w:t xml:space="preserve"> Los archivos que a continuación se describen, contiene datos personales que deben ser considerados como información confidencial, tales como:</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1981/2022:</w:t>
      </w:r>
      <w:r w:rsidRPr="00E17A52">
        <w:rPr>
          <w:rFonts w:ascii="Palatino Linotype" w:eastAsia="Palatino Linotype" w:hAnsi="Palatino Linotype" w:cs="Palatino Linotype"/>
          <w:i/>
          <w:color w:val="000000"/>
          <w:sz w:val="22"/>
        </w:rPr>
        <w:t xml:space="preserve"> nombre del actor, nombre de demandado, nombre de los autorizados en el expediente, nombre del vendedor, nombre de colindantes, nombre de testigos; nombre y número de notario público; domicilio de actor, domicilio del demandado, ubicación del bien inmueble material del juicio; número de cédula profesional; firmas de particulares; correo electrónico; número de folio real electrónico; datos generales contenidos en la credencial para votar (…).</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1410/2022:</w:t>
      </w:r>
      <w:r w:rsidRPr="00E17A52">
        <w:rPr>
          <w:rFonts w:ascii="Palatino Linotype" w:eastAsia="Palatino Linotype" w:hAnsi="Palatino Linotype" w:cs="Palatino Linotype"/>
          <w:i/>
          <w:color w:val="000000"/>
          <w:sz w:val="22"/>
        </w:rPr>
        <w:t xml:space="preserve"> nombre del actor, nombre del demandado, nombre del de </w:t>
      </w:r>
      <w:proofErr w:type="spellStart"/>
      <w:r w:rsidRPr="00E17A52">
        <w:rPr>
          <w:rFonts w:ascii="Palatino Linotype" w:eastAsia="Palatino Linotype" w:hAnsi="Palatino Linotype" w:cs="Palatino Linotype"/>
          <w:i/>
          <w:color w:val="000000"/>
          <w:sz w:val="22"/>
        </w:rPr>
        <w:t>cujus</w:t>
      </w:r>
      <w:proofErr w:type="spellEnd"/>
      <w:r w:rsidRPr="00E17A52">
        <w:rPr>
          <w:rFonts w:ascii="Palatino Linotype" w:eastAsia="Palatino Linotype" w:hAnsi="Palatino Linotype" w:cs="Palatino Linotype"/>
          <w:i/>
          <w:color w:val="000000"/>
          <w:sz w:val="22"/>
        </w:rPr>
        <w:t>, nombre de autorizados en el expediente, nombre de colindantes, nombre de testigos; nombre y número de notario público; domicilio de demandado, domicilio de los testigos, ubicación del bien inmueble materia del juicio; número de cédula profesional; correo electrónico; número de folio real electrónico; número de escritura pública notarial; datos contenidos en la credencial para votar (…); número de acta de nacimiento y de matrimonio.</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1455/2022:</w:t>
      </w:r>
      <w:r w:rsidRPr="00E17A52">
        <w:rPr>
          <w:rFonts w:ascii="Palatino Linotype" w:eastAsia="Palatino Linotype" w:hAnsi="Palatino Linotype" w:cs="Palatino Linotype"/>
          <w:i/>
          <w:color w:val="000000"/>
          <w:sz w:val="22"/>
        </w:rPr>
        <w:t xml:space="preserve"> nombre del actor, nombre del demandado, nombre de los abogados autorizados en el expediente, nombre del abogado patrono, nombre de colindantes, nombre de testigos, domicilio del demandado, ubicación del bien inmueble materia del juicio, firmas de particulares, número de folio real electrónico, clave catastral, datos contenidos en la credencial para votar (…) y Registro Federal de Contribuyentes (RFC).</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1513/2022:</w:t>
      </w:r>
      <w:r w:rsidRPr="00E17A52">
        <w:rPr>
          <w:rFonts w:ascii="Palatino Linotype" w:eastAsia="Palatino Linotype" w:hAnsi="Palatino Linotype" w:cs="Palatino Linotype"/>
          <w:i/>
          <w:color w:val="000000"/>
          <w:sz w:val="22"/>
        </w:rPr>
        <w:t xml:space="preserve"> nombre del actor, nombre del demandado, nombre del abogado patrono, nombre de autorizados en el expediente, nombre de colindantes, nombre de testigos, nombre del vendedor del inmueble, nombre y número de notario público, domicilio del demandado, ubicación del bien inmueble materia del juicio, número de cédula profesional, firma de particulares, número de folio real electrónico, clave catastral, datos contenidos en la </w:t>
      </w:r>
      <w:r w:rsidRPr="00E17A52">
        <w:rPr>
          <w:rFonts w:ascii="Palatino Linotype" w:eastAsia="Palatino Linotype" w:hAnsi="Palatino Linotype" w:cs="Palatino Linotype"/>
          <w:i/>
          <w:color w:val="000000"/>
          <w:sz w:val="22"/>
        </w:rPr>
        <w:lastRenderedPageBreak/>
        <w:t>credencia para votar (…) Registro Federal de Contribuyentes (RFC) y Clave Única de Registro de Población (CURP).</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1520/2022:</w:t>
      </w:r>
      <w:r w:rsidRPr="00E17A52">
        <w:rPr>
          <w:rFonts w:ascii="Palatino Linotype" w:eastAsia="Palatino Linotype" w:hAnsi="Palatino Linotype" w:cs="Palatino Linotype"/>
          <w:i/>
          <w:color w:val="000000"/>
          <w:sz w:val="22"/>
        </w:rPr>
        <w:t xml:space="preserve"> nombre del actor, nombre del demandado, nombre de los autorizados en el expediente, nombre de testigos, nombre de la cónyuge, nombre y número de notario público, domicilio del demandado, domicilio de los testigos, ubicación del bien inmueble materia del juicio, número de cédula profesional, firmas de particulares, correo electrónico, número de folio real electrónico, clave catastral, (…), datos contenidos en la credencial para votar (…).</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1530/2022:</w:t>
      </w:r>
      <w:r w:rsidRPr="00E17A52">
        <w:rPr>
          <w:rFonts w:ascii="Palatino Linotype" w:eastAsia="Palatino Linotype" w:hAnsi="Palatino Linotype" w:cs="Palatino Linotype"/>
          <w:i/>
          <w:color w:val="000000"/>
          <w:sz w:val="22"/>
        </w:rPr>
        <w:t xml:space="preserve"> nombre del actor, nombre del demandado, nombre de abogado patrono, nombre de autorizados en el expediente, nombre de colindantes, nombre de testigos, nombre y número de notario público, domicilio del demandado, ubicación del bien inmueble materia del juicio, número de cédula profesional, firmas de particulares, número de folio real electrónico, datos contenidos en la credencial para votar (…), Registro Federal de Contribuyente (RFC) y Clave Única de Registro de Población (CURP).</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1553/2022</w:t>
      </w:r>
      <w:r w:rsidRPr="00E17A52">
        <w:rPr>
          <w:rFonts w:ascii="Palatino Linotype" w:eastAsia="Palatino Linotype" w:hAnsi="Palatino Linotype" w:cs="Palatino Linotype"/>
          <w:i/>
          <w:color w:val="000000"/>
          <w:sz w:val="22"/>
        </w:rPr>
        <w:t>: nombre del actor, nombre del demandado, nombre de abogados patrono, nombre de autorizados en el expediente, nombre de los colindantes, nombre de los testigos, nombre del vendedor del inmueble, dirección del inmueble, dirección del demandado, ubicación del bien inmueble materia del juicio, número de cédula profesional, firmas de particulares, número de folio real electrónico, clave catastral, datos contenidos en la credencial para votar (…).</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1555/2022:</w:t>
      </w:r>
      <w:r w:rsidRPr="00E17A52">
        <w:rPr>
          <w:rFonts w:ascii="Palatino Linotype" w:eastAsia="Palatino Linotype" w:hAnsi="Palatino Linotype" w:cs="Palatino Linotype"/>
          <w:i/>
          <w:color w:val="000000"/>
          <w:sz w:val="22"/>
        </w:rPr>
        <w:t xml:space="preserve"> nombre de actor, nombre de demandado, nombre de abogado patrono, nombre de autorizados en el expediente, nombre de los colindantes, nombre de los testigos, nombre de progenitores, nombre del donatario, nombre y número de notario público, domicilio del demandado, ubicación del bien inmueble materia del juicio, número de cédula profesional, firma de particulares, número de folio real electrónico, datos contenidos en la credencial para votar (…) y Clave Única de Registro de Población.</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1615/2022:</w:t>
      </w:r>
      <w:r w:rsidRPr="00E17A52">
        <w:rPr>
          <w:rFonts w:ascii="Palatino Linotype" w:eastAsia="Palatino Linotype" w:hAnsi="Palatino Linotype" w:cs="Palatino Linotype"/>
          <w:i/>
          <w:color w:val="000000"/>
          <w:sz w:val="22"/>
        </w:rPr>
        <w:t xml:space="preserve"> nombre del actor, nombre del demandado, nombre del abogado patrono, nombre de los autorizados en el expediente, nombre de colindantes, nombre de testigos, nombre del vendedor del inmueble, nombre del cónyuge, domicilio del demandado, ubicación del bien inmueble materia del juicio, número de cédula profesional, firmas de particulares, número de folio real electrónico, clave catastral, datos contenidos en la credencial para votar (…)</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1656/2022:</w:t>
      </w:r>
      <w:r w:rsidRPr="00E17A52">
        <w:rPr>
          <w:rFonts w:ascii="Palatino Linotype" w:eastAsia="Palatino Linotype" w:hAnsi="Palatino Linotype" w:cs="Palatino Linotype"/>
          <w:i/>
          <w:color w:val="000000"/>
          <w:sz w:val="22"/>
        </w:rPr>
        <w:t xml:space="preserve"> nombre del actor, nombre del demandado, nombre del abogado patrono, nombre de los autorizados en el expediente, nombre de colindantes, nombre de testigos, domicilio del demandado, domicilio de los testigos, ubicación del bien inmueble materia del juicio, número de cédula profesional, firma de particulares, número de folio real electrónico, clave catastral, datos contenidos en la credencial para votar (…).</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1991/2022:</w:t>
      </w:r>
      <w:r w:rsidRPr="00E17A52">
        <w:rPr>
          <w:rFonts w:ascii="Palatino Linotype" w:eastAsia="Palatino Linotype" w:hAnsi="Palatino Linotype" w:cs="Palatino Linotype"/>
          <w:i/>
          <w:color w:val="000000"/>
          <w:sz w:val="22"/>
        </w:rPr>
        <w:t xml:space="preserve"> nombre de actor, nombre de demandado, nombre de abogado patrono, nombre de autorizados en el expediente, nombre de colindantes, nombre de testigos, nombre y número de notario público, domicilio del demandado, domicilio de los testigos, ubicación del bien inmueble materia del juicio, número de cédula profesional, firma de particulares, correo electrónico, número de folio real electrónico, clave catastral, datos contenidos en la credencial para votar (…) y Clave Única de Registro de Población (CURP).</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1740/2022:</w:t>
      </w:r>
      <w:r w:rsidRPr="00E17A52">
        <w:rPr>
          <w:rFonts w:ascii="Palatino Linotype" w:eastAsia="Palatino Linotype" w:hAnsi="Palatino Linotype" w:cs="Palatino Linotype"/>
          <w:i/>
          <w:color w:val="000000"/>
          <w:sz w:val="22"/>
        </w:rPr>
        <w:t xml:space="preserve"> nombre del actor, nombre del demandado, nombre de abogado patrono, nombre de autorizados en el expediente, nombre de colindantes, nombre de testigos, nombre de persona jurídico colectiva, nombre y número de notario público, domicilio del demandado, ubicación del bien inmueble materia del juicio, número de cédula profesional, firmas de particulares, número de folio real electrónico, número de escritura pública notarial, datos contenidos en la credencial para votar (…), Registro Federal de Contribuyente (RFC) y Clave Única de Registro de Población (CURP).</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Expediente 1949/2022:</w:t>
      </w:r>
      <w:r w:rsidRPr="00E17A52">
        <w:rPr>
          <w:rFonts w:ascii="Palatino Linotype" w:eastAsia="Palatino Linotype" w:hAnsi="Palatino Linotype" w:cs="Palatino Linotype"/>
          <w:i/>
          <w:color w:val="000000"/>
          <w:sz w:val="22"/>
        </w:rPr>
        <w:t xml:space="preserve"> nombre del actor, nombre del demandado, nombre del abogado patrono, nombre de autorizados en el expediente, nombre de colindantes, nombre de testigos, nombre y número de notario público, domicilio del demandado, domicilio de los testigos, ubicación del bien inmueble materia del juicio, número de cédula profesional, firma de particulares, número de folio real electrónico, clave catastral, datos contenidos en la credencial para votar (…).</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t xml:space="preserve">Expediente 1961/2022: </w:t>
      </w:r>
      <w:r w:rsidRPr="00E17A52">
        <w:rPr>
          <w:rFonts w:ascii="Palatino Linotype" w:eastAsia="Palatino Linotype" w:hAnsi="Palatino Linotype" w:cs="Palatino Linotype"/>
          <w:i/>
          <w:color w:val="000000"/>
          <w:sz w:val="22"/>
        </w:rPr>
        <w:t>nombre de actor, nombre de demandado, nombre de abogado patrono, nombre de autorizados en el expediente, nombre de colindantes, nombre de testigos, nombre y número de notario público, domicilio del demandado, domicilio de testigos, ubicación del bien inmueble materia del juicio, número de cédula profesional, firma de particulares, correo electrónico, número de folio real electrónico, clave catastral, datos contenidos en la credencial para votar (…) y Clave Única de Registro de Población (CURP).</w:t>
      </w:r>
    </w:p>
    <w:p w:rsidR="00762008" w:rsidRPr="00E17A52" w:rsidRDefault="0076200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p>
    <w:p w:rsidR="00762008" w:rsidRPr="00E17A52"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rPr>
      </w:pPr>
      <w:r w:rsidRPr="00E17A52">
        <w:rPr>
          <w:rFonts w:ascii="Palatino Linotype" w:eastAsia="Palatino Linotype" w:hAnsi="Palatino Linotype" w:cs="Palatino Linotype"/>
          <w:b/>
          <w:i/>
          <w:color w:val="000000"/>
          <w:sz w:val="22"/>
        </w:rPr>
        <w:lastRenderedPageBreak/>
        <w:t>Expediente 1965/2022:</w:t>
      </w:r>
      <w:r w:rsidRPr="00E17A52">
        <w:rPr>
          <w:rFonts w:ascii="Palatino Linotype" w:eastAsia="Palatino Linotype" w:hAnsi="Palatino Linotype" w:cs="Palatino Linotype"/>
          <w:i/>
          <w:color w:val="000000"/>
          <w:sz w:val="22"/>
        </w:rPr>
        <w:t xml:space="preserve"> nombre de actor, nombre de demandado, nombre de abogado patrono, nombre de abogados autorizados en el expediente, nombre de colindantes, nombre de testigos; nombre y número de notario público; domicilio del demandado, domicilio de testigos, ubicación del bien inmueble materia del juicio; número de cédula profesional; firma de particulares; correo electrónico; número de folio real electrónico y clave catastral; datos contenidos en la credencial para votar (…) y Clave Única de Registro de Población (CURP).”</w:t>
      </w:r>
      <w:r w:rsidRPr="00E17A52">
        <w:rPr>
          <w:rFonts w:ascii="Palatino Linotype" w:eastAsia="Palatino Linotype" w:hAnsi="Palatino Linotype" w:cs="Palatino Linotype"/>
          <w:color w:val="000000"/>
          <w:sz w:val="22"/>
        </w:rPr>
        <w:t xml:space="preserve"> (Sic.)</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líneas transcritas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cabe exponer las siguientes consideraciones:</w:t>
      </w:r>
    </w:p>
    <w:p w:rsidR="00762008" w:rsidRPr="00E17A52" w:rsidRDefault="00093B98">
      <w:pPr>
        <w:numPr>
          <w:ilvl w:val="1"/>
          <w:numId w:val="4"/>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rPr>
      </w:pPr>
      <w:r w:rsidRPr="00E17A52">
        <w:rPr>
          <w:rFonts w:ascii="Palatino Linotype" w:eastAsia="Palatino Linotype" w:hAnsi="Palatino Linotype" w:cs="Palatino Linotype"/>
          <w:color w:val="000000"/>
          <w:sz w:val="22"/>
        </w:rPr>
        <w:t xml:space="preserve">Que el Comité de Transparencia identificó que, dentro de los 15 expedientes de usucapión, solicitados por el </w:t>
      </w:r>
      <w:r w:rsidRPr="00E17A52">
        <w:rPr>
          <w:rFonts w:ascii="Palatino Linotype" w:eastAsia="Palatino Linotype" w:hAnsi="Palatino Linotype" w:cs="Palatino Linotype"/>
          <w:b/>
          <w:color w:val="000000"/>
          <w:sz w:val="22"/>
        </w:rPr>
        <w:t>RECURRENTE</w:t>
      </w:r>
      <w:r w:rsidRPr="00E17A52">
        <w:rPr>
          <w:rFonts w:ascii="Palatino Linotype" w:eastAsia="Palatino Linotype" w:hAnsi="Palatino Linotype" w:cs="Palatino Linotype"/>
          <w:color w:val="000000"/>
          <w:sz w:val="22"/>
        </w:rPr>
        <w:t xml:space="preserve">, </w:t>
      </w:r>
      <w:r w:rsidRPr="00E17A52">
        <w:rPr>
          <w:rFonts w:ascii="Palatino Linotype" w:eastAsia="Palatino Linotype" w:hAnsi="Palatino Linotype" w:cs="Palatino Linotype"/>
          <w:sz w:val="22"/>
        </w:rPr>
        <w:t>obran</w:t>
      </w:r>
      <w:r w:rsidRPr="00E17A52">
        <w:rPr>
          <w:rFonts w:ascii="Palatino Linotype" w:eastAsia="Palatino Linotype" w:hAnsi="Palatino Linotype" w:cs="Palatino Linotype"/>
          <w:color w:val="000000"/>
          <w:sz w:val="22"/>
        </w:rPr>
        <w:t xml:space="preserve"> datos personales de naturaleza </w:t>
      </w:r>
      <w:r w:rsidRPr="00E17A52">
        <w:rPr>
          <w:rFonts w:ascii="Palatino Linotype" w:eastAsia="Palatino Linotype" w:hAnsi="Palatino Linotype" w:cs="Palatino Linotype"/>
          <w:b/>
          <w:color w:val="000000"/>
          <w:sz w:val="22"/>
        </w:rPr>
        <w:t>confidencial</w:t>
      </w:r>
      <w:r w:rsidRPr="00E17A52">
        <w:rPr>
          <w:rFonts w:ascii="Palatino Linotype" w:eastAsia="Palatino Linotype" w:hAnsi="Palatino Linotype" w:cs="Palatino Linotype"/>
          <w:color w:val="000000"/>
          <w:sz w:val="22"/>
        </w:rPr>
        <w:t>, los cuales debían ser restringidos.</w:t>
      </w:r>
    </w:p>
    <w:p w:rsidR="00762008" w:rsidRPr="00E17A52" w:rsidRDefault="00093B98">
      <w:pPr>
        <w:numPr>
          <w:ilvl w:val="1"/>
          <w:numId w:val="4"/>
        </w:numPr>
        <w:pBdr>
          <w:top w:val="nil"/>
          <w:left w:val="nil"/>
          <w:bottom w:val="nil"/>
          <w:right w:val="nil"/>
          <w:between w:val="nil"/>
        </w:pBdr>
        <w:tabs>
          <w:tab w:val="left" w:pos="426"/>
        </w:tabs>
        <w:spacing w:line="360" w:lineRule="auto"/>
        <w:ind w:left="1134" w:right="137"/>
        <w:jc w:val="both"/>
        <w:rPr>
          <w:rFonts w:ascii="Palatino Linotype" w:eastAsia="Palatino Linotype" w:hAnsi="Palatino Linotype" w:cs="Palatino Linotype"/>
          <w:color w:val="000000"/>
          <w:sz w:val="22"/>
        </w:rPr>
      </w:pPr>
      <w:r w:rsidRPr="00E17A52">
        <w:rPr>
          <w:rFonts w:ascii="Palatino Linotype" w:eastAsia="Palatino Linotype" w:hAnsi="Palatino Linotype" w:cs="Palatino Linotype"/>
          <w:color w:val="000000"/>
          <w:sz w:val="22"/>
        </w:rPr>
        <w:t>Que el Comité de Transparencia identificó los datos personales contenidos de forma individual en los expedientes de usucapión proveídos en respuesta y, posterior a ello, presentó la justificación por la que cada uno de estos datos debía clasificarse.</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Consecuencia de lo anterior, debemos </w:t>
      </w:r>
      <w:r>
        <w:rPr>
          <w:rFonts w:ascii="Palatino Linotype" w:eastAsia="Palatino Linotype" w:hAnsi="Palatino Linotype" w:cs="Palatino Linotype"/>
        </w:rPr>
        <w:t xml:space="preserve">referir que el artículo 116 de la Ley General de Transparencia y Acceso a la Información Pública, en su párrafo primero, establece que se considerará como información confidencial la que contenga </w:t>
      </w:r>
      <w:r>
        <w:rPr>
          <w:rFonts w:ascii="Palatino Linotype" w:eastAsia="Palatino Linotype" w:hAnsi="Palatino Linotype" w:cs="Palatino Linotype"/>
          <w:b/>
        </w:rPr>
        <w:t>datos personales concernientes a una persona identificada o identificable</w:t>
      </w:r>
      <w:r>
        <w:rPr>
          <w:rFonts w:ascii="Palatino Linotype" w:eastAsia="Palatino Linotype" w:hAnsi="Palatino Linotype" w:cs="Palatino Linotype"/>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 xml:space="preserve">armonía con lo establecido por la Ley General, el numeral 143 de la Ley de Transparencia y Acceso a la Información Pública del Estado de México y Municipios, en su fracción I, indica que se considerará como información confidencial, la clasificada como tal, de manera permanente, cuando ésta </w:t>
      </w:r>
      <w:r>
        <w:rPr>
          <w:rFonts w:ascii="Palatino Linotype" w:eastAsia="Palatino Linotype" w:hAnsi="Palatino Linotype" w:cs="Palatino Linotype"/>
          <w:b/>
        </w:rPr>
        <w:t>se refiera a la información privada y los datos personales concernientes a una persona física o jurídico-colectiva identificada o identificable</w:t>
      </w:r>
      <w:r>
        <w:rPr>
          <w:rFonts w:ascii="Palatino Linotype" w:eastAsia="Palatino Linotype" w:hAnsi="Palatino Linotype" w:cs="Palatino Linotype"/>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Así las </w:t>
      </w:r>
      <w:r>
        <w:rPr>
          <w:rFonts w:ascii="Palatino Linotype" w:eastAsia="Palatino Linotype" w:hAnsi="Palatino Linotype" w:cs="Palatino Linotype"/>
        </w:rPr>
        <w:t>cosas, podemos concluir</w:t>
      </w:r>
      <w:r>
        <w:rPr>
          <w:rFonts w:ascii="Palatino Linotype" w:eastAsia="Palatino Linotype" w:hAnsi="Palatino Linotype" w:cs="Palatino Linotype"/>
          <w:color w:val="000000"/>
        </w:rPr>
        <w:t xml:space="preserve"> que las causales de confidencialidad contenidas en el artículo 143 de la Ley de Transparencia Estatal armonizan las causales de confidencialidad establecidas en la Ley General. En ese sentido, el Lineamiento Primero de los </w:t>
      </w:r>
      <w:r>
        <w:rPr>
          <w:rFonts w:ascii="Palatino Linotype" w:eastAsia="Palatino Linotype" w:hAnsi="Palatino Linotype" w:cs="Palatino Linotype"/>
          <w:i/>
          <w:color w:val="000000"/>
        </w:rPr>
        <w:t>Lineamientos Generales en Materia de Clasificación y Desclasificación de la Información, así como para la Elaboración de la Versiones Públicas</w:t>
      </w:r>
      <w:r>
        <w:rPr>
          <w:rFonts w:ascii="Palatino Linotype" w:eastAsia="Palatino Linotype" w:hAnsi="Palatino Linotype" w:cs="Palatino Linotype"/>
          <w:color w:val="000000"/>
        </w:rPr>
        <w:t xml:space="preserve"> (los Lineamientos), establece que éstos tienen por objeto establecer los criterios con base en los cuales los Sujetos Obligados </w:t>
      </w:r>
      <w:r>
        <w:rPr>
          <w:rFonts w:ascii="Palatino Linotype" w:eastAsia="Palatino Linotype" w:hAnsi="Palatino Linotype" w:cs="Palatino Linotype"/>
        </w:rPr>
        <w:t>clasificará</w:t>
      </w:r>
      <w:r>
        <w:rPr>
          <w:rFonts w:ascii="Palatino Linotype" w:eastAsia="Palatino Linotype" w:hAnsi="Palatino Linotype" w:cs="Palatino Linotype"/>
          <w:color w:val="000000"/>
        </w:rPr>
        <w:t xml:space="preserve"> como reservada o </w:t>
      </w:r>
      <w:r>
        <w:rPr>
          <w:rFonts w:ascii="Palatino Linotype" w:eastAsia="Palatino Linotype" w:hAnsi="Palatino Linotype" w:cs="Palatino Linotype"/>
          <w:b/>
          <w:color w:val="000000"/>
        </w:rPr>
        <w:t>confidencial</w:t>
      </w:r>
      <w:r>
        <w:rPr>
          <w:rFonts w:ascii="Palatino Linotype" w:eastAsia="Palatino Linotype" w:hAnsi="Palatino Linotype" w:cs="Palatino Linotype"/>
          <w:color w:val="000000"/>
        </w:rPr>
        <w:t xml:space="preserve"> la información que posean, </w:t>
      </w:r>
      <w:r>
        <w:rPr>
          <w:rFonts w:ascii="Palatino Linotype" w:eastAsia="Palatino Linotype" w:hAnsi="Palatino Linotype" w:cs="Palatino Linotype"/>
        </w:rPr>
        <w:t>desclasificará</w:t>
      </w:r>
      <w:r>
        <w:rPr>
          <w:rFonts w:ascii="Palatino Linotype" w:eastAsia="Palatino Linotype" w:hAnsi="Palatino Linotype" w:cs="Palatino Linotype"/>
          <w:color w:val="000000"/>
        </w:rPr>
        <w:t xml:space="preserve"> y generarán, en su caso, versiones públicas de expedientes o documentos que contengan partes o secciones clasificadas</w:t>
      </w:r>
      <w:r>
        <w:rPr>
          <w:rFonts w:ascii="Palatino Linotype" w:eastAsia="Palatino Linotype" w:hAnsi="Palatino Linotype" w:cs="Palatino Linotype"/>
          <w:color w:val="000000"/>
          <w:vertAlign w:val="superscript"/>
        </w:rPr>
        <w:footnoteReference w:id="20"/>
      </w:r>
      <w:r>
        <w:rPr>
          <w:rFonts w:ascii="Palatino Linotype" w:eastAsia="Palatino Linotype" w:hAnsi="Palatino Linotype" w:cs="Palatino Linotype"/>
          <w:color w:val="000000"/>
        </w:rPr>
        <w:t>.</w:t>
      </w:r>
    </w:p>
    <w:p w:rsidR="00E17A52" w:rsidRDefault="00E17A52" w:rsidP="00E17A52">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cuanto hace a la información susceptible de clasificarse como información confidencial, el lineamiento trigésimo octavo de los Lineamientos reconocen justamente a los </w:t>
      </w:r>
      <w:r>
        <w:rPr>
          <w:rFonts w:ascii="Palatino Linotype" w:eastAsia="Palatino Linotype" w:hAnsi="Palatino Linotype" w:cs="Palatino Linotype"/>
          <w:b/>
        </w:rPr>
        <w:t>datos personales</w:t>
      </w:r>
      <w:r>
        <w:rPr>
          <w:rFonts w:ascii="Palatino Linotype" w:eastAsia="Palatino Linotype" w:hAnsi="Palatino Linotype" w:cs="Palatino Linotype"/>
        </w:rPr>
        <w:t xml:space="preserve">, entendidos como cualquier información concerniente a una </w:t>
      </w:r>
      <w:r>
        <w:rPr>
          <w:rFonts w:ascii="Palatino Linotype" w:eastAsia="Palatino Linotype" w:hAnsi="Palatino Linotype" w:cs="Palatino Linotype"/>
          <w:b/>
        </w:rPr>
        <w:t>persona física identificada o identificable</w:t>
      </w:r>
      <w:r>
        <w:rPr>
          <w:rFonts w:ascii="Palatino Linotype" w:eastAsia="Palatino Linotype" w:hAnsi="Palatino Linotype" w:cs="Palatino Linotype"/>
        </w:rPr>
        <w:t>, en términos de la norma aplicable que, de manera enunciativa más no limitativa, se pueden identificar de acuerdo a las siguientes categorías:</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identificativos:</w:t>
      </w:r>
      <w:r>
        <w:rPr>
          <w:rFonts w:ascii="Palatino Linotype" w:eastAsia="Palatino Linotype" w:hAnsi="Palatino Linotype" w:cs="Palatino Linotype"/>
          <w:sz w:val="22"/>
          <w:szCs w:val="22"/>
        </w:rPr>
        <w:t xml:space="preserve">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Datos de origen: </w:t>
      </w:r>
      <w:r>
        <w:rPr>
          <w:rFonts w:ascii="Palatino Linotype" w:eastAsia="Palatino Linotype" w:hAnsi="Palatino Linotype" w:cs="Palatino Linotype"/>
          <w:sz w:val="22"/>
          <w:szCs w:val="22"/>
        </w:rPr>
        <w:t xml:space="preserve">Origen, etnia, raza, color de piel, color de ojos, color y tipo de cabello, estatura, complexión,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ideológicos:</w:t>
      </w:r>
      <w:r>
        <w:rPr>
          <w:rFonts w:ascii="Palatino Linotype" w:eastAsia="Palatino Linotype" w:hAnsi="Palatino Linotype" w:cs="Palatino Linotype"/>
          <w:sz w:val="22"/>
          <w:szCs w:val="22"/>
        </w:rPr>
        <w:t xml:space="preserve"> Ideologías, creencias, opinión política, afiliación política, opinión pública, afiliación sindical, religión, convicción filosófica y análoga.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Datos sobre la salud: </w:t>
      </w:r>
      <w:r>
        <w:rPr>
          <w:rFonts w:ascii="Palatino Linotype" w:eastAsia="Palatino Linotype" w:hAnsi="Palatino Linotype" w:cs="Palatino Linotype"/>
          <w:sz w:val="22"/>
          <w:szCs w:val="22"/>
        </w:rPr>
        <w:t xml:space="preserve">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Laborales:</w:t>
      </w:r>
      <w:r>
        <w:rPr>
          <w:rFonts w:ascii="Palatino Linotype" w:eastAsia="Palatino Linotype" w:hAnsi="Palatino Linotype" w:cs="Palatino Linotype"/>
          <w:sz w:val="22"/>
          <w:szCs w:val="22"/>
        </w:rPr>
        <w:t xml:space="preserve"> Número de seguridad social, documentos de reclutamiento o selección, nombramientos, incidencia, capacitación, actividades extracurriculares, referencias laborales, referencias personales, solicitud de empleo, hoja de servicio,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patrimoniales:</w:t>
      </w:r>
      <w:r>
        <w:rPr>
          <w:rFonts w:ascii="Palatino Linotype" w:eastAsia="Palatino Linotype" w:hAnsi="Palatino Linotype" w:cs="Palatino Linotype"/>
          <w:sz w:val="22"/>
          <w:szCs w:val="22"/>
        </w:rPr>
        <w:t xml:space="preserve">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sobre situación jurídica o legal:</w:t>
      </w:r>
      <w:r>
        <w:rPr>
          <w:rFonts w:ascii="Palatino Linotype" w:eastAsia="Palatino Linotype" w:hAnsi="Palatino Linotype" w:cs="Palatino Linotype"/>
          <w:sz w:val="22"/>
          <w:szCs w:val="22"/>
        </w:rPr>
        <w:t xml:space="preserve"> La información relativa a una persona que se encuentre o haya sido sujeta a un procedimiento administrativo seguido en forma de juicio o jurisdiccional en materia laboral, civil, penal, fiscal, administrativa o de cualquier otra rama del Derecho,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académicos:</w:t>
      </w:r>
      <w:r>
        <w:rPr>
          <w:rFonts w:ascii="Palatino Linotype" w:eastAsia="Palatino Linotype" w:hAnsi="Palatino Linotype" w:cs="Palatino Linotype"/>
          <w:sz w:val="22"/>
          <w:szCs w:val="22"/>
        </w:rPr>
        <w:t xml:space="preserve"> Trayectoria educativa, avances de créditos, tipos de exámenes, promedio, calificaciones, títulos, cédula profesional, certificados, reconocimientos y análogos.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Datos de tránsito y movimientos migratorios:</w:t>
      </w:r>
      <w:r>
        <w:rPr>
          <w:rFonts w:ascii="Palatino Linotype" w:eastAsia="Palatino Linotype" w:hAnsi="Palatino Linotype" w:cs="Palatino Linotype"/>
          <w:sz w:val="22"/>
          <w:szCs w:val="22"/>
        </w:rPr>
        <w:t xml:space="preserve"> Información relativa al tránsito de las personas dentro y fuera del país, así como información migratoria, cédula migratoria, visa, pasaporte. </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Datos electrónicos: </w:t>
      </w:r>
      <w:r>
        <w:rPr>
          <w:rFonts w:ascii="Palatino Linotype" w:eastAsia="Palatino Linotype" w:hAnsi="Palatino Linotype" w:cs="Palatino Linotype"/>
          <w:sz w:val="22"/>
          <w:szCs w:val="22"/>
        </w:rPr>
        <w:t>Firma electrónica, dirección de correo electrónico, código QR; y</w:t>
      </w:r>
    </w:p>
    <w:p w:rsidR="00762008" w:rsidRDefault="00093B98">
      <w:pPr>
        <w:numPr>
          <w:ilvl w:val="1"/>
          <w:numId w:val="4"/>
        </w:numPr>
        <w:pBdr>
          <w:top w:val="nil"/>
          <w:left w:val="nil"/>
          <w:bottom w:val="nil"/>
          <w:right w:val="nil"/>
          <w:between w:val="nil"/>
        </w:pBdr>
        <w:tabs>
          <w:tab w:val="left" w:pos="426"/>
        </w:tabs>
        <w:spacing w:line="360" w:lineRule="auto"/>
        <w:ind w:left="1134" w:right="-4"/>
        <w:jc w:val="both"/>
        <w:rPr>
          <w:rFonts w:ascii="Palatino Linotype" w:eastAsia="Palatino Linotype" w:hAnsi="Palatino Linotype" w:cs="Palatino Linotype"/>
          <w:color w:val="000000"/>
        </w:rPr>
      </w:pPr>
      <w:r>
        <w:rPr>
          <w:rFonts w:ascii="Palatino Linotype" w:eastAsia="Palatino Linotype" w:hAnsi="Palatino Linotype" w:cs="Palatino Linotype"/>
          <w:b/>
          <w:sz w:val="22"/>
          <w:szCs w:val="22"/>
        </w:rPr>
        <w:lastRenderedPageBreak/>
        <w:t>Datos biométricos:</w:t>
      </w:r>
      <w:r>
        <w:rPr>
          <w:rFonts w:ascii="Palatino Linotype" w:eastAsia="Palatino Linotype" w:hAnsi="Palatino Linotype" w:cs="Palatino Linotype"/>
          <w:sz w:val="22"/>
          <w:szCs w:val="22"/>
        </w:rPr>
        <w:t xml:space="preserve"> Huella dactilar, reconocimiento facial, reconocimiento de iris, reconocimiento de la geometría de la mano, reconocimiento vascular, reconocimiento de escritura, reconoci</w:t>
      </w:r>
      <w:r>
        <w:rPr>
          <w:rFonts w:ascii="Palatino Linotype" w:eastAsia="Palatino Linotype" w:hAnsi="Palatino Linotype" w:cs="Palatino Linotype"/>
        </w:rPr>
        <w:t>miento de voz, reconocimiento de escritura de teclado y análogos.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 base en lo anterior, podemos catalogar la información clasificada como confidencial dentro de los 15 expedientes formados por procedimientos de usucapión, conforme la semántica de datos personales reconocida en los Lineamientos, actividad que quedaría de la siguiente manera:</w:t>
      </w:r>
    </w:p>
    <w:p w:rsidR="00762008" w:rsidRDefault="00762008">
      <w:pPr>
        <w:ind w:right="-787"/>
        <w:rPr>
          <w:rFonts w:ascii="Palatino Linotype" w:eastAsia="Palatino Linotype" w:hAnsi="Palatino Linotype" w:cs="Palatino Linotype"/>
          <w:color w:val="000000"/>
        </w:rPr>
      </w:pPr>
    </w:p>
    <w:tbl>
      <w:tblPr>
        <w:tblStyle w:val="a3"/>
        <w:tblW w:w="99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76"/>
        <w:gridCol w:w="3354"/>
        <w:gridCol w:w="3545"/>
      </w:tblGrid>
      <w:tr w:rsidR="00762008">
        <w:trPr>
          <w:jc w:val="center"/>
        </w:trPr>
        <w:tc>
          <w:tcPr>
            <w:tcW w:w="3075" w:type="dxa"/>
            <w:shd w:val="clear" w:color="auto" w:fill="BFBFBF"/>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b/>
              </w:rPr>
            </w:pPr>
            <w:r>
              <w:rPr>
                <w:rFonts w:ascii="Palatino Linotype" w:eastAsia="Palatino Linotype" w:hAnsi="Palatino Linotype" w:cs="Palatino Linotype"/>
                <w:b/>
              </w:rPr>
              <w:t>INFORMACIÓN CLASIFICADA COMO CONFIDENCIAL</w:t>
            </w:r>
          </w:p>
        </w:tc>
        <w:tc>
          <w:tcPr>
            <w:tcW w:w="3354" w:type="dxa"/>
            <w:shd w:val="clear" w:color="auto" w:fill="BFBFBF"/>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b/>
              </w:rPr>
            </w:pPr>
            <w:r>
              <w:rPr>
                <w:rFonts w:ascii="Palatino Linotype" w:eastAsia="Palatino Linotype" w:hAnsi="Palatino Linotype" w:cs="Palatino Linotype"/>
                <w:b/>
              </w:rPr>
              <w:t>CATEGORÍA DEL DATO PERSONAL RELACIONADA CON LA INFORMACIÓN CLASIFICADA</w:t>
            </w:r>
          </w:p>
        </w:tc>
        <w:tc>
          <w:tcPr>
            <w:tcW w:w="3545" w:type="dxa"/>
            <w:shd w:val="clear" w:color="auto" w:fill="BFBFBF"/>
            <w:vAlign w:val="center"/>
          </w:tcPr>
          <w:p w:rsidR="00762008" w:rsidRDefault="00093B98">
            <w:pPr>
              <w:pBdr>
                <w:top w:val="nil"/>
                <w:left w:val="nil"/>
                <w:bottom w:val="nil"/>
                <w:right w:val="nil"/>
                <w:between w:val="nil"/>
              </w:pBdr>
              <w:tabs>
                <w:tab w:val="left" w:pos="420"/>
              </w:tabs>
              <w:ind w:right="-523"/>
              <w:jc w:val="center"/>
              <w:rPr>
                <w:rFonts w:ascii="Palatino Linotype" w:eastAsia="Palatino Linotype" w:hAnsi="Palatino Linotype" w:cs="Palatino Linotype"/>
                <w:b/>
              </w:rPr>
            </w:pPr>
            <w:r>
              <w:rPr>
                <w:rFonts w:ascii="Palatino Linotype" w:eastAsia="Palatino Linotype" w:hAnsi="Palatino Linotype" w:cs="Palatino Linotype"/>
                <w:b/>
              </w:rPr>
              <w:t>¿SE ACTUALIZA LA NECESIDAD DE CLASIFICAR LA INFORMACIÓN COMO CONFIDENCIAL?</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del actor</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del demandado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 testigos</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 cónyuge</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Abogado patrono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 autorizados en el expediente</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del vendedor</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patrimoniales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Nombre de colindantes</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patrimoniales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Domicilio del actor</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lastRenderedPageBreak/>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lastRenderedPageBreak/>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lastRenderedPageBreak/>
              <w:t>Domicilio del demandado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Ubicación del bien inmueble materia del juicio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sobre situación jurídica o legal</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patrimoniales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Número de cédulas profesionales</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académicos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Firmas de particulares</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Correos electrónicos</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electrónicos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Clave catastral</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patrimoniales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Número de folio real electrónico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patrimoniales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contenidos en la credencial para votar</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RFC</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CURP</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Número de acta de nacimiento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r w:rsidR="00762008">
        <w:trPr>
          <w:jc w:val="center"/>
        </w:trPr>
        <w:tc>
          <w:tcPr>
            <w:tcW w:w="307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Número de acta de matrimonio</w:t>
            </w:r>
          </w:p>
        </w:tc>
        <w:tc>
          <w:tcPr>
            <w:tcW w:w="3354"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Datos identificativos</w:t>
            </w:r>
          </w:p>
        </w:tc>
        <w:tc>
          <w:tcPr>
            <w:tcW w:w="3545" w:type="dxa"/>
            <w:vAlign w:val="center"/>
          </w:tcPr>
          <w:p w:rsidR="00762008" w:rsidRDefault="00093B98">
            <w:pPr>
              <w:pBdr>
                <w:top w:val="nil"/>
                <w:left w:val="nil"/>
                <w:bottom w:val="nil"/>
                <w:right w:val="nil"/>
                <w:between w:val="nil"/>
              </w:pBdr>
              <w:tabs>
                <w:tab w:val="left" w:pos="426"/>
              </w:tabs>
              <w:ind w:right="-111"/>
              <w:jc w:val="center"/>
              <w:rPr>
                <w:rFonts w:ascii="Palatino Linotype" w:eastAsia="Palatino Linotype" w:hAnsi="Palatino Linotype" w:cs="Palatino Linotype"/>
              </w:rPr>
            </w:pPr>
            <w:r>
              <w:rPr>
                <w:rFonts w:ascii="Palatino Linotype" w:eastAsia="Palatino Linotype" w:hAnsi="Palatino Linotype" w:cs="Palatino Linotype"/>
              </w:rPr>
              <w:t>SÍ</w:t>
            </w:r>
          </w:p>
        </w:tc>
      </w:tr>
    </w:tbl>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bajo un primer acercamiento, podría concluirse que la clasificación avalada por el Comité de Transparencia se encuentra fundada en derecho; sin embargo, al analizar el contenido de las versiones públicas,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clasificó información que no fue reportada dentro del Acta del Comité de Transparencia, como:</w:t>
      </w:r>
    </w:p>
    <w:p w:rsidR="00762008" w:rsidRDefault="00093B98">
      <w:pPr>
        <w:numPr>
          <w:ilvl w:val="1"/>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Residencia y domicilio del Juzgado;</w:t>
      </w:r>
    </w:p>
    <w:p w:rsidR="00762008" w:rsidRDefault="00093B98">
      <w:pPr>
        <w:numPr>
          <w:ilvl w:val="1"/>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Nombres y firmas de servidores públicos;</w:t>
      </w:r>
    </w:p>
    <w:p w:rsidR="00762008" w:rsidRDefault="00093B98">
      <w:pPr>
        <w:numPr>
          <w:ilvl w:val="1"/>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 jueces y secretarios;</w:t>
      </w:r>
    </w:p>
    <w:p w:rsidR="00762008" w:rsidRDefault="00093B98">
      <w:pPr>
        <w:numPr>
          <w:ilvl w:val="1"/>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Domicilio de la Dirección de Catastro de un ayuntamiento;</w:t>
      </w:r>
    </w:p>
    <w:p w:rsidR="00762008" w:rsidRDefault="00093B98">
      <w:pPr>
        <w:numPr>
          <w:ilvl w:val="1"/>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Logo y escudo de un ayuntamiento; y</w:t>
      </w:r>
    </w:p>
    <w:p w:rsidR="00762008" w:rsidRDefault="00093B98">
      <w:pPr>
        <w:numPr>
          <w:ilvl w:val="1"/>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Número de expediente.</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Cabe señalar que la información antes enlistada no violenta el derecho a la privacidad de la ciudadanía, ni mucho menos transgrede el alto deber de proteger los datos personales que obran en poder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pues se trata de información que individualiza a los Titulares de Juzgados, y sus respectivos Secretarios, quienes conocieron sobre un asunto determinado, el cual, ya fue previamente </w:t>
      </w:r>
      <w:proofErr w:type="spellStart"/>
      <w:r>
        <w:rPr>
          <w:rFonts w:ascii="Palatino Linotype" w:eastAsia="Palatino Linotype" w:hAnsi="Palatino Linotype" w:cs="Palatino Linotype"/>
          <w:color w:val="000000"/>
        </w:rPr>
        <w:t>anonimizado</w:t>
      </w:r>
      <w:proofErr w:type="spellEnd"/>
      <w:r>
        <w:rPr>
          <w:rFonts w:ascii="Palatino Linotype" w:eastAsia="Palatino Linotype" w:hAnsi="Palatino Linotype" w:cs="Palatino Linotype"/>
          <w:color w:val="000000"/>
        </w:rPr>
        <w:t xml:space="preserve"> a través de los planteamientos propuestos por el Comité de Transparencia.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el mismo sentido, por cuanto hace al nombre y cargo de servidores públicos de dependencias diversas como, por ejemplo, direcciones de Catastro Municipal, el Instituto Mexiquense de la Vivienda Social, Instituto de la Función Registral, y otros; resulta alejado de todo derecho el clasificar la identidad de los funcionarios, ya que los documentos consisten en constancias propias del ejercicio de su cargo, empleo o comisión.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Correlativo a lo anterior, la firma de los servidores públicos, asentada en actos de autoridad, se reconoce que reviste un alto interés público de que se difunda. Ello con base en lo establecido por el siguiente Criterio de Interpretación, publicado por el Instituto Nacional de Transparencia, Acceso a la Información y Protección de Datos Personales:</w:t>
      </w:r>
    </w:p>
    <w:p w:rsidR="00762008" w:rsidRDefault="00093B98">
      <w:pPr>
        <w:pBdr>
          <w:top w:val="nil"/>
          <w:left w:val="nil"/>
          <w:bottom w:val="nil"/>
          <w:right w:val="nil"/>
          <w:between w:val="nil"/>
        </w:pBdr>
        <w:tabs>
          <w:tab w:val="left" w:pos="426"/>
        </w:tabs>
        <w:spacing w:line="276" w:lineRule="auto"/>
        <w:ind w:left="567" w:right="13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FIRMA Y RÚBRICA DE SERVIDORES PÚBLICOS.</w:t>
      </w:r>
      <w:r>
        <w:rPr>
          <w:rFonts w:ascii="Palatino Linotype" w:eastAsia="Palatino Linotype" w:hAnsi="Palatino Linotype" w:cs="Palatino Linotype"/>
          <w:i/>
          <w:color w:val="000000"/>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762008" w:rsidRDefault="00762008">
      <w:pPr>
        <w:pBdr>
          <w:top w:val="nil"/>
          <w:left w:val="nil"/>
          <w:bottom w:val="nil"/>
          <w:right w:val="nil"/>
          <w:between w:val="nil"/>
        </w:pBdr>
        <w:tabs>
          <w:tab w:val="left" w:pos="426"/>
        </w:tabs>
        <w:spacing w:line="360" w:lineRule="auto"/>
        <w:ind w:right="137"/>
        <w:jc w:val="both"/>
        <w:rPr>
          <w:rFonts w:ascii="Palatino Linotype" w:eastAsia="Palatino Linotype" w:hAnsi="Palatino Linotype" w:cs="Palatino Linotype"/>
          <w:color w:val="000000"/>
          <w:sz w:val="22"/>
          <w:szCs w:val="22"/>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Finalmente, por cuanto hace a los logos de un ayuntamiento, asentados en oficios generados por la Dirección de Catastro Municipal, así como la dirección de la dependencia, </w:t>
      </w:r>
      <w:r>
        <w:rPr>
          <w:rFonts w:ascii="Palatino Linotype" w:eastAsia="Palatino Linotype" w:hAnsi="Palatino Linotype" w:cs="Palatino Linotype"/>
          <w:color w:val="000000"/>
        </w:rPr>
        <w:lastRenderedPageBreak/>
        <w:t xml:space="preserve">se advierte como una clasificación excesiva, pues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pretende restringir información que es del conocimiento público.</w:t>
      </w:r>
    </w:p>
    <w:p w:rsidR="00762008" w:rsidRDefault="00762008">
      <w:pPr>
        <w:ind w:right="-787"/>
        <w:rPr>
          <w:rFonts w:ascii="Palatino Linotype" w:eastAsia="Palatino Linotype" w:hAnsi="Palatino Linotype" w:cs="Palatino Linotype"/>
          <w:color w:val="000000"/>
        </w:rPr>
      </w:pPr>
    </w:p>
    <w:p w:rsidR="00762008" w:rsidRDefault="00093B98">
      <w:pPr>
        <w:pStyle w:val="Ttulo3"/>
        <w:spacing w:before="0" w:after="0" w:line="360" w:lineRule="auto"/>
        <w:ind w:right="-78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 Del cobro por la digitalización completa de la información solicitada.</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174 de la Ley de Transparencia y Acceso a la Información Pública del Estado de México y Municipios considera los escenarios en los que el ejercicio del derecho de acceso a la información pueda tener un costo, a saber:</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174.</w:t>
      </w:r>
      <w:r>
        <w:rPr>
          <w:rFonts w:ascii="Palatino Linotype" w:eastAsia="Palatino Linotype" w:hAnsi="Palatino Linotype" w:cs="Palatino Linotype"/>
          <w:i/>
          <w:color w:val="000000"/>
          <w:sz w:val="22"/>
          <w:szCs w:val="22"/>
        </w:rPr>
        <w:t xml:space="preserve"> En caso de existir costos para obtener la información deberán cubrirse de manera previa a la entrega y no podrán ser superiores a la suma de: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El costo de los materiales utilizados en la reproducción de la información;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El costo de envío, en su caso; y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El pago de la certificación de los documentos, cuando proceda.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sujetos obligados a los que no les sea aplicable el Código Financiero del Estado de México y Municipios deberán establecer cuotas que no sean mayores a las dispuestas en dicho ordenamiento.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líneas anteriores, se advierte que la ley de la materia reconoce que los particulares deberán pagar los derechos correspondientes cuando la modalidad de entrega suponga la utilización de materiales (como hojas, discos compactos, USB, </w:t>
      </w:r>
      <w:proofErr w:type="spellStart"/>
      <w:r>
        <w:rPr>
          <w:rFonts w:ascii="Palatino Linotype" w:eastAsia="Palatino Linotype" w:hAnsi="Palatino Linotype" w:cs="Palatino Linotype"/>
          <w:color w:val="000000"/>
        </w:rPr>
        <w:t>etc</w:t>
      </w:r>
      <w:proofErr w:type="spellEnd"/>
      <w:r>
        <w:rPr>
          <w:rFonts w:ascii="Palatino Linotype" w:eastAsia="Palatino Linotype" w:hAnsi="Palatino Linotype" w:cs="Palatino Linotype"/>
          <w:color w:val="000000"/>
        </w:rPr>
        <w:t>); implique un costo para su envío; o, que requiera certificarse.</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su parte, el último párrafo del artículo en estudio establece que la información no supondrá ningún costo cuando lo solicitado no supere la </w:t>
      </w:r>
      <w:r>
        <w:rPr>
          <w:rFonts w:ascii="Palatino Linotype" w:eastAsia="Palatino Linotype" w:hAnsi="Palatino Linotype" w:cs="Palatino Linotype"/>
          <w:b/>
          <w:color w:val="000000"/>
        </w:rPr>
        <w:t>entrega de no más de 20 hojas simples</w:t>
      </w:r>
      <w:r>
        <w:rPr>
          <w:rFonts w:ascii="Palatino Linotype" w:eastAsia="Palatino Linotype" w:hAnsi="Palatino Linotype" w:cs="Palatino Linotype"/>
          <w:color w:val="000000"/>
        </w:rPr>
        <w:t>.</w:t>
      </w:r>
    </w:p>
    <w:p w:rsidR="00E17A52" w:rsidRDefault="00E17A52" w:rsidP="00E17A52">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toca recordar que, en respuesta a la solicitud de información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 a través del oficio de diez (10) de febrero de dos mil veintitrés, el Titular de la Unidad de Transparencia refirió lo siguiente:</w:t>
      </w:r>
      <w:r>
        <w:rPr>
          <w:rFonts w:ascii="Palatino Linotype" w:eastAsia="Palatino Linotype" w:hAnsi="Palatino Linotype" w:cs="Palatino Linotype"/>
          <w:b/>
          <w:color w:val="000000"/>
        </w:rPr>
        <w:t xml:space="preserve">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con fundamento en el artículo 17 de la Ley de Transparencia y Acceso a la Información Pública del Estado de México y Municipios, la búsqueda y acceso a la información es gratuita y solo se cubrirán los gastos de reproducción, por la modalidad de entrega solicitada, de conformidad con los derechos, productos y aprovechamientos establecidos en la legislación aplicable; en este sentido, se hace de su conocimiento que los expedientes físicos a los cuales desea acceder solo se encuentra de forma impresa por lo que para poder entregarlo, es necesario fotocopiar el documento para testar en la copia y posteriormente digitalizarlo. Aunado a ello, los artículos 174 y 175 de la Ley en comento, establecen que la información deberá ser entregada sin costo, cuando implique la entrega de no más de veinte hojas simples; en los casos de existir costo para obtener la información, este deberá cubrirse de manera previa a la entrega y no podrá ser superior a los costos de los materiales utilizados en la reproducción de la información. </w:t>
      </w:r>
    </w:p>
    <w:p w:rsidR="00762008" w:rsidRDefault="0076200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Bajo este contexto, se advierte que los expedientes 1410/2022, 1455/2022, 1513/2022, 1520/2022, 1530/2022, 1553/2022, 1555/2022, 1615/2022, 1656/2022, 1740/2022, 1949/2022, 1961/2022,1965/2022, 1981/2022 y 1991/2022 del órgano jurisdiccional antes mencionado, sobrepasa las veinte hojas simples que se entregan de manera gratuita, por lo cual es necesario cubrir de previamente el pago por la reproducción del expediente solicitado, de conformidad a lo establecido por el Acuerdo del Pleno del Consejo de la Judicatura del Estado de México, de nueve de mayo de dos mil veintidós, por el que se autoriza el establecimiento de las cuotas de recuperación para el Ejercicio Fiscal 2022, de los Servicios Proporcionados por el Poder Judicial del Estado de México, para áreas internas y externas, el costo que queda desglosado de la manera siguiente:</w:t>
      </w:r>
    </w:p>
    <w:p w:rsidR="00762008" w:rsidRDefault="00762008">
      <w:pPr>
        <w:pBdr>
          <w:top w:val="nil"/>
          <w:left w:val="nil"/>
          <w:bottom w:val="nil"/>
          <w:right w:val="nil"/>
          <w:between w:val="nil"/>
        </w:pBdr>
        <w:tabs>
          <w:tab w:val="left" w:pos="426"/>
        </w:tabs>
        <w:spacing w:line="276" w:lineRule="auto"/>
        <w:ind w:left="567" w:right="-787"/>
        <w:jc w:val="both"/>
        <w:rPr>
          <w:rFonts w:ascii="Palatino Linotype" w:eastAsia="Palatino Linotype" w:hAnsi="Palatino Linotype" w:cs="Palatino Linotype"/>
          <w:i/>
          <w:color w:val="000000"/>
        </w:rPr>
      </w:pPr>
    </w:p>
    <w:p w:rsidR="00762008" w:rsidRDefault="00093B98">
      <w:pPr>
        <w:pBdr>
          <w:top w:val="nil"/>
          <w:left w:val="nil"/>
          <w:bottom w:val="nil"/>
          <w:right w:val="nil"/>
          <w:between w:val="nil"/>
        </w:pBdr>
        <w:tabs>
          <w:tab w:val="left" w:pos="426"/>
        </w:tabs>
        <w:spacing w:line="276" w:lineRule="auto"/>
        <w:ind w:left="567" w:right="-787"/>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rPr>
        <w:lastRenderedPageBreak/>
        <w:drawing>
          <wp:inline distT="0" distB="0" distL="0" distR="0">
            <wp:extent cx="4185507" cy="2051551"/>
            <wp:effectExtent l="12700" t="12700" r="12700" b="1270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185507" cy="2051551"/>
                    </a:xfrm>
                    <a:prstGeom prst="rect">
                      <a:avLst/>
                    </a:prstGeom>
                    <a:ln w="12700">
                      <a:solidFill>
                        <a:srgbClr val="000000"/>
                      </a:solidFill>
                      <a:prstDash val="solid"/>
                    </a:ln>
                  </pic:spPr>
                </pic:pic>
              </a:graphicData>
            </a:graphic>
          </wp:inline>
        </w:drawing>
      </w:r>
    </w:p>
    <w:p w:rsidR="00762008" w:rsidRDefault="00093B98">
      <w:pPr>
        <w:pBdr>
          <w:top w:val="nil"/>
          <w:left w:val="nil"/>
          <w:bottom w:val="nil"/>
          <w:right w:val="nil"/>
          <w:between w:val="nil"/>
        </w:pBdr>
        <w:tabs>
          <w:tab w:val="left" w:pos="426"/>
        </w:tabs>
        <w:spacing w:line="276" w:lineRule="auto"/>
        <w:ind w:left="567" w:right="-787"/>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rPr>
        <w:drawing>
          <wp:inline distT="0" distB="0" distL="0" distR="0">
            <wp:extent cx="4133962" cy="5130267"/>
            <wp:effectExtent l="12700" t="12700" r="12700" b="127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33962" cy="5130267"/>
                    </a:xfrm>
                    <a:prstGeom prst="rect">
                      <a:avLst/>
                    </a:prstGeom>
                    <a:ln w="12700">
                      <a:solidFill>
                        <a:srgbClr val="000000"/>
                      </a:solidFill>
                      <a:prstDash val="solid"/>
                    </a:ln>
                  </pic:spPr>
                </pic:pic>
              </a:graphicData>
            </a:graphic>
          </wp:inline>
        </w:drawing>
      </w:r>
    </w:p>
    <w:p w:rsidR="00762008" w:rsidRDefault="00093B98">
      <w:pPr>
        <w:pBdr>
          <w:top w:val="nil"/>
          <w:left w:val="nil"/>
          <w:bottom w:val="nil"/>
          <w:right w:val="nil"/>
          <w:between w:val="nil"/>
        </w:pBdr>
        <w:tabs>
          <w:tab w:val="left" w:pos="426"/>
        </w:tabs>
        <w:spacing w:line="276" w:lineRule="auto"/>
        <w:ind w:left="567" w:right="-787"/>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rPr>
        <w:lastRenderedPageBreak/>
        <w:drawing>
          <wp:inline distT="0" distB="0" distL="0" distR="0">
            <wp:extent cx="3595897" cy="4465375"/>
            <wp:effectExtent l="12700" t="12700" r="12700" b="127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95897" cy="4465375"/>
                    </a:xfrm>
                    <a:prstGeom prst="rect">
                      <a:avLst/>
                    </a:prstGeom>
                    <a:ln w="12700">
                      <a:solidFill>
                        <a:srgbClr val="000000"/>
                      </a:solidFill>
                      <a:prstDash val="solid"/>
                    </a:ln>
                  </pic:spPr>
                </pic:pic>
              </a:graphicData>
            </a:graphic>
          </wp:inline>
        </w:drawing>
      </w:r>
    </w:p>
    <w:p w:rsidR="00762008" w:rsidRDefault="00093B98">
      <w:pPr>
        <w:pBdr>
          <w:top w:val="nil"/>
          <w:left w:val="nil"/>
          <w:bottom w:val="nil"/>
          <w:right w:val="nil"/>
          <w:between w:val="nil"/>
        </w:pBdr>
        <w:tabs>
          <w:tab w:val="left" w:pos="426"/>
        </w:tabs>
        <w:spacing w:line="276" w:lineRule="auto"/>
        <w:ind w:left="567" w:right="-787"/>
        <w:jc w:val="center"/>
        <w:rPr>
          <w:rFonts w:ascii="Palatino Linotype" w:eastAsia="Palatino Linotype" w:hAnsi="Palatino Linotype" w:cs="Palatino Linotype"/>
          <w:i/>
          <w:color w:val="000000"/>
        </w:rPr>
      </w:pPr>
      <w:r>
        <w:rPr>
          <w:rFonts w:ascii="Palatino Linotype" w:eastAsia="Palatino Linotype" w:hAnsi="Palatino Linotype" w:cs="Palatino Linotype"/>
          <w:i/>
          <w:noProof/>
          <w:color w:val="000000"/>
        </w:rPr>
        <w:drawing>
          <wp:inline distT="0" distB="0" distL="0" distR="0">
            <wp:extent cx="3601042" cy="2698947"/>
            <wp:effectExtent l="12700" t="12700" r="12700" b="1270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601042" cy="2698947"/>
                    </a:xfrm>
                    <a:prstGeom prst="rect">
                      <a:avLst/>
                    </a:prstGeom>
                    <a:ln w="12700">
                      <a:solidFill>
                        <a:srgbClr val="000000"/>
                      </a:solidFill>
                      <a:prstDash val="solid"/>
                    </a:ln>
                  </pic:spPr>
                </pic:pic>
              </a:graphicData>
            </a:graphic>
          </wp:inline>
        </w:drawing>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Con base en lo anterior,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pretendió justificar el cobro por la digitalización de los expedientes completos con base en lo establecido por el último párrafo del numeral 174 de la Ley de la materia; lo cual resulta </w:t>
      </w:r>
      <w:r>
        <w:rPr>
          <w:rFonts w:ascii="Palatino Linotype" w:eastAsia="Palatino Linotype" w:hAnsi="Palatino Linotype" w:cs="Palatino Linotype"/>
          <w:b/>
          <w:color w:val="000000"/>
        </w:rPr>
        <w:t>infundado</w:t>
      </w:r>
      <w:r>
        <w:rPr>
          <w:rFonts w:ascii="Palatino Linotype" w:eastAsia="Palatino Linotype" w:hAnsi="Palatino Linotype" w:cs="Palatino Linotype"/>
          <w:color w:val="000000"/>
        </w:rPr>
        <w:t xml:space="preserve">, pues el párrafo en mención se refiere a la modalidad de entrega de copias simples, pues ello supone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utilice materiales (hojas impresas) para entregar la información.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para la digitalización de la información, </w:t>
      </w:r>
      <w:r>
        <w:rPr>
          <w:rFonts w:ascii="Palatino Linotype" w:eastAsia="Palatino Linotype" w:hAnsi="Palatino Linotype" w:cs="Palatino Linotype"/>
          <w:b/>
          <w:color w:val="000000"/>
        </w:rPr>
        <w:t>su reproducción no supone la entrega de ningún material físico al particular</w:t>
      </w:r>
      <w:r>
        <w:rPr>
          <w:rFonts w:ascii="Palatino Linotype" w:eastAsia="Palatino Linotype" w:hAnsi="Palatino Linotype" w:cs="Palatino Linotype"/>
          <w:color w:val="000000"/>
        </w:rPr>
        <w:t xml:space="preserve">, pues se pretende entregar un archivo digital, que pueda ser consultado en cualquier computadora o teléfono del particular que cuente con el programa o </w:t>
      </w:r>
      <w:r>
        <w:rPr>
          <w:rFonts w:ascii="Palatino Linotype" w:eastAsia="Palatino Linotype" w:hAnsi="Palatino Linotype" w:cs="Palatino Linotype"/>
          <w:i/>
          <w:color w:val="000000"/>
        </w:rPr>
        <w:t>software</w:t>
      </w:r>
      <w:r>
        <w:rPr>
          <w:rFonts w:ascii="Palatino Linotype" w:eastAsia="Palatino Linotype" w:hAnsi="Palatino Linotype" w:cs="Palatino Linotype"/>
          <w:color w:val="000000"/>
        </w:rPr>
        <w:t xml:space="preserve"> determinado para su reproducción, por ello, en este caso, los materiales utilizados para reproducir la información digital, de origen, ya corren a cuenta del particular.</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pStyle w:val="Ttulo3"/>
        <w:spacing w:before="0" w:after="0" w:line="360" w:lineRule="auto"/>
        <w:ind w:right="-787"/>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IV.I. Del principio de gratuidad, imperante en el derecho de acceso a la información.</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parte del Derecho de Acceso a la Información Pública, se contempla la observancia de principios en su carácter de </w:t>
      </w:r>
      <w:r>
        <w:rPr>
          <w:rFonts w:ascii="Palatino Linotype" w:eastAsia="Palatino Linotype" w:hAnsi="Palatino Linotype" w:cs="Palatino Linotype"/>
          <w:b/>
          <w:color w:val="000000"/>
          <w:u w:val="single"/>
        </w:rPr>
        <w:t>gratuita</w:t>
      </w:r>
      <w:r>
        <w:rPr>
          <w:rFonts w:ascii="Palatino Linotype" w:eastAsia="Palatino Linotype" w:hAnsi="Palatino Linotype" w:cs="Palatino Linotype"/>
          <w:color w:val="000000"/>
        </w:rPr>
        <w:t>, veraz, confiable, oportuna, congruente, integral, actualizada, accesible, comprensible, verificable y de fácil acceso.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General de Transparencia y Acceso a la Información Pública señala explícitamente en su artículo 17 que, el ejercicio del derecho de acceso a la información será </w:t>
      </w:r>
      <w:r>
        <w:rPr>
          <w:rFonts w:ascii="Palatino Linotype" w:eastAsia="Palatino Linotype" w:hAnsi="Palatino Linotype" w:cs="Palatino Linotype"/>
          <w:b/>
          <w:color w:val="000000"/>
        </w:rPr>
        <w:t>gratuito</w:t>
      </w:r>
      <w:r>
        <w:rPr>
          <w:rFonts w:ascii="Palatino Linotype" w:eastAsia="Palatino Linotype" w:hAnsi="Palatino Linotype" w:cs="Palatino Linotype"/>
          <w:color w:val="000000"/>
        </w:rPr>
        <w:t xml:space="preserve"> y sólo podrá requerirse el cobro correspondiente a la modalidad de reproducción y entrega solicitada.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su parte, dentro </w:t>
      </w:r>
      <w:r>
        <w:rPr>
          <w:rFonts w:ascii="Palatino Linotype" w:eastAsia="Palatino Linotype" w:hAnsi="Palatino Linotype" w:cs="Palatino Linotype"/>
        </w:rPr>
        <w:t xml:space="preserve">de los principios que la Constitución Política del Estado Libre y Soberano de México señala para hacer efectivo el derecho de acceso a la información pública, se encuentra el de la </w:t>
      </w:r>
      <w:r>
        <w:rPr>
          <w:rFonts w:ascii="Palatino Linotype" w:eastAsia="Palatino Linotype" w:hAnsi="Palatino Linotype" w:cs="Palatino Linotype"/>
          <w:b/>
        </w:rPr>
        <w:t>gratuidad</w:t>
      </w:r>
      <w:r>
        <w:rPr>
          <w:rFonts w:ascii="Palatino Linotype" w:eastAsia="Palatino Linotype" w:hAnsi="Palatino Linotype" w:cs="Palatino Linotype"/>
        </w:rPr>
        <w:t xml:space="preserve"> y el </w:t>
      </w:r>
      <w:r>
        <w:rPr>
          <w:rFonts w:ascii="Palatino Linotype" w:eastAsia="Palatino Linotype" w:hAnsi="Palatino Linotype" w:cs="Palatino Linotype"/>
          <w:b/>
        </w:rPr>
        <w:t>uso de las herramientas tecnológicas de la información</w:t>
      </w:r>
      <w:r>
        <w:rPr>
          <w:rFonts w:ascii="Palatino Linotype" w:eastAsia="Palatino Linotype" w:hAnsi="Palatino Linotype" w:cs="Palatino Linotype"/>
        </w:rPr>
        <w:t xml:space="preserve"> puesta a disposición, tanto de los particulares como de los </w:t>
      </w:r>
      <w:r>
        <w:rPr>
          <w:rFonts w:ascii="Palatino Linotype" w:eastAsia="Palatino Linotype" w:hAnsi="Palatino Linotype" w:cs="Palatino Linotype"/>
          <w:b/>
        </w:rPr>
        <w:t>SUJETOS OBLIGADOS</w:t>
      </w:r>
      <w:r>
        <w:rPr>
          <w:rFonts w:ascii="Palatino Linotype" w:eastAsia="Palatino Linotype" w:hAnsi="Palatino Linotype" w:cs="Palatino Linotype"/>
        </w:rPr>
        <w:t>. Es por esta razón que la Ley de Transparencia y Acceso a la Información Pública del Estado de México y Municipios, en concordancia con la Ley General de Transparencia y la Constitución local señala las directrices y procedimientos que deben seguirse para poner a disposición de las personas la información.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manera específica el artículo 9, fracción III, de la Ley de Transparencia y Acceso a la Información Pública del Estado de México y Municipios establece que el principio de </w:t>
      </w:r>
      <w:r>
        <w:rPr>
          <w:rFonts w:ascii="Palatino Linotype" w:eastAsia="Palatino Linotype" w:hAnsi="Palatino Linotype" w:cs="Palatino Linotype"/>
          <w:b/>
        </w:rPr>
        <w:t>gratuidad</w:t>
      </w:r>
      <w:r>
        <w:rPr>
          <w:rFonts w:ascii="Palatino Linotype" w:eastAsia="Palatino Linotype" w:hAnsi="Palatino Linotype" w:cs="Palatino Linotype"/>
        </w:rPr>
        <w:t xml:space="preserve"> consiste en que el acceso a la información pública no genera costo alguno para los solicitantes y, que sólo podrá requerirse el cobro correspondiente a la modalidad de reproducción y entrega solicitada conforme a lo establecido en la Ley y demás disposiciones jurídicas aplicables.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ese orden de ideas el artículo 150 de la Ley de Transparencia y Acceso a la Información Pública del estado de México y Municipios en su texto literal refiere:</w:t>
      </w:r>
    </w:p>
    <w:p w:rsidR="00762008" w:rsidRDefault="00093B98">
      <w:pPr>
        <w:pBdr>
          <w:top w:val="nil"/>
          <w:left w:val="nil"/>
          <w:bottom w:val="nil"/>
          <w:right w:val="nil"/>
          <w:between w:val="nil"/>
        </w:pBdr>
        <w:spacing w:line="276" w:lineRule="auto"/>
        <w:ind w:left="567" w:right="13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150.</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procedimiento de acceso a la información es la garantía primaria del derecho en cuestión y se rige por los principios de</w:t>
      </w:r>
      <w:r>
        <w:rPr>
          <w:rFonts w:ascii="Palatino Linotype" w:eastAsia="Palatino Linotype" w:hAnsi="Palatino Linotype" w:cs="Palatino Linotype"/>
          <w:i/>
          <w:color w:val="000000"/>
          <w:sz w:val="22"/>
          <w:szCs w:val="22"/>
        </w:rPr>
        <w:t xml:space="preserve"> simplicidad, rapidez </w:t>
      </w:r>
      <w:r>
        <w:rPr>
          <w:rFonts w:ascii="Palatino Linotype" w:eastAsia="Palatino Linotype" w:hAnsi="Palatino Linotype" w:cs="Palatino Linotype"/>
          <w:b/>
          <w:i/>
          <w:color w:val="000000"/>
          <w:sz w:val="22"/>
          <w:szCs w:val="22"/>
        </w:rPr>
        <w:t>gratuidad del procedimiento</w:t>
      </w:r>
      <w:r>
        <w:rPr>
          <w:rFonts w:ascii="Palatino Linotype" w:eastAsia="Palatino Linotype" w:hAnsi="Palatino Linotype" w:cs="Palatino Linotype"/>
          <w:i/>
          <w:color w:val="000000"/>
          <w:sz w:val="22"/>
          <w:szCs w:val="22"/>
        </w:rPr>
        <w:t>, auxilio y orientación a los particulares, así como atención adecuada a las personas con discapacidad y a los hablantes de lengua indígena con el objeto de otorgar la protección más amplia del derecho de las personas.”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los preceptos jurídicos citados se advierte que para garantizar plenamente el derecho de acceso a la información pública, se deben observar cada uno de los principios que la propia Ley señala, y así como es importante el principio de máxima publicidad, también lo </w:t>
      </w:r>
      <w:r>
        <w:rPr>
          <w:rFonts w:ascii="Palatino Linotype" w:eastAsia="Palatino Linotype" w:hAnsi="Palatino Linotype" w:cs="Palatino Linotype"/>
        </w:rPr>
        <w:lastRenderedPageBreak/>
        <w:t>es el principio de gratuidad del procedimiento, y la Ley es muy clara al especificar que “</w:t>
      </w:r>
      <w:r>
        <w:rPr>
          <w:rFonts w:ascii="Palatino Linotype" w:eastAsia="Palatino Linotype" w:hAnsi="Palatino Linotype" w:cs="Palatino Linotype"/>
          <w:b/>
          <w:i/>
        </w:rPr>
        <w:t xml:space="preserve">sólo podrá requerirse el cobro correspondiente a la modalidad de reproducción y entrega solicitada” </w:t>
      </w:r>
      <w:r>
        <w:rPr>
          <w:rFonts w:ascii="Palatino Linotype" w:eastAsia="Palatino Linotype" w:hAnsi="Palatino Linotype" w:cs="Palatino Linotype"/>
        </w:rPr>
        <w:t xml:space="preserve">y, en el caso concreto,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al formular la solicitud de información, </w:t>
      </w:r>
      <w:r>
        <w:rPr>
          <w:rFonts w:ascii="Palatino Linotype" w:eastAsia="Palatino Linotype" w:hAnsi="Palatino Linotype" w:cs="Palatino Linotype"/>
          <w:b/>
        </w:rPr>
        <w:t>requirió que la misma se le entregará vía SAIMEX (sin costo).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es ocioso mencionar que el </w:t>
      </w:r>
      <w:r>
        <w:rPr>
          <w:rFonts w:ascii="Palatino Linotype" w:eastAsia="Palatino Linotype" w:hAnsi="Palatino Linotype" w:cs="Palatino Linotype"/>
        </w:rPr>
        <w:t xml:space="preserve">Archivo General de la Nación, dentro de sus </w:t>
      </w:r>
      <w:r>
        <w:rPr>
          <w:rFonts w:ascii="Palatino Linotype" w:eastAsia="Palatino Linotype" w:hAnsi="Palatino Linotype" w:cs="Palatino Linotype"/>
          <w:i/>
        </w:rPr>
        <w:t>Recomendaciones para proyectos de digitalización de documentos</w:t>
      </w:r>
      <w:r>
        <w:rPr>
          <w:rFonts w:ascii="Palatino Linotype" w:eastAsia="Palatino Linotype" w:hAnsi="Palatino Linotype" w:cs="Palatino Linotype"/>
        </w:rPr>
        <w:t>, concibe al objeto de digitalización de la siguiente manera:</w:t>
      </w:r>
    </w:p>
    <w:p w:rsidR="00762008" w:rsidRDefault="00093B98">
      <w:pPr>
        <w:pBdr>
          <w:top w:val="nil"/>
          <w:left w:val="nil"/>
          <w:bottom w:val="nil"/>
          <w:right w:val="nil"/>
          <w:between w:val="nil"/>
        </w:pBdr>
        <w:spacing w:line="360" w:lineRule="auto"/>
        <w:ind w:left="567" w:right="13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El fin de un</w:t>
      </w:r>
      <w:r>
        <w:rPr>
          <w:rFonts w:ascii="Palatino Linotype" w:eastAsia="Palatino Linotype" w:hAnsi="Palatino Linotype" w:cs="Palatino Linotype"/>
          <w:i/>
          <w:color w:val="000000"/>
          <w:sz w:val="22"/>
          <w:szCs w:val="22"/>
        </w:rPr>
        <w:t xml:space="preserve"> proyecto como éste (</w:t>
      </w:r>
      <w:r>
        <w:rPr>
          <w:rFonts w:ascii="Palatino Linotype" w:eastAsia="Palatino Linotype" w:hAnsi="Palatino Linotype" w:cs="Palatino Linotype"/>
          <w:b/>
          <w:i/>
          <w:color w:val="000000"/>
          <w:sz w:val="22"/>
          <w:szCs w:val="22"/>
        </w:rPr>
        <w:t>proyecto de digitalización</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es digitalizar una sola vez los documentos y utilizar el archivo obtenido para diversos propósitos</w:t>
      </w:r>
      <w:r>
        <w:rPr>
          <w:rFonts w:ascii="Palatino Linotype" w:eastAsia="Palatino Linotype" w:hAnsi="Palatino Linotype" w:cs="Palatino Linotype"/>
          <w:i/>
          <w:color w:val="000000"/>
          <w:sz w:val="22"/>
          <w:szCs w:val="22"/>
        </w:rPr>
        <w:t xml:space="preserve">; por ello se debe definir desde la planeación una digitalización estandarizada, clasificada y con óptima calidad, </w:t>
      </w:r>
      <w:r>
        <w:rPr>
          <w:rFonts w:ascii="Palatino Linotype" w:eastAsia="Palatino Linotype" w:hAnsi="Palatino Linotype" w:cs="Palatino Linotype"/>
          <w:b/>
          <w:i/>
          <w:color w:val="000000"/>
          <w:sz w:val="22"/>
          <w:szCs w:val="22"/>
        </w:rPr>
        <w:t>para garantizar que cada archivo se pueda utilizar para nuevos requerimientos, sin necesidad de volver a digitalizarlo</w:t>
      </w:r>
      <w:r>
        <w:rPr>
          <w:rFonts w:ascii="Palatino Linotype" w:eastAsia="Palatino Linotype" w:hAnsi="Palatino Linotype" w:cs="Palatino Linotype"/>
          <w:i/>
          <w:color w:val="000000"/>
          <w:sz w:val="22"/>
          <w:szCs w:val="22"/>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lo anterior se entiende que el digitalizar documentos no se debe entender como una actividad concebida únicamente para dar atención a una solicitud de información, sino como una </w:t>
      </w:r>
      <w:r>
        <w:rPr>
          <w:rFonts w:ascii="Palatino Linotype" w:eastAsia="Palatino Linotype" w:hAnsi="Palatino Linotype" w:cs="Palatino Linotype"/>
          <w:b/>
        </w:rPr>
        <w:t>oportunidad que tienen los Sujetos Obligados para asegurar en un medio digital su información física y poder hacer uso de la misma en oportunidades futuras</w:t>
      </w:r>
      <w:r>
        <w:rPr>
          <w:rFonts w:ascii="Palatino Linotype" w:eastAsia="Palatino Linotype" w:hAnsi="Palatino Linotype" w:cs="Palatino Linotype"/>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este Organismo Garante concluye </w:t>
      </w:r>
      <w:r>
        <w:rPr>
          <w:rFonts w:ascii="Palatino Linotype" w:eastAsia="Palatino Linotype" w:hAnsi="Palatino Linotype" w:cs="Palatino Linotype"/>
          <w:b/>
          <w:color w:val="000000"/>
        </w:rPr>
        <w:t>infundada</w:t>
      </w:r>
      <w:r>
        <w:rPr>
          <w:rFonts w:ascii="Palatino Linotype" w:eastAsia="Palatino Linotype" w:hAnsi="Palatino Linotype" w:cs="Palatino Linotype"/>
          <w:color w:val="000000"/>
        </w:rPr>
        <w:t xml:space="preserve"> la pretensión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cobrar por los derechos de digitalización de los expedientes solicitados; por ende, se reconocen </w:t>
      </w:r>
      <w:r>
        <w:rPr>
          <w:rFonts w:ascii="Palatino Linotype" w:eastAsia="Palatino Linotype" w:hAnsi="Palatino Linotype" w:cs="Palatino Linotype"/>
          <w:b/>
          <w:color w:val="000000"/>
        </w:rPr>
        <w:t>fundadas</w:t>
      </w:r>
      <w:r>
        <w:rPr>
          <w:rFonts w:ascii="Palatino Linotype" w:eastAsia="Palatino Linotype" w:hAnsi="Palatino Linotype" w:cs="Palatino Linotype"/>
          <w:color w:val="000000"/>
        </w:rPr>
        <w:t xml:space="preserve"> las razones y motivos de inconformidad expuestos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en su recurso de revisión </w:t>
      </w:r>
      <w:r>
        <w:rPr>
          <w:rFonts w:ascii="Palatino Linotype" w:eastAsia="Palatino Linotype" w:hAnsi="Palatino Linotype" w:cs="Palatino Linotype"/>
          <w:b/>
          <w:color w:val="000000"/>
        </w:rPr>
        <w:t>01058/INFOEM/IP/RR/2023</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tanto,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entregar </w:t>
      </w:r>
      <w:r>
        <w:rPr>
          <w:rFonts w:ascii="Palatino Linotype" w:eastAsia="Palatino Linotype" w:hAnsi="Palatino Linotype" w:cs="Palatino Linotype"/>
          <w:b/>
          <w:color w:val="000000"/>
        </w:rPr>
        <w:t>completos</w:t>
      </w:r>
      <w:r>
        <w:rPr>
          <w:rFonts w:ascii="Palatino Linotype" w:eastAsia="Palatino Linotype" w:hAnsi="Palatino Linotype" w:cs="Palatino Linotype"/>
          <w:color w:val="000000"/>
        </w:rPr>
        <w:t xml:space="preserve"> los 15 expedientes concluidos, resueltos por el Juzgado Especializado en Juicio Sumario de Usucapión con Residencia en Lerma, en una correcta versión pública.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pStyle w:val="Ttulo2"/>
        <w:ind w:right="-7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QUINTO. De la versión pública.</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Pr>
          <w:rFonts w:ascii="Palatino Linotype" w:eastAsia="Palatino Linotype" w:hAnsi="Palatino Linotype" w:cs="Palatino Linotype"/>
          <w:color w:val="000000"/>
        </w:rPr>
        <w:t>Actualmente, el grave problema que enfrentamos son los Acuerdos de Clasificación de la Información que emiten los Sujetos Obligados,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a4"/>
        <w:tblW w:w="943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20"/>
        <w:gridCol w:w="7215"/>
      </w:tblGrid>
      <w:tr w:rsidR="00762008" w:rsidTr="00762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rsidR="00762008" w:rsidRDefault="00093B98">
            <w:pPr>
              <w:spacing w:line="276" w:lineRule="auto"/>
              <w:ind w:right="-11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7215" w:type="dxa"/>
          </w:tcPr>
          <w:p w:rsidR="00762008" w:rsidRDefault="00093B98">
            <w:pPr>
              <w:spacing w:line="276" w:lineRule="auto"/>
              <w:ind w:right="-8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100 y 122 de la Ley Estatal y de la Ley General, respectivamente, señalan que si los </w:t>
            </w:r>
            <w:r>
              <w:rPr>
                <w:rFonts w:ascii="Palatino Linotype" w:eastAsia="Palatino Linotype" w:hAnsi="Palatino Linotype" w:cs="Palatino Linotype"/>
                <w:b w:val="0"/>
                <w:sz w:val="20"/>
                <w:szCs w:val="20"/>
              </w:rPr>
              <w:t>Sujetos Obligados</w:t>
            </w:r>
            <w:r>
              <w:rPr>
                <w:rFonts w:ascii="Palatino Linotype" w:eastAsia="Palatino Linotype" w:hAnsi="Palatino Linotype" w:cs="Palatino Linotype"/>
                <w:sz w:val="20"/>
                <w:szCs w:val="20"/>
              </w:rPr>
              <w:t xml:space="preserve"> determinan que la información actualiza alguno de los supuestos de clasificación, es deber de los titulares de las áreas proponer su clasificación y no del Comité de Transparencia. </w:t>
            </w:r>
          </w:p>
          <w:p w:rsidR="00762008" w:rsidRDefault="00762008">
            <w:pPr>
              <w:spacing w:line="276" w:lineRule="auto"/>
              <w:ind w:right="-8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rsidR="00762008" w:rsidRDefault="00093B98">
            <w:pPr>
              <w:spacing w:line="276" w:lineRule="auto"/>
              <w:ind w:right="-8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762008" w:rsidRDefault="00762008">
            <w:pPr>
              <w:spacing w:line="276" w:lineRule="auto"/>
              <w:ind w:right="-8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área,  </w:t>
            </w:r>
            <w:r>
              <w:rPr>
                <w:rFonts w:ascii="Palatino Linotype" w:eastAsia="Palatino Linotype" w:hAnsi="Palatino Linotype" w:cs="Palatino Linotype"/>
                <w:sz w:val="20"/>
                <w:szCs w:val="20"/>
              </w:rPr>
              <w:t>sin individualizar su análisis y tampoco se puede hacer un acuerdo por cada dato que se vaya a clasificar dentro de un documento con diez datos, por ejemplo, susceptibles de ser clasificados.</w:t>
            </w:r>
          </w:p>
        </w:tc>
      </w:tr>
      <w:tr w:rsidR="00762008" w:rsidTr="00762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rsidR="00762008" w:rsidRDefault="00093B98">
            <w:pPr>
              <w:spacing w:line="276" w:lineRule="auto"/>
              <w:ind w:right="-11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b) Supuestos de clasificación.</w:t>
            </w:r>
          </w:p>
        </w:tc>
        <w:tc>
          <w:tcPr>
            <w:tcW w:w="7215" w:type="dxa"/>
          </w:tcPr>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762008" w:rsidRDefault="0076200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62008" w:rsidRDefault="0076200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w:t>
            </w:r>
            <w:r>
              <w:rPr>
                <w:rFonts w:ascii="Palatino Linotype" w:eastAsia="Palatino Linotype" w:hAnsi="Palatino Linotype" w:cs="Palatino Linotype"/>
                <w:b/>
                <w:sz w:val="20"/>
                <w:szCs w:val="20"/>
              </w:rPr>
              <w:t>SUJETO OBLIGADO</w:t>
            </w:r>
            <w:r>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62008" w:rsidTr="00762008">
        <w:tc>
          <w:tcPr>
            <w:cnfStyle w:val="001000000000" w:firstRow="0" w:lastRow="0" w:firstColumn="1" w:lastColumn="0" w:oddVBand="0" w:evenVBand="0" w:oddHBand="0" w:evenHBand="0" w:firstRowFirstColumn="0" w:firstRowLastColumn="0" w:lastRowFirstColumn="0" w:lastRowLastColumn="0"/>
            <w:tcW w:w="2220" w:type="dxa"/>
          </w:tcPr>
          <w:p w:rsidR="00762008" w:rsidRDefault="00093B98">
            <w:pPr>
              <w:spacing w:line="276" w:lineRule="auto"/>
              <w:ind w:right="-11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c) Formalidades para emitir el acuerdo de clasificación.</w:t>
            </w:r>
          </w:p>
        </w:tc>
        <w:tc>
          <w:tcPr>
            <w:tcW w:w="7215" w:type="dxa"/>
          </w:tcPr>
          <w:p w:rsidR="00762008" w:rsidRDefault="00093B9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762008" w:rsidRDefault="0076200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b/>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rsidR="00762008" w:rsidRDefault="0076200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62008" w:rsidTr="00762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rsidR="00762008" w:rsidRDefault="00762008">
            <w:pPr>
              <w:spacing w:line="276" w:lineRule="auto"/>
              <w:ind w:right="-115"/>
              <w:rPr>
                <w:rFonts w:ascii="Palatino Linotype" w:eastAsia="Palatino Linotype" w:hAnsi="Palatino Linotype" w:cs="Palatino Linotype"/>
                <w:sz w:val="20"/>
                <w:szCs w:val="20"/>
              </w:rPr>
            </w:pPr>
          </w:p>
          <w:p w:rsidR="00762008" w:rsidRDefault="00093B98">
            <w:pPr>
              <w:spacing w:line="276" w:lineRule="auto"/>
              <w:ind w:right="-11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7215" w:type="dxa"/>
          </w:tcPr>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sz w:val="20"/>
                <w:szCs w:val="20"/>
              </w:rPr>
              <w:t>Sujetos Obligados</w:t>
            </w:r>
            <w:r>
              <w:rPr>
                <w:rFonts w:ascii="Palatino Linotype" w:eastAsia="Palatino Linotype" w:hAnsi="Palatino Linotype" w:cs="Palatino Linotype"/>
                <w:sz w:val="20"/>
                <w:szCs w:val="20"/>
              </w:rPr>
              <w:t xml:space="preserve">, por lo que deberán fundar y motivar debidamente la clasificación. </w:t>
            </w:r>
          </w:p>
          <w:p w:rsidR="00762008" w:rsidRDefault="0076200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que para una correcta </w:t>
            </w:r>
            <w:r>
              <w:rPr>
                <w:rFonts w:ascii="Palatino Linotype" w:eastAsia="Palatino Linotype" w:hAnsi="Palatino Linotype" w:cs="Palatino Linotype"/>
                <w:b/>
                <w:sz w:val="20"/>
                <w:szCs w:val="20"/>
              </w:rPr>
              <w:t>clasificación total o parcial</w:t>
            </w:r>
            <w:r>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62008" w:rsidRDefault="0076200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762008" w:rsidRDefault="0076200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762008" w:rsidRDefault="0076200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b/>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62008" w:rsidTr="00762008">
        <w:tc>
          <w:tcPr>
            <w:cnfStyle w:val="001000000000" w:firstRow="0" w:lastRow="0" w:firstColumn="1" w:lastColumn="0" w:oddVBand="0" w:evenVBand="0" w:oddHBand="0" w:evenHBand="0" w:firstRowFirstColumn="0" w:firstRowLastColumn="0" w:lastRowFirstColumn="0" w:lastRowLastColumn="0"/>
            <w:tcW w:w="2220" w:type="dxa"/>
          </w:tcPr>
          <w:p w:rsidR="00762008" w:rsidRDefault="00093B98">
            <w:pPr>
              <w:spacing w:line="276" w:lineRule="auto"/>
              <w:ind w:right="-115"/>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e) Condiciones especiales de la clasificación de la información como confidencial. </w:t>
            </w:r>
          </w:p>
          <w:p w:rsidR="00762008" w:rsidRDefault="00762008">
            <w:pPr>
              <w:spacing w:line="276" w:lineRule="auto"/>
              <w:ind w:right="-115"/>
              <w:rPr>
                <w:rFonts w:ascii="Palatino Linotype" w:eastAsia="Palatino Linotype" w:hAnsi="Palatino Linotype" w:cs="Palatino Linotype"/>
                <w:sz w:val="20"/>
                <w:szCs w:val="20"/>
              </w:rPr>
            </w:pPr>
          </w:p>
        </w:tc>
        <w:tc>
          <w:tcPr>
            <w:tcW w:w="7215" w:type="dxa"/>
          </w:tcPr>
          <w:p w:rsidR="00762008" w:rsidRDefault="00093B9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rsidR="00762008" w:rsidRDefault="0076200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w:t>
            </w:r>
            <w:r>
              <w:rPr>
                <w:rFonts w:ascii="Palatino Linotype" w:eastAsia="Palatino Linotype" w:hAnsi="Palatino Linotype" w:cs="Palatino Linotype"/>
                <w:sz w:val="20"/>
                <w:szCs w:val="20"/>
              </w:rPr>
              <w:lastRenderedPageBreak/>
              <w:t xml:space="preserve">discutido la Suprema Corte de Justicia de la Nación, los servidores públicos nos encontramos sujetos a un régimen menor de protección. </w:t>
            </w:r>
          </w:p>
          <w:p w:rsidR="00246517" w:rsidRDefault="00246517">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246517" w:rsidRPr="00246517" w:rsidRDefault="00246517">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bookmarkStart w:id="9" w:name="_GoBack"/>
            <w:bookmarkEnd w:id="9"/>
            <w:r w:rsidRPr="00DB7E72">
              <w:rPr>
                <w:rFonts w:ascii="Palatino Linotype" w:eastAsia="Palatino Linotype" w:hAnsi="Palatino Linotype" w:cs="Palatino Linotype"/>
                <w:sz w:val="20"/>
                <w:szCs w:val="20"/>
              </w:rPr>
              <w:t xml:space="preserve">Por otro lado, pueden existir documentos, por cuya naturaleza, deban ser clasificados en su totalidad como, por ejemplo, Actas de Nacimiento e identificaciones de particulares. En dado caso, el </w:t>
            </w:r>
            <w:r w:rsidRPr="00DB7E72">
              <w:rPr>
                <w:rFonts w:ascii="Palatino Linotype" w:eastAsia="Palatino Linotype" w:hAnsi="Palatino Linotype" w:cs="Palatino Linotype"/>
                <w:b/>
                <w:sz w:val="20"/>
                <w:szCs w:val="20"/>
              </w:rPr>
              <w:t>SUJETO OBLIGADO</w:t>
            </w:r>
            <w:r w:rsidRPr="00DB7E72">
              <w:rPr>
                <w:rFonts w:ascii="Palatino Linotype" w:eastAsia="Palatino Linotype" w:hAnsi="Palatino Linotype" w:cs="Palatino Linotype"/>
                <w:sz w:val="20"/>
                <w:szCs w:val="20"/>
              </w:rPr>
              <w:t xml:space="preserve"> deberá ser muy puntal en justificar la restricción completa de un documento a través del Acuerdo de Clasificación respectivo.</w:t>
            </w:r>
          </w:p>
          <w:p w:rsidR="00762008" w:rsidRDefault="00762008">
            <w:pPr>
              <w:spacing w:line="276" w:lineRule="auto"/>
              <w:ind w:right="-8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p w:rsidR="00762008" w:rsidRDefault="00093B98">
            <w:pPr>
              <w:spacing w:line="276" w:lineRule="auto"/>
              <w:ind w:right="-8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 </w:t>
      </w:r>
      <w:r>
        <w:rPr>
          <w:rFonts w:ascii="Palatino Linotype" w:eastAsia="Palatino Linotype" w:hAnsi="Palatino Linotype" w:cs="Palatino Linotype"/>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pStyle w:val="Ttulo2"/>
        <w:spacing w:before="0" w:line="360" w:lineRule="auto"/>
        <w:ind w:right="-78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SEXTO. Vista a la Dirección General de Protección de Datos Personales.</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rPr>
        <w:t>Ley de Transparencia y Acceso a la Información Pública del Estado de México y Municipios, en sus artículos 143, fracción I, y 222, fracción V, establece lo siguiente:</w:t>
      </w: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 xml:space="preserve">Para los efectos de esta Ley se considera información </w:t>
      </w:r>
      <w:r>
        <w:rPr>
          <w:rFonts w:ascii="Palatino Linotype" w:eastAsia="Palatino Linotype" w:hAnsi="Palatino Linotype" w:cs="Palatino Linotype"/>
          <w:b/>
          <w:i/>
          <w:sz w:val="22"/>
          <w:szCs w:val="22"/>
        </w:rPr>
        <w:t>confidencial</w:t>
      </w:r>
      <w:r>
        <w:rPr>
          <w:rFonts w:ascii="Palatino Linotype" w:eastAsia="Palatino Linotype" w:hAnsi="Palatino Linotype" w:cs="Palatino Linotype"/>
          <w:i/>
          <w:sz w:val="22"/>
          <w:szCs w:val="22"/>
        </w:rPr>
        <w:t xml:space="preserve">, la clasificada como tal, de manera permanente, por su naturaleza, cuando: </w:t>
      </w: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Se refiera a la información privada y los datos personales concernientes a una persona física o </w:t>
      </w:r>
      <w:proofErr w:type="gramStart"/>
      <w:r>
        <w:rPr>
          <w:rFonts w:ascii="Palatino Linotype" w:eastAsia="Palatino Linotype" w:hAnsi="Palatino Linotype" w:cs="Palatino Linotype"/>
          <w:b/>
          <w:i/>
          <w:sz w:val="22"/>
          <w:szCs w:val="22"/>
        </w:rPr>
        <w:t>jurídico</w:t>
      </w:r>
      <w:proofErr w:type="gramEnd"/>
      <w:r>
        <w:rPr>
          <w:rFonts w:ascii="Palatino Linotype" w:eastAsia="Palatino Linotype" w:hAnsi="Palatino Linotype" w:cs="Palatino Linotype"/>
          <w:b/>
          <w:i/>
          <w:sz w:val="22"/>
          <w:szCs w:val="22"/>
        </w:rPr>
        <w:t xml:space="preserve"> colectiva identificada o identificable</w:t>
      </w:r>
      <w:r>
        <w:rPr>
          <w:rFonts w:ascii="Palatino Linotype" w:eastAsia="Palatino Linotype" w:hAnsi="Palatino Linotype" w:cs="Palatino Linotype"/>
          <w:i/>
          <w:sz w:val="22"/>
          <w:szCs w:val="22"/>
        </w:rPr>
        <w:t xml:space="preserve">; </w:t>
      </w: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62008" w:rsidRDefault="00762008">
      <w:pPr>
        <w:spacing w:line="276" w:lineRule="auto"/>
        <w:ind w:left="567" w:right="-787"/>
        <w:jc w:val="both"/>
        <w:rPr>
          <w:rFonts w:ascii="Palatino Linotype" w:eastAsia="Palatino Linotype" w:hAnsi="Palatino Linotype" w:cs="Palatino Linotype"/>
          <w:i/>
          <w:sz w:val="22"/>
          <w:szCs w:val="22"/>
        </w:rPr>
      </w:pP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222.</w:t>
      </w:r>
      <w:r>
        <w:rPr>
          <w:rFonts w:ascii="Palatino Linotype" w:eastAsia="Palatino Linotype" w:hAnsi="Palatino Linotype" w:cs="Palatino Linotype"/>
          <w:i/>
          <w:sz w:val="22"/>
          <w:szCs w:val="22"/>
        </w:rPr>
        <w:t xml:space="preserve"> Son causas de responsabilidad administrativa de los servidores públicos de los sujetos obligados, por incumplimiento de las obligaciones establecidas en la materia de la presente Ley, las siguientes:</w:t>
      </w: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Entregar información clasificada como confidencial </w:t>
      </w:r>
      <w:r>
        <w:rPr>
          <w:rFonts w:ascii="Palatino Linotype" w:eastAsia="Palatino Linotype" w:hAnsi="Palatino Linotype" w:cs="Palatino Linotype"/>
          <w:i/>
          <w:sz w:val="22"/>
          <w:szCs w:val="22"/>
        </w:rPr>
        <w:t xml:space="preserve">fuera de los casos previstos por esta Ley; </w:t>
      </w:r>
    </w:p>
    <w:p w:rsidR="00762008" w:rsidRDefault="00093B98">
      <w:pPr>
        <w:spacing w:line="276" w:lineRule="auto"/>
        <w:ind w:left="567"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762008" w:rsidRDefault="00093B98">
      <w:pPr>
        <w:spacing w:line="276" w:lineRule="auto"/>
        <w:ind w:left="567"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lo anterior se colige que una causa de responsabilidad administrativa en la que pueden incurrir los servidores públicos de los Sujetos Obligados es el entregar información que, por su naturaleza, pueda ser clasificada como </w:t>
      </w:r>
      <w:r>
        <w:rPr>
          <w:rFonts w:ascii="Palatino Linotype" w:eastAsia="Palatino Linotype" w:hAnsi="Palatino Linotype" w:cs="Palatino Linotype"/>
          <w:b/>
        </w:rPr>
        <w:t>confidencial</w:t>
      </w:r>
      <w:r>
        <w:rPr>
          <w:rFonts w:ascii="Palatino Linotype" w:eastAsia="Palatino Linotype" w:hAnsi="Palatino Linotype" w:cs="Palatino Linotype"/>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 xml:space="preserve">el presente asunto en particular, de las constancias que obran dentro del expediente digital formado en el SAIMEX, se advierte que, en respuesta a la solicitud </w:t>
      </w:r>
      <w:r>
        <w:rPr>
          <w:rFonts w:ascii="Palatino Linotype" w:eastAsia="Palatino Linotype" w:hAnsi="Palatino Linotype" w:cs="Palatino Linotype"/>
          <w:b/>
        </w:rPr>
        <w:t>00072/PJUDICI/IP/2023</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hizo entrega de la carpeta comprimida titulada “</w:t>
      </w:r>
      <w:proofErr w:type="spellStart"/>
      <w:r>
        <w:rPr>
          <w:rFonts w:ascii="Palatino Linotype" w:eastAsia="Palatino Linotype" w:hAnsi="Palatino Linotype" w:cs="Palatino Linotype"/>
          <w:b/>
          <w:i/>
        </w:rPr>
        <w:t>ENTREGA.rar</w:t>
      </w:r>
      <w:proofErr w:type="spellEnd"/>
      <w:r>
        <w:rPr>
          <w:rFonts w:ascii="Palatino Linotype" w:eastAsia="Palatino Linotype" w:hAnsi="Palatino Linotype" w:cs="Palatino Linotype"/>
          <w:b/>
          <w:i/>
        </w:rPr>
        <w:t>”</w:t>
      </w:r>
      <w:r>
        <w:rPr>
          <w:rFonts w:ascii="Palatino Linotype" w:eastAsia="Palatino Linotype" w:hAnsi="Palatino Linotype" w:cs="Palatino Linotype"/>
        </w:rPr>
        <w:t xml:space="preserve">, el cual contiene 15 archivos, en formato </w:t>
      </w:r>
      <w:r>
        <w:rPr>
          <w:rFonts w:ascii="Palatino Linotype" w:eastAsia="Palatino Linotype" w:hAnsi="Palatino Linotype" w:cs="Palatino Linotype"/>
          <w:i/>
        </w:rPr>
        <w:t>.</w:t>
      </w:r>
      <w:proofErr w:type="spellStart"/>
      <w:r>
        <w:rPr>
          <w:rFonts w:ascii="Palatino Linotype" w:eastAsia="Palatino Linotype" w:hAnsi="Palatino Linotype" w:cs="Palatino Linotype"/>
          <w:i/>
        </w:rPr>
        <w:t>pdf</w:t>
      </w:r>
      <w:proofErr w:type="spellEnd"/>
      <w:r>
        <w:rPr>
          <w:rFonts w:ascii="Palatino Linotype" w:eastAsia="Palatino Linotype" w:hAnsi="Palatino Linotype" w:cs="Palatino Linotype"/>
        </w:rPr>
        <w:t>, consistentes en los expedientes de procedimientos concluidos relacionados con procedimientos sumarios de usucapión.</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Empero </w:t>
      </w:r>
      <w:r>
        <w:rPr>
          <w:rFonts w:ascii="Palatino Linotype" w:eastAsia="Palatino Linotype" w:hAnsi="Palatino Linotype" w:cs="Palatino Linotype"/>
        </w:rPr>
        <w:t xml:space="preserve">dentro del cuerpo de los documentos antes citados, específicamente en el archivo denominado </w:t>
      </w:r>
      <w:r>
        <w:rPr>
          <w:rFonts w:ascii="Palatino Linotype" w:eastAsia="Palatino Linotype" w:hAnsi="Palatino Linotype" w:cs="Palatino Linotype"/>
          <w:b/>
          <w:i/>
        </w:rPr>
        <w:t>“1991-22_Censurado OK.pdf”</w:t>
      </w:r>
      <w:r>
        <w:rPr>
          <w:rFonts w:ascii="Palatino Linotype" w:eastAsia="Palatino Linotype" w:hAnsi="Palatino Linotype" w:cs="Palatino Linotype"/>
        </w:rPr>
        <w:t xml:space="preserve">, en la página 22, se advierte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dejó a la vista la firma de un abogado patrono.</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Luego entonces,</w:t>
      </w:r>
      <w:r>
        <w:rPr>
          <w:rFonts w:ascii="Palatino Linotype" w:eastAsia="Palatino Linotype" w:hAnsi="Palatino Linotype" w:cs="Palatino Linotype"/>
        </w:rPr>
        <w:t xml:space="preserve"> la falta de resguardo de los datos personales antes señalados, actualiza una causa de responsabilidad; por lo que, de acuerdo a los artículos 190 y 36, fracción X, de la Ley de Transparencia y Acceso a la Información Pública del Estado de México y Municipios, se hará del conocimiento del Titular de la Dirección de Datos Personales para que, en el ejercicio de sus atribuciones, determine lo conducente.</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w:t>
      </w:r>
      <w:r>
        <w:rPr>
          <w:rFonts w:ascii="Palatino Linotype" w:eastAsia="Palatino Linotype" w:hAnsi="Palatino Linotype" w:cs="Palatino Linotype"/>
        </w:rPr>
        <w:t xml:space="preserve">anterior con base en lo dispuesto por el artículo 82, fracción XXVII de la Ley de Protección de Datos Personales en Posesión de Sujetos Obligados del Estado de México y </w:t>
      </w:r>
      <w:r>
        <w:rPr>
          <w:rFonts w:ascii="Palatino Linotype" w:eastAsia="Palatino Linotype" w:hAnsi="Palatino Linotype" w:cs="Palatino Linotype"/>
        </w:rPr>
        <w:lastRenderedPageBreak/>
        <w:t>Municipios, así como 14, fracción XXVII, y 24, fracciones V y XI, del  Reglamento Interior del Instituto de Transparencia, Acceso a la Información Pública y Protección de Datos Personales del Estado de México y Municipios,  los cuales establecen lo siguiente:</w:t>
      </w:r>
    </w:p>
    <w:p w:rsidR="00762008" w:rsidRDefault="00093B98">
      <w:pPr>
        <w:pBdr>
          <w:top w:val="nil"/>
          <w:left w:val="nil"/>
          <w:bottom w:val="nil"/>
          <w:right w:val="nil"/>
          <w:between w:val="nil"/>
        </w:pBdr>
        <w:tabs>
          <w:tab w:val="left" w:pos="426"/>
        </w:tabs>
        <w:spacing w:before="240" w:line="276" w:lineRule="auto"/>
        <w:ind w:left="567" w:right="-4"/>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PROTECCIÓN DE DATOS PERSONALES EN POSESIÓN DE SUJETOS OBLIGADOS DEL ESTADO DE MÉXICO Y MUNICIPIOS</w:t>
      </w:r>
    </w:p>
    <w:p w:rsidR="00762008" w:rsidRDefault="0076200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Atribuciones del Instituto </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82.</w:t>
      </w:r>
      <w:r>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XXVII.</w:t>
      </w:r>
      <w:r>
        <w:rPr>
          <w:rFonts w:ascii="Palatino Linotype" w:eastAsia="Palatino Linotype" w:hAnsi="Palatino Linotype" w:cs="Palatino Linotype"/>
          <w:i/>
          <w:color w:val="000000"/>
          <w:sz w:val="22"/>
          <w:szCs w:val="22"/>
        </w:rPr>
        <w:t xml:space="preserve"> Hacer del conocimiento de las autoridades competentes, la probable responsabilidad derivada del incumplimiento de las obligaciones previstas en la presente Ley y en las demás disposiciones que resulten aplicables.</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762008" w:rsidRDefault="0076200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p>
    <w:p w:rsidR="00762008" w:rsidRDefault="0076200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tabs>
          <w:tab w:val="left" w:pos="426"/>
        </w:tabs>
        <w:spacing w:line="276" w:lineRule="auto"/>
        <w:ind w:left="567" w:right="-4"/>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REGLAMENTO INTERIOR DEL INSTITUTO DE TRANSPARENCIA, ACCESO A LA INFORMACIÓN PÚBLICA Y PROTECCIÓN DE DATOS PERSONALES DEL ESTADO DE MÉXICO Y MUNICIPIOS</w:t>
      </w:r>
    </w:p>
    <w:p w:rsidR="00762008" w:rsidRDefault="00762008">
      <w:pPr>
        <w:pBdr>
          <w:top w:val="nil"/>
          <w:left w:val="nil"/>
          <w:bottom w:val="nil"/>
          <w:right w:val="nil"/>
          <w:between w:val="nil"/>
        </w:pBdr>
        <w:tabs>
          <w:tab w:val="left" w:pos="426"/>
        </w:tabs>
        <w:spacing w:line="276" w:lineRule="auto"/>
        <w:ind w:left="567" w:right="-4"/>
        <w:jc w:val="center"/>
        <w:rPr>
          <w:rFonts w:ascii="Palatino Linotype" w:eastAsia="Palatino Linotype" w:hAnsi="Palatino Linotype" w:cs="Palatino Linotype"/>
          <w:b/>
          <w:i/>
          <w:color w:val="000000"/>
          <w:sz w:val="22"/>
          <w:szCs w:val="22"/>
        </w:rPr>
      </w:pP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w:t>
      </w:r>
      <w:r>
        <w:rPr>
          <w:rFonts w:ascii="Palatino Linotype" w:eastAsia="Palatino Linotype" w:hAnsi="Palatino Linotype" w:cs="Palatino Linotype"/>
          <w:i/>
          <w:color w:val="000000"/>
          <w:sz w:val="22"/>
          <w:szCs w:val="22"/>
        </w:rPr>
        <w:t xml:space="preserve"> Corresponde a las y los Comisionados del Instituto ejercer las atribuciones siguientes:</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XXVII.</w:t>
      </w:r>
      <w:r>
        <w:rPr>
          <w:rFonts w:ascii="Palatino Linotype" w:eastAsia="Palatino Linotype" w:hAnsi="Palatino Linotype" w:cs="Palatino Linotype"/>
          <w:i/>
          <w:color w:val="000000"/>
          <w:sz w:val="22"/>
          <w:szCs w:val="22"/>
        </w:rPr>
        <w:t xml:space="preserve"> Instruir la notificación de las presuntas infracciones a las Leyes de la Materia, que adviertan en la sustanciación de los recursos de revisión al Órgano Interno de Control, a la Dirección General Jurídica y de Verificación, o a la Dirección General de Protección de Datos Personales;</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762008" w:rsidRDefault="0076200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24.</w:t>
      </w:r>
      <w:r>
        <w:rPr>
          <w:rFonts w:ascii="Palatino Linotype" w:eastAsia="Palatino Linotype" w:hAnsi="Palatino Linotype" w:cs="Palatino Linotype"/>
          <w:i/>
          <w:color w:val="000000"/>
          <w:sz w:val="22"/>
          <w:szCs w:val="22"/>
        </w:rPr>
        <w:t xml:space="preserve"> Corresponde a la Dirección General de Protección de Datos Personales ejercer las atribuciones siguientes:</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Emitir observaciones y recomendaciones a los Responsables que incumplan la Ley de Protección de Datos e informar al Pleno;</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p>
    <w:p w:rsidR="00762008" w:rsidRDefault="00093B98">
      <w:pPr>
        <w:pBdr>
          <w:top w:val="nil"/>
          <w:left w:val="nil"/>
          <w:bottom w:val="nil"/>
          <w:right w:val="nil"/>
          <w:between w:val="nil"/>
        </w:pBdr>
        <w:tabs>
          <w:tab w:val="left" w:pos="426"/>
        </w:tabs>
        <w:spacing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w:t>
      </w:r>
      <w:r>
        <w:rPr>
          <w:rFonts w:ascii="Palatino Linotype" w:eastAsia="Palatino Linotype" w:hAnsi="Palatino Linotype" w:cs="Palatino Linotype"/>
          <w:i/>
          <w:color w:val="000000"/>
          <w:sz w:val="22"/>
          <w:szCs w:val="22"/>
        </w:rPr>
        <w:t xml:space="preserve"> Ejecutar los procedimientos de investigación derivados de posibles violaciones a la seguridad de los datos personales, y en su caso, determinar la práctica de verificaciones e informar al Pleno;</w:t>
      </w:r>
    </w:p>
    <w:p w:rsidR="00762008" w:rsidRDefault="00093B98">
      <w:pPr>
        <w:pBdr>
          <w:top w:val="nil"/>
          <w:left w:val="nil"/>
          <w:bottom w:val="nil"/>
          <w:right w:val="nil"/>
          <w:between w:val="nil"/>
        </w:pBdr>
        <w:tabs>
          <w:tab w:val="left" w:pos="426"/>
        </w:tabs>
        <w:spacing w:after="240" w:line="276" w:lineRule="auto"/>
        <w:ind w:left="567" w:right="-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otro lado, no se pierde de vista que la exposición de los datos en comento trae como consecuencia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una serie de responsabilidades y obligaciones para salvaguardar la información relativa a los datos personales que, por mera negligencia, le fue entregada.</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ello, esta Ponencia </w:t>
      </w:r>
      <w:proofErr w:type="spellStart"/>
      <w:r>
        <w:rPr>
          <w:rFonts w:ascii="Palatino Linotype" w:eastAsia="Palatino Linotype" w:hAnsi="Palatino Linotype" w:cs="Palatino Linotype"/>
        </w:rPr>
        <w:t>Resolutora</w:t>
      </w:r>
      <w:proofErr w:type="spellEnd"/>
      <w:r>
        <w:rPr>
          <w:rFonts w:ascii="Palatino Linotype" w:eastAsia="Palatino Linotype" w:hAnsi="Palatino Linotype" w:cs="Palatino Linotype"/>
        </w:rPr>
        <w:t xml:space="preserve"> hace del conocimiento de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ahora, por cuanto hace a la información relativa a los datos personales que descansan en su poder, deberá regir su actuar, uso y cuidado en estricta observancia de la </w:t>
      </w:r>
      <w:r>
        <w:rPr>
          <w:rFonts w:ascii="Palatino Linotype" w:eastAsia="Palatino Linotype" w:hAnsi="Palatino Linotype" w:cs="Palatino Linotype"/>
          <w:b/>
        </w:rPr>
        <w:t>Ley Federal de Protección de Datos Personales en Posesión de Particulares</w:t>
      </w:r>
      <w:r>
        <w:rPr>
          <w:rFonts w:ascii="Palatino Linotype" w:eastAsia="Palatino Linotype" w:hAnsi="Palatino Linotype" w:cs="Palatino Linotype"/>
        </w:rPr>
        <w:t>, para su adecuado resguardo.</w:t>
      </w:r>
    </w:p>
    <w:p w:rsidR="00762008" w:rsidRDefault="00762008">
      <w:pPr>
        <w:ind w:right="-787"/>
        <w:rPr>
          <w:rFonts w:ascii="Palatino Linotype" w:eastAsia="Palatino Linotype" w:hAnsi="Palatino Linotype" w:cs="Palatino Linotype"/>
          <w:color w:val="000000"/>
        </w:rPr>
      </w:pPr>
    </w:p>
    <w:p w:rsidR="00762008" w:rsidRDefault="00093B98">
      <w:pPr>
        <w:pStyle w:val="Ttulo2"/>
        <w:spacing w:before="0" w:line="360" w:lineRule="auto"/>
        <w:ind w:right="-787"/>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SÉPTIMO. Decisión.</w:t>
      </w: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lo largo de esta resolución, se analizaron las versiones públicas de los expedientes proveídos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así como el correspondiente Acuerdo de Clasificación del Comité de Transparencia, con lo que se demostró que el Poder Judicial había suprimido más información que la avalada por el Comité.</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se desestimó el cobro por los derechos de digitalización de la información, al demostrarse que la entrega vía SAIMEX no implica la reproducción de documentos en materiales físicos que supongan un costo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01058/INFOEM/IP/RR/2023</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MODIFICA</w:t>
      </w:r>
      <w:r>
        <w:rPr>
          <w:rFonts w:ascii="Palatino Linotype" w:eastAsia="Palatino Linotype" w:hAnsi="Palatino Linotype" w:cs="Palatino Linotype"/>
          <w:color w:val="000000"/>
        </w:rPr>
        <w:t xml:space="preserve"> la respuesta a la solicitud de información número </w:t>
      </w:r>
      <w:r>
        <w:rPr>
          <w:rFonts w:ascii="Palatino Linotype" w:eastAsia="Palatino Linotype" w:hAnsi="Palatino Linotype" w:cs="Palatino Linotype"/>
          <w:b/>
          <w:color w:val="000000"/>
        </w:rPr>
        <w:t>00072/PJUDICI/IP/2023</w:t>
      </w:r>
      <w:r>
        <w:rPr>
          <w:rFonts w:ascii="Palatino Linotype" w:eastAsia="Palatino Linotype" w:hAnsi="Palatino Linotype" w:cs="Palatino Linotype"/>
          <w:color w:val="000000"/>
        </w:rPr>
        <w:t>.</w:t>
      </w:r>
    </w:p>
    <w:p w:rsidR="00762008" w:rsidRDefault="0076200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762008" w:rsidRDefault="00093B98">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 </w:t>
      </w:r>
    </w:p>
    <w:p w:rsidR="00762008" w:rsidRDefault="00093B98">
      <w:pPr>
        <w:pStyle w:val="Ttulo1"/>
        <w:spacing w:line="360" w:lineRule="auto"/>
        <w:ind w:right="-787"/>
        <w:jc w:val="center"/>
        <w:rPr>
          <w:b/>
          <w:color w:val="000000"/>
        </w:rPr>
      </w:pPr>
      <w:bookmarkStart w:id="10" w:name="_heading=h.17dp8vu" w:colFirst="0" w:colLast="0"/>
      <w:bookmarkEnd w:id="10"/>
      <w:r>
        <w:rPr>
          <w:b/>
          <w:color w:val="000000"/>
        </w:rPr>
        <w:t>R E S O L U T I V O S</w:t>
      </w:r>
    </w:p>
    <w:p w:rsidR="00762008" w:rsidRDefault="00762008">
      <w:pPr>
        <w:spacing w:line="360" w:lineRule="auto"/>
        <w:ind w:right="-787"/>
        <w:jc w:val="both"/>
        <w:rPr>
          <w:rFonts w:ascii="Palatino Linotype" w:eastAsia="Palatino Linotype" w:hAnsi="Palatino Linotype" w:cs="Palatino Linotype"/>
          <w:b/>
        </w:rPr>
      </w:pPr>
    </w:p>
    <w:p w:rsidR="00762008" w:rsidRDefault="00093B98">
      <w:pPr>
        <w:spacing w:line="360" w:lineRule="auto"/>
        <w:ind w:right="-787"/>
        <w:jc w:val="both"/>
        <w:rPr>
          <w:rFonts w:ascii="Palatino Linotype" w:eastAsia="Palatino Linotype" w:hAnsi="Palatino Linotype" w:cs="Palatino Linotype"/>
        </w:rPr>
      </w:pPr>
      <w:bookmarkStart w:id="11" w:name="_heading=h.lnxbz9" w:colFirst="0" w:colLast="0"/>
      <w:bookmarkEnd w:id="11"/>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01058/INFOEM/IP/RR/2023 </w:t>
      </w:r>
      <w:r>
        <w:rPr>
          <w:rFonts w:ascii="Palatino Linotype" w:eastAsia="Palatino Linotype" w:hAnsi="Palatino Linotype" w:cs="Palatino Linotype"/>
        </w:rPr>
        <w:t>en términos de los</w:t>
      </w:r>
      <w:r>
        <w:rPr>
          <w:rFonts w:ascii="Palatino Linotype" w:eastAsia="Palatino Linotype" w:hAnsi="Palatino Linotype" w:cs="Palatino Linotype"/>
          <w:b/>
        </w:rPr>
        <w:t xml:space="preserve"> 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QUINTO</w:t>
      </w:r>
      <w:r>
        <w:rPr>
          <w:rFonts w:ascii="Palatino Linotype" w:eastAsia="Palatino Linotype" w:hAnsi="Palatino Linotype" w:cs="Palatino Linotype"/>
        </w:rPr>
        <w:t xml:space="preserve"> de la presente resolución.</w:t>
      </w:r>
    </w:p>
    <w:p w:rsidR="00762008" w:rsidRDefault="00762008">
      <w:pPr>
        <w:spacing w:line="360" w:lineRule="auto"/>
        <w:ind w:right="-787"/>
        <w:jc w:val="both"/>
        <w:rPr>
          <w:rFonts w:ascii="Palatino Linotype" w:eastAsia="Palatino Linotype" w:hAnsi="Palatino Linotype" w:cs="Palatino Linotype"/>
          <w:b/>
        </w:rPr>
      </w:pPr>
    </w:p>
    <w:p w:rsidR="00762008" w:rsidRDefault="00093B98">
      <w:pPr>
        <w:spacing w:line="360" w:lineRule="auto"/>
        <w:ind w:right="-787"/>
        <w:jc w:val="both"/>
        <w:rPr>
          <w:rFonts w:ascii="Palatino Linotype" w:eastAsia="Palatino Linotype" w:hAnsi="Palatino Linotype" w:cs="Palatino Linotype"/>
          <w:color w:val="000000"/>
        </w:rPr>
      </w:pPr>
      <w:bookmarkStart w:id="12" w:name="_heading=h.3rdcrjn" w:colFirst="0" w:colLast="0"/>
      <w:bookmarkEnd w:id="12"/>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el </w:t>
      </w:r>
      <w:r>
        <w:rPr>
          <w:rFonts w:ascii="Palatino Linotype" w:eastAsia="Palatino Linotype" w:hAnsi="Palatino Linotype" w:cs="Palatino Linotype"/>
          <w:b/>
        </w:rPr>
        <w:t>Poder Judicial</w:t>
      </w:r>
      <w:r>
        <w:rPr>
          <w:rFonts w:ascii="Palatino Linotype" w:eastAsia="Palatino Linotype" w:hAnsi="Palatino Linotype" w:cs="Palatino Linotype"/>
        </w:rPr>
        <w:t xml:space="preserve"> a la solicitud </w:t>
      </w:r>
      <w:r>
        <w:rPr>
          <w:rFonts w:ascii="Palatino Linotype" w:eastAsia="Palatino Linotype" w:hAnsi="Palatino Linotype" w:cs="Palatino Linotype"/>
          <w:b/>
        </w:rPr>
        <w:t xml:space="preserve">00072/PJUDICI/IP/2023 </w:t>
      </w:r>
      <w:r>
        <w:rPr>
          <w:rFonts w:ascii="Palatino Linotype" w:eastAsia="Palatino Linotype" w:hAnsi="Palatino Linotype" w:cs="Palatino Linotype"/>
        </w:rPr>
        <w:t xml:space="preserve">y 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entregar, vía Sistema de Acceso a la Información Pública Mexiquense (SAIMEX)</w:t>
      </w:r>
      <w:r>
        <w:rPr>
          <w:rFonts w:ascii="Palatino Linotype" w:eastAsia="Palatino Linotype" w:hAnsi="Palatino Linotype" w:cs="Palatino Linotype"/>
          <w:color w:val="000000"/>
        </w:rPr>
        <w:t xml:space="preserve">, en una correcta versión pública, la siguiente información: </w:t>
      </w:r>
    </w:p>
    <w:p w:rsidR="00762008" w:rsidRDefault="00762008">
      <w:pPr>
        <w:spacing w:line="360" w:lineRule="auto"/>
        <w:ind w:right="-787"/>
        <w:jc w:val="both"/>
        <w:rPr>
          <w:rFonts w:ascii="Palatino Linotype" w:eastAsia="Palatino Linotype" w:hAnsi="Palatino Linotype" w:cs="Palatino Linotype"/>
          <w:color w:val="000000"/>
        </w:rPr>
      </w:pPr>
    </w:p>
    <w:p w:rsidR="00762008" w:rsidRDefault="00093B98">
      <w:pPr>
        <w:numPr>
          <w:ilvl w:val="0"/>
          <w:numId w:val="6"/>
        </w:numPr>
        <w:pBdr>
          <w:top w:val="nil"/>
          <w:left w:val="nil"/>
          <w:bottom w:val="nil"/>
          <w:right w:val="nil"/>
          <w:between w:val="nil"/>
        </w:pBdr>
        <w:spacing w:after="240" w:line="360" w:lineRule="auto"/>
        <w:ind w:left="851" w:right="-78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Los 15 expedientes formados por procedimientos sumarios de usucapión, resueltos en el Juzgado Especializado en Juicio Sumario de Usucapión con Residencia en Lerma, entregados en respuesta, completos.</w:t>
      </w:r>
    </w:p>
    <w:p w:rsidR="00762008" w:rsidRDefault="00093B98">
      <w:pPr>
        <w:tabs>
          <w:tab w:val="left" w:pos="993"/>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Para </w:t>
      </w:r>
      <w:r>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w:t>
      </w:r>
      <w:r>
        <w:rPr>
          <w:rFonts w:ascii="Palatino Linotype" w:eastAsia="Palatino Linotype" w:hAnsi="Palatino Linotype" w:cs="Palatino Linotype"/>
        </w:rPr>
        <w:lastRenderedPageBreak/>
        <w:t xml:space="preserve">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rsidR="00762008" w:rsidRDefault="00762008">
      <w:pPr>
        <w:tabs>
          <w:tab w:val="left" w:pos="993"/>
        </w:tabs>
        <w:spacing w:line="360" w:lineRule="auto"/>
        <w:ind w:right="-787"/>
        <w:jc w:val="both"/>
        <w:rPr>
          <w:rFonts w:ascii="Palatino Linotype" w:eastAsia="Palatino Linotype" w:hAnsi="Palatino Linotype" w:cs="Palatino Linotype"/>
        </w:rPr>
      </w:pPr>
    </w:p>
    <w:p w:rsidR="00762008" w:rsidRDefault="00093B98">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Notifíquese al </w:t>
      </w:r>
      <w:r>
        <w:rPr>
          <w:rFonts w:ascii="Palatino Linotype" w:eastAsia="Palatino Linotype" w:hAnsi="Palatino Linotype" w:cs="Palatino Linotype"/>
          <w:color w:val="222222"/>
        </w:rPr>
        <w:t xml:space="preserve">Titular de la Unidad de Transparencia del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vía Sistema de Acceso a la Información Mexiquense (SAIMEX), la presente resolución,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62008" w:rsidRDefault="00762008">
      <w:pPr>
        <w:spacing w:line="360" w:lineRule="auto"/>
        <w:ind w:right="-787"/>
        <w:jc w:val="both"/>
        <w:rPr>
          <w:rFonts w:ascii="Palatino Linotype" w:eastAsia="Palatino Linotype" w:hAnsi="Palatino Linotype" w:cs="Palatino Linotype"/>
          <w:color w:val="000000"/>
        </w:rPr>
      </w:pPr>
    </w:p>
    <w:p w:rsidR="00762008" w:rsidRDefault="00093B98">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rsidR="00762008" w:rsidRDefault="00762008">
      <w:pPr>
        <w:spacing w:line="360" w:lineRule="auto"/>
        <w:ind w:right="-787"/>
        <w:jc w:val="both"/>
        <w:rPr>
          <w:rFonts w:ascii="Palatino Linotype" w:eastAsia="Palatino Linotype" w:hAnsi="Palatino Linotype" w:cs="Palatino Linotype"/>
          <w:color w:val="000000"/>
        </w:rPr>
      </w:pPr>
    </w:p>
    <w:p w:rsidR="00762008" w:rsidRDefault="00093B98">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QUINTO. </w:t>
      </w:r>
      <w:r>
        <w:rPr>
          <w:rFonts w:ascii="Palatino Linotype" w:eastAsia="Palatino Linotype" w:hAnsi="Palatino Linotype" w:cs="Palatino Linotype"/>
          <w:color w:val="000000"/>
        </w:rPr>
        <w:t xml:space="preserve">Notifíquese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(SAIMEX).</w:t>
      </w:r>
    </w:p>
    <w:p w:rsidR="00762008" w:rsidRDefault="00762008">
      <w:pPr>
        <w:spacing w:line="360" w:lineRule="auto"/>
        <w:ind w:right="-787"/>
        <w:jc w:val="both"/>
        <w:rPr>
          <w:rFonts w:ascii="Palatino Linotype" w:eastAsia="Palatino Linotype" w:hAnsi="Palatino Linotype" w:cs="Palatino Linotype"/>
          <w:b/>
        </w:rPr>
      </w:pPr>
    </w:p>
    <w:p w:rsidR="00762008" w:rsidRDefault="00093B98">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rPr>
        <w:lastRenderedPageBreak/>
        <w:t>SEXTO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hace del conocimiento del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rsidR="00762008" w:rsidRDefault="00762008">
      <w:pPr>
        <w:spacing w:line="360" w:lineRule="auto"/>
        <w:ind w:right="-787"/>
        <w:jc w:val="both"/>
        <w:rPr>
          <w:rFonts w:ascii="Palatino Linotype" w:eastAsia="Palatino Linotype" w:hAnsi="Palatino Linotype" w:cs="Palatino Linotype"/>
          <w:color w:val="000000"/>
        </w:rPr>
      </w:pPr>
    </w:p>
    <w:p w:rsidR="00762008" w:rsidRDefault="00093B98">
      <w:p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rPr>
        <w:t>SÉPTIMO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Gírese oficio al Titular de la </w:t>
      </w:r>
      <w:r>
        <w:rPr>
          <w:rFonts w:ascii="Palatino Linotype" w:eastAsia="Palatino Linotype" w:hAnsi="Palatino Linotype" w:cs="Palatino Linotype"/>
          <w:b/>
          <w:color w:val="000000"/>
        </w:rPr>
        <w:t>Dirección General de Protección de Datos Personales</w:t>
      </w:r>
      <w:r>
        <w:rPr>
          <w:rFonts w:ascii="Palatino Linotype" w:eastAsia="Palatino Linotype" w:hAnsi="Palatino Linotype" w:cs="Palatino Linotype"/>
          <w:color w:val="000000"/>
        </w:rPr>
        <w:t xml:space="preserve">, en atención al artículo 82, fracción XXVII, de la Ley de Protección de Datos Personales del Estado de México y Municipios; y, 14, fracción XXVII, y 24, fracciones V y XI, del  Reglamento Interior del Instituto de Transparencia, Acceso a la Información Pública y Protección de Datos Personales del Estado de México y Municipios, en términos de lo señalado en el </w:t>
      </w:r>
      <w:r>
        <w:rPr>
          <w:rFonts w:ascii="Palatino Linotype" w:eastAsia="Palatino Linotype" w:hAnsi="Palatino Linotype" w:cs="Palatino Linotype"/>
          <w:b/>
          <w:color w:val="000000"/>
        </w:rPr>
        <w:t>Considerando SEXTO</w:t>
      </w:r>
      <w:r>
        <w:rPr>
          <w:rFonts w:ascii="Palatino Linotype" w:eastAsia="Palatino Linotype" w:hAnsi="Palatino Linotype" w:cs="Palatino Linotype"/>
          <w:color w:val="000000"/>
        </w:rPr>
        <w:t xml:space="preserve"> de la presente resolución.</w:t>
      </w:r>
    </w:p>
    <w:p w:rsidR="00762008" w:rsidRDefault="00762008">
      <w:pPr>
        <w:spacing w:line="360" w:lineRule="auto"/>
        <w:ind w:right="-787"/>
        <w:jc w:val="both"/>
        <w:rPr>
          <w:rFonts w:ascii="Palatino Linotype" w:eastAsia="Palatino Linotype" w:hAnsi="Palatino Linotype" w:cs="Palatino Linotype"/>
          <w:color w:val="000000"/>
        </w:rPr>
      </w:pPr>
    </w:p>
    <w:p w:rsidR="002E712E" w:rsidRPr="003C7186" w:rsidRDefault="002E712E" w:rsidP="002E712E">
      <w:pPr>
        <w:spacing w:line="360" w:lineRule="auto"/>
        <w:ind w:firstLine="1"/>
        <w:jc w:val="both"/>
        <w:rPr>
          <w:rFonts w:ascii="Palatino Linotype" w:hAnsi="Palatino Linotype"/>
        </w:rPr>
      </w:pPr>
      <w:bookmarkStart w:id="13" w:name="_heading=h.pd2cuivbmm1r" w:colFirst="0" w:colLast="0"/>
      <w:bookmarkEnd w:id="13"/>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rsidR="00762008" w:rsidRDefault="00762008">
      <w:pPr>
        <w:spacing w:line="360" w:lineRule="auto"/>
        <w:ind w:right="-787"/>
        <w:jc w:val="both"/>
        <w:rPr>
          <w:rFonts w:ascii="Palatino Linotype" w:eastAsia="Palatino Linotype" w:hAnsi="Palatino Linotype" w:cs="Palatino Linotype"/>
        </w:rPr>
      </w:pPr>
    </w:p>
    <w:p w:rsidR="00762008" w:rsidRDefault="00762008">
      <w:pPr>
        <w:spacing w:line="360" w:lineRule="auto"/>
        <w:ind w:right="-787"/>
        <w:jc w:val="both"/>
        <w:rPr>
          <w:rFonts w:ascii="Palatino Linotype" w:eastAsia="Palatino Linotype" w:hAnsi="Palatino Linotype" w:cs="Palatino Linotype"/>
        </w:rPr>
      </w:pPr>
      <w:bookmarkStart w:id="14" w:name="_heading=h.8xhpebe58ta" w:colFirst="0" w:colLast="0"/>
      <w:bookmarkEnd w:id="14"/>
    </w:p>
    <w:p w:rsidR="00762008" w:rsidRDefault="00762008">
      <w:pPr>
        <w:spacing w:line="360" w:lineRule="auto"/>
        <w:ind w:right="-787"/>
        <w:jc w:val="both"/>
        <w:rPr>
          <w:rFonts w:ascii="Palatino Linotype" w:eastAsia="Palatino Linotype" w:hAnsi="Palatino Linotype" w:cs="Palatino Linotype"/>
        </w:rPr>
      </w:pPr>
      <w:bookmarkStart w:id="15" w:name="_heading=h.ypbzcrhc1rr4" w:colFirst="0" w:colLast="0"/>
      <w:bookmarkEnd w:id="15"/>
    </w:p>
    <w:p w:rsidR="00762008" w:rsidRDefault="00762008">
      <w:pPr>
        <w:spacing w:line="360" w:lineRule="auto"/>
        <w:ind w:right="-787"/>
        <w:jc w:val="both"/>
        <w:rPr>
          <w:rFonts w:ascii="Palatino Linotype" w:eastAsia="Palatino Linotype" w:hAnsi="Palatino Linotype" w:cs="Palatino Linotype"/>
        </w:rPr>
      </w:pPr>
      <w:bookmarkStart w:id="16" w:name="_heading=h.r3bcaqlbfofq" w:colFirst="0" w:colLast="0"/>
      <w:bookmarkEnd w:id="16"/>
    </w:p>
    <w:p w:rsidR="00762008" w:rsidRDefault="00762008">
      <w:pPr>
        <w:ind w:right="-787"/>
        <w:rPr>
          <w:rFonts w:ascii="Palatino Linotype" w:eastAsia="Palatino Linotype" w:hAnsi="Palatino Linotype" w:cs="Palatino Linotype"/>
          <w:color w:val="000000"/>
        </w:rPr>
      </w:pPr>
      <w:bookmarkStart w:id="17" w:name="_heading=h.26in1rg" w:colFirst="0" w:colLast="0"/>
      <w:bookmarkEnd w:id="17"/>
    </w:p>
    <w:sectPr w:rsidR="00762008">
      <w:headerReference w:type="default" r:id="rId12"/>
      <w:footerReference w:type="default" r:id="rId13"/>
      <w:headerReference w:type="first" r:id="rId14"/>
      <w:footerReference w:type="first" r:id="rId15"/>
      <w:pgSz w:w="12240" w:h="15840"/>
      <w:pgMar w:top="2021" w:right="1615"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1E" w:rsidRDefault="0030271E">
      <w:r>
        <w:separator/>
      </w:r>
    </w:p>
  </w:endnote>
  <w:endnote w:type="continuationSeparator" w:id="0">
    <w:p w:rsidR="0030271E" w:rsidRDefault="0030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98" w:rsidRDefault="00093B9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DB7E72">
      <w:rPr>
        <w:rFonts w:ascii="Palatino Linotype" w:eastAsia="Palatino Linotype" w:hAnsi="Palatino Linotype" w:cs="Palatino Linotype"/>
        <w:b/>
        <w:noProof/>
        <w:color w:val="000000"/>
        <w:sz w:val="22"/>
        <w:szCs w:val="22"/>
      </w:rPr>
      <w:t>59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DB7E72">
      <w:rPr>
        <w:rFonts w:ascii="Palatino Linotype" w:eastAsia="Palatino Linotype" w:hAnsi="Palatino Linotype" w:cs="Palatino Linotype"/>
        <w:b/>
        <w:noProof/>
        <w:color w:val="000000"/>
        <w:sz w:val="22"/>
        <w:szCs w:val="22"/>
      </w:rPr>
      <w:t>60</w:t>
    </w:r>
    <w:r>
      <w:rPr>
        <w:rFonts w:ascii="Palatino Linotype" w:eastAsia="Palatino Linotype" w:hAnsi="Palatino Linotype" w:cs="Palatino Linotype"/>
        <w:b/>
        <w:color w:val="000000"/>
        <w:sz w:val="22"/>
        <w:szCs w:val="22"/>
      </w:rPr>
      <w:fldChar w:fldCharType="end"/>
    </w:r>
  </w:p>
  <w:p w:rsidR="00093B98" w:rsidRDefault="00093B9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98" w:rsidRDefault="00093B9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DB7E7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DB7E72">
      <w:rPr>
        <w:rFonts w:ascii="Palatino Linotype" w:eastAsia="Palatino Linotype" w:hAnsi="Palatino Linotype" w:cs="Palatino Linotype"/>
        <w:noProof/>
        <w:color w:val="000000"/>
        <w:sz w:val="22"/>
        <w:szCs w:val="22"/>
      </w:rPr>
      <w:t>60</w:t>
    </w:r>
    <w:r>
      <w:rPr>
        <w:rFonts w:ascii="Palatino Linotype" w:eastAsia="Palatino Linotype" w:hAnsi="Palatino Linotype" w:cs="Palatino Linotype"/>
        <w:color w:val="000000"/>
        <w:sz w:val="22"/>
        <w:szCs w:val="22"/>
      </w:rPr>
      <w:fldChar w:fldCharType="end"/>
    </w:r>
  </w:p>
  <w:p w:rsidR="00093B98" w:rsidRDefault="00093B9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1E" w:rsidRDefault="0030271E">
      <w:r>
        <w:separator/>
      </w:r>
    </w:p>
  </w:footnote>
  <w:footnote w:type="continuationSeparator" w:id="0">
    <w:p w:rsidR="0030271E" w:rsidRDefault="0030271E">
      <w:r>
        <w:continuationSeparator/>
      </w:r>
    </w:p>
  </w:footnote>
  <w:footnote w:id="1">
    <w:p w:rsidR="00093B98" w:rsidRDefault="00093B98">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2002351.</w:t>
      </w:r>
    </w:p>
  </w:footnote>
  <w:footnote w:id="3">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2002350.</w:t>
      </w:r>
    </w:p>
  </w:footnote>
  <w:footnote w:id="4">
    <w:p w:rsidR="00093B98" w:rsidRDefault="00093B98">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rsidR="00093B98" w:rsidRDefault="00093B98">
      <w:pPr>
        <w:pBdr>
          <w:top w:val="nil"/>
          <w:left w:val="nil"/>
          <w:bottom w:val="nil"/>
          <w:right w:val="nil"/>
          <w:between w:val="nil"/>
        </w:pBdr>
        <w:jc w:val="both"/>
        <w:rPr>
          <w:i/>
          <w:color w:val="000000"/>
          <w:sz w:val="20"/>
          <w:szCs w:val="20"/>
        </w:rPr>
      </w:pPr>
      <w:r>
        <w:rPr>
          <w:i/>
          <w:color w:val="000000"/>
          <w:sz w:val="20"/>
          <w:szCs w:val="20"/>
        </w:rPr>
        <w:t>(…)</w:t>
      </w:r>
    </w:p>
    <w:p w:rsidR="00093B98" w:rsidRDefault="00093B98">
      <w:pPr>
        <w:pBdr>
          <w:top w:val="nil"/>
          <w:left w:val="nil"/>
          <w:bottom w:val="nil"/>
          <w:right w:val="nil"/>
          <w:between w:val="nil"/>
        </w:pBdr>
        <w:jc w:val="both"/>
        <w:rPr>
          <w:i/>
          <w:color w:val="000000"/>
          <w:sz w:val="20"/>
          <w:szCs w:val="20"/>
        </w:rPr>
      </w:pPr>
      <w:r>
        <w:rPr>
          <w:b/>
          <w:i/>
          <w:color w:val="000000"/>
          <w:sz w:val="20"/>
          <w:szCs w:val="20"/>
        </w:rPr>
        <w:t>II.</w:t>
      </w:r>
      <w:r>
        <w:rPr>
          <w:i/>
          <w:color w:val="000000"/>
          <w:sz w:val="20"/>
          <w:szCs w:val="20"/>
        </w:rPr>
        <w:t xml:space="preserve"> La clasificación de la información;</w:t>
      </w:r>
    </w:p>
    <w:p w:rsidR="00093B98" w:rsidRDefault="00093B98">
      <w:pPr>
        <w:pBdr>
          <w:top w:val="nil"/>
          <w:left w:val="nil"/>
          <w:bottom w:val="nil"/>
          <w:right w:val="nil"/>
          <w:between w:val="nil"/>
        </w:pBdr>
        <w:jc w:val="both"/>
        <w:rPr>
          <w:color w:val="000000"/>
          <w:sz w:val="20"/>
          <w:szCs w:val="20"/>
        </w:rPr>
      </w:pPr>
      <w:r>
        <w:rPr>
          <w:i/>
          <w:color w:val="000000"/>
          <w:sz w:val="20"/>
          <w:szCs w:val="20"/>
        </w:rPr>
        <w:t>(...)”</w:t>
      </w:r>
    </w:p>
  </w:footnote>
  <w:footnote w:id="5">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176, Ley de Transparencia y Acceso a la Información Pública del Estado de México y Municipios.</w:t>
      </w:r>
    </w:p>
  </w:footnote>
  <w:footnote w:id="6">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7">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8">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9">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0">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1">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2">
    <w:p w:rsidR="00093B98" w:rsidRDefault="00093B9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rsidR="00093B98" w:rsidRDefault="00093B9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roofErr w:type="gramStart"/>
      <w:r>
        <w:rPr>
          <w:rFonts w:ascii="Palatino Linotype" w:eastAsia="Palatino Linotype" w:hAnsi="Palatino Linotype" w:cs="Palatino Linotype"/>
          <w:color w:val="000000"/>
          <w:sz w:val="18"/>
          <w:szCs w:val="18"/>
        </w:rPr>
        <w:t>.(</w:t>
      </w:r>
      <w:proofErr w:type="gramEnd"/>
      <w:r>
        <w:rPr>
          <w:rFonts w:ascii="Palatino Linotype" w:eastAsia="Palatino Linotype" w:hAnsi="Palatino Linotype" w:cs="Palatino Linotype"/>
          <w:color w:val="000000"/>
          <w:sz w:val="18"/>
          <w:szCs w:val="18"/>
        </w:rPr>
        <w:t>…)</w:t>
      </w:r>
    </w:p>
    <w:p w:rsidR="00093B98" w:rsidRDefault="00093B9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093B98" w:rsidRDefault="00093B98">
      <w:pPr>
        <w:pBdr>
          <w:top w:val="nil"/>
          <w:left w:val="nil"/>
          <w:bottom w:val="nil"/>
          <w:right w:val="nil"/>
          <w:between w:val="nil"/>
        </w:pBdr>
        <w:rPr>
          <w:color w:val="000000"/>
          <w:sz w:val="20"/>
          <w:szCs w:val="20"/>
        </w:rPr>
      </w:pPr>
      <w:r>
        <w:rPr>
          <w:color w:val="000000"/>
          <w:sz w:val="20"/>
          <w:szCs w:val="20"/>
        </w:rPr>
        <w:t>(…)”</w:t>
      </w:r>
    </w:p>
  </w:footnote>
  <w:footnote w:id="13">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5.128, Código Civil del Estado de México.</w:t>
      </w:r>
    </w:p>
  </w:footnote>
  <w:footnote w:id="14">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https://www.pjedomex.gob.mx/archivos/archivo1.pdf</w:t>
      </w:r>
    </w:p>
  </w:footnote>
  <w:footnote w:id="15">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132, Ley de Transparencia y Acceso a la Información Pública del Estado de México y Municipios.</w:t>
      </w:r>
    </w:p>
  </w:footnote>
  <w:footnote w:id="16">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128, Ley de Transparencia y Acceso a la Información Pública del Estado de México y Municipios.</w:t>
      </w:r>
    </w:p>
  </w:footnote>
  <w:footnote w:id="17">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129, Ídem.</w:t>
      </w:r>
    </w:p>
  </w:footnote>
  <w:footnote w:id="18">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134, Ley de Transparencia y Acceso a la Información Pública del Estado de México y Municipios.</w:t>
      </w:r>
    </w:p>
  </w:footnote>
  <w:footnote w:id="19">
    <w:p w:rsidR="00093B98" w:rsidRDefault="00093B9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130, Ley de Transparencia y Acceso a la Información Pública del Estado de México y Municipios.</w:t>
      </w:r>
    </w:p>
  </w:footnote>
  <w:footnote w:id="20">
    <w:p w:rsidR="00093B98" w:rsidRDefault="00093B9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Lineamiento Segundo, fracción XVI, Lineamientos Generales en Materia de Clasificación y Desclasificación de la Información, así como para la Elaboración de la Versiones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7239" w:type="dxa"/>
      <w:tblInd w:w="2375" w:type="dxa"/>
      <w:tblBorders>
        <w:top w:val="nil"/>
        <w:left w:val="nil"/>
        <w:bottom w:val="nil"/>
        <w:right w:val="nil"/>
        <w:insideH w:val="nil"/>
        <w:insideV w:val="nil"/>
      </w:tblBorders>
      <w:tblLayout w:type="fixed"/>
      <w:tblLook w:val="0400" w:firstRow="0" w:lastRow="0" w:firstColumn="0" w:lastColumn="0" w:noHBand="0" w:noVBand="1"/>
    </w:tblPr>
    <w:tblGrid>
      <w:gridCol w:w="3828"/>
      <w:gridCol w:w="3411"/>
    </w:tblGrid>
    <w:tr w:rsidR="00093B98" w:rsidTr="00E17A52">
      <w:trPr>
        <w:trHeight w:val="138"/>
      </w:trPr>
      <w:tc>
        <w:tcPr>
          <w:tcW w:w="3828" w:type="dxa"/>
          <w:vAlign w:val="center"/>
        </w:tcPr>
        <w:p w:rsidR="00093B98" w:rsidRDefault="00093B98">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11" w:type="dxa"/>
          <w:vAlign w:val="center"/>
        </w:tcPr>
        <w:p w:rsidR="00093B98" w:rsidRDefault="00093B98">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01058/INFOEM/IP/RR/2023</w:t>
          </w:r>
        </w:p>
      </w:tc>
    </w:tr>
    <w:tr w:rsidR="00093B98" w:rsidTr="00E17A52">
      <w:trPr>
        <w:trHeight w:val="233"/>
      </w:trPr>
      <w:tc>
        <w:tcPr>
          <w:tcW w:w="3828" w:type="dxa"/>
          <w:vAlign w:val="center"/>
        </w:tcPr>
        <w:p w:rsidR="00093B98" w:rsidRDefault="00093B98">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11" w:type="dxa"/>
          <w:vAlign w:val="center"/>
        </w:tcPr>
        <w:p w:rsidR="00093B98" w:rsidRDefault="00093B98">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Poder Judicial</w:t>
          </w:r>
        </w:p>
      </w:tc>
    </w:tr>
    <w:tr w:rsidR="00093B98" w:rsidTr="00E17A52">
      <w:trPr>
        <w:trHeight w:val="321"/>
      </w:trPr>
      <w:tc>
        <w:tcPr>
          <w:tcW w:w="3828" w:type="dxa"/>
          <w:vAlign w:val="center"/>
        </w:tcPr>
        <w:p w:rsidR="00093B98" w:rsidRDefault="00093B98">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11" w:type="dxa"/>
          <w:vAlign w:val="center"/>
        </w:tcPr>
        <w:p w:rsidR="00093B98" w:rsidRDefault="00093B98">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93B98" w:rsidRDefault="00E17A52">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7216" behindDoc="1" locked="0" layoutInCell="1" hidden="0" allowOverlap="1">
          <wp:simplePos x="0" y="0"/>
          <wp:positionH relativeFrom="margin">
            <wp:align>center</wp:align>
          </wp:positionH>
          <wp:positionV relativeFrom="paragraph">
            <wp:posOffset>-1209220</wp:posOffset>
          </wp:positionV>
          <wp:extent cx="7694930" cy="10020300"/>
          <wp:effectExtent l="0" t="0" r="127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7500" w:type="dxa"/>
      <w:tblInd w:w="2190" w:type="dxa"/>
      <w:tblBorders>
        <w:top w:val="nil"/>
        <w:left w:val="nil"/>
        <w:bottom w:val="nil"/>
        <w:right w:val="nil"/>
        <w:insideH w:val="nil"/>
        <w:insideV w:val="nil"/>
      </w:tblBorders>
      <w:tblLayout w:type="fixed"/>
      <w:tblLook w:val="0400" w:firstRow="0" w:lastRow="0" w:firstColumn="0" w:lastColumn="0" w:noHBand="0" w:noVBand="1"/>
    </w:tblPr>
    <w:tblGrid>
      <w:gridCol w:w="3775"/>
      <w:gridCol w:w="3725"/>
    </w:tblGrid>
    <w:tr w:rsidR="00093B98" w:rsidTr="00E17A52">
      <w:trPr>
        <w:trHeight w:val="138"/>
      </w:trPr>
      <w:tc>
        <w:tcPr>
          <w:tcW w:w="3775" w:type="dxa"/>
          <w:vAlign w:val="center"/>
        </w:tcPr>
        <w:p w:rsidR="00093B98" w:rsidRDefault="00093B98">
          <w:pPr>
            <w:ind w:left="283" w:right="-115"/>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3725" w:type="dxa"/>
          <w:vAlign w:val="center"/>
        </w:tcPr>
        <w:p w:rsidR="00093B98" w:rsidRDefault="00093B98">
          <w:pPr>
            <w:pBdr>
              <w:top w:val="nil"/>
              <w:left w:val="nil"/>
              <w:bottom w:val="nil"/>
              <w:right w:val="nil"/>
              <w:between w:val="nil"/>
            </w:pBdr>
            <w:tabs>
              <w:tab w:val="center" w:pos="4252"/>
              <w:tab w:val="right" w:pos="8504"/>
            </w:tabs>
            <w:ind w:left="141" w:right="-1024"/>
            <w:rPr>
              <w:rFonts w:ascii="Palatino Linotype" w:eastAsia="Palatino Linotype" w:hAnsi="Palatino Linotype" w:cs="Palatino Linotype"/>
            </w:rPr>
          </w:pPr>
          <w:r>
            <w:rPr>
              <w:rFonts w:ascii="Palatino Linotype" w:eastAsia="Palatino Linotype" w:hAnsi="Palatino Linotype" w:cs="Palatino Linotype"/>
            </w:rPr>
            <w:t>01058/INFOEM/IP/RR/2023</w:t>
          </w:r>
        </w:p>
      </w:tc>
    </w:tr>
    <w:tr w:rsidR="00093B98" w:rsidTr="00E17A52">
      <w:trPr>
        <w:trHeight w:val="233"/>
      </w:trPr>
      <w:tc>
        <w:tcPr>
          <w:tcW w:w="3775" w:type="dxa"/>
          <w:vAlign w:val="center"/>
        </w:tcPr>
        <w:p w:rsidR="00093B98" w:rsidRDefault="00093B98">
          <w:pPr>
            <w:ind w:left="283" w:right="-115"/>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725" w:type="dxa"/>
        </w:tcPr>
        <w:p w:rsidR="00093B98" w:rsidRDefault="00093B98">
          <w:pPr>
            <w:pBdr>
              <w:top w:val="nil"/>
              <w:left w:val="nil"/>
              <w:bottom w:val="nil"/>
              <w:right w:val="nil"/>
              <w:between w:val="nil"/>
            </w:pBdr>
            <w:tabs>
              <w:tab w:val="center" w:pos="4252"/>
              <w:tab w:val="right" w:pos="8504"/>
            </w:tabs>
            <w:ind w:left="141" w:right="-1024"/>
            <w:rPr>
              <w:rFonts w:ascii="Palatino Linotype" w:eastAsia="Palatino Linotype" w:hAnsi="Palatino Linotype" w:cs="Palatino Linotype"/>
            </w:rPr>
          </w:pPr>
        </w:p>
      </w:tc>
    </w:tr>
    <w:tr w:rsidR="00093B98" w:rsidTr="00E17A52">
      <w:trPr>
        <w:trHeight w:val="321"/>
      </w:trPr>
      <w:tc>
        <w:tcPr>
          <w:tcW w:w="3775" w:type="dxa"/>
          <w:vAlign w:val="center"/>
        </w:tcPr>
        <w:p w:rsidR="00093B98" w:rsidRDefault="00093B98">
          <w:pPr>
            <w:ind w:left="283" w:right="-115"/>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25" w:type="dxa"/>
          <w:vAlign w:val="center"/>
        </w:tcPr>
        <w:p w:rsidR="00093B98" w:rsidRDefault="00093B98">
          <w:pPr>
            <w:pBdr>
              <w:top w:val="nil"/>
              <w:left w:val="nil"/>
              <w:bottom w:val="nil"/>
              <w:right w:val="nil"/>
              <w:between w:val="nil"/>
            </w:pBdr>
            <w:tabs>
              <w:tab w:val="center" w:pos="4252"/>
              <w:tab w:val="right" w:pos="8504"/>
            </w:tabs>
            <w:ind w:left="141" w:right="-1024"/>
            <w:rPr>
              <w:rFonts w:ascii="Palatino Linotype" w:eastAsia="Palatino Linotype" w:hAnsi="Palatino Linotype" w:cs="Palatino Linotype"/>
            </w:rPr>
          </w:pPr>
          <w:r>
            <w:rPr>
              <w:rFonts w:ascii="Palatino Linotype" w:eastAsia="Palatino Linotype" w:hAnsi="Palatino Linotype" w:cs="Palatino Linotype"/>
            </w:rPr>
            <w:t>Poder Judicial</w:t>
          </w:r>
        </w:p>
      </w:tc>
    </w:tr>
    <w:tr w:rsidR="00093B98" w:rsidTr="00E17A52">
      <w:trPr>
        <w:trHeight w:val="321"/>
      </w:trPr>
      <w:tc>
        <w:tcPr>
          <w:tcW w:w="3775" w:type="dxa"/>
          <w:vAlign w:val="center"/>
        </w:tcPr>
        <w:p w:rsidR="00093B98" w:rsidRDefault="00093B98">
          <w:pPr>
            <w:ind w:left="283" w:right="-115"/>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25" w:type="dxa"/>
          <w:vAlign w:val="center"/>
        </w:tcPr>
        <w:p w:rsidR="00093B98" w:rsidRDefault="00093B98">
          <w:pPr>
            <w:pBdr>
              <w:top w:val="nil"/>
              <w:left w:val="nil"/>
              <w:bottom w:val="nil"/>
              <w:right w:val="nil"/>
              <w:between w:val="nil"/>
            </w:pBdr>
            <w:tabs>
              <w:tab w:val="center" w:pos="4252"/>
              <w:tab w:val="right" w:pos="8504"/>
            </w:tabs>
            <w:ind w:left="141" w:right="-102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093B98" w:rsidRDefault="0030271E">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6.5pt;margin-top:-122.3pt;width:663.5pt;height:12in;z-index:-251658240;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196"/>
    <w:multiLevelType w:val="multilevel"/>
    <w:tmpl w:val="C0B09FC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B91EB6"/>
    <w:multiLevelType w:val="multilevel"/>
    <w:tmpl w:val="EA66D36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2C7407"/>
    <w:multiLevelType w:val="multilevel"/>
    <w:tmpl w:val="1680928C"/>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8C7975"/>
    <w:multiLevelType w:val="multilevel"/>
    <w:tmpl w:val="9FC82F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336869CA"/>
    <w:multiLevelType w:val="multilevel"/>
    <w:tmpl w:val="6B7E184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145FDC"/>
    <w:multiLevelType w:val="multilevel"/>
    <w:tmpl w:val="7668E1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155095"/>
    <w:multiLevelType w:val="multilevel"/>
    <w:tmpl w:val="7056FBA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6B2D5D58"/>
    <w:multiLevelType w:val="multilevel"/>
    <w:tmpl w:val="A7AAC68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8929D7"/>
    <w:multiLevelType w:val="multilevel"/>
    <w:tmpl w:val="B83692EE"/>
    <w:lvl w:ilvl="0">
      <w:start w:val="1"/>
      <w:numFmt w:val="upperRoman"/>
      <w:lvlText w:val="%1."/>
      <w:lvlJc w:val="right"/>
      <w:pPr>
        <w:ind w:left="1287" w:hanging="360"/>
      </w:pPr>
      <w:rPr>
        <w:b/>
        <w:i w:val="0"/>
        <w:sz w:val="22"/>
        <w:szCs w:val="22"/>
      </w:rPr>
    </w:lvl>
    <w:lvl w:ilvl="1">
      <w:start w:val="1"/>
      <w:numFmt w:val="lowerLetter"/>
      <w:lvlText w:val="%2)"/>
      <w:lvlJc w:val="left"/>
      <w:pPr>
        <w:ind w:left="2007" w:hanging="360"/>
      </w:pPr>
      <w:rPr>
        <w:b/>
        <w:i w:val="0"/>
        <w:sz w:val="22"/>
        <w:szCs w:val="22"/>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6DE66D6E"/>
    <w:multiLevelType w:val="multilevel"/>
    <w:tmpl w:val="DDB041F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64403E"/>
    <w:multiLevelType w:val="multilevel"/>
    <w:tmpl w:val="97D8C33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upperRoman"/>
      <w:lvlText w:val="%3."/>
      <w:lvlJc w:val="righ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0"/>
  </w:num>
  <w:num w:numId="6">
    <w:abstractNumId w:val="8"/>
  </w:num>
  <w:num w:numId="7">
    <w:abstractNumId w:val="3"/>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08"/>
    <w:rsid w:val="00093B98"/>
    <w:rsid w:val="00246517"/>
    <w:rsid w:val="002E712E"/>
    <w:rsid w:val="0030271E"/>
    <w:rsid w:val="003C1796"/>
    <w:rsid w:val="006E3B75"/>
    <w:rsid w:val="00762008"/>
    <w:rsid w:val="007B21B7"/>
    <w:rsid w:val="00906203"/>
    <w:rsid w:val="00D05665"/>
    <w:rsid w:val="00D46891"/>
    <w:rsid w:val="00DB7E72"/>
    <w:rsid w:val="00E17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4B996E-3B07-4382-AF1F-CAF535F9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PuestoCar">
    <w:name w:val="Puesto Car"/>
    <w:basedOn w:val="Fuentedeprrafopredeter"/>
    <w:link w:val="Puest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3">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4">
    <w:basedOn w:val="TableNormal0"/>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0"/>
    <w:rPr>
      <w:color w:val="000000"/>
      <w:sz w:val="22"/>
      <w:szCs w:val="22"/>
    </w:rPr>
    <w:tblPr>
      <w:tblStyleRowBandSize w:val="1"/>
      <w:tblStyleColBandSize w:val="1"/>
      <w:tblCellMar>
        <w:top w:w="0" w:type="dxa"/>
        <w:left w:w="108" w:type="dxa"/>
        <w:bottom w:w="0" w:type="dxa"/>
        <w:right w:w="108" w:type="dxa"/>
      </w:tblCellMar>
    </w:tblPr>
  </w:style>
  <w:style w:type="table" w:customStyle="1" w:styleId="a6">
    <w:basedOn w:val="TableNormal0"/>
    <w:rPr>
      <w:color w:val="000000"/>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Fjg2ypMCIFOpZq4nK2lksEjhw==">CgMxLjAyCGguZ2pkZ3hzMgloLjMwajB6bGwyCWguMWZvYjl0ZTIJaC4zem55c2g3MgloLjJldDkycDAyCGgudHlqY3d0MgloLjNkeTZ2a20yCWguMXQzaDVzZjIJaC40ZDM0b2c4MgloLjE3ZHA4dnUyCGgubG54Yno5MgloLjNyZGNyam4yCWguMjZpbjFyZzIOaC5wZDJjdWl2Ym1tMXIyDWguOHhocGViZTU4dGEyDmgueXBiemNyaGMxcnI0Mg5oLnIzYmNhcWxiZm9mcTIJaC4yNmluMXJnOAByITFER3hsQzhWd0ZXRmhjeU8xaDZxN21qTXFGUTNzTnF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16000</Words>
  <Characters>88001</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USUARIO</cp:lastModifiedBy>
  <cp:revision>5</cp:revision>
  <cp:lastPrinted>2024-08-15T17:09:00Z</cp:lastPrinted>
  <dcterms:created xsi:type="dcterms:W3CDTF">2024-08-13T19:15:00Z</dcterms:created>
  <dcterms:modified xsi:type="dcterms:W3CDTF">2024-08-15T17:09:00Z</dcterms:modified>
</cp:coreProperties>
</file>