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5F0D0" w14:textId="77777777" w:rsidR="00392D78" w:rsidRPr="00B17AA2" w:rsidRDefault="00295D68">
      <w:pPr>
        <w:spacing w:before="240" w:after="240" w:line="360" w:lineRule="auto"/>
        <w:jc w:val="both"/>
        <w:rPr>
          <w:rFonts w:ascii="Palatino Linotype" w:eastAsia="Palatino Linotype" w:hAnsi="Palatino Linotype" w:cs="Palatino Linotype"/>
        </w:rPr>
      </w:pPr>
      <w:bookmarkStart w:id="0" w:name="_heading=h.35nkun2" w:colFirst="0" w:colLast="0"/>
      <w:bookmarkEnd w:id="0"/>
      <w:r w:rsidRPr="00B17AA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364ABC" w:rsidRPr="00B17AA2">
        <w:rPr>
          <w:rFonts w:ascii="Palatino Linotype" w:eastAsia="Palatino Linotype" w:hAnsi="Palatino Linotype" w:cs="Palatino Linotype"/>
        </w:rPr>
        <w:t xml:space="preserve">tres de abril </w:t>
      </w:r>
      <w:r w:rsidRPr="00B17AA2">
        <w:rPr>
          <w:rFonts w:ascii="Palatino Linotype" w:eastAsia="Palatino Linotype" w:hAnsi="Palatino Linotype" w:cs="Palatino Linotype"/>
        </w:rPr>
        <w:t xml:space="preserve">de dos mil veinticuatro. </w:t>
      </w:r>
    </w:p>
    <w:p w14:paraId="77843493" w14:textId="4696B481"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b/>
        </w:rPr>
        <w:t>VISTO</w:t>
      </w:r>
      <w:r w:rsidRPr="00B17AA2">
        <w:rPr>
          <w:rFonts w:ascii="Palatino Linotype" w:eastAsia="Palatino Linotype" w:hAnsi="Palatino Linotype" w:cs="Palatino Linotype"/>
        </w:rPr>
        <w:t xml:space="preserve"> el expediente formado con motivo del recurso de revisión </w:t>
      </w:r>
      <w:r w:rsidRPr="00B17AA2">
        <w:rPr>
          <w:rFonts w:ascii="Palatino Linotype" w:eastAsia="Palatino Linotype" w:hAnsi="Palatino Linotype" w:cs="Palatino Linotype"/>
          <w:b/>
        </w:rPr>
        <w:t>01719/INFOEM/IP/RR/2023</w:t>
      </w:r>
      <w:r w:rsidRPr="00B17AA2">
        <w:rPr>
          <w:rFonts w:ascii="Palatino Linotype" w:eastAsia="Palatino Linotype" w:hAnsi="Palatino Linotype" w:cs="Palatino Linotype"/>
        </w:rPr>
        <w:t xml:space="preserve">, interpuesto por </w:t>
      </w:r>
      <w:r w:rsidR="00D119B8">
        <w:rPr>
          <w:rFonts w:ascii="Palatino Linotype" w:eastAsia="Palatino Linotype" w:hAnsi="Palatino Linotype" w:cs="Palatino Linotype"/>
          <w:b/>
        </w:rPr>
        <w:t>XXXX XXX XXXX XX XXXX</w:t>
      </w:r>
      <w:r w:rsidRPr="00B17AA2">
        <w:rPr>
          <w:rFonts w:ascii="Palatino Linotype" w:eastAsia="Palatino Linotype" w:hAnsi="Palatino Linotype" w:cs="Palatino Linotype"/>
          <w:b/>
        </w:rPr>
        <w:t>,</w:t>
      </w:r>
      <w:r w:rsidRPr="00B17AA2">
        <w:rPr>
          <w:rFonts w:ascii="Palatino Linotype" w:eastAsia="Palatino Linotype" w:hAnsi="Palatino Linotype" w:cs="Palatino Linotype"/>
        </w:rPr>
        <w:t xml:space="preserve"> en lo sucesivo</w:t>
      </w:r>
      <w:r w:rsidRPr="00B17AA2">
        <w:rPr>
          <w:rFonts w:ascii="Palatino Linotype" w:eastAsia="Palatino Linotype" w:hAnsi="Palatino Linotype" w:cs="Palatino Linotype"/>
          <w:b/>
        </w:rPr>
        <w:t xml:space="preserve"> </w:t>
      </w:r>
      <w:r w:rsidRPr="00B17AA2">
        <w:rPr>
          <w:rFonts w:ascii="Palatino Linotype" w:eastAsia="Palatino Linotype" w:hAnsi="Palatino Linotype" w:cs="Palatino Linotype"/>
        </w:rPr>
        <w:t xml:space="preserve">la parte </w:t>
      </w:r>
      <w:r w:rsidRPr="00B17AA2">
        <w:rPr>
          <w:rFonts w:ascii="Palatino Linotype" w:eastAsia="Palatino Linotype" w:hAnsi="Palatino Linotype" w:cs="Palatino Linotype"/>
          <w:b/>
        </w:rPr>
        <w:t>Recurrente,</w:t>
      </w:r>
      <w:r w:rsidRPr="00B17AA2">
        <w:rPr>
          <w:rFonts w:ascii="Palatino Linotype" w:eastAsia="Palatino Linotype" w:hAnsi="Palatino Linotype" w:cs="Palatino Linotype"/>
        </w:rPr>
        <w:t xml:space="preserve"> en contra de la respuesta a la solicitud de información con número de folio </w:t>
      </w:r>
      <w:r w:rsidRPr="00B17AA2">
        <w:rPr>
          <w:rFonts w:ascii="Palatino Linotype" w:eastAsia="Palatino Linotype" w:hAnsi="Palatino Linotype" w:cs="Palatino Linotype"/>
          <w:b/>
        </w:rPr>
        <w:t xml:space="preserve">00033/LERMA/IP/2023, </w:t>
      </w:r>
      <w:r w:rsidRPr="00B17AA2">
        <w:rPr>
          <w:rFonts w:ascii="Palatino Linotype" w:eastAsia="Palatino Linotype" w:hAnsi="Palatino Linotype" w:cs="Palatino Linotype"/>
        </w:rPr>
        <w:t xml:space="preserve">por parte del </w:t>
      </w:r>
      <w:r w:rsidRPr="00B17AA2">
        <w:rPr>
          <w:rFonts w:ascii="Palatino Linotype" w:eastAsia="Palatino Linotype" w:hAnsi="Palatino Linotype" w:cs="Palatino Linotype"/>
          <w:b/>
        </w:rPr>
        <w:t xml:space="preserve">Ayuntamiento de Lerma, </w:t>
      </w:r>
      <w:r w:rsidRPr="00B17AA2">
        <w:rPr>
          <w:rFonts w:ascii="Palatino Linotype" w:eastAsia="Palatino Linotype" w:hAnsi="Palatino Linotype" w:cs="Palatino Linotype"/>
        </w:rPr>
        <w:t xml:space="preserve">en lo sucesivo el </w:t>
      </w:r>
      <w:r w:rsidRPr="00B17AA2">
        <w:rPr>
          <w:rFonts w:ascii="Palatino Linotype" w:eastAsia="Palatino Linotype" w:hAnsi="Palatino Linotype" w:cs="Palatino Linotype"/>
          <w:b/>
        </w:rPr>
        <w:t xml:space="preserve">Sujeto Obligado, </w:t>
      </w:r>
      <w:r w:rsidRPr="00B17AA2">
        <w:rPr>
          <w:rFonts w:ascii="Palatino Linotype" w:eastAsia="Palatino Linotype" w:hAnsi="Palatino Linotype" w:cs="Palatino Linotype"/>
        </w:rPr>
        <w:t xml:space="preserve">se procede a dictar la presente resolución con base en los siguientes: </w:t>
      </w:r>
    </w:p>
    <w:p w14:paraId="25E1E384" w14:textId="77777777" w:rsidR="00392D78" w:rsidRPr="00B17AA2" w:rsidRDefault="00295D68">
      <w:pPr>
        <w:spacing w:before="240" w:after="240" w:line="360" w:lineRule="auto"/>
        <w:jc w:val="center"/>
        <w:rPr>
          <w:rFonts w:ascii="Palatino Linotype" w:eastAsia="Palatino Linotype" w:hAnsi="Palatino Linotype" w:cs="Palatino Linotype"/>
          <w:b/>
        </w:rPr>
      </w:pPr>
      <w:r w:rsidRPr="00B17AA2">
        <w:rPr>
          <w:rFonts w:ascii="Palatino Linotype" w:eastAsia="Palatino Linotype" w:hAnsi="Palatino Linotype" w:cs="Palatino Linotype"/>
          <w:b/>
        </w:rPr>
        <w:t>I. A N T E C E D E N T E S</w:t>
      </w:r>
    </w:p>
    <w:p w14:paraId="65E1F905"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b/>
        </w:rPr>
        <w:t>1. Solicitud de acceso a la información.</w:t>
      </w:r>
      <w:r w:rsidRPr="00B17AA2">
        <w:rPr>
          <w:rFonts w:ascii="Palatino Linotype" w:eastAsia="Palatino Linotype" w:hAnsi="Palatino Linotype" w:cs="Palatino Linotype"/>
        </w:rPr>
        <w:t xml:space="preserve"> Con fecha </w:t>
      </w:r>
      <w:r w:rsidRPr="00B17AA2">
        <w:rPr>
          <w:rFonts w:ascii="Palatino Linotype" w:eastAsia="Palatino Linotype" w:hAnsi="Palatino Linotype" w:cs="Palatino Linotype"/>
          <w:b/>
        </w:rPr>
        <w:t>veinticuatro de febrero de dos mil veintitrés,</w:t>
      </w:r>
      <w:r w:rsidRPr="00B17AA2">
        <w:rPr>
          <w:rFonts w:ascii="Palatino Linotype" w:eastAsia="Palatino Linotype" w:hAnsi="Palatino Linotype" w:cs="Palatino Linotype"/>
        </w:rPr>
        <w:t xml:space="preserve"> la parte </w:t>
      </w:r>
      <w:r w:rsidRPr="00B17AA2">
        <w:rPr>
          <w:rFonts w:ascii="Palatino Linotype" w:eastAsia="Palatino Linotype" w:hAnsi="Palatino Linotype" w:cs="Palatino Linotype"/>
          <w:b/>
        </w:rPr>
        <w:t xml:space="preserve">Recurrente </w:t>
      </w:r>
      <w:r w:rsidRPr="00B17AA2">
        <w:rPr>
          <w:rFonts w:ascii="Palatino Linotype" w:eastAsia="Palatino Linotype" w:hAnsi="Palatino Linotype" w:cs="Palatino Linotype"/>
        </w:rPr>
        <w:t xml:space="preserve">presentó, a través del Sistema de Acceso a la Información Mexiquense, en lo subsecuente el </w:t>
      </w:r>
      <w:r w:rsidRPr="00B17AA2">
        <w:rPr>
          <w:rFonts w:ascii="Palatino Linotype" w:eastAsia="Palatino Linotype" w:hAnsi="Palatino Linotype" w:cs="Palatino Linotype"/>
          <w:b/>
        </w:rPr>
        <w:t>SAIMEX,</w:t>
      </w:r>
      <w:r w:rsidRPr="00B17AA2">
        <w:rPr>
          <w:rFonts w:ascii="Palatino Linotype" w:eastAsia="Palatino Linotype" w:hAnsi="Palatino Linotype" w:cs="Palatino Linotype"/>
        </w:rPr>
        <w:t xml:space="preserve"> ante el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la solicitud de acceso a la información pública,</w:t>
      </w:r>
      <w:r w:rsidRPr="00B17AA2">
        <w:rPr>
          <w:rFonts w:ascii="Palatino Linotype" w:eastAsia="Palatino Linotype" w:hAnsi="Palatino Linotype" w:cs="Palatino Linotype"/>
          <w:b/>
        </w:rPr>
        <w:t xml:space="preserve"> </w:t>
      </w:r>
      <w:r w:rsidRPr="00B17AA2">
        <w:rPr>
          <w:rFonts w:ascii="Palatino Linotype" w:eastAsia="Palatino Linotype" w:hAnsi="Palatino Linotype" w:cs="Palatino Linotype"/>
        </w:rPr>
        <w:t xml:space="preserve">mediante la cual requirió la información siguiente: </w:t>
      </w:r>
    </w:p>
    <w:p w14:paraId="291B2C41" w14:textId="77777777" w:rsidR="00392D78" w:rsidRPr="00B17AA2" w:rsidRDefault="00295D68">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B17AA2">
        <w:rPr>
          <w:rFonts w:ascii="Palatino Linotype" w:eastAsia="Palatino Linotype" w:hAnsi="Palatino Linotype" w:cs="Palatino Linotype"/>
          <w:i/>
          <w:sz w:val="22"/>
          <w:szCs w:val="22"/>
        </w:rPr>
        <w:t xml:space="preserve">“solicito los gafetes de todo el personal del sujeto obligado desde el año 2016 al ejercicio actual 2023, el cual debe de coincidir con la información publicada dentro de su portal </w:t>
      </w:r>
      <w:proofErr w:type="spellStart"/>
      <w:r w:rsidRPr="00B17AA2">
        <w:rPr>
          <w:rFonts w:ascii="Palatino Linotype" w:eastAsia="Palatino Linotype" w:hAnsi="Palatino Linotype" w:cs="Palatino Linotype"/>
          <w:i/>
          <w:sz w:val="22"/>
          <w:szCs w:val="22"/>
        </w:rPr>
        <w:t>ipomex</w:t>
      </w:r>
      <w:proofErr w:type="spellEnd"/>
      <w:r w:rsidRPr="00B17AA2">
        <w:rPr>
          <w:rFonts w:ascii="Palatino Linotype" w:eastAsia="Palatino Linotype" w:hAnsi="Palatino Linotype" w:cs="Palatino Linotype"/>
          <w:i/>
          <w:sz w:val="22"/>
          <w:szCs w:val="22"/>
        </w:rPr>
        <w:t xml:space="preserve">, los cuales a </w:t>
      </w:r>
      <w:proofErr w:type="spellStart"/>
      <w:r w:rsidRPr="00B17AA2">
        <w:rPr>
          <w:rFonts w:ascii="Palatino Linotype" w:eastAsia="Palatino Linotype" w:hAnsi="Palatino Linotype" w:cs="Palatino Linotype"/>
          <w:i/>
          <w:sz w:val="22"/>
          <w:szCs w:val="22"/>
        </w:rPr>
        <w:t>excepcion</w:t>
      </w:r>
      <w:proofErr w:type="spellEnd"/>
      <w:r w:rsidRPr="00B17AA2">
        <w:rPr>
          <w:rFonts w:ascii="Palatino Linotype" w:eastAsia="Palatino Linotype" w:hAnsi="Palatino Linotype" w:cs="Palatino Linotype"/>
          <w:i/>
          <w:sz w:val="22"/>
          <w:szCs w:val="22"/>
        </w:rPr>
        <w:t xml:space="preserve"> de que lleven </w:t>
      </w:r>
      <w:proofErr w:type="spellStart"/>
      <w:r w:rsidRPr="00B17AA2">
        <w:rPr>
          <w:rFonts w:ascii="Palatino Linotype" w:eastAsia="Palatino Linotype" w:hAnsi="Palatino Linotype" w:cs="Palatino Linotype"/>
          <w:i/>
          <w:sz w:val="22"/>
          <w:szCs w:val="22"/>
        </w:rPr>
        <w:t>curp</w:t>
      </w:r>
      <w:proofErr w:type="spellEnd"/>
      <w:r w:rsidRPr="00B17AA2">
        <w:rPr>
          <w:rFonts w:ascii="Palatino Linotype" w:eastAsia="Palatino Linotype" w:hAnsi="Palatino Linotype" w:cs="Palatino Linotype"/>
          <w:i/>
          <w:sz w:val="22"/>
          <w:szCs w:val="22"/>
        </w:rPr>
        <w:t xml:space="preserve">, clave </w:t>
      </w:r>
      <w:proofErr w:type="spellStart"/>
      <w:r w:rsidRPr="00B17AA2">
        <w:rPr>
          <w:rFonts w:ascii="Palatino Linotype" w:eastAsia="Palatino Linotype" w:hAnsi="Palatino Linotype" w:cs="Palatino Linotype"/>
          <w:i/>
          <w:sz w:val="22"/>
          <w:szCs w:val="22"/>
        </w:rPr>
        <w:t>issemym</w:t>
      </w:r>
      <w:proofErr w:type="spellEnd"/>
      <w:r w:rsidRPr="00B17AA2">
        <w:rPr>
          <w:rFonts w:ascii="Palatino Linotype" w:eastAsia="Palatino Linotype" w:hAnsi="Palatino Linotype" w:cs="Palatino Linotype"/>
          <w:i/>
          <w:sz w:val="22"/>
          <w:szCs w:val="22"/>
        </w:rPr>
        <w:t xml:space="preserve"> o </w:t>
      </w:r>
      <w:proofErr w:type="spellStart"/>
      <w:r w:rsidRPr="00B17AA2">
        <w:rPr>
          <w:rFonts w:ascii="Palatino Linotype" w:eastAsia="Palatino Linotype" w:hAnsi="Palatino Linotype" w:cs="Palatino Linotype"/>
          <w:i/>
          <w:sz w:val="22"/>
          <w:szCs w:val="22"/>
        </w:rPr>
        <w:t>rfc</w:t>
      </w:r>
      <w:proofErr w:type="spellEnd"/>
      <w:r w:rsidRPr="00B17AA2">
        <w:rPr>
          <w:rFonts w:ascii="Palatino Linotype" w:eastAsia="Palatino Linotype" w:hAnsi="Palatino Linotype" w:cs="Palatino Linotype"/>
          <w:i/>
          <w:sz w:val="22"/>
          <w:szCs w:val="22"/>
        </w:rPr>
        <w:t xml:space="preserve"> deberán ir testados. No omito mencionar que los criterios del </w:t>
      </w:r>
      <w:proofErr w:type="spellStart"/>
      <w:r w:rsidRPr="00B17AA2">
        <w:rPr>
          <w:rFonts w:ascii="Palatino Linotype" w:eastAsia="Palatino Linotype" w:hAnsi="Palatino Linotype" w:cs="Palatino Linotype"/>
          <w:i/>
          <w:sz w:val="22"/>
          <w:szCs w:val="22"/>
        </w:rPr>
        <w:t>infoem</w:t>
      </w:r>
      <w:proofErr w:type="spellEnd"/>
      <w:r w:rsidRPr="00B17AA2">
        <w:rPr>
          <w:rFonts w:ascii="Palatino Linotype" w:eastAsia="Palatino Linotype" w:hAnsi="Palatino Linotype" w:cs="Palatino Linotype"/>
          <w:i/>
          <w:sz w:val="22"/>
          <w:szCs w:val="22"/>
        </w:rPr>
        <w:t xml:space="preserve"> para el tema de la reserva de las </w:t>
      </w:r>
      <w:proofErr w:type="spellStart"/>
      <w:r w:rsidRPr="00B17AA2">
        <w:rPr>
          <w:rFonts w:ascii="Palatino Linotype" w:eastAsia="Palatino Linotype" w:hAnsi="Palatino Linotype" w:cs="Palatino Linotype"/>
          <w:i/>
          <w:sz w:val="22"/>
          <w:szCs w:val="22"/>
        </w:rPr>
        <w:t>fotografias</w:t>
      </w:r>
      <w:proofErr w:type="spellEnd"/>
      <w:r w:rsidRPr="00B17AA2">
        <w:rPr>
          <w:rFonts w:ascii="Palatino Linotype" w:eastAsia="Palatino Linotype" w:hAnsi="Palatino Linotype" w:cs="Palatino Linotype"/>
          <w:i/>
          <w:sz w:val="22"/>
          <w:szCs w:val="22"/>
        </w:rPr>
        <w:t xml:space="preserve"> no son aplicables a mi solicitud y de igual manera no quiero una disociación de la información ya que esto no es un tema de información clasificada ni como reservada ni como confidencial por que dichos gafetes son portados en horarios laborales y no afectan ni su vida privada ni su integridad. La </w:t>
      </w:r>
      <w:proofErr w:type="spellStart"/>
      <w:r w:rsidRPr="00B17AA2">
        <w:rPr>
          <w:rFonts w:ascii="Palatino Linotype" w:eastAsia="Palatino Linotype" w:hAnsi="Palatino Linotype" w:cs="Palatino Linotype"/>
          <w:i/>
          <w:sz w:val="22"/>
          <w:szCs w:val="22"/>
        </w:rPr>
        <w:t>busqueda</w:t>
      </w:r>
      <w:proofErr w:type="spellEnd"/>
      <w:r w:rsidRPr="00B17AA2">
        <w:rPr>
          <w:rFonts w:ascii="Palatino Linotype" w:eastAsia="Palatino Linotype" w:hAnsi="Palatino Linotype" w:cs="Palatino Linotype"/>
          <w:i/>
          <w:sz w:val="22"/>
          <w:szCs w:val="22"/>
        </w:rPr>
        <w:t xml:space="preserve"> exhaustiva tampoco es aplicable toda vez que como se </w:t>
      </w:r>
      <w:r w:rsidRPr="00B17AA2">
        <w:rPr>
          <w:rFonts w:ascii="Palatino Linotype" w:eastAsia="Palatino Linotype" w:hAnsi="Palatino Linotype" w:cs="Palatino Linotype"/>
          <w:i/>
          <w:sz w:val="22"/>
          <w:szCs w:val="22"/>
        </w:rPr>
        <w:lastRenderedPageBreak/>
        <w:t xml:space="preserve">menciona en el </w:t>
      </w:r>
      <w:proofErr w:type="spellStart"/>
      <w:r w:rsidRPr="00B17AA2">
        <w:rPr>
          <w:rFonts w:ascii="Palatino Linotype" w:eastAsia="Palatino Linotype" w:hAnsi="Palatino Linotype" w:cs="Palatino Linotype"/>
          <w:i/>
          <w:sz w:val="22"/>
          <w:szCs w:val="22"/>
        </w:rPr>
        <w:t>articulo</w:t>
      </w:r>
      <w:proofErr w:type="spellEnd"/>
      <w:r w:rsidRPr="00B17AA2">
        <w:rPr>
          <w:rFonts w:ascii="Palatino Linotype" w:eastAsia="Palatino Linotype" w:hAnsi="Palatino Linotype" w:cs="Palatino Linotype"/>
          <w:i/>
          <w:sz w:val="22"/>
          <w:szCs w:val="22"/>
        </w:rPr>
        <w:t xml:space="preserve"> 12 de la ley de transparencia estatal se tiene que entregar aquello que obre en archivos. también solicito las cédulas de bases de datos personales donde se estipule la información correspondiente a los expedientes de los servidores públicos adscritos a su sujeto obligado. solicito </w:t>
      </w:r>
      <w:proofErr w:type="gramStart"/>
      <w:r w:rsidRPr="00B17AA2">
        <w:rPr>
          <w:rFonts w:ascii="Palatino Linotype" w:eastAsia="Palatino Linotype" w:hAnsi="Palatino Linotype" w:cs="Palatino Linotype"/>
          <w:i/>
          <w:sz w:val="22"/>
          <w:szCs w:val="22"/>
        </w:rPr>
        <w:t>todo los oficios generados</w:t>
      </w:r>
      <w:proofErr w:type="gramEnd"/>
      <w:r w:rsidRPr="00B17AA2">
        <w:rPr>
          <w:rFonts w:ascii="Palatino Linotype" w:eastAsia="Palatino Linotype" w:hAnsi="Palatino Linotype" w:cs="Palatino Linotype"/>
          <w:i/>
          <w:sz w:val="22"/>
          <w:szCs w:val="22"/>
        </w:rPr>
        <w:t xml:space="preserve"> por todas las unidades administrativas que conforman a su sujeto obligado así como todos los correos enviados y recibidos, </w:t>
      </w:r>
      <w:proofErr w:type="spellStart"/>
      <w:r w:rsidRPr="00B17AA2">
        <w:rPr>
          <w:rFonts w:ascii="Palatino Linotype" w:eastAsia="Palatino Linotype" w:hAnsi="Palatino Linotype" w:cs="Palatino Linotype"/>
          <w:i/>
          <w:sz w:val="22"/>
          <w:szCs w:val="22"/>
        </w:rPr>
        <w:t>se</w:t>
      </w:r>
      <w:proofErr w:type="spellEnd"/>
      <w:r w:rsidRPr="00B17AA2">
        <w:rPr>
          <w:rFonts w:ascii="Palatino Linotype" w:eastAsia="Palatino Linotype" w:hAnsi="Palatino Linotype" w:cs="Palatino Linotype"/>
          <w:i/>
          <w:sz w:val="22"/>
          <w:szCs w:val="22"/>
        </w:rPr>
        <w:t xml:space="preserve"> que la digitalización de los mismos no genera costo alguno toda vez que solo estoy solicitando algo que si obra en sus archivos y que el tratamiento de los mismos al no ser una labor que implique copiar o certificar se tiene que entregar de manera gratuita. requiero saber el estatus de sus cuentas bancarias actuales, así como también de las cuentas en desuso y congeladas desde el 1ero de enero de 2022 a la fecha, desglosadas por mes, esto derivado a que todas las bancas tienen la </w:t>
      </w:r>
      <w:proofErr w:type="spellStart"/>
      <w:r w:rsidRPr="00B17AA2">
        <w:rPr>
          <w:rFonts w:ascii="Palatino Linotype" w:eastAsia="Palatino Linotype" w:hAnsi="Palatino Linotype" w:cs="Palatino Linotype"/>
          <w:i/>
          <w:sz w:val="22"/>
          <w:szCs w:val="22"/>
        </w:rPr>
        <w:t>opcion</w:t>
      </w:r>
      <w:proofErr w:type="spellEnd"/>
      <w:r w:rsidRPr="00B17AA2">
        <w:rPr>
          <w:rFonts w:ascii="Palatino Linotype" w:eastAsia="Palatino Linotype" w:hAnsi="Palatino Linotype" w:cs="Palatino Linotype"/>
          <w:i/>
          <w:sz w:val="22"/>
          <w:szCs w:val="22"/>
        </w:rPr>
        <w:t xml:space="preserve"> de generar reportes mensuales. requiero saber todos los montos por concepto de descuento, faltas o inasistencias de su personal adscrito, esto es, desglosado por servidor público, desde el 1ero de enero de 2016 a la fecha. quisiera saber el listado de todas las armas activas, en desuso, en </w:t>
      </w:r>
      <w:proofErr w:type="spellStart"/>
      <w:r w:rsidRPr="00B17AA2">
        <w:rPr>
          <w:rFonts w:ascii="Palatino Linotype" w:eastAsia="Palatino Linotype" w:hAnsi="Palatino Linotype" w:cs="Palatino Linotype"/>
          <w:i/>
          <w:sz w:val="22"/>
          <w:szCs w:val="22"/>
        </w:rPr>
        <w:t>tramite</w:t>
      </w:r>
      <w:proofErr w:type="spellEnd"/>
      <w:r w:rsidRPr="00B17AA2">
        <w:rPr>
          <w:rFonts w:ascii="Palatino Linotype" w:eastAsia="Palatino Linotype" w:hAnsi="Palatino Linotype" w:cs="Palatino Linotype"/>
          <w:i/>
          <w:sz w:val="22"/>
          <w:szCs w:val="22"/>
        </w:rPr>
        <w:t xml:space="preserve"> de baja, facturas de compra de las mismas, </w:t>
      </w:r>
      <w:proofErr w:type="spellStart"/>
      <w:r w:rsidRPr="00B17AA2">
        <w:rPr>
          <w:rFonts w:ascii="Palatino Linotype" w:eastAsia="Palatino Linotype" w:hAnsi="Palatino Linotype" w:cs="Palatino Linotype"/>
          <w:i/>
          <w:sz w:val="22"/>
          <w:szCs w:val="22"/>
        </w:rPr>
        <w:t>resguardatario</w:t>
      </w:r>
      <w:proofErr w:type="spellEnd"/>
      <w:r w:rsidRPr="00B17AA2">
        <w:rPr>
          <w:rFonts w:ascii="Palatino Linotype" w:eastAsia="Palatino Linotype" w:hAnsi="Palatino Linotype" w:cs="Palatino Linotype"/>
          <w:i/>
          <w:sz w:val="22"/>
          <w:szCs w:val="22"/>
        </w:rPr>
        <w:t xml:space="preserve"> actual, listado de portación de armas de todos los </w:t>
      </w:r>
      <w:proofErr w:type="spellStart"/>
      <w:r w:rsidRPr="00B17AA2">
        <w:rPr>
          <w:rFonts w:ascii="Palatino Linotype" w:eastAsia="Palatino Linotype" w:hAnsi="Palatino Linotype" w:cs="Palatino Linotype"/>
          <w:i/>
          <w:sz w:val="22"/>
          <w:szCs w:val="22"/>
        </w:rPr>
        <w:t>policias</w:t>
      </w:r>
      <w:proofErr w:type="spellEnd"/>
      <w:r w:rsidRPr="00B17AA2">
        <w:rPr>
          <w:rFonts w:ascii="Palatino Linotype" w:eastAsia="Palatino Linotype" w:hAnsi="Palatino Linotype" w:cs="Palatino Linotype"/>
          <w:i/>
          <w:sz w:val="22"/>
          <w:szCs w:val="22"/>
        </w:rPr>
        <w:t xml:space="preserve"> y servidores públicos que la tengan, esto desde el 1ero de enero del 2016 a la fecha. expediente laboral y </w:t>
      </w:r>
      <w:proofErr w:type="spellStart"/>
      <w:r w:rsidRPr="00B17AA2">
        <w:rPr>
          <w:rFonts w:ascii="Palatino Linotype" w:eastAsia="Palatino Linotype" w:hAnsi="Palatino Linotype" w:cs="Palatino Linotype"/>
          <w:i/>
          <w:sz w:val="22"/>
          <w:szCs w:val="22"/>
        </w:rPr>
        <w:t>curriculum</w:t>
      </w:r>
      <w:proofErr w:type="spellEnd"/>
      <w:r w:rsidRPr="00B17AA2">
        <w:rPr>
          <w:rFonts w:ascii="Palatino Linotype" w:eastAsia="Palatino Linotype" w:hAnsi="Palatino Linotype" w:cs="Palatino Linotype"/>
          <w:i/>
          <w:sz w:val="22"/>
          <w:szCs w:val="22"/>
        </w:rPr>
        <w:t xml:space="preserve"> vitae de la/el asistente personal del presidente municipal, recibos de </w:t>
      </w:r>
      <w:proofErr w:type="spellStart"/>
      <w:r w:rsidRPr="00B17AA2">
        <w:rPr>
          <w:rFonts w:ascii="Palatino Linotype" w:eastAsia="Palatino Linotype" w:hAnsi="Palatino Linotype" w:cs="Palatino Linotype"/>
          <w:i/>
          <w:sz w:val="22"/>
          <w:szCs w:val="22"/>
        </w:rPr>
        <w:t>nomina</w:t>
      </w:r>
      <w:proofErr w:type="spellEnd"/>
      <w:r w:rsidRPr="00B17AA2">
        <w:rPr>
          <w:rFonts w:ascii="Palatino Linotype" w:eastAsia="Palatino Linotype" w:hAnsi="Palatino Linotype" w:cs="Palatino Linotype"/>
          <w:i/>
          <w:sz w:val="22"/>
          <w:szCs w:val="22"/>
        </w:rPr>
        <w:t xml:space="preserve">, gafete, listas de asistencia, listado de acceso en el checador institucional en formato </w:t>
      </w:r>
      <w:proofErr w:type="spellStart"/>
      <w:r w:rsidRPr="00B17AA2">
        <w:rPr>
          <w:rFonts w:ascii="Palatino Linotype" w:eastAsia="Palatino Linotype" w:hAnsi="Palatino Linotype" w:cs="Palatino Linotype"/>
          <w:i/>
          <w:sz w:val="22"/>
          <w:szCs w:val="22"/>
        </w:rPr>
        <w:t>excel</w:t>
      </w:r>
      <w:proofErr w:type="spellEnd"/>
      <w:r w:rsidRPr="00B17AA2">
        <w:rPr>
          <w:rFonts w:ascii="Palatino Linotype" w:eastAsia="Palatino Linotype" w:hAnsi="Palatino Linotype" w:cs="Palatino Linotype"/>
          <w:i/>
          <w:sz w:val="22"/>
          <w:szCs w:val="22"/>
        </w:rPr>
        <w:t xml:space="preserve"> desde el 1 ero de enero del 2022 a la fecha. </w:t>
      </w:r>
      <w:proofErr w:type="spellStart"/>
      <w:r w:rsidRPr="00B17AA2">
        <w:rPr>
          <w:rFonts w:ascii="Palatino Linotype" w:eastAsia="Palatino Linotype" w:hAnsi="Palatino Linotype" w:cs="Palatino Linotype"/>
          <w:i/>
          <w:sz w:val="22"/>
          <w:szCs w:val="22"/>
        </w:rPr>
        <w:t>bitacoras</w:t>
      </w:r>
      <w:proofErr w:type="spellEnd"/>
      <w:r w:rsidRPr="00B17AA2">
        <w:rPr>
          <w:rFonts w:ascii="Palatino Linotype" w:eastAsia="Palatino Linotype" w:hAnsi="Palatino Linotype" w:cs="Palatino Linotype"/>
          <w:i/>
          <w:sz w:val="22"/>
          <w:szCs w:val="22"/>
        </w:rPr>
        <w:t xml:space="preserve"> de gasolina desglosadas por dirección, departamento, </w:t>
      </w:r>
      <w:proofErr w:type="spellStart"/>
      <w:r w:rsidRPr="00B17AA2">
        <w:rPr>
          <w:rFonts w:ascii="Palatino Linotype" w:eastAsia="Palatino Linotype" w:hAnsi="Palatino Linotype" w:cs="Palatino Linotype"/>
          <w:i/>
          <w:sz w:val="22"/>
          <w:szCs w:val="22"/>
        </w:rPr>
        <w:t>vehiculo</w:t>
      </w:r>
      <w:proofErr w:type="spellEnd"/>
      <w:r w:rsidRPr="00B17AA2">
        <w:rPr>
          <w:rFonts w:ascii="Palatino Linotype" w:eastAsia="Palatino Linotype" w:hAnsi="Palatino Linotype" w:cs="Palatino Linotype"/>
          <w:i/>
          <w:sz w:val="22"/>
          <w:szCs w:val="22"/>
        </w:rPr>
        <w:t xml:space="preserve">, si es </w:t>
      </w:r>
      <w:proofErr w:type="spellStart"/>
      <w:r w:rsidRPr="00B17AA2">
        <w:rPr>
          <w:rFonts w:ascii="Palatino Linotype" w:eastAsia="Palatino Linotype" w:hAnsi="Palatino Linotype" w:cs="Palatino Linotype"/>
          <w:i/>
          <w:sz w:val="22"/>
          <w:szCs w:val="22"/>
        </w:rPr>
        <w:t>diesel</w:t>
      </w:r>
      <w:proofErr w:type="spellEnd"/>
      <w:r w:rsidRPr="00B17AA2">
        <w:rPr>
          <w:rFonts w:ascii="Palatino Linotype" w:eastAsia="Palatino Linotype" w:hAnsi="Palatino Linotype" w:cs="Palatino Linotype"/>
          <w:i/>
          <w:sz w:val="22"/>
          <w:szCs w:val="22"/>
        </w:rPr>
        <w:t xml:space="preserve"> o gasolina, operador, licencia de conducir, gafetes y en su caso nombramientos desde el 1ero de enero del 2019 a la fecha. solicito los antecedentes no penales de todo el personal adscrito al sujeto obligado desde el 1ero de enero de 2022 a la fecha solicito todos los cortes de caja realizados por la </w:t>
      </w:r>
      <w:proofErr w:type="spellStart"/>
      <w:r w:rsidRPr="00B17AA2">
        <w:rPr>
          <w:rFonts w:ascii="Palatino Linotype" w:eastAsia="Palatino Linotype" w:hAnsi="Palatino Linotype" w:cs="Palatino Linotype"/>
          <w:i/>
          <w:sz w:val="22"/>
          <w:szCs w:val="22"/>
        </w:rPr>
        <w:t>contraloria</w:t>
      </w:r>
      <w:proofErr w:type="spellEnd"/>
      <w:r w:rsidRPr="00B17AA2">
        <w:rPr>
          <w:rFonts w:ascii="Palatino Linotype" w:eastAsia="Palatino Linotype" w:hAnsi="Palatino Linotype" w:cs="Palatino Linotype"/>
          <w:i/>
          <w:sz w:val="22"/>
          <w:szCs w:val="22"/>
        </w:rPr>
        <w:t xml:space="preserve">, así como la firma contenida del cajero dentro de las mismas, a fin de dar certeza </w:t>
      </w:r>
      <w:proofErr w:type="spellStart"/>
      <w:r w:rsidRPr="00B17AA2">
        <w:rPr>
          <w:rFonts w:ascii="Palatino Linotype" w:eastAsia="Palatino Linotype" w:hAnsi="Palatino Linotype" w:cs="Palatino Linotype"/>
          <w:i/>
          <w:sz w:val="22"/>
          <w:szCs w:val="22"/>
        </w:rPr>
        <w:t>juridica</w:t>
      </w:r>
      <w:proofErr w:type="spellEnd"/>
      <w:r w:rsidRPr="00B17AA2">
        <w:rPr>
          <w:rFonts w:ascii="Palatino Linotype" w:eastAsia="Palatino Linotype" w:hAnsi="Palatino Linotype" w:cs="Palatino Linotype"/>
          <w:i/>
          <w:sz w:val="22"/>
          <w:szCs w:val="22"/>
        </w:rPr>
        <w:t xml:space="preserve"> de que efectivamente son reales los cortes, desde el 1ero de enero del 2018 a la fecha. solicito todas las denuncias realizadas a la contraloría por cualquier concepto desde el 1ero de enero del 2014 a la fecha. solicito los expedientes personales de todos los </w:t>
      </w:r>
      <w:proofErr w:type="spellStart"/>
      <w:r w:rsidRPr="00B17AA2">
        <w:rPr>
          <w:rFonts w:ascii="Palatino Linotype" w:eastAsia="Palatino Linotype" w:hAnsi="Palatino Linotype" w:cs="Palatino Linotype"/>
          <w:i/>
          <w:sz w:val="22"/>
          <w:szCs w:val="22"/>
        </w:rPr>
        <w:t>policias</w:t>
      </w:r>
      <w:proofErr w:type="spellEnd"/>
      <w:r w:rsidRPr="00B17AA2">
        <w:rPr>
          <w:rFonts w:ascii="Palatino Linotype" w:eastAsia="Palatino Linotype" w:hAnsi="Palatino Linotype" w:cs="Palatino Linotype"/>
          <w:i/>
          <w:sz w:val="22"/>
          <w:szCs w:val="22"/>
        </w:rPr>
        <w:t xml:space="preserve"> adscritos a su sujeto obligado incluyendo las bajas y </w:t>
      </w:r>
      <w:proofErr w:type="spellStart"/>
      <w:r w:rsidRPr="00B17AA2">
        <w:rPr>
          <w:rFonts w:ascii="Palatino Linotype" w:eastAsia="Palatino Linotype" w:hAnsi="Palatino Linotype" w:cs="Palatino Linotype"/>
          <w:i/>
          <w:sz w:val="22"/>
          <w:szCs w:val="22"/>
        </w:rPr>
        <w:t>ppor</w:t>
      </w:r>
      <w:proofErr w:type="spellEnd"/>
      <w:r w:rsidRPr="00B17AA2">
        <w:rPr>
          <w:rFonts w:ascii="Palatino Linotype" w:eastAsia="Palatino Linotype" w:hAnsi="Palatino Linotype" w:cs="Palatino Linotype"/>
          <w:i/>
          <w:sz w:val="22"/>
          <w:szCs w:val="22"/>
        </w:rPr>
        <w:t xml:space="preserve"> que fue la baja, desde el 1ero de enero del 2017 a la fecha. solicito el </w:t>
      </w:r>
      <w:proofErr w:type="spellStart"/>
      <w:r w:rsidRPr="00B17AA2">
        <w:rPr>
          <w:rFonts w:ascii="Palatino Linotype" w:eastAsia="Palatino Linotype" w:hAnsi="Palatino Linotype" w:cs="Palatino Linotype"/>
          <w:i/>
          <w:sz w:val="22"/>
          <w:szCs w:val="22"/>
        </w:rPr>
        <w:t>pasai</w:t>
      </w:r>
      <w:proofErr w:type="spellEnd"/>
      <w:r w:rsidRPr="00B17AA2">
        <w:rPr>
          <w:rFonts w:ascii="Palatino Linotype" w:eastAsia="Palatino Linotype" w:hAnsi="Palatino Linotype" w:cs="Palatino Linotype"/>
          <w:i/>
          <w:sz w:val="22"/>
          <w:szCs w:val="22"/>
        </w:rPr>
        <w:t xml:space="preserve"> desde el 2017 a la fecha</w:t>
      </w:r>
      <w:r w:rsidRPr="00B17AA2">
        <w:rPr>
          <w:rFonts w:ascii="Palatino Linotype" w:eastAsia="Palatino Linotype" w:hAnsi="Palatino Linotype" w:cs="Palatino Linotype"/>
          <w:b/>
          <w:i/>
          <w:sz w:val="22"/>
          <w:szCs w:val="22"/>
        </w:rPr>
        <w:t>”</w:t>
      </w:r>
      <w:r w:rsidRPr="00B17AA2">
        <w:rPr>
          <w:rFonts w:ascii="Palatino Linotype" w:eastAsia="Palatino Linotype" w:hAnsi="Palatino Linotype" w:cs="Palatino Linotype"/>
          <w:i/>
          <w:sz w:val="22"/>
          <w:szCs w:val="22"/>
        </w:rPr>
        <w:t xml:space="preserve"> (sic) </w:t>
      </w:r>
    </w:p>
    <w:p w14:paraId="127D819F"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b/>
        </w:rPr>
        <w:t>Modalidad de Entrega:</w:t>
      </w:r>
      <w:r w:rsidRPr="00B17AA2">
        <w:rPr>
          <w:rFonts w:ascii="Palatino Linotype" w:eastAsia="Palatino Linotype" w:hAnsi="Palatino Linotype" w:cs="Palatino Linotype"/>
        </w:rPr>
        <w:t xml:space="preserve"> a través </w:t>
      </w:r>
      <w:r w:rsidRPr="00B17AA2">
        <w:rPr>
          <w:rFonts w:ascii="Palatino Linotype" w:eastAsia="Palatino Linotype" w:hAnsi="Palatino Linotype" w:cs="Palatino Linotype"/>
          <w:b/>
        </w:rPr>
        <w:t>de SAIMEX</w:t>
      </w:r>
    </w:p>
    <w:p w14:paraId="73E27997" w14:textId="77777777" w:rsidR="00392D78" w:rsidRPr="00B17AA2" w:rsidRDefault="00295D68">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B17AA2">
        <w:rPr>
          <w:rFonts w:ascii="Palatino Linotype" w:eastAsia="Palatino Linotype" w:hAnsi="Palatino Linotype" w:cs="Palatino Linotype"/>
          <w:b/>
        </w:rPr>
        <w:lastRenderedPageBreak/>
        <w:t xml:space="preserve">2. Respuesta. </w:t>
      </w:r>
      <w:r w:rsidRPr="00B17AA2">
        <w:rPr>
          <w:rFonts w:ascii="Palatino Linotype" w:eastAsia="Palatino Linotype" w:hAnsi="Palatino Linotype" w:cs="Palatino Linotype"/>
        </w:rPr>
        <w:t>Con fecha</w:t>
      </w:r>
      <w:r w:rsidRPr="00B17AA2">
        <w:rPr>
          <w:rFonts w:ascii="Palatino Linotype" w:eastAsia="Palatino Linotype" w:hAnsi="Palatino Linotype" w:cs="Palatino Linotype"/>
          <w:b/>
        </w:rPr>
        <w:t xml:space="preserve"> veintiocho de marzo de dos mil veintitrés</w:t>
      </w:r>
      <w:r w:rsidRPr="00B17AA2">
        <w:rPr>
          <w:rFonts w:ascii="Palatino Linotype" w:eastAsia="Palatino Linotype" w:hAnsi="Palatino Linotype" w:cs="Palatino Linotype"/>
        </w:rPr>
        <w:t xml:space="preserve">, el </w:t>
      </w:r>
      <w:r w:rsidRPr="00B17AA2">
        <w:rPr>
          <w:rFonts w:ascii="Palatino Linotype" w:eastAsia="Palatino Linotype" w:hAnsi="Palatino Linotype" w:cs="Palatino Linotype"/>
          <w:b/>
        </w:rPr>
        <w:t xml:space="preserve">Sujeto Obligado </w:t>
      </w:r>
      <w:r w:rsidRPr="00B17AA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25F84F9" w14:textId="77777777" w:rsidR="00392D78" w:rsidRPr="00B17AA2" w:rsidRDefault="00295D68">
      <w:pPr>
        <w:spacing w:before="240" w:after="240"/>
        <w:ind w:left="851" w:right="902"/>
        <w:jc w:val="both"/>
        <w:rPr>
          <w:rFonts w:ascii="Palatino Linotype" w:eastAsia="Palatino Linotype" w:hAnsi="Palatino Linotype" w:cs="Palatino Linotype"/>
          <w:b/>
          <w:i/>
          <w:sz w:val="22"/>
          <w:szCs w:val="22"/>
        </w:rPr>
      </w:pPr>
      <w:r w:rsidRPr="00B17AA2">
        <w:rPr>
          <w:rFonts w:ascii="Palatino Linotype" w:eastAsia="Palatino Linotype" w:hAnsi="Palatino Linotype" w:cs="Palatino Linotype"/>
          <w:i/>
          <w:sz w:val="22"/>
          <w:szCs w:val="22"/>
        </w:rPr>
        <w:t>“…En atención y respuesta a su solicitud se adjunta análisis respectivo a la información...” (sic)</w:t>
      </w:r>
    </w:p>
    <w:p w14:paraId="357D2CAF" w14:textId="77777777" w:rsidR="00392D78" w:rsidRPr="00B17AA2" w:rsidRDefault="00295D68">
      <w:pPr>
        <w:spacing w:before="240" w:after="240" w:line="360" w:lineRule="auto"/>
        <w:ind w:right="49"/>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El </w:t>
      </w:r>
      <w:r w:rsidRPr="00B17AA2">
        <w:rPr>
          <w:rFonts w:ascii="Palatino Linotype" w:eastAsia="Palatino Linotype" w:hAnsi="Palatino Linotype" w:cs="Palatino Linotype"/>
          <w:b/>
        </w:rPr>
        <w:t xml:space="preserve">Sujeto Obligado </w:t>
      </w:r>
      <w:r w:rsidRPr="00B17AA2">
        <w:rPr>
          <w:rFonts w:ascii="Palatino Linotype" w:eastAsia="Palatino Linotype" w:hAnsi="Palatino Linotype" w:cs="Palatino Linotype"/>
        </w:rPr>
        <w:t>adjuntó lo siguiente:</w:t>
      </w:r>
    </w:p>
    <w:p w14:paraId="1E280274" w14:textId="77777777" w:rsidR="00392D78" w:rsidRPr="00B17AA2" w:rsidRDefault="00295D68">
      <w:pPr>
        <w:spacing w:before="240" w:after="240" w:line="360" w:lineRule="auto"/>
        <w:ind w:right="49"/>
        <w:jc w:val="both"/>
        <w:rPr>
          <w:rFonts w:ascii="Palatino Linotype" w:eastAsia="Palatino Linotype" w:hAnsi="Palatino Linotype" w:cs="Palatino Linotype"/>
        </w:rPr>
      </w:pPr>
      <w:r w:rsidRPr="00B17AA2">
        <w:rPr>
          <w:rFonts w:ascii="Palatino Linotype" w:eastAsia="Palatino Linotype" w:hAnsi="Palatino Linotype" w:cs="Palatino Linotype"/>
        </w:rPr>
        <w:t>- Escrito de fecha veintiuno de marzo de dos mil veintitrés, mediante el cual se emite la prueba de daño, en relación con la información requerida en la solicitud de información 00033/LERMA/IP/2023, donde se concluye que no es posible entregar la información solicitada, razón por la cual se solicitaría se clasificara como información reservada en la siguiente sesión del Comité de Transparencia.</w:t>
      </w:r>
    </w:p>
    <w:p w14:paraId="7FF2DD8D" w14:textId="77777777" w:rsidR="00392D78" w:rsidRPr="00B17AA2" w:rsidRDefault="00295D68">
      <w:pPr>
        <w:spacing w:before="240" w:after="240" w:line="360" w:lineRule="auto"/>
        <w:ind w:right="49"/>
        <w:jc w:val="both"/>
        <w:rPr>
          <w:rFonts w:ascii="Palatino Linotype" w:eastAsia="Palatino Linotype" w:hAnsi="Palatino Linotype" w:cs="Palatino Linotype"/>
          <w:b/>
        </w:rPr>
      </w:pPr>
      <w:r w:rsidRPr="00B17AA2">
        <w:rPr>
          <w:rFonts w:ascii="Palatino Linotype" w:eastAsia="Palatino Linotype" w:hAnsi="Palatino Linotype" w:cs="Palatino Linotype"/>
          <w:b/>
        </w:rPr>
        <w:t xml:space="preserve">3. Interposición del recurso de revisión. </w:t>
      </w:r>
      <w:r w:rsidRPr="00B17AA2">
        <w:rPr>
          <w:rFonts w:ascii="Palatino Linotype" w:eastAsia="Palatino Linotype" w:hAnsi="Palatino Linotype" w:cs="Palatino Linotype"/>
        </w:rPr>
        <w:t xml:space="preserve">Inconforme con los términos de la respuesta emitida por parte del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xml:space="preserve">, el </w:t>
      </w:r>
      <w:r w:rsidRPr="00B17AA2">
        <w:rPr>
          <w:rFonts w:ascii="Palatino Linotype" w:eastAsia="Palatino Linotype" w:hAnsi="Palatino Linotype" w:cs="Palatino Linotype"/>
          <w:b/>
        </w:rPr>
        <w:t>veintinueve de marzo de dos mil veintitrés,</w:t>
      </w:r>
      <w:r w:rsidRPr="00B17AA2">
        <w:rPr>
          <w:rFonts w:ascii="Palatino Linotype" w:eastAsia="Palatino Linotype" w:hAnsi="Palatino Linotype" w:cs="Palatino Linotype"/>
        </w:rPr>
        <w:t xml:space="preserve"> la parte </w:t>
      </w:r>
      <w:r w:rsidRPr="00B17AA2">
        <w:rPr>
          <w:rFonts w:ascii="Palatino Linotype" w:eastAsia="Palatino Linotype" w:hAnsi="Palatino Linotype" w:cs="Palatino Linotype"/>
          <w:b/>
        </w:rPr>
        <w:t>Recurrente</w:t>
      </w:r>
      <w:r w:rsidRPr="00B17AA2">
        <w:rPr>
          <w:rFonts w:ascii="Palatino Linotype" w:eastAsia="Palatino Linotype" w:hAnsi="Palatino Linotype" w:cs="Palatino Linotype"/>
        </w:rPr>
        <w:t xml:space="preserve"> interpuso el recurso de revisión a través de </w:t>
      </w:r>
      <w:r w:rsidRPr="00B17AA2">
        <w:rPr>
          <w:rFonts w:ascii="Palatino Linotype" w:eastAsia="Palatino Linotype" w:hAnsi="Palatino Linotype" w:cs="Palatino Linotype"/>
          <w:b/>
        </w:rPr>
        <w:t xml:space="preserve">SAIMEX, </w:t>
      </w:r>
      <w:r w:rsidRPr="00B17AA2">
        <w:rPr>
          <w:rFonts w:ascii="Palatino Linotype" w:eastAsia="Palatino Linotype" w:hAnsi="Palatino Linotype" w:cs="Palatino Linotype"/>
        </w:rPr>
        <w:t>en donde se manifestó de la siguiente manera:</w:t>
      </w:r>
    </w:p>
    <w:p w14:paraId="232A5A05" w14:textId="77777777" w:rsidR="00392D78" w:rsidRPr="00B17AA2" w:rsidRDefault="00295D68">
      <w:pPr>
        <w:tabs>
          <w:tab w:val="left" w:pos="2745"/>
        </w:tabs>
        <w:spacing w:before="240" w:after="240" w:line="360" w:lineRule="auto"/>
        <w:jc w:val="both"/>
        <w:rPr>
          <w:rFonts w:ascii="Palatino Linotype" w:eastAsia="Palatino Linotype" w:hAnsi="Palatino Linotype" w:cs="Palatino Linotype"/>
          <w:b/>
        </w:rPr>
      </w:pPr>
      <w:r w:rsidRPr="00B17AA2">
        <w:rPr>
          <w:rFonts w:ascii="Palatino Linotype" w:eastAsia="Palatino Linotype" w:hAnsi="Palatino Linotype" w:cs="Palatino Linotype"/>
          <w:b/>
        </w:rPr>
        <w:t xml:space="preserve">Acto impugnado: </w:t>
      </w:r>
    </w:p>
    <w:p w14:paraId="2ACC2598" w14:textId="77777777" w:rsidR="00392D78" w:rsidRPr="00B17AA2" w:rsidRDefault="00295D68">
      <w:pPr>
        <w:tabs>
          <w:tab w:val="left" w:pos="2745"/>
        </w:tabs>
        <w:spacing w:before="240" w:after="240"/>
        <w:ind w:left="851" w:right="900"/>
        <w:jc w:val="both"/>
        <w:rPr>
          <w:rFonts w:ascii="Palatino Linotype" w:eastAsia="Palatino Linotype" w:hAnsi="Palatino Linotype" w:cs="Palatino Linotype"/>
          <w:i/>
          <w:sz w:val="22"/>
          <w:szCs w:val="22"/>
        </w:rPr>
      </w:pPr>
      <w:r w:rsidRPr="00B17AA2">
        <w:rPr>
          <w:rFonts w:ascii="Palatino Linotype" w:eastAsia="Palatino Linotype" w:hAnsi="Palatino Linotype" w:cs="Palatino Linotype"/>
          <w:i/>
          <w:sz w:val="22"/>
          <w:szCs w:val="22"/>
        </w:rPr>
        <w:t>“negativa en la entrega de la información” (sic)</w:t>
      </w:r>
    </w:p>
    <w:p w14:paraId="74CAFF66" w14:textId="77777777" w:rsidR="00392D78" w:rsidRPr="00B17AA2" w:rsidRDefault="00295D68">
      <w:pPr>
        <w:spacing w:line="360" w:lineRule="auto"/>
        <w:jc w:val="both"/>
        <w:rPr>
          <w:rFonts w:ascii="Palatino Linotype" w:eastAsia="Palatino Linotype" w:hAnsi="Palatino Linotype" w:cs="Palatino Linotype"/>
        </w:rPr>
      </w:pPr>
      <w:bookmarkStart w:id="3" w:name="_heading=h.30j0zll" w:colFirst="0" w:colLast="0"/>
      <w:bookmarkEnd w:id="3"/>
      <w:r w:rsidRPr="00B17AA2">
        <w:rPr>
          <w:rFonts w:ascii="Palatino Linotype" w:eastAsia="Palatino Linotype" w:hAnsi="Palatino Linotype" w:cs="Palatino Linotype"/>
          <w:b/>
        </w:rPr>
        <w:t>Y Razones o motivos de inconformidad</w:t>
      </w:r>
      <w:r w:rsidRPr="00B17AA2">
        <w:rPr>
          <w:rFonts w:ascii="Palatino Linotype" w:eastAsia="Palatino Linotype" w:hAnsi="Palatino Linotype" w:cs="Palatino Linotype"/>
        </w:rPr>
        <w:t xml:space="preserve">: </w:t>
      </w:r>
    </w:p>
    <w:p w14:paraId="2AB4DB53" w14:textId="77777777" w:rsidR="00392D78" w:rsidRPr="00B17AA2" w:rsidRDefault="00295D68">
      <w:pPr>
        <w:tabs>
          <w:tab w:val="left" w:pos="2745"/>
        </w:tabs>
        <w:spacing w:before="240" w:after="240"/>
        <w:ind w:left="851" w:right="900"/>
        <w:jc w:val="both"/>
        <w:rPr>
          <w:rFonts w:ascii="Palatino Linotype" w:eastAsia="Palatino Linotype" w:hAnsi="Palatino Linotype" w:cs="Palatino Linotype"/>
          <w:i/>
          <w:sz w:val="22"/>
          <w:szCs w:val="22"/>
        </w:rPr>
      </w:pPr>
      <w:bookmarkStart w:id="4" w:name="_heading=h.2et92p0" w:colFirst="0" w:colLast="0"/>
      <w:bookmarkEnd w:id="4"/>
      <w:r w:rsidRPr="00B17AA2">
        <w:rPr>
          <w:rFonts w:ascii="Palatino Linotype" w:eastAsia="Palatino Linotype" w:hAnsi="Palatino Linotype" w:cs="Palatino Linotype"/>
          <w:i/>
          <w:sz w:val="22"/>
          <w:szCs w:val="22"/>
        </w:rPr>
        <w:t>“negativa en la entrega de la información” (sic)</w:t>
      </w:r>
    </w:p>
    <w:p w14:paraId="774ECEF3" w14:textId="77777777" w:rsidR="00392D78" w:rsidRPr="00B17AA2" w:rsidRDefault="00295D68">
      <w:pPr>
        <w:spacing w:before="240" w:after="240" w:line="360" w:lineRule="auto"/>
        <w:ind w:right="51"/>
        <w:jc w:val="both"/>
        <w:rPr>
          <w:rFonts w:ascii="Palatino Linotype" w:eastAsia="Palatino Linotype" w:hAnsi="Palatino Linotype" w:cs="Palatino Linotype"/>
        </w:rPr>
      </w:pPr>
      <w:r w:rsidRPr="00B17AA2">
        <w:rPr>
          <w:rFonts w:ascii="Palatino Linotype" w:eastAsia="Palatino Linotype" w:hAnsi="Palatino Linotype" w:cs="Palatino Linotype"/>
          <w:b/>
        </w:rPr>
        <w:t xml:space="preserve">4. Turno. </w:t>
      </w:r>
      <w:r w:rsidRPr="00B17AA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B17AA2">
        <w:rPr>
          <w:rFonts w:ascii="Palatino Linotype" w:eastAsia="Palatino Linotype" w:hAnsi="Palatino Linotype" w:cs="Palatino Linotype"/>
        </w:rPr>
        <w:lastRenderedPageBreak/>
        <w:t xml:space="preserve">Transparencia, Acceso a la Información Pública y Protección de Datos Personales del Estado de México y Municipios, a en la Comisionada </w:t>
      </w:r>
      <w:r w:rsidRPr="00B17AA2">
        <w:rPr>
          <w:rFonts w:ascii="Palatino Linotype" w:eastAsia="Palatino Linotype" w:hAnsi="Palatino Linotype" w:cs="Palatino Linotype"/>
          <w:b/>
        </w:rPr>
        <w:t xml:space="preserve">Guadalupe Ramírez Peña, </w:t>
      </w:r>
      <w:r w:rsidRPr="00B17AA2">
        <w:rPr>
          <w:rFonts w:ascii="Palatino Linotype" w:eastAsia="Palatino Linotype" w:hAnsi="Palatino Linotype" w:cs="Palatino Linotype"/>
        </w:rPr>
        <w:t xml:space="preserve">a efecto de que analizara sobre su admisión o su </w:t>
      </w:r>
      <w:proofErr w:type="spellStart"/>
      <w:r w:rsidRPr="00B17AA2">
        <w:rPr>
          <w:rFonts w:ascii="Palatino Linotype" w:eastAsia="Palatino Linotype" w:hAnsi="Palatino Linotype" w:cs="Palatino Linotype"/>
        </w:rPr>
        <w:t>desechamiento</w:t>
      </w:r>
      <w:proofErr w:type="spellEnd"/>
      <w:r w:rsidRPr="00B17AA2">
        <w:rPr>
          <w:rFonts w:ascii="Palatino Linotype" w:eastAsia="Palatino Linotype" w:hAnsi="Palatino Linotype" w:cs="Palatino Linotype"/>
        </w:rPr>
        <w:t>.</w:t>
      </w:r>
    </w:p>
    <w:p w14:paraId="25662B47"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b/>
        </w:rPr>
        <w:t>5. Admisión del Recurso de revisión.</w:t>
      </w:r>
      <w:r w:rsidRPr="00B17AA2">
        <w:rPr>
          <w:rFonts w:ascii="Palatino Linotype" w:eastAsia="Palatino Linotype" w:hAnsi="Palatino Linotype" w:cs="Palatino Linotype"/>
        </w:rPr>
        <w:t xml:space="preserve"> Con fecha</w:t>
      </w:r>
      <w:r w:rsidRPr="00B17AA2">
        <w:rPr>
          <w:rFonts w:ascii="Palatino Linotype" w:eastAsia="Palatino Linotype" w:hAnsi="Palatino Linotype" w:cs="Palatino Linotype"/>
          <w:b/>
        </w:rPr>
        <w:t xml:space="preserve"> diez de abril de dos mil veintitrés, </w:t>
      </w:r>
      <w:r w:rsidRPr="00B17AA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17AA2">
        <w:rPr>
          <w:rFonts w:ascii="Palatino Linotype" w:eastAsia="Palatino Linotype" w:hAnsi="Palatino Linotype" w:cs="Palatino Linotype"/>
          <w:b/>
        </w:rPr>
        <w:t xml:space="preserve">Sujeto Obligado </w:t>
      </w:r>
      <w:r w:rsidRPr="00B17AA2">
        <w:rPr>
          <w:rFonts w:ascii="Palatino Linotype" w:eastAsia="Palatino Linotype" w:hAnsi="Palatino Linotype" w:cs="Palatino Linotype"/>
        </w:rPr>
        <w:t>presentara su informe justificado.</w:t>
      </w:r>
    </w:p>
    <w:p w14:paraId="5B9704F4"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b/>
        </w:rPr>
        <w:t>6. Ampliación del término para resolver</w:t>
      </w:r>
      <w:r w:rsidRPr="00B17AA2">
        <w:rPr>
          <w:rFonts w:ascii="Palatino Linotype" w:eastAsia="Palatino Linotype" w:hAnsi="Palatino Linotype" w:cs="Palatino Linotype"/>
        </w:rPr>
        <w:t xml:space="preserve">. En fecha </w:t>
      </w:r>
      <w:r w:rsidRPr="00B17AA2">
        <w:rPr>
          <w:rFonts w:ascii="Palatino Linotype" w:eastAsia="Palatino Linotype" w:hAnsi="Palatino Linotype" w:cs="Palatino Linotype"/>
          <w:b/>
        </w:rPr>
        <w:t xml:space="preserve">veintinueve de mayo de dos mil veintitrés,  </w:t>
      </w:r>
      <w:r w:rsidRPr="00B17AA2">
        <w:rPr>
          <w:rFonts w:ascii="Palatino Linotype" w:eastAsia="Palatino Linotype" w:hAnsi="Palatino Linotype" w:cs="Palatino Linotype"/>
        </w:rPr>
        <w:t>se amplió el término para resolver el recurso de revisión en términos del artículo 181 párrafo tercero de la Ley de Transparencia y Acceso a la Información Pública del Estado de México y Municipios.</w:t>
      </w:r>
    </w:p>
    <w:p w14:paraId="4BA5ED64"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790EC9F"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B17AA2">
        <w:rPr>
          <w:rFonts w:ascii="Palatino Linotype" w:eastAsia="Palatino Linotype" w:hAnsi="Palatino Linotype" w:cs="Palatino Linotype"/>
        </w:rPr>
        <w:lastRenderedPageBreak/>
        <w:t>órganos jurisdiccionales federales, aplicables también en procedimientos análogos, como el que nos ocupa.</w:t>
      </w:r>
    </w:p>
    <w:p w14:paraId="4DD25AB1"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EE045B"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B29D88B" w14:textId="77777777" w:rsidR="00392D78" w:rsidRPr="00B17AA2" w:rsidRDefault="00295D68">
      <w:pPr>
        <w:spacing w:before="240" w:after="240" w:line="360" w:lineRule="auto"/>
        <w:jc w:val="both"/>
        <w:rPr>
          <w:rFonts w:ascii="Palatino Linotype" w:eastAsia="Palatino Linotype" w:hAnsi="Palatino Linotype" w:cs="Palatino Linotype"/>
          <w:strike/>
        </w:rPr>
      </w:pPr>
      <w:r w:rsidRPr="00B17AA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F654341" w14:textId="77777777" w:rsidR="00392D78" w:rsidRPr="00B17AA2" w:rsidRDefault="00295D68">
      <w:pPr>
        <w:numPr>
          <w:ilvl w:val="0"/>
          <w:numId w:val="2"/>
        </w:num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AD210FF" w14:textId="77777777" w:rsidR="00392D78" w:rsidRPr="00B17AA2" w:rsidRDefault="00295D68">
      <w:pPr>
        <w:numPr>
          <w:ilvl w:val="0"/>
          <w:numId w:val="2"/>
        </w:num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Actividad Procesal del interesado. Acciones u omisiones del interesado.</w:t>
      </w:r>
    </w:p>
    <w:p w14:paraId="07E2CE32" w14:textId="77777777" w:rsidR="00392D78" w:rsidRPr="00B17AA2" w:rsidRDefault="00295D68">
      <w:pPr>
        <w:numPr>
          <w:ilvl w:val="0"/>
          <w:numId w:val="2"/>
        </w:num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Conducta de la Autoridad: Las Acciones u omisiones realizadas en el procedimiento. Así como si la autoridad actuó con la debida diligencia.</w:t>
      </w:r>
    </w:p>
    <w:p w14:paraId="230D198D" w14:textId="77777777" w:rsidR="00392D78" w:rsidRPr="00B17AA2" w:rsidRDefault="00295D68">
      <w:pPr>
        <w:spacing w:before="240" w:after="240" w:line="360" w:lineRule="auto"/>
        <w:ind w:left="567"/>
        <w:jc w:val="both"/>
        <w:rPr>
          <w:rFonts w:ascii="Palatino Linotype" w:eastAsia="Palatino Linotype" w:hAnsi="Palatino Linotype" w:cs="Palatino Linotype"/>
        </w:rPr>
      </w:pPr>
      <w:r w:rsidRPr="00B17AA2">
        <w:rPr>
          <w:rFonts w:ascii="Palatino Linotype" w:eastAsia="Palatino Linotype" w:hAnsi="Palatino Linotype" w:cs="Palatino Linotype"/>
        </w:rPr>
        <w:t>d) La afectación generada en la situación jurídica de la persona involucrada en el proceso: Violación a sus derechos humanos.</w:t>
      </w:r>
    </w:p>
    <w:p w14:paraId="4899F157"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CC7C82" w14:textId="77777777" w:rsidR="00392D78" w:rsidRPr="00B17AA2" w:rsidRDefault="00295D68">
      <w:pPr>
        <w:spacing w:before="240" w:after="240" w:line="360" w:lineRule="auto"/>
        <w:jc w:val="both"/>
        <w:rPr>
          <w:rFonts w:ascii="Palatino Linotype" w:eastAsia="Palatino Linotype" w:hAnsi="Palatino Linotype" w:cs="Palatino Linotype"/>
          <w:b/>
        </w:rPr>
      </w:pPr>
      <w:r w:rsidRPr="00B17AA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17AA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17AA2">
        <w:rPr>
          <w:rFonts w:ascii="Palatino Linotype" w:eastAsia="Palatino Linotype" w:hAnsi="Palatino Linotype" w:cs="Palatino Linotype"/>
        </w:rPr>
        <w:t>, visible en la Gaceta del Seminario Judicial de la Federación con el registro digital 205635.</w:t>
      </w:r>
    </w:p>
    <w:p w14:paraId="43D16244"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B398C7"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4EF8EE79" w14:textId="77777777" w:rsidR="00392D78" w:rsidRPr="00B17AA2" w:rsidRDefault="00295D68">
      <w:pPr>
        <w:spacing w:before="240" w:after="240"/>
        <w:ind w:left="851" w:right="902"/>
        <w:jc w:val="both"/>
        <w:rPr>
          <w:rFonts w:ascii="Palatino Linotype" w:eastAsia="Palatino Linotype" w:hAnsi="Palatino Linotype" w:cs="Palatino Linotype"/>
          <w:sz w:val="22"/>
          <w:szCs w:val="22"/>
        </w:rPr>
      </w:pPr>
      <w:r w:rsidRPr="00B17AA2">
        <w:rPr>
          <w:rFonts w:ascii="Palatino Linotype" w:eastAsia="Palatino Linotype" w:hAnsi="Palatino Linotype" w:cs="Palatino Linotype"/>
        </w:rPr>
        <w:t xml:space="preserve"> </w:t>
      </w:r>
      <w:r w:rsidRPr="00B17AA2">
        <w:rPr>
          <w:rFonts w:ascii="Palatino Linotype" w:eastAsia="Palatino Linotype" w:hAnsi="Palatino Linotype" w:cs="Palatino Linotype"/>
          <w:i/>
          <w:sz w:val="22"/>
          <w:szCs w:val="22"/>
        </w:rPr>
        <w:t>“</w:t>
      </w:r>
      <w:r w:rsidRPr="00B17AA2">
        <w:rPr>
          <w:rFonts w:ascii="Palatino Linotype" w:eastAsia="Palatino Linotype" w:hAnsi="Palatino Linotype" w:cs="Palatino Linotype"/>
          <w:b/>
          <w:i/>
          <w:sz w:val="22"/>
          <w:szCs w:val="22"/>
        </w:rPr>
        <w:t>PLAZO RAZONABLE PARA RESOLVER. DIMENSIÓN Y EFECTOS DE ESTE CONCEPTO CUANDO SE ADUCE EXCESIVA CARGA DE TRABAJO</w:t>
      </w:r>
      <w:r w:rsidRPr="00B17AA2">
        <w:rPr>
          <w:rFonts w:ascii="Palatino Linotype" w:eastAsia="Palatino Linotype" w:hAnsi="Palatino Linotype" w:cs="Palatino Linotype"/>
          <w:i/>
          <w:sz w:val="22"/>
          <w:szCs w:val="22"/>
        </w:rPr>
        <w:t>.”</w:t>
      </w:r>
      <w:r w:rsidRPr="00B17AA2">
        <w:rPr>
          <w:rFonts w:ascii="Palatino Linotype" w:eastAsia="Palatino Linotype" w:hAnsi="Palatino Linotype" w:cs="Palatino Linotype"/>
          <w:sz w:val="22"/>
          <w:szCs w:val="22"/>
        </w:rPr>
        <w:t xml:space="preserve"> consultable en el Seminario Judicial de la Federación y su gaceta, con el registro digital 2002351.</w:t>
      </w:r>
    </w:p>
    <w:p w14:paraId="3EE16C2D" w14:textId="77777777" w:rsidR="00392D78" w:rsidRPr="00B17AA2" w:rsidRDefault="00295D68">
      <w:pPr>
        <w:spacing w:before="240" w:after="240"/>
        <w:ind w:left="851" w:right="902"/>
        <w:jc w:val="both"/>
        <w:rPr>
          <w:rFonts w:ascii="Palatino Linotype" w:eastAsia="Palatino Linotype" w:hAnsi="Palatino Linotype" w:cs="Palatino Linotype"/>
          <w:sz w:val="22"/>
          <w:szCs w:val="22"/>
        </w:rPr>
      </w:pPr>
      <w:r w:rsidRPr="00B17AA2">
        <w:rPr>
          <w:rFonts w:ascii="Palatino Linotype" w:eastAsia="Palatino Linotype" w:hAnsi="Palatino Linotype" w:cs="Palatino Linotype"/>
          <w:i/>
          <w:sz w:val="22"/>
          <w:szCs w:val="22"/>
        </w:rPr>
        <w:t>“</w:t>
      </w:r>
      <w:r w:rsidRPr="00B17AA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17AA2">
        <w:rPr>
          <w:rFonts w:ascii="Palatino Linotype" w:eastAsia="Palatino Linotype" w:hAnsi="Palatino Linotype" w:cs="Palatino Linotype"/>
          <w:i/>
          <w:sz w:val="22"/>
          <w:szCs w:val="22"/>
        </w:rPr>
        <w:t>.”</w:t>
      </w:r>
      <w:r w:rsidRPr="00B17AA2">
        <w:rPr>
          <w:rFonts w:ascii="Palatino Linotype" w:eastAsia="Palatino Linotype" w:hAnsi="Palatino Linotype" w:cs="Palatino Linotype"/>
          <w:sz w:val="22"/>
          <w:szCs w:val="22"/>
        </w:rPr>
        <w:t>, visible en el Seminario Judicial de la Federación y su gaceta, con el registro digital 2002350.</w:t>
      </w:r>
    </w:p>
    <w:p w14:paraId="68FFDA7A"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A6D7C3F"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b/>
        </w:rPr>
        <w:t>7. Manifestaciones</w:t>
      </w:r>
      <w:r w:rsidRPr="00B17AA2">
        <w:rPr>
          <w:rFonts w:ascii="Palatino Linotype" w:eastAsia="Palatino Linotype" w:hAnsi="Palatino Linotype" w:cs="Palatino Linotype"/>
        </w:rPr>
        <w:t xml:space="preserve">. En fecha </w:t>
      </w:r>
      <w:r w:rsidRPr="00B17AA2">
        <w:rPr>
          <w:rFonts w:ascii="Palatino Linotype" w:eastAsia="Palatino Linotype" w:hAnsi="Palatino Linotype" w:cs="Palatino Linotype"/>
          <w:b/>
        </w:rPr>
        <w:t xml:space="preserve">trece de marzo de dos mil veinticuatro, </w:t>
      </w:r>
      <w:r w:rsidRPr="00B17AA2">
        <w:rPr>
          <w:rFonts w:ascii="Palatino Linotype" w:eastAsia="Palatino Linotype" w:hAnsi="Palatino Linotype" w:cs="Palatino Linotype"/>
        </w:rPr>
        <w:t xml:space="preserve">el </w:t>
      </w:r>
      <w:r w:rsidRPr="00B17AA2">
        <w:rPr>
          <w:rFonts w:ascii="Palatino Linotype" w:eastAsia="Palatino Linotype" w:hAnsi="Palatino Linotype" w:cs="Palatino Linotype"/>
          <w:b/>
        </w:rPr>
        <w:t xml:space="preserve">Sujeto Obligado </w:t>
      </w:r>
      <w:r w:rsidRPr="00B17AA2">
        <w:rPr>
          <w:rFonts w:ascii="Palatino Linotype" w:eastAsia="Palatino Linotype" w:hAnsi="Palatino Linotype" w:cs="Palatino Linotype"/>
        </w:rPr>
        <w:t>remitió, a través de SAIMEX, los siguientes documentos:</w:t>
      </w:r>
    </w:p>
    <w:p w14:paraId="15445561"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 Oficio número UTAI/0152/2024, de fecha quince de febrero de dos mil veinticuatro, signado por la Titular de la Unidad de Transparencia, mediante el cual, en atención a los motivos de inconformidad de la parte </w:t>
      </w:r>
      <w:r w:rsidRPr="00B17AA2">
        <w:rPr>
          <w:rFonts w:ascii="Palatino Linotype" w:eastAsia="Palatino Linotype" w:hAnsi="Palatino Linotype" w:cs="Palatino Linotype"/>
          <w:b/>
        </w:rPr>
        <w:t xml:space="preserve">Recurrente, </w:t>
      </w:r>
      <w:r w:rsidRPr="00B17AA2">
        <w:rPr>
          <w:rFonts w:ascii="Palatino Linotype" w:eastAsia="Palatino Linotype" w:hAnsi="Palatino Linotype" w:cs="Palatino Linotype"/>
        </w:rPr>
        <w:t xml:space="preserve">manifiesta que la solicitud se turnó nuevamente a las áreas que de acuerdo con sus competencias pudieran contar con la información requerida, instruyendo la búsqueda de la información en el año inmediato anterior a la fecha de presentación de la solicitud, específicamente de los oficios generados y correos enviados y recibidos al no haber señalado temporalidad la persona solicitante, como resultado de dicha diligencia, derivado de un nuevo análisis </w:t>
      </w:r>
      <w:r w:rsidRPr="00B17AA2">
        <w:rPr>
          <w:rFonts w:ascii="Palatino Linotype" w:eastAsia="Palatino Linotype" w:hAnsi="Palatino Linotype" w:cs="Palatino Linotype"/>
        </w:rPr>
        <w:lastRenderedPageBreak/>
        <w:t>pormenorizado que se realizó a los documentos que conforman las respuestas de los servidores públicos habilitados, se advirtió la imposibilidad técnica, humana y administrativa para atender la solicitud a través de la modalidad elegida, esto es, mediante el Sistema de Acceso a la Información Mexiquense, SAIMEX, derivado del cúmulo de documentos que constituye un volumen considerable, mismo que se encuentra en formato físico y/o electrónico; así como el poco personal con el que se cuenta, el cual además, tiene asignadas funciones relacionadas con el buen funcionamiento de las unidades administrativas; el análisis minucioso que requiere la información a efecto de determinar si contiene información que deba ser clasificada como confidencial y/o reservada a través de las versiones públicas o clasificada en su totalidad.</w:t>
      </w:r>
    </w:p>
    <w:p w14:paraId="798C3191"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t>Asimismo, la Titular de la Unidad de Transparencia refiere que giró a la Dirección General de Informática de este Instituto el oficio número UTAI/125/2023, mediante el cual consultó si era posible realizar la carga en el SAIMEX de la información solicitada que asciende a un total de 62,846 (sesenta y dos mil ochocientos cuarenta y seis) fojas y 12,520 (doce mil quinientos veinte) correos enviados, y, de no ser así, se registrara la incidencia en la bitácora respectiva, obteniendo como respuesta el oficio número INFOEM/DGI/0087/2024, mediante el cual el Director General de Informática comunicó que la incidencia técnica había quedado registrada en la bitácora de incidencias, toda vez que la información que se trata de subir sobrepasa las capacidades técnicas del sistema SAIMEX.</w:t>
      </w:r>
    </w:p>
    <w:p w14:paraId="125684E2"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En tal sentido, toda vez que el cúmulo de información que se pretende poner a disposición de la parte Recurrente sobrepasa las capacidades técnicas del </w:t>
      </w:r>
      <w:r w:rsidRPr="00B17AA2">
        <w:rPr>
          <w:rFonts w:ascii="Palatino Linotype" w:eastAsia="Palatino Linotype" w:hAnsi="Palatino Linotype" w:cs="Palatino Linotype"/>
        </w:rPr>
        <w:lastRenderedPageBreak/>
        <w:t>SAIMEX,  la Titular de la Unidad de Transparencia consideró procedente poner a disposición la documentación en la modalidad de consulta directa, solicitando en el acto al Comité de Transparencia el cambio de modalidad en la entrega de la información, en términos del artículo 158 de la Ley de Transparencia y Acceso a la Información Pública del Estado de México y Municipios; en relación con el numeral Sexagésimo Séptimo de los Lineamientos Generales en Materia de Clasificación y Desclasificación de la información así como para la elaboración de versiones públicas.</w:t>
      </w:r>
    </w:p>
    <w:p w14:paraId="1C3499A9"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Anexos:</w:t>
      </w:r>
    </w:p>
    <w:p w14:paraId="28F7ADC8"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Relación que contiene los rubros: Área/unidad administrativa, número de hojas y correos electrónicos, como se ilustra a continuación para mejor referencia:</w:t>
      </w:r>
    </w:p>
    <w:p w14:paraId="40D28CC6" w14:textId="77777777" w:rsidR="00392D78" w:rsidRPr="00B17AA2" w:rsidRDefault="00295D68">
      <w:pPr>
        <w:spacing w:before="240" w:after="240" w:line="360" w:lineRule="auto"/>
        <w:jc w:val="center"/>
        <w:rPr>
          <w:rFonts w:ascii="Palatino Linotype" w:eastAsia="Palatino Linotype" w:hAnsi="Palatino Linotype" w:cs="Palatino Linotype"/>
        </w:rPr>
      </w:pPr>
      <w:r w:rsidRPr="00B17AA2">
        <w:rPr>
          <w:rFonts w:ascii="Palatino Linotype" w:eastAsia="Palatino Linotype" w:hAnsi="Palatino Linotype" w:cs="Palatino Linotype"/>
          <w:noProof/>
        </w:rPr>
        <w:drawing>
          <wp:inline distT="0" distB="0" distL="0" distR="0" wp14:anchorId="38C1740F" wp14:editId="708E4168">
            <wp:extent cx="4860000" cy="2063768"/>
            <wp:effectExtent l="0" t="0" r="0" b="0"/>
            <wp:docPr id="20197576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860000" cy="2063768"/>
                    </a:xfrm>
                    <a:prstGeom prst="rect">
                      <a:avLst/>
                    </a:prstGeom>
                    <a:ln/>
                  </pic:spPr>
                </pic:pic>
              </a:graphicData>
            </a:graphic>
          </wp:inline>
        </w:drawing>
      </w:r>
    </w:p>
    <w:p w14:paraId="686F6DD4"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 Acta del Comité de Transparencia de fecha dieciséis de febrero de dos mil veinticuatro, mediante la cual se somete a consideración de los integrantes, como punto tres del orden del día, el cambio de modalidad de entrega de la información, de los soportes documentales con los cuales se pretende robustecer la respuesta </w:t>
      </w:r>
      <w:r w:rsidRPr="00B17AA2">
        <w:rPr>
          <w:rFonts w:ascii="Palatino Linotype" w:eastAsia="Palatino Linotype" w:hAnsi="Palatino Linotype" w:cs="Palatino Linotype"/>
        </w:rPr>
        <w:lastRenderedPageBreak/>
        <w:t>inicialmente otorgada a la solicitud de información 00033/LERMA/IP/2023, aprobándose dicha propuesta mediante el acuerdo ACT/LERMA/EXT/COM/3era/2024, en los siguientes términos:</w:t>
      </w:r>
    </w:p>
    <w:p w14:paraId="15D55F6B" w14:textId="77777777" w:rsidR="00392D78" w:rsidRPr="00B17AA2" w:rsidRDefault="00295D68">
      <w:pPr>
        <w:spacing w:before="240" w:after="240" w:line="360" w:lineRule="auto"/>
        <w:jc w:val="center"/>
        <w:rPr>
          <w:rFonts w:ascii="Palatino Linotype" w:eastAsia="Palatino Linotype" w:hAnsi="Palatino Linotype" w:cs="Palatino Linotype"/>
        </w:rPr>
      </w:pPr>
      <w:r w:rsidRPr="00B17AA2">
        <w:rPr>
          <w:rFonts w:ascii="Palatino Linotype" w:eastAsia="Palatino Linotype" w:hAnsi="Palatino Linotype" w:cs="Palatino Linotype"/>
          <w:noProof/>
        </w:rPr>
        <w:drawing>
          <wp:inline distT="0" distB="0" distL="0" distR="0" wp14:anchorId="1C702A72" wp14:editId="16190E0A">
            <wp:extent cx="4860000" cy="3460509"/>
            <wp:effectExtent l="0" t="0" r="0" b="0"/>
            <wp:docPr id="20197576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860000" cy="3460509"/>
                    </a:xfrm>
                    <a:prstGeom prst="rect">
                      <a:avLst/>
                    </a:prstGeom>
                    <a:ln/>
                  </pic:spPr>
                </pic:pic>
              </a:graphicData>
            </a:graphic>
          </wp:inline>
        </w:drawing>
      </w:r>
      <w:r w:rsidRPr="00B17AA2">
        <w:rPr>
          <w:rFonts w:ascii="Palatino Linotype" w:eastAsia="Palatino Linotype" w:hAnsi="Palatino Linotype" w:cs="Palatino Linotype"/>
          <w:noProof/>
        </w:rPr>
        <w:drawing>
          <wp:inline distT="0" distB="0" distL="0" distR="0" wp14:anchorId="5A3C5911" wp14:editId="5831CD4C">
            <wp:extent cx="4860000" cy="2316171"/>
            <wp:effectExtent l="0" t="0" r="0" b="0"/>
            <wp:docPr id="2019757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60000" cy="2316171"/>
                    </a:xfrm>
                    <a:prstGeom prst="rect">
                      <a:avLst/>
                    </a:prstGeom>
                    <a:ln/>
                  </pic:spPr>
                </pic:pic>
              </a:graphicData>
            </a:graphic>
          </wp:inline>
        </w:drawing>
      </w:r>
    </w:p>
    <w:p w14:paraId="35BA59F3"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lastRenderedPageBreak/>
        <w:t xml:space="preserve">- 36 oficios dirigidos a las diversas áreas que integran la estructura orgánica del </w:t>
      </w:r>
      <w:r w:rsidRPr="00B17AA2">
        <w:rPr>
          <w:rFonts w:ascii="Palatino Linotype" w:eastAsia="Palatino Linotype" w:hAnsi="Palatino Linotype" w:cs="Palatino Linotype"/>
          <w:b/>
        </w:rPr>
        <w:t xml:space="preserve">Sujeto Obligado, </w:t>
      </w:r>
      <w:r w:rsidRPr="00B17AA2">
        <w:rPr>
          <w:rFonts w:ascii="Palatino Linotype" w:eastAsia="Palatino Linotype" w:hAnsi="Palatino Linotype" w:cs="Palatino Linotype"/>
        </w:rPr>
        <w:t>mediante los cuales la Titular de la Unidad de Transparencia solicitó a los servidores públicos habilitados atendieran los requerimientos de información de su competencia.</w:t>
      </w:r>
    </w:p>
    <w:p w14:paraId="49197D18"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t>-  Oficio número UTAI/125/2023, de fecha seis de febrero de dos mil veinticuatro, signado por la Titular de la Unidad de Transparencia, mediante el cual consultó al Director General de Informática de este Instituto, si era posible realizar la carga en el SAIMEX de la información solicitada que asciende a un total de 62,846 (sesenta y dos mil ochocientos cuarenta y seis) fojas y 12,520 (doce mil quinientos veinte) correos enviados, y, de no ser así, se registrara la incidencia en la bitácora respectiva.</w:t>
      </w:r>
    </w:p>
    <w:p w14:paraId="71E0D5EF"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t>- Oficio número INFOEM/DGI/0087/2024, de fecha catorce de febrero de dos  mil veintitrés, signado por el Director General de Informática de este Instituto, mediante el cual  comunicó a la Titular de la Unidad de Transparencia que la incidencia técnica había quedado registrada en la bitácora de incidencias, toda vez que la información que se trata de subir sobrepasa las capacidades técnicas del sistema SAIMEX.</w:t>
      </w:r>
    </w:p>
    <w:p w14:paraId="597C3852"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 Evidencia fotográfica de diversos expedientes físicos, en los que constan los oficios enviados y recibidos por las diversas áreas que integran la estructura orgánica del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y demás información relacionada con la materia de la solicitud.</w:t>
      </w:r>
    </w:p>
    <w:p w14:paraId="0D897D6E"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lastRenderedPageBreak/>
        <w:t xml:space="preserve">Una vez analizados los documentos referidos, se hicieron del conocimiento de la parte </w:t>
      </w:r>
      <w:r w:rsidRPr="00B17AA2">
        <w:rPr>
          <w:rFonts w:ascii="Palatino Linotype" w:eastAsia="Palatino Linotype" w:hAnsi="Palatino Linotype" w:cs="Palatino Linotype"/>
          <w:b/>
        </w:rPr>
        <w:t>Recurrente</w:t>
      </w:r>
      <w:r w:rsidRPr="00B17AA2">
        <w:rPr>
          <w:rFonts w:ascii="Palatino Linotype" w:eastAsia="Palatino Linotype" w:hAnsi="Palatino Linotype" w:cs="Palatino Linotype"/>
        </w:rPr>
        <w:t xml:space="preserve"> con la finalidad de que manifestara lo que a su derecho estimara conveniente, siendo omisa en ejercer dicha prerrogativa.</w:t>
      </w:r>
    </w:p>
    <w:p w14:paraId="6E9D9E0E" w14:textId="77777777" w:rsidR="00392D78" w:rsidRPr="00B17AA2" w:rsidRDefault="00295D68">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B17AA2">
        <w:rPr>
          <w:rFonts w:ascii="Palatino Linotype" w:eastAsia="Palatino Linotype" w:hAnsi="Palatino Linotype" w:cs="Palatino Linotype"/>
          <w:b/>
        </w:rPr>
        <w:t xml:space="preserve">8. Cierre de instrucción. </w:t>
      </w:r>
      <w:r w:rsidRPr="00B17AA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B17AA2">
        <w:rPr>
          <w:rFonts w:ascii="Palatino Linotype" w:eastAsia="Palatino Linotype" w:hAnsi="Palatino Linotype" w:cs="Palatino Linotype"/>
          <w:b/>
        </w:rPr>
        <w:t xml:space="preserve">veinte de marzo de dos mil veinticuatro, </w:t>
      </w:r>
      <w:r w:rsidRPr="00B17AA2">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2FC568A9"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34CF2B0" w14:textId="77777777" w:rsidR="00392D78" w:rsidRPr="00B17AA2" w:rsidRDefault="00295D68">
      <w:pPr>
        <w:widowControl w:val="0"/>
        <w:spacing w:before="240" w:after="240" w:line="360" w:lineRule="auto"/>
        <w:jc w:val="center"/>
        <w:rPr>
          <w:rFonts w:ascii="Palatino Linotype" w:eastAsia="Palatino Linotype" w:hAnsi="Palatino Linotype" w:cs="Palatino Linotype"/>
          <w:b/>
        </w:rPr>
      </w:pPr>
      <w:r w:rsidRPr="00B17AA2">
        <w:rPr>
          <w:rFonts w:ascii="Palatino Linotype" w:eastAsia="Palatino Linotype" w:hAnsi="Palatino Linotype" w:cs="Palatino Linotype"/>
          <w:b/>
        </w:rPr>
        <w:t>II. C O N S I D E R A N D O S</w:t>
      </w:r>
    </w:p>
    <w:p w14:paraId="7A0714DD"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b/>
        </w:rPr>
        <w:t>Primero. Competencia.</w:t>
      </w:r>
      <w:r w:rsidRPr="00B17AA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B17AA2">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7CB854B3" w14:textId="77777777" w:rsidR="00392D78" w:rsidRPr="00B17AA2" w:rsidRDefault="00295D68">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B17AA2">
        <w:rPr>
          <w:rFonts w:ascii="Palatino Linotype" w:eastAsia="Palatino Linotype" w:hAnsi="Palatino Linotype" w:cs="Palatino Linotype"/>
          <w:b/>
        </w:rPr>
        <w:t>Segundo. Oportunidad y Procedibilidad del Recurso de Revisión</w:t>
      </w:r>
      <w:r w:rsidRPr="00B17AA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6963EF4"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17AA2">
        <w:rPr>
          <w:rFonts w:ascii="Palatino Linotype" w:eastAsia="Palatino Linotype" w:hAnsi="Palatino Linotype" w:cs="Palatino Linotype"/>
          <w:b/>
        </w:rPr>
        <w:t xml:space="preserve">Sujeto Obligado </w:t>
      </w:r>
      <w:r w:rsidRPr="00B17AA2">
        <w:rPr>
          <w:rFonts w:ascii="Palatino Linotype" w:eastAsia="Palatino Linotype" w:hAnsi="Palatino Linotype" w:cs="Palatino Linotype"/>
        </w:rPr>
        <w:t xml:space="preserve">remitió la respuesta a la solicitud de información el día </w:t>
      </w:r>
      <w:r w:rsidRPr="00B17AA2">
        <w:rPr>
          <w:rFonts w:ascii="Palatino Linotype" w:eastAsia="Palatino Linotype" w:hAnsi="Palatino Linotype" w:cs="Palatino Linotype"/>
          <w:b/>
        </w:rPr>
        <w:t xml:space="preserve">veintiocho de marzo dos mil veintitrés, </w:t>
      </w:r>
      <w:r w:rsidRPr="00B17AA2">
        <w:rPr>
          <w:rFonts w:ascii="Palatino Linotype" w:eastAsia="Palatino Linotype" w:hAnsi="Palatino Linotype" w:cs="Palatino Linotype"/>
        </w:rPr>
        <w:t xml:space="preserve">mientras que el recurso de revisión interpuesto por la parte </w:t>
      </w:r>
      <w:r w:rsidRPr="00B17AA2">
        <w:rPr>
          <w:rFonts w:ascii="Palatino Linotype" w:eastAsia="Palatino Linotype" w:hAnsi="Palatino Linotype" w:cs="Palatino Linotype"/>
          <w:b/>
        </w:rPr>
        <w:t>Recurrente</w:t>
      </w:r>
      <w:r w:rsidRPr="00B17AA2">
        <w:rPr>
          <w:rFonts w:ascii="Palatino Linotype" w:eastAsia="Palatino Linotype" w:hAnsi="Palatino Linotype" w:cs="Palatino Linotype"/>
        </w:rPr>
        <w:t xml:space="preserve">, se tuvo por presentado el día </w:t>
      </w:r>
      <w:r w:rsidRPr="00B17AA2">
        <w:rPr>
          <w:rFonts w:ascii="Palatino Linotype" w:eastAsia="Palatino Linotype" w:hAnsi="Palatino Linotype" w:cs="Palatino Linotype"/>
          <w:b/>
        </w:rPr>
        <w:t>veintinueve de marzo de dos mil veintitrés</w:t>
      </w:r>
      <w:r w:rsidRPr="00B17AA2">
        <w:rPr>
          <w:rFonts w:ascii="Palatino Linotype" w:eastAsia="Palatino Linotype" w:hAnsi="Palatino Linotype" w:cs="Palatino Linotype"/>
        </w:rPr>
        <w:t>, esto es al siguiente día hábil posterior en que tuvo conocimiento de la respuesta impugnada. En este sentido, se concluye que el presente recurso de revisión se encuentra dentro de los márgenes temporales previstos en las disposiciones legales referidas.</w:t>
      </w:r>
    </w:p>
    <w:p w14:paraId="0CF9EE16" w14:textId="77777777" w:rsidR="00392D78" w:rsidRPr="00B17AA2" w:rsidRDefault="00295D68">
      <w:pPr>
        <w:tabs>
          <w:tab w:val="left" w:pos="7938"/>
        </w:tabs>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B17AA2">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B2F747E"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lastRenderedPageBreak/>
        <w:t xml:space="preserve">A efecto de sustentar lo anterior, es de suma importancia mencionar que si bien la persona solicitante </w:t>
      </w:r>
      <w:r w:rsidRPr="00B17AA2">
        <w:rPr>
          <w:rFonts w:ascii="Palatino Linotype" w:eastAsia="Palatino Linotype" w:hAnsi="Palatino Linotype" w:cs="Palatino Linotype"/>
          <w:b/>
        </w:rPr>
        <w:t xml:space="preserve">no proporcionó nombre, </w:t>
      </w:r>
      <w:r w:rsidRPr="00B17AA2">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694EFF3" w14:textId="77777777" w:rsidR="00392D78" w:rsidRPr="00B17AA2" w:rsidRDefault="00295D68">
      <w:pPr>
        <w:spacing w:before="120" w:after="120"/>
        <w:ind w:left="851" w:right="902"/>
        <w:jc w:val="both"/>
        <w:rPr>
          <w:rFonts w:ascii="Palatino Linotype" w:eastAsia="Palatino Linotype" w:hAnsi="Palatino Linotype" w:cs="Palatino Linotype"/>
          <w:sz w:val="22"/>
          <w:szCs w:val="22"/>
        </w:rPr>
      </w:pPr>
      <w:r w:rsidRPr="00B17AA2">
        <w:rPr>
          <w:rFonts w:ascii="Palatino Linotype" w:eastAsia="Palatino Linotype" w:hAnsi="Palatino Linotype" w:cs="Palatino Linotype"/>
          <w:i/>
          <w:sz w:val="22"/>
          <w:szCs w:val="22"/>
        </w:rPr>
        <w:t>"</w:t>
      </w:r>
      <w:r w:rsidRPr="00B17AA2">
        <w:rPr>
          <w:rFonts w:ascii="Palatino Linotype" w:eastAsia="Palatino Linotype" w:hAnsi="Palatino Linotype" w:cs="Palatino Linotype"/>
          <w:b/>
          <w:i/>
          <w:sz w:val="22"/>
          <w:szCs w:val="22"/>
        </w:rPr>
        <w:t>Las solicitudes anónimas</w:t>
      </w:r>
      <w:r w:rsidRPr="00B17AA2">
        <w:rPr>
          <w:rFonts w:ascii="Palatino Linotype" w:eastAsia="Palatino Linotype" w:hAnsi="Palatino Linotype" w:cs="Palatino Linotype"/>
          <w:i/>
          <w:sz w:val="22"/>
          <w:szCs w:val="22"/>
        </w:rPr>
        <w:t xml:space="preserve">, con nombre incompleto o seudónimo </w:t>
      </w:r>
      <w:r w:rsidRPr="00B17AA2">
        <w:rPr>
          <w:rFonts w:ascii="Palatino Linotype" w:eastAsia="Palatino Linotype" w:hAnsi="Palatino Linotype" w:cs="Palatino Linotype"/>
          <w:b/>
          <w:i/>
          <w:sz w:val="22"/>
          <w:szCs w:val="22"/>
        </w:rPr>
        <w:t>serán procedentes para su trámite por parte del sujeto obligado ante quien se presente</w:t>
      </w:r>
      <w:r w:rsidRPr="00B17AA2">
        <w:rPr>
          <w:rFonts w:ascii="Palatino Linotype" w:eastAsia="Palatino Linotype" w:hAnsi="Palatino Linotype" w:cs="Palatino Linotype"/>
          <w:i/>
          <w:sz w:val="22"/>
          <w:szCs w:val="22"/>
        </w:rPr>
        <w:t>. No podrá requerirse información adicional con motivo del nombre proporcionado por el solicitante."</w:t>
      </w:r>
    </w:p>
    <w:p w14:paraId="6AC5FF96"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B17AA2">
        <w:rPr>
          <w:rFonts w:ascii="Palatino Linotype" w:eastAsia="Palatino Linotype" w:hAnsi="Palatino Linotype" w:cs="Palatino Linotype"/>
          <w:b/>
        </w:rPr>
        <w:t>Recurrente</w:t>
      </w:r>
      <w:r w:rsidRPr="00B17AA2">
        <w:rPr>
          <w:rFonts w:ascii="Palatino Linotype" w:eastAsia="Palatino Linotype" w:hAnsi="Palatino Linotype" w:cs="Palatino Linotype"/>
        </w:rPr>
        <w:t>, por lo que, en el presente caso, al haber sido presentado el recurso de revisión vía SAIMEX, dicho requisito resulta innecesario.</w:t>
      </w:r>
    </w:p>
    <w:p w14:paraId="48EB142E"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Finalmente, se advierte que resulta procedente la interposición del recurso, según lo manifestado por la parte </w:t>
      </w:r>
      <w:r w:rsidRPr="00B17AA2">
        <w:rPr>
          <w:rFonts w:ascii="Palatino Linotype" w:eastAsia="Palatino Linotype" w:hAnsi="Palatino Linotype" w:cs="Palatino Linotype"/>
          <w:b/>
        </w:rPr>
        <w:t>Recurrente</w:t>
      </w:r>
      <w:r w:rsidRPr="00B17AA2">
        <w:rPr>
          <w:rFonts w:ascii="Palatino Linotype" w:eastAsia="Palatino Linotype" w:hAnsi="Palatino Linotype" w:cs="Palatino Linotype"/>
        </w:rPr>
        <w:t xml:space="preserve"> en sus motivos de inconformidad, de acuerdo al artículo 179, fracción I del ordenamiento legal citado, que a la letra dice: </w:t>
      </w:r>
    </w:p>
    <w:p w14:paraId="7D71F7C2" w14:textId="77777777" w:rsidR="00392D78" w:rsidRPr="00B17AA2" w:rsidRDefault="00295D68">
      <w:pPr>
        <w:spacing w:before="120" w:after="120"/>
        <w:ind w:left="851" w:right="902"/>
        <w:jc w:val="both"/>
        <w:rPr>
          <w:rFonts w:ascii="Palatino Linotype" w:eastAsia="Palatino Linotype" w:hAnsi="Palatino Linotype" w:cs="Palatino Linotype"/>
          <w:i/>
          <w:sz w:val="22"/>
          <w:szCs w:val="22"/>
        </w:rPr>
      </w:pPr>
      <w:r w:rsidRPr="00B17AA2">
        <w:rPr>
          <w:rFonts w:ascii="Palatino Linotype" w:eastAsia="Palatino Linotype" w:hAnsi="Palatino Linotype" w:cs="Palatino Linotype"/>
          <w:i/>
          <w:sz w:val="22"/>
          <w:szCs w:val="22"/>
        </w:rPr>
        <w:t>“</w:t>
      </w:r>
      <w:r w:rsidRPr="00B17AA2">
        <w:rPr>
          <w:rFonts w:ascii="Palatino Linotype" w:eastAsia="Palatino Linotype" w:hAnsi="Palatino Linotype" w:cs="Palatino Linotype"/>
          <w:b/>
          <w:i/>
          <w:sz w:val="22"/>
          <w:szCs w:val="22"/>
        </w:rPr>
        <w:t>Artículo 179.</w:t>
      </w:r>
      <w:r w:rsidRPr="00B17AA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83ABF85" w14:textId="77777777" w:rsidR="00392D78" w:rsidRPr="00B17AA2" w:rsidRDefault="00295D68">
      <w:pPr>
        <w:spacing w:before="120" w:after="120"/>
        <w:ind w:left="1134"/>
        <w:rPr>
          <w:rFonts w:ascii="Palatino Linotype" w:eastAsia="Palatino Linotype" w:hAnsi="Palatino Linotype" w:cs="Palatino Linotype"/>
          <w:i/>
          <w:sz w:val="22"/>
          <w:szCs w:val="22"/>
        </w:rPr>
      </w:pPr>
      <w:r w:rsidRPr="00B17AA2">
        <w:rPr>
          <w:rFonts w:ascii="Palatino Linotype" w:eastAsia="Palatino Linotype" w:hAnsi="Palatino Linotype" w:cs="Palatino Linotype"/>
          <w:b/>
          <w:i/>
          <w:sz w:val="22"/>
          <w:szCs w:val="22"/>
        </w:rPr>
        <w:t xml:space="preserve">I. </w:t>
      </w:r>
      <w:r w:rsidRPr="00B17AA2">
        <w:rPr>
          <w:rFonts w:ascii="Palatino Linotype" w:eastAsia="Palatino Linotype" w:hAnsi="Palatino Linotype" w:cs="Palatino Linotype"/>
          <w:i/>
          <w:sz w:val="22"/>
          <w:szCs w:val="22"/>
        </w:rPr>
        <w:t>La negativa a la información solicitada</w:t>
      </w:r>
      <w:r w:rsidRPr="00B17AA2">
        <w:rPr>
          <w:rFonts w:ascii="Palatino Linotype" w:eastAsia="Palatino Linotype" w:hAnsi="Palatino Linotype" w:cs="Palatino Linotype"/>
          <w:b/>
          <w:i/>
          <w:sz w:val="22"/>
          <w:szCs w:val="22"/>
        </w:rPr>
        <w:t>;</w:t>
      </w:r>
      <w:r w:rsidRPr="00B17AA2">
        <w:rPr>
          <w:rFonts w:ascii="Palatino Linotype" w:eastAsia="Palatino Linotype" w:hAnsi="Palatino Linotype" w:cs="Palatino Linotype"/>
          <w:i/>
          <w:sz w:val="22"/>
          <w:szCs w:val="22"/>
        </w:rPr>
        <w:t>”</w:t>
      </w:r>
    </w:p>
    <w:p w14:paraId="20D2167A" w14:textId="77777777" w:rsidR="00392D78" w:rsidRPr="00B17AA2" w:rsidRDefault="00295D68">
      <w:pPr>
        <w:spacing w:before="240" w:after="240" w:line="360" w:lineRule="auto"/>
        <w:jc w:val="both"/>
      </w:pPr>
      <w:r w:rsidRPr="00B17AA2">
        <w:rPr>
          <w:rFonts w:ascii="Palatino Linotype" w:eastAsia="Palatino Linotype" w:hAnsi="Palatino Linotype" w:cs="Palatino Linotype"/>
          <w:b/>
        </w:rPr>
        <w:t>Tercero. Análisis de las causales de sobreseimiento del recurso de revisión.</w:t>
      </w:r>
      <w:r w:rsidRPr="00B17AA2">
        <w:rPr>
          <w:rFonts w:ascii="Palatino Linotype" w:eastAsia="Palatino Linotype" w:hAnsi="Palatino Linotype" w:cs="Palatino Linotype"/>
        </w:rPr>
        <w:t xml:space="preserve"> Es menester resaltar que en el procedimiento de acceso a la información pública y de </w:t>
      </w:r>
      <w:r w:rsidRPr="00B17AA2">
        <w:rPr>
          <w:rFonts w:ascii="Palatino Linotype" w:eastAsia="Palatino Linotype" w:hAnsi="Palatino Linotype" w:cs="Palatino Linotype"/>
        </w:rPr>
        <w:lastRenderedPageBreak/>
        <w:t>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6B512E6" w14:textId="77777777" w:rsidR="00392D78" w:rsidRPr="00B17AA2" w:rsidRDefault="00295D68">
      <w:pPr>
        <w:spacing w:before="240" w:after="240" w:line="360" w:lineRule="auto"/>
        <w:jc w:val="both"/>
      </w:pPr>
      <w:r w:rsidRPr="00B17AA2">
        <w:rPr>
          <w:rFonts w:ascii="Palatino Linotype" w:eastAsia="Palatino Linotype" w:hAnsi="Palatino Linotype" w:cs="Palatino Linotype"/>
        </w:rPr>
        <w:t>Es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p>
    <w:p w14:paraId="5BA2CD75" w14:textId="77777777" w:rsidR="00392D78" w:rsidRPr="00B17AA2" w:rsidRDefault="00295D68">
      <w:pPr>
        <w:spacing w:before="240" w:after="240" w:line="360" w:lineRule="auto"/>
        <w:ind w:right="51"/>
        <w:jc w:val="both"/>
        <w:rPr>
          <w:rFonts w:ascii="Palatino Linotype" w:eastAsia="Palatino Linotype" w:hAnsi="Palatino Linotype" w:cs="Palatino Linotype"/>
        </w:rPr>
      </w:pPr>
      <w:r w:rsidRPr="00B17AA2">
        <w:rPr>
          <w:rFonts w:ascii="Palatino Linotype" w:eastAsia="Palatino Linotype" w:hAnsi="Palatino Linotype" w:cs="Palatino Linotype"/>
        </w:rPr>
        <w:t>De manera preliminar en el caso concreto conviene analizar si se actualiza alguna de las causales de sobreseimiento del recurso de revisión.</w:t>
      </w:r>
    </w:p>
    <w:p w14:paraId="0FB0DB6C" w14:textId="77777777" w:rsidR="00392D78" w:rsidRPr="00B17AA2" w:rsidRDefault="00295D68">
      <w:pPr>
        <w:spacing w:before="240" w:after="240" w:line="360" w:lineRule="auto"/>
        <w:ind w:right="51"/>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En tal contexto, del análisis de la solicitud de información motivo del recurso de revisión que ahora se resuelve, se advierte que la persona solicitante requirió al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xml:space="preserve"> le proporcione información que consiste medularmente en lo siguiente:</w:t>
      </w:r>
    </w:p>
    <w:p w14:paraId="0EDE7084"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lastRenderedPageBreak/>
        <w:t>1. Gafetes de todo el personal del Sujeto Obligado desde el primero de enero del 2016 al veinticuatro de febrero de 2023, el cual debe de coincidir con la información publicada dentro de su portal IPOMEX.</w:t>
      </w:r>
    </w:p>
    <w:p w14:paraId="068F26DD"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2. Cédulas de bases de datos personales donde se estipule la información correspondiente a los expedientes de los servidores públicos adscritos a su sujeto obligado. </w:t>
      </w:r>
    </w:p>
    <w:p w14:paraId="3CD29486"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3. Todos los oficios generados por todas las unidades administrativas que conforman al Sujeto Obligado, del veinticuatro de febrero de 2022 al veinticuatro de febrero de 2023.</w:t>
      </w:r>
    </w:p>
    <w:p w14:paraId="7598A0E8"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4. Todos los correos enviados y recibidos, del veinticuatro de febrero de 2022 al veinticuatro de febrero de 2023.</w:t>
      </w:r>
    </w:p>
    <w:p w14:paraId="7B61E860"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5. Estatus de sus cuentas bancarias actuales, así como también de las cuentas en desuso y congeladas desde el primero de enero de 2022 al veinticuatro de febrero de 2023,  desglosadas por mes. </w:t>
      </w:r>
    </w:p>
    <w:p w14:paraId="761CB411"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6. Todos los montos por concepto de descuento, faltas o inasistencias del personal adscrito, desglosado por servidor público, desde el primero de enero de 2016 al veinticuatro de febrero de 2023.</w:t>
      </w:r>
    </w:p>
    <w:p w14:paraId="4634E07E"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7. Listado de todas las armas activas, en desuso, en trámite de baja, facturas de compra de las mismas, </w:t>
      </w:r>
      <w:proofErr w:type="spellStart"/>
      <w:r w:rsidRPr="00B17AA2">
        <w:rPr>
          <w:rFonts w:ascii="Palatino Linotype" w:eastAsia="Palatino Linotype" w:hAnsi="Palatino Linotype" w:cs="Palatino Linotype"/>
        </w:rPr>
        <w:t>resguardatario</w:t>
      </w:r>
      <w:proofErr w:type="spellEnd"/>
      <w:r w:rsidRPr="00B17AA2">
        <w:rPr>
          <w:rFonts w:ascii="Palatino Linotype" w:eastAsia="Palatino Linotype" w:hAnsi="Palatino Linotype" w:cs="Palatino Linotype"/>
        </w:rPr>
        <w:t xml:space="preserve"> actual, listado de portación de armas de todos los policías y servidores públicos que la tengan, esto desde el primero de enero del 2016 a al veinticuatro de febrero de 2023.</w:t>
      </w:r>
    </w:p>
    <w:p w14:paraId="75952666"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lastRenderedPageBreak/>
        <w:t xml:space="preserve">8. Expediente laboral y </w:t>
      </w:r>
      <w:proofErr w:type="spellStart"/>
      <w:r w:rsidRPr="00B17AA2">
        <w:rPr>
          <w:rFonts w:ascii="Palatino Linotype" w:eastAsia="Palatino Linotype" w:hAnsi="Palatino Linotype" w:cs="Palatino Linotype"/>
        </w:rPr>
        <w:t>curriculum</w:t>
      </w:r>
      <w:proofErr w:type="spellEnd"/>
      <w:r w:rsidRPr="00B17AA2">
        <w:rPr>
          <w:rFonts w:ascii="Palatino Linotype" w:eastAsia="Palatino Linotype" w:hAnsi="Palatino Linotype" w:cs="Palatino Linotype"/>
        </w:rPr>
        <w:t xml:space="preserve"> vitae de la/el asistente personal del presidente municipal.</w:t>
      </w:r>
    </w:p>
    <w:p w14:paraId="75EF1515"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9.  Recibos de nómina, gafete, listas de asistencia, listado de acceso en el checador institucional en formato </w:t>
      </w:r>
      <w:proofErr w:type="spellStart"/>
      <w:r w:rsidRPr="00B17AA2">
        <w:rPr>
          <w:rFonts w:ascii="Palatino Linotype" w:eastAsia="Palatino Linotype" w:hAnsi="Palatino Linotype" w:cs="Palatino Linotype"/>
        </w:rPr>
        <w:t>excel</w:t>
      </w:r>
      <w:proofErr w:type="spellEnd"/>
      <w:r w:rsidRPr="00B17AA2">
        <w:rPr>
          <w:rFonts w:ascii="Palatino Linotype" w:eastAsia="Palatino Linotype" w:hAnsi="Palatino Linotype" w:cs="Palatino Linotype"/>
        </w:rPr>
        <w:t xml:space="preserve"> desde el primero de enero del 2022 al veinticuatro de febrero de 2023. </w:t>
      </w:r>
    </w:p>
    <w:p w14:paraId="7008B48C"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10. Bitácoras de gasolina desglosadas por dirección, departamento, vehículo, si es diésel o gasolina, operador, licencia de conducir, gafetes y en su caso nombramientos desde el primero de enero del 2019 al veinticuatro de febrero de 2023.</w:t>
      </w:r>
    </w:p>
    <w:p w14:paraId="19034AAF"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11. Antecedentes no penales de todo el personal adscrito al Sujeto Obligado desde el primero de enero de 2022 al veinticuatro de febrero de 2023.</w:t>
      </w:r>
    </w:p>
    <w:p w14:paraId="2E54DDBD"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12. Todos los cortes de caja realizados por la Contraloría, así como la firma contenida del cajero dentro de los mismos, desde el primero de enero del 2018 al veinticuatro de febrero de 2023.</w:t>
      </w:r>
    </w:p>
    <w:p w14:paraId="08CB5E0D"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13. Todas las denuncias realizadas a la Contraloría por cualquier concepto desde el primero de enero de 2014 al veinticuatro de febrero de 2023.</w:t>
      </w:r>
    </w:p>
    <w:p w14:paraId="7CE3C9A6"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14. Expedientes personales de todos los policías adscritos al Sujeto Obligado incluyendo las bajas y motivo fue la baja, desde el primero de enero de 2017 al veinticuatro de febrero de 2023.</w:t>
      </w:r>
    </w:p>
    <w:p w14:paraId="49BBD699" w14:textId="77777777" w:rsidR="00392D78" w:rsidRPr="00B17AA2" w:rsidRDefault="00295D68">
      <w:pPr>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15. Programa para la Sistematización y Actualización de la Información, PASAI, desde el ejercicio 2017 al ejercicio 2023.</w:t>
      </w:r>
    </w:p>
    <w:p w14:paraId="462477A2"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lastRenderedPageBreak/>
        <w:t>Respecto de los puntos 3 y 4 es de suma importancia mencionar que la persona solicitante fue omisa en señalar el periodo sobre el cual requería la información, este Organismo Garante estima adecuado acotar la entrega, del soporte documental generado en el año inmediato anterior contado a partir de la fecha de presentación de la solicitud, es decir, del veinticuatro de febrero de 2022 al veinticuatro de febrero de 2023.</w:t>
      </w:r>
    </w:p>
    <w:p w14:paraId="000E69B5"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Lo anterior se robustece con el criterio de interpretación 03/19 emitido por el Instituto Nacional de Transparencia Acceso a la Información y Protección de Datos Personales, INAI, en el cual es del tenor literal siguiente:</w:t>
      </w:r>
    </w:p>
    <w:p w14:paraId="43F9EECA" w14:textId="77777777" w:rsidR="00392D78" w:rsidRPr="00B17AA2" w:rsidRDefault="00295D68">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B17AA2">
        <w:rPr>
          <w:rFonts w:ascii="Palatino Linotype" w:eastAsia="Palatino Linotype" w:hAnsi="Palatino Linotype" w:cs="Palatino Linotype"/>
          <w:i/>
          <w:sz w:val="22"/>
          <w:szCs w:val="22"/>
        </w:rPr>
        <w:t>“</w:t>
      </w:r>
      <w:r w:rsidRPr="00B17AA2">
        <w:rPr>
          <w:rFonts w:ascii="Palatino Linotype" w:eastAsia="Palatino Linotype" w:hAnsi="Palatino Linotype" w:cs="Palatino Linotype"/>
          <w:b/>
          <w:i/>
          <w:sz w:val="22"/>
          <w:szCs w:val="22"/>
        </w:rPr>
        <w:t>Periodo de búsqueda de la información</w:t>
      </w:r>
      <w:r w:rsidRPr="00B17AA2">
        <w:rPr>
          <w:rFonts w:ascii="Palatino Linotype" w:eastAsia="Palatino Linotype" w:hAnsi="Palatino Linotype" w:cs="Palatino Linotype"/>
          <w:i/>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sidRPr="00B17AA2">
        <w:rPr>
          <w:rFonts w:ascii="Palatino Linotype" w:eastAsia="Palatino Linotype" w:hAnsi="Palatino Linotype" w:cs="Palatino Linotype"/>
          <w:i/>
        </w:rPr>
        <w:t xml:space="preserve">  </w:t>
      </w:r>
    </w:p>
    <w:p w14:paraId="664A9166" w14:textId="77777777" w:rsidR="00392D78" w:rsidRPr="00B17AA2" w:rsidRDefault="00295D68">
      <w:pPr>
        <w:spacing w:before="240" w:after="240" w:line="360" w:lineRule="auto"/>
        <w:ind w:right="49"/>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En respuesta, el </w:t>
      </w:r>
      <w:r w:rsidRPr="00B17AA2">
        <w:rPr>
          <w:rFonts w:ascii="Palatino Linotype" w:eastAsia="Palatino Linotype" w:hAnsi="Palatino Linotype" w:cs="Palatino Linotype"/>
          <w:b/>
        </w:rPr>
        <w:t xml:space="preserve">Sujeto Obligado, </w:t>
      </w:r>
      <w:r w:rsidRPr="00B17AA2">
        <w:rPr>
          <w:rFonts w:ascii="Palatino Linotype" w:eastAsia="Palatino Linotype" w:hAnsi="Palatino Linotype" w:cs="Palatino Linotype"/>
        </w:rPr>
        <w:t xml:space="preserve">a través de la Unidad de Transparencia notificó a la persona solicitante la prueba de daño donde se concluyó que no era posible entregar la información solicitada, razón por la cual se solicitaría se clasificara como información reservada en la siguiente sesión del Comité de Transparencia a celebrarse, motivando así la interposición del recurso de revisión que se resuelve donde la parte </w:t>
      </w:r>
      <w:r w:rsidRPr="00B17AA2">
        <w:rPr>
          <w:rFonts w:ascii="Palatino Linotype" w:eastAsia="Palatino Linotype" w:hAnsi="Palatino Linotype" w:cs="Palatino Linotype"/>
          <w:b/>
        </w:rPr>
        <w:t>Recurrente</w:t>
      </w:r>
      <w:r w:rsidRPr="00B17AA2">
        <w:rPr>
          <w:rFonts w:ascii="Palatino Linotype" w:eastAsia="Palatino Linotype" w:hAnsi="Palatino Linotype" w:cs="Palatino Linotype"/>
        </w:rPr>
        <w:t xml:space="preserve"> manifestó como motivo de inconformidad que le fue negada la entrega de la información.</w:t>
      </w:r>
    </w:p>
    <w:p w14:paraId="55B8F19C"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Durante la etapa de manifestaciones, el </w:t>
      </w:r>
      <w:r w:rsidRPr="00B17AA2">
        <w:rPr>
          <w:rFonts w:ascii="Palatino Linotype" w:eastAsia="Palatino Linotype" w:hAnsi="Palatino Linotype" w:cs="Palatino Linotype"/>
          <w:b/>
        </w:rPr>
        <w:t xml:space="preserve">Sujeto Obligado, </w:t>
      </w:r>
      <w:r w:rsidRPr="00B17AA2">
        <w:rPr>
          <w:rFonts w:ascii="Palatino Linotype" w:eastAsia="Palatino Linotype" w:hAnsi="Palatino Linotype" w:cs="Palatino Linotype"/>
        </w:rPr>
        <w:t xml:space="preserve">a través de la Unida de Transparencia, manifestó haber turnado nuevamente la solicitud a las áreas que de acuerdo con sus competencias pudieran contar con la información requerida, </w:t>
      </w:r>
      <w:r w:rsidRPr="00B17AA2">
        <w:rPr>
          <w:rFonts w:ascii="Palatino Linotype" w:eastAsia="Palatino Linotype" w:hAnsi="Palatino Linotype" w:cs="Palatino Linotype"/>
        </w:rPr>
        <w:lastRenderedPageBreak/>
        <w:t>instruyendo la búsqueda de la información en el año inmediato anterior a la fecha de presentación de la solicitud, específicamente de los oficios generados y correos enviados y recibidos al no haber señalado temporalidad la persona solicitante, y, como resultado de dicha diligencia, derivado de un nuevo análisis pormenorizado  a los documentos que conforman las respuestas los servidores públicos habilitados competentes, advirtieron a imposibilidad técnica, humana y administrativa para atender la solicitud a través de la modalidad elegida, esto es, mediante el Sistema de Acceso a la Información Mexiquense, SAIMEX, por las razones siguientes:</w:t>
      </w:r>
    </w:p>
    <w:p w14:paraId="3319DBAB"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t>- El cúmulo de documentos que constituye un volumen considerable, mismo que se encuentra en formato físico y/o electrónico; que asciende a un total de 62,846 (sesenta y dos mil ochocientos cuarenta y seis) fojas y 12,520 (doce mil quinientos veinte) correos enviados.</w:t>
      </w:r>
    </w:p>
    <w:p w14:paraId="020CFB7A"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t>- Cuenta con poco personal, el cual además, tiene asignadas funciones relacionadas con el buen funcionamiento de las unidades administrativas.</w:t>
      </w:r>
    </w:p>
    <w:p w14:paraId="47182E51"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t>- El análisis minucioso que requiere la información a efecto de determinar si contiene información que deba ser clasificada como confidencial y/o reservada a través de las versiones públicas, o clasificada en su totalidad.</w:t>
      </w:r>
    </w:p>
    <w:p w14:paraId="05B5BFB6" w14:textId="77777777" w:rsidR="00392D78" w:rsidRPr="00B17AA2" w:rsidRDefault="00295D68">
      <w:pPr>
        <w:widowControl w:val="0"/>
        <w:spacing w:before="240" w:after="240" w:line="360" w:lineRule="auto"/>
        <w:ind w:right="51"/>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Razón por la cual se solicitó a la Dirección General de Informática de este Instituto, el registro de la incidencia técnica en la bitácora correspondiente, y se sometió a consideración del Comité de Transparencia del </w:t>
      </w:r>
      <w:r w:rsidRPr="00B17AA2">
        <w:rPr>
          <w:rFonts w:ascii="Palatino Linotype" w:eastAsia="Palatino Linotype" w:hAnsi="Palatino Linotype" w:cs="Palatino Linotype"/>
          <w:b/>
        </w:rPr>
        <w:t xml:space="preserve">Sujeto Obligado, </w:t>
      </w:r>
      <w:r w:rsidRPr="00B17AA2">
        <w:rPr>
          <w:rFonts w:ascii="Palatino Linotype" w:eastAsia="Palatino Linotype" w:hAnsi="Palatino Linotype" w:cs="Palatino Linotype"/>
        </w:rPr>
        <w:t>con fundamento en el artículo 158 de la Ley de Transparencia y Acceso a la Información Pública del Estado de México y Municipios, la propuesta para</w:t>
      </w:r>
      <w:r w:rsidRPr="00B17AA2">
        <w:rPr>
          <w:rFonts w:ascii="Palatino Linotype" w:eastAsia="Palatino Linotype" w:hAnsi="Palatino Linotype" w:cs="Palatino Linotype"/>
          <w:b/>
        </w:rPr>
        <w:t xml:space="preserve"> </w:t>
      </w:r>
      <w:r w:rsidRPr="00B17AA2">
        <w:rPr>
          <w:rFonts w:ascii="Palatino Linotype" w:eastAsia="Palatino Linotype" w:hAnsi="Palatino Linotype" w:cs="Palatino Linotype"/>
        </w:rPr>
        <w:t xml:space="preserve">realizar el cambio de modalidad en la entrega de información, la cual se aprobó mediante el acuerdo </w:t>
      </w:r>
      <w:r w:rsidRPr="00B17AA2">
        <w:rPr>
          <w:rFonts w:ascii="Palatino Linotype" w:eastAsia="Palatino Linotype" w:hAnsi="Palatino Linotype" w:cs="Palatino Linotype"/>
        </w:rPr>
        <w:lastRenderedPageBreak/>
        <w:t xml:space="preserve">ACT/LERMA/EXT/COM/3era/2024, donde se determinó poner la información solicitada a disposición de la persona solicitante en las modalidades de consulta directa, en el domicilio de la Unidad de Transparencia; en copias simples o certificadas, previo pago de derechos; así como cualquier otro medio incluido los electrónicos, tales como dispositivo USB, disco duro, CD-ROM, previo pago de derechos en caso de que estos fuesen proporcionados por el Sujeto Obligado, o si la persona solicitante proporcionaba los mismos, de manera gratuita, asimismo, se hizo del conocimiento de la parte </w:t>
      </w:r>
      <w:r w:rsidRPr="00B17AA2">
        <w:rPr>
          <w:rFonts w:ascii="Palatino Linotype" w:eastAsia="Palatino Linotype" w:hAnsi="Palatino Linotype" w:cs="Palatino Linotype"/>
          <w:b/>
        </w:rPr>
        <w:t>Recurrente</w:t>
      </w:r>
      <w:r w:rsidRPr="00B17AA2">
        <w:rPr>
          <w:rFonts w:ascii="Palatino Linotype" w:eastAsia="Palatino Linotype" w:hAnsi="Palatino Linotype" w:cs="Palatino Linotype"/>
        </w:rPr>
        <w:t xml:space="preserve"> que la información estaría disponible durante un plazo de 60 días, por lo que una vez trascurrido, la solicitud se daría por concluida, y se procedería a la destrucción del material en el que se reprodujo la información.</w:t>
      </w:r>
    </w:p>
    <w:p w14:paraId="28884AE9" w14:textId="77777777" w:rsidR="00392D78" w:rsidRPr="00B17AA2" w:rsidRDefault="00295D68">
      <w:pPr>
        <w:spacing w:line="360" w:lineRule="auto"/>
        <w:ind w:right="62"/>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Hasta este punto, se colige que el </w:t>
      </w:r>
      <w:r w:rsidRPr="00B17AA2">
        <w:rPr>
          <w:rFonts w:ascii="Palatino Linotype" w:eastAsia="Palatino Linotype" w:hAnsi="Palatino Linotype" w:cs="Palatino Linotype"/>
          <w:b/>
        </w:rPr>
        <w:t xml:space="preserve">Sujeto Obligado </w:t>
      </w:r>
      <w:r w:rsidRPr="00B17AA2">
        <w:rPr>
          <w:rFonts w:ascii="Palatino Linotype" w:eastAsia="Palatino Linotype" w:hAnsi="Palatino Linotype" w:cs="Palatino Linotype"/>
        </w:rPr>
        <w:t>no niega contar con información que satisfaga la solicitud de  información, sino que el impedimento para proporcionar la misma, lo es que derivado del cumulo de documentos donde consta la información requerida, esta sobrepasa las capacidades técnicas para ser entregada a través del sistema SAIMEX.</w:t>
      </w:r>
    </w:p>
    <w:p w14:paraId="0FAEA36A" w14:textId="77777777" w:rsidR="00392D78" w:rsidRPr="00B17AA2" w:rsidRDefault="00295D68">
      <w:pPr>
        <w:spacing w:before="240" w:after="240" w:line="360" w:lineRule="auto"/>
        <w:ind w:right="49"/>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En este tenor, este Organismo Garante determina procedente analizar si con el pronunciamiento del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xml:space="preserve"> se transgredió el derecho humano de acceso a la información pública del recurrente, es decir que la </w:t>
      </w:r>
      <w:r w:rsidRPr="00B17AA2">
        <w:rPr>
          <w:rFonts w:ascii="Palatino Linotype" w:eastAsia="Palatino Linotype" w:hAnsi="Palatino Linotype" w:cs="Palatino Linotype"/>
          <w:i/>
        </w:rPr>
        <w:t>Litis</w:t>
      </w:r>
      <w:r w:rsidRPr="00B17AA2">
        <w:rPr>
          <w:rFonts w:ascii="Palatino Linotype" w:eastAsia="Palatino Linotype" w:hAnsi="Palatino Linotype" w:cs="Palatino Linotype"/>
        </w:rPr>
        <w:t xml:space="preserve"> consistirá en determinar si la modalidad de entrega presentada por el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xml:space="preserve"> transgrede el derecho de  la persona solicitante.</w:t>
      </w:r>
    </w:p>
    <w:p w14:paraId="39BFDA06" w14:textId="77777777" w:rsidR="00392D78" w:rsidRPr="00B17AA2" w:rsidRDefault="00295D68">
      <w:pPr>
        <w:spacing w:line="360" w:lineRule="auto"/>
        <w:ind w:right="62"/>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Ahora bien, como ha quedado claro, la entonces persona solicitante requirió que la información le fuera remitida mediante el SAIMEX, sistema que tiene como </w:t>
      </w:r>
      <w:r w:rsidRPr="00B17AA2">
        <w:rPr>
          <w:rFonts w:ascii="Palatino Linotype" w:eastAsia="Palatino Linotype" w:hAnsi="Palatino Linotype" w:cs="Palatino Linotype"/>
        </w:rPr>
        <w:lastRenderedPageBreak/>
        <w:t xml:space="preserve">propósito facilitar en la entidad el ejercicio del derecho humano de acceso a la información pública, de forma sencilla y gratuita, como se ilustra a continuación: </w:t>
      </w:r>
    </w:p>
    <w:p w14:paraId="101BDAB8" w14:textId="77777777" w:rsidR="00392D78" w:rsidRPr="00B17AA2" w:rsidRDefault="00295D68">
      <w:pPr>
        <w:spacing w:line="360" w:lineRule="auto"/>
        <w:ind w:right="62"/>
        <w:jc w:val="center"/>
        <w:rPr>
          <w:rFonts w:ascii="Palatino Linotype" w:eastAsia="Palatino Linotype" w:hAnsi="Palatino Linotype" w:cs="Palatino Linotype"/>
        </w:rPr>
      </w:pPr>
      <w:r w:rsidRPr="00B17AA2">
        <w:rPr>
          <w:rFonts w:ascii="Palatino Linotype" w:eastAsia="Palatino Linotype" w:hAnsi="Palatino Linotype" w:cs="Palatino Linotype"/>
          <w:noProof/>
        </w:rPr>
        <w:drawing>
          <wp:inline distT="0" distB="0" distL="0" distR="0" wp14:anchorId="099DBA93" wp14:editId="030B4457">
            <wp:extent cx="4500000" cy="2926171"/>
            <wp:effectExtent l="0" t="0" r="0" b="0"/>
            <wp:docPr id="20197576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500000" cy="2926171"/>
                    </a:xfrm>
                    <a:prstGeom prst="rect">
                      <a:avLst/>
                    </a:prstGeom>
                    <a:ln/>
                  </pic:spPr>
                </pic:pic>
              </a:graphicData>
            </a:graphic>
          </wp:inline>
        </w:drawing>
      </w:r>
    </w:p>
    <w:p w14:paraId="17A283B6"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Respecto al </w:t>
      </w:r>
      <w:r w:rsidRPr="00B17AA2">
        <w:rPr>
          <w:rFonts w:ascii="Palatino Linotype" w:eastAsia="Palatino Linotype" w:hAnsi="Palatino Linotype" w:cs="Palatino Linotype"/>
          <w:b/>
          <w:u w:val="single"/>
        </w:rPr>
        <w:t>cambio de modalidad</w:t>
      </w:r>
      <w:r w:rsidRPr="00B17AA2">
        <w:rPr>
          <w:rFonts w:ascii="Palatino Linotype" w:eastAsia="Palatino Linotype" w:hAnsi="Palatino Linotype" w:cs="Palatino Linotype"/>
          <w:b/>
        </w:rPr>
        <w:t xml:space="preserve"> </w:t>
      </w:r>
      <w:r w:rsidRPr="00B17AA2">
        <w:rPr>
          <w:rFonts w:ascii="Palatino Linotype" w:eastAsia="Palatino Linotype" w:hAnsi="Palatino Linotype" w:cs="Palatino Linotype"/>
        </w:rPr>
        <w:t xml:space="preserve">conviene mencionar que el artículo 155, fracción V, de la Ley de Transparencia y Acceso a la Información Pública del Estado de México y Municipios, precisa que para presentar una solicitud, la persona solicitante podrá señalar </w:t>
      </w:r>
      <w:r w:rsidRPr="00B17AA2">
        <w:rPr>
          <w:rFonts w:ascii="Palatino Linotype" w:eastAsia="Palatino Linotype" w:hAnsi="Palatino Linotype" w:cs="Palatino Linotype"/>
          <w:b/>
        </w:rPr>
        <w:t>la modalidad en la que prefiere se otorgue el acceso a la información</w:t>
      </w:r>
      <w:r w:rsidRPr="00B17AA2">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B17AA2">
        <w:rPr>
          <w:rFonts w:ascii="Palatino Linotype" w:eastAsia="Palatino Linotype" w:hAnsi="Palatino Linotype" w:cs="Palatino Linotype"/>
        </w:rPr>
        <w:t>CD-Rom</w:t>
      </w:r>
      <w:proofErr w:type="spellEnd"/>
      <w:r w:rsidRPr="00B17AA2">
        <w:rPr>
          <w:rFonts w:ascii="Palatino Linotype" w:eastAsia="Palatino Linotype" w:hAnsi="Palatino Linotype" w:cs="Palatino Linotype"/>
        </w:rPr>
        <w:t xml:space="preserve"> (con costo), copias simples (con costo), copias certificadas (con costo), consulta directa (sin costo), o bien, cualquier otro que determine la persona solicitante.</w:t>
      </w:r>
    </w:p>
    <w:p w14:paraId="50A39FCD" w14:textId="77777777" w:rsidR="00392D78" w:rsidRPr="00B17AA2" w:rsidRDefault="00295D68">
      <w:pPr>
        <w:spacing w:before="240" w:after="240" w:line="360" w:lineRule="auto"/>
        <w:jc w:val="both"/>
        <w:rPr>
          <w:rFonts w:ascii="Palatino Linotype" w:eastAsia="Palatino Linotype" w:hAnsi="Palatino Linotype" w:cs="Palatino Linotype"/>
          <w:b/>
        </w:rPr>
      </w:pPr>
      <w:r w:rsidRPr="00B17AA2">
        <w:rPr>
          <w:rFonts w:ascii="Palatino Linotype" w:eastAsia="Palatino Linotype" w:hAnsi="Palatino Linotype" w:cs="Palatino Linotype"/>
        </w:rPr>
        <w:lastRenderedPageBreak/>
        <w:t xml:space="preserve">Por su parte, el artículo 158 de la Ley de Transparencia y Acceso a la Información Pública del Estado de México y Municipios, dispone que, de manera excepcional, cuando de manera fundada y motivada lo determine el Sujeto Obligado, </w:t>
      </w:r>
      <w:r w:rsidRPr="00B17AA2">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0366EA4"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De modo que el acceso a la información debe darse en la modalidad de entrega elegida por la persona solicitante, y sólo para los casos en que se encuentren impedidos los Sujetos Obligados podrán ofrecer otra u otras modalidades debiendo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333F4406" w14:textId="77777777" w:rsidR="00392D78" w:rsidRPr="00B17AA2" w:rsidRDefault="00295D68">
      <w:pPr>
        <w:spacing w:before="120" w:after="120"/>
        <w:ind w:left="851" w:right="992"/>
        <w:jc w:val="both"/>
        <w:rPr>
          <w:rFonts w:ascii="Palatino Linotype" w:eastAsia="Palatino Linotype" w:hAnsi="Palatino Linotype" w:cs="Palatino Linotype"/>
          <w:i/>
          <w:sz w:val="22"/>
          <w:szCs w:val="22"/>
        </w:rPr>
      </w:pPr>
      <w:r w:rsidRPr="00B17AA2">
        <w:rPr>
          <w:rFonts w:ascii="Palatino Linotype" w:eastAsia="Palatino Linotype" w:hAnsi="Palatino Linotype" w:cs="Palatino Linotype"/>
          <w:b/>
          <w:i/>
          <w:sz w:val="22"/>
          <w:szCs w:val="22"/>
        </w:rPr>
        <w:t>“FUNDAMENTACIÓN Y MOTIVACIÓN DE LOS ACTOS ADMINISTRATIVOS</w:t>
      </w:r>
      <w:r w:rsidRPr="00B17AA2">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w:t>
      </w:r>
      <w:r w:rsidRPr="00B17AA2">
        <w:rPr>
          <w:rFonts w:ascii="Palatino Linotype" w:eastAsia="Palatino Linotype" w:hAnsi="Palatino Linotype" w:cs="Palatino Linotype"/>
          <w:i/>
          <w:sz w:val="22"/>
          <w:szCs w:val="22"/>
        </w:rPr>
        <w:lastRenderedPageBreak/>
        <w:t xml:space="preserve">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B17AA2">
        <w:rPr>
          <w:rFonts w:ascii="Palatino Linotype" w:eastAsia="Palatino Linotype" w:hAnsi="Palatino Linotype" w:cs="Palatino Linotype"/>
          <w:i/>
          <w:sz w:val="22"/>
          <w:szCs w:val="22"/>
        </w:rPr>
        <w:t>subincisos</w:t>
      </w:r>
      <w:proofErr w:type="spellEnd"/>
      <w:r w:rsidRPr="00B17AA2">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1D2167BC" w14:textId="77777777" w:rsidR="00392D78" w:rsidRPr="00B17AA2" w:rsidRDefault="00295D68">
      <w:pPr>
        <w:spacing w:before="120" w:after="12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En ese entendido, según lo dispuesto en los artículos 160 y 164 de la Ley de Transparencia y Acceso a la Información Pública del Estado de México y Municipios,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25954AB3" w14:textId="77777777" w:rsidR="00392D78" w:rsidRPr="00B17AA2" w:rsidRDefault="00295D68">
      <w:pPr>
        <w:spacing w:before="120" w:after="120"/>
        <w:ind w:left="851" w:right="851"/>
        <w:jc w:val="both"/>
        <w:rPr>
          <w:rFonts w:ascii="Palatino Linotype" w:eastAsia="Palatino Linotype" w:hAnsi="Palatino Linotype" w:cs="Palatino Linotype"/>
          <w:i/>
          <w:sz w:val="22"/>
          <w:szCs w:val="22"/>
        </w:rPr>
      </w:pPr>
      <w:r w:rsidRPr="00B17AA2">
        <w:rPr>
          <w:rFonts w:ascii="Palatino Linotype" w:eastAsia="Palatino Linotype" w:hAnsi="Palatino Linotype" w:cs="Palatino Linotype"/>
        </w:rPr>
        <w:t>“</w:t>
      </w:r>
      <w:r w:rsidRPr="00B17AA2">
        <w:rPr>
          <w:rFonts w:ascii="Palatino Linotype" w:eastAsia="Palatino Linotype" w:hAnsi="Palatino Linotype" w:cs="Palatino Linotype"/>
          <w:b/>
          <w:i/>
          <w:sz w:val="22"/>
          <w:szCs w:val="22"/>
        </w:rPr>
        <w:t>Artículo 160.</w:t>
      </w:r>
      <w:r w:rsidRPr="00B17AA2">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5F7FBB" w14:textId="77777777" w:rsidR="00392D78" w:rsidRPr="00B17AA2" w:rsidRDefault="00295D68">
      <w:pPr>
        <w:spacing w:before="120" w:after="120"/>
        <w:ind w:left="851" w:right="851"/>
        <w:jc w:val="both"/>
        <w:rPr>
          <w:rFonts w:ascii="Palatino Linotype" w:eastAsia="Palatino Linotype" w:hAnsi="Palatino Linotype" w:cs="Palatino Linotype"/>
          <w:i/>
          <w:sz w:val="22"/>
          <w:szCs w:val="22"/>
        </w:rPr>
      </w:pPr>
      <w:r w:rsidRPr="00B17AA2">
        <w:rPr>
          <w:rFonts w:ascii="Palatino Linotype" w:eastAsia="Palatino Linotype" w:hAnsi="Palatino Linotype" w:cs="Palatino Linotype"/>
          <w:b/>
          <w:i/>
          <w:sz w:val="22"/>
          <w:szCs w:val="22"/>
        </w:rPr>
        <w:t>Artículo 164.</w:t>
      </w:r>
      <w:r w:rsidRPr="00B17AA2">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B17AA2">
        <w:rPr>
          <w:rFonts w:ascii="Palatino Linotype" w:eastAsia="Palatino Linotype" w:hAnsi="Palatino Linotype" w:cs="Palatino Linotype"/>
          <w:i/>
          <w:sz w:val="22"/>
          <w:szCs w:val="22"/>
          <w:u w:val="single"/>
        </w:rPr>
        <w:t>el sujeto obligado deberá ofrecer otra u otras modalidades de entrega.</w:t>
      </w:r>
      <w:r w:rsidRPr="00B17AA2">
        <w:rPr>
          <w:rFonts w:ascii="Palatino Linotype" w:eastAsia="Palatino Linotype" w:hAnsi="Palatino Linotype" w:cs="Palatino Linotype"/>
          <w:i/>
          <w:sz w:val="22"/>
          <w:szCs w:val="22"/>
        </w:rPr>
        <w:t xml:space="preserve"> En cualquier caso, se deberá fundar y motivar la necesidad de ofrecer otras modalidades.”</w:t>
      </w:r>
    </w:p>
    <w:p w14:paraId="49B40672"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lastRenderedPageBreak/>
        <w:t>Esto es,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1A681144"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Para lo cual, conforme al artículo 174 de la ley de la materia, los costos de reproducción y, en su caso, de envío para la obtención de la información deberán ser cubiertos por el solicitante de manera previa a la entrega por parte del Sujeto Obligado.</w:t>
      </w:r>
    </w:p>
    <w:p w14:paraId="256B2CFB"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En tales consideraciones, la entrega deberá hacerse, </w:t>
      </w:r>
      <w:r w:rsidRPr="00B17AA2">
        <w:rPr>
          <w:rFonts w:ascii="Palatino Linotype" w:eastAsia="Palatino Linotype" w:hAnsi="Palatino Linotype" w:cs="Palatino Linotype"/>
          <w:b/>
        </w:rPr>
        <w:t>en la medida de lo posible, en la forma solicitada por el interesado, salvo que exista un impedimento justificado para atenderla</w:t>
      </w:r>
      <w:r w:rsidRPr="00B17AA2">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B17AA2">
        <w:rPr>
          <w:rFonts w:ascii="Palatino Linotype" w:eastAsia="Palatino Linotype" w:hAnsi="Palatino Linotype" w:cs="Palatino Linotype"/>
          <w:b/>
        </w:rPr>
        <w:t>sólo procede, en caso de que se acredite la imposibilidad de atenderla.</w:t>
      </w:r>
      <w:r w:rsidRPr="00B17AA2">
        <w:rPr>
          <w:rFonts w:ascii="Palatino Linotype" w:eastAsia="Palatino Linotype" w:hAnsi="Palatino Linotype" w:cs="Palatino Linotype"/>
        </w:rPr>
        <w:t xml:space="preserve"> </w:t>
      </w:r>
    </w:p>
    <w:p w14:paraId="1BA95368"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Así, cuando se justifique el impedimento, </w:t>
      </w:r>
      <w:r w:rsidRPr="00B17AA2">
        <w:rPr>
          <w:rFonts w:ascii="Palatino Linotype" w:eastAsia="Palatino Linotype" w:hAnsi="Palatino Linotype" w:cs="Palatino Linotype"/>
          <w:b/>
        </w:rPr>
        <w:t>los Sujetos Obligados deberán ofrecer a las personas solicitantes otras modalidades de entrega que permita la información</w:t>
      </w:r>
      <w:r w:rsidRPr="00B17AA2">
        <w:rPr>
          <w:rFonts w:ascii="Palatino Linotype" w:eastAsia="Palatino Linotype" w:hAnsi="Palatino Linotype" w:cs="Palatino Linotype"/>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49F1756D" w14:textId="77777777" w:rsidR="00392D78" w:rsidRPr="00B17AA2" w:rsidRDefault="00295D68">
      <w:pPr>
        <w:spacing w:before="120" w:after="120"/>
        <w:ind w:left="851" w:right="851"/>
        <w:jc w:val="both"/>
        <w:rPr>
          <w:rFonts w:ascii="Palatino Linotype" w:eastAsia="Palatino Linotype" w:hAnsi="Palatino Linotype" w:cs="Palatino Linotype"/>
          <w:b/>
          <w:i/>
          <w:sz w:val="22"/>
          <w:szCs w:val="22"/>
          <w:u w:val="single"/>
        </w:rPr>
      </w:pPr>
      <w:r w:rsidRPr="00B17AA2">
        <w:rPr>
          <w:rFonts w:ascii="Palatino Linotype" w:eastAsia="Palatino Linotype" w:hAnsi="Palatino Linotype" w:cs="Palatino Linotype"/>
          <w:b/>
          <w:i/>
          <w:sz w:val="22"/>
          <w:szCs w:val="22"/>
        </w:rPr>
        <w:lastRenderedPageBreak/>
        <w:t>“Modalidad de entrega. Procedencia de proporcionar la información solicitada en una diversa a la elegida por el solicitante.</w:t>
      </w:r>
      <w:r w:rsidRPr="00B17AA2">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B17AA2">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B17AA2">
        <w:rPr>
          <w:rFonts w:ascii="Palatino Linotype" w:eastAsia="Palatino Linotype" w:hAnsi="Palatino Linotype" w:cs="Palatino Linotype"/>
          <w:b/>
          <w:i/>
          <w:sz w:val="22"/>
          <w:szCs w:val="22"/>
        </w:rPr>
        <w:t>.”</w:t>
      </w:r>
    </w:p>
    <w:p w14:paraId="4F32BCB9" w14:textId="77777777" w:rsidR="00392D78" w:rsidRPr="00B17AA2" w:rsidRDefault="00295D68">
      <w:pPr>
        <w:spacing w:before="240" w:after="240" w:line="360" w:lineRule="auto"/>
        <w:jc w:val="both"/>
        <w:rPr>
          <w:rFonts w:ascii="Palatino Linotype" w:eastAsia="Palatino Linotype" w:hAnsi="Palatino Linotype" w:cs="Palatino Linotype"/>
          <w:b/>
        </w:rPr>
      </w:pPr>
      <w:r w:rsidRPr="00B17AA2">
        <w:rPr>
          <w:rFonts w:ascii="Palatino Linotype" w:eastAsia="Palatino Linotype" w:hAnsi="Palatino Linotype" w:cs="Palatino Linotype"/>
        </w:rPr>
        <w:t>Del citado criterio, se desprende que cuando</w:t>
      </w:r>
      <w:r w:rsidRPr="00B17AA2">
        <w:rPr>
          <w:rFonts w:ascii="Palatino Linotype" w:eastAsia="Palatino Linotype" w:hAnsi="Palatino Linotype" w:cs="Palatino Linotype"/>
          <w:b/>
        </w:rPr>
        <w:t xml:space="preserve"> la información no pueda entregarse o enviarse en la modalidad elegida, </w:t>
      </w:r>
      <w:r w:rsidRPr="00B17AA2">
        <w:rPr>
          <w:rFonts w:ascii="Palatino Linotype" w:eastAsia="Palatino Linotype" w:hAnsi="Palatino Linotype" w:cs="Palatino Linotype"/>
        </w:rPr>
        <w:t xml:space="preserve">para que la obligación de acceso a la información se tenga por cumplida, </w:t>
      </w:r>
      <w:r w:rsidRPr="00B17AA2">
        <w:rPr>
          <w:rFonts w:ascii="Palatino Linotype" w:eastAsia="Palatino Linotype" w:hAnsi="Palatino Linotype" w:cs="Palatino Linotype"/>
          <w:b/>
        </w:rPr>
        <w:t>el Sujeto Obligado deberá ofrecer otra u otras modalidades de entrega.</w:t>
      </w:r>
      <w:r w:rsidRPr="00B17AA2">
        <w:rPr>
          <w:rFonts w:ascii="Palatino Linotype" w:eastAsia="Palatino Linotype" w:hAnsi="Palatino Linotype" w:cs="Palatino Linotype"/>
        </w:rPr>
        <w:t xml:space="preserve"> En cualquier caso, </w:t>
      </w:r>
      <w:r w:rsidRPr="00B17AA2">
        <w:rPr>
          <w:rFonts w:ascii="Palatino Linotype" w:eastAsia="Palatino Linotype" w:hAnsi="Palatino Linotype" w:cs="Palatino Linotype"/>
          <w:b/>
        </w:rPr>
        <w:t>se deberá fundar y motivar la necesidad de ofrecer otras modalidades</w:t>
      </w:r>
      <w:r w:rsidRPr="00B17AA2">
        <w:rPr>
          <w:rFonts w:ascii="Palatino Linotype" w:eastAsia="Palatino Linotype" w:hAnsi="Palatino Linotype" w:cs="Palatino Linotype"/>
        </w:rPr>
        <w:t xml:space="preserve"> que lo permitan, </w:t>
      </w:r>
      <w:r w:rsidRPr="00B17AA2">
        <w:rPr>
          <w:rFonts w:ascii="Palatino Linotype" w:eastAsia="Palatino Linotype" w:hAnsi="Palatino Linotype" w:cs="Palatino Linotype"/>
          <w:b/>
        </w:rPr>
        <w:t>procurando reducir los costos de entrega.</w:t>
      </w:r>
    </w:p>
    <w:p w14:paraId="687EF526" w14:textId="77777777" w:rsidR="00392D78" w:rsidRPr="00B17AA2" w:rsidRDefault="00295D68">
      <w:pPr>
        <w:spacing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698F9AE1" w14:textId="77777777" w:rsidR="00392D78" w:rsidRPr="00B17AA2" w:rsidRDefault="00295D68">
      <w:pPr>
        <w:numPr>
          <w:ilvl w:val="0"/>
          <w:numId w:val="1"/>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B17AA2">
        <w:rPr>
          <w:rFonts w:ascii="Palatino Linotype" w:eastAsia="Palatino Linotype" w:hAnsi="Palatino Linotype" w:cs="Palatino Linotype"/>
        </w:rPr>
        <w:t>Las razones por las cuales la información implicaba un análisis, estudio o procesamiento de datos;</w:t>
      </w:r>
    </w:p>
    <w:p w14:paraId="45358F0B" w14:textId="77777777" w:rsidR="00392D78" w:rsidRPr="00B17AA2" w:rsidRDefault="00295D68">
      <w:pPr>
        <w:numPr>
          <w:ilvl w:val="0"/>
          <w:numId w:val="1"/>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B17AA2">
        <w:rPr>
          <w:rFonts w:ascii="Palatino Linotype" w:eastAsia="Palatino Linotype" w:hAnsi="Palatino Linotype" w:cs="Palatino Linotype"/>
        </w:rPr>
        <w:t>El tiempo no es suficiente para atender la solicitud en la modalidad elegida, y</w:t>
      </w:r>
    </w:p>
    <w:p w14:paraId="32BD62A7" w14:textId="77777777" w:rsidR="00392D78" w:rsidRPr="00B17AA2" w:rsidRDefault="00295D68">
      <w:pPr>
        <w:numPr>
          <w:ilvl w:val="0"/>
          <w:numId w:val="1"/>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B17AA2">
        <w:rPr>
          <w:rFonts w:ascii="Palatino Linotype" w:eastAsia="Palatino Linotype" w:hAnsi="Palatino Linotype" w:cs="Palatino Linotype"/>
        </w:rPr>
        <w:t>La cantidad de recursos humanos y materiales con los que cuenta el Sujeto Obligado son insuficientes.</w:t>
      </w:r>
    </w:p>
    <w:p w14:paraId="267E695A"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lastRenderedPageBreak/>
        <w:t xml:space="preserve">En este sentido, en la etapa de manifestaciones el </w:t>
      </w:r>
      <w:r w:rsidRPr="00B17AA2">
        <w:rPr>
          <w:rFonts w:ascii="Palatino Linotype" w:eastAsia="Palatino Linotype" w:hAnsi="Palatino Linotype" w:cs="Palatino Linotype"/>
          <w:b/>
        </w:rPr>
        <w:t xml:space="preserve">Sujeto Obligado, </w:t>
      </w:r>
      <w:r w:rsidRPr="00B17AA2">
        <w:rPr>
          <w:rFonts w:ascii="Palatino Linotype" w:eastAsia="Palatino Linotype" w:hAnsi="Palatino Linotype" w:cs="Palatino Linotype"/>
        </w:rPr>
        <w:t>derivado de un nuevo análisis pormenorizado  a los documentos que conforman las respuestas los servidores públicos habilitados competentes, advirtió la imposibilidad técnica, humana y administrativa para atender la solicitud a través de la modalidad elegida, esto es, mediante el Sistema de Acceso a la Información Mexiquense, SAIMEX, en atención al cúmulo de documentos que constituye un volumen considerable, mismo que se encuentra en formato físico y/o electrónico; que asciende a un total de 62,846 (sesenta y dos mil ochocientos cuarenta y seis) fojas y 12,520 (doce mil quinientos veinte) correos enviados, lo cual acredita con lo siguiente:</w:t>
      </w:r>
    </w:p>
    <w:p w14:paraId="5A9C5C83"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 Oficios dirigidos a las diversas áreas que integran la estructura orgánica del </w:t>
      </w:r>
      <w:r w:rsidRPr="00B17AA2">
        <w:rPr>
          <w:rFonts w:ascii="Palatino Linotype" w:eastAsia="Palatino Linotype" w:hAnsi="Palatino Linotype" w:cs="Palatino Linotype"/>
          <w:b/>
        </w:rPr>
        <w:t xml:space="preserve">Sujeto Obligado, </w:t>
      </w:r>
      <w:r w:rsidRPr="00B17AA2">
        <w:rPr>
          <w:rFonts w:ascii="Palatino Linotype" w:eastAsia="Palatino Linotype" w:hAnsi="Palatino Linotype" w:cs="Palatino Linotype"/>
        </w:rPr>
        <w:t>mediante los cuales se solicitó a los servidores públicos habilitados atendieran los requerimientos de información de su competencia.</w:t>
      </w:r>
    </w:p>
    <w:p w14:paraId="3B95FDFC"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t>- La relación del número de documentos en los que consta la información por área, como se ilustra a continuación:</w:t>
      </w:r>
    </w:p>
    <w:p w14:paraId="043D71B6"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noProof/>
        </w:rPr>
        <mc:AlternateContent>
          <mc:Choice Requires="wpg">
            <w:drawing>
              <wp:anchor distT="0" distB="0" distL="114300" distR="114300" simplePos="0" relativeHeight="251658240" behindDoc="0" locked="0" layoutInCell="1" hidden="0" allowOverlap="1" wp14:anchorId="62497427" wp14:editId="36F9DF00">
                <wp:simplePos x="0" y="0"/>
                <wp:positionH relativeFrom="column">
                  <wp:posOffset>88901</wp:posOffset>
                </wp:positionH>
                <wp:positionV relativeFrom="paragraph">
                  <wp:posOffset>12700</wp:posOffset>
                </wp:positionV>
                <wp:extent cx="5540375" cy="2720975"/>
                <wp:effectExtent l="0" t="0" r="0" b="0"/>
                <wp:wrapNone/>
                <wp:docPr id="2019757612" name="Conector recto de flecha 2019757612"/>
                <wp:cNvGraphicFramePr/>
                <a:graphic xmlns:a="http://schemas.openxmlformats.org/drawingml/2006/main">
                  <a:graphicData uri="http://schemas.microsoft.com/office/word/2010/wordprocessingShape">
                    <wps:wsp>
                      <wps:cNvCnPr/>
                      <wps:spPr>
                        <a:xfrm>
                          <a:off x="2588513" y="2432213"/>
                          <a:ext cx="5514975" cy="2695575"/>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5540375" cy="2720975"/>
                <wp:effectExtent b="0" l="0" r="0" t="0"/>
                <wp:wrapNone/>
                <wp:docPr id="2019757612"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5540375" cy="2720975"/>
                        </a:xfrm>
                        <a:prstGeom prst="rect"/>
                        <a:ln/>
                      </pic:spPr>
                    </pic:pic>
                  </a:graphicData>
                </a:graphic>
              </wp:anchor>
            </w:drawing>
          </mc:Fallback>
        </mc:AlternateContent>
      </w:r>
    </w:p>
    <w:p w14:paraId="443FF955" w14:textId="77777777" w:rsidR="00392D78" w:rsidRPr="00B17AA2" w:rsidRDefault="00295D68">
      <w:pPr>
        <w:spacing w:before="240" w:after="240" w:line="360" w:lineRule="auto"/>
        <w:jc w:val="center"/>
        <w:rPr>
          <w:rFonts w:ascii="Palatino Linotype" w:eastAsia="Palatino Linotype" w:hAnsi="Palatino Linotype" w:cs="Palatino Linotype"/>
        </w:rPr>
      </w:pPr>
      <w:r w:rsidRPr="00B17AA2">
        <w:rPr>
          <w:rFonts w:ascii="Palatino Linotype" w:eastAsia="Palatino Linotype" w:hAnsi="Palatino Linotype" w:cs="Palatino Linotype"/>
          <w:noProof/>
        </w:rPr>
        <w:lastRenderedPageBreak/>
        <w:drawing>
          <wp:inline distT="0" distB="0" distL="0" distR="0" wp14:anchorId="2AECE3E2" wp14:editId="5CEF299F">
            <wp:extent cx="5068007" cy="7173326"/>
            <wp:effectExtent l="0" t="0" r="0" b="0"/>
            <wp:docPr id="20197576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068007" cy="7173326"/>
                    </a:xfrm>
                    <a:prstGeom prst="rect">
                      <a:avLst/>
                    </a:prstGeom>
                    <a:ln/>
                  </pic:spPr>
                </pic:pic>
              </a:graphicData>
            </a:graphic>
          </wp:inline>
        </w:drawing>
      </w:r>
    </w:p>
    <w:p w14:paraId="654CFDC8" w14:textId="77777777" w:rsidR="00392D78" w:rsidRPr="00B17AA2" w:rsidRDefault="00295D68">
      <w:pPr>
        <w:spacing w:before="240" w:after="240" w:line="360" w:lineRule="auto"/>
        <w:jc w:val="center"/>
        <w:rPr>
          <w:rFonts w:ascii="Palatino Linotype" w:eastAsia="Palatino Linotype" w:hAnsi="Palatino Linotype" w:cs="Palatino Linotype"/>
        </w:rPr>
      </w:pPr>
      <w:r w:rsidRPr="00B17AA2">
        <w:rPr>
          <w:rFonts w:ascii="Palatino Linotype" w:eastAsia="Palatino Linotype" w:hAnsi="Palatino Linotype" w:cs="Palatino Linotype"/>
          <w:noProof/>
        </w:rPr>
        <w:lastRenderedPageBreak/>
        <w:drawing>
          <wp:inline distT="0" distB="0" distL="0" distR="0" wp14:anchorId="5E1C8E67" wp14:editId="088FF6DD">
            <wp:extent cx="5153744" cy="1352739"/>
            <wp:effectExtent l="0" t="0" r="0" b="0"/>
            <wp:docPr id="20197576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153744" cy="1352739"/>
                    </a:xfrm>
                    <a:prstGeom prst="rect">
                      <a:avLst/>
                    </a:prstGeom>
                    <a:ln/>
                  </pic:spPr>
                </pic:pic>
              </a:graphicData>
            </a:graphic>
          </wp:inline>
        </w:drawing>
      </w:r>
    </w:p>
    <w:p w14:paraId="55B0BB92"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t>-  Oficio número UTAI/125/2023, mediante el cual la Titular de la Unidad de Transparencia, consultó al Director General de Informática de este Instituto, si era posible realizar la carga en el SAIMEX de la información solicitada que asciende a un total de 62,846 (sesenta y dos mil ochocientos cuarenta y seis) fojas y 12,520 (doce mil quinientos veinte) correos enviados, y, de no ser así, se registrara la incidencia en la bitácora respectiva.</w:t>
      </w:r>
    </w:p>
    <w:p w14:paraId="7818A8AD" w14:textId="77777777" w:rsidR="00392D78" w:rsidRPr="00B17AA2" w:rsidRDefault="00295D68">
      <w:pPr>
        <w:spacing w:before="240" w:after="240" w:line="360" w:lineRule="auto"/>
        <w:ind w:left="426"/>
        <w:jc w:val="both"/>
        <w:rPr>
          <w:rFonts w:ascii="Palatino Linotype" w:eastAsia="Palatino Linotype" w:hAnsi="Palatino Linotype" w:cs="Palatino Linotype"/>
          <w:b/>
          <w:u w:val="single"/>
        </w:rPr>
      </w:pPr>
      <w:r w:rsidRPr="00B17AA2">
        <w:rPr>
          <w:rFonts w:ascii="Palatino Linotype" w:eastAsia="Palatino Linotype" w:hAnsi="Palatino Linotype" w:cs="Palatino Linotype"/>
        </w:rPr>
        <w:t xml:space="preserve">- Oficio número INFOEM/DGI/0087/2024, mediante el cual el Director General de Informática de este Instituto comunicó a la Titular de la Unidad de Transparencia que la incidencia técnica había quedado registrada en la bitácora de incidencias, toda vez que </w:t>
      </w:r>
      <w:r w:rsidRPr="00B17AA2">
        <w:rPr>
          <w:rFonts w:ascii="Palatino Linotype" w:eastAsia="Palatino Linotype" w:hAnsi="Palatino Linotype" w:cs="Palatino Linotype"/>
          <w:b/>
          <w:u w:val="single"/>
        </w:rPr>
        <w:t>la información que se trata de subir sobrepasa las capacidades técnicas del sistema SAIMEX.</w:t>
      </w:r>
    </w:p>
    <w:p w14:paraId="650BF07A" w14:textId="77777777" w:rsidR="00392D78" w:rsidRPr="00B17AA2" w:rsidRDefault="00295D68">
      <w:pPr>
        <w:spacing w:before="240" w:after="240" w:line="360" w:lineRule="auto"/>
        <w:ind w:left="426"/>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 Evidencia fotográfica de diversos expedientes físicos, en los que constan los oficios enviados y recibidos por las diversas áreas que integran la estructura orgánica del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y demás información relacionada con la materia de la solicitud.</w:t>
      </w:r>
    </w:p>
    <w:p w14:paraId="16156D70"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En este sentido, el Comité de Transparencia aprobó el cambio de modalidad en la entrega de la información, y determinó poner a disposición de la persona solicitante </w:t>
      </w:r>
      <w:r w:rsidRPr="00B17AA2">
        <w:rPr>
          <w:rFonts w:ascii="Palatino Linotype" w:eastAsia="Palatino Linotype" w:hAnsi="Palatino Linotype" w:cs="Palatino Linotype"/>
        </w:rPr>
        <w:lastRenderedPageBreak/>
        <w:t>los soportes documentales mediante los cuales se pretende dar respuesta a la solicitud, en las siguientes modalidades:</w:t>
      </w:r>
    </w:p>
    <w:p w14:paraId="4F14117E" w14:textId="77777777" w:rsidR="00392D78" w:rsidRPr="00B17AA2" w:rsidRDefault="00295D68">
      <w:pPr>
        <w:widowControl w:val="0"/>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 Consulta directa, en el domicilio de la Unidad de Transparencia;</w:t>
      </w:r>
    </w:p>
    <w:p w14:paraId="4FEFE444" w14:textId="77777777" w:rsidR="00392D78" w:rsidRPr="00B17AA2" w:rsidRDefault="00295D68">
      <w:pPr>
        <w:widowControl w:val="0"/>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  Copias simples o certificadas, previo pago de derechos; así como cualquier otro medio incluido los electrónicos, tales como dispositivo USB, disco duro, CD-ROM, previo pago de derechos, en caso de que estos últimos fuesen proporcionados por el Sujeto Obligado.</w:t>
      </w:r>
    </w:p>
    <w:p w14:paraId="4114E835" w14:textId="77777777" w:rsidR="00392D78" w:rsidRPr="00B17AA2" w:rsidRDefault="00295D68">
      <w:pPr>
        <w:widowControl w:val="0"/>
        <w:spacing w:before="240" w:after="240" w:line="360" w:lineRule="auto"/>
        <w:ind w:left="426" w:right="51"/>
        <w:jc w:val="both"/>
        <w:rPr>
          <w:rFonts w:ascii="Palatino Linotype" w:eastAsia="Palatino Linotype" w:hAnsi="Palatino Linotype" w:cs="Palatino Linotype"/>
        </w:rPr>
      </w:pPr>
      <w:r w:rsidRPr="00B17AA2">
        <w:rPr>
          <w:rFonts w:ascii="Palatino Linotype" w:eastAsia="Palatino Linotype" w:hAnsi="Palatino Linotype" w:cs="Palatino Linotype"/>
        </w:rPr>
        <w:t>- Medios electrónicos, tales como dispositivo USB, disco duro, CD-ROM, sin costo si la persona solicitante proporcionaba los mismos.</w:t>
      </w:r>
    </w:p>
    <w:p w14:paraId="5A1D1B7C" w14:textId="77777777" w:rsidR="00392D78" w:rsidRPr="00B17AA2" w:rsidRDefault="00295D68">
      <w:pPr>
        <w:widowControl w:val="0"/>
        <w:spacing w:before="240" w:after="240" w:line="360" w:lineRule="auto"/>
        <w:ind w:right="51"/>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Asimismo, se hizo del conocimiento de la parte </w:t>
      </w:r>
      <w:r w:rsidRPr="00B17AA2">
        <w:rPr>
          <w:rFonts w:ascii="Palatino Linotype" w:eastAsia="Palatino Linotype" w:hAnsi="Palatino Linotype" w:cs="Palatino Linotype"/>
          <w:b/>
        </w:rPr>
        <w:t>Recurrente</w:t>
      </w:r>
      <w:r w:rsidRPr="00B17AA2">
        <w:rPr>
          <w:rFonts w:ascii="Palatino Linotype" w:eastAsia="Palatino Linotype" w:hAnsi="Palatino Linotype" w:cs="Palatino Linotype"/>
        </w:rPr>
        <w:t xml:space="preserve"> que la información estaría disponible durante un plazo de 60 días, por lo que una vez trascurrido, la solicitud se daría por concluida, y se procedería a la destrucción del material en el que se reprodujo la información.</w:t>
      </w:r>
    </w:p>
    <w:p w14:paraId="29B442E8"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Al respecto, es de referir que el SAIMEX tiene el soporte tecnológico para que se puedan adjuntar archivos con un peso aproximado de hasta 500 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0377967A"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En tal contexto, se considera que la imposibilidad para atender las solicitudes de información a través del sistema SAIMEX, ha quedado demostrada.</w:t>
      </w:r>
    </w:p>
    <w:p w14:paraId="1DD471C8"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lastRenderedPageBreak/>
        <w:t>Caber recordar que el artículo 158 de la Ley de la materia, dispone que cuando la información implique un análisis, estudio o procesamiento de documentos, cuya entrega o reproducción sobrepase las capacidades técnicas, administrativas y humanas del Sujeto Obligado, deberá poner la información a disposición de la persona solicitante en consulta directa.</w:t>
      </w:r>
    </w:p>
    <w:p w14:paraId="7A1DC69E"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Además, es de señalar que si bien, el Comité de Transparencia no tiene la atribución expresa de confirmar o revocar un cambio de modalidad, conforme al artículo 47 y 49, fracción XII, de la Ley de Transparencia y Acceso a la Información Pública del Estado de México y Municipios, dicho órgano colegiado, es la autoridad máxima al interior de los sujetos obligados, en materia de acceso a la información y es el encargado de emitir las resoluciones que correspondan para satisfacer el derecho de acceso a la información.</w:t>
      </w:r>
    </w:p>
    <w:p w14:paraId="635987BE"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Por lo cual, no existe algún impedimento legal, para que el Comité de Transparencia del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xml:space="preserve">, no pueda llevar a cabo un cambio de modalidad; pues, al contrario, efectuarlo ante dicho órgano, da certeza y robustece la imposibilidad de proporcionar la información en el medio señalado en la solicitud. </w:t>
      </w:r>
    </w:p>
    <w:p w14:paraId="7CB97709"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Conforme a lo anterior, se considera que el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acreditó de manera fundada y motivada, el cambio de modalidad para atender la solicitud de información que dio origen al recurso de revisión que nos ocupa.</w:t>
      </w:r>
    </w:p>
    <w:p w14:paraId="72188D80"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Aunado a lo descrito, el Organismo Garante Nacional, ha considerado que no resulta suficiente justificar una imposibilidad técnica y humana para acreditar un cambio de modalidad, sino que es necesario demostrar otros impedimentos, como que la información se encontrará en un formato diverso a lo solicitado, que fuera de </w:t>
      </w:r>
      <w:r w:rsidRPr="00B17AA2">
        <w:rPr>
          <w:rFonts w:ascii="Palatino Linotype" w:eastAsia="Palatino Linotype" w:hAnsi="Palatino Linotype" w:cs="Palatino Linotype"/>
        </w:rPr>
        <w:lastRenderedPageBreak/>
        <w:t>imposible reproducción en el medio elegido por el Solicitante, que la información ameritara el cruce de información en los sistemas de datos, entre otros, argumentos que encuentran sustento dentro diversas de sus resoluciones de Recursos de Inconformidad, por enunciar algunas, RIA 136/20, RIA 140/20, RIA 153/20 RIA 237/20, RIA 257/20, RIA 258/20, ello con el fin de privilegiar el Principio de Gratuidad y Máxima Publicidad, por lo que en el presente caso el Sujeto Obligado proporcionó otras modalidades para de la entrega de la información, a través de su respuesta que adjuntó al Sistema de Acceso a la Información Mexiquense (SAIMEX); tal como copia simple o certificada; de disco compacto, medios de almacenamiento (USB), e incluso su envió a través de correo certificado previo pago de los costos de reproducción correspondientes, o sin costo si la persona solicitante proporciona los medios para la entrega de la misma.</w:t>
      </w:r>
    </w:p>
    <w:p w14:paraId="32F963CF" w14:textId="77777777" w:rsidR="00392D78" w:rsidRPr="00B17AA2" w:rsidRDefault="00295D68">
      <w:pPr>
        <w:spacing w:before="240" w:after="240" w:line="360" w:lineRule="auto"/>
        <w:jc w:val="both"/>
        <w:rPr>
          <w:rFonts w:ascii="Palatino Linotype" w:eastAsia="Palatino Linotype" w:hAnsi="Palatino Linotype" w:cs="Palatino Linotype"/>
          <w:b/>
          <w:u w:val="single"/>
        </w:rPr>
      </w:pPr>
      <w:r w:rsidRPr="00B17AA2">
        <w:rPr>
          <w:rFonts w:ascii="Palatino Linotype" w:eastAsia="Palatino Linotype" w:hAnsi="Palatino Linotype" w:cs="Palatino Linotype"/>
        </w:rPr>
        <w:t>Aunado a lo anterior, resulta de suma importancia hacer énfasis que el</w:t>
      </w:r>
      <w:r w:rsidRPr="00B17AA2">
        <w:rPr>
          <w:rFonts w:ascii="Palatino Linotype" w:eastAsia="Palatino Linotype" w:hAnsi="Palatino Linotype" w:cs="Palatino Linotype"/>
          <w:b/>
        </w:rPr>
        <w:t xml:space="preserve"> Sujeto Obligado </w:t>
      </w:r>
      <w:r w:rsidRPr="00B17AA2">
        <w:rPr>
          <w:rFonts w:ascii="Palatino Linotype" w:eastAsia="Palatino Linotype" w:hAnsi="Palatino Linotype" w:cs="Palatino Linotype"/>
        </w:rPr>
        <w:t>garantizó el ejercicio del Derecho de Acceso a la Información en favor de la parte</w:t>
      </w:r>
      <w:r w:rsidRPr="00B17AA2">
        <w:rPr>
          <w:rFonts w:ascii="Palatino Linotype" w:eastAsia="Palatino Linotype" w:hAnsi="Palatino Linotype" w:cs="Palatino Linotype"/>
          <w:b/>
        </w:rPr>
        <w:t xml:space="preserve"> Recurrente</w:t>
      </w:r>
      <w:r w:rsidRPr="00B17AA2">
        <w:rPr>
          <w:rFonts w:ascii="Palatino Linotype" w:eastAsia="Palatino Linotype" w:hAnsi="Palatino Linotype" w:cs="Palatino Linotype"/>
        </w:rPr>
        <w:t xml:space="preserve"> considerando que con independencia de la consulta directa, se debían ofrecer otras formas de entrega, las cuales definió puntualmente en cada uno de los casos, y refirió las que tienen costo; sin olvidar que también </w:t>
      </w:r>
      <w:r w:rsidRPr="00B17AA2">
        <w:rPr>
          <w:rFonts w:ascii="Palatino Linotype" w:eastAsia="Palatino Linotype" w:hAnsi="Palatino Linotype" w:cs="Palatino Linotype"/>
          <w:b/>
          <w:u w:val="single"/>
        </w:rPr>
        <w:t>en caso de que la parte Recurrente proporcionara dispositivo electrónico, no habría ningún costo para esta al momento de allegarse de la información pública.</w:t>
      </w:r>
    </w:p>
    <w:p w14:paraId="2476BCDD" w14:textId="77777777" w:rsidR="00392D78" w:rsidRPr="00B17AA2" w:rsidRDefault="00295D68">
      <w:pPr>
        <w:spacing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Además, el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xml:space="preserve"> hizo del conocimiento al Particular que la información estará disponible, por un plazo mínimo de sesenta días naturales, en términos del segundo párrafo del artículo 166 de la Ley de Transparencia y Acceso a la Información Pública del Estado de México y Municipios.</w:t>
      </w:r>
    </w:p>
    <w:p w14:paraId="7A383AC1"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lastRenderedPageBreak/>
        <w:t xml:space="preserve">Aunado a lo anterior, también sirve de sustento al cambio de modalidad invocado por el </w:t>
      </w:r>
      <w:r w:rsidRPr="00B17AA2">
        <w:rPr>
          <w:rFonts w:ascii="Palatino Linotype" w:eastAsia="Palatino Linotype" w:hAnsi="Palatino Linotype" w:cs="Palatino Linotype"/>
          <w:b/>
        </w:rPr>
        <w:t xml:space="preserve"> Sujeto Obligado, </w:t>
      </w:r>
      <w:r w:rsidRPr="00B17AA2">
        <w:rPr>
          <w:rFonts w:ascii="Palatino Linotype" w:eastAsia="Palatino Linotype" w:hAnsi="Palatino Linotype" w:cs="Palatino Linotype"/>
        </w:rPr>
        <w:t>las manifestaciones hechas del conocimiento de la</w:t>
      </w:r>
      <w:r w:rsidRPr="00B17AA2">
        <w:rPr>
          <w:rFonts w:ascii="Palatino Linotype" w:eastAsia="Palatino Linotype" w:hAnsi="Palatino Linotype" w:cs="Palatino Linotype"/>
          <w:b/>
        </w:rPr>
        <w:t xml:space="preserve"> </w:t>
      </w:r>
      <w:r w:rsidRPr="00B17AA2">
        <w:rPr>
          <w:rFonts w:ascii="Palatino Linotype" w:eastAsia="Palatino Linotype" w:hAnsi="Palatino Linotype" w:cs="Palatino Linotype"/>
        </w:rPr>
        <w:t>parte</w:t>
      </w:r>
      <w:r w:rsidRPr="00B17AA2">
        <w:rPr>
          <w:rFonts w:ascii="Palatino Linotype" w:eastAsia="Palatino Linotype" w:hAnsi="Palatino Linotype" w:cs="Palatino Linotype"/>
          <w:b/>
        </w:rPr>
        <w:t xml:space="preserve"> Recurrente</w:t>
      </w:r>
      <w:r w:rsidRPr="00B17AA2">
        <w:rPr>
          <w:rFonts w:ascii="Palatino Linotype" w:eastAsia="Palatino Linotype" w:hAnsi="Palatino Linotype" w:cs="Palatino Linotype"/>
        </w:rPr>
        <w:t xml:space="preserve"> como obra en las constancias del SAIMEX, donde se advierte que la Unidad de Transparencia realizó las solicitudes de registro en la Bitácora de Incidencias de la Dirección General de Informática para que dicha Unidad Administrativa de este Instituto tuviera conocimiento del impedimento de remitir la información mediante el SAIMEX.</w:t>
      </w:r>
    </w:p>
    <w:p w14:paraId="5A330176"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En este tenor, se colige que el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xml:space="preserve">, acreditó la imposibilidad técnica para proporcionar la información solicitada a través del SAIMEX, a través de los registros en la Bitácora de Incidencias, toda vez que la misma sobrepasa las capacidades técnicas de dicho sistema; por lo cual, resulta procedente el cambio de modalidad en la entrega de la información y se pone a disposición la parte </w:t>
      </w:r>
      <w:r w:rsidRPr="00B17AA2">
        <w:rPr>
          <w:rFonts w:ascii="Palatino Linotype" w:eastAsia="Palatino Linotype" w:hAnsi="Palatino Linotype" w:cs="Palatino Linotype"/>
          <w:b/>
        </w:rPr>
        <w:t>Recurrente</w:t>
      </w:r>
      <w:r w:rsidRPr="00B17AA2">
        <w:rPr>
          <w:rFonts w:ascii="Palatino Linotype" w:eastAsia="Palatino Linotype" w:hAnsi="Palatino Linotype" w:cs="Palatino Linotype"/>
        </w:rPr>
        <w:t xml:space="preserve"> a efectos de que se haga llegar de la misma.</w:t>
      </w:r>
    </w:p>
    <w:p w14:paraId="71CBF5BD"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Asimismo, si bien el</w:t>
      </w:r>
      <w:r w:rsidRPr="00B17AA2">
        <w:rPr>
          <w:rFonts w:ascii="Palatino Linotype" w:eastAsia="Palatino Linotype" w:hAnsi="Palatino Linotype" w:cs="Palatino Linotype"/>
          <w:b/>
        </w:rPr>
        <w:t xml:space="preserve"> Sujeto Obligado</w:t>
      </w:r>
      <w:r w:rsidRPr="00B17AA2">
        <w:rPr>
          <w:rFonts w:ascii="Palatino Linotype" w:eastAsia="Palatino Linotype" w:hAnsi="Palatino Linotype" w:cs="Palatino Linotype"/>
        </w:rPr>
        <w:t xml:space="preserve">  hizo del conocimiento a la parte</w:t>
      </w:r>
      <w:r w:rsidRPr="00B17AA2">
        <w:rPr>
          <w:rFonts w:ascii="Palatino Linotype" w:eastAsia="Palatino Linotype" w:hAnsi="Palatino Linotype" w:cs="Palatino Linotype"/>
          <w:b/>
        </w:rPr>
        <w:t xml:space="preserve"> Recurrente</w:t>
      </w:r>
      <w:r w:rsidRPr="00B17AA2">
        <w:rPr>
          <w:rFonts w:ascii="Palatino Linotype" w:eastAsia="Palatino Linotype" w:hAnsi="Palatino Linotype" w:cs="Palatino Linotype"/>
        </w:rPr>
        <w:t xml:space="preserve">, en informe  justificado que la información estaría disponible para su consulta por un plazo de sesenta días hábiles, </w:t>
      </w:r>
      <w:r w:rsidRPr="00B17AA2">
        <w:rPr>
          <w:rFonts w:ascii="Palatino Linotype" w:eastAsia="Palatino Linotype" w:hAnsi="Palatino Linotype" w:cs="Palatino Linotype"/>
          <w:b/>
        </w:rPr>
        <w:t>este se deberá volver a contar a partir del día siguiente al que se notifique la presente resolución</w:t>
      </w:r>
      <w:r w:rsidRPr="00B17AA2">
        <w:rPr>
          <w:rFonts w:ascii="Palatino Linotype" w:eastAsia="Palatino Linotype" w:hAnsi="Palatino Linotype" w:cs="Palatino Linotype"/>
        </w:rPr>
        <w:t>, en términos del segundo párrafo del artículo 166 de la Ley de Transparencia y Acceso a la Información Pública del Estado de México y Municipios.</w:t>
      </w:r>
    </w:p>
    <w:p w14:paraId="389F46C0"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Si dentro del transcurso del término señalado en el párrafo anterior, la parte</w:t>
      </w:r>
      <w:r w:rsidRPr="00B17AA2">
        <w:rPr>
          <w:rFonts w:ascii="Palatino Linotype" w:eastAsia="Palatino Linotype" w:hAnsi="Palatino Linotype" w:cs="Palatino Linotype"/>
          <w:b/>
        </w:rPr>
        <w:t xml:space="preserve"> Recurrente </w:t>
      </w:r>
      <w:r w:rsidRPr="00B17AA2">
        <w:rPr>
          <w:rFonts w:ascii="Palatino Linotype" w:eastAsia="Palatino Linotype" w:hAnsi="Palatino Linotype" w:cs="Palatino Linotype"/>
        </w:rPr>
        <w:t>acude por la información, el</w:t>
      </w:r>
      <w:r w:rsidRPr="00B17AA2">
        <w:rPr>
          <w:rFonts w:ascii="Palatino Linotype" w:eastAsia="Palatino Linotype" w:hAnsi="Palatino Linotype" w:cs="Palatino Linotype"/>
          <w:b/>
        </w:rPr>
        <w:t xml:space="preserve"> Sujeto Obligado</w:t>
      </w:r>
      <w:r w:rsidRPr="00B17AA2">
        <w:rPr>
          <w:rFonts w:ascii="Palatino Linotype" w:eastAsia="Palatino Linotype" w:hAnsi="Palatino Linotype" w:cs="Palatino Linotype"/>
        </w:rPr>
        <w:t xml:space="preserve">  debe remitir a este Instituto, por conducto de la Secretaría Técnica del Pleno, el acuse de recibo de la información de la parte</w:t>
      </w:r>
      <w:r w:rsidRPr="00B17AA2">
        <w:rPr>
          <w:rFonts w:ascii="Palatino Linotype" w:eastAsia="Palatino Linotype" w:hAnsi="Palatino Linotype" w:cs="Palatino Linotype"/>
          <w:b/>
        </w:rPr>
        <w:t xml:space="preserve"> Recurrente</w:t>
      </w:r>
      <w:r w:rsidRPr="00B17AA2">
        <w:rPr>
          <w:rFonts w:ascii="Palatino Linotype" w:eastAsia="Palatino Linotype" w:hAnsi="Palatino Linotype" w:cs="Palatino Linotype"/>
        </w:rPr>
        <w:t xml:space="preserve">; sin embargo, si una vez fenecido el plazo, el </w:t>
      </w:r>
      <w:r w:rsidRPr="00B17AA2">
        <w:rPr>
          <w:rFonts w:ascii="Palatino Linotype" w:eastAsia="Palatino Linotype" w:hAnsi="Palatino Linotype" w:cs="Palatino Linotype"/>
        </w:rPr>
        <w:lastRenderedPageBreak/>
        <w:t>solicitante no acudiera por los documentos ordenados, el</w:t>
      </w:r>
      <w:r w:rsidRPr="00B17AA2">
        <w:rPr>
          <w:rFonts w:ascii="Palatino Linotype" w:eastAsia="Palatino Linotype" w:hAnsi="Palatino Linotype" w:cs="Palatino Linotype"/>
          <w:b/>
        </w:rPr>
        <w:t xml:space="preserve"> Sujeto Obligado</w:t>
      </w:r>
      <w:r w:rsidRPr="00B17AA2">
        <w:rPr>
          <w:rFonts w:ascii="Palatino Linotype" w:eastAsia="Palatino Linotype" w:hAnsi="Palatino Linotype" w:cs="Palatino Linotype"/>
        </w:rPr>
        <w:t xml:space="preserve">, mediante acuerdo </w:t>
      </w:r>
      <w:r w:rsidRPr="00B17AA2">
        <w:rPr>
          <w:rFonts w:ascii="Palatino Linotype" w:eastAsia="Palatino Linotype" w:hAnsi="Palatino Linotype" w:cs="Palatino Linotype"/>
          <w:b/>
        </w:rPr>
        <w:t>dará por concluida la solicitud</w:t>
      </w:r>
      <w:r w:rsidRPr="00B17AA2">
        <w:rPr>
          <w:rFonts w:ascii="Palatino Linotype" w:eastAsia="Palatino Linotype" w:hAnsi="Palatino Linotype" w:cs="Palatino Linotype"/>
        </w:rPr>
        <w:t xml:space="preserve"> y podrá, de ser el caso, realizar la destrucción del material en el que se reprodujo, situación que también deberá informar a este Instituto, por el mismo conducto.</w:t>
      </w:r>
    </w:p>
    <w:p w14:paraId="516A0D97"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Derivado de lo expuesto, es evidente que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xml:space="preserve"> modificó su respuesta, ya que, a través de su pronunciamientos emitido  en la etapa de manifestaciones  atendió el planteamiento expuesto en la interposición de los recursos de revisión, pues demostró la imposibilidad técnica para remitir la información mediante et SAIMEX, y por tanto, la procedencia del cambio de modalidad.</w:t>
      </w:r>
    </w:p>
    <w:p w14:paraId="6C982B86" w14:textId="77777777" w:rsidR="00392D78" w:rsidRPr="00B17AA2" w:rsidRDefault="00295D68">
      <w:pPr>
        <w:tabs>
          <w:tab w:val="left" w:pos="0"/>
        </w:tabs>
        <w:spacing w:before="240" w:after="240" w:line="360" w:lineRule="auto"/>
        <w:ind w:right="51"/>
        <w:jc w:val="both"/>
        <w:rPr>
          <w:rFonts w:ascii="Palatino Linotype" w:eastAsia="Palatino Linotype" w:hAnsi="Palatino Linotype" w:cs="Palatino Linotype"/>
        </w:rPr>
      </w:pPr>
      <w:r w:rsidRPr="00B17AA2">
        <w:rPr>
          <w:rFonts w:ascii="Palatino Linotype" w:eastAsia="Palatino Linotype" w:hAnsi="Palatino Linotype" w:cs="Palatino Linotype"/>
        </w:rPr>
        <w:t>De este modo, cuando un Sujeto Obligado</w:t>
      </w:r>
      <w:r w:rsidRPr="00B17AA2">
        <w:rPr>
          <w:rFonts w:ascii="Palatino Linotype" w:eastAsia="Palatino Linotype" w:hAnsi="Palatino Linotype" w:cs="Palatino Linotype"/>
          <w:b/>
        </w:rPr>
        <w:t xml:space="preserve">, </w:t>
      </w:r>
      <w:r w:rsidRPr="00B17AA2">
        <w:rPr>
          <w:rFonts w:ascii="Palatino Linotype" w:eastAsia="Palatino Linotype" w:hAnsi="Palatino Linotype" w:cs="Palatino Linotype"/>
        </w:rPr>
        <w:t xml:space="preserve">antes de que se dicte resolución definitiva, remite información a la que en un primer momento omitió enviar; el recurso de revisión que al efecto se haya interpuesto queda sin materia lo que imposibilita el estudio de fondo de la </w:t>
      </w:r>
      <w:r w:rsidRPr="00B17AA2">
        <w:rPr>
          <w:rFonts w:ascii="Palatino Linotype" w:eastAsia="Palatino Linotype" w:hAnsi="Palatino Linotype" w:cs="Palatino Linotype"/>
          <w:i/>
        </w:rPr>
        <w:t>litis</w:t>
      </w:r>
      <w:r w:rsidRPr="00B17AA2">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14:paraId="24CAB36F" w14:textId="77777777" w:rsidR="00392D78" w:rsidRPr="00B17AA2" w:rsidRDefault="00295D68">
      <w:pPr>
        <w:tabs>
          <w:tab w:val="left" w:pos="0"/>
        </w:tabs>
        <w:spacing w:before="240" w:after="240" w:line="360" w:lineRule="auto"/>
        <w:ind w:right="51"/>
        <w:jc w:val="both"/>
        <w:rPr>
          <w:rFonts w:ascii="Palatino Linotype" w:eastAsia="Palatino Linotype" w:hAnsi="Palatino Linotype" w:cs="Palatino Linotype"/>
          <w:b/>
          <w:u w:val="single"/>
        </w:rPr>
      </w:pPr>
      <w:r w:rsidRPr="00B17AA2">
        <w:rPr>
          <w:rFonts w:ascii="Palatino Linotype" w:eastAsia="Palatino Linotype" w:hAnsi="Palatino Linotype" w:cs="Palatino Linotype"/>
        </w:rPr>
        <w:t xml:space="preserve">Por lo tanto, para que se actualice el sobreseimiento de un recurso de revisión, el Sujeto Obligado puede entregar o completar la información al momento de rendir su </w:t>
      </w:r>
      <w:r w:rsidRPr="00B17AA2">
        <w:rPr>
          <w:rFonts w:ascii="Palatino Linotype" w:eastAsia="Palatino Linotype" w:hAnsi="Palatino Linotype" w:cs="Palatino Linotype"/>
          <w:b/>
          <w:u w:val="single"/>
        </w:rPr>
        <w:t>informe de justificación</w:t>
      </w:r>
      <w:r w:rsidRPr="00B17AA2">
        <w:rPr>
          <w:rFonts w:ascii="Palatino Linotype" w:eastAsia="Palatino Linotype" w:hAnsi="Palatino Linotype" w:cs="Palatino Linotype"/>
        </w:rPr>
        <w:t xml:space="preserve"> </w:t>
      </w:r>
      <w:r w:rsidRPr="00B17AA2">
        <w:rPr>
          <w:rFonts w:ascii="Palatino Linotype" w:eastAsia="Palatino Linotype" w:hAnsi="Palatino Linotype" w:cs="Palatino Linotype"/>
          <w:b/>
          <w:u w:val="single"/>
        </w:rPr>
        <w:t>dentro de los siete días</w:t>
      </w:r>
      <w:r w:rsidRPr="00B17AA2">
        <w:rPr>
          <w:rFonts w:ascii="Palatino Linotype" w:eastAsia="Palatino Linotype" w:hAnsi="Palatino Linotype" w:cs="Palatino Linotype"/>
        </w:rPr>
        <w:t xml:space="preserve"> previstos para manifestar lo que a su derecho convenga, </w:t>
      </w:r>
      <w:r w:rsidRPr="00B17AA2">
        <w:rPr>
          <w:rFonts w:ascii="Palatino Linotype" w:eastAsia="Palatino Linotype" w:hAnsi="Palatino Linotype" w:cs="Palatino Linotype"/>
          <w:b/>
          <w:u w:val="single"/>
        </w:rPr>
        <w:t>lo anterior también puede ocurrir si entrega la información después de ese lapso, siempre y cuando la misma modifique la respuesta, y se ponga a disposición de la parte Recurrente y se le otorgue un plazo de tres días hábiles a efecto de que manifieste lo que a su derecho convenga.</w:t>
      </w:r>
    </w:p>
    <w:p w14:paraId="0F5277A1" w14:textId="77777777" w:rsidR="00392D78" w:rsidRPr="00B17AA2" w:rsidRDefault="00295D68">
      <w:pPr>
        <w:tabs>
          <w:tab w:val="left" w:pos="0"/>
        </w:tabs>
        <w:spacing w:before="240" w:after="240" w:line="360" w:lineRule="auto"/>
        <w:ind w:right="51"/>
        <w:jc w:val="both"/>
        <w:rPr>
          <w:rFonts w:ascii="Palatino Linotype" w:eastAsia="Palatino Linotype" w:hAnsi="Palatino Linotype" w:cs="Palatino Linotype"/>
        </w:rPr>
      </w:pPr>
      <w:r w:rsidRPr="00B17AA2">
        <w:rPr>
          <w:rFonts w:ascii="Palatino Linotype" w:eastAsia="Palatino Linotype" w:hAnsi="Palatino Linotype" w:cs="Palatino Linotype"/>
        </w:rPr>
        <w:lastRenderedPageBreak/>
        <w:t>Así, este Organismo Garante advierte que el</w:t>
      </w:r>
      <w:r w:rsidRPr="00B17AA2">
        <w:rPr>
          <w:rFonts w:ascii="Palatino Linotype" w:eastAsia="Palatino Linotype" w:hAnsi="Palatino Linotype" w:cs="Palatino Linotype"/>
          <w:b/>
        </w:rPr>
        <w:t xml:space="preserve"> Sujeto Obligado</w:t>
      </w:r>
      <w:r w:rsidRPr="00B17AA2">
        <w:rPr>
          <w:rFonts w:ascii="Palatino Linotype" w:eastAsia="Palatino Linotype" w:hAnsi="Palatino Linotype" w:cs="Palatino Linotype"/>
        </w:rPr>
        <w:t xml:space="preserve"> con la información enviada, </w:t>
      </w:r>
      <w:r w:rsidRPr="00B17AA2">
        <w:rPr>
          <w:rFonts w:ascii="Palatino Linotype" w:eastAsia="Palatino Linotype" w:hAnsi="Palatino Linotype" w:cs="Palatino Linotype"/>
          <w:b/>
        </w:rPr>
        <w:t>modifica</w:t>
      </w:r>
      <w:r w:rsidRPr="00B17AA2">
        <w:rPr>
          <w:rFonts w:ascii="Palatino Linotype" w:eastAsia="Palatino Linotype" w:hAnsi="Palatino Linotype" w:cs="Palatino Linotype"/>
        </w:rPr>
        <w:t xml:space="preserve"> </w:t>
      </w:r>
      <w:r w:rsidRPr="00B17AA2">
        <w:rPr>
          <w:rFonts w:ascii="Palatino Linotype" w:eastAsia="Palatino Linotype" w:hAnsi="Palatino Linotype" w:cs="Palatino Linotype"/>
          <w:u w:val="single"/>
        </w:rPr>
        <w:t>el acto que le dio origen al recurso de revisión, por lo que trae como consecuencia que el mismo quede sin materia</w:t>
      </w:r>
      <w:r w:rsidRPr="00B17AA2">
        <w:rPr>
          <w:rFonts w:ascii="Palatino Linotype" w:eastAsia="Palatino Linotype" w:hAnsi="Palatino Linotype" w:cs="Palatino Linotype"/>
        </w:rPr>
        <w:t xml:space="preserve">, actualizándose de este modo, la hipótesis jurídica contenida en la </w:t>
      </w:r>
      <w:r w:rsidRPr="00B17AA2">
        <w:rPr>
          <w:rFonts w:ascii="Palatino Linotype" w:eastAsia="Palatino Linotype" w:hAnsi="Palatino Linotype" w:cs="Palatino Linotype"/>
          <w:b/>
        </w:rPr>
        <w:t>fracción III</w:t>
      </w:r>
      <w:r w:rsidRPr="00B17AA2">
        <w:rPr>
          <w:rFonts w:ascii="Palatino Linotype" w:eastAsia="Palatino Linotype" w:hAnsi="Palatino Linotype" w:cs="Palatino Linotype"/>
        </w:rPr>
        <w:t xml:space="preserve"> del artículo </w:t>
      </w:r>
      <w:r w:rsidRPr="00B17AA2">
        <w:rPr>
          <w:rFonts w:ascii="Palatino Linotype" w:eastAsia="Palatino Linotype" w:hAnsi="Palatino Linotype" w:cs="Palatino Linotype"/>
          <w:b/>
        </w:rPr>
        <w:t>192</w:t>
      </w:r>
      <w:r w:rsidRPr="00B17AA2">
        <w:rPr>
          <w:rFonts w:ascii="Palatino Linotype" w:eastAsia="Palatino Linotype" w:hAnsi="Palatino Linotype" w:cs="Palatino Linotype"/>
        </w:rPr>
        <w:t xml:space="preserve"> de la Ley de Ley de Transparencia y Acceso a la Información Pública del Estado de México y Municipios, </w:t>
      </w:r>
    </w:p>
    <w:p w14:paraId="69C407D8"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Derivado de lo expuesto, conviene hacer alusión a lo que señala el artículo 192, fracción III de la Ley de Transparencia y Acceso a la Información Pública del Estado de México y Municipios vigente, a saber:</w:t>
      </w:r>
    </w:p>
    <w:p w14:paraId="206DD7B1" w14:textId="77777777" w:rsidR="00392D78" w:rsidRPr="00B17AA2" w:rsidRDefault="00295D68">
      <w:pPr>
        <w:spacing w:before="240" w:after="240"/>
        <w:ind w:left="851" w:right="900"/>
        <w:jc w:val="both"/>
        <w:rPr>
          <w:rFonts w:ascii="Palatino Linotype" w:eastAsia="Palatino Linotype" w:hAnsi="Palatino Linotype" w:cs="Palatino Linotype"/>
          <w:i/>
          <w:sz w:val="22"/>
          <w:szCs w:val="22"/>
        </w:rPr>
      </w:pPr>
      <w:r w:rsidRPr="00B17AA2">
        <w:rPr>
          <w:rFonts w:ascii="Palatino Linotype" w:eastAsia="Palatino Linotype" w:hAnsi="Palatino Linotype" w:cs="Palatino Linotype"/>
          <w:i/>
          <w:sz w:val="22"/>
          <w:szCs w:val="22"/>
        </w:rPr>
        <w:t>“</w:t>
      </w:r>
      <w:r w:rsidRPr="00B17AA2">
        <w:rPr>
          <w:rFonts w:ascii="Palatino Linotype" w:eastAsia="Palatino Linotype" w:hAnsi="Palatino Linotype" w:cs="Palatino Linotype"/>
          <w:b/>
          <w:i/>
          <w:sz w:val="22"/>
          <w:szCs w:val="22"/>
        </w:rPr>
        <w:t>Artículo 192</w:t>
      </w:r>
      <w:r w:rsidRPr="00B17AA2">
        <w:rPr>
          <w:rFonts w:ascii="Palatino Linotype" w:eastAsia="Palatino Linotype" w:hAnsi="Palatino Linotype" w:cs="Palatino Linotype"/>
          <w:i/>
          <w:sz w:val="22"/>
          <w:szCs w:val="22"/>
        </w:rPr>
        <w:t xml:space="preserve">. </w:t>
      </w:r>
      <w:r w:rsidRPr="00B17AA2">
        <w:rPr>
          <w:rFonts w:ascii="Palatino Linotype" w:eastAsia="Palatino Linotype" w:hAnsi="Palatino Linotype" w:cs="Palatino Linotype"/>
          <w:b/>
          <w:i/>
          <w:sz w:val="22"/>
          <w:szCs w:val="22"/>
        </w:rPr>
        <w:t>El recurso será sobreseído</w:t>
      </w:r>
      <w:r w:rsidRPr="00B17AA2">
        <w:rPr>
          <w:rFonts w:ascii="Palatino Linotype" w:eastAsia="Palatino Linotype" w:hAnsi="Palatino Linotype" w:cs="Palatino Linotype"/>
          <w:i/>
          <w:sz w:val="22"/>
          <w:szCs w:val="22"/>
        </w:rPr>
        <w:t xml:space="preserve">, </w:t>
      </w:r>
      <w:r w:rsidRPr="00B17AA2">
        <w:rPr>
          <w:rFonts w:ascii="Palatino Linotype" w:eastAsia="Palatino Linotype" w:hAnsi="Palatino Linotype" w:cs="Palatino Linotype"/>
          <w:b/>
          <w:i/>
          <w:sz w:val="22"/>
          <w:szCs w:val="22"/>
        </w:rPr>
        <w:t>en todo o en parte,</w:t>
      </w:r>
      <w:r w:rsidRPr="00B17AA2">
        <w:rPr>
          <w:rFonts w:ascii="Palatino Linotype" w:eastAsia="Palatino Linotype" w:hAnsi="Palatino Linotype" w:cs="Palatino Linotype"/>
          <w:i/>
          <w:sz w:val="22"/>
          <w:szCs w:val="22"/>
        </w:rPr>
        <w:t xml:space="preserve"> </w:t>
      </w:r>
      <w:r w:rsidRPr="00B17AA2">
        <w:rPr>
          <w:rFonts w:ascii="Palatino Linotype" w:eastAsia="Palatino Linotype" w:hAnsi="Palatino Linotype" w:cs="Palatino Linotype"/>
          <w:b/>
          <w:i/>
          <w:sz w:val="22"/>
          <w:szCs w:val="22"/>
        </w:rPr>
        <w:t>cuando una vez admitido, se actualicen alguno de los siguientes supuestos</w:t>
      </w:r>
      <w:r w:rsidRPr="00B17AA2">
        <w:rPr>
          <w:rFonts w:ascii="Palatino Linotype" w:eastAsia="Palatino Linotype" w:hAnsi="Palatino Linotype" w:cs="Palatino Linotype"/>
          <w:i/>
          <w:sz w:val="22"/>
          <w:szCs w:val="22"/>
        </w:rPr>
        <w:t xml:space="preserve">: </w:t>
      </w:r>
    </w:p>
    <w:p w14:paraId="30F85C32" w14:textId="77777777" w:rsidR="00392D78" w:rsidRPr="00B17AA2" w:rsidRDefault="00295D68">
      <w:pPr>
        <w:spacing w:before="240" w:after="240"/>
        <w:ind w:left="1134" w:right="900"/>
        <w:jc w:val="both"/>
        <w:rPr>
          <w:rFonts w:ascii="Palatino Linotype" w:eastAsia="Palatino Linotype" w:hAnsi="Palatino Linotype" w:cs="Palatino Linotype"/>
          <w:i/>
          <w:sz w:val="22"/>
          <w:szCs w:val="22"/>
        </w:rPr>
      </w:pPr>
      <w:r w:rsidRPr="00B17AA2">
        <w:rPr>
          <w:rFonts w:ascii="Palatino Linotype" w:eastAsia="Palatino Linotype" w:hAnsi="Palatino Linotype" w:cs="Palatino Linotype"/>
          <w:i/>
          <w:sz w:val="22"/>
          <w:szCs w:val="22"/>
        </w:rPr>
        <w:t>(…)</w:t>
      </w:r>
    </w:p>
    <w:p w14:paraId="42F5BB29" w14:textId="77777777" w:rsidR="00392D78" w:rsidRPr="00B17AA2" w:rsidRDefault="00295D68">
      <w:pPr>
        <w:spacing w:before="240" w:after="240"/>
        <w:ind w:left="1134" w:right="900"/>
        <w:jc w:val="both"/>
        <w:rPr>
          <w:rFonts w:ascii="Palatino Linotype" w:eastAsia="Palatino Linotype" w:hAnsi="Palatino Linotype" w:cs="Palatino Linotype"/>
          <w:i/>
          <w:sz w:val="22"/>
          <w:szCs w:val="22"/>
        </w:rPr>
      </w:pPr>
      <w:r w:rsidRPr="00B17AA2">
        <w:rPr>
          <w:rFonts w:ascii="Palatino Linotype" w:eastAsia="Palatino Linotype" w:hAnsi="Palatino Linotype" w:cs="Palatino Linotype"/>
          <w:b/>
          <w:i/>
          <w:sz w:val="22"/>
          <w:szCs w:val="22"/>
        </w:rPr>
        <w:t xml:space="preserve">III. </w:t>
      </w:r>
      <w:r w:rsidRPr="00B17AA2">
        <w:rPr>
          <w:rFonts w:ascii="Palatino Linotype" w:eastAsia="Palatino Linotype" w:hAnsi="Palatino Linotype" w:cs="Palatino Linotype"/>
          <w:i/>
          <w:sz w:val="22"/>
          <w:szCs w:val="22"/>
        </w:rPr>
        <w:t>El sujeto obligado responsable del acto, lo modifique o revoque de tal manera que el recurso de revisión quede sin materia.”</w:t>
      </w:r>
    </w:p>
    <w:p w14:paraId="6819FB4B"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De lo establecido en el precepto legal citado se advierte que el sobreseimiento del recurso de revisión procede en los siguientes casos</w:t>
      </w:r>
    </w:p>
    <w:p w14:paraId="47CA5F90" w14:textId="77777777" w:rsidR="00392D78" w:rsidRPr="00B17AA2" w:rsidRDefault="00295D68">
      <w:pPr>
        <w:spacing w:before="240" w:after="240" w:line="360" w:lineRule="auto"/>
        <w:ind w:left="284"/>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a) Cuando el sujeto obligado modifique el acto impugnado. </w:t>
      </w:r>
    </w:p>
    <w:p w14:paraId="39C0DFB2" w14:textId="77777777" w:rsidR="00392D78" w:rsidRPr="00B17AA2" w:rsidRDefault="00295D68">
      <w:pPr>
        <w:spacing w:before="240" w:after="240" w:line="360" w:lineRule="auto"/>
        <w:ind w:left="284"/>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b) Cuando el sujeto obligado revoque el acto impugnado; </w:t>
      </w:r>
    </w:p>
    <w:p w14:paraId="375274F9"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Quedando en ambos casos el acto combatido sin materia o sin efectos.</w:t>
      </w:r>
    </w:p>
    <w:p w14:paraId="715E4EF8"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Como se observa de lo anterior, un acto impugnado es modificado en aquellos casos en los que el Sujeto Obligado después de haber otorgado una respuesta, o haber omitido hacerlo (acto de no hacer), emite una o una diversa de manera posterior y </w:t>
      </w:r>
      <w:r w:rsidRPr="00B17AA2">
        <w:rPr>
          <w:rFonts w:ascii="Palatino Linotype" w:eastAsia="Palatino Linotype" w:hAnsi="Palatino Linotype" w:cs="Palatino Linotype"/>
        </w:rPr>
        <w:lastRenderedPageBreak/>
        <w:t>en ésta subsana las deficiencias que hubiera tenido, quedando satisfecho el derecho subjetivo accionado por la parte Recurrente.</w:t>
      </w:r>
    </w:p>
    <w:p w14:paraId="4A086A1E"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3FDBDBA3"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En este orden de ideas, un acto impugnado queda sin efectos, cuando aun existiendo jurídicamente (esto es, que no se ha modificado, ni revocado) ya no genera ninguna consecuencia legal. </w:t>
      </w:r>
    </w:p>
    <w:p w14:paraId="7085D4C7"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En tanto que, un acto impugnado queda sin materia, cuando ha sido satisfecha la pretensión de la parte Recurrente</w:t>
      </w:r>
      <w:r w:rsidRPr="00B17AA2">
        <w:rPr>
          <w:rFonts w:ascii="Palatino Linotype" w:eastAsia="Palatino Linotype" w:hAnsi="Palatino Linotype" w:cs="Palatino Linotype"/>
          <w:b/>
        </w:rPr>
        <w:t xml:space="preserve"> </w:t>
      </w:r>
      <w:r w:rsidRPr="00B17AA2">
        <w:rPr>
          <w:rFonts w:ascii="Palatino Linotype" w:eastAsia="Palatino Linotype" w:hAnsi="Palatino Linotype" w:cs="Palatino Linotype"/>
        </w:rPr>
        <w:t>de manera que el Sujeto Obligado entrega una respuesta, aunque sea posterior a los términos previstos en la ley y mediante ésta concede la información solicitada.</w:t>
      </w:r>
    </w:p>
    <w:p w14:paraId="5940CAF5" w14:textId="77777777" w:rsidR="00392D78" w:rsidRPr="00B17AA2" w:rsidRDefault="00295D68">
      <w:pPr>
        <w:spacing w:before="240" w:after="240" w:line="360" w:lineRule="auto"/>
        <w:jc w:val="both"/>
        <w:rPr>
          <w:rFonts w:ascii="Palatino Linotype" w:eastAsia="Palatino Linotype" w:hAnsi="Palatino Linotype" w:cs="Palatino Linotype"/>
          <w:i/>
          <w:sz w:val="22"/>
          <w:szCs w:val="22"/>
        </w:rPr>
      </w:pPr>
      <w:r w:rsidRPr="00B17AA2">
        <w:rPr>
          <w:rFonts w:ascii="Palatino Linotype" w:eastAsia="Palatino Linotype" w:hAnsi="Palatino Linotype" w:cs="Palatino Linotype"/>
        </w:rPr>
        <w:t xml:space="preserve">Ahora bien, en el caso concreto, es evidente que el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xml:space="preserve"> modificó su respuesta, ya que, a través de su pronunciamiento emitido en desahogo al requerimiento de información adicional formulado por este Organismo Garante, atiende la solicitud de información.</w:t>
      </w:r>
    </w:p>
    <w:p w14:paraId="25B6EBCD" w14:textId="77777777" w:rsidR="00392D78" w:rsidRPr="00B17AA2" w:rsidRDefault="00295D68">
      <w:pPr>
        <w:spacing w:before="240" w:after="240" w:line="360" w:lineRule="auto"/>
        <w:jc w:val="both"/>
        <w:rPr>
          <w:rFonts w:ascii="Palatino Linotype" w:eastAsia="Palatino Linotype" w:hAnsi="Palatino Linotype" w:cs="Palatino Linotype"/>
          <w:b/>
          <w:i/>
          <w:sz w:val="20"/>
          <w:szCs w:val="20"/>
        </w:rPr>
      </w:pPr>
      <w:r w:rsidRPr="00B17AA2">
        <w:rPr>
          <w:rFonts w:ascii="Palatino Linotype" w:eastAsia="Palatino Linotype" w:hAnsi="Palatino Linotype" w:cs="Palatino Linotype"/>
        </w:rPr>
        <w:t xml:space="preserve">Al tomar en consideración dicha circunstancia, así como el hecho de que la información proporcionada por el </w:t>
      </w:r>
      <w:r w:rsidRPr="00B17AA2">
        <w:rPr>
          <w:rFonts w:ascii="Palatino Linotype" w:eastAsia="Palatino Linotype" w:hAnsi="Palatino Linotype" w:cs="Palatino Linotype"/>
          <w:b/>
        </w:rPr>
        <w:t>Sujeto Obligado</w:t>
      </w:r>
      <w:r w:rsidRPr="00B17AA2">
        <w:rPr>
          <w:rFonts w:ascii="Palatino Linotype" w:eastAsia="Palatino Linotype" w:hAnsi="Palatino Linotype" w:cs="Palatino Linotype"/>
        </w:rPr>
        <w:t xml:space="preserve"> fue puesta a la vista de la parte </w:t>
      </w:r>
      <w:r w:rsidRPr="00B17AA2">
        <w:rPr>
          <w:rFonts w:ascii="Palatino Linotype" w:eastAsia="Palatino Linotype" w:hAnsi="Palatino Linotype" w:cs="Palatino Linotype"/>
          <w:b/>
        </w:rPr>
        <w:t>Recurrente</w:t>
      </w:r>
      <w:r w:rsidRPr="00B17AA2">
        <w:rPr>
          <w:rFonts w:ascii="Palatino Linotype" w:eastAsia="Palatino Linotype" w:hAnsi="Palatino Linotype" w:cs="Palatino Linotype"/>
        </w:rPr>
        <w:t xml:space="preserve"> con la finalidad de que manifestara lo que a su derecho conviniera, sin que obre constancia en los expedientes de que dicho derecho se hiciera valer, debe entenderse que con el documento enviado ha quedado satisfecho el derecho de </w:t>
      </w:r>
      <w:r w:rsidRPr="00B17AA2">
        <w:rPr>
          <w:rFonts w:ascii="Palatino Linotype" w:eastAsia="Palatino Linotype" w:hAnsi="Palatino Linotype" w:cs="Palatino Linotype"/>
        </w:rPr>
        <w:lastRenderedPageBreak/>
        <w:t>acceso consagrado en nuestra Carta Magna, con lo cual quedo sin materia el presente recurso de revisión, actualizándose las causales previstas en las fracción III del artículo 192 de la Ley de la Materia vigente en la Entidad, antes transcrita.</w:t>
      </w:r>
    </w:p>
    <w:p w14:paraId="7580E64B" w14:textId="77777777" w:rsidR="00392D78" w:rsidRPr="00B17AA2" w:rsidRDefault="00295D68">
      <w:pPr>
        <w:spacing w:before="240" w:after="240" w:line="360" w:lineRule="auto"/>
        <w:jc w:val="both"/>
        <w:rPr>
          <w:rFonts w:ascii="Palatino Linotype" w:eastAsia="Palatino Linotype" w:hAnsi="Palatino Linotype" w:cs="Palatino Linotype"/>
          <w:b/>
        </w:rPr>
      </w:pPr>
      <w:r w:rsidRPr="00B17AA2">
        <w:rPr>
          <w:rFonts w:ascii="Palatino Linotype" w:eastAsia="Palatino Linotype" w:hAnsi="Palatino Linotype" w:cs="Palatino Linotype"/>
        </w:rPr>
        <w:t xml:space="preserve">Atento a los razonamientos lógico jurídicos que han quedado precisados y toda vez que el  </w:t>
      </w:r>
      <w:r w:rsidRPr="00B17AA2">
        <w:rPr>
          <w:rFonts w:ascii="Palatino Linotype" w:eastAsia="Palatino Linotype" w:hAnsi="Palatino Linotype" w:cs="Palatino Linotype"/>
          <w:i/>
        </w:rPr>
        <w:t xml:space="preserve">sobreseimiento </w:t>
      </w:r>
      <w:r w:rsidRPr="00B17AA2">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B17AA2">
        <w:rPr>
          <w:rFonts w:ascii="Palatino Linotype" w:eastAsia="Palatino Linotype" w:hAnsi="Palatino Linotype" w:cs="Palatino Linotype"/>
          <w:b/>
        </w:rPr>
        <w:t>SOBRESEIMIENTO, NO PERMITE ENTRAR AL ESTUDIO DE LAS CUESTIONES DE FONDO</w:t>
      </w:r>
      <w:r w:rsidRPr="00B17AA2">
        <w:rPr>
          <w:rFonts w:ascii="Palatino Linotype" w:eastAsia="Palatino Linotype" w:hAnsi="Palatino Linotype" w:cs="Palatino Linotype"/>
          <w:vertAlign w:val="superscript"/>
        </w:rPr>
        <w:footnoteReference w:id="1"/>
      </w:r>
      <w:r w:rsidRPr="00B17AA2">
        <w:rPr>
          <w:rFonts w:ascii="Palatino Linotype" w:eastAsia="Palatino Linotype" w:hAnsi="Palatino Linotype" w:cs="Palatino Linotype"/>
          <w:b/>
        </w:rPr>
        <w:t>.</w:t>
      </w:r>
    </w:p>
    <w:p w14:paraId="6D0FCEBE" w14:textId="77777777" w:rsidR="00392D78" w:rsidRPr="00B17AA2" w:rsidRDefault="00295D68">
      <w:pPr>
        <w:tabs>
          <w:tab w:val="left" w:pos="0"/>
        </w:tabs>
        <w:spacing w:before="240" w:after="240" w:line="360" w:lineRule="auto"/>
        <w:ind w:right="49"/>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Por lo tanto, en términos del artículo 186 fracción I este Pleno determina el </w:t>
      </w:r>
      <w:r w:rsidRPr="00B17AA2">
        <w:rPr>
          <w:rFonts w:ascii="Palatino Linotype" w:eastAsia="Palatino Linotype" w:hAnsi="Palatino Linotype" w:cs="Palatino Linotype"/>
          <w:b/>
        </w:rPr>
        <w:t xml:space="preserve">sobreseimiento </w:t>
      </w:r>
      <w:r w:rsidRPr="00B17AA2">
        <w:rPr>
          <w:rFonts w:ascii="Palatino Linotype" w:eastAsia="Palatino Linotype" w:hAnsi="Palatino Linotype" w:cs="Palatino Linotype"/>
        </w:rPr>
        <w:t xml:space="preserve">del recurso de revisión toda vez que la afectación al derecho de acceso a la información pública establecido constitucionalmente a favor de la parte </w:t>
      </w:r>
      <w:r w:rsidRPr="00B17AA2">
        <w:rPr>
          <w:rFonts w:ascii="Palatino Linotype" w:eastAsia="Palatino Linotype" w:hAnsi="Palatino Linotype" w:cs="Palatino Linotype"/>
          <w:b/>
        </w:rPr>
        <w:t>Recurrente</w:t>
      </w:r>
      <w:r w:rsidRPr="00B17AA2">
        <w:rPr>
          <w:rFonts w:ascii="Palatino Linotype" w:eastAsia="Palatino Linotype" w:hAnsi="Palatino Linotype" w:cs="Palatino Linotype"/>
        </w:rPr>
        <w:t xml:space="preserve"> ha sido resarcida.</w:t>
      </w:r>
    </w:p>
    <w:p w14:paraId="127B46D6" w14:textId="77777777" w:rsidR="00392D78" w:rsidRPr="00B17AA2" w:rsidRDefault="00295D68">
      <w:pPr>
        <w:pBdr>
          <w:top w:val="nil"/>
          <w:left w:val="nil"/>
          <w:bottom w:val="nil"/>
          <w:right w:val="nil"/>
          <w:between w:val="nil"/>
        </w:pBdr>
        <w:spacing w:before="240" w:after="240" w:line="360" w:lineRule="auto"/>
        <w:ind w:right="96"/>
        <w:jc w:val="both"/>
        <w:rPr>
          <w:rFonts w:ascii="Palatino Linotype" w:eastAsia="Palatino Linotype" w:hAnsi="Palatino Linotype" w:cs="Palatino Linotype"/>
        </w:rPr>
      </w:pPr>
      <w:r w:rsidRPr="00B17AA2">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1E59444E" w14:textId="77777777" w:rsidR="00392D78" w:rsidRPr="00B17AA2" w:rsidRDefault="00295D68">
      <w:pPr>
        <w:spacing w:before="240" w:after="240" w:line="360" w:lineRule="auto"/>
        <w:ind w:right="49"/>
        <w:jc w:val="center"/>
        <w:rPr>
          <w:rFonts w:ascii="Palatino Linotype" w:eastAsia="Palatino Linotype" w:hAnsi="Palatino Linotype" w:cs="Palatino Linotype"/>
          <w:b/>
        </w:rPr>
      </w:pPr>
      <w:r w:rsidRPr="00B17AA2">
        <w:rPr>
          <w:rFonts w:ascii="Palatino Linotype" w:eastAsia="Palatino Linotype" w:hAnsi="Palatino Linotype" w:cs="Palatino Linotype"/>
          <w:b/>
        </w:rPr>
        <w:lastRenderedPageBreak/>
        <w:t>III. R E S U E L V E:</w:t>
      </w:r>
    </w:p>
    <w:p w14:paraId="619E1F87"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b/>
        </w:rPr>
        <w:t xml:space="preserve">Primero. </w:t>
      </w:r>
      <w:r w:rsidRPr="00B17AA2">
        <w:rPr>
          <w:rFonts w:ascii="Palatino Linotype" w:eastAsia="Palatino Linotype" w:hAnsi="Palatino Linotype" w:cs="Palatino Linotype"/>
        </w:rPr>
        <w:t>Se</w:t>
      </w:r>
      <w:r w:rsidRPr="00B17AA2">
        <w:rPr>
          <w:rFonts w:ascii="Palatino Linotype" w:eastAsia="Palatino Linotype" w:hAnsi="Palatino Linotype" w:cs="Palatino Linotype"/>
          <w:b/>
        </w:rPr>
        <w:t xml:space="preserve"> Sobresee </w:t>
      </w:r>
      <w:r w:rsidRPr="00B17AA2">
        <w:rPr>
          <w:rFonts w:ascii="Palatino Linotype" w:eastAsia="Palatino Linotype" w:hAnsi="Palatino Linotype" w:cs="Palatino Linotype"/>
        </w:rPr>
        <w:t xml:space="preserve">el recurso de revisión </w:t>
      </w:r>
      <w:r w:rsidRPr="00B17AA2">
        <w:rPr>
          <w:rFonts w:ascii="Palatino Linotype" w:eastAsia="Palatino Linotype" w:hAnsi="Palatino Linotype" w:cs="Palatino Linotype"/>
          <w:b/>
        </w:rPr>
        <w:t xml:space="preserve">01719/INFOEM/IP/RR/2023, </w:t>
      </w:r>
      <w:r w:rsidRPr="00B17AA2">
        <w:rPr>
          <w:rFonts w:ascii="Palatino Linotype" w:eastAsia="Palatino Linotype" w:hAnsi="Palatino Linotype" w:cs="Palatino Linotype"/>
        </w:rPr>
        <w:t xml:space="preserve">en términos del </w:t>
      </w:r>
      <w:r w:rsidRPr="00B17AA2">
        <w:rPr>
          <w:rFonts w:ascii="Palatino Linotype" w:eastAsia="Palatino Linotype" w:hAnsi="Palatino Linotype" w:cs="Palatino Linotype"/>
          <w:b/>
        </w:rPr>
        <w:t>Considerando</w:t>
      </w:r>
      <w:r w:rsidRPr="00B17AA2">
        <w:rPr>
          <w:rFonts w:ascii="Palatino Linotype" w:eastAsia="Palatino Linotype" w:hAnsi="Palatino Linotype" w:cs="Palatino Linotype"/>
        </w:rPr>
        <w:t xml:space="preserve"> </w:t>
      </w:r>
      <w:r w:rsidRPr="00B17AA2">
        <w:rPr>
          <w:rFonts w:ascii="Palatino Linotype" w:eastAsia="Palatino Linotype" w:hAnsi="Palatino Linotype" w:cs="Palatino Linotype"/>
          <w:b/>
        </w:rPr>
        <w:t xml:space="preserve">Tercero </w:t>
      </w:r>
      <w:r w:rsidRPr="00B17AA2">
        <w:rPr>
          <w:rFonts w:ascii="Palatino Linotype" w:eastAsia="Palatino Linotype" w:hAnsi="Palatino Linotype" w:cs="Palatino Linotype"/>
        </w:rPr>
        <w:t xml:space="preserve">de la presente Resolución, porque al </w:t>
      </w:r>
      <w:r w:rsidRPr="00B17AA2">
        <w:rPr>
          <w:rFonts w:ascii="Palatino Linotype" w:eastAsia="Palatino Linotype" w:hAnsi="Palatino Linotype" w:cs="Palatino Linotype"/>
          <w:b/>
        </w:rPr>
        <w:t xml:space="preserve">modificar la respuesta </w:t>
      </w:r>
      <w:r w:rsidRPr="00B17AA2">
        <w:rPr>
          <w:rFonts w:ascii="Palatino Linotype" w:eastAsia="Palatino Linotype" w:hAnsi="Palatino Linotype" w:cs="Palatino Linotype"/>
        </w:rPr>
        <w:t xml:space="preserve">quedó sin materia, de conformidad con lo dispuesto en la fracción III del artículo 192 de la de la Ley de Transparencia y Acceso a la Información Pública del Estado de México y Municipios. </w:t>
      </w:r>
    </w:p>
    <w:p w14:paraId="0A2C6AEB"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b/>
        </w:rPr>
        <w:t xml:space="preserve">Segundo. Notifíquese, </w:t>
      </w:r>
      <w:r w:rsidRPr="00B17AA2">
        <w:rPr>
          <w:rFonts w:ascii="Palatino Linotype" w:eastAsia="Palatino Linotype" w:hAnsi="Palatino Linotype" w:cs="Palatino Linotype"/>
        </w:rPr>
        <w:t>vía</w:t>
      </w:r>
      <w:r w:rsidRPr="00B17AA2">
        <w:rPr>
          <w:rFonts w:ascii="Palatino Linotype" w:eastAsia="Palatino Linotype" w:hAnsi="Palatino Linotype" w:cs="Palatino Linotype"/>
          <w:b/>
        </w:rPr>
        <w:t xml:space="preserve"> SAIMEX, </w:t>
      </w:r>
      <w:r w:rsidRPr="00B17AA2">
        <w:rPr>
          <w:rFonts w:ascii="Palatino Linotype" w:eastAsia="Palatino Linotype" w:hAnsi="Palatino Linotype" w:cs="Palatino Linotype"/>
        </w:rPr>
        <w:t>al Titular de la Unidad de Transparencia, para su conocimiento.</w:t>
      </w:r>
    </w:p>
    <w:p w14:paraId="650E69EC" w14:textId="77777777" w:rsidR="00392D78" w:rsidRPr="00B17AA2" w:rsidRDefault="00295D68">
      <w:pPr>
        <w:spacing w:before="240" w:after="240"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b/>
        </w:rPr>
        <w:t xml:space="preserve">Tercero. Notifíquese </w:t>
      </w:r>
      <w:r w:rsidRPr="00B17AA2">
        <w:rPr>
          <w:rFonts w:ascii="Palatino Linotype" w:eastAsia="Palatino Linotype" w:hAnsi="Palatino Linotype" w:cs="Palatino Linotype"/>
        </w:rPr>
        <w:t>vía</w:t>
      </w:r>
      <w:r w:rsidRPr="00B17AA2">
        <w:rPr>
          <w:rFonts w:ascii="Palatino Linotype" w:eastAsia="Palatino Linotype" w:hAnsi="Palatino Linotype" w:cs="Palatino Linotype"/>
          <w:b/>
        </w:rPr>
        <w:t xml:space="preserve"> SAIMEX</w:t>
      </w:r>
      <w:r w:rsidRPr="00B17AA2">
        <w:rPr>
          <w:rFonts w:ascii="Palatino Linotype" w:eastAsia="Palatino Linotype" w:hAnsi="Palatino Linotype" w:cs="Palatino Linotype"/>
        </w:rPr>
        <w:t xml:space="preserve">, a la parte </w:t>
      </w:r>
      <w:r w:rsidRPr="00B17AA2">
        <w:rPr>
          <w:rFonts w:ascii="Palatino Linotype" w:eastAsia="Palatino Linotype" w:hAnsi="Palatino Linotype" w:cs="Palatino Linotype"/>
          <w:b/>
        </w:rPr>
        <w:t xml:space="preserve">Recurrente </w:t>
      </w:r>
      <w:r w:rsidRPr="00B17AA2">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podrá impugnar vía Juicio de Amparo en los términos de las leyes aplicables.</w:t>
      </w:r>
    </w:p>
    <w:p w14:paraId="7502778B" w14:textId="77777777" w:rsidR="00392D78" w:rsidRPr="00B17AA2" w:rsidRDefault="00295D68">
      <w:pPr>
        <w:spacing w:line="360" w:lineRule="auto"/>
        <w:jc w:val="both"/>
        <w:rPr>
          <w:rFonts w:ascii="Palatino Linotype" w:eastAsia="Palatino Linotype" w:hAnsi="Palatino Linotype" w:cs="Palatino Linotype"/>
        </w:rPr>
      </w:pPr>
      <w:r w:rsidRPr="00B17AA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64ABC" w:rsidRPr="00B17AA2">
        <w:rPr>
          <w:rFonts w:ascii="Palatino Linotype" w:eastAsia="Palatino Linotype" w:hAnsi="Palatino Linotype" w:cs="Palatino Linotype"/>
        </w:rPr>
        <w:t>DÉCIMA PRIMERA SESIÓN ORDINARIA CELEBRADA EL TRES DE ABRIL DE</w:t>
      </w:r>
      <w:r w:rsidRPr="00B17AA2">
        <w:rPr>
          <w:rFonts w:ascii="Palatino Linotype" w:eastAsia="Palatino Linotype" w:hAnsi="Palatino Linotype" w:cs="Palatino Linotype"/>
        </w:rPr>
        <w:t xml:space="preserve"> DOS MIL VEINTICUATRO, ANTE EL SECRETARIO TÉCNICO DEL PLENO ALEXIS TAPIA RAMÍREZ.</w:t>
      </w:r>
    </w:p>
    <w:p w14:paraId="7AB11683" w14:textId="77777777" w:rsidR="00392D78" w:rsidRPr="00B17AA2" w:rsidRDefault="00392D78">
      <w:pPr>
        <w:spacing w:line="360" w:lineRule="auto"/>
        <w:jc w:val="both"/>
        <w:rPr>
          <w:rFonts w:ascii="Palatino Linotype" w:eastAsia="Palatino Linotype" w:hAnsi="Palatino Linotype" w:cs="Palatino Linotype"/>
        </w:rPr>
      </w:pPr>
      <w:bookmarkStart w:id="8" w:name="_heading=h.1t3h5sf" w:colFirst="0" w:colLast="0"/>
      <w:bookmarkEnd w:id="8"/>
    </w:p>
    <w:p w14:paraId="76B9AC14" w14:textId="77777777" w:rsidR="00392D78" w:rsidRPr="00B17AA2" w:rsidRDefault="00392D78">
      <w:pPr>
        <w:spacing w:line="360" w:lineRule="auto"/>
        <w:jc w:val="both"/>
        <w:rPr>
          <w:rFonts w:ascii="Palatino Linotype" w:eastAsia="Palatino Linotype" w:hAnsi="Palatino Linotype" w:cs="Palatino Linotype"/>
        </w:rPr>
      </w:pPr>
    </w:p>
    <w:p w14:paraId="4C0B6B48" w14:textId="77777777" w:rsidR="00392D78" w:rsidRPr="00B17AA2" w:rsidRDefault="00392D78">
      <w:pPr>
        <w:spacing w:line="360" w:lineRule="auto"/>
        <w:jc w:val="both"/>
        <w:rPr>
          <w:rFonts w:ascii="Palatino Linotype" w:eastAsia="Palatino Linotype" w:hAnsi="Palatino Linotype" w:cs="Palatino Linotype"/>
        </w:rPr>
      </w:pPr>
    </w:p>
    <w:p w14:paraId="6D1F9846" w14:textId="77777777" w:rsidR="00392D78" w:rsidRPr="00B17AA2" w:rsidRDefault="00392D78">
      <w:pPr>
        <w:spacing w:line="360" w:lineRule="auto"/>
        <w:jc w:val="both"/>
        <w:rPr>
          <w:rFonts w:ascii="Palatino Linotype" w:eastAsia="Palatino Linotype" w:hAnsi="Palatino Linotype" w:cs="Palatino Linotype"/>
        </w:rPr>
      </w:pPr>
    </w:p>
    <w:p w14:paraId="70219D94" w14:textId="77777777" w:rsidR="00392D78" w:rsidRPr="00B17AA2" w:rsidRDefault="00392D78">
      <w:pPr>
        <w:spacing w:line="360" w:lineRule="auto"/>
        <w:jc w:val="both"/>
        <w:rPr>
          <w:rFonts w:ascii="Palatino Linotype" w:eastAsia="Palatino Linotype" w:hAnsi="Palatino Linotype" w:cs="Palatino Linotype"/>
        </w:rPr>
      </w:pPr>
    </w:p>
    <w:p w14:paraId="54A72330" w14:textId="77777777" w:rsidR="00392D78" w:rsidRPr="00B17AA2" w:rsidRDefault="00392D78">
      <w:pPr>
        <w:spacing w:line="360" w:lineRule="auto"/>
        <w:jc w:val="both"/>
        <w:rPr>
          <w:rFonts w:ascii="Palatino Linotype" w:eastAsia="Palatino Linotype" w:hAnsi="Palatino Linotype" w:cs="Palatino Linotype"/>
        </w:rPr>
      </w:pPr>
    </w:p>
    <w:p w14:paraId="2AFDBBFC" w14:textId="77777777" w:rsidR="00392D78" w:rsidRPr="00B17AA2" w:rsidRDefault="00392D78">
      <w:pPr>
        <w:spacing w:line="360" w:lineRule="auto"/>
        <w:jc w:val="both"/>
        <w:rPr>
          <w:rFonts w:ascii="Palatino Linotype" w:eastAsia="Palatino Linotype" w:hAnsi="Palatino Linotype" w:cs="Palatino Linotype"/>
        </w:rPr>
      </w:pPr>
    </w:p>
    <w:p w14:paraId="63217A54" w14:textId="77777777" w:rsidR="00392D78" w:rsidRPr="00B17AA2" w:rsidRDefault="00392D78">
      <w:pPr>
        <w:spacing w:line="360" w:lineRule="auto"/>
        <w:jc w:val="both"/>
        <w:rPr>
          <w:rFonts w:ascii="Palatino Linotype" w:eastAsia="Palatino Linotype" w:hAnsi="Palatino Linotype" w:cs="Palatino Linotype"/>
        </w:rPr>
      </w:pPr>
    </w:p>
    <w:p w14:paraId="165EC2CF" w14:textId="77777777" w:rsidR="00392D78" w:rsidRPr="00B17AA2" w:rsidRDefault="00392D78">
      <w:pPr>
        <w:spacing w:line="360" w:lineRule="auto"/>
        <w:jc w:val="both"/>
        <w:rPr>
          <w:rFonts w:ascii="Palatino Linotype" w:eastAsia="Palatino Linotype" w:hAnsi="Palatino Linotype" w:cs="Palatino Linotype"/>
        </w:rPr>
      </w:pPr>
    </w:p>
    <w:p w14:paraId="4C642DF4" w14:textId="77777777" w:rsidR="00392D78" w:rsidRPr="00B17AA2" w:rsidRDefault="00392D78">
      <w:pPr>
        <w:spacing w:line="360" w:lineRule="auto"/>
        <w:jc w:val="both"/>
        <w:rPr>
          <w:rFonts w:ascii="Palatino Linotype" w:eastAsia="Palatino Linotype" w:hAnsi="Palatino Linotype" w:cs="Palatino Linotype"/>
        </w:rPr>
      </w:pPr>
    </w:p>
    <w:p w14:paraId="3A43D0AB" w14:textId="77777777" w:rsidR="00392D78" w:rsidRPr="00B17AA2" w:rsidRDefault="00392D78">
      <w:pPr>
        <w:spacing w:line="360" w:lineRule="auto"/>
        <w:jc w:val="both"/>
        <w:rPr>
          <w:rFonts w:ascii="Palatino Linotype" w:eastAsia="Palatino Linotype" w:hAnsi="Palatino Linotype" w:cs="Palatino Linotype"/>
        </w:rPr>
      </w:pPr>
    </w:p>
    <w:p w14:paraId="56A90098" w14:textId="77777777" w:rsidR="00392D78" w:rsidRPr="00B17AA2" w:rsidRDefault="00392D78">
      <w:pPr>
        <w:spacing w:line="360" w:lineRule="auto"/>
        <w:jc w:val="both"/>
        <w:rPr>
          <w:rFonts w:ascii="Palatino Linotype" w:eastAsia="Palatino Linotype" w:hAnsi="Palatino Linotype" w:cs="Palatino Linotype"/>
        </w:rPr>
      </w:pPr>
    </w:p>
    <w:p w14:paraId="2C88A435" w14:textId="77777777" w:rsidR="00392D78" w:rsidRPr="00B17AA2" w:rsidRDefault="00392D78">
      <w:pPr>
        <w:spacing w:line="360" w:lineRule="auto"/>
        <w:jc w:val="both"/>
        <w:rPr>
          <w:rFonts w:ascii="Palatino Linotype" w:eastAsia="Palatino Linotype" w:hAnsi="Palatino Linotype" w:cs="Palatino Linotype"/>
        </w:rPr>
      </w:pPr>
    </w:p>
    <w:p w14:paraId="111048B1" w14:textId="77777777" w:rsidR="00392D78" w:rsidRPr="00B17AA2" w:rsidRDefault="00392D78">
      <w:pPr>
        <w:spacing w:line="360" w:lineRule="auto"/>
        <w:jc w:val="both"/>
        <w:rPr>
          <w:rFonts w:ascii="Palatino Linotype" w:eastAsia="Palatino Linotype" w:hAnsi="Palatino Linotype" w:cs="Palatino Linotype"/>
        </w:rPr>
      </w:pPr>
    </w:p>
    <w:sectPr w:rsidR="00392D78" w:rsidRPr="00B17AA2">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270A4" w14:textId="77777777" w:rsidR="005773BC" w:rsidRDefault="005773BC">
      <w:r>
        <w:separator/>
      </w:r>
    </w:p>
  </w:endnote>
  <w:endnote w:type="continuationSeparator" w:id="0">
    <w:p w14:paraId="02ECA29A" w14:textId="77777777" w:rsidR="005773BC" w:rsidRDefault="00577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CAE0" w14:textId="77777777" w:rsidR="00392D78" w:rsidRDefault="00295D6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258B9">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258B9">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7CF6CD6F" w14:textId="77777777" w:rsidR="00392D78" w:rsidRDefault="00392D7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17C9" w14:textId="77777777" w:rsidR="00392D78" w:rsidRDefault="00295D6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258B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258B9">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07EE4015" w14:textId="77777777" w:rsidR="00392D78" w:rsidRDefault="00392D7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E2FEA" w14:textId="77777777" w:rsidR="005773BC" w:rsidRDefault="005773BC">
      <w:r>
        <w:separator/>
      </w:r>
    </w:p>
  </w:footnote>
  <w:footnote w:type="continuationSeparator" w:id="0">
    <w:p w14:paraId="11B4D7C4" w14:textId="77777777" w:rsidR="005773BC" w:rsidRDefault="005773BC">
      <w:r>
        <w:continuationSeparator/>
      </w:r>
    </w:p>
  </w:footnote>
  <w:footnote w:id="1">
    <w:p w14:paraId="4E339ED4" w14:textId="77777777" w:rsidR="00392D78" w:rsidRPr="00364ABC" w:rsidRDefault="00295D68">
      <w:pPr>
        <w:pBdr>
          <w:top w:val="nil"/>
          <w:left w:val="nil"/>
          <w:bottom w:val="nil"/>
          <w:right w:val="nil"/>
          <w:between w:val="nil"/>
        </w:pBdr>
        <w:jc w:val="both"/>
        <w:rPr>
          <w:rFonts w:ascii="Palatino Linotype" w:eastAsia="Palatino Linotype" w:hAnsi="Palatino Linotype" w:cs="Palatino Linotype"/>
          <w:color w:val="000000"/>
          <w:sz w:val="12"/>
          <w:szCs w:val="12"/>
        </w:rPr>
      </w:pPr>
      <w:r w:rsidRPr="00364ABC">
        <w:rPr>
          <w:rFonts w:ascii="Palatino Linotype" w:hAnsi="Palatino Linotype"/>
          <w:sz w:val="12"/>
          <w:szCs w:val="12"/>
          <w:vertAlign w:val="superscript"/>
        </w:rPr>
        <w:footnoteRef/>
      </w:r>
      <w:r w:rsidRPr="00364ABC">
        <w:rPr>
          <w:rFonts w:ascii="Palatino Linotype" w:eastAsia="Palatino Linotype" w:hAnsi="Palatino Linotype" w:cs="Palatino Linotype"/>
          <w:color w:val="000000"/>
          <w:sz w:val="12"/>
          <w:szCs w:val="12"/>
        </w:rPr>
        <w:t xml:space="preserve"> </w:t>
      </w:r>
      <w:r w:rsidRPr="00364ABC">
        <w:rPr>
          <w:rFonts w:ascii="Palatino Linotype" w:eastAsia="Palatino Linotype" w:hAnsi="Palatino Linotype" w:cs="Palatino Linotype"/>
          <w:b/>
          <w:color w:val="000000"/>
          <w:sz w:val="12"/>
          <w:szCs w:val="12"/>
        </w:rPr>
        <w:t>Cuerpo de tesis:</w:t>
      </w:r>
      <w:r w:rsidRPr="00364ABC">
        <w:rPr>
          <w:rFonts w:ascii="Palatino Linotype" w:eastAsia="Palatino Linotype" w:hAnsi="Palatino Linotype" w:cs="Palatino Linotype"/>
          <w:color w:val="000000"/>
          <w:sz w:val="12"/>
          <w:szCs w:val="12"/>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2D610707" w14:textId="77777777" w:rsidR="00392D78" w:rsidRPr="00364ABC" w:rsidRDefault="00295D68">
      <w:pPr>
        <w:pBdr>
          <w:top w:val="nil"/>
          <w:left w:val="nil"/>
          <w:bottom w:val="nil"/>
          <w:right w:val="nil"/>
          <w:between w:val="nil"/>
        </w:pBdr>
        <w:jc w:val="both"/>
        <w:rPr>
          <w:rFonts w:ascii="Palatino Linotype" w:eastAsia="Palatino Linotype" w:hAnsi="Palatino Linotype" w:cs="Palatino Linotype"/>
          <w:color w:val="000000"/>
          <w:sz w:val="12"/>
          <w:szCs w:val="12"/>
        </w:rPr>
      </w:pPr>
      <w:r w:rsidRPr="00364ABC">
        <w:rPr>
          <w:rFonts w:ascii="Palatino Linotype" w:eastAsia="Palatino Linotype" w:hAnsi="Palatino Linotype" w:cs="Palatino Linotype"/>
          <w:b/>
          <w:color w:val="000000"/>
          <w:sz w:val="12"/>
          <w:szCs w:val="12"/>
        </w:rPr>
        <w:t>Localización</w:t>
      </w:r>
      <w:r w:rsidRPr="00364ABC">
        <w:rPr>
          <w:rFonts w:ascii="Palatino Linotype" w:eastAsia="Palatino Linotype" w:hAnsi="Palatino Linotype" w:cs="Palatino Linotype"/>
          <w:color w:val="000000"/>
          <w:sz w:val="12"/>
          <w:szCs w:val="12"/>
        </w:rPr>
        <w:t>: 2</w:t>
      </w:r>
      <w:r w:rsidRPr="00364ABC">
        <w:rPr>
          <w:rFonts w:ascii="Palatino Linotype" w:eastAsia="Palatino Linotype" w:hAnsi="Palatino Linotype" w:cs="Palatino Linotype"/>
          <w:color w:val="000000"/>
          <w:sz w:val="12"/>
          <w:szCs w:val="12"/>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B0188" w14:textId="77777777" w:rsidR="00392D78" w:rsidRDefault="00295D68">
    <w:pPr>
      <w:rPr>
        <w:rFonts w:ascii="Cambria" w:eastAsia="Cambria" w:hAnsi="Cambria" w:cs="Cambria"/>
        <w:color w:val="000000"/>
      </w:rPr>
    </w:pPr>
    <w:r>
      <w:rPr>
        <w:noProof/>
      </w:rPr>
      <w:drawing>
        <wp:anchor distT="0" distB="0" distL="0" distR="0" simplePos="0" relativeHeight="251658240" behindDoc="1" locked="0" layoutInCell="1" hidden="0" allowOverlap="1" wp14:anchorId="36FA095E" wp14:editId="31462FE5">
          <wp:simplePos x="0" y="0"/>
          <wp:positionH relativeFrom="column">
            <wp:posOffset>-1080118</wp:posOffset>
          </wp:positionH>
          <wp:positionV relativeFrom="paragraph">
            <wp:posOffset>-488296</wp:posOffset>
          </wp:positionV>
          <wp:extent cx="7809865" cy="10165715"/>
          <wp:effectExtent l="0" t="0" r="0" b="0"/>
          <wp:wrapNone/>
          <wp:docPr id="20197576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953" w:type="dxa"/>
      <w:tblInd w:w="3261" w:type="dxa"/>
      <w:tblLayout w:type="fixed"/>
      <w:tblLook w:val="0400" w:firstRow="0" w:lastRow="0" w:firstColumn="0" w:lastColumn="0" w:noHBand="0" w:noVBand="1"/>
    </w:tblPr>
    <w:tblGrid>
      <w:gridCol w:w="2489"/>
      <w:gridCol w:w="3464"/>
    </w:tblGrid>
    <w:tr w:rsidR="00392D78" w14:paraId="0E29F9FA" w14:textId="77777777">
      <w:tc>
        <w:tcPr>
          <w:tcW w:w="2489" w:type="dxa"/>
          <w:shd w:val="clear" w:color="auto" w:fill="auto"/>
        </w:tcPr>
        <w:p w14:paraId="583688BC" w14:textId="77777777" w:rsidR="00392D78" w:rsidRDefault="00295D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F287554" w14:textId="77777777" w:rsidR="00392D78" w:rsidRDefault="00295D6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01719/INFOEM/IP/RR/2023</w:t>
          </w:r>
        </w:p>
      </w:tc>
    </w:tr>
    <w:tr w:rsidR="00392D78" w14:paraId="0ED711B3" w14:textId="77777777">
      <w:trPr>
        <w:trHeight w:val="228"/>
      </w:trPr>
      <w:tc>
        <w:tcPr>
          <w:tcW w:w="2489" w:type="dxa"/>
          <w:shd w:val="clear" w:color="auto" w:fill="auto"/>
          <w:vAlign w:val="center"/>
        </w:tcPr>
        <w:p w14:paraId="7B6792DB" w14:textId="77777777" w:rsidR="00392D78" w:rsidRDefault="00295D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F79CDC0" w14:textId="77777777" w:rsidR="00392D78" w:rsidRDefault="00295D6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Lerma</w:t>
          </w:r>
        </w:p>
      </w:tc>
    </w:tr>
    <w:tr w:rsidR="00392D78" w14:paraId="549EDBF8" w14:textId="77777777">
      <w:tc>
        <w:tcPr>
          <w:tcW w:w="2489" w:type="dxa"/>
          <w:shd w:val="clear" w:color="auto" w:fill="auto"/>
          <w:vAlign w:val="center"/>
        </w:tcPr>
        <w:p w14:paraId="6BCEB66C" w14:textId="77777777" w:rsidR="00392D78" w:rsidRDefault="00295D6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439487D" w14:textId="77777777" w:rsidR="00392D78" w:rsidRDefault="00295D6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D699CF9" w14:textId="77777777" w:rsidR="00392D78" w:rsidRDefault="00295D6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85CE" w14:textId="77777777" w:rsidR="00392D78" w:rsidRDefault="00295D6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CA82860" wp14:editId="0A21CFF5">
          <wp:simplePos x="0" y="0"/>
          <wp:positionH relativeFrom="column">
            <wp:posOffset>-1079496</wp:posOffset>
          </wp:positionH>
          <wp:positionV relativeFrom="paragraph">
            <wp:posOffset>-328926</wp:posOffset>
          </wp:positionV>
          <wp:extent cx="7809865" cy="10165715"/>
          <wp:effectExtent l="0" t="0" r="0" b="0"/>
          <wp:wrapNone/>
          <wp:docPr id="2019757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670" w:type="dxa"/>
      <w:tblInd w:w="3261" w:type="dxa"/>
      <w:tblLayout w:type="fixed"/>
      <w:tblLook w:val="0400" w:firstRow="0" w:lastRow="0" w:firstColumn="0" w:lastColumn="0" w:noHBand="0" w:noVBand="1"/>
    </w:tblPr>
    <w:tblGrid>
      <w:gridCol w:w="2551"/>
      <w:gridCol w:w="3119"/>
    </w:tblGrid>
    <w:tr w:rsidR="00392D78" w14:paraId="1B6D6DD9" w14:textId="77777777">
      <w:tc>
        <w:tcPr>
          <w:tcW w:w="2551" w:type="dxa"/>
          <w:shd w:val="clear" w:color="auto" w:fill="auto"/>
          <w:vAlign w:val="center"/>
        </w:tcPr>
        <w:p w14:paraId="598F0627" w14:textId="77777777" w:rsidR="00392D78" w:rsidRDefault="00295D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EEBE999" w14:textId="77777777" w:rsidR="00392D78" w:rsidRDefault="00295D6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01719/INFOEM/IP/RR/2023</w:t>
          </w:r>
        </w:p>
      </w:tc>
    </w:tr>
    <w:tr w:rsidR="00392D78" w14:paraId="07B2AD91" w14:textId="77777777">
      <w:trPr>
        <w:trHeight w:val="130"/>
      </w:trPr>
      <w:tc>
        <w:tcPr>
          <w:tcW w:w="2551" w:type="dxa"/>
          <w:shd w:val="clear" w:color="auto" w:fill="auto"/>
          <w:vAlign w:val="center"/>
        </w:tcPr>
        <w:p w14:paraId="501BDA73" w14:textId="77777777" w:rsidR="00392D78" w:rsidRDefault="00295D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7984598" w14:textId="23B0562E" w:rsidR="00392D78" w:rsidRDefault="00D119B8">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 XXXX XX XXXX</w:t>
          </w:r>
        </w:p>
      </w:tc>
    </w:tr>
    <w:tr w:rsidR="00392D78" w14:paraId="4840A1CD" w14:textId="77777777">
      <w:trPr>
        <w:trHeight w:val="228"/>
      </w:trPr>
      <w:tc>
        <w:tcPr>
          <w:tcW w:w="2551" w:type="dxa"/>
          <w:shd w:val="clear" w:color="auto" w:fill="auto"/>
          <w:vAlign w:val="center"/>
        </w:tcPr>
        <w:p w14:paraId="6CB942E1" w14:textId="77777777" w:rsidR="00392D78" w:rsidRDefault="00295D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A479C37" w14:textId="77777777" w:rsidR="00392D78" w:rsidRDefault="00295D6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Lerma</w:t>
          </w:r>
        </w:p>
      </w:tc>
    </w:tr>
    <w:tr w:rsidR="00392D78" w14:paraId="3D2CE2B9" w14:textId="77777777">
      <w:tc>
        <w:tcPr>
          <w:tcW w:w="2551" w:type="dxa"/>
          <w:shd w:val="clear" w:color="auto" w:fill="auto"/>
          <w:vAlign w:val="center"/>
        </w:tcPr>
        <w:p w14:paraId="728C1BAC" w14:textId="77777777" w:rsidR="00392D78" w:rsidRDefault="00295D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40E8C66" w14:textId="77777777" w:rsidR="00392D78" w:rsidRDefault="00295D6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E02997C" w14:textId="77777777" w:rsidR="00392D78" w:rsidRDefault="00392D78">
    <w:pPr>
      <w:pBdr>
        <w:top w:val="nil"/>
        <w:left w:val="nil"/>
        <w:bottom w:val="nil"/>
        <w:right w:val="nil"/>
        <w:between w:val="nil"/>
      </w:pBdr>
      <w:tabs>
        <w:tab w:val="center" w:pos="4252"/>
        <w:tab w:val="right" w:pos="8504"/>
      </w:tabs>
      <w:rPr>
        <w:rFonts w:ascii="Cambria" w:eastAsia="Cambria" w:hAnsi="Cambria" w:cs="Cambria"/>
        <w:color w:val="000000"/>
      </w:rPr>
    </w:pPr>
  </w:p>
  <w:p w14:paraId="44C738C9" w14:textId="77777777" w:rsidR="00392D78" w:rsidRDefault="00392D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91C7E"/>
    <w:multiLevelType w:val="multilevel"/>
    <w:tmpl w:val="9E92C284"/>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75A7B47"/>
    <w:multiLevelType w:val="multilevel"/>
    <w:tmpl w:val="30C20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DDC325E"/>
    <w:multiLevelType w:val="multilevel"/>
    <w:tmpl w:val="E44E4B7C"/>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D78"/>
    <w:rsid w:val="00295D68"/>
    <w:rsid w:val="00364ABC"/>
    <w:rsid w:val="00392D78"/>
    <w:rsid w:val="00480677"/>
    <w:rsid w:val="005258B9"/>
    <w:rsid w:val="005773BC"/>
    <w:rsid w:val="00B17AA2"/>
    <w:rsid w:val="00BF3D8A"/>
    <w:rsid w:val="00D119B8"/>
    <w:rsid w:val="00DA42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81E9"/>
  <w15:docId w15:val="{5DAD09B8-67F1-41A6-9EE3-6268CD52E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0"/>
    <w:tblPr>
      <w:tblStyleRowBandSize w:val="1"/>
      <w:tblStyleColBandSize w:val="1"/>
      <w:tblCellMar>
        <w:left w:w="115" w:type="dxa"/>
        <w:right w:w="115" w:type="dxa"/>
      </w:tblCellMar>
    </w:tblPr>
  </w:style>
  <w:style w:type="table" w:customStyle="1" w:styleId="15">
    <w:name w:val="15"/>
    <w:basedOn w:val="TableNormal60"/>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character" w:customStyle="1" w:styleId="Mencinsinresolver5">
    <w:name w:val="Mención sin resolver5"/>
    <w:basedOn w:val="Fuentedeprrafopredeter"/>
    <w:uiPriority w:val="99"/>
    <w:semiHidden/>
    <w:unhideWhenUsed/>
    <w:rsid w:val="00160ABB"/>
    <w:rPr>
      <w:color w:val="605E5C"/>
      <w:shd w:val="clear" w:color="auto" w:fill="E1DFDD"/>
    </w:r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character" w:customStyle="1" w:styleId="Mencinsinresolver6">
    <w:name w:val="Mención sin resolver6"/>
    <w:basedOn w:val="Fuentedeprrafopredeter"/>
    <w:uiPriority w:val="99"/>
    <w:semiHidden/>
    <w:unhideWhenUsed/>
    <w:rsid w:val="00D20DA7"/>
    <w:rPr>
      <w:color w:val="605E5C"/>
      <w:shd w:val="clear" w:color="auto" w:fill="E1DFDD"/>
    </w:r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45400F"/>
    <w:pPr>
      <w:numPr>
        <w:numId w:val="3"/>
      </w:numPr>
      <w:contextualSpacing/>
    </w:p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l/qL1wFKHrKjLcCCDusxkf+wig==">CgMxLjAyCWguMzVua3VuMjIIaC5namRneHMyCWguM2R5NnZrbTIJaC4zMGowemxsMgloLjJldDkycDAyCWguMnM4ZXlvMTIIaC50eWpjd3QyCWguM3pueXNoNzIJaC4xdDNoNXNmOAByITFjU0tSakNTOWQ3NVpkWUtNbDNXaEg1OEVMb29BZTBVOA==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8687</Words>
  <Characters>47781</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2024-04-05T18:27:00Z</cp:lastPrinted>
  <dcterms:created xsi:type="dcterms:W3CDTF">2024-04-22T18:20:00Z</dcterms:created>
  <dcterms:modified xsi:type="dcterms:W3CDTF">2024-04-22T18:20:00Z</dcterms:modified>
</cp:coreProperties>
</file>