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447D4C00" w14:textId="2DE06735" w:rsidR="00293506" w:rsidRPr="00D10F38" w:rsidRDefault="00293506" w:rsidP="005729FC">
      <w:pPr>
        <w:spacing w:after="0" w:line="360" w:lineRule="auto"/>
        <w:rPr>
          <w:rFonts w:eastAsia="Calibri" w:cs="Tahoma"/>
          <w:bCs/>
          <w:color w:val="FF0000"/>
        </w:rPr>
      </w:pPr>
    </w:p>
    <w:p w14:paraId="1DF6BBF6" w14:textId="41FA1DC8" w:rsidR="00C853D1" w:rsidRPr="00D10F38" w:rsidRDefault="00C853D1" w:rsidP="005729FC">
      <w:pPr>
        <w:spacing w:after="0" w:line="360" w:lineRule="auto"/>
        <w:rPr>
          <w:rFonts w:eastAsia="Times New Roman" w:cs="Tahoma"/>
          <w:bCs/>
          <w:color w:val="auto"/>
          <w:lang w:eastAsia="es-ES"/>
        </w:rPr>
      </w:pPr>
      <w:r w:rsidRPr="00D10F38">
        <w:rPr>
          <w:rFonts w:eastAsia="Calibri" w:cs="Tahoma"/>
          <w:bCs/>
          <w:color w:val="auto"/>
        </w:rPr>
        <w:t xml:space="preserve">Resolución del Pleno del Instituto de Transparencia, Acceso a la Información Pública y </w:t>
      </w:r>
      <w:r w:rsidRPr="00D10F38">
        <w:rPr>
          <w:rFonts w:eastAsia="Times New Roman" w:cs="Tahoma"/>
          <w:bCs/>
          <w:color w:val="auto"/>
          <w:lang w:eastAsia="es-ES"/>
        </w:rPr>
        <w:t xml:space="preserve">Protección de Datos Personales del Estado de México y Municipios, con domicilio en Metepec, </w:t>
      </w:r>
      <w:r w:rsidR="00F21344">
        <w:rPr>
          <w:rFonts w:eastAsia="Times New Roman" w:cs="Tahoma"/>
          <w:bCs/>
          <w:color w:val="auto"/>
          <w:lang w:eastAsia="es-ES"/>
        </w:rPr>
        <w:t>Estado de México</w:t>
      </w:r>
      <w:r w:rsidR="0041563F">
        <w:rPr>
          <w:rFonts w:eastAsia="Times New Roman" w:cs="Tahoma"/>
          <w:bCs/>
          <w:color w:val="auto"/>
          <w:lang w:eastAsia="es-ES"/>
        </w:rPr>
        <w:t xml:space="preserve">,  a </w:t>
      </w:r>
      <w:r w:rsidR="00AD07F2">
        <w:rPr>
          <w:rFonts w:eastAsia="Times New Roman" w:cs="Tahoma"/>
          <w:bCs/>
          <w:color w:val="auto"/>
          <w:lang w:eastAsia="es-ES"/>
        </w:rPr>
        <w:t xml:space="preserve">seis de </w:t>
      </w:r>
      <w:r w:rsidR="00B12BD6">
        <w:rPr>
          <w:rFonts w:eastAsia="Times New Roman" w:cs="Tahoma"/>
          <w:bCs/>
          <w:color w:val="auto"/>
          <w:lang w:eastAsia="es-ES"/>
        </w:rPr>
        <w:t xml:space="preserve">noviembre </w:t>
      </w:r>
      <w:r w:rsidR="00AD07F2">
        <w:rPr>
          <w:rFonts w:eastAsia="Times New Roman" w:cs="Tahoma"/>
          <w:bCs/>
          <w:color w:val="auto"/>
          <w:lang w:eastAsia="es-ES"/>
        </w:rPr>
        <w:t>de dos mil veinticuatro.</w:t>
      </w:r>
    </w:p>
    <w:p w14:paraId="27CEFE00" w14:textId="77777777" w:rsidR="003A44EE" w:rsidRPr="00D10F38" w:rsidRDefault="003A44EE" w:rsidP="005729FC">
      <w:pPr>
        <w:spacing w:after="0" w:line="360" w:lineRule="auto"/>
        <w:rPr>
          <w:rFonts w:eastAsia="Times New Roman" w:cs="Tahoma"/>
          <w:b/>
          <w:bCs/>
          <w:color w:val="auto"/>
          <w:lang w:eastAsia="es-ES"/>
        </w:rPr>
      </w:pPr>
    </w:p>
    <w:p w14:paraId="1066B8D1" w14:textId="7E370216" w:rsidR="00C853D1" w:rsidRPr="00D10F38" w:rsidRDefault="00C853D1" w:rsidP="005729FC">
      <w:pPr>
        <w:spacing w:after="0" w:line="360" w:lineRule="auto"/>
        <w:rPr>
          <w:rFonts w:eastAsia="Calibri" w:cs="Tahoma"/>
          <w:color w:val="auto"/>
        </w:rPr>
      </w:pPr>
      <w:r w:rsidRPr="00D10F38">
        <w:rPr>
          <w:rFonts w:eastAsia="Times New Roman" w:cs="Tahoma"/>
          <w:b/>
          <w:bCs/>
          <w:color w:val="auto"/>
          <w:lang w:eastAsia="es-ES"/>
        </w:rPr>
        <w:t>VISTO</w:t>
      </w:r>
      <w:r w:rsidRPr="00D10F38">
        <w:rPr>
          <w:rFonts w:eastAsia="Calibri" w:cs="Tahoma"/>
          <w:bCs/>
          <w:color w:val="auto"/>
        </w:rPr>
        <w:t xml:space="preserve"> el expediente conformado con motivo del Recurso de Revisión </w:t>
      </w:r>
      <w:r w:rsidR="00424C3F" w:rsidRPr="00424C3F">
        <w:rPr>
          <w:rFonts w:eastAsia="Calibri" w:cs="Tahoma"/>
          <w:b/>
          <w:color w:val="auto"/>
        </w:rPr>
        <w:t>0</w:t>
      </w:r>
      <w:r w:rsidR="00F968B0">
        <w:rPr>
          <w:rFonts w:eastAsia="Calibri" w:cs="Tahoma"/>
          <w:b/>
          <w:color w:val="auto"/>
        </w:rPr>
        <w:t>5661</w:t>
      </w:r>
      <w:r w:rsidR="00424C3F" w:rsidRPr="00424C3F">
        <w:rPr>
          <w:rFonts w:eastAsia="Calibri" w:cs="Tahoma"/>
          <w:b/>
          <w:color w:val="auto"/>
        </w:rPr>
        <w:t>/INFOEM/IP/RR/2024</w:t>
      </w:r>
      <w:r w:rsidRPr="00D10F38">
        <w:rPr>
          <w:rFonts w:eastAsia="Calibri" w:cs="Tahoma"/>
          <w:color w:val="auto"/>
        </w:rPr>
        <w:t>, interpuesto por</w:t>
      </w:r>
      <w:r w:rsidR="005056F9" w:rsidRPr="00D10F38">
        <w:rPr>
          <w:rFonts w:eastAsia="Calibri" w:cs="Tahoma"/>
          <w:color w:val="auto"/>
        </w:rPr>
        <w:t xml:space="preserve"> </w:t>
      </w:r>
      <w:r w:rsidR="00F21344">
        <w:rPr>
          <w:rFonts w:eastAsia="Calibri" w:cs="Tahoma"/>
          <w:color w:val="auto"/>
        </w:rPr>
        <w:t>el</w:t>
      </w:r>
      <w:r w:rsidR="00AA4435" w:rsidRPr="00D10F38">
        <w:rPr>
          <w:rFonts w:eastAsia="Calibri" w:cs="Tahoma"/>
          <w:color w:val="auto"/>
        </w:rPr>
        <w:t xml:space="preserve"> Recurrente</w:t>
      </w:r>
      <w:r w:rsidRPr="00D10F38">
        <w:rPr>
          <w:rFonts w:eastAsia="Calibri" w:cs="Tahoma"/>
          <w:color w:val="auto"/>
        </w:rPr>
        <w:t xml:space="preserve"> o Particular, en contra de la respuesta del Sujeto Obligado, </w:t>
      </w:r>
      <w:r w:rsidR="00F968B0" w:rsidRPr="00342905">
        <w:rPr>
          <w:rFonts w:eastAsia="Calibri" w:cs="Tahoma"/>
          <w:b/>
          <w:color w:val="auto"/>
        </w:rPr>
        <w:t>Ayuntamiento de Huixquilucan</w:t>
      </w:r>
      <w:r w:rsidRPr="00D10F38">
        <w:rPr>
          <w:rFonts w:eastAsia="Calibri" w:cs="Tahoma"/>
          <w:color w:val="auto"/>
        </w:rPr>
        <w:t xml:space="preserve">, a la solicitud de acceso a la información </w:t>
      </w:r>
      <w:r w:rsidR="009E2D80" w:rsidRPr="00D10F38">
        <w:rPr>
          <w:rFonts w:eastAsia="Calibri" w:cs="Tahoma"/>
          <w:color w:val="auto"/>
        </w:rPr>
        <w:t>pública</w:t>
      </w:r>
      <w:r w:rsidR="009E2D80" w:rsidRPr="00D10F38">
        <w:rPr>
          <w:color w:val="auto"/>
        </w:rPr>
        <w:t xml:space="preserve"> </w:t>
      </w:r>
      <w:r w:rsidR="00F968B0" w:rsidRPr="00F968B0">
        <w:rPr>
          <w:b/>
          <w:color w:val="auto"/>
        </w:rPr>
        <w:t xml:space="preserve"> 00258/HUIXQUIL/IP/2024</w:t>
      </w:r>
      <w:r w:rsidRPr="00D10F38">
        <w:rPr>
          <w:rFonts w:eastAsia="Calibri" w:cs="Tahoma"/>
          <w:color w:val="auto"/>
        </w:rPr>
        <w:t>, se emite la presente Resolución, con base en los Antecedentes y Considerandos que se exponen a continuación:</w:t>
      </w:r>
    </w:p>
    <w:p w14:paraId="4FCCF228" w14:textId="77777777" w:rsidR="00C853D1" w:rsidRPr="00D10F38" w:rsidRDefault="00C853D1" w:rsidP="005729FC">
      <w:pPr>
        <w:spacing w:after="0" w:line="360" w:lineRule="auto"/>
        <w:rPr>
          <w:rFonts w:eastAsia="Calibri" w:cs="Tahoma"/>
          <w:color w:val="auto"/>
        </w:rPr>
      </w:pPr>
    </w:p>
    <w:p w14:paraId="0472C645" w14:textId="793E2453" w:rsidR="00C853D1" w:rsidRPr="00D10F38" w:rsidRDefault="00AD07F2" w:rsidP="005729FC">
      <w:pPr>
        <w:tabs>
          <w:tab w:val="center" w:pos="4522"/>
          <w:tab w:val="left" w:pos="7245"/>
        </w:tabs>
        <w:spacing w:after="0" w:line="360" w:lineRule="auto"/>
        <w:jc w:val="center"/>
        <w:rPr>
          <w:rFonts w:eastAsia="Calibri" w:cs="Tahoma"/>
          <w:b/>
          <w:color w:val="auto"/>
        </w:rPr>
      </w:pPr>
      <w:r>
        <w:rPr>
          <w:rFonts w:eastAsia="Calibri" w:cs="Tahoma"/>
          <w:b/>
          <w:color w:val="auto"/>
        </w:rPr>
        <w:t>A N T E C E D E N T E S</w:t>
      </w:r>
    </w:p>
    <w:p w14:paraId="422D0175" w14:textId="77777777" w:rsidR="00C853D1" w:rsidRPr="00D10F38" w:rsidRDefault="00C853D1" w:rsidP="005729FC">
      <w:pPr>
        <w:spacing w:after="0" w:line="360" w:lineRule="auto"/>
        <w:rPr>
          <w:color w:val="auto"/>
        </w:rPr>
      </w:pPr>
    </w:p>
    <w:p w14:paraId="539DCEC7" w14:textId="1C0BA096" w:rsidR="00C853D1" w:rsidRPr="00D10F38" w:rsidRDefault="00C853D1" w:rsidP="005729FC">
      <w:pPr>
        <w:tabs>
          <w:tab w:val="left" w:pos="567"/>
        </w:tabs>
        <w:spacing w:after="0" w:line="360" w:lineRule="auto"/>
        <w:rPr>
          <w:rFonts w:eastAsia="Times New Roman" w:cs="Tahoma"/>
          <w:b/>
          <w:color w:val="auto"/>
          <w:lang w:eastAsia="es-ES"/>
        </w:rPr>
      </w:pPr>
      <w:r w:rsidRPr="00D10F38">
        <w:rPr>
          <w:rFonts w:eastAsia="Times New Roman" w:cs="Tahoma"/>
          <w:b/>
          <w:color w:val="auto"/>
          <w:lang w:eastAsia="es-ES"/>
        </w:rPr>
        <w:t>I. Presentación</w:t>
      </w:r>
      <w:r w:rsidR="00622459" w:rsidRPr="00D10F38">
        <w:rPr>
          <w:rFonts w:eastAsia="Times New Roman" w:cs="Tahoma"/>
          <w:b/>
          <w:color w:val="auto"/>
          <w:lang w:eastAsia="es-ES"/>
        </w:rPr>
        <w:t xml:space="preserve"> de la solicitud de información</w:t>
      </w:r>
    </w:p>
    <w:p w14:paraId="681289FF" w14:textId="77777777" w:rsidR="00C853D1" w:rsidRPr="00D10F38" w:rsidRDefault="00C853D1" w:rsidP="005729FC">
      <w:pPr>
        <w:tabs>
          <w:tab w:val="left" w:pos="567"/>
        </w:tabs>
        <w:spacing w:after="0" w:line="360" w:lineRule="auto"/>
        <w:rPr>
          <w:rFonts w:eastAsia="Times New Roman" w:cs="Tahoma"/>
          <w:color w:val="FF0000"/>
          <w:lang w:eastAsia="es-ES"/>
        </w:rPr>
      </w:pPr>
    </w:p>
    <w:p w14:paraId="42650557" w14:textId="4F6A1436" w:rsidR="00E45CED" w:rsidRDefault="009E2D80" w:rsidP="00E45CED">
      <w:pPr>
        <w:spacing w:after="0" w:line="360" w:lineRule="auto"/>
        <w:contextualSpacing/>
        <w:rPr>
          <w:rFonts w:cs="Tahoma"/>
          <w:color w:val="auto"/>
        </w:rPr>
      </w:pPr>
      <w:r w:rsidRPr="00D10F38">
        <w:rPr>
          <w:rFonts w:eastAsia="Calibri" w:cs="Tahoma"/>
          <w:color w:val="auto"/>
          <w:lang w:val="es-ES"/>
        </w:rPr>
        <w:t xml:space="preserve">El </w:t>
      </w:r>
      <w:r w:rsidR="00F968B0">
        <w:rPr>
          <w:rFonts w:eastAsia="Calibri" w:cs="Tahoma"/>
          <w:color w:val="auto"/>
          <w:lang w:val="es-ES"/>
        </w:rPr>
        <w:t>veintiséis de agosto</w:t>
      </w:r>
      <w:r w:rsidR="00D03386">
        <w:rPr>
          <w:rFonts w:eastAsia="Calibri" w:cs="Tahoma"/>
          <w:color w:val="auto"/>
          <w:lang w:val="es-ES"/>
        </w:rPr>
        <w:t xml:space="preserve"> de dos </w:t>
      </w:r>
      <w:r w:rsidR="006D7194">
        <w:rPr>
          <w:rFonts w:eastAsia="Calibri" w:cs="Tahoma"/>
          <w:color w:val="auto"/>
          <w:lang w:val="es-ES"/>
        </w:rPr>
        <w:t xml:space="preserve"> mil veinticuatro</w:t>
      </w:r>
      <w:r w:rsidRPr="00D10F38">
        <w:rPr>
          <w:rFonts w:eastAsia="Calibri" w:cs="Tahoma"/>
          <w:color w:val="auto"/>
          <w:lang w:val="es-ES"/>
        </w:rPr>
        <w:t xml:space="preserve">, el Particular presentó una solicitud de acceso a la información, </w:t>
      </w:r>
      <w:r w:rsidR="00B103D5">
        <w:rPr>
          <w:rFonts w:eastAsia="Calibri" w:cs="Tahoma"/>
          <w:color w:val="auto"/>
          <w:lang w:val="es-ES"/>
        </w:rPr>
        <w:t xml:space="preserve">a través del Sistema SAIMEX, </w:t>
      </w:r>
      <w:r w:rsidR="00E45CED" w:rsidRPr="00D10F38">
        <w:rPr>
          <w:rFonts w:eastAsia="Calibri" w:cs="Tahoma"/>
          <w:color w:val="auto"/>
          <w:lang w:val="es-ES"/>
        </w:rPr>
        <w:t xml:space="preserve">ante el </w:t>
      </w:r>
      <w:r w:rsidR="00E45CED" w:rsidRPr="00E45CED">
        <w:rPr>
          <w:rFonts w:eastAsia="Calibri" w:cs="Tahoma"/>
          <w:color w:val="auto"/>
          <w:lang w:val="es-ES"/>
        </w:rPr>
        <w:t xml:space="preserve">Ayuntamiento de </w:t>
      </w:r>
      <w:r w:rsidR="00F968B0">
        <w:rPr>
          <w:rFonts w:eastAsia="Calibri" w:cs="Tahoma"/>
          <w:color w:val="auto"/>
          <w:lang w:val="es-ES"/>
        </w:rPr>
        <w:t>Huixquilucan</w:t>
      </w:r>
      <w:r w:rsidR="00E45CED" w:rsidRPr="00D10F38">
        <w:rPr>
          <w:rFonts w:eastAsia="Calibri" w:cs="Tahoma"/>
          <w:color w:val="auto"/>
        </w:rPr>
        <w:t xml:space="preserve">, </w:t>
      </w:r>
      <w:r w:rsidR="00E45CED" w:rsidRPr="009A3F88">
        <w:rPr>
          <w:rFonts w:cs="Tahoma"/>
          <w:color w:val="auto"/>
        </w:rPr>
        <w:t>mediante la cual requirió:</w:t>
      </w:r>
    </w:p>
    <w:p w14:paraId="388AA0AA" w14:textId="77777777" w:rsidR="00E45CED" w:rsidRPr="00D10F38" w:rsidRDefault="00E45CED" w:rsidP="00E45CED">
      <w:pPr>
        <w:spacing w:after="0" w:line="360" w:lineRule="auto"/>
        <w:contextualSpacing/>
        <w:rPr>
          <w:rFonts w:cs="Tahoma"/>
          <w:bCs/>
          <w:i/>
          <w:color w:val="FF0000"/>
        </w:rPr>
      </w:pPr>
    </w:p>
    <w:p w14:paraId="39426D3B" w14:textId="77777777" w:rsidR="00E45CED" w:rsidRPr="00B103D5" w:rsidRDefault="00E45CED" w:rsidP="00E45CED">
      <w:pPr>
        <w:tabs>
          <w:tab w:val="left" w:pos="4667"/>
        </w:tabs>
        <w:spacing w:after="0" w:line="360" w:lineRule="auto"/>
        <w:ind w:left="567" w:right="567"/>
        <w:contextualSpacing/>
        <w:rPr>
          <w:rFonts w:eastAsia="Times New Roman" w:cs="Tahoma"/>
          <w:b/>
          <w:i/>
          <w:iCs/>
          <w:color w:val="auto"/>
          <w:sz w:val="20"/>
          <w:szCs w:val="20"/>
          <w:lang w:eastAsia="es-ES"/>
        </w:rPr>
      </w:pPr>
      <w:r w:rsidRPr="00123E35">
        <w:rPr>
          <w:rFonts w:eastAsia="Times New Roman" w:cs="Tahoma"/>
          <w:b/>
          <w:i/>
          <w:iCs/>
          <w:color w:val="auto"/>
          <w:sz w:val="20"/>
          <w:szCs w:val="20"/>
          <w:lang w:eastAsia="es-ES"/>
        </w:rPr>
        <w:t>“</w:t>
      </w:r>
      <w:r w:rsidRPr="00B103D5">
        <w:rPr>
          <w:rFonts w:eastAsia="Times New Roman" w:cs="Tahoma"/>
          <w:b/>
          <w:i/>
          <w:iCs/>
          <w:color w:val="auto"/>
          <w:sz w:val="20"/>
          <w:szCs w:val="20"/>
          <w:lang w:eastAsia="es-ES"/>
        </w:rPr>
        <w:t>DESCRIPCIÓN CLARA Y PRECISA DE LA INFORMACIÓN SOLICITADA.</w:t>
      </w:r>
    </w:p>
    <w:p w14:paraId="4465313F" w14:textId="023C134D" w:rsidR="00E45CED" w:rsidRPr="00683B16" w:rsidRDefault="00F968B0" w:rsidP="00E45CED">
      <w:pPr>
        <w:spacing w:after="0" w:line="360" w:lineRule="auto"/>
        <w:ind w:left="567" w:right="567"/>
        <w:contextualSpacing/>
        <w:rPr>
          <w:rFonts w:eastAsia="Times New Roman" w:cs="Arial"/>
          <w:bCs/>
          <w:i/>
          <w:iCs/>
          <w:color w:val="auto"/>
          <w:sz w:val="20"/>
          <w:lang w:eastAsia="es-ES"/>
        </w:rPr>
      </w:pPr>
      <w:r w:rsidRPr="00B103D5">
        <w:rPr>
          <w:rFonts w:eastAsia="Times New Roman" w:cs="Arial"/>
          <w:bCs/>
          <w:i/>
          <w:iCs/>
          <w:color w:val="auto"/>
          <w:sz w:val="20"/>
          <w:lang w:eastAsia="es-ES"/>
        </w:rPr>
        <w:t>solicito el nombre, población, dirección de oficina, numero telefónico y correo electrónico de las delegaciones, copaci (consejo de participación ciudadana) parroquias de iglesias del municipio de Huixquilucan. Estos serán de poblaciones, ranquerias, fraccionamientos.</w:t>
      </w:r>
      <w:r w:rsidR="00E45CED" w:rsidRPr="00B103D5">
        <w:rPr>
          <w:rFonts w:eastAsia="Times New Roman" w:cs="Arial"/>
          <w:bCs/>
          <w:i/>
          <w:iCs/>
          <w:color w:val="auto"/>
          <w:sz w:val="20"/>
          <w:lang w:eastAsia="es-ES"/>
        </w:rPr>
        <w:t>” (Sic)</w:t>
      </w:r>
      <w:r w:rsidR="00E45CED" w:rsidRPr="00683B16">
        <w:rPr>
          <w:rFonts w:eastAsia="Times New Roman" w:cs="Arial"/>
          <w:bCs/>
          <w:i/>
          <w:iCs/>
          <w:color w:val="auto"/>
          <w:sz w:val="20"/>
          <w:lang w:eastAsia="es-ES"/>
        </w:rPr>
        <w:t xml:space="preserve"> </w:t>
      </w:r>
    </w:p>
    <w:p w14:paraId="791F1C4B" w14:textId="77777777" w:rsidR="00E45CED" w:rsidRPr="00683B16" w:rsidRDefault="00E45CED" w:rsidP="00E45CED">
      <w:pPr>
        <w:tabs>
          <w:tab w:val="left" w:pos="4667"/>
        </w:tabs>
        <w:spacing w:after="0" w:line="360" w:lineRule="auto"/>
        <w:ind w:left="567" w:right="567"/>
        <w:contextualSpacing/>
        <w:rPr>
          <w:rFonts w:eastAsia="Times New Roman" w:cs="Tahoma"/>
          <w:b/>
          <w:bCs/>
          <w:i/>
          <w:iCs/>
          <w:color w:val="auto"/>
          <w:sz w:val="20"/>
          <w:szCs w:val="20"/>
          <w:lang w:eastAsia="es-ES"/>
        </w:rPr>
      </w:pPr>
    </w:p>
    <w:p w14:paraId="398D645B" w14:textId="45F6BD52" w:rsidR="00E45CED" w:rsidRPr="0074377F" w:rsidRDefault="0074377F" w:rsidP="0074377F">
      <w:pPr>
        <w:tabs>
          <w:tab w:val="left" w:pos="4667"/>
        </w:tabs>
        <w:spacing w:after="0" w:line="360" w:lineRule="auto"/>
        <w:ind w:left="567" w:right="567"/>
        <w:contextualSpacing/>
        <w:rPr>
          <w:rFonts w:eastAsia="Times New Roman" w:cs="Tahoma"/>
          <w:b/>
          <w:i/>
          <w:iCs/>
          <w:color w:val="auto"/>
          <w:sz w:val="20"/>
          <w:szCs w:val="20"/>
          <w:lang w:eastAsia="es-ES"/>
        </w:rPr>
      </w:pPr>
      <w:r>
        <w:rPr>
          <w:rFonts w:eastAsia="Times New Roman" w:cs="Tahoma"/>
          <w:b/>
          <w:i/>
          <w:iCs/>
          <w:color w:val="auto"/>
          <w:sz w:val="20"/>
          <w:szCs w:val="20"/>
          <w:lang w:eastAsia="es-ES"/>
        </w:rPr>
        <w:t>“</w:t>
      </w:r>
      <w:r w:rsidR="00E45CED" w:rsidRPr="0074377F">
        <w:rPr>
          <w:rFonts w:eastAsia="Times New Roman" w:cs="Tahoma"/>
          <w:b/>
          <w:i/>
          <w:iCs/>
          <w:color w:val="auto"/>
          <w:sz w:val="20"/>
          <w:szCs w:val="20"/>
          <w:lang w:eastAsia="es-ES"/>
        </w:rPr>
        <w:t xml:space="preserve">Modalidad de Entrega: </w:t>
      </w:r>
    </w:p>
    <w:p w14:paraId="4C1C3EF3" w14:textId="628876F8" w:rsidR="00E45CED" w:rsidRPr="00B103D5" w:rsidRDefault="00F968B0" w:rsidP="00E45CED">
      <w:pPr>
        <w:tabs>
          <w:tab w:val="left" w:pos="4667"/>
        </w:tabs>
        <w:spacing w:after="0" w:line="360" w:lineRule="auto"/>
        <w:ind w:left="567" w:right="567"/>
        <w:rPr>
          <w:rFonts w:eastAsia="Times New Roman" w:cs="Tahoma"/>
          <w:i/>
          <w:iCs/>
          <w:color w:val="auto"/>
          <w:sz w:val="20"/>
          <w:lang w:eastAsia="es-ES"/>
        </w:rPr>
      </w:pPr>
      <w:r w:rsidRPr="00B103D5">
        <w:rPr>
          <w:rFonts w:eastAsia="Times New Roman" w:cs="Tahoma"/>
          <w:i/>
          <w:iCs/>
          <w:color w:val="auto"/>
          <w:sz w:val="20"/>
          <w:lang w:eastAsia="es-ES"/>
        </w:rPr>
        <w:t>A través del SAIMEX</w:t>
      </w:r>
      <w:r w:rsidR="0074377F">
        <w:rPr>
          <w:rFonts w:eastAsia="Times New Roman" w:cs="Tahoma"/>
          <w:i/>
          <w:iCs/>
          <w:color w:val="auto"/>
          <w:sz w:val="20"/>
          <w:lang w:eastAsia="es-ES"/>
        </w:rPr>
        <w:t>”</w:t>
      </w:r>
    </w:p>
    <w:p w14:paraId="5979CF93" w14:textId="7FFFCB88" w:rsidR="00E45CED" w:rsidRPr="009A3F88" w:rsidRDefault="00E45CED" w:rsidP="00E45CED">
      <w:pPr>
        <w:tabs>
          <w:tab w:val="left" w:pos="567"/>
        </w:tabs>
        <w:spacing w:after="0" w:line="360" w:lineRule="auto"/>
        <w:rPr>
          <w:rFonts w:eastAsia="Times New Roman" w:cs="Tahoma"/>
          <w:color w:val="auto"/>
          <w:lang w:eastAsia="es-ES"/>
        </w:rPr>
      </w:pPr>
    </w:p>
    <w:p w14:paraId="311D257A" w14:textId="77777777" w:rsidR="00E45CED" w:rsidRPr="00D10F38" w:rsidRDefault="00E45CED" w:rsidP="00E45CED">
      <w:pPr>
        <w:autoSpaceDE w:val="0"/>
        <w:autoSpaceDN w:val="0"/>
        <w:adjustRightInd w:val="0"/>
        <w:spacing w:after="0" w:line="360" w:lineRule="auto"/>
        <w:rPr>
          <w:rFonts w:cs="Tahoma"/>
          <w:b/>
          <w:color w:val="FF0000"/>
        </w:rPr>
      </w:pPr>
    </w:p>
    <w:p w14:paraId="7488ED31" w14:textId="20D40C80" w:rsidR="00C853D1" w:rsidRPr="00683B16" w:rsidRDefault="005A5008" w:rsidP="005729FC">
      <w:pPr>
        <w:autoSpaceDE w:val="0"/>
        <w:autoSpaceDN w:val="0"/>
        <w:adjustRightInd w:val="0"/>
        <w:spacing w:after="0" w:line="360" w:lineRule="auto"/>
        <w:rPr>
          <w:b/>
          <w:bCs/>
          <w:color w:val="auto"/>
        </w:rPr>
      </w:pPr>
      <w:r w:rsidRPr="00683B16">
        <w:rPr>
          <w:rFonts w:cs="Tahoma"/>
          <w:b/>
          <w:color w:val="auto"/>
        </w:rPr>
        <w:lastRenderedPageBreak/>
        <w:t>I</w:t>
      </w:r>
      <w:r w:rsidR="009E2D80" w:rsidRPr="00683B16">
        <w:rPr>
          <w:rFonts w:cs="Tahoma"/>
          <w:b/>
          <w:color w:val="auto"/>
        </w:rPr>
        <w:t>I</w:t>
      </w:r>
      <w:r w:rsidR="00C853D1" w:rsidRPr="00683B16">
        <w:rPr>
          <w:rFonts w:cs="Tahoma"/>
          <w:b/>
          <w:color w:val="auto"/>
        </w:rPr>
        <w:t>.</w:t>
      </w:r>
      <w:r w:rsidR="00622459" w:rsidRPr="00683B16">
        <w:rPr>
          <w:b/>
          <w:bCs/>
          <w:color w:val="auto"/>
        </w:rPr>
        <w:t xml:space="preserve"> Respuesta del Sujeto Obligado</w:t>
      </w:r>
    </w:p>
    <w:p w14:paraId="58563E97" w14:textId="77777777" w:rsidR="009E2D80" w:rsidRPr="00683B16" w:rsidRDefault="009E2D80" w:rsidP="005729FC">
      <w:pPr>
        <w:autoSpaceDE w:val="0"/>
        <w:autoSpaceDN w:val="0"/>
        <w:adjustRightInd w:val="0"/>
        <w:spacing w:after="0" w:line="360" w:lineRule="auto"/>
        <w:rPr>
          <w:b/>
          <w:bCs/>
          <w:color w:val="auto"/>
        </w:rPr>
      </w:pPr>
    </w:p>
    <w:p w14:paraId="272C9686" w14:textId="24C32513" w:rsidR="001B0B54" w:rsidRDefault="009E2D80" w:rsidP="005729FC">
      <w:pPr>
        <w:autoSpaceDE w:val="0"/>
        <w:autoSpaceDN w:val="0"/>
        <w:adjustRightInd w:val="0"/>
        <w:spacing w:after="0" w:line="360" w:lineRule="auto"/>
        <w:rPr>
          <w:rFonts w:cs="Tahoma"/>
          <w:bCs/>
          <w:color w:val="auto"/>
          <w:lang w:val="es-ES_tradnl"/>
        </w:rPr>
      </w:pPr>
      <w:r w:rsidRPr="00683B16">
        <w:rPr>
          <w:rFonts w:cs="Tahoma"/>
          <w:bCs/>
          <w:color w:val="auto"/>
          <w:lang w:val="es-ES_tradnl"/>
        </w:rPr>
        <w:t xml:space="preserve">El </w:t>
      </w:r>
      <w:r w:rsidR="00F968B0">
        <w:rPr>
          <w:rFonts w:cs="Tahoma"/>
          <w:bCs/>
          <w:color w:val="auto"/>
          <w:lang w:val="es-ES_tradnl"/>
        </w:rPr>
        <w:t>diecisiete de septiembre</w:t>
      </w:r>
      <w:r w:rsidR="00A63EBE">
        <w:rPr>
          <w:rFonts w:cs="Tahoma"/>
          <w:bCs/>
          <w:color w:val="auto"/>
          <w:lang w:val="es-ES_tradnl"/>
        </w:rPr>
        <w:t xml:space="preserve"> de dos mil veinticuatro</w:t>
      </w:r>
      <w:r w:rsidRPr="00683B16">
        <w:rPr>
          <w:rFonts w:cs="Tahoma"/>
          <w:bCs/>
          <w:color w:val="auto"/>
          <w:lang w:val="es-ES_tradnl"/>
        </w:rPr>
        <w:t xml:space="preserve">, </w:t>
      </w:r>
      <w:r w:rsidR="00974109" w:rsidRPr="00683B16">
        <w:rPr>
          <w:rFonts w:cs="Tahoma"/>
          <w:bCs/>
          <w:color w:val="auto"/>
          <w:lang w:val="es-ES_tradnl"/>
        </w:rPr>
        <w:t xml:space="preserve">el </w:t>
      </w:r>
      <w:r w:rsidR="001318B0">
        <w:rPr>
          <w:rFonts w:cs="Tahoma"/>
          <w:bCs/>
          <w:color w:val="auto"/>
          <w:lang w:val="es-ES_tradnl"/>
        </w:rPr>
        <w:t xml:space="preserve">Ayuntamiento de </w:t>
      </w:r>
      <w:r w:rsidR="00F968B0">
        <w:rPr>
          <w:rFonts w:cs="Tahoma"/>
          <w:bCs/>
          <w:color w:val="auto"/>
          <w:lang w:val="es-ES_tradnl"/>
        </w:rPr>
        <w:t>Huixquilucan</w:t>
      </w:r>
      <w:r w:rsidRPr="00683B16">
        <w:rPr>
          <w:rFonts w:cs="Tahoma"/>
          <w:bCs/>
          <w:color w:val="auto"/>
          <w:lang w:val="es-ES_tradnl"/>
        </w:rPr>
        <w:t xml:space="preserve">, notificó la respuesta a la solicitud, a través del Sistema de Acceso a la Información Mexiquense (SAIMEX), </w:t>
      </w:r>
      <w:r w:rsidR="00A63EBE">
        <w:rPr>
          <w:rFonts w:cs="Tahoma"/>
          <w:bCs/>
          <w:color w:val="auto"/>
          <w:lang w:val="es-ES_tradnl"/>
        </w:rPr>
        <w:t>por medio de oficio</w:t>
      </w:r>
      <w:r w:rsidR="001B0B54">
        <w:rPr>
          <w:rFonts w:cs="Tahoma"/>
          <w:bCs/>
          <w:color w:val="auto"/>
          <w:lang w:val="es-ES_tradnl"/>
        </w:rPr>
        <w:t xml:space="preserve"> </w:t>
      </w:r>
      <w:r w:rsidR="00F968B0">
        <w:rPr>
          <w:rFonts w:cs="Tahoma"/>
          <w:bCs/>
          <w:color w:val="auto"/>
          <w:lang w:val="es-ES_tradnl"/>
        </w:rPr>
        <w:t xml:space="preserve">del Director de Gobierno, donde refirió remitir la información relativa a los Delegados Municipales e integrantes de los Consejos de Participación Ciudadana </w:t>
      </w:r>
      <w:bookmarkStart w:id="0" w:name="_Hlk180050207"/>
      <w:r w:rsidR="00F968B0">
        <w:rPr>
          <w:rFonts w:cs="Tahoma"/>
          <w:bCs/>
          <w:color w:val="auto"/>
          <w:lang w:val="es-ES_tradnl"/>
        </w:rPr>
        <w:t xml:space="preserve">e informó que la información de </w:t>
      </w:r>
      <w:r w:rsidR="00A15E02">
        <w:rPr>
          <w:rFonts w:cs="Tahoma"/>
          <w:bCs/>
          <w:color w:val="auto"/>
          <w:lang w:val="es-ES_tradnl"/>
        </w:rPr>
        <w:t>el número telefónico y correo electrónico de las parroquias e iglesias en el municipio se trata de datos personales por lo que no se pueden proporcionar ya que se requiere la autorización expresa de los particulares.</w:t>
      </w:r>
      <w:r w:rsidR="00F968B0">
        <w:rPr>
          <w:rFonts w:cs="Tahoma"/>
          <w:bCs/>
          <w:color w:val="auto"/>
          <w:lang w:val="es-ES_tradnl"/>
        </w:rPr>
        <w:t xml:space="preserve"> </w:t>
      </w:r>
    </w:p>
    <w:bookmarkEnd w:id="0"/>
    <w:p w14:paraId="5FB4BE61" w14:textId="77777777" w:rsidR="007C51E3" w:rsidRDefault="007C51E3" w:rsidP="005729FC">
      <w:pPr>
        <w:autoSpaceDE w:val="0"/>
        <w:autoSpaceDN w:val="0"/>
        <w:adjustRightInd w:val="0"/>
        <w:spacing w:after="0" w:line="360" w:lineRule="auto"/>
        <w:rPr>
          <w:rFonts w:cs="Tahoma"/>
          <w:bCs/>
          <w:color w:val="auto"/>
          <w:lang w:val="es-ES_tradnl"/>
        </w:rPr>
      </w:pPr>
    </w:p>
    <w:p w14:paraId="2B803E22" w14:textId="7672C5D7" w:rsidR="00C853D1" w:rsidRPr="00286CEE" w:rsidRDefault="006246F1" w:rsidP="005729FC">
      <w:pPr>
        <w:spacing w:after="0" w:line="360" w:lineRule="auto"/>
        <w:rPr>
          <w:b/>
          <w:color w:val="auto"/>
        </w:rPr>
      </w:pPr>
      <w:r w:rsidRPr="00123E35">
        <w:rPr>
          <w:b/>
          <w:color w:val="auto"/>
        </w:rPr>
        <w:t>III</w:t>
      </w:r>
      <w:r w:rsidR="00C853D1" w:rsidRPr="00123E35">
        <w:rPr>
          <w:b/>
          <w:color w:val="auto"/>
        </w:rPr>
        <w:t>. Interpo</w:t>
      </w:r>
      <w:r w:rsidR="00622459" w:rsidRPr="00123E35">
        <w:rPr>
          <w:b/>
          <w:color w:val="auto"/>
        </w:rPr>
        <w:t>sición del Recurso de Revisión</w:t>
      </w:r>
    </w:p>
    <w:p w14:paraId="62543F21" w14:textId="77777777" w:rsidR="008E15AF" w:rsidRPr="00286CEE" w:rsidRDefault="008E15AF" w:rsidP="005729FC">
      <w:pPr>
        <w:spacing w:after="0" w:line="360" w:lineRule="auto"/>
        <w:rPr>
          <w:b/>
          <w:color w:val="auto"/>
        </w:rPr>
      </w:pPr>
    </w:p>
    <w:p w14:paraId="7DF9BAA4" w14:textId="5682A92D" w:rsidR="005835D7" w:rsidRPr="006E704F" w:rsidRDefault="006E704F" w:rsidP="005729FC">
      <w:pPr>
        <w:widowControl w:val="0"/>
        <w:spacing w:after="0" w:line="360" w:lineRule="auto"/>
        <w:contextualSpacing/>
        <w:rPr>
          <w:rFonts w:eastAsia="Calibri" w:cs="Times New Roman"/>
          <w:bCs/>
          <w:color w:val="auto"/>
        </w:rPr>
      </w:pPr>
      <w:r w:rsidRPr="006E704F">
        <w:rPr>
          <w:rFonts w:eastAsia="Calibri" w:cs="Times New Roman"/>
          <w:bCs/>
          <w:color w:val="auto"/>
        </w:rPr>
        <w:t xml:space="preserve">El </w:t>
      </w:r>
      <w:bookmarkStart w:id="1" w:name="_Hlk180049261"/>
      <w:r w:rsidR="00A15E02">
        <w:rPr>
          <w:rFonts w:eastAsia="Calibri" w:cs="Times New Roman"/>
          <w:bCs/>
          <w:color w:val="auto"/>
        </w:rPr>
        <w:t xml:space="preserve">diecisiete de septiembre </w:t>
      </w:r>
      <w:r w:rsidR="00EE2645">
        <w:rPr>
          <w:rFonts w:eastAsia="Calibri" w:cs="Times New Roman"/>
          <w:bCs/>
          <w:color w:val="auto"/>
        </w:rPr>
        <w:t xml:space="preserve"> de dos mil veinticuatro</w:t>
      </w:r>
      <w:bookmarkEnd w:id="1"/>
      <w:r w:rsidR="005835D7" w:rsidRPr="006E704F">
        <w:rPr>
          <w:rFonts w:eastAsia="Calibri" w:cs="Times New Roman"/>
          <w:bCs/>
          <w:color w:val="auto"/>
        </w:rPr>
        <w:t xml:space="preserve">, </w:t>
      </w:r>
      <w:r w:rsidR="005835D7" w:rsidRPr="006E704F">
        <w:rPr>
          <w:rFonts w:eastAsia="Calibri" w:cs="Times New Roman"/>
          <w:bCs/>
          <w:color w:val="auto"/>
          <w:lang w:val="es-ES"/>
        </w:rPr>
        <w:t>se recibió en este Instituto, a través del Sistema de Acceso a la Información Mexiquense (SAIMEX), el Recurso de Revisión interpuesto por la parte Recurrente, en contra de la respuesta del Sujeto Obligado</w:t>
      </w:r>
      <w:r w:rsidR="005835D7" w:rsidRPr="006E704F">
        <w:rPr>
          <w:rFonts w:eastAsia="Calibri" w:cs="Times New Roman"/>
          <w:b/>
          <w:bCs/>
          <w:color w:val="auto"/>
        </w:rPr>
        <w:t>,</w:t>
      </w:r>
      <w:r w:rsidR="005835D7" w:rsidRPr="006E704F">
        <w:rPr>
          <w:rFonts w:eastAsia="Calibri" w:cs="Times New Roman"/>
          <w:bCs/>
          <w:color w:val="auto"/>
        </w:rPr>
        <w:t xml:space="preserve"> </w:t>
      </w:r>
      <w:r w:rsidR="005835D7" w:rsidRPr="006E704F">
        <w:rPr>
          <w:rFonts w:eastAsia="Times New Roman" w:cs="Tahoma"/>
          <w:bCs/>
          <w:color w:val="auto"/>
          <w:lang w:val="es-ES" w:eastAsia="es-ES"/>
        </w:rPr>
        <w:t>en los siguientes términos:</w:t>
      </w:r>
    </w:p>
    <w:p w14:paraId="32B0955E" w14:textId="77777777" w:rsidR="00AF4053" w:rsidRPr="00D10F38" w:rsidRDefault="00AF4053" w:rsidP="005729FC">
      <w:pPr>
        <w:tabs>
          <w:tab w:val="left" w:pos="4667"/>
        </w:tabs>
        <w:spacing w:after="0" w:line="360" w:lineRule="auto"/>
        <w:ind w:left="567" w:right="567"/>
        <w:contextualSpacing/>
        <w:rPr>
          <w:rFonts w:cs="Tahoma"/>
          <w:b/>
          <w:bCs/>
          <w:i/>
          <w:color w:val="FF0000"/>
          <w:sz w:val="20"/>
          <w:szCs w:val="20"/>
        </w:rPr>
      </w:pPr>
    </w:p>
    <w:p w14:paraId="18EE5CA5" w14:textId="77777777" w:rsidR="005835D7" w:rsidRPr="006E704F" w:rsidRDefault="005835D7" w:rsidP="005729FC">
      <w:pPr>
        <w:tabs>
          <w:tab w:val="left" w:pos="4667"/>
        </w:tabs>
        <w:spacing w:after="0" w:line="360" w:lineRule="auto"/>
        <w:ind w:left="567" w:right="567"/>
        <w:rPr>
          <w:b/>
          <w:i/>
          <w:iCs/>
          <w:color w:val="auto"/>
          <w:sz w:val="20"/>
          <w:szCs w:val="20"/>
        </w:rPr>
      </w:pPr>
      <w:r w:rsidRPr="006E704F">
        <w:rPr>
          <w:b/>
          <w:i/>
          <w:iCs/>
          <w:color w:val="auto"/>
          <w:sz w:val="20"/>
          <w:szCs w:val="20"/>
        </w:rPr>
        <w:t>“ACTO IMPUGNADO</w:t>
      </w:r>
    </w:p>
    <w:p w14:paraId="0B64E5B5" w14:textId="3AAD0C18" w:rsidR="005835D7" w:rsidRDefault="00A15E02" w:rsidP="005729FC">
      <w:pPr>
        <w:tabs>
          <w:tab w:val="left" w:pos="4667"/>
        </w:tabs>
        <w:spacing w:after="0" w:line="360" w:lineRule="auto"/>
        <w:ind w:left="567" w:right="567"/>
        <w:rPr>
          <w:i/>
          <w:iCs/>
          <w:color w:val="auto"/>
          <w:sz w:val="20"/>
          <w:szCs w:val="20"/>
        </w:rPr>
      </w:pPr>
      <w:r w:rsidRPr="00A15E02">
        <w:rPr>
          <w:i/>
          <w:iCs/>
          <w:color w:val="auto"/>
          <w:sz w:val="20"/>
          <w:szCs w:val="20"/>
        </w:rPr>
        <w:t>La contestación del Sujeto Obligado.</w:t>
      </w:r>
      <w:r w:rsidR="00B92D87">
        <w:rPr>
          <w:i/>
          <w:iCs/>
          <w:color w:val="auto"/>
          <w:sz w:val="20"/>
          <w:szCs w:val="20"/>
        </w:rPr>
        <w:t xml:space="preserve">” </w:t>
      </w:r>
      <w:r w:rsidR="00A56ECE">
        <w:rPr>
          <w:i/>
          <w:iCs/>
          <w:color w:val="auto"/>
          <w:sz w:val="20"/>
          <w:szCs w:val="20"/>
        </w:rPr>
        <w:t>(Sic)</w:t>
      </w:r>
    </w:p>
    <w:p w14:paraId="1646A186" w14:textId="77777777" w:rsidR="00B92D87" w:rsidRDefault="00B92D87" w:rsidP="005729FC">
      <w:pPr>
        <w:tabs>
          <w:tab w:val="left" w:pos="4667"/>
        </w:tabs>
        <w:spacing w:after="0" w:line="360" w:lineRule="auto"/>
        <w:ind w:left="567" w:right="567"/>
        <w:rPr>
          <w:i/>
          <w:iCs/>
          <w:color w:val="auto"/>
          <w:sz w:val="20"/>
          <w:szCs w:val="20"/>
        </w:rPr>
      </w:pPr>
    </w:p>
    <w:p w14:paraId="0C65A283" w14:textId="4EC820D1" w:rsidR="00A15E02" w:rsidRPr="00253936" w:rsidRDefault="00A15E02" w:rsidP="00A15E02">
      <w:pPr>
        <w:tabs>
          <w:tab w:val="left" w:pos="4667"/>
        </w:tabs>
        <w:spacing w:after="0" w:line="360" w:lineRule="auto"/>
        <w:ind w:left="567" w:right="567"/>
        <w:rPr>
          <w:b/>
          <w:i/>
          <w:iCs/>
          <w:color w:val="auto"/>
          <w:sz w:val="20"/>
          <w:szCs w:val="20"/>
        </w:rPr>
      </w:pPr>
      <w:r w:rsidRPr="00253936">
        <w:rPr>
          <w:b/>
          <w:i/>
          <w:iCs/>
          <w:color w:val="auto"/>
          <w:sz w:val="20"/>
          <w:szCs w:val="20"/>
        </w:rPr>
        <w:t>“RAZONES O MOTIVOS DE LA INCONFORMIDAD</w:t>
      </w:r>
      <w:r w:rsidRPr="00253936">
        <w:rPr>
          <w:b/>
          <w:i/>
          <w:iCs/>
          <w:color w:val="auto"/>
          <w:sz w:val="20"/>
          <w:szCs w:val="20"/>
        </w:rPr>
        <w:tab/>
      </w:r>
    </w:p>
    <w:p w14:paraId="2EAF4CB9" w14:textId="68D106AD" w:rsidR="00B92D87" w:rsidRPr="00A15E02" w:rsidRDefault="00A15E02" w:rsidP="00A15E02">
      <w:pPr>
        <w:tabs>
          <w:tab w:val="left" w:pos="4667"/>
        </w:tabs>
        <w:spacing w:after="0" w:line="360" w:lineRule="auto"/>
        <w:ind w:left="567" w:right="567"/>
        <w:rPr>
          <w:bCs/>
          <w:color w:val="auto"/>
        </w:rPr>
      </w:pPr>
      <w:r w:rsidRPr="00253936">
        <w:rPr>
          <w:bCs/>
          <w:i/>
          <w:iCs/>
          <w:color w:val="auto"/>
          <w:sz w:val="20"/>
          <w:szCs w:val="20"/>
        </w:rPr>
        <w:t xml:space="preserve">Es importante mencionar, que el documento que entrega el sujeto obligado no tiene los elementos que se requieren en la solicitud de información de peticionario. Además de ello, es sorprendente que el Titular de la Unidad de Transparencia del mencionado Sujeto Obligado, no revise lo que le envían las unidades administrativas. Así mismo, la nueva administración estatal refiere que las omisiones también se consideran actos de corrupción. Esto ya que de manera maliciosa y opaca, dan respuesta a la solicitud de información hasta el último día, siendo que dicha información es un documento, que tiene a la mano y ocupan de manera diaria, </w:t>
      </w:r>
      <w:r w:rsidRPr="00253936">
        <w:rPr>
          <w:bCs/>
          <w:i/>
          <w:iCs/>
          <w:color w:val="auto"/>
          <w:sz w:val="20"/>
          <w:szCs w:val="20"/>
          <w:u w:val="single"/>
        </w:rPr>
        <w:t>ocultando la información de los números telefónicos y correos electrónicos, los cuales al ser auxiliares de la administración publica</w:t>
      </w:r>
      <w:r w:rsidRPr="00253936">
        <w:rPr>
          <w:bCs/>
          <w:i/>
          <w:iCs/>
          <w:color w:val="auto"/>
          <w:sz w:val="20"/>
          <w:szCs w:val="20"/>
        </w:rPr>
        <w:t>, dicha información</w:t>
      </w:r>
      <w:r w:rsidRPr="00253936">
        <w:rPr>
          <w:b/>
          <w:i/>
          <w:iCs/>
          <w:color w:val="auto"/>
          <w:sz w:val="20"/>
          <w:szCs w:val="20"/>
        </w:rPr>
        <w:t xml:space="preserve"> </w:t>
      </w:r>
      <w:r w:rsidRPr="00253936">
        <w:rPr>
          <w:bCs/>
          <w:i/>
          <w:iCs/>
          <w:color w:val="auto"/>
          <w:sz w:val="20"/>
          <w:szCs w:val="20"/>
        </w:rPr>
        <w:t xml:space="preserve">debe </w:t>
      </w:r>
      <w:r w:rsidRPr="00253936">
        <w:rPr>
          <w:bCs/>
          <w:i/>
          <w:iCs/>
          <w:color w:val="auto"/>
          <w:sz w:val="20"/>
          <w:szCs w:val="20"/>
        </w:rPr>
        <w:lastRenderedPageBreak/>
        <w:t xml:space="preserve">estar de acceso a la sociedad civil. Por lo anterior, me permito exigir que sea entregada la </w:t>
      </w:r>
      <w:proofErr w:type="spellStart"/>
      <w:r w:rsidRPr="00253936">
        <w:rPr>
          <w:bCs/>
          <w:i/>
          <w:iCs/>
          <w:color w:val="auto"/>
          <w:sz w:val="20"/>
          <w:szCs w:val="20"/>
        </w:rPr>
        <w:t>ñinformación</w:t>
      </w:r>
      <w:proofErr w:type="spellEnd"/>
      <w:r w:rsidRPr="00253936">
        <w:rPr>
          <w:bCs/>
          <w:i/>
          <w:iCs/>
          <w:color w:val="auto"/>
          <w:sz w:val="20"/>
          <w:szCs w:val="20"/>
        </w:rPr>
        <w:t xml:space="preserve"> solicita.” </w:t>
      </w:r>
      <w:r w:rsidRPr="00253936">
        <w:rPr>
          <w:bCs/>
          <w:color w:val="auto"/>
          <w:sz w:val="20"/>
          <w:szCs w:val="20"/>
        </w:rPr>
        <w:t>(Sic)</w:t>
      </w:r>
    </w:p>
    <w:p w14:paraId="693D15A5" w14:textId="77777777" w:rsidR="00A15E02" w:rsidRDefault="00A15E02" w:rsidP="005729FC">
      <w:pPr>
        <w:spacing w:after="0" w:line="360" w:lineRule="auto"/>
        <w:rPr>
          <w:b/>
          <w:color w:val="auto"/>
        </w:rPr>
      </w:pPr>
    </w:p>
    <w:p w14:paraId="5CD0FCF6" w14:textId="30EF592E" w:rsidR="00C853D1" w:rsidRPr="00566D02" w:rsidRDefault="00C853D1" w:rsidP="005729FC">
      <w:pPr>
        <w:spacing w:after="0" w:line="360" w:lineRule="auto"/>
        <w:rPr>
          <w:b/>
          <w:bCs/>
          <w:color w:val="auto"/>
        </w:rPr>
      </w:pPr>
      <w:r w:rsidRPr="00566D02">
        <w:rPr>
          <w:b/>
          <w:color w:val="auto"/>
        </w:rPr>
        <w:t xml:space="preserve">V. </w:t>
      </w:r>
      <w:r w:rsidRPr="00566D02">
        <w:rPr>
          <w:b/>
          <w:bCs/>
          <w:color w:val="auto"/>
        </w:rPr>
        <w:t xml:space="preserve">Trámite del </w:t>
      </w:r>
      <w:r w:rsidRPr="00566D02">
        <w:rPr>
          <w:b/>
          <w:color w:val="auto"/>
        </w:rPr>
        <w:t xml:space="preserve">Recurso de Revisión </w:t>
      </w:r>
      <w:r w:rsidR="00622459" w:rsidRPr="00566D02">
        <w:rPr>
          <w:b/>
          <w:bCs/>
          <w:color w:val="auto"/>
        </w:rPr>
        <w:t>ante este Instituto</w:t>
      </w:r>
    </w:p>
    <w:p w14:paraId="58854E98" w14:textId="77777777" w:rsidR="00C853D1" w:rsidRPr="00D10F38" w:rsidRDefault="00C853D1" w:rsidP="005729FC">
      <w:pPr>
        <w:spacing w:after="0" w:line="360" w:lineRule="auto"/>
        <w:rPr>
          <w:b/>
          <w:bCs/>
          <w:color w:val="FF0000"/>
        </w:rPr>
      </w:pPr>
    </w:p>
    <w:p w14:paraId="60E562FA" w14:textId="4AABC5F7" w:rsidR="00AD2C04" w:rsidRPr="00B67E46" w:rsidRDefault="00B67E46" w:rsidP="005729FC">
      <w:pPr>
        <w:spacing w:after="0" w:line="360" w:lineRule="auto"/>
        <w:rPr>
          <w:bCs/>
          <w:color w:val="auto"/>
        </w:rPr>
      </w:pPr>
      <w:r>
        <w:rPr>
          <w:b/>
          <w:bCs/>
          <w:color w:val="auto"/>
        </w:rPr>
        <w:t xml:space="preserve">a) </w:t>
      </w:r>
      <w:r w:rsidR="00C853D1" w:rsidRPr="00B67E46">
        <w:rPr>
          <w:b/>
          <w:bCs/>
          <w:color w:val="auto"/>
        </w:rPr>
        <w:t xml:space="preserve">Turno del Medio de Impugnación. </w:t>
      </w:r>
      <w:r w:rsidR="00C853D1" w:rsidRPr="00B67E46">
        <w:rPr>
          <w:bCs/>
          <w:color w:val="auto"/>
        </w:rPr>
        <w:t xml:space="preserve">El </w:t>
      </w:r>
      <w:r w:rsidR="00A15E02" w:rsidRPr="00A15E02">
        <w:rPr>
          <w:bCs/>
          <w:color w:val="auto"/>
        </w:rPr>
        <w:t>diecisiete de septiembre  de dos mil veinticuatro</w:t>
      </w:r>
      <w:r w:rsidR="00C853D1" w:rsidRPr="00B67E46">
        <w:rPr>
          <w:bCs/>
          <w:color w:val="auto"/>
        </w:rPr>
        <w:t xml:space="preserve">, el </w:t>
      </w:r>
      <w:r w:rsidR="00C853D1" w:rsidRPr="00B67E46">
        <w:rPr>
          <w:color w:val="auto"/>
          <w:lang w:val="es-ES"/>
        </w:rPr>
        <w:t>Sistema de Acceso a la Información Mexiquense (SAIMEX),</w:t>
      </w:r>
      <w:r w:rsidR="00C853D1" w:rsidRPr="00B67E46">
        <w:rPr>
          <w:bCs/>
          <w:color w:val="auto"/>
        </w:rPr>
        <w:t xml:space="preserve"> asignó el número de expediente </w:t>
      </w:r>
      <w:r w:rsidR="00424C3F" w:rsidRPr="00424C3F">
        <w:rPr>
          <w:b/>
          <w:bCs/>
          <w:color w:val="auto"/>
        </w:rPr>
        <w:t>0</w:t>
      </w:r>
      <w:r w:rsidR="00A15E02">
        <w:rPr>
          <w:b/>
          <w:bCs/>
          <w:color w:val="auto"/>
        </w:rPr>
        <w:t>5661</w:t>
      </w:r>
      <w:r w:rsidR="00424C3F" w:rsidRPr="00424C3F">
        <w:rPr>
          <w:b/>
          <w:bCs/>
          <w:color w:val="auto"/>
        </w:rPr>
        <w:t>/INFOEM/IP/RR/2024</w:t>
      </w:r>
      <w:r w:rsidR="00C853D1" w:rsidRPr="00B67E46">
        <w:rPr>
          <w:bCs/>
          <w:color w:val="auto"/>
        </w:rPr>
        <w:t>, al medio de impugnación que nos ocupa, con base en el sistema aprobado por el Pleno de este Órgano Garante y lo turnó al Comisionado Ponente Luis Gustavo Parra Noriega, para los efectos del artículo 185, fracción I de la Ley de Transparencia y Acceso a la Información Pública del Estado de México y Municipios.</w:t>
      </w:r>
    </w:p>
    <w:p w14:paraId="309E8674" w14:textId="0E085B5A" w:rsidR="00566D02" w:rsidRPr="00417D41" w:rsidRDefault="00566D02" w:rsidP="005729FC">
      <w:pPr>
        <w:spacing w:after="0" w:line="360" w:lineRule="auto"/>
        <w:ind w:left="360"/>
        <w:rPr>
          <w:b/>
          <w:bCs/>
          <w:color w:val="FF0000"/>
        </w:rPr>
      </w:pPr>
    </w:p>
    <w:p w14:paraId="03479276" w14:textId="1EE628F8" w:rsidR="00C853D1" w:rsidRPr="00417D41" w:rsidRDefault="00C853D1" w:rsidP="005729FC">
      <w:pPr>
        <w:spacing w:after="0" w:line="360" w:lineRule="auto"/>
        <w:rPr>
          <w:color w:val="auto"/>
        </w:rPr>
      </w:pPr>
      <w:r w:rsidRPr="00417D41">
        <w:rPr>
          <w:b/>
          <w:bCs/>
          <w:color w:val="auto"/>
        </w:rPr>
        <w:t>b) Admisión del Recurso de Revisión</w:t>
      </w:r>
      <w:r w:rsidRPr="00417D41">
        <w:rPr>
          <w:b/>
          <w:bCs/>
          <w:color w:val="auto"/>
          <w:lang w:val="es-ES_tradnl"/>
        </w:rPr>
        <w:t xml:space="preserve">. </w:t>
      </w:r>
      <w:r w:rsidRPr="00417D41">
        <w:rPr>
          <w:bCs/>
          <w:color w:val="auto"/>
          <w:lang w:val="es-ES_tradnl"/>
        </w:rPr>
        <w:t>El</w:t>
      </w:r>
      <w:r w:rsidR="005835D7" w:rsidRPr="00417D41">
        <w:rPr>
          <w:bCs/>
          <w:color w:val="auto"/>
          <w:lang w:val="es-ES_tradnl"/>
        </w:rPr>
        <w:t xml:space="preserve"> </w:t>
      </w:r>
      <w:r w:rsidR="00A15E02">
        <w:rPr>
          <w:rFonts w:eastAsia="Times New Roman" w:cs="Tahoma"/>
          <w:bCs/>
          <w:color w:val="auto"/>
          <w:lang w:val="es-ES_tradnl" w:eastAsia="es-ES"/>
        </w:rPr>
        <w:t>veinte de septiembre</w:t>
      </w:r>
      <w:r w:rsidR="00B92D87" w:rsidRPr="00B92D87">
        <w:rPr>
          <w:rFonts w:eastAsia="Times New Roman" w:cs="Tahoma"/>
          <w:bCs/>
          <w:color w:val="auto"/>
          <w:lang w:val="es-ES_tradnl" w:eastAsia="es-ES"/>
        </w:rPr>
        <w:t xml:space="preserve"> de dos mil veinticuatro</w:t>
      </w:r>
      <w:r w:rsidRPr="00417D41">
        <w:rPr>
          <w:bCs/>
          <w:color w:val="auto"/>
          <w:lang w:val="es-ES_tradnl"/>
        </w:rPr>
        <w:t xml:space="preserve">, se acordó la admisión del Recurso de Revisión interpuesto por el Recurrente en contra del Sujeto Obligado, en términos del artículo 185, fracciones I y II de la Ley de Transparencia y Acceso a la Información Pública del Estado de México y Municipios, el cual fue notificado a las partes el </w:t>
      </w:r>
      <w:r w:rsidR="00417D41" w:rsidRPr="00417D41">
        <w:rPr>
          <w:bCs/>
          <w:color w:val="auto"/>
          <w:lang w:val="es-ES_tradnl"/>
        </w:rPr>
        <w:t>veintiocho</w:t>
      </w:r>
      <w:r w:rsidR="00034DB8" w:rsidRPr="00417D41">
        <w:rPr>
          <w:bCs/>
          <w:color w:val="auto"/>
          <w:lang w:val="es-ES_tradnl"/>
        </w:rPr>
        <w:t xml:space="preserve"> de dicho mes y año</w:t>
      </w:r>
      <w:r w:rsidRPr="00417D41">
        <w:rPr>
          <w:bCs/>
          <w:color w:val="auto"/>
          <w:lang w:val="es-ES_tradnl"/>
        </w:rPr>
        <w:t>, a través del Sistema de Acceso a la Información Mexiquense (SAIMEX), en el que se les otorgó un plazo de siete días hábiles posteriores a la misma, para que manifestaran lo que a su derecho conviniera y formularan alegatos.</w:t>
      </w:r>
    </w:p>
    <w:p w14:paraId="13AC1A45" w14:textId="77777777" w:rsidR="00AF0946" w:rsidRPr="00D10F38" w:rsidRDefault="00AF0946" w:rsidP="005729FC">
      <w:pPr>
        <w:spacing w:after="0" w:line="360" w:lineRule="auto"/>
        <w:rPr>
          <w:b/>
          <w:color w:val="FF0000"/>
        </w:rPr>
      </w:pPr>
    </w:p>
    <w:p w14:paraId="45E57092" w14:textId="56DB1FC1" w:rsidR="00AF4053" w:rsidRDefault="002408C5" w:rsidP="005729FC">
      <w:pPr>
        <w:spacing w:after="0" w:line="360" w:lineRule="auto"/>
        <w:rPr>
          <w:rFonts w:cs="Tahoma"/>
          <w:color w:val="auto"/>
          <w:lang w:val="es-ES_tradnl"/>
        </w:rPr>
      </w:pPr>
      <w:r w:rsidRPr="00123E35">
        <w:rPr>
          <w:b/>
          <w:color w:val="auto"/>
        </w:rPr>
        <w:t>c</w:t>
      </w:r>
      <w:r w:rsidR="00C853D1" w:rsidRPr="00123E35">
        <w:rPr>
          <w:b/>
          <w:color w:val="auto"/>
        </w:rPr>
        <w:t xml:space="preserve">) Informe Justificado. </w:t>
      </w:r>
      <w:r w:rsidR="00A35A99">
        <w:rPr>
          <w:bCs/>
          <w:color w:val="auto"/>
        </w:rPr>
        <w:t xml:space="preserve">El </w:t>
      </w:r>
      <w:r w:rsidR="00A15E02">
        <w:rPr>
          <w:bCs/>
          <w:color w:val="auto"/>
        </w:rPr>
        <w:t>veintiséis de septiembre</w:t>
      </w:r>
      <w:r w:rsidR="00A35A99">
        <w:rPr>
          <w:bCs/>
          <w:color w:val="auto"/>
        </w:rPr>
        <w:t xml:space="preserve"> </w:t>
      </w:r>
      <w:r w:rsidR="00B92D87">
        <w:rPr>
          <w:bCs/>
          <w:color w:val="auto"/>
        </w:rPr>
        <w:t>de dos mil veinticuatro</w:t>
      </w:r>
      <w:r w:rsidR="00BB650D" w:rsidRPr="00123E35">
        <w:rPr>
          <w:bCs/>
          <w:color w:val="auto"/>
        </w:rPr>
        <w:t xml:space="preserve">, </w:t>
      </w:r>
      <w:r w:rsidR="00210F79" w:rsidRPr="00123E35">
        <w:rPr>
          <w:rFonts w:cs="Tahoma"/>
          <w:color w:val="auto"/>
          <w:lang w:val="es-ES_tradnl"/>
        </w:rPr>
        <w:t xml:space="preserve">se recibió, a través del Sistema de Acceso a la Información Mexiquense (SAIMEX), el Informe Justificado del Sujeto Obligado, </w:t>
      </w:r>
      <w:r w:rsidR="00A15E02">
        <w:rPr>
          <w:rFonts w:cs="Tahoma"/>
          <w:color w:val="auto"/>
          <w:lang w:val="es-ES_tradnl"/>
        </w:rPr>
        <w:t xml:space="preserve">donde </w:t>
      </w:r>
      <w:r w:rsidR="00E36C81">
        <w:rPr>
          <w:rFonts w:cs="Tahoma"/>
          <w:color w:val="auto"/>
          <w:lang w:val="es-ES_tradnl"/>
        </w:rPr>
        <w:t>amplió</w:t>
      </w:r>
      <w:r w:rsidR="00A15E02">
        <w:rPr>
          <w:rFonts w:cs="Tahoma"/>
          <w:color w:val="auto"/>
          <w:lang w:val="es-ES_tradnl"/>
        </w:rPr>
        <w:t xml:space="preserve"> su respuesta</w:t>
      </w:r>
      <w:r w:rsidR="004E335A">
        <w:rPr>
          <w:rFonts w:cs="Tahoma"/>
          <w:color w:val="auto"/>
          <w:lang w:val="es-ES_tradnl"/>
        </w:rPr>
        <w:t>,</w:t>
      </w:r>
      <w:r w:rsidR="00E36C81">
        <w:rPr>
          <w:rFonts w:cs="Tahoma"/>
          <w:color w:val="auto"/>
          <w:lang w:val="es-ES_tradnl"/>
        </w:rPr>
        <w:t xml:space="preserve"> refiriendo que </w:t>
      </w:r>
      <w:r w:rsidR="00E36C81" w:rsidRPr="00E36C81">
        <w:rPr>
          <w:rFonts w:cs="Tahoma"/>
          <w:color w:val="auto"/>
          <w:lang w:val="es-ES_tradnl"/>
        </w:rPr>
        <w:t>no cuenta con los teléfonos y correos electrónicos de las autoridades</w:t>
      </w:r>
      <w:r w:rsidR="00E36C81">
        <w:rPr>
          <w:rFonts w:cs="Tahoma"/>
          <w:color w:val="auto"/>
          <w:lang w:val="es-ES_tradnl"/>
        </w:rPr>
        <w:t xml:space="preserve"> </w:t>
      </w:r>
      <w:r w:rsidR="00E36C81" w:rsidRPr="00E36C81">
        <w:rPr>
          <w:rFonts w:cs="Tahoma"/>
          <w:color w:val="auto"/>
          <w:lang w:val="es-ES_tradnl"/>
        </w:rPr>
        <w:t>auxiliares, toda vez que esa información no la genera, no la resguarda, ni administra</w:t>
      </w:r>
      <w:r w:rsidR="00E36C81">
        <w:rPr>
          <w:rFonts w:cs="Tahoma"/>
          <w:color w:val="auto"/>
          <w:lang w:val="es-ES_tradnl"/>
        </w:rPr>
        <w:t>. Dicho informe f</w:t>
      </w:r>
      <w:r w:rsidR="004E335A">
        <w:rPr>
          <w:rFonts w:cs="Tahoma"/>
          <w:color w:val="auto"/>
          <w:lang w:val="es-ES_tradnl"/>
        </w:rPr>
        <w:t>ue puesto a la vista de la parte Recurrente el dieciséis de octubre de dos mil veinticuatro.</w:t>
      </w:r>
      <w:r w:rsidR="00E36C81">
        <w:rPr>
          <w:rFonts w:cs="Tahoma"/>
          <w:color w:val="auto"/>
          <w:lang w:val="es-ES_tradnl"/>
        </w:rPr>
        <w:t xml:space="preserve"> Por su parte, la Recurrente omitió realizar manifestación alguna vía alegatos.</w:t>
      </w:r>
    </w:p>
    <w:p w14:paraId="4E3341A8" w14:textId="77777777" w:rsidR="004E335A" w:rsidRPr="00123E35" w:rsidRDefault="004E335A" w:rsidP="005729FC">
      <w:pPr>
        <w:spacing w:after="0" w:line="360" w:lineRule="auto"/>
        <w:rPr>
          <w:rFonts w:cs="Tahoma"/>
          <w:color w:val="auto"/>
          <w:lang w:val="es-ES_tradnl"/>
        </w:rPr>
      </w:pPr>
    </w:p>
    <w:p w14:paraId="39328222" w14:textId="7AC1F53D" w:rsidR="004548CD" w:rsidRPr="009F3861" w:rsidRDefault="004E335A" w:rsidP="005729FC">
      <w:pPr>
        <w:spacing w:after="0" w:line="360" w:lineRule="auto"/>
        <w:rPr>
          <w:rFonts w:eastAsia="Palatino Linotype" w:cs="Palatino Linotype"/>
          <w:b/>
          <w:bCs/>
          <w:color w:val="auto"/>
        </w:rPr>
      </w:pPr>
      <w:r>
        <w:rPr>
          <w:rFonts w:eastAsia="Times New Roman" w:cs="Tahoma"/>
          <w:b/>
          <w:color w:val="auto"/>
          <w:szCs w:val="24"/>
          <w:lang w:eastAsia="es-ES"/>
        </w:rPr>
        <w:lastRenderedPageBreak/>
        <w:t>d</w:t>
      </w:r>
      <w:r w:rsidR="004548CD" w:rsidRPr="009F3861">
        <w:rPr>
          <w:rFonts w:eastAsia="Times New Roman" w:cs="Tahoma"/>
          <w:b/>
          <w:color w:val="auto"/>
          <w:szCs w:val="24"/>
          <w:lang w:eastAsia="es-ES"/>
        </w:rPr>
        <w:t>) Cierre de instrucción.</w:t>
      </w:r>
      <w:r w:rsidR="004548CD" w:rsidRPr="009F3861">
        <w:rPr>
          <w:rFonts w:eastAsia="Times New Roman" w:cs="Tahoma"/>
          <w:color w:val="auto"/>
          <w:szCs w:val="24"/>
          <w:lang w:eastAsia="es-ES"/>
        </w:rPr>
        <w:t xml:space="preserve"> El</w:t>
      </w:r>
      <w:r w:rsidR="00843AB9" w:rsidRPr="009F3861">
        <w:rPr>
          <w:rFonts w:eastAsia="Times New Roman" w:cs="Tahoma"/>
          <w:color w:val="auto"/>
          <w:szCs w:val="24"/>
          <w:lang w:eastAsia="es-ES"/>
        </w:rPr>
        <w:t xml:space="preserve"> </w:t>
      </w:r>
      <w:r>
        <w:rPr>
          <w:rFonts w:eastAsia="Times New Roman" w:cs="Tahoma"/>
          <w:color w:val="auto"/>
          <w:szCs w:val="24"/>
          <w:lang w:eastAsia="es-ES"/>
        </w:rPr>
        <w:t>veintidós de octubre</w:t>
      </w:r>
      <w:r w:rsidR="008D10DE" w:rsidRPr="009F3861">
        <w:rPr>
          <w:rFonts w:eastAsia="Times New Roman" w:cs="Tahoma"/>
          <w:color w:val="auto"/>
          <w:szCs w:val="24"/>
          <w:lang w:eastAsia="es-ES"/>
        </w:rPr>
        <w:t xml:space="preserve"> de dos mil </w:t>
      </w:r>
      <w:r w:rsidR="006E5A93" w:rsidRPr="009F3861">
        <w:rPr>
          <w:rFonts w:eastAsia="Times New Roman" w:cs="Tahoma"/>
          <w:color w:val="auto"/>
          <w:szCs w:val="24"/>
          <w:lang w:eastAsia="es-ES"/>
        </w:rPr>
        <w:t>veinti</w:t>
      </w:r>
      <w:r w:rsidR="009265C9" w:rsidRPr="009F3861">
        <w:rPr>
          <w:rFonts w:eastAsia="Times New Roman" w:cs="Tahoma"/>
          <w:color w:val="auto"/>
          <w:szCs w:val="24"/>
          <w:lang w:eastAsia="es-ES"/>
        </w:rPr>
        <w:t>cuatro</w:t>
      </w:r>
      <w:r w:rsidR="004548CD" w:rsidRPr="009F3861">
        <w:rPr>
          <w:rFonts w:eastAsia="Times New Roman" w:cs="Tahoma"/>
          <w:color w:val="auto"/>
          <w:szCs w:val="24"/>
          <w:lang w:eastAsia="es-ES"/>
        </w:rPr>
        <w:t xml:space="preserve">, al no existir diligencias pendientes por desahogar, se emitió el acuerdo por medio del cual se declaró cerrada la instrucción y se determinó pasar los expedientes a resolución, en términos de lo dispuesto en los artículos 185, fracciones VI y VIII, de la Ley de Transparencia y Acceso a la Información Pública del Estado de México y Municipios, </w:t>
      </w:r>
      <w:r w:rsidR="004548CD" w:rsidRPr="009F3861">
        <w:rPr>
          <w:rFonts w:eastAsia="Palatino Linotype" w:cs="Palatino Linotype"/>
          <w:color w:val="auto"/>
          <w:lang w:val="es-ES"/>
        </w:rPr>
        <w:t xml:space="preserve">acto que fue notificado a las partes, mediante el Sistema de Acceso a la </w:t>
      </w:r>
      <w:r w:rsidR="003C592A">
        <w:rPr>
          <w:rFonts w:eastAsia="Palatino Linotype" w:cs="Palatino Linotype"/>
          <w:color w:val="auto"/>
          <w:lang w:val="es-ES"/>
        </w:rPr>
        <w:t>Información Mexiquense (SAIMEX).</w:t>
      </w:r>
    </w:p>
    <w:p w14:paraId="61B73302" w14:textId="77777777" w:rsidR="004548CD" w:rsidRPr="009F3861" w:rsidRDefault="004548CD" w:rsidP="005729FC">
      <w:pPr>
        <w:spacing w:after="0" w:line="360" w:lineRule="auto"/>
        <w:rPr>
          <w:rFonts w:eastAsia="Times New Roman" w:cs="Tahoma"/>
          <w:color w:val="auto"/>
          <w:szCs w:val="24"/>
          <w:lang w:eastAsia="es-ES"/>
        </w:rPr>
      </w:pPr>
    </w:p>
    <w:p w14:paraId="5795BBB6" w14:textId="77777777" w:rsidR="00C853D1" w:rsidRPr="009F3861" w:rsidRDefault="00C853D1" w:rsidP="005729FC">
      <w:pPr>
        <w:spacing w:after="0" w:line="360" w:lineRule="auto"/>
        <w:rPr>
          <w:rFonts w:eastAsia="Times New Roman" w:cs="Tahoma"/>
          <w:color w:val="auto"/>
          <w:szCs w:val="24"/>
          <w:lang w:eastAsia="es-ES"/>
        </w:rPr>
      </w:pPr>
      <w:r w:rsidRPr="009F3861">
        <w:rPr>
          <w:rFonts w:eastAsia="Times New Roman" w:cs="Tahoma"/>
          <w:color w:val="auto"/>
          <w:szCs w:val="24"/>
          <w:lang w:eastAsia="es-ES"/>
        </w:rPr>
        <w:t xml:space="preserve">En razón de que fue debidamente sustanciado e integrado el expediente electrónico y no existe diligencia pendiente de desahogo, se emite la resolución que conforme a Derecho proceda, de acuerdo a los siguientes: </w:t>
      </w:r>
    </w:p>
    <w:p w14:paraId="264F2B95" w14:textId="77777777" w:rsidR="00C853D1" w:rsidRPr="009F3861" w:rsidRDefault="00C853D1" w:rsidP="005729FC">
      <w:pPr>
        <w:spacing w:after="0" w:line="360" w:lineRule="auto"/>
        <w:rPr>
          <w:rFonts w:eastAsia="Times New Roman" w:cs="Tahoma"/>
          <w:bCs/>
          <w:iCs/>
          <w:color w:val="auto"/>
          <w:lang w:val="es-ES" w:eastAsia="es-ES"/>
        </w:rPr>
      </w:pPr>
    </w:p>
    <w:p w14:paraId="4647AD46" w14:textId="4B9DBE28" w:rsidR="00C853D1" w:rsidRPr="009F3861" w:rsidRDefault="00AD07F2" w:rsidP="005729FC">
      <w:pPr>
        <w:spacing w:after="0" w:line="360" w:lineRule="auto"/>
        <w:jc w:val="center"/>
        <w:rPr>
          <w:rFonts w:eastAsia="Times New Roman" w:cs="Tahoma"/>
          <w:b/>
          <w:color w:val="auto"/>
          <w:lang w:val="es-ES" w:eastAsia="es-ES"/>
        </w:rPr>
      </w:pPr>
      <w:r>
        <w:rPr>
          <w:rFonts w:eastAsia="Times New Roman" w:cs="Tahoma"/>
          <w:b/>
          <w:color w:val="auto"/>
          <w:lang w:val="es-ES" w:eastAsia="es-ES"/>
        </w:rPr>
        <w:t>C O N S I D E R A N D O S</w:t>
      </w:r>
    </w:p>
    <w:p w14:paraId="46CF2E78" w14:textId="77777777" w:rsidR="00C853D1" w:rsidRPr="009F3861" w:rsidRDefault="00C853D1" w:rsidP="005729FC">
      <w:pPr>
        <w:spacing w:after="0" w:line="360" w:lineRule="auto"/>
        <w:rPr>
          <w:b/>
          <w:color w:val="auto"/>
        </w:rPr>
      </w:pPr>
    </w:p>
    <w:p w14:paraId="15369BD8" w14:textId="07488226" w:rsidR="00C853D1" w:rsidRPr="00E663DA" w:rsidRDefault="00C853D1" w:rsidP="005729FC">
      <w:pPr>
        <w:autoSpaceDE w:val="0"/>
        <w:autoSpaceDN w:val="0"/>
        <w:adjustRightInd w:val="0"/>
        <w:spacing w:after="0" w:line="360" w:lineRule="auto"/>
        <w:rPr>
          <w:rFonts w:eastAsia="Times New Roman" w:cs="Tahoma"/>
          <w:b/>
          <w:color w:val="auto"/>
          <w:szCs w:val="24"/>
          <w:lang w:val="es-ES" w:eastAsia="es-ES"/>
        </w:rPr>
      </w:pPr>
      <w:r w:rsidRPr="00E663DA">
        <w:rPr>
          <w:rFonts w:eastAsia="Calibri" w:cs="Tahoma"/>
          <w:b/>
          <w:color w:val="auto"/>
          <w:szCs w:val="24"/>
          <w:lang w:val="es-ES" w:eastAsia="es-MX"/>
        </w:rPr>
        <w:t>PRIMERO</w:t>
      </w:r>
      <w:r w:rsidRPr="00E663DA">
        <w:rPr>
          <w:rFonts w:eastAsia="Calibri" w:cs="Tahoma"/>
          <w:color w:val="auto"/>
          <w:szCs w:val="24"/>
          <w:lang w:val="es-ES" w:eastAsia="es-MX"/>
        </w:rPr>
        <w:t xml:space="preserve">. </w:t>
      </w:r>
      <w:r w:rsidRPr="00E663DA">
        <w:rPr>
          <w:rFonts w:eastAsia="Times New Roman" w:cs="Tahoma"/>
          <w:b/>
          <w:color w:val="auto"/>
          <w:szCs w:val="24"/>
          <w:lang w:val="es-ES" w:eastAsia="es-ES"/>
        </w:rPr>
        <w:t>Compe</w:t>
      </w:r>
      <w:r w:rsidR="00622459" w:rsidRPr="00E663DA">
        <w:rPr>
          <w:rFonts w:eastAsia="Times New Roman" w:cs="Tahoma"/>
          <w:b/>
          <w:color w:val="auto"/>
          <w:szCs w:val="24"/>
          <w:lang w:val="es-ES" w:eastAsia="es-ES"/>
        </w:rPr>
        <w:t>tencia</w:t>
      </w:r>
    </w:p>
    <w:p w14:paraId="6B0576AC" w14:textId="77777777" w:rsidR="00C853D1" w:rsidRPr="00E663DA" w:rsidRDefault="00C853D1" w:rsidP="005729FC">
      <w:pPr>
        <w:autoSpaceDE w:val="0"/>
        <w:autoSpaceDN w:val="0"/>
        <w:adjustRightInd w:val="0"/>
        <w:spacing w:after="0" w:line="360" w:lineRule="auto"/>
        <w:rPr>
          <w:rFonts w:eastAsia="Times New Roman" w:cs="Tahoma"/>
          <w:b/>
          <w:color w:val="auto"/>
          <w:szCs w:val="24"/>
          <w:lang w:val="es-ES" w:eastAsia="es-ES"/>
        </w:rPr>
      </w:pPr>
    </w:p>
    <w:p w14:paraId="4BA69015" w14:textId="4B99D1D9" w:rsidR="00C853D1" w:rsidRDefault="00C853D1" w:rsidP="005729FC">
      <w:pPr>
        <w:spacing w:after="0" w:line="360" w:lineRule="auto"/>
        <w:rPr>
          <w:rFonts w:eastAsia="Times New Roman" w:cs="Tahoma"/>
          <w:bCs/>
          <w:color w:val="auto"/>
          <w:lang w:eastAsia="es-ES"/>
        </w:rPr>
      </w:pPr>
      <w:r w:rsidRPr="00E663DA">
        <w:rPr>
          <w:rFonts w:eastAsia="Times New Roman" w:cs="Tahoma"/>
          <w:bCs/>
          <w:color w:val="auto"/>
          <w:lang w:eastAsia="es-ES"/>
        </w:rPr>
        <w:t>El Instituto de Transparencia, Acceso a la Información Pública y Protección de Datos Personales del Estado de México y Municipios, es competente para conocer y resolver el presente recurso de revisión interpuesto por la parte recurrente, conforme a lo dispuesto en los artículos 6°, apartado A, de la Constitución Política de los Estados Unidos Mexicanos; 5°, párrafos</w:t>
      </w:r>
      <w:r w:rsidR="00EB0056" w:rsidRPr="00E663DA">
        <w:rPr>
          <w:rFonts w:eastAsia="Times New Roman" w:cs="Tahoma"/>
          <w:bCs/>
          <w:color w:val="auto"/>
          <w:lang w:eastAsia="es-ES"/>
        </w:rPr>
        <w:t xml:space="preserve"> trigésimo segundo, trigésimo tercero y trigésimo cuarto</w:t>
      </w:r>
      <w:r w:rsidRPr="00E663DA">
        <w:rPr>
          <w:rFonts w:eastAsia="Times New Roman" w:cs="Tahoma"/>
          <w:bCs/>
          <w:color w:val="auto"/>
          <w:lang w:eastAsia="es-ES"/>
        </w:rPr>
        <w:t>, fracciones I, II, III, IV y V de la Constitución Política del Estado Libre y Soberano de México; 1°, 8°, 9°, 10, 37 y 42, fracciones I, II y III, de la Ley General de Transparencia y Acceso a la Información Pública; 1°, 2°, fracciones II y IV; 13, 29, 36, fracciones I y II; 176, 178, 179, 181 párrafo tercero, 185, 188 y 189 de la Ley Transparencia y Acceso a la Información Pública del Estado de México y Municipios;</w:t>
      </w:r>
      <w:r w:rsidRPr="00E663DA">
        <w:rPr>
          <w:rFonts w:eastAsia="Times New Roman" w:cs="Times New Roman"/>
          <w:bCs/>
          <w:color w:val="auto"/>
          <w:lang w:eastAsia="es-ES"/>
        </w:rPr>
        <w:t xml:space="preserve"> 7°, </w:t>
      </w:r>
      <w:r w:rsidRPr="00E663DA">
        <w:rPr>
          <w:rFonts w:eastAsia="Times New Roman" w:cs="Tahoma"/>
          <w:bCs/>
          <w:color w:val="auto"/>
          <w:lang w:eastAsia="es-ES"/>
        </w:rPr>
        <w:t>9°, fracciones I y XX</w:t>
      </w:r>
      <w:r w:rsidR="00EB0056" w:rsidRPr="00E663DA">
        <w:rPr>
          <w:rFonts w:eastAsia="Times New Roman" w:cs="Tahoma"/>
          <w:bCs/>
          <w:color w:val="auto"/>
          <w:lang w:eastAsia="es-ES"/>
        </w:rPr>
        <w:t>III</w:t>
      </w:r>
      <w:r w:rsidRPr="00E663DA">
        <w:rPr>
          <w:rFonts w:eastAsia="Times New Roman" w:cs="Tahoma"/>
          <w:bCs/>
          <w:color w:val="auto"/>
          <w:lang w:eastAsia="es-ES"/>
        </w:rPr>
        <w:t xml:space="preserve"> y 11 del Reglamento Interior del Instituto de Transparencia, Acceso a la Información Pública y Protección de Datos Personales del Estado de México y Municipios.</w:t>
      </w:r>
    </w:p>
    <w:p w14:paraId="5A155175" w14:textId="77777777" w:rsidR="00253936" w:rsidRDefault="00253936" w:rsidP="005729FC">
      <w:pPr>
        <w:spacing w:after="0" w:line="360" w:lineRule="auto"/>
        <w:rPr>
          <w:rFonts w:eastAsia="Times New Roman" w:cs="Tahoma"/>
          <w:bCs/>
          <w:color w:val="auto"/>
          <w:lang w:eastAsia="es-ES"/>
        </w:rPr>
      </w:pPr>
    </w:p>
    <w:p w14:paraId="3959A033" w14:textId="77777777" w:rsidR="000D1C95" w:rsidRPr="00E663DA" w:rsidRDefault="000D1C95" w:rsidP="005729FC">
      <w:pPr>
        <w:spacing w:after="0" w:line="360" w:lineRule="auto"/>
        <w:rPr>
          <w:rFonts w:eastAsia="Times New Roman" w:cs="Tahoma"/>
          <w:bCs/>
          <w:color w:val="auto"/>
          <w:lang w:eastAsia="es-ES"/>
        </w:rPr>
      </w:pPr>
    </w:p>
    <w:p w14:paraId="32A2E9B1" w14:textId="77777777" w:rsidR="009E0AC6" w:rsidRPr="006A776F" w:rsidRDefault="009E0AC6" w:rsidP="009E0AC6">
      <w:pPr>
        <w:autoSpaceDE w:val="0"/>
        <w:autoSpaceDN w:val="0"/>
        <w:adjustRightInd w:val="0"/>
        <w:spacing w:after="0" w:line="360" w:lineRule="auto"/>
        <w:rPr>
          <w:rFonts w:eastAsia="Times New Roman" w:cs="Tahoma"/>
          <w:color w:val="auto"/>
          <w:szCs w:val="24"/>
          <w:lang w:val="es-ES" w:eastAsia="es-ES"/>
        </w:rPr>
      </w:pPr>
      <w:r w:rsidRPr="006A776F">
        <w:rPr>
          <w:rFonts w:eastAsia="Calibri" w:cs="Tahoma"/>
          <w:b/>
          <w:color w:val="auto"/>
          <w:szCs w:val="24"/>
          <w:lang w:val="es-ES" w:eastAsia="es-MX"/>
        </w:rPr>
        <w:t>SEGUNDO</w:t>
      </w:r>
      <w:r w:rsidRPr="006A776F">
        <w:rPr>
          <w:rFonts w:eastAsia="Calibri" w:cs="Tahoma"/>
          <w:color w:val="auto"/>
          <w:szCs w:val="24"/>
          <w:lang w:val="es-ES" w:eastAsia="es-MX"/>
        </w:rPr>
        <w:t xml:space="preserve">. </w:t>
      </w:r>
      <w:r w:rsidRPr="006A776F">
        <w:rPr>
          <w:rFonts w:eastAsia="Times New Roman" w:cs="Tahoma"/>
          <w:b/>
          <w:color w:val="auto"/>
          <w:szCs w:val="24"/>
          <w:lang w:val="es-ES" w:eastAsia="es-ES"/>
        </w:rPr>
        <w:t>Causales de improcedencia y sobreseimiento</w:t>
      </w:r>
    </w:p>
    <w:p w14:paraId="2EEBF28F" w14:textId="77777777" w:rsidR="009E0AC6" w:rsidRPr="006A776F" w:rsidRDefault="009E0AC6" w:rsidP="009E0AC6">
      <w:pPr>
        <w:autoSpaceDE w:val="0"/>
        <w:autoSpaceDN w:val="0"/>
        <w:adjustRightInd w:val="0"/>
        <w:spacing w:after="0" w:line="360" w:lineRule="auto"/>
        <w:rPr>
          <w:rFonts w:eastAsia="Times New Roman" w:cs="Tahoma"/>
          <w:color w:val="auto"/>
          <w:szCs w:val="24"/>
          <w:lang w:val="es-ES" w:eastAsia="es-ES"/>
        </w:rPr>
      </w:pPr>
    </w:p>
    <w:p w14:paraId="2CC527D3" w14:textId="77777777" w:rsidR="009E0AC6" w:rsidRPr="006A776F" w:rsidRDefault="009E0AC6" w:rsidP="009E0AC6">
      <w:pPr>
        <w:autoSpaceDE w:val="0"/>
        <w:autoSpaceDN w:val="0"/>
        <w:adjustRightInd w:val="0"/>
        <w:spacing w:after="0" w:line="360" w:lineRule="auto"/>
        <w:rPr>
          <w:rFonts w:eastAsia="Times New Roman" w:cs="Tahoma"/>
          <w:color w:val="auto"/>
          <w:szCs w:val="24"/>
          <w:lang w:val="es-ES" w:eastAsia="es-ES"/>
        </w:rPr>
      </w:pPr>
      <w:r w:rsidRPr="006A776F">
        <w:rPr>
          <w:rFonts w:eastAsia="Times New Roman" w:cs="Tahoma"/>
          <w:color w:val="auto"/>
          <w:szCs w:val="24"/>
          <w:lang w:val="es-ES" w:eastAsia="es-ES"/>
        </w:rPr>
        <w:t xml:space="preserve">De las constancias que forma parte del Recurso de Revisión que se analiza, se advierte que previo al estudio del fondo de la </w:t>
      </w:r>
      <w:r w:rsidRPr="006A776F">
        <w:rPr>
          <w:rFonts w:eastAsia="Times New Roman" w:cs="Tahoma"/>
          <w:i/>
          <w:color w:val="auto"/>
          <w:szCs w:val="24"/>
          <w:lang w:val="es-ES" w:eastAsia="es-ES"/>
        </w:rPr>
        <w:t>litis</w:t>
      </w:r>
      <w:r w:rsidRPr="006A776F">
        <w:rPr>
          <w:rFonts w:eastAsia="Times New Roman" w:cs="Tahoma"/>
          <w:color w:val="auto"/>
          <w:szCs w:val="24"/>
          <w:lang w:val="es-ES" w:eastAsia="es-ES"/>
        </w:rPr>
        <w:t>, es necesario estudiar las causales de improcedencia y sobreseimiento que se adviertan, para determinar lo que en Derecho proceda.</w:t>
      </w:r>
    </w:p>
    <w:p w14:paraId="22959542" w14:textId="77777777" w:rsidR="009E0AC6" w:rsidRPr="006A776F" w:rsidRDefault="009E0AC6" w:rsidP="009E0AC6">
      <w:pPr>
        <w:autoSpaceDE w:val="0"/>
        <w:autoSpaceDN w:val="0"/>
        <w:adjustRightInd w:val="0"/>
        <w:spacing w:after="0" w:line="360" w:lineRule="auto"/>
        <w:rPr>
          <w:rFonts w:eastAsia="Times New Roman" w:cs="Tahoma"/>
          <w:color w:val="auto"/>
          <w:szCs w:val="24"/>
          <w:lang w:val="es-ES" w:eastAsia="es-ES"/>
        </w:rPr>
      </w:pPr>
    </w:p>
    <w:p w14:paraId="5F8BC304" w14:textId="77777777" w:rsidR="009E0AC6" w:rsidRPr="006A776F" w:rsidRDefault="009E0AC6" w:rsidP="009E0AC6">
      <w:pPr>
        <w:autoSpaceDE w:val="0"/>
        <w:autoSpaceDN w:val="0"/>
        <w:adjustRightInd w:val="0"/>
        <w:spacing w:after="0" w:line="360" w:lineRule="auto"/>
        <w:rPr>
          <w:rFonts w:eastAsia="Calibri" w:cs="Tahoma"/>
          <w:color w:val="auto"/>
          <w:szCs w:val="24"/>
          <w:lang w:val="es-ES" w:eastAsia="es-MX"/>
        </w:rPr>
      </w:pPr>
      <w:r w:rsidRPr="006A776F">
        <w:rPr>
          <w:rFonts w:eastAsia="Calibri" w:cs="Tahoma"/>
          <w:b/>
          <w:color w:val="auto"/>
          <w:szCs w:val="24"/>
          <w:lang w:val="es-ES" w:eastAsia="es-MX"/>
        </w:rPr>
        <w:t>Causales de improcedencia</w:t>
      </w:r>
    </w:p>
    <w:p w14:paraId="0FC55995" w14:textId="77777777" w:rsidR="009E0AC6" w:rsidRPr="006A776F" w:rsidRDefault="009E0AC6" w:rsidP="009E0AC6">
      <w:pPr>
        <w:autoSpaceDE w:val="0"/>
        <w:autoSpaceDN w:val="0"/>
        <w:adjustRightInd w:val="0"/>
        <w:spacing w:after="0" w:line="360" w:lineRule="auto"/>
        <w:rPr>
          <w:rFonts w:eastAsia="Calibri" w:cs="Tahoma"/>
          <w:color w:val="FF0000"/>
          <w:szCs w:val="24"/>
          <w:lang w:val="es-ES" w:eastAsia="es-MX"/>
        </w:rPr>
      </w:pPr>
    </w:p>
    <w:p w14:paraId="210A568A" w14:textId="77777777" w:rsidR="009E0AC6" w:rsidRPr="006A776F" w:rsidRDefault="009E0AC6" w:rsidP="009E0AC6">
      <w:pPr>
        <w:autoSpaceDE w:val="0"/>
        <w:autoSpaceDN w:val="0"/>
        <w:adjustRightInd w:val="0"/>
        <w:spacing w:after="0" w:line="360" w:lineRule="auto"/>
        <w:rPr>
          <w:rFonts w:eastAsia="Calibri" w:cs="Tahoma"/>
          <w:color w:val="auto"/>
          <w:lang w:val="es-ES" w:eastAsia="es-MX"/>
        </w:rPr>
      </w:pPr>
      <w:r w:rsidRPr="006A776F">
        <w:rPr>
          <w:rFonts w:eastAsia="Calibri" w:cs="Tahoma"/>
          <w:color w:val="auto"/>
          <w:lang w:eastAsia="es-MX"/>
        </w:rPr>
        <w:t>Este Instituto realiza el estudio oficioso de las causales de improcedencia, ya que estas deben estudiarse, aunque no las hagan valer las partes, por ser una cuestión de orden público y de estudio preferente al fondo del asunto. Lo anterior se robustece en la Tesis de Jurisprudencia: 1a./J. 163/2005</w:t>
      </w:r>
      <w:r w:rsidRPr="006A776F">
        <w:rPr>
          <w:rFonts w:eastAsia="Calibri" w:cs="Tahoma"/>
          <w:b/>
          <w:bCs/>
          <w:color w:val="auto"/>
          <w:lang w:eastAsia="es-MX"/>
        </w:rPr>
        <w:t xml:space="preserve"> </w:t>
      </w:r>
      <w:r w:rsidRPr="006A776F">
        <w:rPr>
          <w:rFonts w:eastAsia="Calibri" w:cs="Tahoma"/>
          <w:color w:val="auto"/>
          <w:lang w:eastAsia="es-MX"/>
        </w:rPr>
        <w:t xml:space="preserve">(Semanario Judicial de la Federación y su Gaceta, Novena Época, 2006, página 319), toda vez que, si de las constancias que obran en el expediente electrónico, se actualiza una causal de improcedencia establecidas en el artículo 191 de la Ley de Transparencia y Acceso a la Información Pública del Estado de México y Municipios, dará lugar a que el presente Recurso de Revisión sea sobreseído. </w:t>
      </w:r>
    </w:p>
    <w:p w14:paraId="24A6A275" w14:textId="77777777" w:rsidR="009E0AC6" w:rsidRPr="006A776F" w:rsidRDefault="009E0AC6" w:rsidP="009E0AC6">
      <w:pPr>
        <w:autoSpaceDE w:val="0"/>
        <w:autoSpaceDN w:val="0"/>
        <w:adjustRightInd w:val="0"/>
        <w:spacing w:after="0" w:line="360" w:lineRule="auto"/>
        <w:rPr>
          <w:rFonts w:eastAsia="Calibri" w:cs="Tahoma"/>
          <w:color w:val="auto"/>
          <w:lang w:eastAsia="es-MX"/>
        </w:rPr>
      </w:pPr>
    </w:p>
    <w:p w14:paraId="27B3306E" w14:textId="77777777" w:rsidR="009E0AC6" w:rsidRPr="006A776F" w:rsidRDefault="009E0AC6" w:rsidP="009E0AC6">
      <w:pPr>
        <w:autoSpaceDE w:val="0"/>
        <w:autoSpaceDN w:val="0"/>
        <w:adjustRightInd w:val="0"/>
        <w:spacing w:after="0" w:line="360" w:lineRule="auto"/>
        <w:rPr>
          <w:rFonts w:eastAsia="Calibri" w:cs="Tahoma"/>
          <w:color w:val="auto"/>
          <w:lang w:eastAsia="es-MX"/>
        </w:rPr>
      </w:pPr>
      <w:r w:rsidRPr="006A776F">
        <w:rPr>
          <w:rFonts w:eastAsia="Calibri" w:cs="Tahoma"/>
          <w:color w:val="auto"/>
          <w:lang w:eastAsia="es-MX"/>
        </w:rPr>
        <w:t xml:space="preserve">En el presente caso, </w:t>
      </w:r>
      <w:r w:rsidRPr="006A776F">
        <w:rPr>
          <w:rFonts w:eastAsia="Calibri" w:cs="Tahoma"/>
          <w:b/>
          <w:color w:val="auto"/>
          <w:lang w:eastAsia="es-MX"/>
        </w:rPr>
        <w:t>no se actualiza ninguna de las causales de improcedencia</w:t>
      </w:r>
      <w:r w:rsidRPr="006A776F">
        <w:rPr>
          <w:rFonts w:eastAsia="Calibri" w:cs="Tahoma"/>
          <w:color w:val="auto"/>
          <w:lang w:eastAsia="es-MX"/>
        </w:rPr>
        <w:t xml:space="preserve"> establecidas en el ordenamiento jurídico previamente señalado, toda vez que este Instituto no tiene conocimiento de que se encuentre en trámite algún medio de defensa presentado por el Recurrente ante otra instancia; no existió prevención alguna; la veracidad de la respuesta no formó parte del agravio; no se realizó una consulta o ampliación a los alcances del requerimiento informativo, aunado a que el medio de impugnación fue presentado en tiempo.</w:t>
      </w:r>
    </w:p>
    <w:p w14:paraId="2055C235" w14:textId="77777777" w:rsidR="009E0AC6" w:rsidRPr="006A776F" w:rsidRDefault="009E0AC6" w:rsidP="009E0AC6">
      <w:pPr>
        <w:spacing w:after="0" w:line="360" w:lineRule="auto"/>
        <w:rPr>
          <w:rFonts w:eastAsia="Times New Roman" w:cs="Tahoma"/>
          <w:b/>
          <w:bCs/>
          <w:color w:val="FF0000"/>
          <w:lang w:eastAsia="es-ES"/>
        </w:rPr>
      </w:pPr>
    </w:p>
    <w:p w14:paraId="1508215B" w14:textId="164B3398" w:rsidR="009E0AC6" w:rsidRPr="006A776F" w:rsidRDefault="009E0AC6" w:rsidP="009E0AC6">
      <w:pPr>
        <w:spacing w:after="0" w:line="360" w:lineRule="auto"/>
        <w:rPr>
          <w:rFonts w:eastAsia="Times New Roman" w:cs="Tahoma"/>
          <w:color w:val="auto"/>
          <w:lang w:val="es-ES" w:eastAsia="es-ES"/>
        </w:rPr>
      </w:pPr>
      <w:r w:rsidRPr="006A776F">
        <w:rPr>
          <w:rFonts w:eastAsia="Times New Roman" w:cs="Tahoma"/>
          <w:color w:val="auto"/>
          <w:lang w:eastAsia="es-ES"/>
        </w:rPr>
        <w:t>Asimismo, se actualiza la causal de procedencia del Recurso de Revisión señalada en el artículo 179, fracci</w:t>
      </w:r>
      <w:r w:rsidR="006A776F">
        <w:rPr>
          <w:rFonts w:eastAsia="Times New Roman" w:cs="Tahoma"/>
          <w:color w:val="auto"/>
          <w:lang w:eastAsia="es-ES"/>
        </w:rPr>
        <w:t>ón V</w:t>
      </w:r>
      <w:r w:rsidRPr="006A776F">
        <w:rPr>
          <w:rFonts w:eastAsia="Times New Roman" w:cs="Tahoma"/>
          <w:color w:val="auto"/>
          <w:lang w:eastAsia="es-ES"/>
        </w:rPr>
        <w:t xml:space="preserve">, de la Ley en cita, </w:t>
      </w:r>
      <w:r w:rsidRPr="006A776F">
        <w:rPr>
          <w:rFonts w:eastAsia="Calibri" w:cs="Tahoma"/>
          <w:color w:val="auto"/>
          <w:lang w:eastAsia="es-MX"/>
        </w:rPr>
        <w:t xml:space="preserve">pues la Recurrente se inconformó </w:t>
      </w:r>
      <w:r w:rsidRPr="006A776F">
        <w:rPr>
          <w:rFonts w:eastAsia="Times New Roman" w:cs="Tahoma"/>
          <w:color w:val="auto"/>
          <w:lang w:val="es-ES" w:eastAsia="es-ES"/>
        </w:rPr>
        <w:t xml:space="preserve">de la </w:t>
      </w:r>
      <w:r w:rsidR="00CF19A5">
        <w:rPr>
          <w:rFonts w:eastAsia="Times New Roman" w:cs="Tahoma"/>
          <w:color w:val="auto"/>
          <w:lang w:val="es-ES" w:eastAsia="es-ES"/>
        </w:rPr>
        <w:t xml:space="preserve">entrega de la información </w:t>
      </w:r>
      <w:r w:rsidR="00253936">
        <w:rPr>
          <w:rFonts w:eastAsia="Times New Roman" w:cs="Tahoma"/>
          <w:color w:val="auto"/>
          <w:lang w:val="es-ES" w:eastAsia="es-ES"/>
        </w:rPr>
        <w:t>incompleta</w:t>
      </w:r>
      <w:r w:rsidR="00CF19A5">
        <w:rPr>
          <w:rFonts w:eastAsia="Times New Roman" w:cs="Tahoma"/>
          <w:color w:val="auto"/>
          <w:lang w:val="es-ES" w:eastAsia="es-ES"/>
        </w:rPr>
        <w:t>.</w:t>
      </w:r>
    </w:p>
    <w:p w14:paraId="73F45914" w14:textId="77777777" w:rsidR="009E0AC6" w:rsidRPr="00B176FB" w:rsidRDefault="009E0AC6" w:rsidP="009E0AC6">
      <w:pPr>
        <w:spacing w:after="0" w:line="360" w:lineRule="auto"/>
        <w:rPr>
          <w:rFonts w:eastAsia="Times New Roman" w:cs="Tahoma"/>
          <w:b/>
          <w:bCs/>
          <w:color w:val="auto"/>
          <w:highlight w:val="yellow"/>
          <w:lang w:eastAsia="es-ES"/>
        </w:rPr>
      </w:pPr>
    </w:p>
    <w:p w14:paraId="000A36E0" w14:textId="77777777" w:rsidR="009E0AC6" w:rsidRPr="00CF19A5" w:rsidRDefault="009E0AC6" w:rsidP="009E0AC6">
      <w:pPr>
        <w:spacing w:after="0" w:line="360" w:lineRule="auto"/>
        <w:rPr>
          <w:rFonts w:eastAsia="Times New Roman" w:cs="Tahoma"/>
          <w:b/>
          <w:bCs/>
          <w:color w:val="auto"/>
          <w:lang w:eastAsia="es-ES"/>
        </w:rPr>
      </w:pPr>
      <w:r w:rsidRPr="00CF19A5">
        <w:rPr>
          <w:rFonts w:eastAsia="Times New Roman" w:cs="Tahoma"/>
          <w:b/>
          <w:bCs/>
          <w:color w:val="auto"/>
          <w:lang w:eastAsia="es-ES"/>
        </w:rPr>
        <w:t>TERCERO. Causales de sobreseimiento</w:t>
      </w:r>
    </w:p>
    <w:p w14:paraId="22E7E45A" w14:textId="77777777" w:rsidR="009E0AC6" w:rsidRPr="00CF19A5" w:rsidRDefault="009E0AC6" w:rsidP="009E0AC6">
      <w:pPr>
        <w:spacing w:after="0" w:line="360" w:lineRule="auto"/>
        <w:rPr>
          <w:rFonts w:eastAsia="Times New Roman" w:cs="Tahoma"/>
          <w:b/>
          <w:bCs/>
          <w:color w:val="FF0000"/>
          <w:lang w:eastAsia="es-ES"/>
        </w:rPr>
      </w:pPr>
    </w:p>
    <w:p w14:paraId="35301448" w14:textId="77777777" w:rsidR="009E0AC6" w:rsidRPr="00CF19A5" w:rsidRDefault="009E0AC6" w:rsidP="009E0AC6">
      <w:pPr>
        <w:spacing w:after="0" w:line="360" w:lineRule="auto"/>
        <w:rPr>
          <w:rFonts w:eastAsia="Times New Roman" w:cs="Tahoma"/>
          <w:color w:val="auto"/>
          <w:lang w:eastAsia="es-ES"/>
        </w:rPr>
      </w:pPr>
      <w:r w:rsidRPr="00CF19A5">
        <w:rPr>
          <w:rFonts w:eastAsia="Times New Roman" w:cs="Tahoma"/>
          <w:color w:val="auto"/>
          <w:lang w:eastAsia="es-ES"/>
        </w:rPr>
        <w:t>Por ser de previo y especial pronunciamiento, este Instituto analiza si se actualiza alguna causal de sobreseimiento.</w:t>
      </w:r>
    </w:p>
    <w:p w14:paraId="1086EF7E" w14:textId="77777777" w:rsidR="009E0AC6" w:rsidRPr="00CF19A5" w:rsidRDefault="009E0AC6" w:rsidP="009E0AC6">
      <w:pPr>
        <w:spacing w:after="0" w:line="360" w:lineRule="auto"/>
        <w:rPr>
          <w:rFonts w:eastAsia="Times New Roman" w:cs="Tahoma"/>
          <w:color w:val="auto"/>
          <w:lang w:eastAsia="es-ES"/>
        </w:rPr>
      </w:pPr>
    </w:p>
    <w:p w14:paraId="239E6661" w14:textId="77777777" w:rsidR="009E0AC6" w:rsidRPr="00CF19A5" w:rsidRDefault="009E0AC6" w:rsidP="009E0AC6">
      <w:pPr>
        <w:spacing w:after="0" w:line="360" w:lineRule="auto"/>
        <w:rPr>
          <w:rFonts w:eastAsia="Times New Roman" w:cs="Tahoma"/>
          <w:color w:val="auto"/>
          <w:lang w:eastAsia="es-ES"/>
        </w:rPr>
      </w:pPr>
      <w:r w:rsidRPr="00CF19A5">
        <w:rPr>
          <w:rFonts w:eastAsia="Times New Roman" w:cs="Tahoma"/>
          <w:color w:val="auto"/>
          <w:lang w:eastAsia="es-ES"/>
        </w:rPr>
        <w:t xml:space="preserve">El artículo 192 de la Ley Transparencia y Acceso a la Información Pública del Estado de México y Municipios, señala las causales por las cuales se puede sobreseer en todo o en parte, el Recurso de Revisión; así, del análisis realizado por este Instituto, se advierte </w:t>
      </w:r>
      <w:r w:rsidRPr="00CF19A5">
        <w:rPr>
          <w:rFonts w:eastAsia="Times New Roman" w:cs="Tahoma"/>
          <w:b/>
          <w:bCs/>
          <w:color w:val="auto"/>
          <w:lang w:eastAsia="es-ES"/>
        </w:rPr>
        <w:t>que no se actualizan los supuestos de sobreseimiento previstos en las fracciones I, II, IV y V</w:t>
      </w:r>
      <w:r w:rsidRPr="00CF19A5">
        <w:rPr>
          <w:rFonts w:eastAsia="Times New Roman" w:cs="Tahoma"/>
          <w:color w:val="auto"/>
          <w:lang w:eastAsia="es-ES"/>
        </w:rPr>
        <w:t xml:space="preserve">, del artículo en comento, lo anterior, en virtud de que no hay constancias en el expediente en que se actúa, de que el Recurrente se haya desistido del recurso, haya fallecido, o bien, se haya actualizado alguna causal de improcedencia. </w:t>
      </w:r>
    </w:p>
    <w:p w14:paraId="0ECA5429" w14:textId="77777777" w:rsidR="009E0AC6" w:rsidRPr="00CF19A5" w:rsidRDefault="009E0AC6" w:rsidP="009E0AC6">
      <w:pPr>
        <w:spacing w:after="0" w:line="360" w:lineRule="auto"/>
        <w:rPr>
          <w:rFonts w:eastAsia="Times New Roman" w:cs="Tahoma"/>
          <w:color w:val="FF0000"/>
          <w:lang w:eastAsia="es-ES"/>
        </w:rPr>
      </w:pPr>
    </w:p>
    <w:p w14:paraId="21F5AC28" w14:textId="77777777" w:rsidR="00253936" w:rsidRDefault="009E0AC6" w:rsidP="009E0AC6">
      <w:pPr>
        <w:spacing w:after="0" w:line="360" w:lineRule="auto"/>
        <w:rPr>
          <w:rFonts w:cs="Tahoma"/>
          <w:color w:val="auto"/>
        </w:rPr>
      </w:pPr>
      <w:r w:rsidRPr="00CF19A5">
        <w:rPr>
          <w:rFonts w:eastAsia="Calibri" w:cs="Tahoma"/>
          <w:color w:val="auto"/>
          <w:szCs w:val="24"/>
        </w:rPr>
        <w:t>No obstante</w:t>
      </w:r>
      <w:r w:rsidRPr="00CF19A5">
        <w:rPr>
          <w:rFonts w:eastAsia="Calibri" w:cs="Tahoma"/>
          <w:color w:val="auto"/>
          <w:szCs w:val="24"/>
          <w:lang w:val="es-ES"/>
        </w:rPr>
        <w:t xml:space="preserve">, por lo que hace a la fracción III, del artículo 192, de la Ley de la materia, es de señalar que el Sujeto Obligado modificó su respuesta, durante la sustanciación del Medio de Impugnación; por lo que, se estima procedente entrar al estudio de dicha causal de sobreseimiento, para lo cual, es necesario precisar que el Particular </w:t>
      </w:r>
      <w:r w:rsidRPr="00CF19A5">
        <w:rPr>
          <w:rFonts w:cs="Tahoma"/>
          <w:color w:val="auto"/>
        </w:rPr>
        <w:t xml:space="preserve">requirió acceder a los documentos donde conste el nombre, población, dirección de oficina, número telefónico y correo electrónico de las </w:t>
      </w:r>
      <w:r w:rsidR="00253936">
        <w:rPr>
          <w:rFonts w:cs="Tahoma"/>
          <w:color w:val="auto"/>
        </w:rPr>
        <w:t>D</w:t>
      </w:r>
      <w:r w:rsidRPr="00CF19A5">
        <w:rPr>
          <w:rFonts w:cs="Tahoma"/>
          <w:color w:val="auto"/>
        </w:rPr>
        <w:t xml:space="preserve">elegaciones, </w:t>
      </w:r>
      <w:r w:rsidR="00253936">
        <w:rPr>
          <w:rFonts w:cs="Tahoma"/>
          <w:color w:val="auto"/>
        </w:rPr>
        <w:t>C</w:t>
      </w:r>
      <w:r w:rsidRPr="00CF19A5">
        <w:rPr>
          <w:rFonts w:cs="Tahoma"/>
          <w:color w:val="auto"/>
        </w:rPr>
        <w:t xml:space="preserve">onsejos de </w:t>
      </w:r>
      <w:r w:rsidR="00253936">
        <w:rPr>
          <w:rFonts w:cs="Tahoma"/>
          <w:color w:val="auto"/>
        </w:rPr>
        <w:t>P</w:t>
      </w:r>
      <w:r w:rsidRPr="00CF19A5">
        <w:rPr>
          <w:rFonts w:cs="Tahoma"/>
          <w:color w:val="auto"/>
        </w:rPr>
        <w:t xml:space="preserve">articipación </w:t>
      </w:r>
      <w:r w:rsidR="00253936">
        <w:rPr>
          <w:rFonts w:cs="Tahoma"/>
          <w:color w:val="auto"/>
        </w:rPr>
        <w:t>C</w:t>
      </w:r>
      <w:r w:rsidRPr="00CF19A5">
        <w:rPr>
          <w:rFonts w:cs="Tahoma"/>
          <w:color w:val="auto"/>
        </w:rPr>
        <w:t>iudadana y parroquias de</w:t>
      </w:r>
      <w:r w:rsidR="00253936">
        <w:rPr>
          <w:rFonts w:cs="Tahoma"/>
          <w:color w:val="auto"/>
        </w:rPr>
        <w:t xml:space="preserve"> Municipio</w:t>
      </w:r>
      <w:r w:rsidRPr="00B176FB">
        <w:rPr>
          <w:rFonts w:cs="Tahoma"/>
          <w:color w:val="auto"/>
        </w:rPr>
        <w:t>. En respuesta, el Director de Gobierno remitió una tabla conteniendo la localidad, cargo, nombre y dirección de Delegados y Consejos de Participación Ciudadana 2022-2024, e informó que por lo que hace a la información del número telefónico y correo electrónico de las parroquias e iglesias en el municipio se trata</w:t>
      </w:r>
      <w:r w:rsidR="00253936">
        <w:rPr>
          <w:rFonts w:cs="Tahoma"/>
          <w:color w:val="auto"/>
        </w:rPr>
        <w:t>ba</w:t>
      </w:r>
      <w:r w:rsidRPr="00B176FB">
        <w:rPr>
          <w:rFonts w:cs="Tahoma"/>
          <w:color w:val="auto"/>
        </w:rPr>
        <w:t xml:space="preserve"> de dato</w:t>
      </w:r>
      <w:r w:rsidR="00253936">
        <w:rPr>
          <w:rFonts w:cs="Tahoma"/>
          <w:color w:val="auto"/>
        </w:rPr>
        <w:t>s personales</w:t>
      </w:r>
      <w:r w:rsidRPr="00B176FB">
        <w:rPr>
          <w:rFonts w:cs="Tahoma"/>
          <w:color w:val="auto"/>
        </w:rPr>
        <w:t xml:space="preserve"> por lo que no se pueden proporcionar ya que se requiere la autorización expresa de los particulares</w:t>
      </w:r>
      <w:r w:rsidR="00253936">
        <w:rPr>
          <w:rFonts w:cs="Tahoma"/>
          <w:color w:val="auto"/>
        </w:rPr>
        <w:t>.</w:t>
      </w:r>
    </w:p>
    <w:p w14:paraId="198D8193" w14:textId="77777777" w:rsidR="00253936" w:rsidRDefault="00253936" w:rsidP="009E0AC6">
      <w:pPr>
        <w:spacing w:after="0" w:line="360" w:lineRule="auto"/>
        <w:rPr>
          <w:rFonts w:cs="Tahoma"/>
          <w:color w:val="auto"/>
        </w:rPr>
      </w:pPr>
    </w:p>
    <w:p w14:paraId="030B4FDC" w14:textId="25ABB78F" w:rsidR="009E0AC6" w:rsidRPr="00B176FB" w:rsidRDefault="00253936" w:rsidP="009E0AC6">
      <w:pPr>
        <w:spacing w:after="0" w:line="360" w:lineRule="auto"/>
        <w:rPr>
          <w:rFonts w:cs="Tahoma"/>
          <w:color w:val="auto"/>
        </w:rPr>
      </w:pPr>
      <w:r>
        <w:rPr>
          <w:rFonts w:cs="Tahoma"/>
          <w:color w:val="auto"/>
        </w:rPr>
        <w:t>Ante tal circunstancia,</w:t>
      </w:r>
      <w:r w:rsidR="009E0AC6" w:rsidRPr="00B176FB">
        <w:rPr>
          <w:rFonts w:cs="Tahoma"/>
          <w:color w:val="auto"/>
        </w:rPr>
        <w:t xml:space="preserve"> la parte Recurrente se inconformó con la entrega de información </w:t>
      </w:r>
      <w:r w:rsidR="006B14EE">
        <w:rPr>
          <w:rFonts w:cs="Tahoma"/>
          <w:color w:val="auto"/>
        </w:rPr>
        <w:t>incompleta</w:t>
      </w:r>
      <w:r w:rsidR="009E0AC6" w:rsidRPr="00B176FB">
        <w:rPr>
          <w:rFonts w:cs="Tahoma"/>
          <w:color w:val="auto"/>
        </w:rPr>
        <w:t xml:space="preserve">, al manifestar que la respuesta no </w:t>
      </w:r>
      <w:r w:rsidR="006B14EE">
        <w:rPr>
          <w:rFonts w:cs="Tahoma"/>
          <w:color w:val="auto"/>
        </w:rPr>
        <w:t xml:space="preserve">contenía el correo electrónico y telefónico de los </w:t>
      </w:r>
      <w:r w:rsidR="006B14EE">
        <w:rPr>
          <w:rFonts w:cs="Tahoma"/>
          <w:color w:val="auto"/>
        </w:rPr>
        <w:lastRenderedPageBreak/>
        <w:t>auxiliares de la administración pública,</w:t>
      </w:r>
      <w:r w:rsidR="009E0AC6" w:rsidRPr="00B176FB">
        <w:rPr>
          <w:rFonts w:cs="Tahoma"/>
          <w:color w:val="auto"/>
        </w:rPr>
        <w:t xml:space="preserve"> lo cual actualiza el supuesto previsto en el artículo 179, fracción </w:t>
      </w:r>
      <w:r w:rsidR="009E0AC6">
        <w:rPr>
          <w:rFonts w:cs="Tahoma"/>
          <w:color w:val="auto"/>
        </w:rPr>
        <w:t>V</w:t>
      </w:r>
      <w:r w:rsidR="009E0AC6" w:rsidRPr="00B176FB">
        <w:rPr>
          <w:rFonts w:cs="Tahoma"/>
          <w:color w:val="auto"/>
        </w:rPr>
        <w:t>, de la Ley de Transparencia y Acceso a la Información Pública del Estado de México y Municipios.</w:t>
      </w:r>
    </w:p>
    <w:p w14:paraId="64036FC7" w14:textId="77777777" w:rsidR="009E0AC6" w:rsidRDefault="009E0AC6" w:rsidP="009E0AC6">
      <w:pPr>
        <w:spacing w:after="0" w:line="360" w:lineRule="auto"/>
        <w:rPr>
          <w:rFonts w:cs="Tahoma"/>
          <w:color w:val="auto"/>
        </w:rPr>
      </w:pPr>
    </w:p>
    <w:p w14:paraId="6DBBD475" w14:textId="3E87E9DB" w:rsidR="006B14EE" w:rsidRDefault="006B14EE" w:rsidP="009E0AC6">
      <w:pPr>
        <w:spacing w:after="0" w:line="360" w:lineRule="auto"/>
        <w:rPr>
          <w:rFonts w:cs="Tahoma"/>
          <w:color w:val="auto"/>
        </w:rPr>
      </w:pPr>
      <w:r>
        <w:rPr>
          <w:rFonts w:cs="Tahoma"/>
          <w:color w:val="auto"/>
        </w:rPr>
        <w:t>Al respecto, el artículo 82 del Bando Municipal dos mil veinticuatro, establece que son Autoridades Auxiliares del Municipio, los Delegados y Subdelegados Municipales, los Jefes de Sector y de Manzana, así como, los Consejos de Participación Ciudadana.</w:t>
      </w:r>
    </w:p>
    <w:p w14:paraId="7CF9D2AC" w14:textId="77777777" w:rsidR="006B14EE" w:rsidRDefault="006B14EE" w:rsidP="009E0AC6">
      <w:pPr>
        <w:spacing w:after="0" w:line="360" w:lineRule="auto"/>
        <w:rPr>
          <w:rFonts w:cs="Tahoma"/>
          <w:color w:val="auto"/>
        </w:rPr>
      </w:pPr>
    </w:p>
    <w:p w14:paraId="56260A9F" w14:textId="50E833D5" w:rsidR="008415AE" w:rsidRPr="00467E3F" w:rsidRDefault="008415AE" w:rsidP="008415AE">
      <w:pPr>
        <w:spacing w:after="0" w:line="360" w:lineRule="auto"/>
        <w:contextualSpacing/>
        <w:rPr>
          <w:rFonts w:eastAsia="Calibri" w:cs="Tahoma"/>
          <w:color w:val="000000"/>
          <w:szCs w:val="24"/>
          <w:lang w:val="es-ES" w:eastAsia="es-MX"/>
        </w:rPr>
      </w:pPr>
      <w:r w:rsidRPr="00467E3F">
        <w:rPr>
          <w:rFonts w:eastAsia="Times New Roman"/>
          <w:lang w:eastAsia="es-ES_tradnl"/>
        </w:rPr>
        <w:t xml:space="preserve">Conforme a lo anterior, se logra vislumbrar que la persona Recurrente </w:t>
      </w:r>
      <w:r>
        <w:rPr>
          <w:rFonts w:eastAsia="Times New Roman"/>
          <w:lang w:eastAsia="es-ES_tradnl"/>
        </w:rPr>
        <w:t xml:space="preserve">no se inconformó de la información relacionada con las parroquias o iglesias, al inconformarse únicamente de las autoridades auxiliares; </w:t>
      </w:r>
      <w:r w:rsidRPr="00467E3F">
        <w:rPr>
          <w:rFonts w:cs="Tahoma"/>
          <w:szCs w:val="24"/>
          <w:lang w:val="es-ES"/>
        </w:rPr>
        <w:t xml:space="preserve">por </w:t>
      </w:r>
      <w:r w:rsidRPr="00467E3F">
        <w:rPr>
          <w:rFonts w:eastAsia="Times New Roman"/>
          <w:lang w:eastAsia="es-ES_tradnl"/>
        </w:rPr>
        <w:t xml:space="preserve">lo que, no se hará pronunciamiento alguno </w:t>
      </w:r>
      <w:r w:rsidRPr="00467E3F">
        <w:rPr>
          <w:color w:val="000000"/>
          <w:lang w:eastAsia="es-ES_tradnl"/>
        </w:rPr>
        <w:t xml:space="preserve">respecto a las </w:t>
      </w:r>
      <w:r>
        <w:rPr>
          <w:color w:val="000000"/>
          <w:lang w:eastAsia="es-ES_tradnl"/>
        </w:rPr>
        <w:t>instituciones religiosas</w:t>
      </w:r>
      <w:r w:rsidRPr="00467E3F">
        <w:rPr>
          <w:rFonts w:eastAsia="Times New Roman"/>
          <w:lang w:eastAsia="es-ES_tradnl"/>
        </w:rPr>
        <w:t>, de conformidad con el artículo 195 de la Ley de Transparencia y Acceso a la Información Pública del Estado de México y Municipios, con relación con el diverso 195, fracción IV, de Código de Procedimientos Administrativos del Estado de México, que establece que será improcedente el recurso contra </w:t>
      </w:r>
      <w:r w:rsidRPr="00467E3F">
        <w:rPr>
          <w:rFonts w:eastAsia="Times New Roman"/>
          <w:b/>
          <w:bCs/>
          <w:lang w:eastAsia="es-ES_tradnl"/>
        </w:rPr>
        <w:t>los actos que se hayan consentido tácitamente,</w:t>
      </w:r>
      <w:r w:rsidRPr="00467E3F">
        <w:rPr>
          <w:rFonts w:eastAsia="Times New Roman"/>
          <w:lang w:eastAsia="es-ES_tradnl"/>
        </w:rPr>
        <w:t> entendiéndose por estos cuando el agravio no se haya promovido en el plazo señalado para el efecto.</w:t>
      </w:r>
    </w:p>
    <w:p w14:paraId="0C72567F" w14:textId="77777777" w:rsidR="008415AE" w:rsidRPr="00467E3F" w:rsidRDefault="008415AE" w:rsidP="008415AE">
      <w:pPr>
        <w:spacing w:after="0" w:line="360" w:lineRule="auto"/>
        <w:contextualSpacing/>
        <w:rPr>
          <w:rFonts w:eastAsia="Times New Roman"/>
          <w:lang w:eastAsia="es-ES_tradnl"/>
        </w:rPr>
      </w:pPr>
      <w:r w:rsidRPr="00467E3F">
        <w:rPr>
          <w:rFonts w:eastAsia="Times New Roman"/>
          <w:lang w:eastAsia="es-ES_tradnl"/>
        </w:rPr>
        <w:t> </w:t>
      </w:r>
    </w:p>
    <w:p w14:paraId="196D0CB9" w14:textId="77777777" w:rsidR="008415AE" w:rsidRPr="00467E3F" w:rsidRDefault="008415AE" w:rsidP="008415AE">
      <w:pPr>
        <w:spacing w:after="0" w:line="360" w:lineRule="auto"/>
        <w:contextualSpacing/>
        <w:rPr>
          <w:rFonts w:eastAsia="Times New Roman"/>
          <w:lang w:eastAsia="es-ES_tradnl"/>
        </w:rPr>
      </w:pPr>
      <w:r w:rsidRPr="00467E3F">
        <w:rPr>
          <w:rFonts w:eastAsia="Times New Roman"/>
          <w:lang w:eastAsia="es-ES_tradnl"/>
        </w:rPr>
        <w:t>De la misma manera resulta aplicable el criterio sostenido por el Poder Judicial de la Federación de rubro </w:t>
      </w:r>
      <w:r w:rsidRPr="00467E3F">
        <w:rPr>
          <w:rFonts w:eastAsia="Times New Roman"/>
          <w:b/>
          <w:bCs/>
          <w:lang w:eastAsia="es-ES_tradnl"/>
        </w:rPr>
        <w:t>ACTOS CONSENTIDOS TÁCITAMENTE</w:t>
      </w:r>
      <w:r w:rsidRPr="00467E3F">
        <w:rPr>
          <w:rFonts w:eastAsia="Times New Roman"/>
          <w:lang w:eastAsia="es-ES_tradnl"/>
        </w:rPr>
        <w:t>, Tesis VI.2o. J/21, emitida en la novena época, por el Segundo Tribunal Colegiado del Sexto Circuito, publicada en la Gaceta del Semanario Judicial de la Federación en agosto de 1995, página 291, número de registro 204707, del que se desprende que cuando no se reclaman los actos de autoridad en la vía y plazos establecidos en la Ley, se presume que el Particular está conforme con los mismos.</w:t>
      </w:r>
    </w:p>
    <w:p w14:paraId="078DCCBC" w14:textId="77777777" w:rsidR="008415AE" w:rsidRDefault="008415AE" w:rsidP="008415AE">
      <w:pPr>
        <w:spacing w:after="0" w:line="360" w:lineRule="auto"/>
        <w:contextualSpacing/>
        <w:rPr>
          <w:rFonts w:eastAsia="Times New Roman"/>
          <w:lang w:eastAsia="es-ES_tradnl"/>
        </w:rPr>
      </w:pPr>
      <w:r w:rsidRPr="00467E3F">
        <w:rPr>
          <w:rFonts w:eastAsia="Times New Roman"/>
          <w:lang w:eastAsia="es-ES_tradnl"/>
        </w:rPr>
        <w:t> </w:t>
      </w:r>
    </w:p>
    <w:p w14:paraId="65F3EC43" w14:textId="77777777" w:rsidR="008415AE" w:rsidRDefault="008415AE" w:rsidP="008415AE">
      <w:pPr>
        <w:spacing w:after="0" w:line="360" w:lineRule="auto"/>
        <w:contextualSpacing/>
        <w:rPr>
          <w:rFonts w:eastAsia="Times New Roman"/>
          <w:lang w:eastAsia="es-ES_tradnl"/>
        </w:rPr>
      </w:pPr>
    </w:p>
    <w:p w14:paraId="59BBA75F" w14:textId="77777777" w:rsidR="008415AE" w:rsidRPr="00467E3F" w:rsidRDefault="008415AE" w:rsidP="008415AE">
      <w:pPr>
        <w:spacing w:after="0" w:line="360" w:lineRule="auto"/>
        <w:contextualSpacing/>
        <w:rPr>
          <w:rFonts w:eastAsia="Times New Roman"/>
          <w:lang w:eastAsia="es-ES_tradnl"/>
        </w:rPr>
      </w:pPr>
    </w:p>
    <w:p w14:paraId="0F10C9F9" w14:textId="77777777" w:rsidR="008415AE" w:rsidRPr="00467E3F" w:rsidRDefault="008415AE" w:rsidP="008415AE">
      <w:pPr>
        <w:spacing w:after="0" w:line="360" w:lineRule="auto"/>
        <w:contextualSpacing/>
        <w:rPr>
          <w:rFonts w:eastAsia="Times New Roman"/>
          <w:lang w:eastAsia="es-ES_tradnl"/>
        </w:rPr>
      </w:pPr>
      <w:r w:rsidRPr="00467E3F">
        <w:rPr>
          <w:rFonts w:eastAsia="Times New Roman"/>
          <w:lang w:eastAsia="es-ES_tradnl"/>
        </w:rPr>
        <w:lastRenderedPageBreak/>
        <w:t>Conforme a lo previo, en el caso de que el Solicitante no haya manifestado su inconformidad en contra del acto en su totalidad o en cualquiera de sus partes, se tendrá por consentido al no haber realizado argumento alguno que formulara un agravio en su contra, por lo que, en la especie, se válida la respuesta respecto de los puntos no controvertidos y se arriba a la conclusión de que estos quedaron firmes. </w:t>
      </w:r>
    </w:p>
    <w:p w14:paraId="1220FC7F" w14:textId="77777777" w:rsidR="008415AE" w:rsidRPr="00467E3F" w:rsidRDefault="008415AE" w:rsidP="008415AE">
      <w:pPr>
        <w:spacing w:after="0" w:line="360" w:lineRule="auto"/>
        <w:contextualSpacing/>
        <w:rPr>
          <w:rFonts w:eastAsia="Times New Roman"/>
          <w:lang w:eastAsia="es-ES_tradnl"/>
        </w:rPr>
      </w:pPr>
      <w:r w:rsidRPr="00467E3F">
        <w:rPr>
          <w:rFonts w:eastAsia="Times New Roman"/>
          <w:lang w:eastAsia="es-ES_tradnl"/>
        </w:rPr>
        <w:t> </w:t>
      </w:r>
    </w:p>
    <w:p w14:paraId="72E422B9" w14:textId="2DDB6A5C" w:rsidR="009E0AC6" w:rsidRDefault="008415AE" w:rsidP="009E0AC6">
      <w:pPr>
        <w:spacing w:after="0" w:line="360" w:lineRule="auto"/>
        <w:contextualSpacing/>
        <w:rPr>
          <w:rFonts w:cs="Tahoma"/>
          <w:color w:val="auto"/>
        </w:rPr>
      </w:pPr>
      <w:r w:rsidRPr="00467E3F">
        <w:rPr>
          <w:rFonts w:eastAsia="Times New Roman"/>
          <w:lang w:eastAsia="es-ES_tradnl"/>
        </w:rPr>
        <w:t xml:space="preserve">Asimismo, resulta relevante traer a colación el Criterio de Interpretación, con clave de control SO/001/2020, emitido por el Instituto Nacional de Transparencia, Acceso a la Información y Protección de Datos Personales, que establece que es improcedente entrar al análisis de las partes de la respuesta del Sujeto Obligado que no fueron impugnadas por la persona Recurrente; por lo que, en el presente caso, </w:t>
      </w:r>
      <w:r w:rsidRPr="00467E3F">
        <w:rPr>
          <w:color w:val="000000"/>
          <w:lang w:eastAsia="es-ES_tradnl"/>
        </w:rPr>
        <w:t xml:space="preserve">se tiene por consentida la información </w:t>
      </w:r>
      <w:r>
        <w:rPr>
          <w:color w:val="000000"/>
          <w:lang w:eastAsia="es-ES_tradnl"/>
        </w:rPr>
        <w:t>relacionada con las instituciones religiosas</w:t>
      </w:r>
      <w:r w:rsidRPr="00467E3F">
        <w:rPr>
          <w:color w:val="000000"/>
          <w:lang w:eastAsia="es-ES_tradnl"/>
        </w:rPr>
        <w:t xml:space="preserve">, y únicamente se entrará al análisis </w:t>
      </w:r>
      <w:r>
        <w:rPr>
          <w:color w:val="000000"/>
          <w:lang w:eastAsia="es-ES_tradnl"/>
        </w:rPr>
        <w:t xml:space="preserve">respecto al correo electrónico y teléfono de contacto de los Delegados y Consejos de Participación Ciudadana, al ser autoridades auxiliares del Ayuntamiento. </w:t>
      </w:r>
      <w:r w:rsidR="009E0AC6" w:rsidRPr="00B176FB">
        <w:rPr>
          <w:rFonts w:cs="Tahoma"/>
          <w:color w:val="auto"/>
        </w:rPr>
        <w:t>Así las cosas, una vez admitido y notificado el Recurso de Revisión a las partes, el Sujeto Obligado reiteró su respuesta primigenia y refirió adicionalmente que no posee los números de teléfono y correos electrónicos de las autoridades auxiliares</w:t>
      </w:r>
      <w:r>
        <w:rPr>
          <w:rFonts w:cs="Tahoma"/>
          <w:color w:val="auto"/>
        </w:rPr>
        <w:t>.</w:t>
      </w:r>
    </w:p>
    <w:p w14:paraId="408BCEA1" w14:textId="77777777" w:rsidR="00CF19A5" w:rsidRPr="00B176FB" w:rsidRDefault="00CF19A5" w:rsidP="009E0AC6">
      <w:pPr>
        <w:spacing w:after="0" w:line="360" w:lineRule="auto"/>
        <w:rPr>
          <w:rFonts w:cs="Tahoma"/>
          <w:color w:val="auto"/>
        </w:rPr>
      </w:pPr>
    </w:p>
    <w:p w14:paraId="72039402" w14:textId="77777777" w:rsidR="009E0AC6" w:rsidRDefault="009E0AC6" w:rsidP="009E0AC6">
      <w:pPr>
        <w:spacing w:after="0" w:line="360" w:lineRule="auto"/>
        <w:rPr>
          <w:rFonts w:cs="Tahoma"/>
          <w:bCs/>
          <w:iCs/>
          <w:color w:val="auto"/>
          <w:lang w:val="es-ES_tradnl"/>
        </w:rPr>
      </w:pPr>
      <w:r w:rsidRPr="00B176FB">
        <w:rPr>
          <w:rFonts w:cs="Tahoma"/>
          <w:bCs/>
          <w:iCs/>
          <w:color w:val="auto"/>
          <w:lang w:val="es-ES_tradnl"/>
        </w:rPr>
        <w:t>Lo anterior, se desprende de las documentales que obran en el expediente de referencia, materia de la presente resolución, consistentes en: la solicitud de acceso a la información; la respuesta proporcionada, el escrito recursal y el informe justificado; instrumentales que se toman en cuenta a efecto de resolver el presente medio de impugnación, conforme a lo dispuesto por el artículo 185, fracción IV, de la Ley de Transparencia y Acceso a la Información Pública del Estado de México y Municipios.</w:t>
      </w:r>
    </w:p>
    <w:p w14:paraId="0E5211FC" w14:textId="77777777" w:rsidR="009E0AC6" w:rsidRPr="00D10F38" w:rsidRDefault="009E0AC6" w:rsidP="009E0AC6">
      <w:pPr>
        <w:spacing w:after="0" w:line="360" w:lineRule="auto"/>
        <w:rPr>
          <w:bCs/>
          <w:color w:val="FF0000"/>
        </w:rPr>
      </w:pPr>
    </w:p>
    <w:p w14:paraId="7D88A152" w14:textId="77777777" w:rsidR="009E0AC6" w:rsidRPr="00D77DD2" w:rsidRDefault="009E0AC6" w:rsidP="009E0AC6">
      <w:pPr>
        <w:spacing w:after="0" w:line="360" w:lineRule="auto"/>
        <w:rPr>
          <w:rFonts w:eastAsia="Times New Roman" w:cs="Tahoma"/>
          <w:bCs/>
          <w:iCs/>
          <w:color w:val="auto"/>
          <w:lang w:eastAsia="es-ES"/>
        </w:rPr>
      </w:pPr>
      <w:r w:rsidRPr="005436F8">
        <w:rPr>
          <w:rFonts w:eastAsia="Times New Roman" w:cs="Tahoma"/>
          <w:bCs/>
          <w:iCs/>
          <w:color w:val="auto"/>
          <w:lang w:eastAsia="es-ES"/>
        </w:rPr>
        <w:t xml:space="preserve">Expuesto lo anterior, se procede al análisis del agravio hecho valer por el ahora Recurrente, concerniente a la entrega de información </w:t>
      </w:r>
      <w:r>
        <w:rPr>
          <w:rFonts w:eastAsia="Times New Roman" w:cs="Tahoma"/>
          <w:bCs/>
          <w:iCs/>
          <w:color w:val="auto"/>
          <w:lang w:eastAsia="es-ES"/>
        </w:rPr>
        <w:t>que no corresponde con lo solicitado</w:t>
      </w:r>
      <w:r w:rsidRPr="005436F8">
        <w:rPr>
          <w:rFonts w:eastAsia="Times New Roman" w:cs="Tahoma"/>
          <w:bCs/>
          <w:iCs/>
          <w:color w:val="auto"/>
          <w:lang w:eastAsia="es-ES"/>
        </w:rPr>
        <w:t>; por lo que, en principio es necesario contextualizar la solicitud de información.</w:t>
      </w:r>
    </w:p>
    <w:p w14:paraId="43C8DFAC" w14:textId="40D9E587" w:rsidR="009E0AC6" w:rsidRDefault="009E0AC6" w:rsidP="009E0AC6">
      <w:pPr>
        <w:spacing w:after="0" w:line="360" w:lineRule="auto"/>
        <w:contextualSpacing/>
        <w:rPr>
          <w:rFonts w:eastAsia="Times New Roman" w:cs="Tahoma"/>
          <w:bCs/>
          <w:iCs/>
          <w:color w:val="auto"/>
          <w:lang w:eastAsia="es-ES"/>
        </w:rPr>
      </w:pPr>
      <w:r>
        <w:rPr>
          <w:rFonts w:eastAsia="Times New Roman" w:cs="Tahoma"/>
          <w:bCs/>
          <w:iCs/>
          <w:color w:val="auto"/>
          <w:lang w:eastAsia="es-ES"/>
        </w:rPr>
        <w:lastRenderedPageBreak/>
        <w:t xml:space="preserve">En tal sentido la Ley Orgánica Municipal del Estado de México, contempla en sus artículos 56, 59, 64 </w:t>
      </w:r>
      <w:r w:rsidRPr="006B14EE">
        <w:rPr>
          <w:rFonts w:eastAsia="Times New Roman" w:cs="Tahoma"/>
          <w:bCs/>
          <w:iCs/>
          <w:color w:val="auto"/>
          <w:lang w:eastAsia="es-ES"/>
        </w:rPr>
        <w:t>fracción II,</w:t>
      </w:r>
      <w:r>
        <w:rPr>
          <w:rFonts w:eastAsia="Times New Roman" w:cs="Tahoma"/>
          <w:bCs/>
          <w:iCs/>
          <w:color w:val="auto"/>
          <w:lang w:eastAsia="es-ES"/>
        </w:rPr>
        <w:t xml:space="preserve"> 72 y 73 que s</w:t>
      </w:r>
      <w:r w:rsidRPr="002C4BC1">
        <w:rPr>
          <w:rFonts w:eastAsia="Times New Roman" w:cs="Tahoma"/>
          <w:bCs/>
          <w:iCs/>
          <w:color w:val="auto"/>
          <w:lang w:eastAsia="es-ES"/>
        </w:rPr>
        <w:t xml:space="preserve">on autoridades auxiliares municipales, las personas titulares de las delegaciones, subdelegaciones, jefaturas de sector, de sección y de manzana que designe el Ayuntamiento. </w:t>
      </w:r>
      <w:r w:rsidRPr="00E45048">
        <w:rPr>
          <w:rFonts w:eastAsia="Times New Roman" w:cs="Tahoma"/>
          <w:bCs/>
          <w:iCs/>
          <w:color w:val="auto"/>
          <w:lang w:eastAsia="es-ES"/>
        </w:rPr>
        <w:t>La elección de las personas titulares de las Delegaciones y Subdelegaciones será mediante voto libre, secreto y directo de las personas vecinas de la localidad y se sujetará al procedimiento establecido en la convocatoria que al efecto expida el Ayuntamiento</w:t>
      </w:r>
      <w:r>
        <w:rPr>
          <w:rFonts w:eastAsia="Times New Roman" w:cs="Tahoma"/>
          <w:bCs/>
          <w:iCs/>
          <w:color w:val="auto"/>
          <w:lang w:eastAsia="es-ES"/>
        </w:rPr>
        <w:t>.</w:t>
      </w:r>
    </w:p>
    <w:p w14:paraId="0C39983D" w14:textId="77777777" w:rsidR="009E0AC6" w:rsidRDefault="009E0AC6" w:rsidP="009E0AC6">
      <w:pPr>
        <w:spacing w:after="0" w:line="360" w:lineRule="auto"/>
        <w:contextualSpacing/>
        <w:rPr>
          <w:rFonts w:eastAsia="Times New Roman" w:cs="Tahoma"/>
          <w:bCs/>
          <w:iCs/>
          <w:color w:val="auto"/>
          <w:lang w:eastAsia="es-ES"/>
        </w:rPr>
      </w:pPr>
    </w:p>
    <w:p w14:paraId="18920BF8" w14:textId="799E6E1E" w:rsidR="009E0AC6" w:rsidRDefault="009E0AC6" w:rsidP="009E0AC6">
      <w:pPr>
        <w:spacing w:after="0" w:line="360" w:lineRule="auto"/>
        <w:contextualSpacing/>
        <w:rPr>
          <w:rFonts w:eastAsia="Times New Roman" w:cs="Tahoma"/>
          <w:bCs/>
          <w:iCs/>
          <w:color w:val="auto"/>
          <w:lang w:eastAsia="es-ES"/>
        </w:rPr>
      </w:pPr>
      <w:r>
        <w:rPr>
          <w:rFonts w:eastAsia="Times New Roman" w:cs="Tahoma"/>
          <w:bCs/>
          <w:iCs/>
          <w:color w:val="auto"/>
          <w:lang w:eastAsia="es-ES"/>
        </w:rPr>
        <w:t>Así mismo, que l</w:t>
      </w:r>
      <w:r w:rsidRPr="00E45048">
        <w:rPr>
          <w:rFonts w:eastAsia="Times New Roman" w:cs="Tahoma"/>
          <w:bCs/>
          <w:iCs/>
          <w:color w:val="auto"/>
          <w:lang w:eastAsia="es-ES"/>
        </w:rPr>
        <w:t xml:space="preserve">os </w:t>
      </w:r>
      <w:r w:rsidR="008415AE">
        <w:rPr>
          <w:rFonts w:eastAsia="Times New Roman" w:cs="Tahoma"/>
          <w:bCs/>
          <w:iCs/>
          <w:color w:val="auto"/>
          <w:lang w:eastAsia="es-ES"/>
        </w:rPr>
        <w:t>A</w:t>
      </w:r>
      <w:r w:rsidRPr="00E45048">
        <w:rPr>
          <w:rFonts w:eastAsia="Times New Roman" w:cs="Tahoma"/>
          <w:bCs/>
          <w:iCs/>
          <w:color w:val="auto"/>
          <w:lang w:eastAsia="es-ES"/>
        </w:rPr>
        <w:t xml:space="preserve">yuntamientos, para el eficaz desempeño de sus funciones públicas, podrán auxiliarse </w:t>
      </w:r>
      <w:r w:rsidR="006B14EE" w:rsidRPr="00E45048">
        <w:rPr>
          <w:rFonts w:eastAsia="Times New Roman" w:cs="Tahoma"/>
          <w:bCs/>
          <w:iCs/>
          <w:color w:val="auto"/>
          <w:lang w:eastAsia="es-ES"/>
        </w:rPr>
        <w:t>por</w:t>
      </w:r>
      <w:r w:rsidR="006B14EE">
        <w:rPr>
          <w:rFonts w:eastAsia="Times New Roman" w:cs="Tahoma"/>
          <w:bCs/>
          <w:iCs/>
          <w:color w:val="auto"/>
          <w:lang w:eastAsia="es-ES"/>
        </w:rPr>
        <w:t xml:space="preserve"> </w:t>
      </w:r>
      <w:r w:rsidR="006B14EE" w:rsidRPr="00E45048">
        <w:rPr>
          <w:rFonts w:eastAsia="Times New Roman" w:cs="Tahoma"/>
          <w:bCs/>
          <w:iCs/>
          <w:color w:val="auto"/>
          <w:lang w:eastAsia="es-ES"/>
        </w:rPr>
        <w:t>Consejos</w:t>
      </w:r>
      <w:r w:rsidRPr="00E45048">
        <w:rPr>
          <w:rFonts w:eastAsia="Times New Roman" w:cs="Tahoma"/>
          <w:bCs/>
          <w:iCs/>
          <w:color w:val="auto"/>
          <w:lang w:eastAsia="es-ES"/>
        </w:rPr>
        <w:t xml:space="preserve"> de </w:t>
      </w:r>
      <w:r w:rsidR="006B14EE">
        <w:rPr>
          <w:rFonts w:eastAsia="Times New Roman" w:cs="Tahoma"/>
          <w:bCs/>
          <w:iCs/>
          <w:color w:val="auto"/>
          <w:lang w:eastAsia="es-ES"/>
        </w:rPr>
        <w:t>P</w:t>
      </w:r>
      <w:r w:rsidRPr="00E45048">
        <w:rPr>
          <w:rFonts w:eastAsia="Times New Roman" w:cs="Tahoma"/>
          <w:bCs/>
          <w:iCs/>
          <w:color w:val="auto"/>
          <w:lang w:eastAsia="es-ES"/>
        </w:rPr>
        <w:t xml:space="preserve">articipación </w:t>
      </w:r>
      <w:r w:rsidR="006B14EE">
        <w:rPr>
          <w:rFonts w:eastAsia="Times New Roman" w:cs="Tahoma"/>
          <w:bCs/>
          <w:iCs/>
          <w:color w:val="auto"/>
          <w:lang w:eastAsia="es-ES"/>
        </w:rPr>
        <w:t>C</w:t>
      </w:r>
      <w:r w:rsidRPr="00E45048">
        <w:rPr>
          <w:rFonts w:eastAsia="Times New Roman" w:cs="Tahoma"/>
          <w:bCs/>
          <w:iCs/>
          <w:color w:val="auto"/>
          <w:lang w:eastAsia="es-ES"/>
        </w:rPr>
        <w:t>iudadana</w:t>
      </w:r>
      <w:r>
        <w:rPr>
          <w:rFonts w:eastAsia="Times New Roman" w:cs="Tahoma"/>
          <w:bCs/>
          <w:iCs/>
          <w:color w:val="auto"/>
          <w:lang w:eastAsia="es-ES"/>
        </w:rPr>
        <w:t xml:space="preserve"> para </w:t>
      </w:r>
      <w:r w:rsidRPr="00E45048">
        <w:rPr>
          <w:rFonts w:eastAsia="Times New Roman" w:cs="Tahoma"/>
          <w:bCs/>
          <w:iCs/>
          <w:color w:val="auto"/>
          <w:lang w:eastAsia="es-ES"/>
        </w:rPr>
        <w:t>la gestión, promoción y ejecución de los planes y programas municipales en las diversas materias</w:t>
      </w:r>
      <w:r>
        <w:rPr>
          <w:rFonts w:eastAsia="Times New Roman" w:cs="Tahoma"/>
          <w:bCs/>
          <w:iCs/>
          <w:color w:val="auto"/>
          <w:lang w:eastAsia="es-ES"/>
        </w:rPr>
        <w:t>.</w:t>
      </w:r>
    </w:p>
    <w:p w14:paraId="6990D9CC" w14:textId="77777777" w:rsidR="006B14EE" w:rsidRDefault="006B14EE" w:rsidP="009E0AC6">
      <w:pPr>
        <w:spacing w:after="0" w:line="360" w:lineRule="auto"/>
        <w:contextualSpacing/>
        <w:rPr>
          <w:rFonts w:eastAsia="Times New Roman" w:cs="Tahoma"/>
          <w:bCs/>
          <w:iCs/>
          <w:color w:val="auto"/>
          <w:lang w:eastAsia="es-ES"/>
        </w:rPr>
      </w:pPr>
    </w:p>
    <w:p w14:paraId="3430E636" w14:textId="401594D7" w:rsidR="009E0AC6" w:rsidRPr="00D25F37" w:rsidRDefault="009E0AC6" w:rsidP="009E0AC6">
      <w:pPr>
        <w:spacing w:after="0" w:line="360" w:lineRule="auto"/>
        <w:contextualSpacing/>
        <w:rPr>
          <w:rFonts w:eastAsia="Calibri" w:cs="Tahoma"/>
          <w:lang w:val="es-ES"/>
        </w:rPr>
      </w:pPr>
      <w:r w:rsidRPr="00D25F37">
        <w:rPr>
          <w:rFonts w:eastAsia="Calibri" w:cs="Tahoma"/>
          <w:lang w:val="es-ES"/>
        </w:rPr>
        <w:t xml:space="preserve">Cada </w:t>
      </w:r>
      <w:r w:rsidR="008415AE">
        <w:rPr>
          <w:rFonts w:eastAsia="Calibri" w:cs="Tahoma"/>
          <w:lang w:val="es-ES"/>
        </w:rPr>
        <w:t>C</w:t>
      </w:r>
      <w:r w:rsidRPr="00D25F37">
        <w:rPr>
          <w:rFonts w:eastAsia="Calibri" w:cs="Tahoma"/>
          <w:lang w:val="es-ES"/>
        </w:rPr>
        <w:t xml:space="preserve">onsejo de </w:t>
      </w:r>
      <w:r w:rsidR="008415AE">
        <w:rPr>
          <w:rFonts w:eastAsia="Calibri" w:cs="Tahoma"/>
          <w:lang w:val="es-ES"/>
        </w:rPr>
        <w:t>P</w:t>
      </w:r>
      <w:r w:rsidRPr="00D25F37">
        <w:rPr>
          <w:rFonts w:eastAsia="Calibri" w:cs="Tahoma"/>
          <w:lang w:val="es-ES"/>
        </w:rPr>
        <w:t xml:space="preserve">articipación </w:t>
      </w:r>
      <w:r w:rsidR="008415AE">
        <w:rPr>
          <w:rFonts w:eastAsia="Calibri" w:cs="Tahoma"/>
          <w:lang w:val="es-ES"/>
        </w:rPr>
        <w:t>C</w:t>
      </w:r>
      <w:r w:rsidRPr="00D25F37">
        <w:rPr>
          <w:rFonts w:eastAsia="Calibri" w:cs="Tahoma"/>
          <w:lang w:val="es-ES"/>
        </w:rPr>
        <w:t xml:space="preserve">iudadana </w:t>
      </w:r>
      <w:r w:rsidR="008415AE">
        <w:rPr>
          <w:rFonts w:eastAsia="Calibri" w:cs="Tahoma"/>
          <w:lang w:val="es-ES"/>
        </w:rPr>
        <w:t>M</w:t>
      </w:r>
      <w:r w:rsidRPr="00D25F37">
        <w:rPr>
          <w:rFonts w:eastAsia="Calibri" w:cs="Tahoma"/>
          <w:lang w:val="es-ES"/>
        </w:rPr>
        <w:t>unicipal se integrará hasta con cinco personas vecinas del municipio, con sus respectivos suplentes del mismo género o mujer, la integración de estos deberá observar los principios de igualdad, equidad y garantizar la paridad de género. De entre las personas que conformen el consejo una estará a cargo de la presidencia, una de la secretaría y una de la tesorería, en su caso dos vocales, que serán electos en las diversas localidades por habitantes de la comunidad, entre el segundo domingo de marzo y el 30 de ese mes del año inmediato siguiente a la elección del ayuntamiento, en la forma y términos que éste determine en la convocatoria que deberá aprobar y publicar el ayuntamiento en los lugares más visibles y concurridos de cada comunidad, cuando menos quince días antes de la elección.</w:t>
      </w:r>
    </w:p>
    <w:p w14:paraId="4E7AFA8E" w14:textId="77777777" w:rsidR="007F5219" w:rsidRDefault="007F5219" w:rsidP="009E0AC6">
      <w:pPr>
        <w:spacing w:after="0" w:line="360" w:lineRule="auto"/>
        <w:contextualSpacing/>
        <w:rPr>
          <w:rFonts w:eastAsia="Times New Roman" w:cs="Tahoma"/>
          <w:iCs/>
          <w:color w:val="auto"/>
          <w:lang w:eastAsia="es-ES"/>
        </w:rPr>
      </w:pPr>
    </w:p>
    <w:p w14:paraId="05DAFE32" w14:textId="495D2FB0" w:rsidR="008415AE" w:rsidRDefault="009E0AC6" w:rsidP="009E0AC6">
      <w:pPr>
        <w:spacing w:after="0" w:line="360" w:lineRule="auto"/>
        <w:contextualSpacing/>
        <w:rPr>
          <w:rFonts w:eastAsia="Times New Roman" w:cs="Tahoma"/>
          <w:iCs/>
          <w:color w:val="auto"/>
          <w:lang w:eastAsia="es-ES"/>
        </w:rPr>
      </w:pPr>
      <w:r>
        <w:rPr>
          <w:rFonts w:eastAsia="Times New Roman" w:cs="Tahoma"/>
          <w:iCs/>
          <w:color w:val="auto"/>
          <w:lang w:eastAsia="es-ES"/>
        </w:rPr>
        <w:t>Por su parte</w:t>
      </w:r>
      <w:r w:rsidR="008415AE">
        <w:rPr>
          <w:rFonts w:eastAsia="Times New Roman" w:cs="Tahoma"/>
          <w:iCs/>
          <w:color w:val="auto"/>
          <w:lang w:eastAsia="es-ES"/>
        </w:rPr>
        <w:t>,</w:t>
      </w:r>
      <w:r>
        <w:rPr>
          <w:rFonts w:eastAsia="Times New Roman" w:cs="Tahoma"/>
          <w:iCs/>
          <w:color w:val="auto"/>
          <w:lang w:eastAsia="es-ES"/>
        </w:rPr>
        <w:t xml:space="preserve"> el artículo 82 del Bando Municipal de Huixquilucan, contempla </w:t>
      </w:r>
      <w:r w:rsidR="00721C9B">
        <w:rPr>
          <w:rFonts w:eastAsia="Times New Roman" w:cs="Tahoma"/>
          <w:iCs/>
          <w:color w:val="auto"/>
          <w:lang w:eastAsia="es-ES"/>
        </w:rPr>
        <w:t>cuáles son las</w:t>
      </w:r>
      <w:r w:rsidRPr="0095682A">
        <w:rPr>
          <w:rFonts w:eastAsia="Times New Roman" w:cs="Tahoma"/>
          <w:iCs/>
          <w:color w:val="auto"/>
          <w:lang w:eastAsia="es-ES"/>
        </w:rPr>
        <w:t xml:space="preserve"> Autoridades Auxiliares del Municipio, </w:t>
      </w:r>
      <w:r w:rsidR="00721C9B">
        <w:rPr>
          <w:rFonts w:eastAsia="Times New Roman" w:cs="Tahoma"/>
          <w:iCs/>
          <w:color w:val="auto"/>
          <w:lang w:eastAsia="es-ES"/>
        </w:rPr>
        <w:t>entre las cuales se encuentran los Delegados Municipales y Consejos de Participación Ciudadana; por lo que, en el presente caso, requiere el teléfono y correo electrónico de aquellos entregados en respuesta.</w:t>
      </w:r>
    </w:p>
    <w:p w14:paraId="3BB103CD" w14:textId="77777777" w:rsidR="008415AE" w:rsidRDefault="008415AE" w:rsidP="009E0AC6">
      <w:pPr>
        <w:spacing w:after="0" w:line="360" w:lineRule="auto"/>
        <w:contextualSpacing/>
        <w:rPr>
          <w:rFonts w:eastAsia="Times New Roman" w:cs="Tahoma"/>
          <w:iCs/>
          <w:color w:val="auto"/>
          <w:lang w:eastAsia="es-ES"/>
        </w:rPr>
      </w:pPr>
    </w:p>
    <w:p w14:paraId="0847547F" w14:textId="09E35BFA" w:rsidR="009E0AC6" w:rsidRPr="00FA7127" w:rsidRDefault="00721C9B" w:rsidP="009E0AC6">
      <w:pPr>
        <w:spacing w:after="0" w:line="360" w:lineRule="auto"/>
        <w:contextualSpacing/>
      </w:pPr>
      <w:r>
        <w:t>Así</w:t>
      </w:r>
      <w:r w:rsidR="009E0AC6" w:rsidRPr="00544384">
        <w:t xml:space="preserve">, se procede analizar la respuesta entregada, para lo cual, es necesario precisar que de las constancias que obran en el expediente,  se advierte que el Ente Recurrido tunó la solicitud de </w:t>
      </w:r>
      <w:r w:rsidR="009E0AC6" w:rsidRPr="00544384">
        <w:lastRenderedPageBreak/>
        <w:t>información así como el requerimiento de informe justificado a la</w:t>
      </w:r>
      <w:r w:rsidR="009E0AC6">
        <w:t xml:space="preserve"> Secretaría del Ayuntamiento, </w:t>
      </w:r>
      <w:r w:rsidR="009E0AC6" w:rsidRPr="00544384">
        <w:t>por lo que resulta necesario hacer referencia al procedimiento de búsqueda que deben de seguir los Sujetos Obligados para localizar la</w:t>
      </w:r>
      <w:r w:rsidR="009E0AC6" w:rsidRPr="00FA7127">
        <w:t xml:space="preserve"> información, el cual se encuentra previsto en los artículos 160 y 162 de la Ley de Transparencia y Acceso a la Información Pública del Estado de México y Municipios, mismo que es el siguiente:</w:t>
      </w:r>
    </w:p>
    <w:p w14:paraId="33813799" w14:textId="77777777" w:rsidR="009E0AC6" w:rsidRPr="00FA7127" w:rsidRDefault="009E0AC6" w:rsidP="009E0AC6">
      <w:pPr>
        <w:spacing w:after="0" w:line="360" w:lineRule="auto"/>
        <w:contextualSpacing/>
      </w:pPr>
    </w:p>
    <w:p w14:paraId="7F3EA98B" w14:textId="77777777" w:rsidR="009E0AC6" w:rsidRPr="00FA7127" w:rsidRDefault="009E0AC6" w:rsidP="009E0AC6">
      <w:pPr>
        <w:numPr>
          <w:ilvl w:val="0"/>
          <w:numId w:val="13"/>
        </w:numPr>
        <w:spacing w:after="0" w:line="360" w:lineRule="auto"/>
        <w:ind w:left="709"/>
        <w:contextualSpacing/>
        <w:rPr>
          <w:rFonts w:cs="Tahoma"/>
          <w:color w:val="0D0D0D" w:themeColor="text1" w:themeTint="F2"/>
          <w:sz w:val="24"/>
          <w:lang w:val="es-ES"/>
        </w:rPr>
      </w:pPr>
      <w:r w:rsidRPr="00FA7127">
        <w:t>Las Unidades de Transparencia garantizarán que las solicitudes de acceso a la información se turnen a todas las áreas competentes que cuenten con la información o deban tenerla -de acuerdo a las facultades, competencias y funciones-, con el objeto de que dichas áreas realicen una búsqueda exhaustiva y razonable de la información requerida, y</w:t>
      </w:r>
    </w:p>
    <w:p w14:paraId="21FB25D8" w14:textId="77777777" w:rsidR="009E0AC6" w:rsidRPr="00FA7127" w:rsidRDefault="009E0AC6" w:rsidP="009E0AC6">
      <w:pPr>
        <w:spacing w:after="0" w:line="360" w:lineRule="auto"/>
        <w:ind w:left="709"/>
        <w:contextualSpacing/>
        <w:rPr>
          <w:rFonts w:cs="Tahoma"/>
          <w:color w:val="0D0D0D" w:themeColor="text1" w:themeTint="F2"/>
          <w:sz w:val="24"/>
          <w:szCs w:val="24"/>
          <w:lang w:val="es-ES"/>
        </w:rPr>
      </w:pPr>
    </w:p>
    <w:p w14:paraId="3AE79C1F" w14:textId="77777777" w:rsidR="009E0AC6" w:rsidRPr="00FA7127" w:rsidRDefault="009E0AC6" w:rsidP="009E0AC6">
      <w:pPr>
        <w:numPr>
          <w:ilvl w:val="0"/>
          <w:numId w:val="13"/>
        </w:numPr>
        <w:spacing w:after="0" w:line="360" w:lineRule="auto"/>
        <w:ind w:left="709"/>
        <w:contextualSpacing/>
        <w:rPr>
          <w:rFonts w:cs="Times New Roman"/>
          <w:color w:val="auto"/>
        </w:rPr>
      </w:pPr>
      <w:r w:rsidRPr="00FA7127">
        <w:t>Los sujetos obligados otorgaran acceso a los documentos que se encuentren en sus archivos o que estén obligados a documentar de acuerdo con sus facultades, competencias o funciones, en el formato en que la solicitante manifieste, de entre aquellos formatos existentes.</w:t>
      </w:r>
    </w:p>
    <w:p w14:paraId="625D2421" w14:textId="77777777" w:rsidR="009E0AC6" w:rsidRDefault="009E0AC6" w:rsidP="009E0AC6">
      <w:pPr>
        <w:spacing w:after="0" w:line="360" w:lineRule="auto"/>
        <w:contextualSpacing/>
      </w:pPr>
      <w:r>
        <w:t xml:space="preserve"> </w:t>
      </w:r>
    </w:p>
    <w:p w14:paraId="36BF3C22" w14:textId="77777777" w:rsidR="00164349" w:rsidRDefault="009E0AC6" w:rsidP="009E0AC6">
      <w:pPr>
        <w:spacing w:after="0" w:line="360" w:lineRule="auto"/>
        <w:contextualSpacing/>
      </w:pPr>
      <w:r w:rsidRPr="00FA7127">
        <w:t>Así, a efecto de determinar si el Sujeto Obligado cumplió con el procedimiento de búsqueda, resulta necesario traer a colación</w:t>
      </w:r>
      <w:r w:rsidR="00721C9B">
        <w:t xml:space="preserve"> los artículos 63</w:t>
      </w:r>
      <w:r w:rsidR="00164349">
        <w:t xml:space="preserve"> y 64</w:t>
      </w:r>
      <w:r w:rsidR="00721C9B">
        <w:t xml:space="preserve"> del Reglamento Orgánico de la Administración Pública Municipal </w:t>
      </w:r>
      <w:r w:rsidR="00164349">
        <w:t>de Huixquilucan que precisa que el Sujeto Obligado contará con una Secretaría del Ayuntamiento, encargada de ser el vínculo entre las autoridades auxiliares y el Gobierno Municipal; para lograr lo anterior, dicha área contará con una Dirección de Gobierno.</w:t>
      </w:r>
    </w:p>
    <w:p w14:paraId="0B2501E6" w14:textId="77777777" w:rsidR="00164349" w:rsidRDefault="00164349" w:rsidP="009E0AC6">
      <w:pPr>
        <w:spacing w:after="0" w:line="360" w:lineRule="auto"/>
        <w:contextualSpacing/>
      </w:pPr>
    </w:p>
    <w:p w14:paraId="45BE661F" w14:textId="7923BB0E" w:rsidR="00721C9B" w:rsidRDefault="00164349" w:rsidP="009E0AC6">
      <w:pPr>
        <w:spacing w:after="0" w:line="360" w:lineRule="auto"/>
        <w:contextualSpacing/>
      </w:pPr>
      <w:r>
        <w:t xml:space="preserve">Además, el Manual de Organización de la Secretaría del Ayuntamiento </w:t>
      </w:r>
      <w:r w:rsidR="001766C5">
        <w:t>precisa que el Departamento de Enlace con Autoridades Auxiliares de la Dirección de Gobierno, encargado de mantener una relación con las autoridades auxiliares.</w:t>
      </w:r>
      <w:r>
        <w:t xml:space="preserve"> </w:t>
      </w:r>
    </w:p>
    <w:p w14:paraId="17604041" w14:textId="2A08A2F8" w:rsidR="009E0AC6" w:rsidRDefault="009E0AC6" w:rsidP="009E0AC6">
      <w:pPr>
        <w:spacing w:after="0" w:line="360" w:lineRule="auto"/>
        <w:contextualSpacing/>
      </w:pPr>
      <w:r w:rsidRPr="00FA7127">
        <w:lastRenderedPageBreak/>
        <w:t xml:space="preserve">De tales circunstancias, se logra vislumbrar que el </w:t>
      </w:r>
      <w:r>
        <w:t xml:space="preserve">Ayuntamiento de Huixquilucan </w:t>
      </w:r>
      <w:r w:rsidRPr="00FA7127">
        <w:t xml:space="preserve">cumplió con el procedimiento de búsqueda establecido en el artículo 162 de la Ley de Transparencia y Acceso a la Información Pública del Estado de México y Municipios, toda vez que </w:t>
      </w:r>
      <w:r>
        <w:t xml:space="preserve"> turnó la solicitud de información al área con atribuciones para conocer </w:t>
      </w:r>
      <w:r w:rsidR="001766C5">
        <w:t>de lo peticionado.</w:t>
      </w:r>
    </w:p>
    <w:p w14:paraId="244F0C9B" w14:textId="77777777" w:rsidR="001766C5" w:rsidRDefault="001766C5" w:rsidP="009E0AC6">
      <w:pPr>
        <w:spacing w:after="0" w:line="360" w:lineRule="auto"/>
        <w:contextualSpacing/>
        <w:rPr>
          <w:rFonts w:eastAsia="Calibri" w:cs="Times New Roman"/>
        </w:rPr>
      </w:pPr>
    </w:p>
    <w:p w14:paraId="628DB7AE" w14:textId="2634626A" w:rsidR="009E0AC6" w:rsidRDefault="009E0AC6" w:rsidP="009E0AC6">
      <w:pPr>
        <w:spacing w:after="0" w:line="360" w:lineRule="auto"/>
        <w:contextualSpacing/>
        <w:rPr>
          <w:rFonts w:eastAsia="Calibri" w:cs="Times New Roman"/>
        </w:rPr>
      </w:pPr>
      <w:r w:rsidRPr="00733773">
        <w:rPr>
          <w:rFonts w:eastAsia="Calibri" w:cs="Times New Roman"/>
        </w:rPr>
        <w:t xml:space="preserve">Sentado lo anterior, es de hacerse referencia que en respuesta, el Sujeto Obligado </w:t>
      </w:r>
      <w:r>
        <w:rPr>
          <w:rFonts w:eastAsia="Calibri" w:cs="Times New Roman"/>
        </w:rPr>
        <w:t>remitió la información de los Delegados y Consejos de Participación Ciudadana, de cuarenta y nueve localidades</w:t>
      </w:r>
      <w:r w:rsidR="00D80410">
        <w:rPr>
          <w:rFonts w:eastAsia="Calibri" w:cs="Times New Roman"/>
        </w:rPr>
        <w:t>,</w:t>
      </w:r>
      <w:r>
        <w:rPr>
          <w:rFonts w:eastAsia="Calibri" w:cs="Times New Roman"/>
        </w:rPr>
        <w:t xml:space="preserve"> como se observa en el extracto siguiente:</w:t>
      </w:r>
    </w:p>
    <w:p w14:paraId="4E2FF94F" w14:textId="25C9CF41" w:rsidR="009E0AC6" w:rsidRDefault="009E0AC6" w:rsidP="009E0AC6">
      <w:pPr>
        <w:spacing w:after="0" w:line="360" w:lineRule="auto"/>
        <w:contextualSpacing/>
        <w:rPr>
          <w:noProof/>
        </w:rPr>
      </w:pPr>
    </w:p>
    <w:p w14:paraId="217C3AF8" w14:textId="77777777" w:rsidR="009E0AC6" w:rsidRDefault="009E0AC6" w:rsidP="009E0AC6">
      <w:pPr>
        <w:spacing w:after="0" w:line="360" w:lineRule="auto"/>
        <w:contextualSpacing/>
        <w:jc w:val="center"/>
        <w:rPr>
          <w:rFonts w:eastAsia="Calibri" w:cs="Times New Roman"/>
        </w:rPr>
      </w:pPr>
      <w:r>
        <w:rPr>
          <w:noProof/>
          <w:lang w:eastAsia="es-MX"/>
        </w:rPr>
        <w:drawing>
          <wp:inline distT="0" distB="0" distL="0" distR="0" wp14:anchorId="51F122DD" wp14:editId="25CB9ACE">
            <wp:extent cx="4555703" cy="5982335"/>
            <wp:effectExtent l="0" t="8573" r="7938" b="7937"/>
            <wp:docPr id="582634149" name="Image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82634149" name=""/>
                    <pic:cNvPicPr/>
                  </pic:nvPicPr>
                  <pic:blipFill rotWithShape="1">
                    <a:blip r:embed="rId8"/>
                    <a:srcRect l="25404" t="20527" r="42424" b="6751"/>
                    <a:stretch/>
                  </pic:blipFill>
                  <pic:spPr bwMode="auto">
                    <a:xfrm rot="5400000">
                      <a:off x="0" y="0"/>
                      <a:ext cx="4577952" cy="6011551"/>
                    </a:xfrm>
                    <a:prstGeom prst="rect">
                      <a:avLst/>
                    </a:prstGeom>
                    <a:ln>
                      <a:noFill/>
                    </a:ln>
                    <a:extLst>
                      <a:ext uri="{53640926-AAD7-44D8-BBD7-CCE9431645EC}">
                        <a14:shadowObscured xmlns:a14="http://schemas.microsoft.com/office/drawing/2010/main"/>
                      </a:ext>
                    </a:extLst>
                  </pic:spPr>
                </pic:pic>
              </a:graphicData>
            </a:graphic>
          </wp:inline>
        </w:drawing>
      </w:r>
    </w:p>
    <w:p w14:paraId="35EF0BD2" w14:textId="77777777" w:rsidR="009E0AC6" w:rsidRDefault="009E0AC6" w:rsidP="009E0AC6">
      <w:pPr>
        <w:spacing w:after="0" w:line="360" w:lineRule="auto"/>
        <w:contextualSpacing/>
        <w:rPr>
          <w:rFonts w:eastAsia="Calibri" w:cs="Times New Roman"/>
        </w:rPr>
      </w:pPr>
    </w:p>
    <w:p w14:paraId="2EA534F5" w14:textId="77777777" w:rsidR="009E0AC6" w:rsidRDefault="009E0AC6" w:rsidP="009E0AC6">
      <w:pPr>
        <w:spacing w:after="0" w:line="360" w:lineRule="auto"/>
        <w:contextualSpacing/>
        <w:rPr>
          <w:rFonts w:eastAsia="Calibri" w:cs="Times New Roman"/>
        </w:rPr>
      </w:pPr>
      <w:r>
        <w:rPr>
          <w:rFonts w:eastAsia="Calibri" w:cs="Times New Roman"/>
        </w:rPr>
        <w:lastRenderedPageBreak/>
        <w:t xml:space="preserve">En tal sentido, este Instituto pudo acceder a la </w:t>
      </w:r>
      <w:r w:rsidRPr="00726D76">
        <w:rPr>
          <w:rFonts w:eastAsia="Calibri" w:cs="Times New Roman"/>
        </w:rPr>
        <w:t xml:space="preserve">Convocatoria para la </w:t>
      </w:r>
      <w:r>
        <w:rPr>
          <w:rFonts w:eastAsia="Calibri" w:cs="Times New Roman"/>
        </w:rPr>
        <w:t>Elección d</w:t>
      </w:r>
      <w:r w:rsidRPr="00726D76">
        <w:rPr>
          <w:rFonts w:eastAsia="Calibri" w:cs="Times New Roman"/>
        </w:rPr>
        <w:t>e Autoridades Aux</w:t>
      </w:r>
      <w:r>
        <w:rPr>
          <w:rFonts w:eastAsia="Calibri" w:cs="Times New Roman"/>
        </w:rPr>
        <w:t>iliares Municipales y Consejos de Participación Ciudadana para e</w:t>
      </w:r>
      <w:r w:rsidRPr="00726D76">
        <w:rPr>
          <w:rFonts w:eastAsia="Calibri" w:cs="Times New Roman"/>
        </w:rPr>
        <w:t>l Periodo 2022-2024</w:t>
      </w:r>
      <w:r>
        <w:rPr>
          <w:rFonts w:eastAsia="Calibri" w:cs="Times New Roman"/>
        </w:rPr>
        <w:t>, donde se especifican las localidades que participarían en dicho proceso, las cuales fueron las siguientes:</w:t>
      </w:r>
    </w:p>
    <w:p w14:paraId="12ED614A" w14:textId="77777777" w:rsidR="009E0AC6" w:rsidRDefault="009E0AC6" w:rsidP="009E0AC6">
      <w:pPr>
        <w:spacing w:after="0" w:line="360" w:lineRule="auto"/>
        <w:contextualSpacing/>
        <w:rPr>
          <w:rFonts w:eastAsia="Calibri" w:cs="Times New Roman"/>
        </w:rPr>
      </w:pPr>
    </w:p>
    <w:p w14:paraId="49537EE6" w14:textId="77777777" w:rsidR="009E0AC6" w:rsidRDefault="009E0AC6" w:rsidP="009E0AC6">
      <w:pPr>
        <w:spacing w:after="0" w:line="360" w:lineRule="auto"/>
        <w:contextualSpacing/>
        <w:jc w:val="center"/>
        <w:rPr>
          <w:rFonts w:eastAsia="Calibri" w:cs="Times New Roman"/>
        </w:rPr>
      </w:pPr>
      <w:r>
        <w:rPr>
          <w:noProof/>
          <w:lang w:eastAsia="es-MX"/>
        </w:rPr>
        <w:drawing>
          <wp:inline distT="0" distB="0" distL="0" distR="0" wp14:anchorId="0ADF6653" wp14:editId="3765221E">
            <wp:extent cx="3232150" cy="3213467"/>
            <wp:effectExtent l="0" t="0" r="6350" b="6350"/>
            <wp:docPr id="1469712238" name="Image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69712238" name=""/>
                    <pic:cNvPicPr/>
                  </pic:nvPicPr>
                  <pic:blipFill rotWithShape="1">
                    <a:blip r:embed="rId9"/>
                    <a:srcRect t="18915" r="62065" b="14002"/>
                    <a:stretch/>
                  </pic:blipFill>
                  <pic:spPr bwMode="auto">
                    <a:xfrm>
                      <a:off x="0" y="0"/>
                      <a:ext cx="3236948" cy="3218238"/>
                    </a:xfrm>
                    <a:prstGeom prst="rect">
                      <a:avLst/>
                    </a:prstGeom>
                    <a:ln>
                      <a:noFill/>
                    </a:ln>
                    <a:extLst>
                      <a:ext uri="{53640926-AAD7-44D8-BBD7-CCE9431645EC}">
                        <a14:shadowObscured xmlns:a14="http://schemas.microsoft.com/office/drawing/2010/main"/>
                      </a:ext>
                    </a:extLst>
                  </pic:spPr>
                </pic:pic>
              </a:graphicData>
            </a:graphic>
          </wp:inline>
        </w:drawing>
      </w:r>
    </w:p>
    <w:p w14:paraId="233807D0" w14:textId="77777777" w:rsidR="009E0AC6" w:rsidRDefault="009E0AC6" w:rsidP="009E0AC6">
      <w:pPr>
        <w:spacing w:after="0" w:line="360" w:lineRule="auto"/>
        <w:contextualSpacing/>
        <w:jc w:val="center"/>
        <w:rPr>
          <w:rFonts w:eastAsia="Calibri" w:cs="Times New Roman"/>
        </w:rPr>
      </w:pPr>
      <w:r>
        <w:rPr>
          <w:noProof/>
          <w:lang w:eastAsia="es-MX"/>
        </w:rPr>
        <w:drawing>
          <wp:inline distT="0" distB="0" distL="0" distR="0" wp14:anchorId="3DDAB9EE" wp14:editId="0B1BC1EC">
            <wp:extent cx="2578100" cy="2077056"/>
            <wp:effectExtent l="0" t="0" r="0" b="0"/>
            <wp:docPr id="870409176" name="Image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70409176" name=""/>
                    <pic:cNvPicPr/>
                  </pic:nvPicPr>
                  <pic:blipFill rotWithShape="1">
                    <a:blip r:embed="rId10"/>
                    <a:srcRect l="2741" t="37051" r="66232" b="18487"/>
                    <a:stretch/>
                  </pic:blipFill>
                  <pic:spPr bwMode="auto">
                    <a:xfrm>
                      <a:off x="0" y="0"/>
                      <a:ext cx="2581209" cy="2079561"/>
                    </a:xfrm>
                    <a:prstGeom prst="rect">
                      <a:avLst/>
                    </a:prstGeom>
                    <a:ln>
                      <a:noFill/>
                    </a:ln>
                    <a:extLst>
                      <a:ext uri="{53640926-AAD7-44D8-BBD7-CCE9431645EC}">
                        <a14:shadowObscured xmlns:a14="http://schemas.microsoft.com/office/drawing/2010/main"/>
                      </a:ext>
                    </a:extLst>
                  </pic:spPr>
                </pic:pic>
              </a:graphicData>
            </a:graphic>
          </wp:inline>
        </w:drawing>
      </w:r>
      <w:r>
        <w:rPr>
          <w:noProof/>
          <w:lang w:eastAsia="es-MX"/>
        </w:rPr>
        <w:drawing>
          <wp:inline distT="0" distB="0" distL="0" distR="0" wp14:anchorId="42EB21C6" wp14:editId="517B74C2">
            <wp:extent cx="1892300" cy="2362924"/>
            <wp:effectExtent l="0" t="0" r="0" b="0"/>
            <wp:docPr id="940404320" name="Image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40404320" name=""/>
                    <pic:cNvPicPr/>
                  </pic:nvPicPr>
                  <pic:blipFill rotWithShape="1">
                    <a:blip r:embed="rId11"/>
                    <a:srcRect l="37715" t="22816" r="41125" b="30187"/>
                    <a:stretch/>
                  </pic:blipFill>
                  <pic:spPr bwMode="auto">
                    <a:xfrm>
                      <a:off x="0" y="0"/>
                      <a:ext cx="1893883" cy="2364901"/>
                    </a:xfrm>
                    <a:prstGeom prst="rect">
                      <a:avLst/>
                    </a:prstGeom>
                    <a:ln>
                      <a:noFill/>
                    </a:ln>
                    <a:extLst>
                      <a:ext uri="{53640926-AAD7-44D8-BBD7-CCE9431645EC}">
                        <a14:shadowObscured xmlns:a14="http://schemas.microsoft.com/office/drawing/2010/main"/>
                      </a:ext>
                    </a:extLst>
                  </pic:spPr>
                </pic:pic>
              </a:graphicData>
            </a:graphic>
          </wp:inline>
        </w:drawing>
      </w:r>
    </w:p>
    <w:p w14:paraId="37906A44" w14:textId="77777777" w:rsidR="009E0AC6" w:rsidRDefault="009E0AC6" w:rsidP="009E0AC6">
      <w:pPr>
        <w:spacing w:after="0" w:line="360" w:lineRule="auto"/>
        <w:contextualSpacing/>
        <w:rPr>
          <w:rFonts w:eastAsia="Calibri" w:cs="Times New Roman"/>
        </w:rPr>
      </w:pPr>
    </w:p>
    <w:p w14:paraId="3A4972EB" w14:textId="77777777" w:rsidR="009E0AC6" w:rsidRDefault="009E0AC6" w:rsidP="009E0AC6">
      <w:pPr>
        <w:spacing w:after="0" w:line="360" w:lineRule="auto"/>
        <w:contextualSpacing/>
        <w:rPr>
          <w:rFonts w:eastAsia="Calibri" w:cs="Times New Roman"/>
        </w:rPr>
      </w:pPr>
    </w:p>
    <w:p w14:paraId="01B108B9" w14:textId="56C6B7D6" w:rsidR="00D80410" w:rsidRDefault="009E0AC6" w:rsidP="009E0AC6">
      <w:pPr>
        <w:spacing w:after="0" w:line="360" w:lineRule="auto"/>
        <w:contextualSpacing/>
        <w:rPr>
          <w:rFonts w:eastAsia="Calibri" w:cs="Times New Roman"/>
        </w:rPr>
      </w:pPr>
      <w:r>
        <w:rPr>
          <w:rFonts w:eastAsia="Calibri" w:cs="Times New Roman"/>
        </w:rPr>
        <w:lastRenderedPageBreak/>
        <w:t>En ese sentido del contraste de la información remitida, este coincide con las localidades que podían participar en el proceso de elección de Delgados y Consejos de Participación Ciudadana</w:t>
      </w:r>
      <w:r w:rsidR="00D80410">
        <w:rPr>
          <w:rFonts w:eastAsia="Calibri" w:cs="Times New Roman"/>
        </w:rPr>
        <w:t>; sin embargo, únicamente refirió que proporcionaba la información que obraba en sus archivos, sin mencionar si contaba con los datos de contacto de dichas autoridades auxiliares.</w:t>
      </w:r>
    </w:p>
    <w:p w14:paraId="047A3F2F" w14:textId="77777777" w:rsidR="00D80410" w:rsidRDefault="00D80410" w:rsidP="009E0AC6">
      <w:pPr>
        <w:spacing w:after="0" w:line="360" w:lineRule="auto"/>
        <w:contextualSpacing/>
        <w:rPr>
          <w:rFonts w:eastAsia="Calibri" w:cs="Times New Roman"/>
        </w:rPr>
      </w:pPr>
    </w:p>
    <w:p w14:paraId="3696C9F0" w14:textId="334ADA9A" w:rsidR="00D80410" w:rsidRDefault="00D80410" w:rsidP="00D80410">
      <w:pPr>
        <w:spacing w:after="0" w:line="360" w:lineRule="auto"/>
        <w:rPr>
          <w:rFonts w:eastAsia="Palatino Linotype" w:cs="Palatino Linotype"/>
          <w:color w:val="000000"/>
        </w:rPr>
      </w:pPr>
      <w:r>
        <w:rPr>
          <w:rFonts w:eastAsia="Palatino Linotype" w:cs="Palatino Linotype"/>
          <w:color w:val="000000"/>
        </w:rPr>
        <w:t>De tal circunstancia, se logra vislumbrar que omitió realizar un pronunciamiento expreso sobre el teléfono y correo de las autoridades entregadas en respuesta</w:t>
      </w:r>
      <w:r>
        <w:rPr>
          <w:rFonts w:eastAsia="Palatino Linotype" w:cs="Palatino Linotype"/>
          <w:color w:val="0D0D0D"/>
        </w:rPr>
        <w:t xml:space="preserve">; </w:t>
      </w:r>
      <w:r>
        <w:rPr>
          <w:rFonts w:eastAsia="Palatino Linotype" w:cs="Palatino Linotype"/>
          <w:color w:val="000000"/>
        </w:rPr>
        <w:t>sobre el tema, el artículo 1.8, fracción XIII, del Código Administrativo del Estado de México, establece que para que tenga validez, todo acto administrativo deberá resolver todos los puntos propuestos por los interesados.</w:t>
      </w:r>
    </w:p>
    <w:p w14:paraId="51CDDF18" w14:textId="77777777" w:rsidR="00D80410" w:rsidRDefault="00D80410" w:rsidP="00D80410">
      <w:pPr>
        <w:widowControl w:val="0"/>
        <w:spacing w:after="0" w:line="360" w:lineRule="auto"/>
        <w:rPr>
          <w:rFonts w:eastAsia="Palatino Linotype" w:cs="Palatino Linotype"/>
          <w:color w:val="000000"/>
        </w:rPr>
      </w:pPr>
    </w:p>
    <w:p w14:paraId="61F46C91" w14:textId="59B11106" w:rsidR="00D80410" w:rsidRDefault="00D80410" w:rsidP="00D80410">
      <w:pPr>
        <w:tabs>
          <w:tab w:val="center" w:pos="4522"/>
        </w:tabs>
        <w:spacing w:after="0" w:line="360" w:lineRule="auto"/>
        <w:rPr>
          <w:rFonts w:eastAsia="Palatino Linotype" w:cs="Palatino Linotype"/>
          <w:color w:val="000000"/>
        </w:rPr>
      </w:pPr>
      <w:r>
        <w:rPr>
          <w:rFonts w:eastAsia="Palatino Linotype" w:cs="Palatino Linotype"/>
          <w:color w:val="000000"/>
        </w:rPr>
        <w:t>Situación que se robustece, con el</w:t>
      </w:r>
      <w:r>
        <w:rPr>
          <w:rFonts w:eastAsia="Palatino Linotype" w:cs="Palatino Linotype"/>
        </w:rPr>
        <w:t xml:space="preserve"> Criterio de Interpretación, con clave de control SO/002/2017, de la Segunda Época, emitido por el Instituto Nacional de Transparencia, Acceso a la Información y Protección de Datos Personales, que </w:t>
      </w:r>
      <w:r>
        <w:rPr>
          <w:rFonts w:eastAsia="Palatino Linotype" w:cs="Palatino Linotype"/>
          <w:color w:val="000000"/>
        </w:rPr>
        <w:t xml:space="preserve">establece que todo acto administrativo debe apegarse al </w:t>
      </w:r>
      <w:r>
        <w:rPr>
          <w:rFonts w:eastAsia="Palatino Linotype" w:cs="Palatino Linotype"/>
          <w:b/>
          <w:color w:val="000000"/>
        </w:rPr>
        <w:t>principio de exhaustividad</w:t>
      </w:r>
      <w:r>
        <w:rPr>
          <w:rFonts w:eastAsia="Palatino Linotype" w:cs="Palatino Linotype"/>
          <w:color w:val="000000"/>
        </w:rPr>
        <w:t>, entendiendo por éste que se pronuncie expresamente sobre cada uno de los puntos requeridos, lo cual en materia de transparencia y acceso a la información pública se traduce en que, las respuestas que emitan los sujetos obligados, deben guardar una relación lógica con lo solicitado, analizando y decidiendo –de marea íntegra- sobre todos los puntos requeridos, a fin de satisfacer la solicitud correspondiente.</w:t>
      </w:r>
    </w:p>
    <w:p w14:paraId="78F5D023" w14:textId="77777777" w:rsidR="00D80410" w:rsidRDefault="00D80410" w:rsidP="00D80410">
      <w:pPr>
        <w:spacing w:after="0" w:line="360" w:lineRule="auto"/>
        <w:rPr>
          <w:rFonts w:eastAsia="Palatino Linotype" w:cs="Palatino Linotype"/>
          <w:color w:val="000000"/>
        </w:rPr>
      </w:pPr>
    </w:p>
    <w:p w14:paraId="51EC40FB" w14:textId="51620B5B" w:rsidR="009E0AC6" w:rsidRDefault="00D80410" w:rsidP="009E0AC6">
      <w:pPr>
        <w:spacing w:after="0" w:line="360" w:lineRule="auto"/>
        <w:rPr>
          <w:rFonts w:eastAsia="Calibri" w:cs="Times New Roman"/>
        </w:rPr>
      </w:pPr>
      <w:r>
        <w:rPr>
          <w:rFonts w:eastAsia="Palatino Linotype" w:cs="Palatino Linotype"/>
          <w:color w:val="000000"/>
        </w:rPr>
        <w:t xml:space="preserve">En esa tesitura, se concluye que el Sujeto Obligado no satisfizo el derecho de acceso a la información del Solicitante, pues omitió pronunciarse sobre los datos faltantes; no obstante, durante la sustanciación del Medio de Impugnación, el área competente refirió que </w:t>
      </w:r>
      <w:r w:rsidR="009E0AC6">
        <w:rPr>
          <w:rFonts w:eastAsia="Calibri" w:cs="Times New Roman"/>
        </w:rPr>
        <w:t xml:space="preserve">no contaba </w:t>
      </w:r>
      <w:r w:rsidR="009E0AC6" w:rsidRPr="00287935">
        <w:rPr>
          <w:rFonts w:eastAsia="Calibri" w:cs="Times New Roman"/>
        </w:rPr>
        <w:t xml:space="preserve"> con </w:t>
      </w:r>
      <w:r>
        <w:rPr>
          <w:rFonts w:eastAsia="Calibri" w:cs="Times New Roman"/>
        </w:rPr>
        <w:t>datos de contacto</w:t>
      </w:r>
      <w:r w:rsidR="009E0AC6" w:rsidRPr="00287935">
        <w:rPr>
          <w:rFonts w:eastAsia="Calibri" w:cs="Times New Roman"/>
        </w:rPr>
        <w:t xml:space="preserve"> de las autoridades auxiliares, toda vez que esa información no la genera</w:t>
      </w:r>
      <w:r>
        <w:rPr>
          <w:rFonts w:eastAsia="Calibri" w:cs="Times New Roman"/>
        </w:rPr>
        <w:t>ba</w:t>
      </w:r>
      <w:r w:rsidR="009E0AC6" w:rsidRPr="00287935">
        <w:rPr>
          <w:rFonts w:eastAsia="Calibri" w:cs="Times New Roman"/>
        </w:rPr>
        <w:t>, no la resguarda</w:t>
      </w:r>
      <w:r>
        <w:rPr>
          <w:rFonts w:eastAsia="Calibri" w:cs="Times New Roman"/>
        </w:rPr>
        <w:t>ba</w:t>
      </w:r>
      <w:r w:rsidR="009E0AC6" w:rsidRPr="00287935">
        <w:rPr>
          <w:rFonts w:eastAsia="Calibri" w:cs="Times New Roman"/>
        </w:rPr>
        <w:t>, ni administra</w:t>
      </w:r>
      <w:r>
        <w:rPr>
          <w:rFonts w:eastAsia="Calibri" w:cs="Times New Roman"/>
        </w:rPr>
        <w:t>ba o poseía</w:t>
      </w:r>
      <w:r w:rsidR="009E0AC6">
        <w:rPr>
          <w:rFonts w:eastAsia="Calibri" w:cs="Times New Roman"/>
        </w:rPr>
        <w:t xml:space="preserve">, por lo que refirió que era inexistente. </w:t>
      </w:r>
    </w:p>
    <w:p w14:paraId="6F85C3AF" w14:textId="77777777" w:rsidR="009E0AC6" w:rsidRDefault="009E0AC6" w:rsidP="009E0AC6">
      <w:pPr>
        <w:spacing w:after="0" w:line="360" w:lineRule="auto"/>
        <w:contextualSpacing/>
        <w:rPr>
          <w:rFonts w:eastAsia="Calibri" w:cs="Times New Roman"/>
        </w:rPr>
      </w:pPr>
    </w:p>
    <w:p w14:paraId="79B0FCFE" w14:textId="77777777" w:rsidR="009E0AC6" w:rsidRPr="00E443C0" w:rsidRDefault="009E0AC6" w:rsidP="009E0AC6">
      <w:pPr>
        <w:spacing w:after="0" w:line="360" w:lineRule="auto"/>
        <w:contextualSpacing/>
        <w:rPr>
          <w:rFonts w:eastAsia="Calibri" w:cs="Times New Roman"/>
        </w:rPr>
      </w:pPr>
      <w:r w:rsidRPr="00E443C0">
        <w:rPr>
          <w:rFonts w:eastAsia="Calibri" w:cs="Times New Roman"/>
        </w:rPr>
        <w:lastRenderedPageBreak/>
        <w:t xml:space="preserve">Sobre el tema, el Criterio SO/014/2017, emitido por el Instituto Nacional de Transparencia, Acceso a la Información Pública y Protección de Datos Personales en el Estado de México y Municipios, se desprende que la inexistencia de la información, es una cuestión de hecho que se le atribuye a la misma, cuando ésta no se encuentra en los archivos del sujeto obligado. </w:t>
      </w:r>
    </w:p>
    <w:p w14:paraId="15E6962F" w14:textId="77777777" w:rsidR="009E0AC6" w:rsidRPr="00E443C0" w:rsidRDefault="009E0AC6" w:rsidP="009E0AC6">
      <w:pPr>
        <w:spacing w:after="0" w:line="360" w:lineRule="auto"/>
        <w:contextualSpacing/>
        <w:rPr>
          <w:rFonts w:eastAsia="Calibri" w:cs="Times New Roman"/>
        </w:rPr>
      </w:pPr>
    </w:p>
    <w:p w14:paraId="4A1C50EE" w14:textId="77777777" w:rsidR="009E0AC6" w:rsidRPr="00E443C0" w:rsidRDefault="009E0AC6" w:rsidP="009E0AC6">
      <w:pPr>
        <w:spacing w:after="0" w:line="360" w:lineRule="auto"/>
        <w:contextualSpacing/>
        <w:rPr>
          <w:rFonts w:eastAsia="Calibri" w:cs="Times New Roman"/>
        </w:rPr>
      </w:pPr>
      <w:r w:rsidRPr="00E443C0">
        <w:rPr>
          <w:rFonts w:eastAsia="Calibri" w:cs="Times New Roman"/>
        </w:rPr>
        <w:t>En ese orden de ideas, según Trujillo, Humberto (2019), en el “Diccionario de Transparencia y Acceso a la Información Pública” (p. 171), la inexistencia de la información, es cuando la información requerida no se encuentra en los archivos públicos, reservados o clasificados, de los sujetos obligados.</w:t>
      </w:r>
    </w:p>
    <w:p w14:paraId="3B599BB8" w14:textId="77777777" w:rsidR="009E0AC6" w:rsidRPr="00E443C0" w:rsidRDefault="009E0AC6" w:rsidP="009E0AC6">
      <w:pPr>
        <w:spacing w:after="0" w:line="360" w:lineRule="auto"/>
        <w:contextualSpacing/>
        <w:rPr>
          <w:rFonts w:eastAsia="Calibri" w:cs="Times New Roman"/>
        </w:rPr>
      </w:pPr>
    </w:p>
    <w:p w14:paraId="18C34D2E" w14:textId="77777777" w:rsidR="009E0AC6" w:rsidRPr="00E443C0" w:rsidRDefault="009E0AC6" w:rsidP="009E0AC6">
      <w:pPr>
        <w:spacing w:after="0" w:line="360" w:lineRule="auto"/>
        <w:contextualSpacing/>
        <w:rPr>
          <w:rFonts w:eastAsia="Calibri" w:cs="Times New Roman"/>
        </w:rPr>
      </w:pPr>
      <w:r w:rsidRPr="00E443C0">
        <w:rPr>
          <w:rFonts w:eastAsia="Calibri" w:cs="Times New Roman"/>
        </w:rPr>
        <w:t>Así, es posible concluir que la inexistencia presupone la competencia del sujeto obligado para conocer de la información, pero por alguna circunstancia, la documentación solicitada no obra en sus archivos. Para tal situación, no basta con que los sujetos obligados precisen dicha circunstancia, sino que también debe de señalar las razones por las cuales no cuentan con lo peticionado, es decir, las circunstancias que dan lugar a la inexistencia.</w:t>
      </w:r>
    </w:p>
    <w:p w14:paraId="1774A618" w14:textId="77777777" w:rsidR="009E0AC6" w:rsidRPr="00E443C0" w:rsidRDefault="009E0AC6" w:rsidP="009E0AC6">
      <w:pPr>
        <w:spacing w:after="0" w:line="360" w:lineRule="auto"/>
        <w:contextualSpacing/>
        <w:rPr>
          <w:rFonts w:eastAsia="Calibri" w:cs="Times New Roman"/>
        </w:rPr>
      </w:pPr>
    </w:p>
    <w:p w14:paraId="7114AC06" w14:textId="16F5CF81" w:rsidR="009E0AC6" w:rsidRDefault="009E0AC6" w:rsidP="009E0AC6">
      <w:pPr>
        <w:spacing w:after="0" w:line="360" w:lineRule="auto"/>
        <w:contextualSpacing/>
        <w:rPr>
          <w:rFonts w:eastAsia="Calibri" w:cs="Times New Roman"/>
        </w:rPr>
      </w:pPr>
      <w:r w:rsidRPr="00E443C0">
        <w:rPr>
          <w:rFonts w:eastAsia="Calibri" w:cs="Times New Roman"/>
        </w:rPr>
        <w:t>En ese contexto, el Sujeto Obligado precisó las razones por las cuales no contaba con l</w:t>
      </w:r>
      <w:r>
        <w:rPr>
          <w:rFonts w:eastAsia="Calibri" w:cs="Times New Roman"/>
        </w:rPr>
        <w:t xml:space="preserve">o peticionado, a saber, </w:t>
      </w:r>
      <w:r w:rsidR="00D80410">
        <w:rPr>
          <w:rFonts w:eastAsia="Calibri" w:cs="Times New Roman"/>
        </w:rPr>
        <w:t>que no contaba con la misma al no poseerla, administrarla o generarla; aunado a que este Instituto realizó una búsqueda en la página oficial del Sujeto Obligado, sus redes sociales y el Portal de Información Pública de Oficio Mexiquense y no se localizó algún indicio de que cuente con la información solicitada; lo cual toma relevancia, pues al contar con el domicilio de las Autoridades Auxiliares, el Sujeto Obligado puede tener contacto con estos, en dichas ubicaciones, como puede ser mediante correspondencia física.</w:t>
      </w:r>
    </w:p>
    <w:p w14:paraId="4118630E" w14:textId="77777777" w:rsidR="009E0AC6" w:rsidRDefault="009E0AC6" w:rsidP="009E0AC6">
      <w:pPr>
        <w:spacing w:after="0" w:line="360" w:lineRule="auto"/>
        <w:contextualSpacing/>
        <w:rPr>
          <w:rFonts w:eastAsia="Calibri" w:cs="Times New Roman"/>
        </w:rPr>
      </w:pPr>
    </w:p>
    <w:p w14:paraId="5F9CFA1C" w14:textId="77777777" w:rsidR="009E0AC6" w:rsidRPr="00E443C0" w:rsidRDefault="009E0AC6" w:rsidP="009E0AC6">
      <w:pPr>
        <w:spacing w:after="0" w:line="360" w:lineRule="auto"/>
        <w:contextualSpacing/>
        <w:rPr>
          <w:rFonts w:eastAsia="Calibri" w:cs="Times New Roman"/>
        </w:rPr>
      </w:pPr>
      <w:r w:rsidRPr="00E443C0">
        <w:rPr>
          <w:rFonts w:eastAsia="Calibri" w:cs="Times New Roman"/>
        </w:rPr>
        <w:t>Así, se logra colegir que</w:t>
      </w:r>
      <w:r>
        <w:rPr>
          <w:rFonts w:eastAsia="Calibri" w:cs="Times New Roman"/>
        </w:rPr>
        <w:t xml:space="preserve"> parte de</w:t>
      </w:r>
      <w:r w:rsidRPr="00E443C0">
        <w:rPr>
          <w:rFonts w:eastAsia="Calibri" w:cs="Times New Roman"/>
        </w:rPr>
        <w:t xml:space="preserve"> la información solicitada por el ahora Recurrente es inexistente, pues el Sujeto Obligado, realizó una búsqueda exhaustiva y razonable en los archivos de las unidades administrativas competentes y estas señalaron los motivos por los cuales no contaba con la peticionado; al respecto, se trae a colación, el artículo 19, segundo </w:t>
      </w:r>
      <w:r w:rsidRPr="00E443C0">
        <w:rPr>
          <w:rFonts w:eastAsia="Calibri" w:cs="Times New Roman"/>
        </w:rPr>
        <w:lastRenderedPageBreak/>
        <w:t>párrafo, de la Ley de Transparencia y Acceso a la Información Pública del Estado de México y Municipios, que establece que en el caso de que ciertas facultades, competencias o funciones no se hayan ejercido, se debe motivar la respuesta en función de las causas que motiven tal circunstancia.</w:t>
      </w:r>
    </w:p>
    <w:p w14:paraId="2433DED6" w14:textId="77777777" w:rsidR="009E0AC6" w:rsidRPr="00E443C0" w:rsidRDefault="009E0AC6" w:rsidP="009E0AC6">
      <w:pPr>
        <w:spacing w:after="0" w:line="360" w:lineRule="auto"/>
        <w:contextualSpacing/>
        <w:rPr>
          <w:rFonts w:eastAsia="Calibri" w:cs="Times New Roman"/>
        </w:rPr>
      </w:pPr>
    </w:p>
    <w:p w14:paraId="74F88956" w14:textId="77777777" w:rsidR="009E0AC6" w:rsidRPr="00E443C0" w:rsidRDefault="009E0AC6" w:rsidP="009E0AC6">
      <w:pPr>
        <w:spacing w:after="0" w:line="360" w:lineRule="auto"/>
        <w:contextualSpacing/>
        <w:rPr>
          <w:rFonts w:eastAsia="Calibri" w:cs="Times New Roman"/>
        </w:rPr>
      </w:pPr>
      <w:r w:rsidRPr="00E443C0">
        <w:rPr>
          <w:rFonts w:eastAsia="Calibri" w:cs="Times New Roman"/>
        </w:rPr>
        <w:t>De la misma manera, el Criterio de interpretación con clave de registro SO/007/2017, de la Segunda Época, emitido por el Instituto Nacional de Transparencia, Acceso a la Información y Protección de Datos Personales, establece que no será necesario que el Comité de Transparencia declare formalmente la inexistencia, cuando del análisis a la normatividad aplicables no se desprenda obligación alguna de contar con la información solicitada, ni se advierta algún otro elemento de convicción que apunto a su existencia.</w:t>
      </w:r>
    </w:p>
    <w:p w14:paraId="7DB9A106" w14:textId="77777777" w:rsidR="009E0AC6" w:rsidRPr="00E443C0" w:rsidRDefault="009E0AC6" w:rsidP="009E0AC6">
      <w:pPr>
        <w:spacing w:after="0" w:line="360" w:lineRule="auto"/>
        <w:contextualSpacing/>
        <w:rPr>
          <w:rFonts w:eastAsia="Calibri" w:cs="Times New Roman"/>
        </w:rPr>
      </w:pPr>
    </w:p>
    <w:p w14:paraId="5546D0AC" w14:textId="173DA4DB" w:rsidR="009E0AC6" w:rsidRPr="00C139E3" w:rsidRDefault="009E0AC6" w:rsidP="009E0AC6">
      <w:pPr>
        <w:spacing w:after="0" w:line="360" w:lineRule="auto"/>
        <w:contextualSpacing/>
        <w:rPr>
          <w:rFonts w:eastAsia="Calibri" w:cs="Times New Roman"/>
        </w:rPr>
      </w:pPr>
      <w:r w:rsidRPr="00E443C0">
        <w:rPr>
          <w:rFonts w:eastAsia="Calibri" w:cs="Times New Roman"/>
        </w:rPr>
        <w:t>Al respecto, dicho criterio aplica al caso en concreto, ya que, no se localizó algún indicio de</w:t>
      </w:r>
      <w:r>
        <w:rPr>
          <w:rFonts w:eastAsia="Calibri" w:cs="Times New Roman"/>
        </w:rPr>
        <w:t xml:space="preserve"> que el Sujeto Obligado poseyera en sus archivos los teléfonos y correos electrónicos </w:t>
      </w:r>
      <w:r w:rsidR="00860A0D">
        <w:rPr>
          <w:rFonts w:eastAsia="Calibri" w:cs="Times New Roman"/>
        </w:rPr>
        <w:t xml:space="preserve">particulares </w:t>
      </w:r>
      <w:r>
        <w:rPr>
          <w:rFonts w:eastAsia="Calibri" w:cs="Times New Roman"/>
        </w:rPr>
        <w:t>de los ciudadanos que conforman las delegaciones municipales y los Consejos de Participación Ciudadana, pues incluso en la convocatoria no se contempla como requisitos para su registro proporcionar dicha información</w:t>
      </w:r>
      <w:r w:rsidR="00D80410">
        <w:rPr>
          <w:rFonts w:eastAsia="Calibri" w:cs="Times New Roman"/>
        </w:rPr>
        <w:t>,</w:t>
      </w:r>
      <w:r w:rsidR="00AA1528">
        <w:rPr>
          <w:rFonts w:eastAsia="Times New Roman" w:cs="Tahoma"/>
          <w:color w:val="auto"/>
          <w:lang w:eastAsia="es-ES"/>
        </w:rPr>
        <w:t xml:space="preserve"> por lo que </w:t>
      </w:r>
      <w:r>
        <w:rPr>
          <w:rFonts w:eastAsia="Times New Roman" w:cs="Tahoma"/>
          <w:color w:val="auto"/>
          <w:lang w:eastAsia="es-ES"/>
        </w:rPr>
        <w:t xml:space="preserve">se considera </w:t>
      </w:r>
      <w:r w:rsidR="00D80410">
        <w:rPr>
          <w:rFonts w:eastAsia="Times New Roman" w:cs="Tahoma"/>
          <w:color w:val="auto"/>
          <w:lang w:eastAsia="es-ES"/>
        </w:rPr>
        <w:t>que la</w:t>
      </w:r>
      <w:r w:rsidRPr="002339BD">
        <w:rPr>
          <w:rFonts w:eastAsia="Times New Roman" w:cs="Tahoma"/>
          <w:b/>
          <w:color w:val="auto"/>
          <w:lang w:eastAsia="es-ES"/>
        </w:rPr>
        <w:t xml:space="preserve"> impugnación que se dirime ha quedado sin materia.</w:t>
      </w:r>
    </w:p>
    <w:p w14:paraId="18C035DF" w14:textId="77777777" w:rsidR="009E0AC6" w:rsidRPr="00A6340D" w:rsidRDefault="009E0AC6" w:rsidP="009E0AC6">
      <w:pPr>
        <w:spacing w:line="360" w:lineRule="auto"/>
        <w:contextualSpacing/>
        <w:rPr>
          <w:rFonts w:cs="Tahoma"/>
          <w:bCs/>
          <w:color w:val="0D0D0D" w:themeColor="text1" w:themeTint="F2"/>
          <w:szCs w:val="24"/>
        </w:rPr>
      </w:pPr>
    </w:p>
    <w:p w14:paraId="20DF6842" w14:textId="77777777" w:rsidR="009E0AC6" w:rsidRPr="00FA25ED" w:rsidRDefault="009E0AC6" w:rsidP="009E0AC6">
      <w:pPr>
        <w:spacing w:after="0" w:line="360" w:lineRule="auto"/>
        <w:ind w:right="-28"/>
        <w:rPr>
          <w:rFonts w:eastAsia="Times New Roman" w:cs="Tahoma"/>
          <w:b/>
          <w:bCs/>
          <w:color w:val="auto"/>
          <w:szCs w:val="24"/>
          <w:lang w:val="es-ES" w:eastAsia="es-ES"/>
        </w:rPr>
      </w:pPr>
      <w:r w:rsidRPr="00FA25ED">
        <w:rPr>
          <w:rFonts w:eastAsia="Times New Roman" w:cs="Tahoma"/>
          <w:b/>
          <w:bCs/>
          <w:color w:val="auto"/>
          <w:szCs w:val="24"/>
          <w:lang w:val="es-ES" w:eastAsia="es-ES"/>
        </w:rPr>
        <w:t>CUARTO. Decisión</w:t>
      </w:r>
    </w:p>
    <w:p w14:paraId="35AF60F4" w14:textId="77777777" w:rsidR="009E0AC6" w:rsidRPr="00FA25ED" w:rsidRDefault="009E0AC6" w:rsidP="009E0AC6">
      <w:pPr>
        <w:spacing w:after="0" w:line="360" w:lineRule="auto"/>
        <w:ind w:right="-28"/>
        <w:rPr>
          <w:rFonts w:eastAsia="Times New Roman" w:cs="Tahoma"/>
          <w:b/>
          <w:bCs/>
          <w:color w:val="auto"/>
          <w:szCs w:val="24"/>
          <w:lang w:val="es-ES" w:eastAsia="es-ES"/>
        </w:rPr>
      </w:pPr>
    </w:p>
    <w:p w14:paraId="2427343A" w14:textId="7C92EAC4" w:rsidR="009E0AC6" w:rsidRPr="00D80410" w:rsidRDefault="009E0AC6" w:rsidP="009E0AC6">
      <w:pPr>
        <w:spacing w:after="0" w:line="360" w:lineRule="auto"/>
        <w:ind w:right="-28"/>
        <w:rPr>
          <w:rFonts w:cs="Tahoma"/>
          <w:b/>
          <w:bCs/>
          <w:color w:val="auto"/>
        </w:rPr>
      </w:pPr>
      <w:r w:rsidRPr="00FA25ED">
        <w:rPr>
          <w:rFonts w:eastAsia="Times New Roman" w:cs="Tahoma"/>
          <w:bCs/>
          <w:color w:val="auto"/>
          <w:szCs w:val="24"/>
          <w:lang w:val="es-ES" w:eastAsia="es-ES"/>
        </w:rPr>
        <w:t xml:space="preserve">Con fundamento en lo dispuesto en el artículo 186, fracción I de la Ley de Transparencia y Acceso a la Información Pública del Estado de México y Municipios, se considera procedente </w:t>
      </w:r>
      <w:r w:rsidRPr="00FA25ED">
        <w:rPr>
          <w:rFonts w:eastAsia="Times New Roman" w:cs="Tahoma"/>
          <w:b/>
          <w:bCs/>
          <w:color w:val="auto"/>
          <w:szCs w:val="24"/>
          <w:lang w:val="es-ES" w:eastAsia="es-ES"/>
        </w:rPr>
        <w:t xml:space="preserve">SOBRESEER </w:t>
      </w:r>
      <w:r w:rsidRPr="00FA25ED">
        <w:rPr>
          <w:rFonts w:eastAsia="Times New Roman" w:cs="Tahoma"/>
          <w:bCs/>
          <w:color w:val="auto"/>
          <w:szCs w:val="24"/>
          <w:lang w:val="es-ES" w:eastAsia="es-ES"/>
        </w:rPr>
        <w:t xml:space="preserve">el Recurso de Revisión </w:t>
      </w:r>
      <w:r w:rsidRPr="00D80410">
        <w:rPr>
          <w:rFonts w:eastAsia="Times New Roman" w:cs="Tahoma"/>
          <w:color w:val="auto"/>
          <w:szCs w:val="24"/>
          <w:lang w:val="es-ES" w:eastAsia="es-ES"/>
        </w:rPr>
        <w:t>05661/INFOEM/IP/RR/</w:t>
      </w:r>
      <w:r w:rsidR="00D80410" w:rsidRPr="00D80410">
        <w:rPr>
          <w:rFonts w:eastAsia="Times New Roman" w:cs="Tahoma"/>
          <w:color w:val="auto"/>
          <w:szCs w:val="24"/>
          <w:lang w:val="es-ES" w:eastAsia="es-ES"/>
        </w:rPr>
        <w:t>2024 en</w:t>
      </w:r>
      <w:r w:rsidRPr="00FA25ED">
        <w:rPr>
          <w:rFonts w:eastAsia="Times New Roman" w:cs="Tahoma"/>
          <w:bCs/>
          <w:color w:val="auto"/>
          <w:szCs w:val="24"/>
          <w:lang w:val="es-ES" w:eastAsia="es-ES"/>
        </w:rPr>
        <w:t xml:space="preserve"> virtud de que se actualiza la hipótesis normativa prevista en la fracción III, del artículo 192, del citado ordenamiento legal, </w:t>
      </w:r>
      <w:r w:rsidRPr="00FA25ED">
        <w:rPr>
          <w:rFonts w:cs="Tahoma"/>
          <w:color w:val="auto"/>
        </w:rPr>
        <w:t>al modificar la respuesta a la</w:t>
      </w:r>
      <w:r>
        <w:rPr>
          <w:rFonts w:cs="Tahoma"/>
          <w:color w:val="auto"/>
        </w:rPr>
        <w:t>s</w:t>
      </w:r>
      <w:r w:rsidRPr="00FA25ED">
        <w:rPr>
          <w:rFonts w:cs="Tahoma"/>
          <w:color w:val="auto"/>
        </w:rPr>
        <w:t xml:space="preserve"> solicitud</w:t>
      </w:r>
      <w:r>
        <w:rPr>
          <w:rFonts w:cs="Tahoma"/>
          <w:color w:val="auto"/>
        </w:rPr>
        <w:t>es</w:t>
      </w:r>
      <w:r w:rsidRPr="00FA25ED">
        <w:rPr>
          <w:rFonts w:cs="Tahoma"/>
          <w:color w:val="auto"/>
        </w:rPr>
        <w:t xml:space="preserve"> de acceso a la información</w:t>
      </w:r>
      <w:r w:rsidR="00D80410">
        <w:rPr>
          <w:rFonts w:cs="Tahoma"/>
          <w:color w:val="auto"/>
        </w:rPr>
        <w:t>.</w:t>
      </w:r>
    </w:p>
    <w:p w14:paraId="0F0B68C5" w14:textId="77777777" w:rsidR="009E0AC6" w:rsidRDefault="009E0AC6" w:rsidP="009E0AC6">
      <w:pPr>
        <w:spacing w:after="0" w:line="360" w:lineRule="auto"/>
        <w:ind w:right="-28"/>
        <w:rPr>
          <w:rFonts w:cs="Tahoma"/>
          <w:color w:val="auto"/>
        </w:rPr>
      </w:pPr>
    </w:p>
    <w:p w14:paraId="43BEFCEC" w14:textId="77777777" w:rsidR="009E0AC6" w:rsidRPr="00281280" w:rsidRDefault="009E0AC6" w:rsidP="009E0AC6">
      <w:pPr>
        <w:spacing w:after="0" w:line="360" w:lineRule="auto"/>
        <w:ind w:right="-28"/>
        <w:rPr>
          <w:rFonts w:cs="Tahoma"/>
          <w:color w:val="auto"/>
        </w:rPr>
      </w:pPr>
      <w:r w:rsidRPr="00661821">
        <w:rPr>
          <w:rFonts w:eastAsia="Times New Roman" w:cs="Tahoma"/>
          <w:b/>
          <w:bCs/>
          <w:iCs/>
          <w:color w:val="auto"/>
          <w:szCs w:val="24"/>
          <w:lang w:eastAsia="es-ES"/>
        </w:rPr>
        <w:t>Términos de la Resolución para conocimiento del Particular</w:t>
      </w:r>
    </w:p>
    <w:p w14:paraId="57A5BD86" w14:textId="33CFD25B" w:rsidR="009E0AC6" w:rsidRDefault="009E0AC6" w:rsidP="009E0AC6">
      <w:pPr>
        <w:spacing w:after="0" w:line="360" w:lineRule="auto"/>
        <w:ind w:right="-28"/>
        <w:rPr>
          <w:rFonts w:eastAsia="Times New Roman" w:cs="Tahoma"/>
          <w:bCs/>
          <w:iCs/>
          <w:color w:val="auto"/>
          <w:szCs w:val="24"/>
          <w:lang w:val="es-ES" w:eastAsia="es-ES"/>
        </w:rPr>
      </w:pPr>
      <w:r w:rsidRPr="00661821">
        <w:rPr>
          <w:rFonts w:eastAsia="Times New Roman" w:cs="Tahoma"/>
          <w:bCs/>
          <w:iCs/>
          <w:color w:val="auto"/>
          <w:szCs w:val="24"/>
          <w:lang w:val="es-ES" w:eastAsia="es-ES"/>
        </w:rPr>
        <w:lastRenderedPageBreak/>
        <w:t xml:space="preserve">Se le hace del conocimiento del Particular, que, </w:t>
      </w:r>
      <w:r>
        <w:rPr>
          <w:rFonts w:eastAsia="Times New Roman" w:cs="Tahoma"/>
          <w:bCs/>
          <w:iCs/>
          <w:color w:val="auto"/>
          <w:szCs w:val="24"/>
          <w:lang w:val="es-ES" w:eastAsia="es-ES"/>
        </w:rPr>
        <w:t xml:space="preserve"> en el presente caso no se le da la razón, pues el Sujeto Obligado desde respuesta le </w:t>
      </w:r>
      <w:r w:rsidR="00AA1528">
        <w:rPr>
          <w:rFonts w:eastAsia="Times New Roman" w:cs="Tahoma"/>
          <w:bCs/>
          <w:iCs/>
          <w:color w:val="auto"/>
          <w:szCs w:val="24"/>
          <w:lang w:val="es-ES" w:eastAsia="es-ES"/>
        </w:rPr>
        <w:t>proporcionó</w:t>
      </w:r>
      <w:r>
        <w:rPr>
          <w:rFonts w:eastAsia="Times New Roman" w:cs="Tahoma"/>
          <w:bCs/>
          <w:iCs/>
          <w:color w:val="auto"/>
          <w:szCs w:val="24"/>
          <w:lang w:val="es-ES" w:eastAsia="es-ES"/>
        </w:rPr>
        <w:t xml:space="preserve"> los documentos donde </w:t>
      </w:r>
      <w:r w:rsidR="00AA1528">
        <w:rPr>
          <w:rFonts w:eastAsia="Times New Roman" w:cs="Tahoma"/>
          <w:bCs/>
          <w:iCs/>
          <w:color w:val="auto"/>
          <w:szCs w:val="24"/>
          <w:lang w:val="es-ES" w:eastAsia="es-ES"/>
        </w:rPr>
        <w:t>consta</w:t>
      </w:r>
      <w:r>
        <w:rPr>
          <w:rFonts w:eastAsia="Times New Roman" w:cs="Tahoma"/>
          <w:bCs/>
          <w:iCs/>
          <w:color w:val="auto"/>
          <w:szCs w:val="24"/>
          <w:lang w:val="es-ES" w:eastAsia="es-ES"/>
        </w:rPr>
        <w:t xml:space="preserve"> la información requerida  e hizo de su conocimiento la parte de información que era inexistente y la que estaba impedida a proporcionar por ser información confidencial. Por otro lado, vía informe justificado complementó la información comunicando que </w:t>
      </w:r>
      <w:r w:rsidR="00AA1528">
        <w:rPr>
          <w:rFonts w:eastAsia="Times New Roman" w:cs="Tahoma"/>
          <w:bCs/>
          <w:iCs/>
          <w:color w:val="auto"/>
          <w:szCs w:val="24"/>
          <w:lang w:val="es-ES" w:eastAsia="es-ES"/>
        </w:rPr>
        <w:t>no</w:t>
      </w:r>
      <w:r>
        <w:rPr>
          <w:rFonts w:eastAsia="Times New Roman" w:cs="Tahoma"/>
          <w:bCs/>
          <w:iCs/>
          <w:color w:val="auto"/>
          <w:szCs w:val="24"/>
          <w:lang w:val="es-ES" w:eastAsia="es-ES"/>
        </w:rPr>
        <w:t xml:space="preserve"> pose</w:t>
      </w:r>
      <w:r w:rsidR="00AA1528">
        <w:rPr>
          <w:rFonts w:eastAsia="Times New Roman" w:cs="Tahoma"/>
          <w:bCs/>
          <w:iCs/>
          <w:color w:val="auto"/>
          <w:szCs w:val="24"/>
          <w:lang w:val="es-ES" w:eastAsia="es-ES"/>
        </w:rPr>
        <w:t>ía</w:t>
      </w:r>
      <w:r>
        <w:rPr>
          <w:rFonts w:eastAsia="Times New Roman" w:cs="Tahoma"/>
          <w:bCs/>
          <w:iCs/>
          <w:color w:val="auto"/>
          <w:szCs w:val="24"/>
          <w:lang w:val="es-ES" w:eastAsia="es-ES"/>
        </w:rPr>
        <w:t xml:space="preserve"> en sus archivos los teléfonos y co</w:t>
      </w:r>
      <w:r w:rsidR="00AA1528">
        <w:rPr>
          <w:rFonts w:eastAsia="Times New Roman" w:cs="Tahoma"/>
          <w:bCs/>
          <w:iCs/>
          <w:color w:val="auto"/>
          <w:szCs w:val="24"/>
          <w:lang w:val="es-ES" w:eastAsia="es-ES"/>
        </w:rPr>
        <w:t>rreos</w:t>
      </w:r>
      <w:r>
        <w:rPr>
          <w:rFonts w:eastAsia="Times New Roman" w:cs="Tahoma"/>
          <w:bCs/>
          <w:iCs/>
          <w:color w:val="auto"/>
          <w:szCs w:val="24"/>
          <w:lang w:val="es-ES" w:eastAsia="es-ES"/>
        </w:rPr>
        <w:t xml:space="preserve"> </w:t>
      </w:r>
      <w:r w:rsidR="00AA1528">
        <w:rPr>
          <w:rFonts w:eastAsia="Times New Roman" w:cs="Tahoma"/>
          <w:bCs/>
          <w:iCs/>
          <w:color w:val="auto"/>
          <w:szCs w:val="24"/>
          <w:lang w:val="es-ES" w:eastAsia="es-ES"/>
        </w:rPr>
        <w:t>d</w:t>
      </w:r>
      <w:r>
        <w:rPr>
          <w:rFonts w:eastAsia="Times New Roman" w:cs="Tahoma"/>
          <w:bCs/>
          <w:iCs/>
          <w:color w:val="auto"/>
          <w:szCs w:val="24"/>
          <w:lang w:val="es-ES" w:eastAsia="es-ES"/>
        </w:rPr>
        <w:t xml:space="preserve">e las </w:t>
      </w:r>
      <w:r w:rsidR="00AA1528">
        <w:rPr>
          <w:rFonts w:eastAsia="Times New Roman" w:cs="Tahoma"/>
          <w:bCs/>
          <w:iCs/>
          <w:color w:val="auto"/>
          <w:szCs w:val="24"/>
          <w:lang w:val="es-ES" w:eastAsia="es-ES"/>
        </w:rPr>
        <w:t>autoridades</w:t>
      </w:r>
      <w:r>
        <w:rPr>
          <w:rFonts w:eastAsia="Times New Roman" w:cs="Tahoma"/>
          <w:bCs/>
          <w:iCs/>
          <w:color w:val="auto"/>
          <w:szCs w:val="24"/>
          <w:lang w:val="es-ES" w:eastAsia="es-ES"/>
        </w:rPr>
        <w:t xml:space="preserve"> auxiliares, por lo que el recurso quedó sin materia. </w:t>
      </w:r>
    </w:p>
    <w:p w14:paraId="0C649DAB" w14:textId="77777777" w:rsidR="009E0AC6" w:rsidRDefault="009E0AC6" w:rsidP="009E0AC6">
      <w:pPr>
        <w:spacing w:after="0" w:line="360" w:lineRule="auto"/>
        <w:ind w:right="-28"/>
        <w:rPr>
          <w:rFonts w:eastAsia="Times New Roman" w:cs="Tahoma"/>
          <w:bCs/>
          <w:iCs/>
          <w:color w:val="auto"/>
          <w:szCs w:val="24"/>
          <w:lang w:val="es-ES" w:eastAsia="es-ES"/>
        </w:rPr>
      </w:pPr>
    </w:p>
    <w:p w14:paraId="0B015063" w14:textId="77777777" w:rsidR="009E0AC6" w:rsidRDefault="009E0AC6" w:rsidP="009E0AC6">
      <w:pPr>
        <w:spacing w:after="0" w:line="360" w:lineRule="auto"/>
        <w:ind w:right="-28"/>
        <w:rPr>
          <w:rFonts w:eastAsia="Calibri" w:cs="Tahoma"/>
        </w:rPr>
      </w:pPr>
      <w:r>
        <w:rPr>
          <w:rFonts w:eastAsia="Calibri" w:cs="Tahoma"/>
          <w:bCs/>
          <w:iCs/>
          <w:color w:val="auto"/>
        </w:rPr>
        <w:t>Finalmente, se le informa que la labor de este Instituto de Transparencia, Acceso a la Información Pública y Protección de Datos Personales del Estado de México y Municipios, es apoyar a la población a acceder a la información pública y garantizar la protección de los datos personales.</w:t>
      </w:r>
    </w:p>
    <w:p w14:paraId="4C75A055" w14:textId="77777777" w:rsidR="009E0AC6" w:rsidRPr="00661821" w:rsidRDefault="009E0AC6" w:rsidP="009E0AC6">
      <w:pPr>
        <w:spacing w:after="0" w:line="360" w:lineRule="auto"/>
        <w:rPr>
          <w:color w:val="auto"/>
        </w:rPr>
      </w:pPr>
    </w:p>
    <w:p w14:paraId="5794C9D3" w14:textId="77777777" w:rsidR="009E0AC6" w:rsidRPr="00661821" w:rsidRDefault="009E0AC6" w:rsidP="009E0AC6">
      <w:pPr>
        <w:spacing w:after="0" w:line="360" w:lineRule="auto"/>
        <w:rPr>
          <w:rFonts w:eastAsia="Calibri" w:cs="Tahoma"/>
          <w:bCs/>
          <w:color w:val="auto"/>
        </w:rPr>
      </w:pPr>
      <w:r w:rsidRPr="00661821">
        <w:rPr>
          <w:color w:val="auto"/>
        </w:rPr>
        <w:t>Por</w:t>
      </w:r>
      <w:r w:rsidRPr="00661821">
        <w:rPr>
          <w:rFonts w:eastAsia="Calibri" w:cs="Tahoma"/>
          <w:bCs/>
          <w:color w:val="auto"/>
        </w:rPr>
        <w:t xml:space="preserve"> lo expuesto y fundado, este Pleno:</w:t>
      </w:r>
    </w:p>
    <w:p w14:paraId="020F818B" w14:textId="77777777" w:rsidR="009E0AC6" w:rsidRPr="00661821" w:rsidRDefault="009E0AC6" w:rsidP="009E0AC6">
      <w:pPr>
        <w:spacing w:after="0" w:line="360" w:lineRule="auto"/>
        <w:rPr>
          <w:rFonts w:eastAsia="Calibri" w:cs="Tahoma"/>
          <w:bCs/>
          <w:color w:val="auto"/>
        </w:rPr>
      </w:pPr>
    </w:p>
    <w:p w14:paraId="27E95577" w14:textId="255F8AF3" w:rsidR="009E0AC6" w:rsidRPr="00661821" w:rsidRDefault="00AD07F2" w:rsidP="009E0AC6">
      <w:pPr>
        <w:spacing w:after="0" w:line="360" w:lineRule="auto"/>
        <w:jc w:val="center"/>
        <w:rPr>
          <w:rFonts w:eastAsia="Calibri" w:cs="Tahoma"/>
          <w:b/>
          <w:bCs/>
          <w:iCs/>
          <w:color w:val="auto"/>
        </w:rPr>
      </w:pPr>
      <w:r>
        <w:rPr>
          <w:rFonts w:eastAsia="Calibri" w:cs="Tahoma"/>
          <w:b/>
          <w:bCs/>
          <w:iCs/>
          <w:color w:val="auto"/>
        </w:rPr>
        <w:t>R E S U E L V E</w:t>
      </w:r>
    </w:p>
    <w:p w14:paraId="3D8070E7" w14:textId="77777777" w:rsidR="009E0AC6" w:rsidRPr="00D10F38" w:rsidRDefault="009E0AC6" w:rsidP="009E0AC6">
      <w:pPr>
        <w:spacing w:after="0" w:line="360" w:lineRule="auto"/>
        <w:rPr>
          <w:rFonts w:eastAsia="Calibri" w:cs="Tahoma"/>
          <w:b/>
          <w:bCs/>
          <w:iCs/>
          <w:color w:val="FF0000"/>
        </w:rPr>
      </w:pPr>
    </w:p>
    <w:p w14:paraId="03782104" w14:textId="77777777" w:rsidR="009E0AC6" w:rsidRPr="00661821" w:rsidRDefault="009E0AC6" w:rsidP="009E0AC6">
      <w:pPr>
        <w:spacing w:after="0" w:line="360" w:lineRule="auto"/>
        <w:rPr>
          <w:rFonts w:eastAsia="Calibri" w:cs="Times New Roman"/>
          <w:color w:val="auto"/>
          <w:lang w:eastAsia="es-ES"/>
        </w:rPr>
      </w:pPr>
      <w:r w:rsidRPr="00661821">
        <w:rPr>
          <w:rFonts w:eastAsia="Calibri" w:cs="Tahoma"/>
          <w:b/>
          <w:bCs/>
          <w:iCs/>
          <w:color w:val="auto"/>
        </w:rPr>
        <w:t xml:space="preserve">PRIMERO. </w:t>
      </w:r>
      <w:r w:rsidRPr="00661821">
        <w:rPr>
          <w:rFonts w:eastAsia="Calibri" w:cs="Tahoma"/>
          <w:iCs/>
          <w:color w:val="auto"/>
        </w:rPr>
        <w:t xml:space="preserve">Se </w:t>
      </w:r>
      <w:r w:rsidRPr="00661821">
        <w:rPr>
          <w:rFonts w:eastAsia="Calibri" w:cs="Tahoma"/>
          <w:b/>
          <w:bCs/>
          <w:iCs/>
          <w:color w:val="auto"/>
        </w:rPr>
        <w:t xml:space="preserve">SOBRESEE </w:t>
      </w:r>
      <w:r w:rsidRPr="00661821">
        <w:rPr>
          <w:rFonts w:eastAsia="Calibri" w:cs="Tahoma"/>
          <w:iCs/>
          <w:color w:val="auto"/>
        </w:rPr>
        <w:t>el Recurso de Revisión con número</w:t>
      </w:r>
      <w:r w:rsidRPr="00661821">
        <w:rPr>
          <w:rFonts w:eastAsia="Calibri" w:cs="Tahoma"/>
          <w:b/>
          <w:bCs/>
          <w:iCs/>
          <w:color w:val="auto"/>
        </w:rPr>
        <w:t xml:space="preserve"> </w:t>
      </w:r>
      <w:r w:rsidRPr="005D2B4A">
        <w:rPr>
          <w:rFonts w:eastAsia="Calibri" w:cs="Tahoma"/>
          <w:b/>
          <w:bCs/>
          <w:iCs/>
          <w:color w:val="auto"/>
        </w:rPr>
        <w:t>05661/INFOEM/IP/RR/2024</w:t>
      </w:r>
      <w:r w:rsidRPr="00661821">
        <w:rPr>
          <w:rFonts w:cs="Arial"/>
          <w:bCs/>
          <w:color w:val="auto"/>
          <w:lang w:val="es-ES"/>
        </w:rPr>
        <w:t xml:space="preserve"> en términos del artículo 192, fracción III, de la Ley de Transparencia y Acceso a la Información Pública del Estado de México y Municipios,</w:t>
      </w:r>
      <w:r w:rsidRPr="00661821">
        <w:rPr>
          <w:rFonts w:eastAsia="Calibri" w:cs="Tahoma"/>
          <w:b/>
          <w:bCs/>
          <w:iCs/>
          <w:color w:val="auto"/>
        </w:rPr>
        <w:t xml:space="preserve"> </w:t>
      </w:r>
      <w:r w:rsidRPr="00661821">
        <w:rPr>
          <w:rFonts w:eastAsia="Calibri" w:cs="Tahoma"/>
          <w:iCs/>
          <w:color w:val="auto"/>
        </w:rPr>
        <w:t>porque el Sujeto Obligado, al modificar la respuesta a la</w:t>
      </w:r>
      <w:r>
        <w:rPr>
          <w:rFonts w:eastAsia="Calibri" w:cs="Tahoma"/>
          <w:iCs/>
          <w:color w:val="auto"/>
        </w:rPr>
        <w:t>s</w:t>
      </w:r>
      <w:r w:rsidRPr="00661821">
        <w:rPr>
          <w:rFonts w:eastAsia="Calibri" w:cs="Tahoma"/>
          <w:iCs/>
          <w:color w:val="auto"/>
        </w:rPr>
        <w:t xml:space="preserve"> solicitud</w:t>
      </w:r>
      <w:r>
        <w:rPr>
          <w:rFonts w:eastAsia="Calibri" w:cs="Tahoma"/>
          <w:iCs/>
          <w:color w:val="auto"/>
        </w:rPr>
        <w:t>es</w:t>
      </w:r>
      <w:r w:rsidRPr="00661821">
        <w:rPr>
          <w:rFonts w:eastAsia="Calibri" w:cs="Tahoma"/>
          <w:iCs/>
          <w:color w:val="auto"/>
        </w:rPr>
        <w:t xml:space="preserve"> de acceso a la información con número</w:t>
      </w:r>
      <w:r w:rsidRPr="00661821">
        <w:rPr>
          <w:rFonts w:eastAsia="Calibri" w:cs="Times New Roman"/>
          <w:color w:val="auto"/>
          <w:lang w:eastAsia="es-ES"/>
        </w:rPr>
        <w:t xml:space="preserve"> </w:t>
      </w:r>
      <w:r w:rsidRPr="00E26F13">
        <w:rPr>
          <w:rFonts w:eastAsia="Calibri" w:cs="Tahoma"/>
          <w:b/>
          <w:bCs/>
          <w:color w:val="auto"/>
        </w:rPr>
        <w:t>00258/HUIXQUIL/IP/2024</w:t>
      </w:r>
      <w:r w:rsidRPr="00661821">
        <w:rPr>
          <w:rFonts w:eastAsia="Calibri" w:cs="Tahoma"/>
          <w:b/>
          <w:bCs/>
          <w:iCs/>
          <w:color w:val="auto"/>
        </w:rPr>
        <w:t xml:space="preserve"> </w:t>
      </w:r>
      <w:r w:rsidRPr="00661821">
        <w:rPr>
          <w:rFonts w:eastAsia="Calibri" w:cs="Tahoma"/>
          <w:iCs/>
          <w:color w:val="auto"/>
        </w:rPr>
        <w:t>el Medio de Impugnación, quedó sin materia, en términos de los Considerandos</w:t>
      </w:r>
      <w:r w:rsidRPr="00661821">
        <w:rPr>
          <w:rFonts w:eastAsia="Calibri" w:cs="Tahoma"/>
          <w:b/>
          <w:bCs/>
          <w:iCs/>
          <w:color w:val="auto"/>
        </w:rPr>
        <w:t xml:space="preserve"> TERCERO </w:t>
      </w:r>
      <w:r w:rsidRPr="00661821">
        <w:rPr>
          <w:rFonts w:eastAsia="Calibri" w:cs="Tahoma"/>
          <w:bCs/>
          <w:iCs/>
          <w:color w:val="auto"/>
        </w:rPr>
        <w:t>y</w:t>
      </w:r>
      <w:r w:rsidRPr="00661821">
        <w:rPr>
          <w:rFonts w:eastAsia="Calibri" w:cs="Tahoma"/>
          <w:b/>
          <w:bCs/>
          <w:iCs/>
          <w:color w:val="auto"/>
        </w:rPr>
        <w:t xml:space="preserve"> CUARTO </w:t>
      </w:r>
      <w:r w:rsidRPr="00661821">
        <w:rPr>
          <w:rFonts w:eastAsia="Calibri" w:cs="Tahoma"/>
          <w:iCs/>
          <w:color w:val="auto"/>
        </w:rPr>
        <w:t>de la presente Resolución.</w:t>
      </w:r>
      <w:bookmarkStart w:id="2" w:name="_GoBack"/>
      <w:bookmarkEnd w:id="2"/>
    </w:p>
    <w:p w14:paraId="32975ACA" w14:textId="77777777" w:rsidR="009E0AC6" w:rsidRPr="00661821" w:rsidRDefault="009E0AC6" w:rsidP="009E0AC6">
      <w:pPr>
        <w:spacing w:after="0" w:line="360" w:lineRule="auto"/>
        <w:rPr>
          <w:rFonts w:eastAsia="Calibri" w:cs="Tahoma"/>
          <w:b/>
          <w:bCs/>
          <w:i/>
          <w:iCs/>
          <w:color w:val="auto"/>
        </w:rPr>
      </w:pPr>
    </w:p>
    <w:p w14:paraId="7382C408" w14:textId="77777777" w:rsidR="009E0AC6" w:rsidRPr="00661821" w:rsidRDefault="009E0AC6" w:rsidP="009E0AC6">
      <w:pPr>
        <w:spacing w:after="0" w:line="360" w:lineRule="auto"/>
        <w:rPr>
          <w:rFonts w:eastAsia="Calibri" w:cs="Tahoma"/>
          <w:b/>
          <w:bCs/>
          <w:iCs/>
          <w:color w:val="auto"/>
        </w:rPr>
      </w:pPr>
      <w:r w:rsidRPr="00661821">
        <w:rPr>
          <w:rFonts w:eastAsia="Calibri" w:cs="Tahoma"/>
          <w:b/>
          <w:bCs/>
          <w:iCs/>
          <w:color w:val="auto"/>
        </w:rPr>
        <w:t>SEGUNDO. NOTIFÍQUESE</w:t>
      </w:r>
      <w:r>
        <w:rPr>
          <w:rFonts w:eastAsia="Calibri" w:cs="Tahoma"/>
          <w:b/>
          <w:bCs/>
          <w:iCs/>
          <w:color w:val="auto"/>
        </w:rPr>
        <w:t xml:space="preserve"> VÍA SAIMEX</w:t>
      </w:r>
      <w:r w:rsidRPr="00661821">
        <w:rPr>
          <w:rFonts w:eastAsia="Calibri" w:cs="Tahoma"/>
          <w:b/>
          <w:bCs/>
          <w:iCs/>
          <w:color w:val="auto"/>
        </w:rPr>
        <w:t xml:space="preserve"> </w:t>
      </w:r>
      <w:r w:rsidRPr="00661821">
        <w:rPr>
          <w:rFonts w:eastAsia="Calibri" w:cs="Tahoma"/>
          <w:iCs/>
          <w:color w:val="auto"/>
        </w:rPr>
        <w:t>la presente Resolución al Titular de la Unidad de Transparencia del Sujeto Obligado.</w:t>
      </w:r>
    </w:p>
    <w:p w14:paraId="7AA76023" w14:textId="77777777" w:rsidR="009E0AC6" w:rsidRPr="00D10F38" w:rsidRDefault="009E0AC6" w:rsidP="009E0AC6">
      <w:pPr>
        <w:spacing w:after="0" w:line="360" w:lineRule="auto"/>
        <w:rPr>
          <w:rFonts w:eastAsia="Calibri" w:cs="Tahoma"/>
          <w:b/>
          <w:bCs/>
          <w:i/>
          <w:iCs/>
          <w:color w:val="FF0000"/>
        </w:rPr>
      </w:pPr>
    </w:p>
    <w:p w14:paraId="02201B06" w14:textId="77777777" w:rsidR="009E0AC6" w:rsidRPr="00661821" w:rsidRDefault="009E0AC6" w:rsidP="009E0AC6">
      <w:pPr>
        <w:spacing w:after="0" w:line="360" w:lineRule="auto"/>
        <w:rPr>
          <w:rFonts w:eastAsia="Calibri" w:cs="Tahoma"/>
          <w:b/>
          <w:bCs/>
          <w:iCs/>
          <w:color w:val="auto"/>
        </w:rPr>
      </w:pPr>
      <w:r w:rsidRPr="00661821">
        <w:rPr>
          <w:rFonts w:eastAsia="Calibri" w:cs="Tahoma"/>
          <w:b/>
          <w:bCs/>
          <w:iCs/>
          <w:color w:val="auto"/>
        </w:rPr>
        <w:t>TERCERO. NOTIFÍQUESE</w:t>
      </w:r>
      <w:r>
        <w:rPr>
          <w:rFonts w:eastAsia="Calibri" w:cs="Tahoma"/>
          <w:b/>
          <w:bCs/>
          <w:iCs/>
          <w:color w:val="auto"/>
        </w:rPr>
        <w:t xml:space="preserve"> VÍA SAIMEX</w:t>
      </w:r>
      <w:r w:rsidRPr="00661821">
        <w:rPr>
          <w:rFonts w:eastAsia="Calibri" w:cs="Tahoma"/>
          <w:b/>
          <w:bCs/>
          <w:iCs/>
          <w:color w:val="auto"/>
        </w:rPr>
        <w:t xml:space="preserve"> </w:t>
      </w:r>
      <w:r w:rsidRPr="00661821">
        <w:rPr>
          <w:rFonts w:eastAsia="Calibri" w:cs="Tahoma"/>
          <w:iCs/>
          <w:color w:val="auto"/>
        </w:rPr>
        <w:t xml:space="preserve">al Recurrente la presente Resolución, asimismo, se hace de su conocimiento que de conformidad con lo establecido en el artículo 196 de la Ley de </w:t>
      </w:r>
      <w:r w:rsidRPr="00661821">
        <w:rPr>
          <w:rFonts w:eastAsia="Calibri" w:cs="Tahoma"/>
          <w:iCs/>
          <w:color w:val="auto"/>
        </w:rPr>
        <w:lastRenderedPageBreak/>
        <w:t>Transparencia y Acceso a la Información Pública del Estado de México y Municipios podrá promover el Juicio de Amparo en los términos de las leyes aplicables.</w:t>
      </w:r>
    </w:p>
    <w:p w14:paraId="24B975D8" w14:textId="77777777" w:rsidR="009E0AC6" w:rsidRPr="00661821" w:rsidRDefault="009E0AC6" w:rsidP="009E0AC6">
      <w:pPr>
        <w:spacing w:after="0" w:line="360" w:lineRule="auto"/>
        <w:rPr>
          <w:rFonts w:eastAsia="Calibri" w:cs="Tahoma"/>
          <w:bCs/>
          <w:color w:val="auto"/>
        </w:rPr>
      </w:pPr>
    </w:p>
    <w:p w14:paraId="79EAAFF1" w14:textId="23179668" w:rsidR="009E0AC6" w:rsidRPr="00031C3D" w:rsidRDefault="009E0AC6" w:rsidP="009E0AC6">
      <w:pPr>
        <w:spacing w:after="0" w:line="360" w:lineRule="auto"/>
        <w:contextualSpacing/>
        <w:rPr>
          <w:rFonts w:eastAsia="Calibri"/>
        </w:rPr>
      </w:pPr>
      <w:r w:rsidRPr="00031C3D">
        <w:rPr>
          <w:rFonts w:eastAsia="Calibri"/>
        </w:rPr>
        <w:t xml:space="preserve">ASÍ LO RESUELVE, POR </w:t>
      </w:r>
      <w:r w:rsidRPr="00342905">
        <w:rPr>
          <w:rFonts w:eastAsia="Calibri"/>
          <w:b/>
        </w:rPr>
        <w:t xml:space="preserve">UNANIMIDAD </w:t>
      </w:r>
      <w:r w:rsidRPr="00031C3D">
        <w:rPr>
          <w:rFonts w:eastAsia="Calibri"/>
        </w:rPr>
        <w:t>DE VOTOS EL PLENO DEL INSTITUTO DE TRANSPARENCIA, ACCESO A LA INFORMACIÓN PÚBLICA Y PROTECCIÓN DE DATOS PERSONALES DEL ESTADO DE MÉXICO Y MUNICIPIOS, CONFORMADO POR LOS COMISIONADOS JOSÉ MARTÍNEZ VILCHIS, MARÍA DEL ROSARIO MEJÍA AYALA, SHARON CRISTINA MORALES MARTÍNEZ, LUIS GUSTAVO PARRA NORIEGA Y GUADALUPE RAMÍ</w:t>
      </w:r>
      <w:r w:rsidR="00E26F13">
        <w:rPr>
          <w:rFonts w:eastAsia="Calibri"/>
        </w:rPr>
        <w:t>REZ PEÑA, EN LA TRIGÉSIMA OCTAVA</w:t>
      </w:r>
      <w:r w:rsidRPr="00031C3D">
        <w:rPr>
          <w:rFonts w:eastAsia="Calibri"/>
        </w:rPr>
        <w:t xml:space="preserve"> SESIÓN ORDINARIA, CELEBRADA </w:t>
      </w:r>
      <w:r w:rsidR="00E26F13" w:rsidRPr="00031C3D">
        <w:rPr>
          <w:rFonts w:eastAsia="Calibri"/>
        </w:rPr>
        <w:t xml:space="preserve">EL </w:t>
      </w:r>
      <w:r w:rsidR="00AD07F2">
        <w:rPr>
          <w:rFonts w:eastAsia="Calibri"/>
        </w:rPr>
        <w:t xml:space="preserve">SEIS DE NOVIEMBRE DE DOS </w:t>
      </w:r>
      <w:r w:rsidR="00E26F13" w:rsidRPr="005D2B4A">
        <w:rPr>
          <w:rFonts w:eastAsia="Calibri"/>
        </w:rPr>
        <w:t>MIL VEINTICUATRO</w:t>
      </w:r>
      <w:r w:rsidRPr="00031C3D">
        <w:rPr>
          <w:rFonts w:eastAsia="Calibri"/>
        </w:rPr>
        <w:t>, ANTE EL SECRETARIO TÉCNICO DEL PLENO, ALEXIS TAPIA RAMÍREZ.</w:t>
      </w:r>
    </w:p>
    <w:p w14:paraId="3B6CA48A" w14:textId="77777777" w:rsidR="009E0AC6" w:rsidRPr="00661821" w:rsidRDefault="009E0AC6" w:rsidP="009E0AC6">
      <w:pPr>
        <w:spacing w:after="0" w:line="360" w:lineRule="auto"/>
        <w:rPr>
          <w:color w:val="auto"/>
        </w:rPr>
      </w:pPr>
      <w:r w:rsidRPr="00031C3D">
        <w:br w:type="page"/>
      </w:r>
    </w:p>
    <w:p w14:paraId="4FF2492C" w14:textId="77777777" w:rsidR="00C853D1" w:rsidRPr="00D10F38" w:rsidRDefault="00C853D1" w:rsidP="005729FC">
      <w:pPr>
        <w:spacing w:after="0" w:line="360" w:lineRule="auto"/>
        <w:rPr>
          <w:rFonts w:eastAsia="Times New Roman" w:cs="Tahoma"/>
          <w:bCs/>
          <w:color w:val="FF0000"/>
          <w:lang w:eastAsia="es-ES"/>
        </w:rPr>
      </w:pPr>
    </w:p>
    <w:sectPr w:rsidR="00C853D1" w:rsidRPr="00D10F38" w:rsidSect="002228A6">
      <w:headerReference w:type="even" r:id="rId12"/>
      <w:headerReference w:type="default" r:id="rId13"/>
      <w:footerReference w:type="even" r:id="rId14"/>
      <w:footerReference w:type="default" r:id="rId15"/>
      <w:headerReference w:type="first" r:id="rId16"/>
      <w:footerReference w:type="first" r:id="rId17"/>
      <w:pgSz w:w="12240" w:h="15840"/>
      <w:pgMar w:top="1418" w:right="1418" w:bottom="1134" w:left="1701" w:header="709" w:footer="709"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69CCBC14" w14:textId="77777777" w:rsidR="00206619" w:rsidRDefault="00206619" w:rsidP="00C853D1">
      <w:pPr>
        <w:spacing w:after="0" w:line="240" w:lineRule="auto"/>
      </w:pPr>
      <w:r>
        <w:separator/>
      </w:r>
    </w:p>
  </w:endnote>
  <w:endnote w:type="continuationSeparator" w:id="0">
    <w:p w14:paraId="4AE13CF3" w14:textId="77777777" w:rsidR="00206619" w:rsidRDefault="00206619" w:rsidP="00C853D1">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Palatino Linotype">
    <w:panose1 w:val="02040502050505030304"/>
    <w:charset w:val="00"/>
    <w:family w:val="roman"/>
    <w:pitch w:val="variable"/>
    <w:sig w:usb0="E0000287" w:usb1="40000013" w:usb2="00000000" w:usb3="00000000" w:csb0="0000019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2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Garamond">
    <w:panose1 w:val="02020404030301010803"/>
    <w:charset w:val="00"/>
    <w:family w:val="roman"/>
    <w:pitch w:val="variable"/>
    <w:sig w:usb0="00000287" w:usb1="00000000" w:usb2="00000000" w:usb3="00000000" w:csb0="0000009F" w:csb1="00000000"/>
  </w:font>
  <w:font w:name="Calibri Light">
    <w:panose1 w:val="020F03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7218588"/>
      <w:docPartObj>
        <w:docPartGallery w:val="Page Numbers (Bottom of Page)"/>
        <w:docPartUnique/>
      </w:docPartObj>
    </w:sdtPr>
    <w:sdtEndPr/>
    <w:sdtContent>
      <w:sdt>
        <w:sdtPr>
          <w:id w:val="-1486162003"/>
          <w:docPartObj>
            <w:docPartGallery w:val="Page Numbers (Top of Page)"/>
            <w:docPartUnique/>
          </w:docPartObj>
        </w:sdtPr>
        <w:sdtEndPr/>
        <w:sdtContent>
          <w:p w14:paraId="71583055" w14:textId="77777777" w:rsidR="002D0F15" w:rsidRDefault="002D0F15">
            <w:pPr>
              <w:pStyle w:val="Piedepgina"/>
              <w:jc w:val="right"/>
            </w:pPr>
            <w:r>
              <w:rPr>
                <w:lang w:val="es-ES"/>
              </w:rPr>
              <w:t xml:space="preserve">Página </w:t>
            </w:r>
            <w:r>
              <w:rPr>
                <w:b/>
                <w:bCs/>
                <w:sz w:val="24"/>
                <w:szCs w:val="24"/>
              </w:rPr>
              <w:fldChar w:fldCharType="begin"/>
            </w:r>
            <w:r>
              <w:rPr>
                <w:b/>
                <w:bCs/>
              </w:rPr>
              <w:instrText>PAGE</w:instrText>
            </w:r>
            <w:r>
              <w:rPr>
                <w:b/>
                <w:bCs/>
                <w:sz w:val="24"/>
                <w:szCs w:val="24"/>
              </w:rPr>
              <w:fldChar w:fldCharType="separate"/>
            </w:r>
            <w:r>
              <w:rPr>
                <w:b/>
                <w:bCs/>
                <w:lang w:val="es-ES"/>
              </w:rPr>
              <w:t>2</w:t>
            </w:r>
            <w:r>
              <w:rPr>
                <w:b/>
                <w:bCs/>
                <w:sz w:val="24"/>
                <w:szCs w:val="24"/>
              </w:rPr>
              <w:fldChar w:fldCharType="end"/>
            </w:r>
            <w:r>
              <w:rPr>
                <w:lang w:val="es-ES"/>
              </w:rPr>
              <w:t xml:space="preserve"> de </w:t>
            </w:r>
            <w:r>
              <w:rPr>
                <w:b/>
                <w:bCs/>
                <w:sz w:val="24"/>
                <w:szCs w:val="24"/>
              </w:rPr>
              <w:fldChar w:fldCharType="begin"/>
            </w:r>
            <w:r>
              <w:rPr>
                <w:b/>
                <w:bCs/>
              </w:rPr>
              <w:instrText>NUMPAGES</w:instrText>
            </w:r>
            <w:r>
              <w:rPr>
                <w:b/>
                <w:bCs/>
                <w:sz w:val="24"/>
                <w:szCs w:val="24"/>
              </w:rPr>
              <w:fldChar w:fldCharType="separate"/>
            </w:r>
            <w:r w:rsidR="0058125E">
              <w:rPr>
                <w:b/>
                <w:bCs/>
                <w:noProof/>
              </w:rPr>
              <w:t>18</w:t>
            </w:r>
            <w:r>
              <w:rPr>
                <w:b/>
                <w:bCs/>
                <w:sz w:val="24"/>
                <w:szCs w:val="24"/>
              </w:rPr>
              <w:fldChar w:fldCharType="end"/>
            </w:r>
          </w:p>
        </w:sdtContent>
      </w:sdt>
    </w:sdtContent>
  </w:sdt>
  <w:p w14:paraId="5F4318B3" w14:textId="77777777" w:rsidR="002D0F15" w:rsidRDefault="002D0F15">
    <w:pPr>
      <w:pStyle w:val="Piedepgina"/>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1645037141"/>
      <w:docPartObj>
        <w:docPartGallery w:val="Page Numbers (Bottom of Page)"/>
        <w:docPartUnique/>
      </w:docPartObj>
    </w:sdtPr>
    <w:sdtEndPr/>
    <w:sdtContent>
      <w:sdt>
        <w:sdtPr>
          <w:id w:val="-1053769877"/>
          <w:docPartObj>
            <w:docPartGallery w:val="Page Numbers (Top of Page)"/>
            <w:docPartUnique/>
          </w:docPartObj>
        </w:sdtPr>
        <w:sdtEndPr/>
        <w:sdtContent>
          <w:p w14:paraId="1AB8D0FA" w14:textId="77777777" w:rsidR="002D0F15" w:rsidRDefault="002D0F15">
            <w:pPr>
              <w:pStyle w:val="Piedepgina"/>
              <w:jc w:val="right"/>
            </w:pPr>
            <w:r>
              <w:rPr>
                <w:lang w:val="es-ES"/>
              </w:rPr>
              <w:t xml:space="preserve">Página </w:t>
            </w:r>
            <w:r>
              <w:rPr>
                <w:b/>
                <w:bCs/>
                <w:sz w:val="24"/>
                <w:szCs w:val="24"/>
              </w:rPr>
              <w:fldChar w:fldCharType="begin"/>
            </w:r>
            <w:r>
              <w:rPr>
                <w:b/>
                <w:bCs/>
              </w:rPr>
              <w:instrText>PAGE</w:instrText>
            </w:r>
            <w:r>
              <w:rPr>
                <w:b/>
                <w:bCs/>
                <w:sz w:val="24"/>
                <w:szCs w:val="24"/>
              </w:rPr>
              <w:fldChar w:fldCharType="separate"/>
            </w:r>
            <w:r w:rsidR="00AB108D">
              <w:rPr>
                <w:b/>
                <w:bCs/>
                <w:noProof/>
              </w:rPr>
              <w:t>18</w:t>
            </w:r>
            <w:r>
              <w:rPr>
                <w:b/>
                <w:bCs/>
                <w:sz w:val="24"/>
                <w:szCs w:val="24"/>
              </w:rPr>
              <w:fldChar w:fldCharType="end"/>
            </w:r>
            <w:r>
              <w:rPr>
                <w:lang w:val="es-ES"/>
              </w:rPr>
              <w:t xml:space="preserve"> de </w:t>
            </w:r>
            <w:r>
              <w:rPr>
                <w:b/>
                <w:bCs/>
                <w:sz w:val="24"/>
                <w:szCs w:val="24"/>
              </w:rPr>
              <w:fldChar w:fldCharType="begin"/>
            </w:r>
            <w:r>
              <w:rPr>
                <w:b/>
                <w:bCs/>
              </w:rPr>
              <w:instrText>NUMPAGES</w:instrText>
            </w:r>
            <w:r>
              <w:rPr>
                <w:b/>
                <w:bCs/>
                <w:sz w:val="24"/>
                <w:szCs w:val="24"/>
              </w:rPr>
              <w:fldChar w:fldCharType="separate"/>
            </w:r>
            <w:r w:rsidR="00AB108D">
              <w:rPr>
                <w:b/>
                <w:bCs/>
                <w:noProof/>
              </w:rPr>
              <w:t>18</w:t>
            </w:r>
            <w:r>
              <w:rPr>
                <w:b/>
                <w:bCs/>
                <w:sz w:val="24"/>
                <w:szCs w:val="24"/>
              </w:rPr>
              <w:fldChar w:fldCharType="end"/>
            </w:r>
          </w:p>
        </w:sdtContent>
      </w:sdt>
    </w:sdtContent>
  </w:sdt>
  <w:p w14:paraId="3F35B7C0" w14:textId="77777777" w:rsidR="002D0F15" w:rsidRDefault="002D0F15">
    <w:pPr>
      <w:pStyle w:val="Piedepgina"/>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1796825420"/>
      <w:docPartObj>
        <w:docPartGallery w:val="Page Numbers (Bottom of Page)"/>
        <w:docPartUnique/>
      </w:docPartObj>
    </w:sdtPr>
    <w:sdtEndPr/>
    <w:sdtContent>
      <w:sdt>
        <w:sdtPr>
          <w:id w:val="-1769616900"/>
          <w:docPartObj>
            <w:docPartGallery w:val="Page Numbers (Top of Page)"/>
            <w:docPartUnique/>
          </w:docPartObj>
        </w:sdtPr>
        <w:sdtEndPr/>
        <w:sdtContent>
          <w:p w14:paraId="46648C95" w14:textId="77777777" w:rsidR="002D0F15" w:rsidRDefault="002D0F15">
            <w:pPr>
              <w:pStyle w:val="Piedepgina"/>
              <w:jc w:val="right"/>
            </w:pPr>
            <w:r>
              <w:rPr>
                <w:lang w:val="es-ES"/>
              </w:rPr>
              <w:t xml:space="preserve">Página </w:t>
            </w:r>
            <w:r>
              <w:rPr>
                <w:b/>
                <w:bCs/>
                <w:sz w:val="24"/>
                <w:szCs w:val="24"/>
              </w:rPr>
              <w:fldChar w:fldCharType="begin"/>
            </w:r>
            <w:r>
              <w:rPr>
                <w:b/>
                <w:bCs/>
              </w:rPr>
              <w:instrText>PAGE</w:instrText>
            </w:r>
            <w:r>
              <w:rPr>
                <w:b/>
                <w:bCs/>
                <w:sz w:val="24"/>
                <w:szCs w:val="24"/>
              </w:rPr>
              <w:fldChar w:fldCharType="separate"/>
            </w:r>
            <w:r w:rsidR="00AB108D">
              <w:rPr>
                <w:b/>
                <w:bCs/>
                <w:noProof/>
              </w:rPr>
              <w:t>1</w:t>
            </w:r>
            <w:r>
              <w:rPr>
                <w:b/>
                <w:bCs/>
                <w:sz w:val="24"/>
                <w:szCs w:val="24"/>
              </w:rPr>
              <w:fldChar w:fldCharType="end"/>
            </w:r>
            <w:r>
              <w:rPr>
                <w:lang w:val="es-ES"/>
              </w:rPr>
              <w:t xml:space="preserve"> de </w:t>
            </w:r>
            <w:r>
              <w:rPr>
                <w:b/>
                <w:bCs/>
                <w:sz w:val="24"/>
                <w:szCs w:val="24"/>
              </w:rPr>
              <w:fldChar w:fldCharType="begin"/>
            </w:r>
            <w:r>
              <w:rPr>
                <w:b/>
                <w:bCs/>
              </w:rPr>
              <w:instrText>NUMPAGES</w:instrText>
            </w:r>
            <w:r>
              <w:rPr>
                <w:b/>
                <w:bCs/>
                <w:sz w:val="24"/>
                <w:szCs w:val="24"/>
              </w:rPr>
              <w:fldChar w:fldCharType="separate"/>
            </w:r>
            <w:r w:rsidR="00AB108D">
              <w:rPr>
                <w:b/>
                <w:bCs/>
                <w:noProof/>
              </w:rPr>
              <w:t>18</w:t>
            </w:r>
            <w:r>
              <w:rPr>
                <w:b/>
                <w:bCs/>
                <w:sz w:val="24"/>
                <w:szCs w:val="24"/>
              </w:rPr>
              <w:fldChar w:fldCharType="end"/>
            </w:r>
          </w:p>
        </w:sdtContent>
      </w:sdt>
    </w:sdtContent>
  </w:sdt>
  <w:p w14:paraId="1A7218CE" w14:textId="77777777" w:rsidR="002D0F15" w:rsidRDefault="002D0F15">
    <w:pPr>
      <w:pStyle w:val="Piedepgina"/>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10EB4EA4" w14:textId="77777777" w:rsidR="00206619" w:rsidRDefault="00206619" w:rsidP="00C853D1">
      <w:pPr>
        <w:spacing w:after="0" w:line="240" w:lineRule="auto"/>
      </w:pPr>
      <w:r>
        <w:separator/>
      </w:r>
    </w:p>
  </w:footnote>
  <w:footnote w:type="continuationSeparator" w:id="0">
    <w:p w14:paraId="34518A0F" w14:textId="77777777" w:rsidR="00206619" w:rsidRDefault="00206619" w:rsidP="00C853D1">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Style w:val="Tablaconcuadrcula"/>
      <w:tblW w:w="5991" w:type="dxa"/>
      <w:tblInd w:w="354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20" w:firstRow="1" w:lastRow="0" w:firstColumn="0" w:lastColumn="0" w:noHBand="0" w:noVBand="1"/>
    </w:tblPr>
    <w:tblGrid>
      <w:gridCol w:w="2404"/>
      <w:gridCol w:w="3587"/>
    </w:tblGrid>
    <w:tr w:rsidR="002D0F15" w14:paraId="282B3A75" w14:textId="77777777" w:rsidTr="002C59A0">
      <w:trPr>
        <w:trHeight w:val="141"/>
      </w:trPr>
      <w:tc>
        <w:tcPr>
          <w:tcW w:w="2404" w:type="dxa"/>
        </w:tcPr>
        <w:p w14:paraId="57F547E7" w14:textId="77777777" w:rsidR="002D0F15" w:rsidRPr="001B5FB6" w:rsidRDefault="002D0F15" w:rsidP="002C59A0">
          <w:pPr>
            <w:tabs>
              <w:tab w:val="right" w:pos="8838"/>
            </w:tabs>
            <w:ind w:right="-105"/>
            <w:rPr>
              <w:rFonts w:eastAsia="Calibri" w:cs="Tahoma"/>
              <w:b/>
              <w:lang w:val="es-MX"/>
            </w:rPr>
          </w:pPr>
          <w:r w:rsidRPr="001B5FB6">
            <w:rPr>
              <w:rFonts w:eastAsia="Calibri" w:cs="Tahoma"/>
              <w:b/>
              <w:lang w:val="es-MX"/>
            </w:rPr>
            <w:t>Recurso de Revisión:</w:t>
          </w:r>
        </w:p>
      </w:tc>
      <w:tc>
        <w:tcPr>
          <w:tcW w:w="3587" w:type="dxa"/>
        </w:tcPr>
        <w:p w14:paraId="77D4576F" w14:textId="77777777" w:rsidR="002D0F15" w:rsidRPr="00A8173F" w:rsidRDefault="002D0F15" w:rsidP="002C59A0">
          <w:pPr>
            <w:tabs>
              <w:tab w:val="right" w:pos="8838"/>
            </w:tabs>
            <w:ind w:left="-28" w:right="683"/>
            <w:rPr>
              <w:rFonts w:eastAsia="Calibri" w:cs="Tahoma"/>
            </w:rPr>
          </w:pPr>
          <w:r w:rsidRPr="00A8173F">
            <w:rPr>
              <w:rFonts w:eastAsia="Calibri" w:cs="Tahoma"/>
              <w:lang w:val="es-MX"/>
            </w:rPr>
            <w:t>04196/INFOEM/IP/RR/2020</w:t>
          </w:r>
        </w:p>
      </w:tc>
    </w:tr>
    <w:tr w:rsidR="002D0F15" w14:paraId="46AFE2B4" w14:textId="77777777" w:rsidTr="002C59A0">
      <w:trPr>
        <w:trHeight w:val="276"/>
      </w:trPr>
      <w:tc>
        <w:tcPr>
          <w:tcW w:w="2404" w:type="dxa"/>
        </w:tcPr>
        <w:p w14:paraId="1D6E5B2B" w14:textId="77777777" w:rsidR="002D0F15" w:rsidRPr="001B5FB6" w:rsidRDefault="002D0F15" w:rsidP="002C59A0">
          <w:pPr>
            <w:tabs>
              <w:tab w:val="right" w:pos="8838"/>
            </w:tabs>
            <w:ind w:right="-105"/>
            <w:rPr>
              <w:rFonts w:eastAsia="Calibri" w:cs="Tahoma"/>
              <w:b/>
              <w:lang w:val="es-MX"/>
            </w:rPr>
          </w:pPr>
          <w:r w:rsidRPr="001B5FB6">
            <w:rPr>
              <w:rFonts w:eastAsia="Calibri" w:cs="Tahoma"/>
              <w:b/>
              <w:lang w:val="es-MX"/>
            </w:rPr>
            <w:t>Sujeto Obligado:</w:t>
          </w:r>
        </w:p>
      </w:tc>
      <w:tc>
        <w:tcPr>
          <w:tcW w:w="3587" w:type="dxa"/>
        </w:tcPr>
        <w:p w14:paraId="2DAC5118" w14:textId="77777777" w:rsidR="002D0F15" w:rsidRPr="00A8173F" w:rsidRDefault="002D0F15" w:rsidP="002C59A0">
          <w:pPr>
            <w:tabs>
              <w:tab w:val="right" w:pos="8838"/>
            </w:tabs>
            <w:ind w:right="116"/>
            <w:rPr>
              <w:rFonts w:eastAsia="Calibri" w:cs="Tahoma"/>
              <w:lang w:val="es-MX"/>
            </w:rPr>
          </w:pPr>
          <w:r w:rsidRPr="00A8173F">
            <w:rPr>
              <w:rFonts w:eastAsia="Calibri" w:cs="Tahoma"/>
              <w:lang w:val="es-MX"/>
            </w:rPr>
            <w:t>Ayuntamiento de Chapultepec</w:t>
          </w:r>
        </w:p>
      </w:tc>
    </w:tr>
    <w:tr w:rsidR="002D0F15" w14:paraId="1FA679E9" w14:textId="77777777" w:rsidTr="002C59A0">
      <w:trPr>
        <w:trHeight w:val="276"/>
      </w:trPr>
      <w:tc>
        <w:tcPr>
          <w:tcW w:w="2404" w:type="dxa"/>
        </w:tcPr>
        <w:p w14:paraId="6498FD30" w14:textId="77777777" w:rsidR="002D0F15" w:rsidRPr="001B5FB6" w:rsidRDefault="002D0F15" w:rsidP="002C59A0">
          <w:pPr>
            <w:tabs>
              <w:tab w:val="right" w:pos="8838"/>
            </w:tabs>
            <w:ind w:right="-105"/>
            <w:rPr>
              <w:rFonts w:eastAsia="Calibri" w:cs="Tahoma"/>
              <w:b/>
              <w:lang w:val="es-MX"/>
            </w:rPr>
          </w:pPr>
          <w:r w:rsidRPr="001B5FB6">
            <w:rPr>
              <w:rFonts w:eastAsia="Calibri" w:cs="Tahoma"/>
              <w:b/>
              <w:lang w:val="es-MX"/>
            </w:rPr>
            <w:t>Comisionado Ponente:</w:t>
          </w:r>
        </w:p>
      </w:tc>
      <w:tc>
        <w:tcPr>
          <w:tcW w:w="3587" w:type="dxa"/>
        </w:tcPr>
        <w:p w14:paraId="5C36068F" w14:textId="77777777" w:rsidR="002D0F15" w:rsidRPr="00A8173F" w:rsidRDefault="002D0F15" w:rsidP="002C59A0">
          <w:pPr>
            <w:tabs>
              <w:tab w:val="right" w:pos="8838"/>
            </w:tabs>
            <w:ind w:right="-32"/>
            <w:rPr>
              <w:rFonts w:eastAsia="Calibri" w:cs="Tahoma"/>
              <w:lang w:val="es-MX"/>
            </w:rPr>
          </w:pPr>
          <w:r w:rsidRPr="00A8173F">
            <w:rPr>
              <w:rFonts w:eastAsia="Calibri" w:cs="Tahoma"/>
              <w:lang w:val="es-MX"/>
            </w:rPr>
            <w:t>Luis Gustavo Parra Noriega</w:t>
          </w:r>
        </w:p>
      </w:tc>
    </w:tr>
  </w:tbl>
  <w:p w14:paraId="509FB0F1" w14:textId="77777777" w:rsidR="002D0F15" w:rsidRDefault="00206619">
    <w:pPr>
      <w:pStyle w:val="Encabezado"/>
    </w:pPr>
    <w:r>
      <w:rPr>
        <w:noProof/>
      </w:rPr>
      <w:pict w14:anchorId="21C56803">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12024032" o:spid="_x0000_s2051" type="#_x0000_t75" alt="MARCA DE AGUA - HOJA RESOLUCIÓN" style="position:absolute;left:0;text-align:left;margin-left:0;margin-top:0;width:663.5pt;height:12in;z-index:-251657216;mso-wrap-edited:f;mso-position-horizontal:center;mso-position-horizontal-relative:margin;mso-position-vertical:center;mso-position-vertical-relative:margin" o:allowincell="f">
          <v:imagedata r:id="rId1" o:title="MARCA DE AGUA - HOJA RESOLUCIÓN"/>
          <w10:wrap anchorx="margin" anchory="margin"/>
        </v:shape>
      </w:pic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Style w:val="Tablaconcuadrcula"/>
      <w:tblW w:w="7330" w:type="dxa"/>
      <w:tblInd w:w="3402"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20" w:firstRow="1" w:lastRow="0" w:firstColumn="0" w:lastColumn="0" w:noHBand="0" w:noVBand="1"/>
    </w:tblPr>
    <w:tblGrid>
      <w:gridCol w:w="2410"/>
      <w:gridCol w:w="4920"/>
    </w:tblGrid>
    <w:tr w:rsidR="002D0F15" w14:paraId="1E2FF18B" w14:textId="77777777" w:rsidTr="008415AE">
      <w:trPr>
        <w:trHeight w:val="141"/>
      </w:trPr>
      <w:tc>
        <w:tcPr>
          <w:tcW w:w="2410" w:type="dxa"/>
        </w:tcPr>
        <w:p w14:paraId="13CD72D6" w14:textId="4BBB4672" w:rsidR="002D0F15" w:rsidRDefault="002D0F15" w:rsidP="00682222">
          <w:pPr>
            <w:tabs>
              <w:tab w:val="right" w:pos="8838"/>
            </w:tabs>
            <w:ind w:left="-395" w:right="-105" w:firstLine="395"/>
            <w:rPr>
              <w:rFonts w:eastAsia="Calibri" w:cs="Tahoma"/>
              <w:b/>
              <w:lang w:val="es-MX"/>
            </w:rPr>
          </w:pPr>
        </w:p>
        <w:p w14:paraId="6B6D03E8" w14:textId="3349083A" w:rsidR="002D0F15" w:rsidRPr="001B5FB6" w:rsidRDefault="002D0F15" w:rsidP="00682222">
          <w:pPr>
            <w:tabs>
              <w:tab w:val="right" w:pos="8838"/>
            </w:tabs>
            <w:ind w:left="-395" w:right="-105" w:firstLine="395"/>
            <w:rPr>
              <w:rFonts w:eastAsia="Calibri" w:cs="Tahoma"/>
              <w:b/>
              <w:lang w:val="es-MX"/>
            </w:rPr>
          </w:pPr>
          <w:r>
            <w:rPr>
              <w:rFonts w:eastAsia="Calibri" w:cs="Tahoma"/>
              <w:b/>
              <w:lang w:val="es-MX"/>
            </w:rPr>
            <w:t>R</w:t>
          </w:r>
          <w:r w:rsidRPr="001B5FB6">
            <w:rPr>
              <w:rFonts w:eastAsia="Calibri" w:cs="Tahoma"/>
              <w:b/>
              <w:lang w:val="es-MX"/>
            </w:rPr>
            <w:t>ecurso de Revisión:</w:t>
          </w:r>
        </w:p>
      </w:tc>
      <w:tc>
        <w:tcPr>
          <w:tcW w:w="4920" w:type="dxa"/>
        </w:tcPr>
        <w:p w14:paraId="427F5EC8" w14:textId="77777777" w:rsidR="002D0F15" w:rsidRDefault="002D0F15" w:rsidP="00682222">
          <w:pPr>
            <w:tabs>
              <w:tab w:val="right" w:pos="8838"/>
            </w:tabs>
            <w:ind w:left="-28" w:right="454"/>
            <w:rPr>
              <w:rFonts w:eastAsia="Calibri" w:cs="Tahoma"/>
              <w:lang w:val="es-MX"/>
            </w:rPr>
          </w:pPr>
        </w:p>
        <w:p w14:paraId="503BB8DE" w14:textId="329790D9" w:rsidR="002D0F15" w:rsidRPr="00C853D1" w:rsidRDefault="002D0F15" w:rsidP="00682222">
          <w:pPr>
            <w:tabs>
              <w:tab w:val="right" w:pos="8838"/>
            </w:tabs>
            <w:ind w:left="-28" w:right="454"/>
            <w:rPr>
              <w:rFonts w:eastAsia="Calibri" w:cs="Tahoma"/>
            </w:rPr>
          </w:pPr>
          <w:r w:rsidRPr="00424C3F">
            <w:rPr>
              <w:rFonts w:eastAsia="Calibri" w:cs="Tahoma"/>
              <w:lang w:val="es-MX"/>
            </w:rPr>
            <w:t>0</w:t>
          </w:r>
          <w:r>
            <w:rPr>
              <w:rFonts w:eastAsia="Calibri" w:cs="Tahoma"/>
              <w:lang w:val="es-MX"/>
            </w:rPr>
            <w:t>5661</w:t>
          </w:r>
          <w:r w:rsidRPr="00424C3F">
            <w:rPr>
              <w:rFonts w:eastAsia="Calibri" w:cs="Tahoma"/>
              <w:lang w:val="es-MX"/>
            </w:rPr>
            <w:t>/INFOEM/IP/RR/2024</w:t>
          </w:r>
        </w:p>
      </w:tc>
    </w:tr>
    <w:tr w:rsidR="002D0F15" w14:paraId="110906AA" w14:textId="77777777" w:rsidTr="008415AE">
      <w:trPr>
        <w:trHeight w:val="276"/>
      </w:trPr>
      <w:tc>
        <w:tcPr>
          <w:tcW w:w="2410" w:type="dxa"/>
        </w:tcPr>
        <w:p w14:paraId="3052339E" w14:textId="77777777" w:rsidR="002D0F15" w:rsidRPr="001B5FB6" w:rsidRDefault="002D0F15" w:rsidP="002C59A0">
          <w:pPr>
            <w:tabs>
              <w:tab w:val="right" w:pos="8838"/>
            </w:tabs>
            <w:ind w:right="-105"/>
            <w:rPr>
              <w:rFonts w:eastAsia="Calibri" w:cs="Tahoma"/>
              <w:b/>
              <w:lang w:val="es-MX"/>
            </w:rPr>
          </w:pPr>
          <w:r w:rsidRPr="001B5FB6">
            <w:rPr>
              <w:rFonts w:eastAsia="Calibri" w:cs="Tahoma"/>
              <w:b/>
              <w:lang w:val="es-MX"/>
            </w:rPr>
            <w:t>Sujeto Obligado:</w:t>
          </w:r>
        </w:p>
      </w:tc>
      <w:tc>
        <w:tcPr>
          <w:tcW w:w="4920" w:type="dxa"/>
        </w:tcPr>
        <w:p w14:paraId="5C93113C" w14:textId="284D9286" w:rsidR="002D0F15" w:rsidRPr="00A8173F" w:rsidRDefault="002D0F15" w:rsidP="0038387E">
          <w:pPr>
            <w:tabs>
              <w:tab w:val="left" w:pos="3158"/>
              <w:tab w:val="left" w:pos="4292"/>
              <w:tab w:val="right" w:pos="8838"/>
            </w:tabs>
            <w:ind w:right="601"/>
            <w:rPr>
              <w:rFonts w:eastAsia="Calibri" w:cs="Tahoma"/>
              <w:lang w:val="es-MX"/>
            </w:rPr>
          </w:pPr>
          <w:r w:rsidRPr="00F968B0">
            <w:rPr>
              <w:rFonts w:eastAsia="Calibri" w:cs="Tahoma"/>
              <w:lang w:val="es-MX"/>
            </w:rPr>
            <w:t>Ayuntamiento de Huixquilucan</w:t>
          </w:r>
        </w:p>
      </w:tc>
    </w:tr>
    <w:tr w:rsidR="002D0F15" w14:paraId="065F2043" w14:textId="77777777" w:rsidTr="008415AE">
      <w:trPr>
        <w:trHeight w:val="276"/>
      </w:trPr>
      <w:tc>
        <w:tcPr>
          <w:tcW w:w="2410" w:type="dxa"/>
        </w:tcPr>
        <w:p w14:paraId="22514F66" w14:textId="77777777" w:rsidR="002D0F15" w:rsidRPr="001B5FB6" w:rsidRDefault="002D0F15" w:rsidP="002C59A0">
          <w:pPr>
            <w:tabs>
              <w:tab w:val="right" w:pos="8838"/>
            </w:tabs>
            <w:ind w:right="-105"/>
            <w:rPr>
              <w:rFonts w:eastAsia="Calibri" w:cs="Tahoma"/>
              <w:b/>
              <w:lang w:val="es-MX"/>
            </w:rPr>
          </w:pPr>
          <w:r w:rsidRPr="001B5FB6">
            <w:rPr>
              <w:rFonts w:eastAsia="Calibri" w:cs="Tahoma"/>
              <w:b/>
              <w:lang w:val="es-MX"/>
            </w:rPr>
            <w:t>Comisionado Ponente:</w:t>
          </w:r>
        </w:p>
      </w:tc>
      <w:tc>
        <w:tcPr>
          <w:tcW w:w="4920" w:type="dxa"/>
        </w:tcPr>
        <w:p w14:paraId="245FB2E7" w14:textId="77777777" w:rsidR="002D0F15" w:rsidRPr="00A8173F" w:rsidRDefault="002D0F15" w:rsidP="00682222">
          <w:pPr>
            <w:tabs>
              <w:tab w:val="right" w:pos="8838"/>
            </w:tabs>
            <w:ind w:right="454"/>
            <w:rPr>
              <w:rFonts w:eastAsia="Calibri" w:cs="Tahoma"/>
              <w:lang w:val="es-MX"/>
            </w:rPr>
          </w:pPr>
          <w:r w:rsidRPr="00A8173F">
            <w:rPr>
              <w:rFonts w:eastAsia="Calibri" w:cs="Tahoma"/>
              <w:lang w:val="es-MX"/>
            </w:rPr>
            <w:t>Luis Gustavo Parra Noriega</w:t>
          </w:r>
        </w:p>
      </w:tc>
    </w:tr>
  </w:tbl>
  <w:p w14:paraId="0A6563BD" w14:textId="77777777" w:rsidR="002D0F15" w:rsidRDefault="00206619">
    <w:pPr>
      <w:pStyle w:val="Encabezado"/>
    </w:pPr>
    <w:r>
      <w:rPr>
        <w:noProof/>
      </w:rPr>
      <w:pict w14:anchorId="2D34045F">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12024033" o:spid="_x0000_s2050" type="#_x0000_t75" alt="MARCA DE AGUA - HOJA RESOLUCIÓN" style="position:absolute;left:0;text-align:left;margin-left:0;margin-top:0;width:663.5pt;height:12in;z-index:-251656192;mso-wrap-edited:f;mso-position-horizontal:center;mso-position-horizontal-relative:margin;mso-position-vertical:center;mso-position-vertical-relative:margin" o:allowincell="f">
          <v:imagedata r:id="rId1" o:title="MARCA DE AGUA - HOJA RESOLUCIÓN"/>
          <w10:wrap anchorx="margin" anchory="margin"/>
        </v:shape>
      </w:pic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10206" w:type="dxa"/>
      <w:tblLayout w:type="fixed"/>
      <w:tblLook w:val="04A0" w:firstRow="1" w:lastRow="0" w:firstColumn="1" w:lastColumn="0" w:noHBand="0" w:noVBand="1"/>
    </w:tblPr>
    <w:tblGrid>
      <w:gridCol w:w="3261"/>
      <w:gridCol w:w="6945"/>
    </w:tblGrid>
    <w:tr w:rsidR="002D0F15" w:rsidRPr="005C106F" w14:paraId="5D26797B" w14:textId="77777777" w:rsidTr="000D1C95">
      <w:trPr>
        <w:trHeight w:val="1546"/>
      </w:trPr>
      <w:tc>
        <w:tcPr>
          <w:tcW w:w="3261" w:type="dxa"/>
          <w:shd w:val="clear" w:color="auto" w:fill="auto"/>
        </w:tcPr>
        <w:p w14:paraId="76E7DE43" w14:textId="5E82449E" w:rsidR="002D0F15" w:rsidRPr="005C106F" w:rsidRDefault="002D0F15" w:rsidP="002C59A0">
          <w:pPr>
            <w:tabs>
              <w:tab w:val="right" w:pos="4273"/>
            </w:tabs>
            <w:rPr>
              <w:rFonts w:ascii="Garamond" w:eastAsia="Calibri" w:hAnsi="Garamond"/>
              <w:sz w:val="16"/>
              <w:szCs w:val="16"/>
            </w:rPr>
          </w:pPr>
        </w:p>
      </w:tc>
      <w:tc>
        <w:tcPr>
          <w:tcW w:w="6945" w:type="dxa"/>
          <w:shd w:val="clear" w:color="auto" w:fill="auto"/>
        </w:tcPr>
        <w:tbl>
          <w:tblPr>
            <w:tblStyle w:val="Tablaconcuadrcula"/>
            <w:tblW w:w="7230" w:type="dxa"/>
            <w:tblInd w:w="41"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20" w:firstRow="1" w:lastRow="0" w:firstColumn="0" w:lastColumn="0" w:noHBand="0" w:noVBand="1"/>
          </w:tblPr>
          <w:tblGrid>
            <w:gridCol w:w="2460"/>
            <w:gridCol w:w="4770"/>
          </w:tblGrid>
          <w:tr w:rsidR="002D0F15" w14:paraId="5CB74832" w14:textId="77777777" w:rsidTr="00B67E46">
            <w:trPr>
              <w:trHeight w:val="161"/>
            </w:trPr>
            <w:tc>
              <w:tcPr>
                <w:tcW w:w="2460" w:type="dxa"/>
                <w:vAlign w:val="bottom"/>
              </w:tcPr>
              <w:p w14:paraId="38469831" w14:textId="77777777" w:rsidR="002D0F15" w:rsidRPr="001B5FB6" w:rsidRDefault="002D0F15" w:rsidP="002C59A0">
                <w:pPr>
                  <w:tabs>
                    <w:tab w:val="right" w:pos="8838"/>
                  </w:tabs>
                  <w:ind w:right="-105"/>
                  <w:rPr>
                    <w:rFonts w:eastAsia="Calibri" w:cs="Tahoma"/>
                    <w:b/>
                    <w:lang w:val="es-MX"/>
                  </w:rPr>
                </w:pPr>
                <w:r w:rsidRPr="001B5FB6">
                  <w:rPr>
                    <w:rFonts w:eastAsia="Calibri" w:cs="Tahoma"/>
                    <w:b/>
                    <w:lang w:val="es-MX"/>
                  </w:rPr>
                  <w:t>Recurso de Revisión:</w:t>
                </w:r>
              </w:p>
            </w:tc>
            <w:tc>
              <w:tcPr>
                <w:tcW w:w="4770" w:type="dxa"/>
              </w:tcPr>
              <w:p w14:paraId="25021A4A" w14:textId="52E73510" w:rsidR="002D0F15" w:rsidRPr="00CB04B0" w:rsidRDefault="002D0F15" w:rsidP="002C59A0">
                <w:pPr>
                  <w:tabs>
                    <w:tab w:val="right" w:pos="8838"/>
                  </w:tabs>
                  <w:ind w:left="-28" w:right="-107"/>
                  <w:rPr>
                    <w:rFonts w:eastAsia="Calibri" w:cs="Tahoma"/>
                  </w:rPr>
                </w:pPr>
                <w:r w:rsidRPr="00CB04B0">
                  <w:rPr>
                    <w:rFonts w:eastAsia="Calibri" w:cs="Tahoma"/>
                    <w:lang w:val="es-MX"/>
                  </w:rPr>
                  <w:t>0</w:t>
                </w:r>
                <w:r>
                  <w:rPr>
                    <w:rFonts w:eastAsia="Calibri" w:cs="Tahoma"/>
                    <w:lang w:val="es-MX"/>
                  </w:rPr>
                  <w:t>5661</w:t>
                </w:r>
                <w:r w:rsidRPr="00CB04B0">
                  <w:rPr>
                    <w:rFonts w:eastAsia="Calibri" w:cs="Tahoma"/>
                    <w:lang w:val="es-MX"/>
                  </w:rPr>
                  <w:t>/INFOEM/IP/RR/202</w:t>
                </w:r>
                <w:r>
                  <w:rPr>
                    <w:rFonts w:eastAsia="Calibri" w:cs="Tahoma"/>
                    <w:lang w:val="es-MX"/>
                  </w:rPr>
                  <w:t>4</w:t>
                </w:r>
              </w:p>
            </w:tc>
          </w:tr>
          <w:tr w:rsidR="002D0F15" w14:paraId="65D6C982" w14:textId="77777777" w:rsidTr="00B67E46">
            <w:trPr>
              <w:trHeight w:val="161"/>
            </w:trPr>
            <w:tc>
              <w:tcPr>
                <w:tcW w:w="2460" w:type="dxa"/>
              </w:tcPr>
              <w:p w14:paraId="7E5992A8" w14:textId="77777777" w:rsidR="002D0F15" w:rsidRPr="001B5FB6" w:rsidRDefault="002D0F15" w:rsidP="002C59A0">
                <w:pPr>
                  <w:tabs>
                    <w:tab w:val="right" w:pos="8838"/>
                  </w:tabs>
                  <w:ind w:right="-105"/>
                  <w:rPr>
                    <w:rFonts w:eastAsia="Calibri" w:cs="Tahoma"/>
                    <w:b/>
                    <w:lang w:val="es-MX"/>
                  </w:rPr>
                </w:pPr>
                <w:r w:rsidRPr="001B5FB6">
                  <w:rPr>
                    <w:rFonts w:eastAsia="Calibri" w:cs="Tahoma"/>
                    <w:b/>
                    <w:lang w:val="es-MX"/>
                  </w:rPr>
                  <w:t>Recurrente:</w:t>
                </w:r>
              </w:p>
            </w:tc>
            <w:tc>
              <w:tcPr>
                <w:tcW w:w="4770" w:type="dxa"/>
              </w:tcPr>
              <w:p w14:paraId="4D5C37D5" w14:textId="0A303867" w:rsidR="002D0F15" w:rsidRPr="003405AF" w:rsidRDefault="00393410" w:rsidP="00F21344">
                <w:pPr>
                  <w:tabs>
                    <w:tab w:val="left" w:pos="2869"/>
                    <w:tab w:val="right" w:pos="8838"/>
                  </w:tabs>
                  <w:ind w:right="169"/>
                  <w:rPr>
                    <w:rFonts w:eastAsia="Calibri" w:cs="Tahoma"/>
                    <w:lang w:val="es-MX"/>
                  </w:rPr>
                </w:pPr>
                <w:r w:rsidRPr="00393410">
                  <w:rPr>
                    <w:rFonts w:eastAsia="Calibri" w:cs="Tahoma"/>
                    <w:highlight w:val="black"/>
                    <w:lang w:val="es-MX"/>
                  </w:rPr>
                  <w:t>XXXXXXX</w:t>
                </w:r>
              </w:p>
            </w:tc>
          </w:tr>
          <w:tr w:rsidR="002D0F15" w14:paraId="40A995EA" w14:textId="77777777" w:rsidTr="00B67E46">
            <w:trPr>
              <w:trHeight w:val="315"/>
            </w:trPr>
            <w:tc>
              <w:tcPr>
                <w:tcW w:w="2460" w:type="dxa"/>
              </w:tcPr>
              <w:p w14:paraId="7BFD65FA" w14:textId="77777777" w:rsidR="002D0F15" w:rsidRPr="001B5FB6" w:rsidRDefault="002D0F15" w:rsidP="002C59A0">
                <w:pPr>
                  <w:tabs>
                    <w:tab w:val="right" w:pos="8838"/>
                  </w:tabs>
                  <w:ind w:right="-105"/>
                  <w:rPr>
                    <w:rFonts w:eastAsia="Calibri" w:cs="Tahoma"/>
                    <w:b/>
                    <w:lang w:val="es-MX"/>
                  </w:rPr>
                </w:pPr>
                <w:r w:rsidRPr="001B5FB6">
                  <w:rPr>
                    <w:rFonts w:eastAsia="Calibri" w:cs="Tahoma"/>
                    <w:b/>
                    <w:lang w:val="es-MX"/>
                  </w:rPr>
                  <w:t>Sujeto Obligado:</w:t>
                </w:r>
              </w:p>
            </w:tc>
            <w:tc>
              <w:tcPr>
                <w:tcW w:w="4770" w:type="dxa"/>
              </w:tcPr>
              <w:p w14:paraId="433E1B49" w14:textId="5A134982" w:rsidR="002D0F15" w:rsidRPr="00245DE1" w:rsidRDefault="002D0F15" w:rsidP="00B67E46">
                <w:pPr>
                  <w:tabs>
                    <w:tab w:val="right" w:pos="8838"/>
                  </w:tabs>
                  <w:ind w:right="327"/>
                  <w:rPr>
                    <w:rFonts w:eastAsia="Calibri" w:cs="Tahoma"/>
                    <w:lang w:val="es-MX"/>
                  </w:rPr>
                </w:pPr>
                <w:r w:rsidRPr="00F968B0">
                  <w:rPr>
                    <w:rFonts w:eastAsia="Calibri" w:cs="Tahoma"/>
                    <w:lang w:val="es-MX"/>
                  </w:rPr>
                  <w:t>Ayuntamiento de Huixquilucan</w:t>
                </w:r>
              </w:p>
            </w:tc>
          </w:tr>
          <w:tr w:rsidR="002D0F15" w14:paraId="386AB112" w14:textId="77777777" w:rsidTr="00B67E46">
            <w:trPr>
              <w:trHeight w:val="315"/>
            </w:trPr>
            <w:tc>
              <w:tcPr>
                <w:tcW w:w="2460" w:type="dxa"/>
              </w:tcPr>
              <w:p w14:paraId="44E8F60B" w14:textId="77777777" w:rsidR="002D0F15" w:rsidRPr="001B5FB6" w:rsidRDefault="002D0F15" w:rsidP="002C59A0">
                <w:pPr>
                  <w:tabs>
                    <w:tab w:val="right" w:pos="8838"/>
                  </w:tabs>
                  <w:ind w:right="-105"/>
                  <w:rPr>
                    <w:rFonts w:eastAsia="Calibri" w:cs="Tahoma"/>
                    <w:b/>
                    <w:lang w:val="es-MX"/>
                  </w:rPr>
                </w:pPr>
                <w:r w:rsidRPr="001B5FB6">
                  <w:rPr>
                    <w:rFonts w:eastAsia="Calibri" w:cs="Tahoma"/>
                    <w:b/>
                    <w:lang w:val="es-MX"/>
                  </w:rPr>
                  <w:t>Comisionado Ponente:</w:t>
                </w:r>
              </w:p>
            </w:tc>
            <w:tc>
              <w:tcPr>
                <w:tcW w:w="4770" w:type="dxa"/>
              </w:tcPr>
              <w:p w14:paraId="3833DB23" w14:textId="77777777" w:rsidR="002D0F15" w:rsidRPr="00A8173F" w:rsidRDefault="002D0F15" w:rsidP="002C59A0">
                <w:pPr>
                  <w:tabs>
                    <w:tab w:val="right" w:pos="8838"/>
                  </w:tabs>
                  <w:ind w:right="-107"/>
                  <w:rPr>
                    <w:rFonts w:eastAsia="Calibri" w:cs="Tahoma"/>
                    <w:lang w:val="es-MX"/>
                  </w:rPr>
                </w:pPr>
                <w:r w:rsidRPr="00A8173F">
                  <w:rPr>
                    <w:rFonts w:eastAsia="Calibri" w:cs="Tahoma"/>
                    <w:lang w:val="es-MX"/>
                  </w:rPr>
                  <w:t>Luis Gustavo Parra Noriega</w:t>
                </w:r>
              </w:p>
            </w:tc>
          </w:tr>
        </w:tbl>
        <w:p w14:paraId="7017D3D5" w14:textId="554FCEEF" w:rsidR="002D0F15" w:rsidRPr="005C106F" w:rsidRDefault="002D0F15" w:rsidP="002C59A0">
          <w:pPr>
            <w:tabs>
              <w:tab w:val="right" w:pos="8838"/>
            </w:tabs>
            <w:ind w:left="-28"/>
            <w:rPr>
              <w:rFonts w:ascii="Arial" w:eastAsia="Calibri" w:hAnsi="Arial" w:cs="Arial"/>
              <w:b/>
            </w:rPr>
          </w:pPr>
        </w:p>
      </w:tc>
    </w:tr>
  </w:tbl>
  <w:p w14:paraId="280F3B20" w14:textId="3802CD14" w:rsidR="002D0F15" w:rsidRPr="00AD2C04" w:rsidRDefault="00206619">
    <w:pPr>
      <w:pStyle w:val="Encabezado"/>
      <w:rPr>
        <w:sz w:val="2"/>
        <w:szCs w:val="2"/>
      </w:rPr>
    </w:pPr>
    <w:r>
      <w:rPr>
        <w:noProof/>
      </w:rPr>
      <w:pict w14:anchorId="3F987CB7">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12024031" o:spid="_x0000_s2049" type="#_x0000_t75" alt="MARCA DE AGUA - HOJA RESOLUCIÓN" style="position:absolute;left:0;text-align:left;margin-left:-87.9pt;margin-top:-117.2pt;width:663.5pt;height:12in;z-index:-251655168;mso-wrap-edited:f;mso-position-horizontal-relative:margin;mso-position-vertical-relative:margin" o:allowincell="f">
          <v:imagedata r:id="rId1" o:title="MARCA DE AGUA - HOJA RESOLUCIÓN"/>
          <w10:wrap anchorx="margin" anchory="margin"/>
        </v:shape>
      </w:pic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1350A9A"/>
    <w:multiLevelType w:val="hybridMultilevel"/>
    <w:tmpl w:val="DF5C904E"/>
    <w:lvl w:ilvl="0" w:tplc="080A001B">
      <w:start w:val="1"/>
      <w:numFmt w:val="lowerRoman"/>
      <w:lvlText w:val="%1."/>
      <w:lvlJc w:val="righ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 w15:restartNumberingAfterBreak="0">
    <w:nsid w:val="0316104F"/>
    <w:multiLevelType w:val="hybridMultilevel"/>
    <w:tmpl w:val="A94C4C12"/>
    <w:lvl w:ilvl="0" w:tplc="080A000F">
      <w:start w:val="1"/>
      <w:numFmt w:val="decimal"/>
      <w:lvlText w:val="%1."/>
      <w:lvlJc w:val="lef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2" w15:restartNumberingAfterBreak="0">
    <w:nsid w:val="0FAE2E6C"/>
    <w:multiLevelType w:val="hybridMultilevel"/>
    <w:tmpl w:val="433829DA"/>
    <w:lvl w:ilvl="0" w:tplc="080A0001">
      <w:start w:val="1"/>
      <w:numFmt w:val="bullet"/>
      <w:lvlText w:val=""/>
      <w:lvlJc w:val="left"/>
      <w:pPr>
        <w:ind w:left="1287" w:hanging="360"/>
      </w:pPr>
      <w:rPr>
        <w:rFonts w:ascii="Symbol" w:hAnsi="Symbol" w:hint="default"/>
      </w:rPr>
    </w:lvl>
    <w:lvl w:ilvl="1" w:tplc="080A0003" w:tentative="1">
      <w:start w:val="1"/>
      <w:numFmt w:val="bullet"/>
      <w:lvlText w:val="o"/>
      <w:lvlJc w:val="left"/>
      <w:pPr>
        <w:ind w:left="2007" w:hanging="360"/>
      </w:pPr>
      <w:rPr>
        <w:rFonts w:ascii="Courier New" w:hAnsi="Courier New" w:cs="Courier New" w:hint="default"/>
      </w:rPr>
    </w:lvl>
    <w:lvl w:ilvl="2" w:tplc="080A0005" w:tentative="1">
      <w:start w:val="1"/>
      <w:numFmt w:val="bullet"/>
      <w:lvlText w:val=""/>
      <w:lvlJc w:val="left"/>
      <w:pPr>
        <w:ind w:left="2727" w:hanging="360"/>
      </w:pPr>
      <w:rPr>
        <w:rFonts w:ascii="Wingdings" w:hAnsi="Wingdings" w:hint="default"/>
      </w:rPr>
    </w:lvl>
    <w:lvl w:ilvl="3" w:tplc="080A0001" w:tentative="1">
      <w:start w:val="1"/>
      <w:numFmt w:val="bullet"/>
      <w:lvlText w:val=""/>
      <w:lvlJc w:val="left"/>
      <w:pPr>
        <w:ind w:left="3447" w:hanging="360"/>
      </w:pPr>
      <w:rPr>
        <w:rFonts w:ascii="Symbol" w:hAnsi="Symbol" w:hint="default"/>
      </w:rPr>
    </w:lvl>
    <w:lvl w:ilvl="4" w:tplc="080A0003" w:tentative="1">
      <w:start w:val="1"/>
      <w:numFmt w:val="bullet"/>
      <w:lvlText w:val="o"/>
      <w:lvlJc w:val="left"/>
      <w:pPr>
        <w:ind w:left="4167" w:hanging="360"/>
      </w:pPr>
      <w:rPr>
        <w:rFonts w:ascii="Courier New" w:hAnsi="Courier New" w:cs="Courier New" w:hint="default"/>
      </w:rPr>
    </w:lvl>
    <w:lvl w:ilvl="5" w:tplc="080A0005" w:tentative="1">
      <w:start w:val="1"/>
      <w:numFmt w:val="bullet"/>
      <w:lvlText w:val=""/>
      <w:lvlJc w:val="left"/>
      <w:pPr>
        <w:ind w:left="4887" w:hanging="360"/>
      </w:pPr>
      <w:rPr>
        <w:rFonts w:ascii="Wingdings" w:hAnsi="Wingdings" w:hint="default"/>
      </w:rPr>
    </w:lvl>
    <w:lvl w:ilvl="6" w:tplc="080A0001" w:tentative="1">
      <w:start w:val="1"/>
      <w:numFmt w:val="bullet"/>
      <w:lvlText w:val=""/>
      <w:lvlJc w:val="left"/>
      <w:pPr>
        <w:ind w:left="5607" w:hanging="360"/>
      </w:pPr>
      <w:rPr>
        <w:rFonts w:ascii="Symbol" w:hAnsi="Symbol" w:hint="default"/>
      </w:rPr>
    </w:lvl>
    <w:lvl w:ilvl="7" w:tplc="080A0003" w:tentative="1">
      <w:start w:val="1"/>
      <w:numFmt w:val="bullet"/>
      <w:lvlText w:val="o"/>
      <w:lvlJc w:val="left"/>
      <w:pPr>
        <w:ind w:left="6327" w:hanging="360"/>
      </w:pPr>
      <w:rPr>
        <w:rFonts w:ascii="Courier New" w:hAnsi="Courier New" w:cs="Courier New" w:hint="default"/>
      </w:rPr>
    </w:lvl>
    <w:lvl w:ilvl="8" w:tplc="080A0005" w:tentative="1">
      <w:start w:val="1"/>
      <w:numFmt w:val="bullet"/>
      <w:lvlText w:val=""/>
      <w:lvlJc w:val="left"/>
      <w:pPr>
        <w:ind w:left="7047" w:hanging="360"/>
      </w:pPr>
      <w:rPr>
        <w:rFonts w:ascii="Wingdings" w:hAnsi="Wingdings" w:hint="default"/>
      </w:rPr>
    </w:lvl>
  </w:abstractNum>
  <w:abstractNum w:abstractNumId="3" w15:restartNumberingAfterBreak="0">
    <w:nsid w:val="1215631B"/>
    <w:multiLevelType w:val="hybridMultilevel"/>
    <w:tmpl w:val="8CE83740"/>
    <w:lvl w:ilvl="0" w:tplc="080A0001">
      <w:start w:val="1"/>
      <w:numFmt w:val="bullet"/>
      <w:lvlText w:val=""/>
      <w:lvlJc w:val="left"/>
      <w:pPr>
        <w:ind w:left="720" w:hanging="360"/>
      </w:pPr>
      <w:rPr>
        <w:rFonts w:ascii="Symbol" w:hAnsi="Symbol" w:hint="default"/>
      </w:rPr>
    </w:lvl>
    <w:lvl w:ilvl="1" w:tplc="080A0003">
      <w:start w:val="1"/>
      <w:numFmt w:val="bullet"/>
      <w:lvlText w:val="o"/>
      <w:lvlJc w:val="left"/>
      <w:pPr>
        <w:ind w:left="1440" w:hanging="360"/>
      </w:pPr>
      <w:rPr>
        <w:rFonts w:ascii="Courier New" w:hAnsi="Courier New" w:cs="Courier New" w:hint="default"/>
      </w:rPr>
    </w:lvl>
    <w:lvl w:ilvl="2" w:tplc="080A0005">
      <w:start w:val="1"/>
      <w:numFmt w:val="bullet"/>
      <w:lvlText w:val=""/>
      <w:lvlJc w:val="left"/>
      <w:pPr>
        <w:ind w:left="2160" w:hanging="360"/>
      </w:pPr>
      <w:rPr>
        <w:rFonts w:ascii="Wingdings" w:hAnsi="Wingdings" w:hint="default"/>
      </w:rPr>
    </w:lvl>
    <w:lvl w:ilvl="3" w:tplc="080A0001">
      <w:start w:val="1"/>
      <w:numFmt w:val="bullet"/>
      <w:lvlText w:val=""/>
      <w:lvlJc w:val="left"/>
      <w:pPr>
        <w:ind w:left="2880" w:hanging="360"/>
      </w:pPr>
      <w:rPr>
        <w:rFonts w:ascii="Symbol" w:hAnsi="Symbol" w:hint="default"/>
      </w:rPr>
    </w:lvl>
    <w:lvl w:ilvl="4" w:tplc="080A0003">
      <w:start w:val="1"/>
      <w:numFmt w:val="bullet"/>
      <w:lvlText w:val="o"/>
      <w:lvlJc w:val="left"/>
      <w:pPr>
        <w:ind w:left="3600" w:hanging="360"/>
      </w:pPr>
      <w:rPr>
        <w:rFonts w:ascii="Courier New" w:hAnsi="Courier New" w:cs="Courier New" w:hint="default"/>
      </w:rPr>
    </w:lvl>
    <w:lvl w:ilvl="5" w:tplc="080A0005">
      <w:start w:val="1"/>
      <w:numFmt w:val="bullet"/>
      <w:lvlText w:val=""/>
      <w:lvlJc w:val="left"/>
      <w:pPr>
        <w:ind w:left="4320" w:hanging="360"/>
      </w:pPr>
      <w:rPr>
        <w:rFonts w:ascii="Wingdings" w:hAnsi="Wingdings" w:hint="default"/>
      </w:rPr>
    </w:lvl>
    <w:lvl w:ilvl="6" w:tplc="080A0001">
      <w:start w:val="1"/>
      <w:numFmt w:val="bullet"/>
      <w:lvlText w:val=""/>
      <w:lvlJc w:val="left"/>
      <w:pPr>
        <w:ind w:left="5040" w:hanging="360"/>
      </w:pPr>
      <w:rPr>
        <w:rFonts w:ascii="Symbol" w:hAnsi="Symbol" w:hint="default"/>
      </w:rPr>
    </w:lvl>
    <w:lvl w:ilvl="7" w:tplc="080A0003">
      <w:start w:val="1"/>
      <w:numFmt w:val="bullet"/>
      <w:lvlText w:val="o"/>
      <w:lvlJc w:val="left"/>
      <w:pPr>
        <w:ind w:left="5760" w:hanging="360"/>
      </w:pPr>
      <w:rPr>
        <w:rFonts w:ascii="Courier New" w:hAnsi="Courier New" w:cs="Courier New" w:hint="default"/>
      </w:rPr>
    </w:lvl>
    <w:lvl w:ilvl="8" w:tplc="080A0005">
      <w:start w:val="1"/>
      <w:numFmt w:val="bullet"/>
      <w:lvlText w:val=""/>
      <w:lvlJc w:val="left"/>
      <w:pPr>
        <w:ind w:left="6480" w:hanging="360"/>
      </w:pPr>
      <w:rPr>
        <w:rFonts w:ascii="Wingdings" w:hAnsi="Wingdings" w:hint="default"/>
      </w:rPr>
    </w:lvl>
  </w:abstractNum>
  <w:abstractNum w:abstractNumId="4" w15:restartNumberingAfterBreak="0">
    <w:nsid w:val="1CCB50C7"/>
    <w:multiLevelType w:val="hybridMultilevel"/>
    <w:tmpl w:val="1CF08DAC"/>
    <w:lvl w:ilvl="0" w:tplc="29F2770A">
      <w:start w:val="1"/>
      <w:numFmt w:val="lowerLetter"/>
      <w:lvlText w:val="%1)"/>
      <w:lvlJc w:val="left"/>
      <w:pPr>
        <w:ind w:left="720" w:hanging="360"/>
      </w:pPr>
      <w:rPr>
        <w:rFonts w:hint="default"/>
        <w:b/>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5" w15:restartNumberingAfterBreak="0">
    <w:nsid w:val="1DFD29E9"/>
    <w:multiLevelType w:val="hybridMultilevel"/>
    <w:tmpl w:val="221AB048"/>
    <w:lvl w:ilvl="0" w:tplc="080A0001">
      <w:start w:val="1"/>
      <w:numFmt w:val="bullet"/>
      <w:lvlText w:val=""/>
      <w:lvlJc w:val="left"/>
      <w:pPr>
        <w:ind w:left="1440" w:hanging="360"/>
      </w:pPr>
      <w:rPr>
        <w:rFonts w:ascii="Symbol" w:hAnsi="Symbol" w:hint="default"/>
      </w:rPr>
    </w:lvl>
    <w:lvl w:ilvl="1" w:tplc="080A0003" w:tentative="1">
      <w:start w:val="1"/>
      <w:numFmt w:val="bullet"/>
      <w:lvlText w:val="o"/>
      <w:lvlJc w:val="left"/>
      <w:pPr>
        <w:ind w:left="2160" w:hanging="360"/>
      </w:pPr>
      <w:rPr>
        <w:rFonts w:ascii="Courier New" w:hAnsi="Courier New" w:cs="Courier New" w:hint="default"/>
      </w:rPr>
    </w:lvl>
    <w:lvl w:ilvl="2" w:tplc="080A0005" w:tentative="1">
      <w:start w:val="1"/>
      <w:numFmt w:val="bullet"/>
      <w:lvlText w:val=""/>
      <w:lvlJc w:val="left"/>
      <w:pPr>
        <w:ind w:left="2880" w:hanging="360"/>
      </w:pPr>
      <w:rPr>
        <w:rFonts w:ascii="Wingdings" w:hAnsi="Wingdings" w:hint="default"/>
      </w:rPr>
    </w:lvl>
    <w:lvl w:ilvl="3" w:tplc="080A0001" w:tentative="1">
      <w:start w:val="1"/>
      <w:numFmt w:val="bullet"/>
      <w:lvlText w:val=""/>
      <w:lvlJc w:val="left"/>
      <w:pPr>
        <w:ind w:left="3600" w:hanging="360"/>
      </w:pPr>
      <w:rPr>
        <w:rFonts w:ascii="Symbol" w:hAnsi="Symbol" w:hint="default"/>
      </w:rPr>
    </w:lvl>
    <w:lvl w:ilvl="4" w:tplc="080A0003" w:tentative="1">
      <w:start w:val="1"/>
      <w:numFmt w:val="bullet"/>
      <w:lvlText w:val="o"/>
      <w:lvlJc w:val="left"/>
      <w:pPr>
        <w:ind w:left="4320" w:hanging="360"/>
      </w:pPr>
      <w:rPr>
        <w:rFonts w:ascii="Courier New" w:hAnsi="Courier New" w:cs="Courier New" w:hint="default"/>
      </w:rPr>
    </w:lvl>
    <w:lvl w:ilvl="5" w:tplc="080A0005" w:tentative="1">
      <w:start w:val="1"/>
      <w:numFmt w:val="bullet"/>
      <w:lvlText w:val=""/>
      <w:lvlJc w:val="left"/>
      <w:pPr>
        <w:ind w:left="5040" w:hanging="360"/>
      </w:pPr>
      <w:rPr>
        <w:rFonts w:ascii="Wingdings" w:hAnsi="Wingdings" w:hint="default"/>
      </w:rPr>
    </w:lvl>
    <w:lvl w:ilvl="6" w:tplc="080A0001" w:tentative="1">
      <w:start w:val="1"/>
      <w:numFmt w:val="bullet"/>
      <w:lvlText w:val=""/>
      <w:lvlJc w:val="left"/>
      <w:pPr>
        <w:ind w:left="5760" w:hanging="360"/>
      </w:pPr>
      <w:rPr>
        <w:rFonts w:ascii="Symbol" w:hAnsi="Symbol" w:hint="default"/>
      </w:rPr>
    </w:lvl>
    <w:lvl w:ilvl="7" w:tplc="080A0003" w:tentative="1">
      <w:start w:val="1"/>
      <w:numFmt w:val="bullet"/>
      <w:lvlText w:val="o"/>
      <w:lvlJc w:val="left"/>
      <w:pPr>
        <w:ind w:left="6480" w:hanging="360"/>
      </w:pPr>
      <w:rPr>
        <w:rFonts w:ascii="Courier New" w:hAnsi="Courier New" w:cs="Courier New" w:hint="default"/>
      </w:rPr>
    </w:lvl>
    <w:lvl w:ilvl="8" w:tplc="080A0005" w:tentative="1">
      <w:start w:val="1"/>
      <w:numFmt w:val="bullet"/>
      <w:lvlText w:val=""/>
      <w:lvlJc w:val="left"/>
      <w:pPr>
        <w:ind w:left="7200" w:hanging="360"/>
      </w:pPr>
      <w:rPr>
        <w:rFonts w:ascii="Wingdings" w:hAnsi="Wingdings" w:hint="default"/>
      </w:rPr>
    </w:lvl>
  </w:abstractNum>
  <w:abstractNum w:abstractNumId="6" w15:restartNumberingAfterBreak="0">
    <w:nsid w:val="1FBA60E1"/>
    <w:multiLevelType w:val="hybridMultilevel"/>
    <w:tmpl w:val="2A62481A"/>
    <w:lvl w:ilvl="0" w:tplc="087AAEF6">
      <w:numFmt w:val="bullet"/>
      <w:lvlText w:val="-"/>
      <w:lvlJc w:val="left"/>
      <w:pPr>
        <w:ind w:left="720" w:hanging="360"/>
      </w:pPr>
      <w:rPr>
        <w:rFonts w:ascii="Palatino Linotype" w:eastAsia="Times New Roman" w:hAnsi="Palatino Linotype" w:cs="Tahoma"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7" w15:restartNumberingAfterBreak="0">
    <w:nsid w:val="21840BA7"/>
    <w:multiLevelType w:val="hybridMultilevel"/>
    <w:tmpl w:val="814E1C00"/>
    <w:lvl w:ilvl="0" w:tplc="080A0017">
      <w:start w:val="1"/>
      <w:numFmt w:val="lowerLetter"/>
      <w:lvlText w:val="%1)"/>
      <w:lvlJc w:val="lef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8" w15:restartNumberingAfterBreak="0">
    <w:nsid w:val="21CF385F"/>
    <w:multiLevelType w:val="hybridMultilevel"/>
    <w:tmpl w:val="9E64D05C"/>
    <w:lvl w:ilvl="0" w:tplc="080A0001">
      <w:start w:val="1"/>
      <w:numFmt w:val="bullet"/>
      <w:lvlText w:val=""/>
      <w:lvlJc w:val="left"/>
      <w:pPr>
        <w:ind w:left="720" w:hanging="360"/>
      </w:pPr>
      <w:rPr>
        <w:rFonts w:ascii="Symbol" w:hAnsi="Symbol" w:hint="default"/>
      </w:rPr>
    </w:lvl>
    <w:lvl w:ilvl="1" w:tplc="080A0003">
      <w:start w:val="1"/>
      <w:numFmt w:val="bullet"/>
      <w:lvlText w:val="o"/>
      <w:lvlJc w:val="left"/>
      <w:pPr>
        <w:ind w:left="1440" w:hanging="360"/>
      </w:pPr>
      <w:rPr>
        <w:rFonts w:ascii="Courier New" w:hAnsi="Courier New" w:cs="Courier New" w:hint="default"/>
      </w:rPr>
    </w:lvl>
    <w:lvl w:ilvl="2" w:tplc="080A0005">
      <w:start w:val="1"/>
      <w:numFmt w:val="bullet"/>
      <w:lvlText w:val=""/>
      <w:lvlJc w:val="left"/>
      <w:pPr>
        <w:ind w:left="2160" w:hanging="360"/>
      </w:pPr>
      <w:rPr>
        <w:rFonts w:ascii="Wingdings" w:hAnsi="Wingdings" w:hint="default"/>
      </w:rPr>
    </w:lvl>
    <w:lvl w:ilvl="3" w:tplc="080A0001">
      <w:start w:val="1"/>
      <w:numFmt w:val="bullet"/>
      <w:lvlText w:val=""/>
      <w:lvlJc w:val="left"/>
      <w:pPr>
        <w:ind w:left="2880" w:hanging="360"/>
      </w:pPr>
      <w:rPr>
        <w:rFonts w:ascii="Symbol" w:hAnsi="Symbol" w:hint="default"/>
      </w:rPr>
    </w:lvl>
    <w:lvl w:ilvl="4" w:tplc="080A0003">
      <w:start w:val="1"/>
      <w:numFmt w:val="bullet"/>
      <w:lvlText w:val="o"/>
      <w:lvlJc w:val="left"/>
      <w:pPr>
        <w:ind w:left="3600" w:hanging="360"/>
      </w:pPr>
      <w:rPr>
        <w:rFonts w:ascii="Courier New" w:hAnsi="Courier New" w:cs="Courier New" w:hint="default"/>
      </w:rPr>
    </w:lvl>
    <w:lvl w:ilvl="5" w:tplc="080A0005">
      <w:start w:val="1"/>
      <w:numFmt w:val="bullet"/>
      <w:lvlText w:val=""/>
      <w:lvlJc w:val="left"/>
      <w:pPr>
        <w:ind w:left="4320" w:hanging="360"/>
      </w:pPr>
      <w:rPr>
        <w:rFonts w:ascii="Wingdings" w:hAnsi="Wingdings" w:hint="default"/>
      </w:rPr>
    </w:lvl>
    <w:lvl w:ilvl="6" w:tplc="080A0001">
      <w:start w:val="1"/>
      <w:numFmt w:val="bullet"/>
      <w:lvlText w:val=""/>
      <w:lvlJc w:val="left"/>
      <w:pPr>
        <w:ind w:left="5040" w:hanging="360"/>
      </w:pPr>
      <w:rPr>
        <w:rFonts w:ascii="Symbol" w:hAnsi="Symbol" w:hint="default"/>
      </w:rPr>
    </w:lvl>
    <w:lvl w:ilvl="7" w:tplc="080A0003">
      <w:start w:val="1"/>
      <w:numFmt w:val="bullet"/>
      <w:lvlText w:val="o"/>
      <w:lvlJc w:val="left"/>
      <w:pPr>
        <w:ind w:left="5760" w:hanging="360"/>
      </w:pPr>
      <w:rPr>
        <w:rFonts w:ascii="Courier New" w:hAnsi="Courier New" w:cs="Courier New" w:hint="default"/>
      </w:rPr>
    </w:lvl>
    <w:lvl w:ilvl="8" w:tplc="080A0005">
      <w:start w:val="1"/>
      <w:numFmt w:val="bullet"/>
      <w:lvlText w:val=""/>
      <w:lvlJc w:val="left"/>
      <w:pPr>
        <w:ind w:left="6480" w:hanging="360"/>
      </w:pPr>
      <w:rPr>
        <w:rFonts w:ascii="Wingdings" w:hAnsi="Wingdings" w:hint="default"/>
      </w:rPr>
    </w:lvl>
  </w:abstractNum>
  <w:abstractNum w:abstractNumId="9" w15:restartNumberingAfterBreak="0">
    <w:nsid w:val="2910085C"/>
    <w:multiLevelType w:val="hybridMultilevel"/>
    <w:tmpl w:val="E39A4110"/>
    <w:lvl w:ilvl="0" w:tplc="080A0017">
      <w:start w:val="1"/>
      <w:numFmt w:val="lowerLetter"/>
      <w:lvlText w:val="%1)"/>
      <w:lvlJc w:val="left"/>
      <w:pPr>
        <w:ind w:left="720" w:hanging="360"/>
      </w:pPr>
    </w:lvl>
    <w:lvl w:ilvl="1" w:tplc="080A0019">
      <w:start w:val="1"/>
      <w:numFmt w:val="lowerLetter"/>
      <w:lvlText w:val="%2."/>
      <w:lvlJc w:val="left"/>
      <w:pPr>
        <w:ind w:left="1440" w:hanging="360"/>
      </w:pPr>
    </w:lvl>
    <w:lvl w:ilvl="2" w:tplc="080A001B">
      <w:start w:val="1"/>
      <w:numFmt w:val="lowerRoman"/>
      <w:lvlText w:val="%3."/>
      <w:lvlJc w:val="right"/>
      <w:pPr>
        <w:ind w:left="2160" w:hanging="180"/>
      </w:pPr>
    </w:lvl>
    <w:lvl w:ilvl="3" w:tplc="080A000F">
      <w:start w:val="1"/>
      <w:numFmt w:val="decimal"/>
      <w:lvlText w:val="%4."/>
      <w:lvlJc w:val="left"/>
      <w:pPr>
        <w:ind w:left="2880" w:hanging="360"/>
      </w:pPr>
    </w:lvl>
    <w:lvl w:ilvl="4" w:tplc="080A0019">
      <w:start w:val="1"/>
      <w:numFmt w:val="lowerLetter"/>
      <w:lvlText w:val="%5."/>
      <w:lvlJc w:val="left"/>
      <w:pPr>
        <w:ind w:left="3600" w:hanging="360"/>
      </w:pPr>
    </w:lvl>
    <w:lvl w:ilvl="5" w:tplc="080A001B">
      <w:start w:val="1"/>
      <w:numFmt w:val="lowerRoman"/>
      <w:lvlText w:val="%6."/>
      <w:lvlJc w:val="right"/>
      <w:pPr>
        <w:ind w:left="4320" w:hanging="180"/>
      </w:pPr>
    </w:lvl>
    <w:lvl w:ilvl="6" w:tplc="080A000F">
      <w:start w:val="1"/>
      <w:numFmt w:val="decimal"/>
      <w:lvlText w:val="%7."/>
      <w:lvlJc w:val="left"/>
      <w:pPr>
        <w:ind w:left="5040" w:hanging="360"/>
      </w:pPr>
    </w:lvl>
    <w:lvl w:ilvl="7" w:tplc="080A0019">
      <w:start w:val="1"/>
      <w:numFmt w:val="lowerLetter"/>
      <w:lvlText w:val="%8."/>
      <w:lvlJc w:val="left"/>
      <w:pPr>
        <w:ind w:left="5760" w:hanging="360"/>
      </w:pPr>
    </w:lvl>
    <w:lvl w:ilvl="8" w:tplc="080A001B">
      <w:start w:val="1"/>
      <w:numFmt w:val="lowerRoman"/>
      <w:lvlText w:val="%9."/>
      <w:lvlJc w:val="right"/>
      <w:pPr>
        <w:ind w:left="6480" w:hanging="180"/>
      </w:pPr>
    </w:lvl>
  </w:abstractNum>
  <w:abstractNum w:abstractNumId="10" w15:restartNumberingAfterBreak="0">
    <w:nsid w:val="298631F7"/>
    <w:multiLevelType w:val="hybridMultilevel"/>
    <w:tmpl w:val="0900AD18"/>
    <w:lvl w:ilvl="0" w:tplc="080A001B">
      <w:start w:val="1"/>
      <w:numFmt w:val="lowerRoman"/>
      <w:lvlText w:val="%1."/>
      <w:lvlJc w:val="righ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1" w15:restartNumberingAfterBreak="0">
    <w:nsid w:val="2F2D0CBB"/>
    <w:multiLevelType w:val="hybridMultilevel"/>
    <w:tmpl w:val="1C7E7F2C"/>
    <w:lvl w:ilvl="0" w:tplc="080A0015">
      <w:start w:val="1"/>
      <w:numFmt w:val="upperLetter"/>
      <w:lvlText w:val="%1."/>
      <w:lvlJc w:val="left"/>
      <w:pPr>
        <w:ind w:left="720" w:hanging="360"/>
      </w:pPr>
    </w:lvl>
    <w:lvl w:ilvl="1" w:tplc="080A0019">
      <w:start w:val="1"/>
      <w:numFmt w:val="lowerLetter"/>
      <w:lvlText w:val="%2."/>
      <w:lvlJc w:val="left"/>
      <w:pPr>
        <w:ind w:left="1440" w:hanging="360"/>
      </w:pPr>
    </w:lvl>
    <w:lvl w:ilvl="2" w:tplc="080A001B">
      <w:start w:val="1"/>
      <w:numFmt w:val="lowerRoman"/>
      <w:lvlText w:val="%3."/>
      <w:lvlJc w:val="right"/>
      <w:pPr>
        <w:ind w:left="2160" w:hanging="180"/>
      </w:pPr>
    </w:lvl>
    <w:lvl w:ilvl="3" w:tplc="080A000F">
      <w:start w:val="1"/>
      <w:numFmt w:val="decimal"/>
      <w:lvlText w:val="%4."/>
      <w:lvlJc w:val="left"/>
      <w:pPr>
        <w:ind w:left="2880" w:hanging="360"/>
      </w:pPr>
    </w:lvl>
    <w:lvl w:ilvl="4" w:tplc="080A0019">
      <w:start w:val="1"/>
      <w:numFmt w:val="lowerLetter"/>
      <w:lvlText w:val="%5."/>
      <w:lvlJc w:val="left"/>
      <w:pPr>
        <w:ind w:left="3600" w:hanging="360"/>
      </w:pPr>
    </w:lvl>
    <w:lvl w:ilvl="5" w:tplc="080A001B">
      <w:start w:val="1"/>
      <w:numFmt w:val="lowerRoman"/>
      <w:lvlText w:val="%6."/>
      <w:lvlJc w:val="right"/>
      <w:pPr>
        <w:ind w:left="4320" w:hanging="180"/>
      </w:pPr>
    </w:lvl>
    <w:lvl w:ilvl="6" w:tplc="080A000F">
      <w:start w:val="1"/>
      <w:numFmt w:val="decimal"/>
      <w:lvlText w:val="%7."/>
      <w:lvlJc w:val="left"/>
      <w:pPr>
        <w:ind w:left="5040" w:hanging="360"/>
      </w:pPr>
    </w:lvl>
    <w:lvl w:ilvl="7" w:tplc="080A0019">
      <w:start w:val="1"/>
      <w:numFmt w:val="lowerLetter"/>
      <w:lvlText w:val="%8."/>
      <w:lvlJc w:val="left"/>
      <w:pPr>
        <w:ind w:left="5760" w:hanging="360"/>
      </w:pPr>
    </w:lvl>
    <w:lvl w:ilvl="8" w:tplc="080A001B">
      <w:start w:val="1"/>
      <w:numFmt w:val="lowerRoman"/>
      <w:lvlText w:val="%9."/>
      <w:lvlJc w:val="right"/>
      <w:pPr>
        <w:ind w:left="6480" w:hanging="180"/>
      </w:pPr>
    </w:lvl>
  </w:abstractNum>
  <w:abstractNum w:abstractNumId="12" w15:restartNumberingAfterBreak="0">
    <w:nsid w:val="301F4049"/>
    <w:multiLevelType w:val="hybridMultilevel"/>
    <w:tmpl w:val="D5E446C0"/>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3" w15:restartNumberingAfterBreak="0">
    <w:nsid w:val="39EE2E1D"/>
    <w:multiLevelType w:val="hybridMultilevel"/>
    <w:tmpl w:val="0898FBE8"/>
    <w:lvl w:ilvl="0" w:tplc="FFFFFFFF">
      <w:start w:val="1"/>
      <w:numFmt w:val="decimal"/>
      <w:lvlText w:val="%1)"/>
      <w:lvlJc w:val="left"/>
      <w:pPr>
        <w:ind w:left="720" w:hanging="360"/>
      </w:pPr>
      <w:rPr>
        <w:rFonts w:hint="default"/>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14" w15:restartNumberingAfterBreak="0">
    <w:nsid w:val="3A4D4F18"/>
    <w:multiLevelType w:val="hybridMultilevel"/>
    <w:tmpl w:val="06D461F4"/>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5" w15:restartNumberingAfterBreak="0">
    <w:nsid w:val="3C6B14E2"/>
    <w:multiLevelType w:val="hybridMultilevel"/>
    <w:tmpl w:val="D15EAF26"/>
    <w:lvl w:ilvl="0" w:tplc="AAD08A1C">
      <w:start w:val="5"/>
      <w:numFmt w:val="bullet"/>
      <w:lvlText w:val="-"/>
      <w:lvlJc w:val="left"/>
      <w:pPr>
        <w:ind w:left="720" w:hanging="360"/>
      </w:pPr>
      <w:rPr>
        <w:rFonts w:ascii="Palatino Linotype" w:eastAsia="Palatino Linotype" w:hAnsi="Palatino Linotype" w:cs="Tahoma"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6" w15:restartNumberingAfterBreak="0">
    <w:nsid w:val="46DD4FD4"/>
    <w:multiLevelType w:val="hybridMultilevel"/>
    <w:tmpl w:val="9422402A"/>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7" w15:restartNumberingAfterBreak="0">
    <w:nsid w:val="489406C1"/>
    <w:multiLevelType w:val="hybridMultilevel"/>
    <w:tmpl w:val="B2F86D14"/>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8" w15:restartNumberingAfterBreak="0">
    <w:nsid w:val="4BF5367D"/>
    <w:multiLevelType w:val="hybridMultilevel"/>
    <w:tmpl w:val="3560F15C"/>
    <w:lvl w:ilvl="0" w:tplc="080A000F">
      <w:start w:val="1"/>
      <w:numFmt w:val="decimal"/>
      <w:lvlText w:val="%1."/>
      <w:lvlJc w:val="lef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9" w15:restartNumberingAfterBreak="0">
    <w:nsid w:val="53327549"/>
    <w:multiLevelType w:val="hybridMultilevel"/>
    <w:tmpl w:val="8124B3B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0" w15:restartNumberingAfterBreak="0">
    <w:nsid w:val="5DD1531A"/>
    <w:multiLevelType w:val="hybridMultilevel"/>
    <w:tmpl w:val="F416B898"/>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21" w15:restartNumberingAfterBreak="0">
    <w:nsid w:val="5DF12F2E"/>
    <w:multiLevelType w:val="hybridMultilevel"/>
    <w:tmpl w:val="2D4E8A76"/>
    <w:lvl w:ilvl="0" w:tplc="080A000F">
      <w:start w:val="1"/>
      <w:numFmt w:val="decimal"/>
      <w:lvlText w:val="%1."/>
      <w:lvlJc w:val="left"/>
      <w:pPr>
        <w:ind w:left="1636" w:hanging="360"/>
      </w:pPr>
      <w:rPr>
        <w:b w:val="0"/>
        <w:bCs/>
      </w:rPr>
    </w:lvl>
    <w:lvl w:ilvl="1" w:tplc="080A0019" w:tentative="1">
      <w:start w:val="1"/>
      <w:numFmt w:val="lowerLetter"/>
      <w:lvlText w:val="%2."/>
      <w:lvlJc w:val="left"/>
      <w:pPr>
        <w:ind w:left="2160" w:hanging="360"/>
      </w:pPr>
    </w:lvl>
    <w:lvl w:ilvl="2" w:tplc="080A001B" w:tentative="1">
      <w:start w:val="1"/>
      <w:numFmt w:val="lowerRoman"/>
      <w:lvlText w:val="%3."/>
      <w:lvlJc w:val="right"/>
      <w:pPr>
        <w:ind w:left="2880" w:hanging="180"/>
      </w:pPr>
    </w:lvl>
    <w:lvl w:ilvl="3" w:tplc="080A000F" w:tentative="1">
      <w:start w:val="1"/>
      <w:numFmt w:val="decimal"/>
      <w:lvlText w:val="%4."/>
      <w:lvlJc w:val="left"/>
      <w:pPr>
        <w:ind w:left="3600" w:hanging="360"/>
      </w:pPr>
    </w:lvl>
    <w:lvl w:ilvl="4" w:tplc="080A0019" w:tentative="1">
      <w:start w:val="1"/>
      <w:numFmt w:val="lowerLetter"/>
      <w:lvlText w:val="%5."/>
      <w:lvlJc w:val="left"/>
      <w:pPr>
        <w:ind w:left="4320" w:hanging="360"/>
      </w:pPr>
    </w:lvl>
    <w:lvl w:ilvl="5" w:tplc="080A001B" w:tentative="1">
      <w:start w:val="1"/>
      <w:numFmt w:val="lowerRoman"/>
      <w:lvlText w:val="%6."/>
      <w:lvlJc w:val="right"/>
      <w:pPr>
        <w:ind w:left="5040" w:hanging="180"/>
      </w:pPr>
    </w:lvl>
    <w:lvl w:ilvl="6" w:tplc="080A000F" w:tentative="1">
      <w:start w:val="1"/>
      <w:numFmt w:val="decimal"/>
      <w:lvlText w:val="%7."/>
      <w:lvlJc w:val="left"/>
      <w:pPr>
        <w:ind w:left="5760" w:hanging="360"/>
      </w:pPr>
    </w:lvl>
    <w:lvl w:ilvl="7" w:tplc="080A0019" w:tentative="1">
      <w:start w:val="1"/>
      <w:numFmt w:val="lowerLetter"/>
      <w:lvlText w:val="%8."/>
      <w:lvlJc w:val="left"/>
      <w:pPr>
        <w:ind w:left="6480" w:hanging="360"/>
      </w:pPr>
    </w:lvl>
    <w:lvl w:ilvl="8" w:tplc="080A001B" w:tentative="1">
      <w:start w:val="1"/>
      <w:numFmt w:val="lowerRoman"/>
      <w:lvlText w:val="%9."/>
      <w:lvlJc w:val="right"/>
      <w:pPr>
        <w:ind w:left="7200" w:hanging="180"/>
      </w:pPr>
    </w:lvl>
  </w:abstractNum>
  <w:abstractNum w:abstractNumId="22" w15:restartNumberingAfterBreak="0">
    <w:nsid w:val="5F686371"/>
    <w:multiLevelType w:val="hybridMultilevel"/>
    <w:tmpl w:val="698824A6"/>
    <w:lvl w:ilvl="0" w:tplc="080A0001">
      <w:start w:val="1"/>
      <w:numFmt w:val="bullet"/>
      <w:lvlText w:val=""/>
      <w:lvlJc w:val="left"/>
      <w:pPr>
        <w:ind w:left="720" w:hanging="360"/>
      </w:pPr>
      <w:rPr>
        <w:rFonts w:ascii="Symbol" w:hAnsi="Symbol" w:hint="default"/>
      </w:rPr>
    </w:lvl>
    <w:lvl w:ilvl="1" w:tplc="080A0003">
      <w:start w:val="1"/>
      <w:numFmt w:val="bullet"/>
      <w:lvlText w:val="o"/>
      <w:lvlJc w:val="left"/>
      <w:pPr>
        <w:ind w:left="1440" w:hanging="360"/>
      </w:pPr>
      <w:rPr>
        <w:rFonts w:ascii="Courier New" w:hAnsi="Courier New" w:cs="Courier New" w:hint="default"/>
      </w:rPr>
    </w:lvl>
    <w:lvl w:ilvl="2" w:tplc="080A0005">
      <w:start w:val="1"/>
      <w:numFmt w:val="bullet"/>
      <w:lvlText w:val=""/>
      <w:lvlJc w:val="left"/>
      <w:pPr>
        <w:ind w:left="2160" w:hanging="360"/>
      </w:pPr>
      <w:rPr>
        <w:rFonts w:ascii="Wingdings" w:hAnsi="Wingdings" w:hint="default"/>
      </w:rPr>
    </w:lvl>
    <w:lvl w:ilvl="3" w:tplc="080A0001">
      <w:start w:val="1"/>
      <w:numFmt w:val="bullet"/>
      <w:lvlText w:val=""/>
      <w:lvlJc w:val="left"/>
      <w:pPr>
        <w:ind w:left="2880" w:hanging="360"/>
      </w:pPr>
      <w:rPr>
        <w:rFonts w:ascii="Symbol" w:hAnsi="Symbol" w:hint="default"/>
      </w:rPr>
    </w:lvl>
    <w:lvl w:ilvl="4" w:tplc="080A0003">
      <w:start w:val="1"/>
      <w:numFmt w:val="bullet"/>
      <w:lvlText w:val="o"/>
      <w:lvlJc w:val="left"/>
      <w:pPr>
        <w:ind w:left="3600" w:hanging="360"/>
      </w:pPr>
      <w:rPr>
        <w:rFonts w:ascii="Courier New" w:hAnsi="Courier New" w:cs="Courier New" w:hint="default"/>
      </w:rPr>
    </w:lvl>
    <w:lvl w:ilvl="5" w:tplc="080A0005">
      <w:start w:val="1"/>
      <w:numFmt w:val="bullet"/>
      <w:lvlText w:val=""/>
      <w:lvlJc w:val="left"/>
      <w:pPr>
        <w:ind w:left="4320" w:hanging="360"/>
      </w:pPr>
      <w:rPr>
        <w:rFonts w:ascii="Wingdings" w:hAnsi="Wingdings" w:hint="default"/>
      </w:rPr>
    </w:lvl>
    <w:lvl w:ilvl="6" w:tplc="080A0001">
      <w:start w:val="1"/>
      <w:numFmt w:val="bullet"/>
      <w:lvlText w:val=""/>
      <w:lvlJc w:val="left"/>
      <w:pPr>
        <w:ind w:left="5040" w:hanging="360"/>
      </w:pPr>
      <w:rPr>
        <w:rFonts w:ascii="Symbol" w:hAnsi="Symbol" w:hint="default"/>
      </w:rPr>
    </w:lvl>
    <w:lvl w:ilvl="7" w:tplc="080A0003">
      <w:start w:val="1"/>
      <w:numFmt w:val="bullet"/>
      <w:lvlText w:val="o"/>
      <w:lvlJc w:val="left"/>
      <w:pPr>
        <w:ind w:left="5760" w:hanging="360"/>
      </w:pPr>
      <w:rPr>
        <w:rFonts w:ascii="Courier New" w:hAnsi="Courier New" w:cs="Courier New" w:hint="default"/>
      </w:rPr>
    </w:lvl>
    <w:lvl w:ilvl="8" w:tplc="080A0005">
      <w:start w:val="1"/>
      <w:numFmt w:val="bullet"/>
      <w:lvlText w:val=""/>
      <w:lvlJc w:val="left"/>
      <w:pPr>
        <w:ind w:left="6480" w:hanging="360"/>
      </w:pPr>
      <w:rPr>
        <w:rFonts w:ascii="Wingdings" w:hAnsi="Wingdings" w:hint="default"/>
      </w:rPr>
    </w:lvl>
  </w:abstractNum>
  <w:abstractNum w:abstractNumId="23" w15:restartNumberingAfterBreak="0">
    <w:nsid w:val="60FD12AD"/>
    <w:multiLevelType w:val="hybridMultilevel"/>
    <w:tmpl w:val="5A000A44"/>
    <w:lvl w:ilvl="0" w:tplc="5A5E2FB6">
      <w:start w:val="1"/>
      <w:numFmt w:val="decimal"/>
      <w:lvlText w:val="%1."/>
      <w:lvlJc w:val="left"/>
      <w:pPr>
        <w:ind w:left="1068" w:hanging="360"/>
      </w:pPr>
    </w:lvl>
    <w:lvl w:ilvl="1" w:tplc="080A0019">
      <w:start w:val="1"/>
      <w:numFmt w:val="lowerLetter"/>
      <w:lvlText w:val="%2."/>
      <w:lvlJc w:val="left"/>
      <w:pPr>
        <w:ind w:left="1440" w:hanging="360"/>
      </w:pPr>
    </w:lvl>
    <w:lvl w:ilvl="2" w:tplc="080A001B">
      <w:start w:val="1"/>
      <w:numFmt w:val="lowerRoman"/>
      <w:lvlText w:val="%3."/>
      <w:lvlJc w:val="right"/>
      <w:pPr>
        <w:ind w:left="2160" w:hanging="180"/>
      </w:pPr>
    </w:lvl>
    <w:lvl w:ilvl="3" w:tplc="080A000F">
      <w:start w:val="1"/>
      <w:numFmt w:val="decimal"/>
      <w:lvlText w:val="%4."/>
      <w:lvlJc w:val="left"/>
      <w:pPr>
        <w:ind w:left="2880" w:hanging="360"/>
      </w:pPr>
    </w:lvl>
    <w:lvl w:ilvl="4" w:tplc="080A0019">
      <w:start w:val="1"/>
      <w:numFmt w:val="lowerLetter"/>
      <w:lvlText w:val="%5."/>
      <w:lvlJc w:val="left"/>
      <w:pPr>
        <w:ind w:left="3600" w:hanging="360"/>
      </w:pPr>
    </w:lvl>
    <w:lvl w:ilvl="5" w:tplc="080A001B">
      <w:start w:val="1"/>
      <w:numFmt w:val="lowerRoman"/>
      <w:lvlText w:val="%6."/>
      <w:lvlJc w:val="right"/>
      <w:pPr>
        <w:ind w:left="4320" w:hanging="180"/>
      </w:pPr>
    </w:lvl>
    <w:lvl w:ilvl="6" w:tplc="080A000F">
      <w:start w:val="1"/>
      <w:numFmt w:val="decimal"/>
      <w:lvlText w:val="%7."/>
      <w:lvlJc w:val="left"/>
      <w:pPr>
        <w:ind w:left="5040" w:hanging="360"/>
      </w:pPr>
    </w:lvl>
    <w:lvl w:ilvl="7" w:tplc="080A0019">
      <w:start w:val="1"/>
      <w:numFmt w:val="lowerLetter"/>
      <w:lvlText w:val="%8."/>
      <w:lvlJc w:val="left"/>
      <w:pPr>
        <w:ind w:left="5760" w:hanging="360"/>
      </w:pPr>
    </w:lvl>
    <w:lvl w:ilvl="8" w:tplc="080A001B">
      <w:start w:val="1"/>
      <w:numFmt w:val="lowerRoman"/>
      <w:lvlText w:val="%9."/>
      <w:lvlJc w:val="right"/>
      <w:pPr>
        <w:ind w:left="6480" w:hanging="180"/>
      </w:pPr>
    </w:lvl>
  </w:abstractNum>
  <w:abstractNum w:abstractNumId="24" w15:restartNumberingAfterBreak="0">
    <w:nsid w:val="619C7053"/>
    <w:multiLevelType w:val="hybridMultilevel"/>
    <w:tmpl w:val="D1FC3BD4"/>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25" w15:restartNumberingAfterBreak="0">
    <w:nsid w:val="65BC3799"/>
    <w:multiLevelType w:val="hybridMultilevel"/>
    <w:tmpl w:val="74543AE6"/>
    <w:lvl w:ilvl="0" w:tplc="080A000F">
      <w:start w:val="1"/>
      <w:numFmt w:val="decimal"/>
      <w:lvlText w:val="%1."/>
      <w:lvlJc w:val="lef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26" w15:restartNumberingAfterBreak="0">
    <w:nsid w:val="662277C1"/>
    <w:multiLevelType w:val="hybridMultilevel"/>
    <w:tmpl w:val="0AA0062A"/>
    <w:lvl w:ilvl="0" w:tplc="080A0017">
      <w:start w:val="1"/>
      <w:numFmt w:val="lowerLetter"/>
      <w:lvlText w:val="%1)"/>
      <w:lvlJc w:val="left"/>
      <w:pPr>
        <w:ind w:left="720" w:hanging="360"/>
      </w:pPr>
      <w:rPr>
        <w:sz w:val="22"/>
        <w:szCs w:val="22"/>
      </w:rPr>
    </w:lvl>
    <w:lvl w:ilvl="1" w:tplc="080A0019">
      <w:start w:val="1"/>
      <w:numFmt w:val="lowerLetter"/>
      <w:lvlText w:val="%2."/>
      <w:lvlJc w:val="left"/>
      <w:pPr>
        <w:ind w:left="1440" w:hanging="360"/>
      </w:pPr>
    </w:lvl>
    <w:lvl w:ilvl="2" w:tplc="080A001B">
      <w:start w:val="1"/>
      <w:numFmt w:val="lowerRoman"/>
      <w:lvlText w:val="%3."/>
      <w:lvlJc w:val="right"/>
      <w:pPr>
        <w:ind w:left="2160" w:hanging="180"/>
      </w:pPr>
    </w:lvl>
    <w:lvl w:ilvl="3" w:tplc="080A000F">
      <w:start w:val="1"/>
      <w:numFmt w:val="decimal"/>
      <w:lvlText w:val="%4."/>
      <w:lvlJc w:val="left"/>
      <w:pPr>
        <w:ind w:left="2880" w:hanging="360"/>
      </w:pPr>
    </w:lvl>
    <w:lvl w:ilvl="4" w:tplc="080A0019">
      <w:start w:val="1"/>
      <w:numFmt w:val="lowerLetter"/>
      <w:lvlText w:val="%5."/>
      <w:lvlJc w:val="left"/>
      <w:pPr>
        <w:ind w:left="3600" w:hanging="360"/>
      </w:pPr>
    </w:lvl>
    <w:lvl w:ilvl="5" w:tplc="080A001B">
      <w:start w:val="1"/>
      <w:numFmt w:val="lowerRoman"/>
      <w:lvlText w:val="%6."/>
      <w:lvlJc w:val="right"/>
      <w:pPr>
        <w:ind w:left="4320" w:hanging="180"/>
      </w:pPr>
    </w:lvl>
    <w:lvl w:ilvl="6" w:tplc="080A000F">
      <w:start w:val="1"/>
      <w:numFmt w:val="decimal"/>
      <w:lvlText w:val="%7."/>
      <w:lvlJc w:val="left"/>
      <w:pPr>
        <w:ind w:left="5040" w:hanging="360"/>
      </w:pPr>
    </w:lvl>
    <w:lvl w:ilvl="7" w:tplc="080A0019">
      <w:start w:val="1"/>
      <w:numFmt w:val="lowerLetter"/>
      <w:lvlText w:val="%8."/>
      <w:lvlJc w:val="left"/>
      <w:pPr>
        <w:ind w:left="5760" w:hanging="360"/>
      </w:pPr>
    </w:lvl>
    <w:lvl w:ilvl="8" w:tplc="080A001B">
      <w:start w:val="1"/>
      <w:numFmt w:val="lowerRoman"/>
      <w:lvlText w:val="%9."/>
      <w:lvlJc w:val="right"/>
      <w:pPr>
        <w:ind w:left="6480" w:hanging="180"/>
      </w:pPr>
    </w:lvl>
  </w:abstractNum>
  <w:abstractNum w:abstractNumId="27" w15:restartNumberingAfterBreak="0">
    <w:nsid w:val="6DED7307"/>
    <w:multiLevelType w:val="hybridMultilevel"/>
    <w:tmpl w:val="A5342AEA"/>
    <w:lvl w:ilvl="0" w:tplc="D3EA5D96">
      <w:start w:val="1"/>
      <w:numFmt w:val="decimal"/>
      <w:lvlText w:val="%1."/>
      <w:lvlJc w:val="left"/>
      <w:pPr>
        <w:tabs>
          <w:tab w:val="num" w:pos="720"/>
        </w:tabs>
        <w:ind w:left="720" w:hanging="360"/>
      </w:pPr>
      <w:rPr>
        <w:b/>
      </w:rPr>
    </w:lvl>
    <w:lvl w:ilvl="1" w:tplc="080A0019">
      <w:start w:val="1"/>
      <w:numFmt w:val="decimal"/>
      <w:lvlText w:val="%2."/>
      <w:lvlJc w:val="left"/>
      <w:pPr>
        <w:tabs>
          <w:tab w:val="num" w:pos="1440"/>
        </w:tabs>
        <w:ind w:left="1440" w:hanging="360"/>
      </w:pPr>
    </w:lvl>
    <w:lvl w:ilvl="2" w:tplc="080A001B">
      <w:start w:val="1"/>
      <w:numFmt w:val="decimal"/>
      <w:lvlText w:val="%3."/>
      <w:lvlJc w:val="left"/>
      <w:pPr>
        <w:tabs>
          <w:tab w:val="num" w:pos="2160"/>
        </w:tabs>
        <w:ind w:left="2160" w:hanging="360"/>
      </w:pPr>
    </w:lvl>
    <w:lvl w:ilvl="3" w:tplc="080A000F">
      <w:start w:val="1"/>
      <w:numFmt w:val="decimal"/>
      <w:lvlText w:val="%4."/>
      <w:lvlJc w:val="left"/>
      <w:pPr>
        <w:tabs>
          <w:tab w:val="num" w:pos="2880"/>
        </w:tabs>
        <w:ind w:left="2880" w:hanging="360"/>
      </w:pPr>
    </w:lvl>
    <w:lvl w:ilvl="4" w:tplc="080A0019">
      <w:start w:val="1"/>
      <w:numFmt w:val="decimal"/>
      <w:lvlText w:val="%5."/>
      <w:lvlJc w:val="left"/>
      <w:pPr>
        <w:tabs>
          <w:tab w:val="num" w:pos="3600"/>
        </w:tabs>
        <w:ind w:left="3600" w:hanging="360"/>
      </w:pPr>
    </w:lvl>
    <w:lvl w:ilvl="5" w:tplc="080A001B">
      <w:start w:val="1"/>
      <w:numFmt w:val="decimal"/>
      <w:lvlText w:val="%6."/>
      <w:lvlJc w:val="left"/>
      <w:pPr>
        <w:tabs>
          <w:tab w:val="num" w:pos="4320"/>
        </w:tabs>
        <w:ind w:left="4320" w:hanging="360"/>
      </w:pPr>
    </w:lvl>
    <w:lvl w:ilvl="6" w:tplc="080A000F">
      <w:start w:val="1"/>
      <w:numFmt w:val="decimal"/>
      <w:lvlText w:val="%7."/>
      <w:lvlJc w:val="left"/>
      <w:pPr>
        <w:tabs>
          <w:tab w:val="num" w:pos="5040"/>
        </w:tabs>
        <w:ind w:left="5040" w:hanging="360"/>
      </w:pPr>
    </w:lvl>
    <w:lvl w:ilvl="7" w:tplc="080A0019">
      <w:start w:val="1"/>
      <w:numFmt w:val="decimal"/>
      <w:lvlText w:val="%8."/>
      <w:lvlJc w:val="left"/>
      <w:pPr>
        <w:tabs>
          <w:tab w:val="num" w:pos="5760"/>
        </w:tabs>
        <w:ind w:left="5760" w:hanging="360"/>
      </w:pPr>
    </w:lvl>
    <w:lvl w:ilvl="8" w:tplc="080A001B">
      <w:start w:val="1"/>
      <w:numFmt w:val="decimal"/>
      <w:lvlText w:val="%9."/>
      <w:lvlJc w:val="left"/>
      <w:pPr>
        <w:tabs>
          <w:tab w:val="num" w:pos="6480"/>
        </w:tabs>
        <w:ind w:left="6480" w:hanging="360"/>
      </w:pPr>
    </w:lvl>
  </w:abstractNum>
  <w:abstractNum w:abstractNumId="28" w15:restartNumberingAfterBreak="0">
    <w:nsid w:val="6E766522"/>
    <w:multiLevelType w:val="hybridMultilevel"/>
    <w:tmpl w:val="0898FBE8"/>
    <w:lvl w:ilvl="0" w:tplc="080A0011">
      <w:start w:val="1"/>
      <w:numFmt w:val="decimal"/>
      <w:lvlText w:val="%1)"/>
      <w:lvlJc w:val="left"/>
      <w:pPr>
        <w:ind w:left="720" w:hanging="360"/>
      </w:pPr>
      <w:rPr>
        <w:rFonts w:hint="default"/>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29" w15:restartNumberingAfterBreak="0">
    <w:nsid w:val="74982F1C"/>
    <w:multiLevelType w:val="hybridMultilevel"/>
    <w:tmpl w:val="EC144290"/>
    <w:lvl w:ilvl="0" w:tplc="0A0E19A2">
      <w:start w:val="1"/>
      <w:numFmt w:val="lowerLetter"/>
      <w:lvlText w:val="%1)"/>
      <w:lvlJc w:val="left"/>
      <w:pPr>
        <w:ind w:left="720" w:hanging="360"/>
      </w:pPr>
      <w:rPr>
        <w:b/>
        <w:bCs/>
      </w:rPr>
    </w:lvl>
    <w:lvl w:ilvl="1" w:tplc="080A0019">
      <w:start w:val="1"/>
      <w:numFmt w:val="lowerLetter"/>
      <w:lvlText w:val="%2."/>
      <w:lvlJc w:val="left"/>
      <w:pPr>
        <w:ind w:left="1440" w:hanging="360"/>
      </w:pPr>
    </w:lvl>
    <w:lvl w:ilvl="2" w:tplc="080A001B">
      <w:start w:val="1"/>
      <w:numFmt w:val="lowerRoman"/>
      <w:lvlText w:val="%3."/>
      <w:lvlJc w:val="right"/>
      <w:pPr>
        <w:ind w:left="2160" w:hanging="180"/>
      </w:pPr>
    </w:lvl>
    <w:lvl w:ilvl="3" w:tplc="080A000F">
      <w:start w:val="1"/>
      <w:numFmt w:val="decimal"/>
      <w:lvlText w:val="%4."/>
      <w:lvlJc w:val="left"/>
      <w:pPr>
        <w:ind w:left="2880" w:hanging="360"/>
      </w:pPr>
    </w:lvl>
    <w:lvl w:ilvl="4" w:tplc="080A0019">
      <w:start w:val="1"/>
      <w:numFmt w:val="lowerLetter"/>
      <w:lvlText w:val="%5."/>
      <w:lvlJc w:val="left"/>
      <w:pPr>
        <w:ind w:left="3600" w:hanging="360"/>
      </w:pPr>
    </w:lvl>
    <w:lvl w:ilvl="5" w:tplc="080A001B">
      <w:start w:val="1"/>
      <w:numFmt w:val="lowerRoman"/>
      <w:lvlText w:val="%6."/>
      <w:lvlJc w:val="right"/>
      <w:pPr>
        <w:ind w:left="4320" w:hanging="180"/>
      </w:pPr>
    </w:lvl>
    <w:lvl w:ilvl="6" w:tplc="080A000F">
      <w:start w:val="1"/>
      <w:numFmt w:val="decimal"/>
      <w:lvlText w:val="%7."/>
      <w:lvlJc w:val="left"/>
      <w:pPr>
        <w:ind w:left="5040" w:hanging="360"/>
      </w:pPr>
    </w:lvl>
    <w:lvl w:ilvl="7" w:tplc="080A0019">
      <w:start w:val="1"/>
      <w:numFmt w:val="lowerLetter"/>
      <w:lvlText w:val="%8."/>
      <w:lvlJc w:val="left"/>
      <w:pPr>
        <w:ind w:left="5760" w:hanging="360"/>
      </w:pPr>
    </w:lvl>
    <w:lvl w:ilvl="8" w:tplc="080A001B">
      <w:start w:val="1"/>
      <w:numFmt w:val="lowerRoman"/>
      <w:lvlText w:val="%9."/>
      <w:lvlJc w:val="right"/>
      <w:pPr>
        <w:ind w:left="6480" w:hanging="180"/>
      </w:pPr>
    </w:lvl>
  </w:abstractNum>
  <w:abstractNum w:abstractNumId="30" w15:restartNumberingAfterBreak="0">
    <w:nsid w:val="78FC3A11"/>
    <w:multiLevelType w:val="hybridMultilevel"/>
    <w:tmpl w:val="D214C7E8"/>
    <w:lvl w:ilvl="0" w:tplc="080A0001">
      <w:start w:val="1"/>
      <w:numFmt w:val="bullet"/>
      <w:lvlText w:val=""/>
      <w:lvlJc w:val="left"/>
      <w:pPr>
        <w:ind w:left="720" w:hanging="360"/>
      </w:pPr>
      <w:rPr>
        <w:rFonts w:ascii="Symbol" w:hAnsi="Symbol" w:hint="default"/>
      </w:rPr>
    </w:lvl>
    <w:lvl w:ilvl="1" w:tplc="080A0003">
      <w:start w:val="1"/>
      <w:numFmt w:val="bullet"/>
      <w:lvlText w:val="o"/>
      <w:lvlJc w:val="left"/>
      <w:pPr>
        <w:ind w:left="1440" w:hanging="360"/>
      </w:pPr>
      <w:rPr>
        <w:rFonts w:ascii="Courier New" w:hAnsi="Courier New" w:cs="Courier New" w:hint="default"/>
      </w:rPr>
    </w:lvl>
    <w:lvl w:ilvl="2" w:tplc="080A0005">
      <w:start w:val="1"/>
      <w:numFmt w:val="bullet"/>
      <w:lvlText w:val=""/>
      <w:lvlJc w:val="left"/>
      <w:pPr>
        <w:ind w:left="2160" w:hanging="360"/>
      </w:pPr>
      <w:rPr>
        <w:rFonts w:ascii="Wingdings" w:hAnsi="Wingdings" w:hint="default"/>
      </w:rPr>
    </w:lvl>
    <w:lvl w:ilvl="3" w:tplc="080A0001">
      <w:start w:val="1"/>
      <w:numFmt w:val="bullet"/>
      <w:lvlText w:val=""/>
      <w:lvlJc w:val="left"/>
      <w:pPr>
        <w:ind w:left="2880" w:hanging="360"/>
      </w:pPr>
      <w:rPr>
        <w:rFonts w:ascii="Symbol" w:hAnsi="Symbol" w:hint="default"/>
      </w:rPr>
    </w:lvl>
    <w:lvl w:ilvl="4" w:tplc="080A0003">
      <w:start w:val="1"/>
      <w:numFmt w:val="bullet"/>
      <w:lvlText w:val="o"/>
      <w:lvlJc w:val="left"/>
      <w:pPr>
        <w:ind w:left="3600" w:hanging="360"/>
      </w:pPr>
      <w:rPr>
        <w:rFonts w:ascii="Courier New" w:hAnsi="Courier New" w:cs="Courier New" w:hint="default"/>
      </w:rPr>
    </w:lvl>
    <w:lvl w:ilvl="5" w:tplc="080A0005">
      <w:start w:val="1"/>
      <w:numFmt w:val="bullet"/>
      <w:lvlText w:val=""/>
      <w:lvlJc w:val="left"/>
      <w:pPr>
        <w:ind w:left="4320" w:hanging="360"/>
      </w:pPr>
      <w:rPr>
        <w:rFonts w:ascii="Wingdings" w:hAnsi="Wingdings" w:hint="default"/>
      </w:rPr>
    </w:lvl>
    <w:lvl w:ilvl="6" w:tplc="080A0001">
      <w:start w:val="1"/>
      <w:numFmt w:val="bullet"/>
      <w:lvlText w:val=""/>
      <w:lvlJc w:val="left"/>
      <w:pPr>
        <w:ind w:left="5040" w:hanging="360"/>
      </w:pPr>
      <w:rPr>
        <w:rFonts w:ascii="Symbol" w:hAnsi="Symbol" w:hint="default"/>
      </w:rPr>
    </w:lvl>
    <w:lvl w:ilvl="7" w:tplc="080A0003">
      <w:start w:val="1"/>
      <w:numFmt w:val="bullet"/>
      <w:lvlText w:val="o"/>
      <w:lvlJc w:val="left"/>
      <w:pPr>
        <w:ind w:left="5760" w:hanging="360"/>
      </w:pPr>
      <w:rPr>
        <w:rFonts w:ascii="Courier New" w:hAnsi="Courier New" w:cs="Courier New" w:hint="default"/>
      </w:rPr>
    </w:lvl>
    <w:lvl w:ilvl="8" w:tplc="080A0005">
      <w:start w:val="1"/>
      <w:numFmt w:val="bullet"/>
      <w:lvlText w:val=""/>
      <w:lvlJc w:val="left"/>
      <w:pPr>
        <w:ind w:left="6480" w:hanging="360"/>
      </w:pPr>
      <w:rPr>
        <w:rFonts w:ascii="Wingdings" w:hAnsi="Wingdings" w:hint="default"/>
      </w:rPr>
    </w:lvl>
  </w:abstractNum>
  <w:abstractNum w:abstractNumId="31" w15:restartNumberingAfterBreak="0">
    <w:nsid w:val="7C5F238D"/>
    <w:multiLevelType w:val="hybridMultilevel"/>
    <w:tmpl w:val="0898FBE8"/>
    <w:lvl w:ilvl="0" w:tplc="FFFFFFFF">
      <w:start w:val="1"/>
      <w:numFmt w:val="decimal"/>
      <w:lvlText w:val="%1)"/>
      <w:lvlJc w:val="left"/>
      <w:pPr>
        <w:ind w:left="720" w:hanging="360"/>
      </w:pPr>
      <w:rPr>
        <w:rFonts w:hint="default"/>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num w:numId="1">
    <w:abstractNumId w:val="2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2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19"/>
  </w:num>
  <w:num w:numId="4">
    <w:abstractNumId w:val="3"/>
  </w:num>
  <w:num w:numId="5">
    <w:abstractNumId w:val="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abstractNumId w:val="7"/>
  </w:num>
  <w:num w:numId="7">
    <w:abstractNumId w:val="4"/>
  </w:num>
  <w:num w:numId="8">
    <w:abstractNumId w:val="2"/>
  </w:num>
  <w:num w:numId="9">
    <w:abstractNumId w:val="14"/>
  </w:num>
  <w:num w:numId="10">
    <w:abstractNumId w:val="0"/>
  </w:num>
  <w:num w:numId="11">
    <w:abstractNumId w:val="10"/>
  </w:num>
  <w:num w:numId="12">
    <w:abstractNumId w:val="2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
    <w:abstractNumId w:val="2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4">
    <w:abstractNumId w:val="20"/>
  </w:num>
  <w:num w:numId="15">
    <w:abstractNumId w:val="5"/>
  </w:num>
  <w:num w:numId="16">
    <w:abstractNumId w:val="12"/>
  </w:num>
  <w:num w:numId="17">
    <w:abstractNumId w:val="24"/>
  </w:num>
  <w:num w:numId="18">
    <w:abstractNumId w:val="16"/>
  </w:num>
  <w:num w:numId="19">
    <w:abstractNumId w:val="17"/>
  </w:num>
  <w:num w:numId="20">
    <w:abstractNumId w:val="28"/>
  </w:num>
  <w:num w:numId="21">
    <w:abstractNumId w:val="31"/>
  </w:num>
  <w:num w:numId="22">
    <w:abstractNumId w:val="13"/>
  </w:num>
  <w:num w:numId="23">
    <w:abstractNumId w:val="8"/>
  </w:num>
  <w:num w:numId="24">
    <w:abstractNumId w:val="21"/>
  </w:num>
  <w:num w:numId="25">
    <w:abstractNumId w:val="25"/>
  </w:num>
  <w:num w:numId="26">
    <w:abstractNumId w:val="30"/>
  </w:num>
  <w:num w:numId="27">
    <w:abstractNumId w:val="1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8">
    <w:abstractNumId w:val="15"/>
  </w:num>
  <w:num w:numId="29">
    <w:abstractNumId w:val="11"/>
  </w:num>
  <w:num w:numId="30">
    <w:abstractNumId w:val="18"/>
  </w:num>
  <w:num w:numId="31">
    <w:abstractNumId w:val="1"/>
  </w:num>
  <w:num w:numId="32">
    <w:abstractNumId w:val="22"/>
  </w:num>
  <w:num w:numId="33">
    <w:abstractNumId w:val="6"/>
  </w:num>
  <w:numIdMacAtCleanup w:val="8"/>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8"/>
  <w:hyphenationZone w:val="425"/>
  <w:characterSpacingControl w:val="doNotCompress"/>
  <w:hdrShapeDefaults>
    <o:shapedefaults v:ext="edit" spidmax="2052"/>
    <o:shapelayout v:ext="edit">
      <o:idmap v:ext="edit" data="2"/>
    </o:shapelayout>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C853D1"/>
    <w:rsid w:val="000001B2"/>
    <w:rsid w:val="00001F87"/>
    <w:rsid w:val="00002E53"/>
    <w:rsid w:val="000039BC"/>
    <w:rsid w:val="000051F1"/>
    <w:rsid w:val="000058AA"/>
    <w:rsid w:val="00005A5B"/>
    <w:rsid w:val="00007008"/>
    <w:rsid w:val="00007A72"/>
    <w:rsid w:val="00007EB8"/>
    <w:rsid w:val="00010BFB"/>
    <w:rsid w:val="00012B27"/>
    <w:rsid w:val="0001499A"/>
    <w:rsid w:val="00015585"/>
    <w:rsid w:val="00015EBC"/>
    <w:rsid w:val="00017D8C"/>
    <w:rsid w:val="00020AE4"/>
    <w:rsid w:val="00020EBA"/>
    <w:rsid w:val="00021119"/>
    <w:rsid w:val="00021314"/>
    <w:rsid w:val="000223B0"/>
    <w:rsid w:val="00022457"/>
    <w:rsid w:val="00025D1D"/>
    <w:rsid w:val="00027FA3"/>
    <w:rsid w:val="00030561"/>
    <w:rsid w:val="00032A32"/>
    <w:rsid w:val="00034DB8"/>
    <w:rsid w:val="00035852"/>
    <w:rsid w:val="000377E6"/>
    <w:rsid w:val="00037BF0"/>
    <w:rsid w:val="0004085E"/>
    <w:rsid w:val="00043A09"/>
    <w:rsid w:val="000477C6"/>
    <w:rsid w:val="0005010C"/>
    <w:rsid w:val="00052A57"/>
    <w:rsid w:val="000532A4"/>
    <w:rsid w:val="00055A53"/>
    <w:rsid w:val="00055CC6"/>
    <w:rsid w:val="00056FE5"/>
    <w:rsid w:val="00062AAC"/>
    <w:rsid w:val="00062C8B"/>
    <w:rsid w:val="0006568C"/>
    <w:rsid w:val="000667C9"/>
    <w:rsid w:val="00070106"/>
    <w:rsid w:val="000705A9"/>
    <w:rsid w:val="00071A6B"/>
    <w:rsid w:val="00073DFC"/>
    <w:rsid w:val="00081145"/>
    <w:rsid w:val="0008118F"/>
    <w:rsid w:val="00083EB1"/>
    <w:rsid w:val="00084F5D"/>
    <w:rsid w:val="0008791C"/>
    <w:rsid w:val="000939CD"/>
    <w:rsid w:val="00096694"/>
    <w:rsid w:val="000A21C7"/>
    <w:rsid w:val="000A2588"/>
    <w:rsid w:val="000A259F"/>
    <w:rsid w:val="000A5C42"/>
    <w:rsid w:val="000A61A2"/>
    <w:rsid w:val="000A689B"/>
    <w:rsid w:val="000A72D3"/>
    <w:rsid w:val="000A785D"/>
    <w:rsid w:val="000B0EAF"/>
    <w:rsid w:val="000B7029"/>
    <w:rsid w:val="000C1285"/>
    <w:rsid w:val="000C3C46"/>
    <w:rsid w:val="000C5B37"/>
    <w:rsid w:val="000C715C"/>
    <w:rsid w:val="000D1A72"/>
    <w:rsid w:val="000D1C95"/>
    <w:rsid w:val="000D2522"/>
    <w:rsid w:val="000D45D9"/>
    <w:rsid w:val="000D59F5"/>
    <w:rsid w:val="000D69EB"/>
    <w:rsid w:val="000D6E68"/>
    <w:rsid w:val="000D73F7"/>
    <w:rsid w:val="000D7D95"/>
    <w:rsid w:val="000E28E6"/>
    <w:rsid w:val="000E4E10"/>
    <w:rsid w:val="000E4FFB"/>
    <w:rsid w:val="000F2A9A"/>
    <w:rsid w:val="000F3002"/>
    <w:rsid w:val="000F3403"/>
    <w:rsid w:val="000F45A1"/>
    <w:rsid w:val="000F5A93"/>
    <w:rsid w:val="000F68CA"/>
    <w:rsid w:val="001004CE"/>
    <w:rsid w:val="00100EB3"/>
    <w:rsid w:val="0010232F"/>
    <w:rsid w:val="0010413E"/>
    <w:rsid w:val="001059E3"/>
    <w:rsid w:val="00105EF9"/>
    <w:rsid w:val="001105F1"/>
    <w:rsid w:val="00111ACF"/>
    <w:rsid w:val="0011426D"/>
    <w:rsid w:val="00115309"/>
    <w:rsid w:val="00116B7F"/>
    <w:rsid w:val="001202DE"/>
    <w:rsid w:val="00123E35"/>
    <w:rsid w:val="00130743"/>
    <w:rsid w:val="001318B0"/>
    <w:rsid w:val="00133D43"/>
    <w:rsid w:val="00134835"/>
    <w:rsid w:val="00134C39"/>
    <w:rsid w:val="0013575B"/>
    <w:rsid w:val="00142455"/>
    <w:rsid w:val="00144F37"/>
    <w:rsid w:val="00146731"/>
    <w:rsid w:val="00146DBF"/>
    <w:rsid w:val="00150C25"/>
    <w:rsid w:val="0015101F"/>
    <w:rsid w:val="001516C1"/>
    <w:rsid w:val="00152878"/>
    <w:rsid w:val="001554D0"/>
    <w:rsid w:val="001601CC"/>
    <w:rsid w:val="001605D3"/>
    <w:rsid w:val="00161E74"/>
    <w:rsid w:val="00164349"/>
    <w:rsid w:val="00164599"/>
    <w:rsid w:val="001666AB"/>
    <w:rsid w:val="001675D9"/>
    <w:rsid w:val="0017201C"/>
    <w:rsid w:val="0017347E"/>
    <w:rsid w:val="0017427D"/>
    <w:rsid w:val="00174F57"/>
    <w:rsid w:val="00175572"/>
    <w:rsid w:val="0017663D"/>
    <w:rsid w:val="001766C5"/>
    <w:rsid w:val="00177F5C"/>
    <w:rsid w:val="00180003"/>
    <w:rsid w:val="00185619"/>
    <w:rsid w:val="00186135"/>
    <w:rsid w:val="00186DDE"/>
    <w:rsid w:val="001900B4"/>
    <w:rsid w:val="00190EBA"/>
    <w:rsid w:val="00190FE7"/>
    <w:rsid w:val="00191E28"/>
    <w:rsid w:val="001935D3"/>
    <w:rsid w:val="00193D30"/>
    <w:rsid w:val="00194DD1"/>
    <w:rsid w:val="0019678D"/>
    <w:rsid w:val="001971C9"/>
    <w:rsid w:val="00197B15"/>
    <w:rsid w:val="001A2DE8"/>
    <w:rsid w:val="001A42BF"/>
    <w:rsid w:val="001A5672"/>
    <w:rsid w:val="001A5A0A"/>
    <w:rsid w:val="001A641F"/>
    <w:rsid w:val="001B0B54"/>
    <w:rsid w:val="001B3B40"/>
    <w:rsid w:val="001B77BD"/>
    <w:rsid w:val="001C05AB"/>
    <w:rsid w:val="001C1007"/>
    <w:rsid w:val="001C35D9"/>
    <w:rsid w:val="001C3C7E"/>
    <w:rsid w:val="001C3D02"/>
    <w:rsid w:val="001C5106"/>
    <w:rsid w:val="001C6764"/>
    <w:rsid w:val="001D02DD"/>
    <w:rsid w:val="001D24AC"/>
    <w:rsid w:val="001D3222"/>
    <w:rsid w:val="001D37BB"/>
    <w:rsid w:val="001D50E9"/>
    <w:rsid w:val="001E1C91"/>
    <w:rsid w:val="001E386E"/>
    <w:rsid w:val="001E5E8C"/>
    <w:rsid w:val="001E6D1F"/>
    <w:rsid w:val="001F034C"/>
    <w:rsid w:val="001F13E7"/>
    <w:rsid w:val="001F2A36"/>
    <w:rsid w:val="001F4A28"/>
    <w:rsid w:val="001F6455"/>
    <w:rsid w:val="001F7986"/>
    <w:rsid w:val="001F7C51"/>
    <w:rsid w:val="001F7D88"/>
    <w:rsid w:val="00203075"/>
    <w:rsid w:val="002032F2"/>
    <w:rsid w:val="00204715"/>
    <w:rsid w:val="00204AF1"/>
    <w:rsid w:val="00205611"/>
    <w:rsid w:val="00206619"/>
    <w:rsid w:val="002070CA"/>
    <w:rsid w:val="0021081F"/>
    <w:rsid w:val="00210F79"/>
    <w:rsid w:val="002111A8"/>
    <w:rsid w:val="002131D5"/>
    <w:rsid w:val="00213776"/>
    <w:rsid w:val="00220583"/>
    <w:rsid w:val="0022261D"/>
    <w:rsid w:val="002228A6"/>
    <w:rsid w:val="00231569"/>
    <w:rsid w:val="00232369"/>
    <w:rsid w:val="002339BD"/>
    <w:rsid w:val="00234580"/>
    <w:rsid w:val="00234F20"/>
    <w:rsid w:val="002351C8"/>
    <w:rsid w:val="00235BA0"/>
    <w:rsid w:val="002402DE"/>
    <w:rsid w:val="002408C5"/>
    <w:rsid w:val="002419E9"/>
    <w:rsid w:val="0024301C"/>
    <w:rsid w:val="0024313A"/>
    <w:rsid w:val="00245DE1"/>
    <w:rsid w:val="00247C01"/>
    <w:rsid w:val="002512D8"/>
    <w:rsid w:val="00252EF3"/>
    <w:rsid w:val="00253390"/>
    <w:rsid w:val="00253936"/>
    <w:rsid w:val="0025433F"/>
    <w:rsid w:val="00254EC3"/>
    <w:rsid w:val="002557A7"/>
    <w:rsid w:val="0025728E"/>
    <w:rsid w:val="00257F3B"/>
    <w:rsid w:val="00260112"/>
    <w:rsid w:val="00260AAA"/>
    <w:rsid w:val="002614EF"/>
    <w:rsid w:val="00261807"/>
    <w:rsid w:val="00261B52"/>
    <w:rsid w:val="00261BED"/>
    <w:rsid w:val="002634E5"/>
    <w:rsid w:val="00270784"/>
    <w:rsid w:val="002718A0"/>
    <w:rsid w:val="00271D9C"/>
    <w:rsid w:val="00272886"/>
    <w:rsid w:val="00272A03"/>
    <w:rsid w:val="00272C1E"/>
    <w:rsid w:val="00273986"/>
    <w:rsid w:val="00273E3B"/>
    <w:rsid w:val="0027618E"/>
    <w:rsid w:val="002761D7"/>
    <w:rsid w:val="00276671"/>
    <w:rsid w:val="00277FCF"/>
    <w:rsid w:val="00280669"/>
    <w:rsid w:val="00281D05"/>
    <w:rsid w:val="0028305A"/>
    <w:rsid w:val="002831CB"/>
    <w:rsid w:val="00284D5C"/>
    <w:rsid w:val="00285302"/>
    <w:rsid w:val="00286CEE"/>
    <w:rsid w:val="00287935"/>
    <w:rsid w:val="002908BE"/>
    <w:rsid w:val="00293506"/>
    <w:rsid w:val="00296E2A"/>
    <w:rsid w:val="002A2CCD"/>
    <w:rsid w:val="002A333B"/>
    <w:rsid w:val="002A612A"/>
    <w:rsid w:val="002B1235"/>
    <w:rsid w:val="002B258A"/>
    <w:rsid w:val="002B3565"/>
    <w:rsid w:val="002B3FDA"/>
    <w:rsid w:val="002B54AE"/>
    <w:rsid w:val="002B62B6"/>
    <w:rsid w:val="002B6568"/>
    <w:rsid w:val="002B6B44"/>
    <w:rsid w:val="002C0375"/>
    <w:rsid w:val="002C35F7"/>
    <w:rsid w:val="002C4BC1"/>
    <w:rsid w:val="002C514D"/>
    <w:rsid w:val="002C59A0"/>
    <w:rsid w:val="002C5B0F"/>
    <w:rsid w:val="002C6390"/>
    <w:rsid w:val="002C7309"/>
    <w:rsid w:val="002C7496"/>
    <w:rsid w:val="002D0F15"/>
    <w:rsid w:val="002D2E5D"/>
    <w:rsid w:val="002D4420"/>
    <w:rsid w:val="002E0552"/>
    <w:rsid w:val="002E05D6"/>
    <w:rsid w:val="002E0FA2"/>
    <w:rsid w:val="002E1FAC"/>
    <w:rsid w:val="002E21F5"/>
    <w:rsid w:val="002E25D3"/>
    <w:rsid w:val="002E25E7"/>
    <w:rsid w:val="002E3226"/>
    <w:rsid w:val="002E333F"/>
    <w:rsid w:val="002E33E8"/>
    <w:rsid w:val="002E4593"/>
    <w:rsid w:val="002E5CED"/>
    <w:rsid w:val="002E663D"/>
    <w:rsid w:val="002E69B6"/>
    <w:rsid w:val="002E7320"/>
    <w:rsid w:val="002F0EF5"/>
    <w:rsid w:val="002F13A6"/>
    <w:rsid w:val="002F271C"/>
    <w:rsid w:val="002F5822"/>
    <w:rsid w:val="00300286"/>
    <w:rsid w:val="0030179F"/>
    <w:rsid w:val="00306450"/>
    <w:rsid w:val="003104FB"/>
    <w:rsid w:val="00310C14"/>
    <w:rsid w:val="00311288"/>
    <w:rsid w:val="003114A1"/>
    <w:rsid w:val="00311811"/>
    <w:rsid w:val="003132E9"/>
    <w:rsid w:val="003160D6"/>
    <w:rsid w:val="0031697C"/>
    <w:rsid w:val="00316C63"/>
    <w:rsid w:val="003170DF"/>
    <w:rsid w:val="00320506"/>
    <w:rsid w:val="00320671"/>
    <w:rsid w:val="00320B93"/>
    <w:rsid w:val="00325FFB"/>
    <w:rsid w:val="003265A2"/>
    <w:rsid w:val="00327CBD"/>
    <w:rsid w:val="003305F2"/>
    <w:rsid w:val="00331D5B"/>
    <w:rsid w:val="00334B20"/>
    <w:rsid w:val="003361B1"/>
    <w:rsid w:val="00336980"/>
    <w:rsid w:val="0033737B"/>
    <w:rsid w:val="003412CD"/>
    <w:rsid w:val="00342905"/>
    <w:rsid w:val="00343743"/>
    <w:rsid w:val="00343A31"/>
    <w:rsid w:val="00343DB5"/>
    <w:rsid w:val="0034462A"/>
    <w:rsid w:val="00345528"/>
    <w:rsid w:val="00350D55"/>
    <w:rsid w:val="003537E3"/>
    <w:rsid w:val="00355553"/>
    <w:rsid w:val="00360690"/>
    <w:rsid w:val="00362DE2"/>
    <w:rsid w:val="00363046"/>
    <w:rsid w:val="003638D7"/>
    <w:rsid w:val="0036457B"/>
    <w:rsid w:val="003647F7"/>
    <w:rsid w:val="00365075"/>
    <w:rsid w:val="0036556C"/>
    <w:rsid w:val="00365A65"/>
    <w:rsid w:val="00367659"/>
    <w:rsid w:val="00370460"/>
    <w:rsid w:val="00371DAE"/>
    <w:rsid w:val="00372BAB"/>
    <w:rsid w:val="00374361"/>
    <w:rsid w:val="003751F2"/>
    <w:rsid w:val="00376559"/>
    <w:rsid w:val="00376DB7"/>
    <w:rsid w:val="00380368"/>
    <w:rsid w:val="00381FDE"/>
    <w:rsid w:val="003830E7"/>
    <w:rsid w:val="0038387E"/>
    <w:rsid w:val="00384A4A"/>
    <w:rsid w:val="00384ADA"/>
    <w:rsid w:val="00386E03"/>
    <w:rsid w:val="003870B0"/>
    <w:rsid w:val="0038779D"/>
    <w:rsid w:val="00391BF2"/>
    <w:rsid w:val="00393410"/>
    <w:rsid w:val="003936D2"/>
    <w:rsid w:val="003955C4"/>
    <w:rsid w:val="00396924"/>
    <w:rsid w:val="003975AD"/>
    <w:rsid w:val="00397660"/>
    <w:rsid w:val="003A1B84"/>
    <w:rsid w:val="003A20F9"/>
    <w:rsid w:val="003A23D2"/>
    <w:rsid w:val="003A3FDA"/>
    <w:rsid w:val="003A44EE"/>
    <w:rsid w:val="003B0BA2"/>
    <w:rsid w:val="003B39B8"/>
    <w:rsid w:val="003B3D26"/>
    <w:rsid w:val="003B46DC"/>
    <w:rsid w:val="003B5956"/>
    <w:rsid w:val="003B641D"/>
    <w:rsid w:val="003B69FD"/>
    <w:rsid w:val="003B6F89"/>
    <w:rsid w:val="003C0BD2"/>
    <w:rsid w:val="003C2ED7"/>
    <w:rsid w:val="003C39EE"/>
    <w:rsid w:val="003C3E59"/>
    <w:rsid w:val="003C470A"/>
    <w:rsid w:val="003C537A"/>
    <w:rsid w:val="003C592A"/>
    <w:rsid w:val="003C5B59"/>
    <w:rsid w:val="003C71C8"/>
    <w:rsid w:val="003C7ACE"/>
    <w:rsid w:val="003D0092"/>
    <w:rsid w:val="003D01BC"/>
    <w:rsid w:val="003D15D4"/>
    <w:rsid w:val="003D1C9C"/>
    <w:rsid w:val="003D2BB6"/>
    <w:rsid w:val="003D30B4"/>
    <w:rsid w:val="003D3C2E"/>
    <w:rsid w:val="003D4A58"/>
    <w:rsid w:val="003D4C8E"/>
    <w:rsid w:val="003D5D1A"/>
    <w:rsid w:val="003D5E2D"/>
    <w:rsid w:val="003D602D"/>
    <w:rsid w:val="003D7C1D"/>
    <w:rsid w:val="003D7ED4"/>
    <w:rsid w:val="003E2A04"/>
    <w:rsid w:val="003E2FB0"/>
    <w:rsid w:val="003E454A"/>
    <w:rsid w:val="003E6181"/>
    <w:rsid w:val="003E633C"/>
    <w:rsid w:val="003E6425"/>
    <w:rsid w:val="003E65C4"/>
    <w:rsid w:val="003E7060"/>
    <w:rsid w:val="003F0CE1"/>
    <w:rsid w:val="003F0E14"/>
    <w:rsid w:val="003F0F63"/>
    <w:rsid w:val="003F3E73"/>
    <w:rsid w:val="003F5DA4"/>
    <w:rsid w:val="003F7951"/>
    <w:rsid w:val="003F7A2D"/>
    <w:rsid w:val="004011ED"/>
    <w:rsid w:val="00403367"/>
    <w:rsid w:val="004059D0"/>
    <w:rsid w:val="00406178"/>
    <w:rsid w:val="00407122"/>
    <w:rsid w:val="00411555"/>
    <w:rsid w:val="004122A9"/>
    <w:rsid w:val="00414820"/>
    <w:rsid w:val="0041563F"/>
    <w:rsid w:val="00415A15"/>
    <w:rsid w:val="0041747F"/>
    <w:rsid w:val="00417D41"/>
    <w:rsid w:val="00417EED"/>
    <w:rsid w:val="0042422A"/>
    <w:rsid w:val="00424C3F"/>
    <w:rsid w:val="00425B82"/>
    <w:rsid w:val="00425CB1"/>
    <w:rsid w:val="00430B0D"/>
    <w:rsid w:val="00430BDD"/>
    <w:rsid w:val="00433CAA"/>
    <w:rsid w:val="0043437D"/>
    <w:rsid w:val="0044231A"/>
    <w:rsid w:val="00447887"/>
    <w:rsid w:val="00450E6E"/>
    <w:rsid w:val="00451B65"/>
    <w:rsid w:val="00452038"/>
    <w:rsid w:val="00453096"/>
    <w:rsid w:val="004542DC"/>
    <w:rsid w:val="004548CD"/>
    <w:rsid w:val="004566A2"/>
    <w:rsid w:val="00460EAD"/>
    <w:rsid w:val="00461B17"/>
    <w:rsid w:val="00462A63"/>
    <w:rsid w:val="004633F1"/>
    <w:rsid w:val="00463A70"/>
    <w:rsid w:val="00464242"/>
    <w:rsid w:val="00464C14"/>
    <w:rsid w:val="00465EC8"/>
    <w:rsid w:val="004664FA"/>
    <w:rsid w:val="004673C4"/>
    <w:rsid w:val="00467751"/>
    <w:rsid w:val="0046778C"/>
    <w:rsid w:val="00470A7A"/>
    <w:rsid w:val="00470AF6"/>
    <w:rsid w:val="004714E9"/>
    <w:rsid w:val="00471A6E"/>
    <w:rsid w:val="00474538"/>
    <w:rsid w:val="00474E4C"/>
    <w:rsid w:val="00476ED1"/>
    <w:rsid w:val="0048026F"/>
    <w:rsid w:val="004822BC"/>
    <w:rsid w:val="004829B9"/>
    <w:rsid w:val="0048648B"/>
    <w:rsid w:val="00486724"/>
    <w:rsid w:val="0048719D"/>
    <w:rsid w:val="0049061B"/>
    <w:rsid w:val="004908D3"/>
    <w:rsid w:val="00490FE0"/>
    <w:rsid w:val="00491C3E"/>
    <w:rsid w:val="004922B6"/>
    <w:rsid w:val="00494387"/>
    <w:rsid w:val="004949AC"/>
    <w:rsid w:val="00496426"/>
    <w:rsid w:val="004A1E88"/>
    <w:rsid w:val="004A27DB"/>
    <w:rsid w:val="004A2EE3"/>
    <w:rsid w:val="004A3DDE"/>
    <w:rsid w:val="004A528D"/>
    <w:rsid w:val="004A5C0B"/>
    <w:rsid w:val="004B15BE"/>
    <w:rsid w:val="004B15E8"/>
    <w:rsid w:val="004B1F22"/>
    <w:rsid w:val="004B2D5B"/>
    <w:rsid w:val="004B5517"/>
    <w:rsid w:val="004B720F"/>
    <w:rsid w:val="004B726A"/>
    <w:rsid w:val="004C0EC0"/>
    <w:rsid w:val="004C19EC"/>
    <w:rsid w:val="004C1B53"/>
    <w:rsid w:val="004C34C6"/>
    <w:rsid w:val="004C3C1A"/>
    <w:rsid w:val="004C7405"/>
    <w:rsid w:val="004D099B"/>
    <w:rsid w:val="004D2468"/>
    <w:rsid w:val="004D4220"/>
    <w:rsid w:val="004D66A3"/>
    <w:rsid w:val="004D6DB1"/>
    <w:rsid w:val="004E0BAE"/>
    <w:rsid w:val="004E1BF6"/>
    <w:rsid w:val="004E2875"/>
    <w:rsid w:val="004E335A"/>
    <w:rsid w:val="004E49BA"/>
    <w:rsid w:val="004E5602"/>
    <w:rsid w:val="004E592B"/>
    <w:rsid w:val="004E617D"/>
    <w:rsid w:val="004E6D06"/>
    <w:rsid w:val="004F3DE8"/>
    <w:rsid w:val="004F4445"/>
    <w:rsid w:val="004F4960"/>
    <w:rsid w:val="004F6003"/>
    <w:rsid w:val="004F662C"/>
    <w:rsid w:val="004F736C"/>
    <w:rsid w:val="004F7666"/>
    <w:rsid w:val="0050010E"/>
    <w:rsid w:val="0050097E"/>
    <w:rsid w:val="00502912"/>
    <w:rsid w:val="00502EA5"/>
    <w:rsid w:val="005056F9"/>
    <w:rsid w:val="0050665F"/>
    <w:rsid w:val="00506F24"/>
    <w:rsid w:val="00511C06"/>
    <w:rsid w:val="00513F33"/>
    <w:rsid w:val="00514B51"/>
    <w:rsid w:val="00515CA2"/>
    <w:rsid w:val="00516118"/>
    <w:rsid w:val="005171B1"/>
    <w:rsid w:val="00517B06"/>
    <w:rsid w:val="00520182"/>
    <w:rsid w:val="00521F65"/>
    <w:rsid w:val="0052281F"/>
    <w:rsid w:val="00522A03"/>
    <w:rsid w:val="00522F3F"/>
    <w:rsid w:val="005230CF"/>
    <w:rsid w:val="0052470A"/>
    <w:rsid w:val="005277CB"/>
    <w:rsid w:val="00533C3F"/>
    <w:rsid w:val="00534853"/>
    <w:rsid w:val="00534932"/>
    <w:rsid w:val="0054028E"/>
    <w:rsid w:val="00540994"/>
    <w:rsid w:val="0054421C"/>
    <w:rsid w:val="00544384"/>
    <w:rsid w:val="005457BA"/>
    <w:rsid w:val="00550B53"/>
    <w:rsid w:val="00550D10"/>
    <w:rsid w:val="00551230"/>
    <w:rsid w:val="00553DB8"/>
    <w:rsid w:val="00555AE6"/>
    <w:rsid w:val="0055607B"/>
    <w:rsid w:val="00563969"/>
    <w:rsid w:val="00563E84"/>
    <w:rsid w:val="00566942"/>
    <w:rsid w:val="00566D02"/>
    <w:rsid w:val="0056713B"/>
    <w:rsid w:val="005706CC"/>
    <w:rsid w:val="0057118F"/>
    <w:rsid w:val="00571737"/>
    <w:rsid w:val="005729FC"/>
    <w:rsid w:val="00572AAD"/>
    <w:rsid w:val="0057317C"/>
    <w:rsid w:val="00573720"/>
    <w:rsid w:val="00573E19"/>
    <w:rsid w:val="00574573"/>
    <w:rsid w:val="005747FF"/>
    <w:rsid w:val="005761C8"/>
    <w:rsid w:val="00576254"/>
    <w:rsid w:val="00577391"/>
    <w:rsid w:val="0058125E"/>
    <w:rsid w:val="005814CA"/>
    <w:rsid w:val="00581915"/>
    <w:rsid w:val="00583138"/>
    <w:rsid w:val="005835D7"/>
    <w:rsid w:val="00583791"/>
    <w:rsid w:val="00583F6B"/>
    <w:rsid w:val="00584189"/>
    <w:rsid w:val="005861E7"/>
    <w:rsid w:val="005865A5"/>
    <w:rsid w:val="00587D4D"/>
    <w:rsid w:val="00587FE6"/>
    <w:rsid w:val="0059279A"/>
    <w:rsid w:val="00593E62"/>
    <w:rsid w:val="0059523B"/>
    <w:rsid w:val="00596883"/>
    <w:rsid w:val="00597D03"/>
    <w:rsid w:val="005A07C3"/>
    <w:rsid w:val="005A2360"/>
    <w:rsid w:val="005A3C21"/>
    <w:rsid w:val="005A43BA"/>
    <w:rsid w:val="005A5008"/>
    <w:rsid w:val="005A756B"/>
    <w:rsid w:val="005A7B65"/>
    <w:rsid w:val="005B10F4"/>
    <w:rsid w:val="005B2648"/>
    <w:rsid w:val="005B2FA7"/>
    <w:rsid w:val="005C131D"/>
    <w:rsid w:val="005C21B9"/>
    <w:rsid w:val="005C283A"/>
    <w:rsid w:val="005C40CA"/>
    <w:rsid w:val="005C4CD6"/>
    <w:rsid w:val="005C58EB"/>
    <w:rsid w:val="005C6308"/>
    <w:rsid w:val="005C7219"/>
    <w:rsid w:val="005D2E05"/>
    <w:rsid w:val="005D3368"/>
    <w:rsid w:val="005D33E0"/>
    <w:rsid w:val="005D4A87"/>
    <w:rsid w:val="005D6383"/>
    <w:rsid w:val="005E0A33"/>
    <w:rsid w:val="005E1588"/>
    <w:rsid w:val="005E1BAC"/>
    <w:rsid w:val="005E4232"/>
    <w:rsid w:val="005E5646"/>
    <w:rsid w:val="005F0729"/>
    <w:rsid w:val="005F0AA5"/>
    <w:rsid w:val="005F0F77"/>
    <w:rsid w:val="005F251F"/>
    <w:rsid w:val="005F2A30"/>
    <w:rsid w:val="005F2BAD"/>
    <w:rsid w:val="005F4E56"/>
    <w:rsid w:val="005F517C"/>
    <w:rsid w:val="005F5987"/>
    <w:rsid w:val="005F751A"/>
    <w:rsid w:val="005F7F0F"/>
    <w:rsid w:val="0060051F"/>
    <w:rsid w:val="00600620"/>
    <w:rsid w:val="00601867"/>
    <w:rsid w:val="006026B5"/>
    <w:rsid w:val="00603B2B"/>
    <w:rsid w:val="00604FB9"/>
    <w:rsid w:val="00607213"/>
    <w:rsid w:val="00607349"/>
    <w:rsid w:val="00607987"/>
    <w:rsid w:val="00607F00"/>
    <w:rsid w:val="00610E0B"/>
    <w:rsid w:val="006134B9"/>
    <w:rsid w:val="0061403D"/>
    <w:rsid w:val="00614CDB"/>
    <w:rsid w:val="00621E91"/>
    <w:rsid w:val="00622458"/>
    <w:rsid w:val="00622459"/>
    <w:rsid w:val="00623446"/>
    <w:rsid w:val="006246F1"/>
    <w:rsid w:val="00625925"/>
    <w:rsid w:val="006309C9"/>
    <w:rsid w:val="00631373"/>
    <w:rsid w:val="00631658"/>
    <w:rsid w:val="00631E1D"/>
    <w:rsid w:val="00631FD1"/>
    <w:rsid w:val="0063438C"/>
    <w:rsid w:val="0063487F"/>
    <w:rsid w:val="00635177"/>
    <w:rsid w:val="0063599F"/>
    <w:rsid w:val="00636C2E"/>
    <w:rsid w:val="00637317"/>
    <w:rsid w:val="00637BD8"/>
    <w:rsid w:val="006441E1"/>
    <w:rsid w:val="00644838"/>
    <w:rsid w:val="00644CE6"/>
    <w:rsid w:val="006473A8"/>
    <w:rsid w:val="006507ED"/>
    <w:rsid w:val="006510F8"/>
    <w:rsid w:val="00657E8F"/>
    <w:rsid w:val="00660363"/>
    <w:rsid w:val="00660E60"/>
    <w:rsid w:val="00661821"/>
    <w:rsid w:val="006631C9"/>
    <w:rsid w:val="006642B4"/>
    <w:rsid w:val="00666855"/>
    <w:rsid w:val="0066721A"/>
    <w:rsid w:val="006703A5"/>
    <w:rsid w:val="006733E5"/>
    <w:rsid w:val="00674E08"/>
    <w:rsid w:val="00680041"/>
    <w:rsid w:val="006812F7"/>
    <w:rsid w:val="00682222"/>
    <w:rsid w:val="00683B16"/>
    <w:rsid w:val="00686F7A"/>
    <w:rsid w:val="00687641"/>
    <w:rsid w:val="0068788E"/>
    <w:rsid w:val="0069007D"/>
    <w:rsid w:val="006901C3"/>
    <w:rsid w:val="0069111D"/>
    <w:rsid w:val="0069249E"/>
    <w:rsid w:val="00695E03"/>
    <w:rsid w:val="00697C77"/>
    <w:rsid w:val="006A0781"/>
    <w:rsid w:val="006A0B45"/>
    <w:rsid w:val="006A4019"/>
    <w:rsid w:val="006A4247"/>
    <w:rsid w:val="006A4E8D"/>
    <w:rsid w:val="006A539D"/>
    <w:rsid w:val="006A776F"/>
    <w:rsid w:val="006B06CA"/>
    <w:rsid w:val="006B0C55"/>
    <w:rsid w:val="006B14EE"/>
    <w:rsid w:val="006B5B3E"/>
    <w:rsid w:val="006C03ED"/>
    <w:rsid w:val="006C1E60"/>
    <w:rsid w:val="006C34F4"/>
    <w:rsid w:val="006C4AFF"/>
    <w:rsid w:val="006C5754"/>
    <w:rsid w:val="006D0976"/>
    <w:rsid w:val="006D1782"/>
    <w:rsid w:val="006D2FEC"/>
    <w:rsid w:val="006D4AB9"/>
    <w:rsid w:val="006D6F5A"/>
    <w:rsid w:val="006D7194"/>
    <w:rsid w:val="006D7C2E"/>
    <w:rsid w:val="006E01DD"/>
    <w:rsid w:val="006E035D"/>
    <w:rsid w:val="006E0643"/>
    <w:rsid w:val="006E079F"/>
    <w:rsid w:val="006E1606"/>
    <w:rsid w:val="006E353E"/>
    <w:rsid w:val="006E420D"/>
    <w:rsid w:val="006E5273"/>
    <w:rsid w:val="006E5A93"/>
    <w:rsid w:val="006E681F"/>
    <w:rsid w:val="006E704F"/>
    <w:rsid w:val="006F0508"/>
    <w:rsid w:val="006F275A"/>
    <w:rsid w:val="006F3217"/>
    <w:rsid w:val="006F4262"/>
    <w:rsid w:val="006F4D8C"/>
    <w:rsid w:val="006F4F1C"/>
    <w:rsid w:val="006F6104"/>
    <w:rsid w:val="007030DA"/>
    <w:rsid w:val="00703469"/>
    <w:rsid w:val="007035B6"/>
    <w:rsid w:val="00706604"/>
    <w:rsid w:val="00706AD3"/>
    <w:rsid w:val="00713F1F"/>
    <w:rsid w:val="00714298"/>
    <w:rsid w:val="00716C76"/>
    <w:rsid w:val="00720572"/>
    <w:rsid w:val="00720C0D"/>
    <w:rsid w:val="00721176"/>
    <w:rsid w:val="00721566"/>
    <w:rsid w:val="00721C9B"/>
    <w:rsid w:val="00722325"/>
    <w:rsid w:val="007227CD"/>
    <w:rsid w:val="00723CF2"/>
    <w:rsid w:val="00724A49"/>
    <w:rsid w:val="00725B10"/>
    <w:rsid w:val="00725C8B"/>
    <w:rsid w:val="007268C8"/>
    <w:rsid w:val="00726A94"/>
    <w:rsid w:val="00726D76"/>
    <w:rsid w:val="00732599"/>
    <w:rsid w:val="00733773"/>
    <w:rsid w:val="0073382E"/>
    <w:rsid w:val="00733985"/>
    <w:rsid w:val="007359A2"/>
    <w:rsid w:val="007368D4"/>
    <w:rsid w:val="007370CD"/>
    <w:rsid w:val="00740CD0"/>
    <w:rsid w:val="00740F8F"/>
    <w:rsid w:val="0074175B"/>
    <w:rsid w:val="007430FE"/>
    <w:rsid w:val="0074377F"/>
    <w:rsid w:val="00743B72"/>
    <w:rsid w:val="00744439"/>
    <w:rsid w:val="00744CB4"/>
    <w:rsid w:val="00745AEC"/>
    <w:rsid w:val="007474FF"/>
    <w:rsid w:val="00750797"/>
    <w:rsid w:val="007533EF"/>
    <w:rsid w:val="007550F6"/>
    <w:rsid w:val="0075605D"/>
    <w:rsid w:val="007565CA"/>
    <w:rsid w:val="00757B60"/>
    <w:rsid w:val="0076077F"/>
    <w:rsid w:val="00762999"/>
    <w:rsid w:val="00763EC2"/>
    <w:rsid w:val="00765002"/>
    <w:rsid w:val="00765ECF"/>
    <w:rsid w:val="0076630A"/>
    <w:rsid w:val="007667CC"/>
    <w:rsid w:val="007745CA"/>
    <w:rsid w:val="00780E32"/>
    <w:rsid w:val="007820BC"/>
    <w:rsid w:val="00782132"/>
    <w:rsid w:val="00782EDE"/>
    <w:rsid w:val="00785C2F"/>
    <w:rsid w:val="007869D1"/>
    <w:rsid w:val="00786BD1"/>
    <w:rsid w:val="0079077D"/>
    <w:rsid w:val="00792748"/>
    <w:rsid w:val="00794A6C"/>
    <w:rsid w:val="007A0941"/>
    <w:rsid w:val="007A0978"/>
    <w:rsid w:val="007A0D0B"/>
    <w:rsid w:val="007A34C7"/>
    <w:rsid w:val="007A5334"/>
    <w:rsid w:val="007A595B"/>
    <w:rsid w:val="007A66D1"/>
    <w:rsid w:val="007A670A"/>
    <w:rsid w:val="007A6B4B"/>
    <w:rsid w:val="007A6F13"/>
    <w:rsid w:val="007B0E9C"/>
    <w:rsid w:val="007B18F1"/>
    <w:rsid w:val="007B48A9"/>
    <w:rsid w:val="007B4C9D"/>
    <w:rsid w:val="007B59C1"/>
    <w:rsid w:val="007C27B7"/>
    <w:rsid w:val="007C51E3"/>
    <w:rsid w:val="007C58F6"/>
    <w:rsid w:val="007C5DBC"/>
    <w:rsid w:val="007C64AB"/>
    <w:rsid w:val="007C72C8"/>
    <w:rsid w:val="007C7973"/>
    <w:rsid w:val="007C7F33"/>
    <w:rsid w:val="007C7F7D"/>
    <w:rsid w:val="007D3C22"/>
    <w:rsid w:val="007D42C2"/>
    <w:rsid w:val="007D4551"/>
    <w:rsid w:val="007D6AF3"/>
    <w:rsid w:val="007D779A"/>
    <w:rsid w:val="007D7AB9"/>
    <w:rsid w:val="007E10A0"/>
    <w:rsid w:val="007E1DC9"/>
    <w:rsid w:val="007E2548"/>
    <w:rsid w:val="007E38E8"/>
    <w:rsid w:val="007E59A6"/>
    <w:rsid w:val="007E5D97"/>
    <w:rsid w:val="007E600B"/>
    <w:rsid w:val="007E6CE9"/>
    <w:rsid w:val="007E7556"/>
    <w:rsid w:val="007F06F2"/>
    <w:rsid w:val="007F400F"/>
    <w:rsid w:val="007F5219"/>
    <w:rsid w:val="007F7D92"/>
    <w:rsid w:val="008006C4"/>
    <w:rsid w:val="00800F72"/>
    <w:rsid w:val="00800FED"/>
    <w:rsid w:val="008026F3"/>
    <w:rsid w:val="00804053"/>
    <w:rsid w:val="00804248"/>
    <w:rsid w:val="008049D6"/>
    <w:rsid w:val="00805071"/>
    <w:rsid w:val="00807F2A"/>
    <w:rsid w:val="00810184"/>
    <w:rsid w:val="008132C4"/>
    <w:rsid w:val="0081663D"/>
    <w:rsid w:val="00820C1B"/>
    <w:rsid w:val="008219F3"/>
    <w:rsid w:val="00821FA4"/>
    <w:rsid w:val="00822253"/>
    <w:rsid w:val="00822579"/>
    <w:rsid w:val="00823130"/>
    <w:rsid w:val="0082578E"/>
    <w:rsid w:val="008262C2"/>
    <w:rsid w:val="00827B0C"/>
    <w:rsid w:val="00831EAC"/>
    <w:rsid w:val="00833843"/>
    <w:rsid w:val="0083386E"/>
    <w:rsid w:val="00834A0C"/>
    <w:rsid w:val="00834BC6"/>
    <w:rsid w:val="00836F1F"/>
    <w:rsid w:val="00840807"/>
    <w:rsid w:val="0084159F"/>
    <w:rsid w:val="008415AE"/>
    <w:rsid w:val="00842168"/>
    <w:rsid w:val="00842331"/>
    <w:rsid w:val="008425D2"/>
    <w:rsid w:val="00843AB9"/>
    <w:rsid w:val="00844549"/>
    <w:rsid w:val="00845AB7"/>
    <w:rsid w:val="00845B7A"/>
    <w:rsid w:val="008508E2"/>
    <w:rsid w:val="00850A5F"/>
    <w:rsid w:val="00851652"/>
    <w:rsid w:val="00852049"/>
    <w:rsid w:val="0085319A"/>
    <w:rsid w:val="008538DF"/>
    <w:rsid w:val="00853ACB"/>
    <w:rsid w:val="00853F28"/>
    <w:rsid w:val="0085649B"/>
    <w:rsid w:val="00856788"/>
    <w:rsid w:val="00857F62"/>
    <w:rsid w:val="00860365"/>
    <w:rsid w:val="00860A0D"/>
    <w:rsid w:val="0086425A"/>
    <w:rsid w:val="008644E3"/>
    <w:rsid w:val="0086627E"/>
    <w:rsid w:val="00870165"/>
    <w:rsid w:val="008702B3"/>
    <w:rsid w:val="00876166"/>
    <w:rsid w:val="00880490"/>
    <w:rsid w:val="00880F6A"/>
    <w:rsid w:val="00884AD3"/>
    <w:rsid w:val="00892595"/>
    <w:rsid w:val="00892EC1"/>
    <w:rsid w:val="008930A4"/>
    <w:rsid w:val="008934EE"/>
    <w:rsid w:val="008949CD"/>
    <w:rsid w:val="008951DE"/>
    <w:rsid w:val="00896354"/>
    <w:rsid w:val="008972C5"/>
    <w:rsid w:val="008977F6"/>
    <w:rsid w:val="00897AC3"/>
    <w:rsid w:val="00897D57"/>
    <w:rsid w:val="008A323B"/>
    <w:rsid w:val="008A34BD"/>
    <w:rsid w:val="008A43BA"/>
    <w:rsid w:val="008A4D26"/>
    <w:rsid w:val="008B0792"/>
    <w:rsid w:val="008B2FFC"/>
    <w:rsid w:val="008B38A4"/>
    <w:rsid w:val="008B42C1"/>
    <w:rsid w:val="008B4F02"/>
    <w:rsid w:val="008B5B74"/>
    <w:rsid w:val="008B64EA"/>
    <w:rsid w:val="008B6963"/>
    <w:rsid w:val="008C00D9"/>
    <w:rsid w:val="008C1062"/>
    <w:rsid w:val="008C1830"/>
    <w:rsid w:val="008C1BCF"/>
    <w:rsid w:val="008C4F3D"/>
    <w:rsid w:val="008C5A8C"/>
    <w:rsid w:val="008C621A"/>
    <w:rsid w:val="008D097A"/>
    <w:rsid w:val="008D10DE"/>
    <w:rsid w:val="008D1356"/>
    <w:rsid w:val="008D1382"/>
    <w:rsid w:val="008D4F4A"/>
    <w:rsid w:val="008D567B"/>
    <w:rsid w:val="008E1474"/>
    <w:rsid w:val="008E15AF"/>
    <w:rsid w:val="008E16CC"/>
    <w:rsid w:val="008E3B00"/>
    <w:rsid w:val="008E42A5"/>
    <w:rsid w:val="008E44BC"/>
    <w:rsid w:val="008E52A4"/>
    <w:rsid w:val="008E702E"/>
    <w:rsid w:val="008F0C31"/>
    <w:rsid w:val="008F0CA0"/>
    <w:rsid w:val="008F277E"/>
    <w:rsid w:val="008F2D84"/>
    <w:rsid w:val="008F442E"/>
    <w:rsid w:val="008F5A30"/>
    <w:rsid w:val="008F5FA0"/>
    <w:rsid w:val="008F619E"/>
    <w:rsid w:val="008F6AD4"/>
    <w:rsid w:val="009032B7"/>
    <w:rsid w:val="00904433"/>
    <w:rsid w:val="00904B50"/>
    <w:rsid w:val="009076E7"/>
    <w:rsid w:val="00911857"/>
    <w:rsid w:val="00912D87"/>
    <w:rsid w:val="009135B2"/>
    <w:rsid w:val="009144C6"/>
    <w:rsid w:val="00915401"/>
    <w:rsid w:val="00916305"/>
    <w:rsid w:val="0091790E"/>
    <w:rsid w:val="00922364"/>
    <w:rsid w:val="0092362E"/>
    <w:rsid w:val="009237C1"/>
    <w:rsid w:val="0092560F"/>
    <w:rsid w:val="009256EB"/>
    <w:rsid w:val="009264DB"/>
    <w:rsid w:val="009265C9"/>
    <w:rsid w:val="00927AEA"/>
    <w:rsid w:val="00930BFE"/>
    <w:rsid w:val="0093192E"/>
    <w:rsid w:val="0093249D"/>
    <w:rsid w:val="0093309B"/>
    <w:rsid w:val="009366D5"/>
    <w:rsid w:val="009402FE"/>
    <w:rsid w:val="009418D2"/>
    <w:rsid w:val="00941AC3"/>
    <w:rsid w:val="00942065"/>
    <w:rsid w:val="009430B1"/>
    <w:rsid w:val="00943E54"/>
    <w:rsid w:val="009447A9"/>
    <w:rsid w:val="009508A6"/>
    <w:rsid w:val="00951B5E"/>
    <w:rsid w:val="00951F34"/>
    <w:rsid w:val="0095242D"/>
    <w:rsid w:val="009527B1"/>
    <w:rsid w:val="00954B99"/>
    <w:rsid w:val="0095682A"/>
    <w:rsid w:val="009569BD"/>
    <w:rsid w:val="00956B63"/>
    <w:rsid w:val="009572BA"/>
    <w:rsid w:val="00960EDB"/>
    <w:rsid w:val="0096288F"/>
    <w:rsid w:val="00963588"/>
    <w:rsid w:val="00963A6C"/>
    <w:rsid w:val="00964C82"/>
    <w:rsid w:val="00965D72"/>
    <w:rsid w:val="00967104"/>
    <w:rsid w:val="00970657"/>
    <w:rsid w:val="0097154F"/>
    <w:rsid w:val="00971A55"/>
    <w:rsid w:val="00974109"/>
    <w:rsid w:val="009748E8"/>
    <w:rsid w:val="0097697F"/>
    <w:rsid w:val="0097775B"/>
    <w:rsid w:val="00977761"/>
    <w:rsid w:val="00977D0A"/>
    <w:rsid w:val="00977F70"/>
    <w:rsid w:val="009836F9"/>
    <w:rsid w:val="00985407"/>
    <w:rsid w:val="00990123"/>
    <w:rsid w:val="00993011"/>
    <w:rsid w:val="00993F22"/>
    <w:rsid w:val="009A0DE7"/>
    <w:rsid w:val="009A3F88"/>
    <w:rsid w:val="009A57DD"/>
    <w:rsid w:val="009A66AA"/>
    <w:rsid w:val="009A7B72"/>
    <w:rsid w:val="009A7D4B"/>
    <w:rsid w:val="009B0819"/>
    <w:rsid w:val="009B1230"/>
    <w:rsid w:val="009B13BB"/>
    <w:rsid w:val="009B2A82"/>
    <w:rsid w:val="009B31FE"/>
    <w:rsid w:val="009B3CF0"/>
    <w:rsid w:val="009B4EC7"/>
    <w:rsid w:val="009B772D"/>
    <w:rsid w:val="009B77C8"/>
    <w:rsid w:val="009C5FC9"/>
    <w:rsid w:val="009C6C70"/>
    <w:rsid w:val="009D1963"/>
    <w:rsid w:val="009D45B3"/>
    <w:rsid w:val="009D4BF1"/>
    <w:rsid w:val="009D6CD2"/>
    <w:rsid w:val="009D7C7E"/>
    <w:rsid w:val="009D7DC3"/>
    <w:rsid w:val="009D7F75"/>
    <w:rsid w:val="009E0AC6"/>
    <w:rsid w:val="009E2690"/>
    <w:rsid w:val="009E28E1"/>
    <w:rsid w:val="009E2D80"/>
    <w:rsid w:val="009E3027"/>
    <w:rsid w:val="009E3B82"/>
    <w:rsid w:val="009E5052"/>
    <w:rsid w:val="009E5AC3"/>
    <w:rsid w:val="009E6313"/>
    <w:rsid w:val="009E7447"/>
    <w:rsid w:val="009F133B"/>
    <w:rsid w:val="009F3861"/>
    <w:rsid w:val="009F4B89"/>
    <w:rsid w:val="009F508D"/>
    <w:rsid w:val="00A00D51"/>
    <w:rsid w:val="00A0114C"/>
    <w:rsid w:val="00A01428"/>
    <w:rsid w:val="00A016FD"/>
    <w:rsid w:val="00A043EC"/>
    <w:rsid w:val="00A05BA1"/>
    <w:rsid w:val="00A064B9"/>
    <w:rsid w:val="00A06615"/>
    <w:rsid w:val="00A1044E"/>
    <w:rsid w:val="00A111BE"/>
    <w:rsid w:val="00A13749"/>
    <w:rsid w:val="00A14B13"/>
    <w:rsid w:val="00A159E8"/>
    <w:rsid w:val="00A15E02"/>
    <w:rsid w:val="00A17DFE"/>
    <w:rsid w:val="00A21052"/>
    <w:rsid w:val="00A227CB"/>
    <w:rsid w:val="00A22D36"/>
    <w:rsid w:val="00A25D91"/>
    <w:rsid w:val="00A26733"/>
    <w:rsid w:val="00A26A61"/>
    <w:rsid w:val="00A27233"/>
    <w:rsid w:val="00A310CF"/>
    <w:rsid w:val="00A3196D"/>
    <w:rsid w:val="00A3342E"/>
    <w:rsid w:val="00A34148"/>
    <w:rsid w:val="00A35A99"/>
    <w:rsid w:val="00A35DDF"/>
    <w:rsid w:val="00A364B8"/>
    <w:rsid w:val="00A430CD"/>
    <w:rsid w:val="00A43D39"/>
    <w:rsid w:val="00A4653E"/>
    <w:rsid w:val="00A46802"/>
    <w:rsid w:val="00A477DA"/>
    <w:rsid w:val="00A4787D"/>
    <w:rsid w:val="00A47DC9"/>
    <w:rsid w:val="00A50618"/>
    <w:rsid w:val="00A519CC"/>
    <w:rsid w:val="00A548BB"/>
    <w:rsid w:val="00A556D2"/>
    <w:rsid w:val="00A56ECE"/>
    <w:rsid w:val="00A61DD2"/>
    <w:rsid w:val="00A62501"/>
    <w:rsid w:val="00A63EBE"/>
    <w:rsid w:val="00A6477D"/>
    <w:rsid w:val="00A66BDB"/>
    <w:rsid w:val="00A71DD0"/>
    <w:rsid w:val="00A7345F"/>
    <w:rsid w:val="00A74A69"/>
    <w:rsid w:val="00A760F1"/>
    <w:rsid w:val="00A76A66"/>
    <w:rsid w:val="00A80474"/>
    <w:rsid w:val="00A807EA"/>
    <w:rsid w:val="00A82B69"/>
    <w:rsid w:val="00A860DA"/>
    <w:rsid w:val="00A863DA"/>
    <w:rsid w:val="00A867E6"/>
    <w:rsid w:val="00A91D47"/>
    <w:rsid w:val="00A92676"/>
    <w:rsid w:val="00A92A43"/>
    <w:rsid w:val="00A94260"/>
    <w:rsid w:val="00A944F4"/>
    <w:rsid w:val="00A960D8"/>
    <w:rsid w:val="00AA1528"/>
    <w:rsid w:val="00AA42BC"/>
    <w:rsid w:val="00AA4435"/>
    <w:rsid w:val="00AA484B"/>
    <w:rsid w:val="00AA64FB"/>
    <w:rsid w:val="00AB0A52"/>
    <w:rsid w:val="00AB0C45"/>
    <w:rsid w:val="00AB108D"/>
    <w:rsid w:val="00AB1AFE"/>
    <w:rsid w:val="00AB2C50"/>
    <w:rsid w:val="00AB5DE1"/>
    <w:rsid w:val="00AB7AF7"/>
    <w:rsid w:val="00AC0E25"/>
    <w:rsid w:val="00AC22B0"/>
    <w:rsid w:val="00AC4658"/>
    <w:rsid w:val="00AC4743"/>
    <w:rsid w:val="00AC4A40"/>
    <w:rsid w:val="00AC4CA5"/>
    <w:rsid w:val="00AC5758"/>
    <w:rsid w:val="00AC6110"/>
    <w:rsid w:val="00AC6254"/>
    <w:rsid w:val="00AC6F61"/>
    <w:rsid w:val="00AC7801"/>
    <w:rsid w:val="00AD07F2"/>
    <w:rsid w:val="00AD2C04"/>
    <w:rsid w:val="00AD4CAB"/>
    <w:rsid w:val="00AD4CDA"/>
    <w:rsid w:val="00AD546F"/>
    <w:rsid w:val="00AD5498"/>
    <w:rsid w:val="00AD5B92"/>
    <w:rsid w:val="00AD663F"/>
    <w:rsid w:val="00AD7476"/>
    <w:rsid w:val="00AD7704"/>
    <w:rsid w:val="00AE0136"/>
    <w:rsid w:val="00AE1BE0"/>
    <w:rsid w:val="00AE1BEB"/>
    <w:rsid w:val="00AE29CA"/>
    <w:rsid w:val="00AE2F6F"/>
    <w:rsid w:val="00AE3AE5"/>
    <w:rsid w:val="00AE5175"/>
    <w:rsid w:val="00AE6E01"/>
    <w:rsid w:val="00AE7943"/>
    <w:rsid w:val="00AF0946"/>
    <w:rsid w:val="00AF1B23"/>
    <w:rsid w:val="00AF227C"/>
    <w:rsid w:val="00AF2AA2"/>
    <w:rsid w:val="00AF4053"/>
    <w:rsid w:val="00AF48F9"/>
    <w:rsid w:val="00AF58D9"/>
    <w:rsid w:val="00AF5CDA"/>
    <w:rsid w:val="00AF6F2C"/>
    <w:rsid w:val="00AF780A"/>
    <w:rsid w:val="00B02BC7"/>
    <w:rsid w:val="00B03157"/>
    <w:rsid w:val="00B0416C"/>
    <w:rsid w:val="00B042A0"/>
    <w:rsid w:val="00B0578A"/>
    <w:rsid w:val="00B0648E"/>
    <w:rsid w:val="00B103D5"/>
    <w:rsid w:val="00B125A8"/>
    <w:rsid w:val="00B12BD6"/>
    <w:rsid w:val="00B13AC3"/>
    <w:rsid w:val="00B14AC6"/>
    <w:rsid w:val="00B15379"/>
    <w:rsid w:val="00B1662E"/>
    <w:rsid w:val="00B16B86"/>
    <w:rsid w:val="00B20A1E"/>
    <w:rsid w:val="00B20B03"/>
    <w:rsid w:val="00B25B74"/>
    <w:rsid w:val="00B265BF"/>
    <w:rsid w:val="00B27264"/>
    <w:rsid w:val="00B30B2A"/>
    <w:rsid w:val="00B30D07"/>
    <w:rsid w:val="00B31157"/>
    <w:rsid w:val="00B3116D"/>
    <w:rsid w:val="00B332FC"/>
    <w:rsid w:val="00B33A5D"/>
    <w:rsid w:val="00B36583"/>
    <w:rsid w:val="00B417EE"/>
    <w:rsid w:val="00B41B8A"/>
    <w:rsid w:val="00B43451"/>
    <w:rsid w:val="00B4446D"/>
    <w:rsid w:val="00B46E1F"/>
    <w:rsid w:val="00B50F7D"/>
    <w:rsid w:val="00B52B8A"/>
    <w:rsid w:val="00B561F9"/>
    <w:rsid w:val="00B57547"/>
    <w:rsid w:val="00B57EC4"/>
    <w:rsid w:val="00B606C3"/>
    <w:rsid w:val="00B60742"/>
    <w:rsid w:val="00B61FDA"/>
    <w:rsid w:val="00B62E2E"/>
    <w:rsid w:val="00B65640"/>
    <w:rsid w:val="00B67856"/>
    <w:rsid w:val="00B67E46"/>
    <w:rsid w:val="00B70C84"/>
    <w:rsid w:val="00B77A50"/>
    <w:rsid w:val="00B8071B"/>
    <w:rsid w:val="00B808EE"/>
    <w:rsid w:val="00B80DA1"/>
    <w:rsid w:val="00B81498"/>
    <w:rsid w:val="00B81AF2"/>
    <w:rsid w:val="00B82BEA"/>
    <w:rsid w:val="00B85DBE"/>
    <w:rsid w:val="00B91096"/>
    <w:rsid w:val="00B91419"/>
    <w:rsid w:val="00B91C23"/>
    <w:rsid w:val="00B92D87"/>
    <w:rsid w:val="00B93381"/>
    <w:rsid w:val="00B935E7"/>
    <w:rsid w:val="00B9655B"/>
    <w:rsid w:val="00B965E3"/>
    <w:rsid w:val="00B96FD6"/>
    <w:rsid w:val="00B97382"/>
    <w:rsid w:val="00B97B89"/>
    <w:rsid w:val="00B97F0C"/>
    <w:rsid w:val="00BA0179"/>
    <w:rsid w:val="00BA2CFA"/>
    <w:rsid w:val="00BA354E"/>
    <w:rsid w:val="00BA3D9F"/>
    <w:rsid w:val="00BA4419"/>
    <w:rsid w:val="00BA48D6"/>
    <w:rsid w:val="00BA7254"/>
    <w:rsid w:val="00BA75B1"/>
    <w:rsid w:val="00BB1C7F"/>
    <w:rsid w:val="00BB4C7A"/>
    <w:rsid w:val="00BB54EA"/>
    <w:rsid w:val="00BB650D"/>
    <w:rsid w:val="00BB672D"/>
    <w:rsid w:val="00BB6FC6"/>
    <w:rsid w:val="00BB75F3"/>
    <w:rsid w:val="00BC012A"/>
    <w:rsid w:val="00BC0C67"/>
    <w:rsid w:val="00BC2DAE"/>
    <w:rsid w:val="00BC3F9C"/>
    <w:rsid w:val="00BC6F77"/>
    <w:rsid w:val="00BC7297"/>
    <w:rsid w:val="00BC7CB4"/>
    <w:rsid w:val="00BD0828"/>
    <w:rsid w:val="00BD286A"/>
    <w:rsid w:val="00BD66B1"/>
    <w:rsid w:val="00BD6BDC"/>
    <w:rsid w:val="00BE0C4E"/>
    <w:rsid w:val="00BE2A2E"/>
    <w:rsid w:val="00BE3AC5"/>
    <w:rsid w:val="00BE5741"/>
    <w:rsid w:val="00BE69B9"/>
    <w:rsid w:val="00BF072A"/>
    <w:rsid w:val="00BF0782"/>
    <w:rsid w:val="00BF092A"/>
    <w:rsid w:val="00BF139F"/>
    <w:rsid w:val="00BF178B"/>
    <w:rsid w:val="00BF1EBA"/>
    <w:rsid w:val="00BF27F5"/>
    <w:rsid w:val="00BF47BD"/>
    <w:rsid w:val="00BF548C"/>
    <w:rsid w:val="00BF7714"/>
    <w:rsid w:val="00C00FE4"/>
    <w:rsid w:val="00C04DBE"/>
    <w:rsid w:val="00C123A3"/>
    <w:rsid w:val="00C1355C"/>
    <w:rsid w:val="00C160F9"/>
    <w:rsid w:val="00C16291"/>
    <w:rsid w:val="00C16593"/>
    <w:rsid w:val="00C168E0"/>
    <w:rsid w:val="00C171B9"/>
    <w:rsid w:val="00C21871"/>
    <w:rsid w:val="00C21CEE"/>
    <w:rsid w:val="00C228A9"/>
    <w:rsid w:val="00C22A8C"/>
    <w:rsid w:val="00C252B9"/>
    <w:rsid w:val="00C26F66"/>
    <w:rsid w:val="00C334F1"/>
    <w:rsid w:val="00C33658"/>
    <w:rsid w:val="00C34719"/>
    <w:rsid w:val="00C35A21"/>
    <w:rsid w:val="00C367B0"/>
    <w:rsid w:val="00C37242"/>
    <w:rsid w:val="00C37352"/>
    <w:rsid w:val="00C4172D"/>
    <w:rsid w:val="00C4231C"/>
    <w:rsid w:val="00C452FF"/>
    <w:rsid w:val="00C512AB"/>
    <w:rsid w:val="00C546C5"/>
    <w:rsid w:val="00C54838"/>
    <w:rsid w:val="00C56C76"/>
    <w:rsid w:val="00C57347"/>
    <w:rsid w:val="00C57C82"/>
    <w:rsid w:val="00C605D8"/>
    <w:rsid w:val="00C62B8F"/>
    <w:rsid w:val="00C63C2C"/>
    <w:rsid w:val="00C658CD"/>
    <w:rsid w:val="00C66BAE"/>
    <w:rsid w:val="00C7016D"/>
    <w:rsid w:val="00C72970"/>
    <w:rsid w:val="00C72F8C"/>
    <w:rsid w:val="00C74988"/>
    <w:rsid w:val="00C8193A"/>
    <w:rsid w:val="00C84C2B"/>
    <w:rsid w:val="00C853D1"/>
    <w:rsid w:val="00C85A96"/>
    <w:rsid w:val="00C85E95"/>
    <w:rsid w:val="00C8701A"/>
    <w:rsid w:val="00C93E0A"/>
    <w:rsid w:val="00C95160"/>
    <w:rsid w:val="00C959DE"/>
    <w:rsid w:val="00CA0C1D"/>
    <w:rsid w:val="00CA19AC"/>
    <w:rsid w:val="00CA23C9"/>
    <w:rsid w:val="00CA2F03"/>
    <w:rsid w:val="00CA2F84"/>
    <w:rsid w:val="00CA5C1A"/>
    <w:rsid w:val="00CB02CF"/>
    <w:rsid w:val="00CB04B0"/>
    <w:rsid w:val="00CB233C"/>
    <w:rsid w:val="00CB2768"/>
    <w:rsid w:val="00CB2B7B"/>
    <w:rsid w:val="00CB46FB"/>
    <w:rsid w:val="00CB49F7"/>
    <w:rsid w:val="00CB5A9E"/>
    <w:rsid w:val="00CC12D9"/>
    <w:rsid w:val="00CC2EBD"/>
    <w:rsid w:val="00CC3A1E"/>
    <w:rsid w:val="00CC43DE"/>
    <w:rsid w:val="00CC5561"/>
    <w:rsid w:val="00CC708F"/>
    <w:rsid w:val="00CC7111"/>
    <w:rsid w:val="00CC7EAC"/>
    <w:rsid w:val="00CD183A"/>
    <w:rsid w:val="00CD1955"/>
    <w:rsid w:val="00CD573E"/>
    <w:rsid w:val="00CE02AD"/>
    <w:rsid w:val="00CE3D3B"/>
    <w:rsid w:val="00CE599E"/>
    <w:rsid w:val="00CE7899"/>
    <w:rsid w:val="00CF19A5"/>
    <w:rsid w:val="00CF1FCE"/>
    <w:rsid w:val="00CF2E37"/>
    <w:rsid w:val="00CF33F8"/>
    <w:rsid w:val="00CF38E2"/>
    <w:rsid w:val="00CF4782"/>
    <w:rsid w:val="00CF5199"/>
    <w:rsid w:val="00CF55C6"/>
    <w:rsid w:val="00CF7911"/>
    <w:rsid w:val="00D02413"/>
    <w:rsid w:val="00D03386"/>
    <w:rsid w:val="00D03748"/>
    <w:rsid w:val="00D04493"/>
    <w:rsid w:val="00D05D3F"/>
    <w:rsid w:val="00D05EFC"/>
    <w:rsid w:val="00D060B7"/>
    <w:rsid w:val="00D069DF"/>
    <w:rsid w:val="00D101F8"/>
    <w:rsid w:val="00D104DB"/>
    <w:rsid w:val="00D10ABA"/>
    <w:rsid w:val="00D10BBE"/>
    <w:rsid w:val="00D10C13"/>
    <w:rsid w:val="00D10F38"/>
    <w:rsid w:val="00D114F9"/>
    <w:rsid w:val="00D11E84"/>
    <w:rsid w:val="00D121F9"/>
    <w:rsid w:val="00D124D8"/>
    <w:rsid w:val="00D15032"/>
    <w:rsid w:val="00D16932"/>
    <w:rsid w:val="00D16C0D"/>
    <w:rsid w:val="00D174CB"/>
    <w:rsid w:val="00D204EE"/>
    <w:rsid w:val="00D228A2"/>
    <w:rsid w:val="00D237F3"/>
    <w:rsid w:val="00D2535A"/>
    <w:rsid w:val="00D25F37"/>
    <w:rsid w:val="00D265B4"/>
    <w:rsid w:val="00D3492E"/>
    <w:rsid w:val="00D34952"/>
    <w:rsid w:val="00D349C8"/>
    <w:rsid w:val="00D35E46"/>
    <w:rsid w:val="00D373AF"/>
    <w:rsid w:val="00D40EB5"/>
    <w:rsid w:val="00D41407"/>
    <w:rsid w:val="00D41618"/>
    <w:rsid w:val="00D4183F"/>
    <w:rsid w:val="00D4246E"/>
    <w:rsid w:val="00D4661B"/>
    <w:rsid w:val="00D5012F"/>
    <w:rsid w:val="00D51B7F"/>
    <w:rsid w:val="00D53A0C"/>
    <w:rsid w:val="00D53F42"/>
    <w:rsid w:val="00D55164"/>
    <w:rsid w:val="00D553B2"/>
    <w:rsid w:val="00D5686A"/>
    <w:rsid w:val="00D603BF"/>
    <w:rsid w:val="00D615CC"/>
    <w:rsid w:val="00D61621"/>
    <w:rsid w:val="00D618FA"/>
    <w:rsid w:val="00D62C6E"/>
    <w:rsid w:val="00D6394A"/>
    <w:rsid w:val="00D6407D"/>
    <w:rsid w:val="00D70292"/>
    <w:rsid w:val="00D733EF"/>
    <w:rsid w:val="00D752D2"/>
    <w:rsid w:val="00D76161"/>
    <w:rsid w:val="00D76975"/>
    <w:rsid w:val="00D76B66"/>
    <w:rsid w:val="00D772C9"/>
    <w:rsid w:val="00D77542"/>
    <w:rsid w:val="00D77DD2"/>
    <w:rsid w:val="00D800E6"/>
    <w:rsid w:val="00D80410"/>
    <w:rsid w:val="00D81405"/>
    <w:rsid w:val="00D8155A"/>
    <w:rsid w:val="00D83931"/>
    <w:rsid w:val="00D87BE5"/>
    <w:rsid w:val="00D90E06"/>
    <w:rsid w:val="00D91B5E"/>
    <w:rsid w:val="00D92BAB"/>
    <w:rsid w:val="00D93EFD"/>
    <w:rsid w:val="00D94C0C"/>
    <w:rsid w:val="00D96276"/>
    <w:rsid w:val="00DA1CFD"/>
    <w:rsid w:val="00DA2072"/>
    <w:rsid w:val="00DA3046"/>
    <w:rsid w:val="00DA3751"/>
    <w:rsid w:val="00DA51BB"/>
    <w:rsid w:val="00DA69DD"/>
    <w:rsid w:val="00DA7965"/>
    <w:rsid w:val="00DB10DD"/>
    <w:rsid w:val="00DB2022"/>
    <w:rsid w:val="00DB268E"/>
    <w:rsid w:val="00DB57EF"/>
    <w:rsid w:val="00DB5BD8"/>
    <w:rsid w:val="00DB5D3F"/>
    <w:rsid w:val="00DB6863"/>
    <w:rsid w:val="00DB6B10"/>
    <w:rsid w:val="00DB6D27"/>
    <w:rsid w:val="00DC0C01"/>
    <w:rsid w:val="00DC165A"/>
    <w:rsid w:val="00DC41D9"/>
    <w:rsid w:val="00DC5A36"/>
    <w:rsid w:val="00DC6387"/>
    <w:rsid w:val="00DD06F5"/>
    <w:rsid w:val="00DD0F84"/>
    <w:rsid w:val="00DD116F"/>
    <w:rsid w:val="00DD2536"/>
    <w:rsid w:val="00DD2558"/>
    <w:rsid w:val="00DD2C50"/>
    <w:rsid w:val="00DD4130"/>
    <w:rsid w:val="00DD5573"/>
    <w:rsid w:val="00DD6442"/>
    <w:rsid w:val="00DE054D"/>
    <w:rsid w:val="00DE0A05"/>
    <w:rsid w:val="00DE1184"/>
    <w:rsid w:val="00DE3979"/>
    <w:rsid w:val="00DE6290"/>
    <w:rsid w:val="00DE6FC4"/>
    <w:rsid w:val="00DF2DD7"/>
    <w:rsid w:val="00DF38FA"/>
    <w:rsid w:val="00DF5230"/>
    <w:rsid w:val="00DF5442"/>
    <w:rsid w:val="00DF63B1"/>
    <w:rsid w:val="00DF68C5"/>
    <w:rsid w:val="00E00B9A"/>
    <w:rsid w:val="00E00CF7"/>
    <w:rsid w:val="00E010F7"/>
    <w:rsid w:val="00E01CD2"/>
    <w:rsid w:val="00E0369E"/>
    <w:rsid w:val="00E04D30"/>
    <w:rsid w:val="00E0587E"/>
    <w:rsid w:val="00E06552"/>
    <w:rsid w:val="00E1396C"/>
    <w:rsid w:val="00E13EC0"/>
    <w:rsid w:val="00E1527B"/>
    <w:rsid w:val="00E160CE"/>
    <w:rsid w:val="00E2326A"/>
    <w:rsid w:val="00E240BC"/>
    <w:rsid w:val="00E26019"/>
    <w:rsid w:val="00E26F13"/>
    <w:rsid w:val="00E278F2"/>
    <w:rsid w:val="00E30E7E"/>
    <w:rsid w:val="00E317EA"/>
    <w:rsid w:val="00E32D11"/>
    <w:rsid w:val="00E33E03"/>
    <w:rsid w:val="00E35618"/>
    <w:rsid w:val="00E369D3"/>
    <w:rsid w:val="00E36C81"/>
    <w:rsid w:val="00E378A7"/>
    <w:rsid w:val="00E41E5D"/>
    <w:rsid w:val="00E443C0"/>
    <w:rsid w:val="00E45048"/>
    <w:rsid w:val="00E45953"/>
    <w:rsid w:val="00E45CED"/>
    <w:rsid w:val="00E46DA8"/>
    <w:rsid w:val="00E535F3"/>
    <w:rsid w:val="00E5473E"/>
    <w:rsid w:val="00E61E5E"/>
    <w:rsid w:val="00E6219E"/>
    <w:rsid w:val="00E638A0"/>
    <w:rsid w:val="00E6532D"/>
    <w:rsid w:val="00E663DA"/>
    <w:rsid w:val="00E67ED5"/>
    <w:rsid w:val="00E70AF2"/>
    <w:rsid w:val="00E71AF0"/>
    <w:rsid w:val="00E723EA"/>
    <w:rsid w:val="00E73817"/>
    <w:rsid w:val="00E7522F"/>
    <w:rsid w:val="00E761E2"/>
    <w:rsid w:val="00E80296"/>
    <w:rsid w:val="00E8346C"/>
    <w:rsid w:val="00E83494"/>
    <w:rsid w:val="00E90157"/>
    <w:rsid w:val="00E9186A"/>
    <w:rsid w:val="00E92B4A"/>
    <w:rsid w:val="00E93EDF"/>
    <w:rsid w:val="00E943ED"/>
    <w:rsid w:val="00E94589"/>
    <w:rsid w:val="00E95783"/>
    <w:rsid w:val="00E966F3"/>
    <w:rsid w:val="00E97929"/>
    <w:rsid w:val="00E979E3"/>
    <w:rsid w:val="00EA028E"/>
    <w:rsid w:val="00EA1004"/>
    <w:rsid w:val="00EA294B"/>
    <w:rsid w:val="00EA2CF6"/>
    <w:rsid w:val="00EA3C2A"/>
    <w:rsid w:val="00EA5447"/>
    <w:rsid w:val="00EA6090"/>
    <w:rsid w:val="00EB0056"/>
    <w:rsid w:val="00EB051B"/>
    <w:rsid w:val="00EB0AEA"/>
    <w:rsid w:val="00EB1203"/>
    <w:rsid w:val="00EB1E57"/>
    <w:rsid w:val="00EB43DB"/>
    <w:rsid w:val="00EB44D8"/>
    <w:rsid w:val="00EB4A38"/>
    <w:rsid w:val="00EC01B9"/>
    <w:rsid w:val="00EC023F"/>
    <w:rsid w:val="00EC13C0"/>
    <w:rsid w:val="00EC1572"/>
    <w:rsid w:val="00EC287A"/>
    <w:rsid w:val="00EC3958"/>
    <w:rsid w:val="00EC4F07"/>
    <w:rsid w:val="00ED23EB"/>
    <w:rsid w:val="00ED2BAD"/>
    <w:rsid w:val="00ED2FAF"/>
    <w:rsid w:val="00ED3E43"/>
    <w:rsid w:val="00ED4E54"/>
    <w:rsid w:val="00ED641B"/>
    <w:rsid w:val="00EE23E5"/>
    <w:rsid w:val="00EE2645"/>
    <w:rsid w:val="00EE53C5"/>
    <w:rsid w:val="00EE5741"/>
    <w:rsid w:val="00EE6F35"/>
    <w:rsid w:val="00EF0402"/>
    <w:rsid w:val="00EF0D39"/>
    <w:rsid w:val="00EF6024"/>
    <w:rsid w:val="00EF639E"/>
    <w:rsid w:val="00F02093"/>
    <w:rsid w:val="00F03666"/>
    <w:rsid w:val="00F05DDC"/>
    <w:rsid w:val="00F060A2"/>
    <w:rsid w:val="00F07E7D"/>
    <w:rsid w:val="00F121AE"/>
    <w:rsid w:val="00F12290"/>
    <w:rsid w:val="00F12BA1"/>
    <w:rsid w:val="00F14F9C"/>
    <w:rsid w:val="00F16265"/>
    <w:rsid w:val="00F20BC2"/>
    <w:rsid w:val="00F21183"/>
    <w:rsid w:val="00F21344"/>
    <w:rsid w:val="00F216D8"/>
    <w:rsid w:val="00F245ED"/>
    <w:rsid w:val="00F27A89"/>
    <w:rsid w:val="00F27B5E"/>
    <w:rsid w:val="00F30CF8"/>
    <w:rsid w:val="00F345E8"/>
    <w:rsid w:val="00F35A10"/>
    <w:rsid w:val="00F4029B"/>
    <w:rsid w:val="00F433A5"/>
    <w:rsid w:val="00F44120"/>
    <w:rsid w:val="00F447A5"/>
    <w:rsid w:val="00F469B8"/>
    <w:rsid w:val="00F46F91"/>
    <w:rsid w:val="00F516F1"/>
    <w:rsid w:val="00F5217D"/>
    <w:rsid w:val="00F53A86"/>
    <w:rsid w:val="00F54246"/>
    <w:rsid w:val="00F5482F"/>
    <w:rsid w:val="00F560A6"/>
    <w:rsid w:val="00F561D0"/>
    <w:rsid w:val="00F566B5"/>
    <w:rsid w:val="00F60A4F"/>
    <w:rsid w:val="00F60DAF"/>
    <w:rsid w:val="00F60E48"/>
    <w:rsid w:val="00F643C0"/>
    <w:rsid w:val="00F65A81"/>
    <w:rsid w:val="00F67D7C"/>
    <w:rsid w:val="00F72E4B"/>
    <w:rsid w:val="00F731F4"/>
    <w:rsid w:val="00F7369F"/>
    <w:rsid w:val="00F75808"/>
    <w:rsid w:val="00F75EA5"/>
    <w:rsid w:val="00F762D3"/>
    <w:rsid w:val="00F7685F"/>
    <w:rsid w:val="00F76BA8"/>
    <w:rsid w:val="00F815F6"/>
    <w:rsid w:val="00F81A9B"/>
    <w:rsid w:val="00F821C8"/>
    <w:rsid w:val="00F8282B"/>
    <w:rsid w:val="00F90C85"/>
    <w:rsid w:val="00F91BA3"/>
    <w:rsid w:val="00F92095"/>
    <w:rsid w:val="00F926A0"/>
    <w:rsid w:val="00F92C0B"/>
    <w:rsid w:val="00F95B32"/>
    <w:rsid w:val="00F968B0"/>
    <w:rsid w:val="00F97B1C"/>
    <w:rsid w:val="00FA1312"/>
    <w:rsid w:val="00FA25ED"/>
    <w:rsid w:val="00FA3952"/>
    <w:rsid w:val="00FA48BE"/>
    <w:rsid w:val="00FA5759"/>
    <w:rsid w:val="00FA5B12"/>
    <w:rsid w:val="00FA66DC"/>
    <w:rsid w:val="00FA7127"/>
    <w:rsid w:val="00FA7B77"/>
    <w:rsid w:val="00FB23D9"/>
    <w:rsid w:val="00FB4748"/>
    <w:rsid w:val="00FB5C57"/>
    <w:rsid w:val="00FC1636"/>
    <w:rsid w:val="00FC20CC"/>
    <w:rsid w:val="00FC2E0B"/>
    <w:rsid w:val="00FC32EE"/>
    <w:rsid w:val="00FC4CB0"/>
    <w:rsid w:val="00FC6454"/>
    <w:rsid w:val="00FC6B3E"/>
    <w:rsid w:val="00FD12D2"/>
    <w:rsid w:val="00FD1A44"/>
    <w:rsid w:val="00FD5415"/>
    <w:rsid w:val="00FD6AB5"/>
    <w:rsid w:val="00FD7134"/>
    <w:rsid w:val="00FE3038"/>
    <w:rsid w:val="00FE3840"/>
    <w:rsid w:val="00FE53F2"/>
    <w:rsid w:val="00FE53FE"/>
    <w:rsid w:val="00FE5BF6"/>
    <w:rsid w:val="00FE5E84"/>
    <w:rsid w:val="00FE6DE2"/>
    <w:rsid w:val="00FE7059"/>
    <w:rsid w:val="00FE7575"/>
    <w:rsid w:val="00FF2C3D"/>
    <w:rsid w:val="00FF5AAB"/>
    <w:rsid w:val="00FF69DD"/>
    <w:rsid w:val="00FF69E9"/>
  </w:rsids>
  <m:mathPr>
    <m:mathFont m:val="Cambria Math"/>
    <m:brkBin m:val="before"/>
    <m:brkBinSub m:val="--"/>
    <m:smallFrac m:val="0"/>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shapeDefaults>
    <o:shapedefaults v:ext="edit" spidmax="2052"/>
    <o:shapelayout v:ext="edit">
      <o:idmap v:ext="edit" data="1"/>
    </o:shapelayout>
  </w:shapeDefaults>
  <w:decimalSymbol w:val="."/>
  <w:listSeparator w:val=","/>
  <w14:docId w14:val="7C2629B6"/>
  <w15:chartTrackingRefBased/>
  <w15:docId w15:val="{0A316C4A-FF48-42EC-8E76-82DC897B7A3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s-MX"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qFormat="1"/>
    <w:lsdException w:name="FollowedHyperlink" w:semiHidden="1" w:unhideWhenUsed="1"/>
    <w:lsdException w:name="Strong" w:uiPriority="22" w:qFormat="1"/>
    <w:lsdException w:name="Emphasis" w:uiPriority="2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9447A9"/>
    <w:pPr>
      <w:jc w:val="both"/>
    </w:pPr>
    <w:rPr>
      <w:rFonts w:ascii="Palatino Linotype" w:hAnsi="Palatino Linotype"/>
      <w:color w:val="000000" w:themeColor="text1"/>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C853D1"/>
    <w:pPr>
      <w:tabs>
        <w:tab w:val="center" w:pos="4419"/>
        <w:tab w:val="right" w:pos="8838"/>
      </w:tabs>
      <w:spacing w:after="0" w:line="240" w:lineRule="auto"/>
    </w:pPr>
  </w:style>
  <w:style w:type="character" w:customStyle="1" w:styleId="EncabezadoCar">
    <w:name w:val="Encabezado Car"/>
    <w:basedOn w:val="Fuentedeprrafopredeter"/>
    <w:link w:val="Encabezado"/>
    <w:uiPriority w:val="99"/>
    <w:rsid w:val="00C853D1"/>
    <w:rPr>
      <w:rFonts w:ascii="Palatino Linotype" w:hAnsi="Palatino Linotype"/>
      <w:color w:val="000000" w:themeColor="text1"/>
    </w:rPr>
  </w:style>
  <w:style w:type="paragraph" w:styleId="Piedepgina">
    <w:name w:val="footer"/>
    <w:basedOn w:val="Normal"/>
    <w:link w:val="PiedepginaCar"/>
    <w:uiPriority w:val="99"/>
    <w:unhideWhenUsed/>
    <w:rsid w:val="00C853D1"/>
    <w:pPr>
      <w:tabs>
        <w:tab w:val="center" w:pos="4419"/>
        <w:tab w:val="right" w:pos="8838"/>
      </w:tabs>
      <w:spacing w:after="0" w:line="240" w:lineRule="auto"/>
    </w:pPr>
  </w:style>
  <w:style w:type="character" w:customStyle="1" w:styleId="PiedepginaCar">
    <w:name w:val="Pie de página Car"/>
    <w:basedOn w:val="Fuentedeprrafopredeter"/>
    <w:link w:val="Piedepgina"/>
    <w:uiPriority w:val="99"/>
    <w:rsid w:val="00C853D1"/>
    <w:rPr>
      <w:rFonts w:ascii="Palatino Linotype" w:hAnsi="Palatino Linotype"/>
      <w:color w:val="000000" w:themeColor="text1"/>
    </w:rPr>
  </w:style>
  <w:style w:type="table" w:styleId="Tablaconcuadrcula">
    <w:name w:val="Table Grid"/>
    <w:basedOn w:val="Tablanormal"/>
    <w:uiPriority w:val="39"/>
    <w:rsid w:val="00C853D1"/>
    <w:pPr>
      <w:spacing w:after="0" w:line="240" w:lineRule="auto"/>
    </w:pPr>
    <w:rPr>
      <w:lang w:val="es-E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ipervnculo">
    <w:name w:val="Hyperlink"/>
    <w:aliases w:val="Hipervínculo1,Hipervínculo11,Hipervínculo12,Hipervínculo13,Hipervínculo14,Hipervínculo15"/>
    <w:basedOn w:val="Fuentedeprrafopredeter"/>
    <w:uiPriority w:val="99"/>
    <w:unhideWhenUsed/>
    <w:qFormat/>
    <w:rsid w:val="00C853D1"/>
    <w:rPr>
      <w:color w:val="0563C1" w:themeColor="hyperlink"/>
      <w:u w:val="single"/>
    </w:rPr>
  </w:style>
  <w:style w:type="character" w:customStyle="1" w:styleId="PrrafodelistaCar">
    <w:name w:val="Párrafo de lista Car"/>
    <w:aliases w:val="lp1 Car,List Paragraph1 Car,Lista de nivel 1 Car,4 Párrafo de lista Car,Figuras Car,Dot pt Car,No Spacing1 Car,List Paragraph Char Char Char Car,Indicator Text Car,Numbered Para 1 Car,DH1 Car,Listas Car,Light Grid - Accent 31 Car"/>
    <w:basedOn w:val="Fuentedeprrafopredeter"/>
    <w:link w:val="Prrafodelista"/>
    <w:uiPriority w:val="34"/>
    <w:qFormat/>
    <w:locked/>
    <w:rsid w:val="00D5686A"/>
    <w:rPr>
      <w:rFonts w:ascii="Palatino Linotype" w:eastAsia="Times New Roman" w:hAnsi="Palatino Linotype" w:cs="Times New Roman"/>
      <w:color w:val="000000" w:themeColor="text1"/>
      <w:szCs w:val="24"/>
      <w:lang w:eastAsia="es-ES"/>
    </w:rPr>
  </w:style>
  <w:style w:type="paragraph" w:styleId="Prrafodelista">
    <w:name w:val="List Paragraph"/>
    <w:aliases w:val="lp1,List Paragraph1,Lista de nivel 1,4 Párrafo de lista,Figuras,Dot pt,No Spacing1,List Paragraph Char Char Char,Indicator Text,Numbered Para 1,DH1,Listas,Light Grid - Accent 31,Colorful List - Accent 11,Bullet 1,F5 List Paragraph,5.9.1"/>
    <w:basedOn w:val="Normal"/>
    <w:link w:val="PrrafodelistaCar"/>
    <w:uiPriority w:val="34"/>
    <w:qFormat/>
    <w:rsid w:val="00D5686A"/>
    <w:pPr>
      <w:spacing w:after="0" w:line="240" w:lineRule="auto"/>
      <w:ind w:left="720"/>
      <w:contextualSpacing/>
    </w:pPr>
    <w:rPr>
      <w:rFonts w:eastAsia="Times New Roman" w:cs="Times New Roman"/>
      <w:szCs w:val="24"/>
      <w:lang w:eastAsia="es-ES"/>
    </w:rPr>
  </w:style>
  <w:style w:type="character" w:customStyle="1" w:styleId="Mencinsinresolver1">
    <w:name w:val="Mención sin resolver1"/>
    <w:basedOn w:val="Fuentedeprrafopredeter"/>
    <w:uiPriority w:val="99"/>
    <w:semiHidden/>
    <w:unhideWhenUsed/>
    <w:rsid w:val="0079077D"/>
    <w:rPr>
      <w:color w:val="605E5C"/>
      <w:shd w:val="clear" w:color="auto" w:fill="E1DFDD"/>
    </w:rPr>
  </w:style>
  <w:style w:type="character" w:styleId="Hipervnculovisitado">
    <w:name w:val="FollowedHyperlink"/>
    <w:basedOn w:val="Fuentedeprrafopredeter"/>
    <w:uiPriority w:val="99"/>
    <w:semiHidden/>
    <w:unhideWhenUsed/>
    <w:rsid w:val="00B85DBE"/>
    <w:rPr>
      <w:color w:val="954F72" w:themeColor="followedHyperlink"/>
      <w:u w:val="single"/>
    </w:rPr>
  </w:style>
  <w:style w:type="character" w:customStyle="1" w:styleId="dp6">
    <w:name w:val="dp6"/>
    <w:basedOn w:val="Fuentedeprrafopredeter"/>
    <w:rsid w:val="00491C3E"/>
  </w:style>
  <w:style w:type="paragraph" w:styleId="Textosinformato">
    <w:name w:val="Plain Text"/>
    <w:basedOn w:val="Normal"/>
    <w:link w:val="TextosinformatoCar"/>
    <w:rsid w:val="00273E3B"/>
    <w:pPr>
      <w:spacing w:after="0" w:line="240" w:lineRule="auto"/>
      <w:jc w:val="left"/>
    </w:pPr>
    <w:rPr>
      <w:rFonts w:ascii="Courier New" w:eastAsia="Times New Roman" w:hAnsi="Courier New" w:cs="Times New Roman"/>
      <w:color w:val="auto"/>
      <w:sz w:val="20"/>
      <w:szCs w:val="20"/>
      <w:lang w:val="x-none" w:eastAsia="es-ES"/>
    </w:rPr>
  </w:style>
  <w:style w:type="character" w:customStyle="1" w:styleId="TextosinformatoCar">
    <w:name w:val="Texto sin formato Car"/>
    <w:basedOn w:val="Fuentedeprrafopredeter"/>
    <w:link w:val="Textosinformato"/>
    <w:rsid w:val="00273E3B"/>
    <w:rPr>
      <w:rFonts w:ascii="Courier New" w:eastAsia="Times New Roman" w:hAnsi="Courier New" w:cs="Times New Roman"/>
      <w:sz w:val="20"/>
      <w:szCs w:val="20"/>
      <w:lang w:val="x-none" w:eastAsia="es-ES"/>
    </w:rPr>
  </w:style>
  <w:style w:type="paragraph" w:customStyle="1" w:styleId="Texto">
    <w:name w:val="Texto"/>
    <w:basedOn w:val="Normal"/>
    <w:link w:val="TextoCar"/>
    <w:rsid w:val="00273E3B"/>
    <w:pPr>
      <w:spacing w:after="101" w:line="216" w:lineRule="exact"/>
      <w:ind w:firstLine="288"/>
    </w:pPr>
    <w:rPr>
      <w:rFonts w:ascii="Arial" w:eastAsia="Times New Roman" w:hAnsi="Arial" w:cs="Times New Roman"/>
      <w:color w:val="auto"/>
      <w:sz w:val="18"/>
      <w:szCs w:val="18"/>
      <w:lang w:val="es-ES" w:eastAsia="es-ES"/>
    </w:rPr>
  </w:style>
  <w:style w:type="character" w:customStyle="1" w:styleId="TextoCar">
    <w:name w:val="Texto Car"/>
    <w:link w:val="Texto"/>
    <w:locked/>
    <w:rsid w:val="00273E3B"/>
    <w:rPr>
      <w:rFonts w:ascii="Arial" w:eastAsia="Times New Roman" w:hAnsi="Arial" w:cs="Times New Roman"/>
      <w:sz w:val="18"/>
      <w:szCs w:val="18"/>
      <w:lang w:val="es-ES" w:eastAsia="es-ES"/>
    </w:rPr>
  </w:style>
  <w:style w:type="character" w:customStyle="1" w:styleId="markedcontent">
    <w:name w:val="markedcontent"/>
    <w:basedOn w:val="Fuentedeprrafopredeter"/>
    <w:rsid w:val="003C470A"/>
  </w:style>
  <w:style w:type="paragraph" w:styleId="NormalWeb">
    <w:name w:val="Normal (Web)"/>
    <w:basedOn w:val="Normal"/>
    <w:uiPriority w:val="99"/>
    <w:semiHidden/>
    <w:unhideWhenUsed/>
    <w:rsid w:val="00682222"/>
    <w:pPr>
      <w:spacing w:before="100" w:beforeAutospacing="1" w:after="100" w:afterAutospacing="1" w:line="240" w:lineRule="auto"/>
      <w:jc w:val="left"/>
    </w:pPr>
    <w:rPr>
      <w:rFonts w:ascii="Times New Roman" w:eastAsia="Times New Roman" w:hAnsi="Times New Roman" w:cs="Times New Roman"/>
      <w:color w:val="auto"/>
      <w:sz w:val="24"/>
      <w:szCs w:val="24"/>
      <w:lang w:eastAsia="es-ES_tradnl"/>
    </w:rPr>
  </w:style>
  <w:style w:type="character" w:customStyle="1" w:styleId="apple-converted-space">
    <w:name w:val="apple-converted-space"/>
    <w:basedOn w:val="Fuentedeprrafopredeter"/>
    <w:rsid w:val="00682222"/>
  </w:style>
  <w:style w:type="character" w:customStyle="1" w:styleId="normaltextrun">
    <w:name w:val="normaltextrun"/>
    <w:basedOn w:val="Fuentedeprrafopredeter"/>
    <w:rsid w:val="00B80DA1"/>
  </w:style>
  <w:style w:type="paragraph" w:customStyle="1" w:styleId="paragraph">
    <w:name w:val="paragraph"/>
    <w:basedOn w:val="Normal"/>
    <w:rsid w:val="00B80DA1"/>
    <w:pPr>
      <w:spacing w:before="100" w:beforeAutospacing="1" w:after="100" w:afterAutospacing="1" w:line="240" w:lineRule="auto"/>
      <w:jc w:val="left"/>
    </w:pPr>
    <w:rPr>
      <w:rFonts w:ascii="Times New Roman" w:eastAsia="Times New Roman" w:hAnsi="Times New Roman" w:cs="Times New Roman"/>
      <w:color w:val="auto"/>
      <w:sz w:val="24"/>
      <w:szCs w:val="24"/>
      <w:lang w:val="en-US"/>
    </w:rPr>
  </w:style>
  <w:style w:type="character" w:customStyle="1" w:styleId="eop">
    <w:name w:val="eop"/>
    <w:basedOn w:val="Fuentedeprrafopredeter"/>
    <w:rsid w:val="00B80DA1"/>
  </w:style>
  <w:style w:type="paragraph" w:customStyle="1" w:styleId="Pa4">
    <w:name w:val="Pa4"/>
    <w:basedOn w:val="Normal"/>
    <w:next w:val="Normal"/>
    <w:uiPriority w:val="99"/>
    <w:rsid w:val="00CE02AD"/>
    <w:pPr>
      <w:autoSpaceDE w:val="0"/>
      <w:autoSpaceDN w:val="0"/>
      <w:adjustRightInd w:val="0"/>
      <w:spacing w:after="0" w:line="241" w:lineRule="atLeast"/>
      <w:jc w:val="left"/>
    </w:pPr>
    <w:rPr>
      <w:rFonts w:ascii="Arial" w:eastAsia="Palatino Linotype" w:hAnsi="Arial" w:cs="Arial"/>
      <w:color w:val="auto"/>
      <w:sz w:val="24"/>
      <w:szCs w:val="24"/>
      <w:lang w:eastAsia="es-MX"/>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26568172">
      <w:bodyDiv w:val="1"/>
      <w:marLeft w:val="0"/>
      <w:marRight w:val="0"/>
      <w:marTop w:val="0"/>
      <w:marBottom w:val="0"/>
      <w:divBdr>
        <w:top w:val="none" w:sz="0" w:space="0" w:color="auto"/>
        <w:left w:val="none" w:sz="0" w:space="0" w:color="auto"/>
        <w:bottom w:val="none" w:sz="0" w:space="0" w:color="auto"/>
        <w:right w:val="none" w:sz="0" w:space="0" w:color="auto"/>
      </w:divBdr>
    </w:div>
    <w:div w:id="249659322">
      <w:bodyDiv w:val="1"/>
      <w:marLeft w:val="0"/>
      <w:marRight w:val="0"/>
      <w:marTop w:val="0"/>
      <w:marBottom w:val="0"/>
      <w:divBdr>
        <w:top w:val="none" w:sz="0" w:space="0" w:color="auto"/>
        <w:left w:val="none" w:sz="0" w:space="0" w:color="auto"/>
        <w:bottom w:val="none" w:sz="0" w:space="0" w:color="auto"/>
        <w:right w:val="none" w:sz="0" w:space="0" w:color="auto"/>
      </w:divBdr>
    </w:div>
    <w:div w:id="348070104">
      <w:bodyDiv w:val="1"/>
      <w:marLeft w:val="0"/>
      <w:marRight w:val="0"/>
      <w:marTop w:val="0"/>
      <w:marBottom w:val="0"/>
      <w:divBdr>
        <w:top w:val="none" w:sz="0" w:space="0" w:color="auto"/>
        <w:left w:val="none" w:sz="0" w:space="0" w:color="auto"/>
        <w:bottom w:val="none" w:sz="0" w:space="0" w:color="auto"/>
        <w:right w:val="none" w:sz="0" w:space="0" w:color="auto"/>
      </w:divBdr>
    </w:div>
    <w:div w:id="387798768">
      <w:bodyDiv w:val="1"/>
      <w:marLeft w:val="0"/>
      <w:marRight w:val="0"/>
      <w:marTop w:val="0"/>
      <w:marBottom w:val="0"/>
      <w:divBdr>
        <w:top w:val="none" w:sz="0" w:space="0" w:color="auto"/>
        <w:left w:val="none" w:sz="0" w:space="0" w:color="auto"/>
        <w:bottom w:val="none" w:sz="0" w:space="0" w:color="auto"/>
        <w:right w:val="none" w:sz="0" w:space="0" w:color="auto"/>
      </w:divBdr>
    </w:div>
    <w:div w:id="436490073">
      <w:bodyDiv w:val="1"/>
      <w:marLeft w:val="0"/>
      <w:marRight w:val="0"/>
      <w:marTop w:val="0"/>
      <w:marBottom w:val="0"/>
      <w:divBdr>
        <w:top w:val="none" w:sz="0" w:space="0" w:color="auto"/>
        <w:left w:val="none" w:sz="0" w:space="0" w:color="auto"/>
        <w:bottom w:val="none" w:sz="0" w:space="0" w:color="auto"/>
        <w:right w:val="none" w:sz="0" w:space="0" w:color="auto"/>
      </w:divBdr>
    </w:div>
    <w:div w:id="478352140">
      <w:bodyDiv w:val="1"/>
      <w:marLeft w:val="0"/>
      <w:marRight w:val="0"/>
      <w:marTop w:val="0"/>
      <w:marBottom w:val="0"/>
      <w:divBdr>
        <w:top w:val="none" w:sz="0" w:space="0" w:color="auto"/>
        <w:left w:val="none" w:sz="0" w:space="0" w:color="auto"/>
        <w:bottom w:val="none" w:sz="0" w:space="0" w:color="auto"/>
        <w:right w:val="none" w:sz="0" w:space="0" w:color="auto"/>
      </w:divBdr>
    </w:div>
    <w:div w:id="486434366">
      <w:bodyDiv w:val="1"/>
      <w:marLeft w:val="0"/>
      <w:marRight w:val="0"/>
      <w:marTop w:val="0"/>
      <w:marBottom w:val="0"/>
      <w:divBdr>
        <w:top w:val="none" w:sz="0" w:space="0" w:color="auto"/>
        <w:left w:val="none" w:sz="0" w:space="0" w:color="auto"/>
        <w:bottom w:val="none" w:sz="0" w:space="0" w:color="auto"/>
        <w:right w:val="none" w:sz="0" w:space="0" w:color="auto"/>
      </w:divBdr>
    </w:div>
    <w:div w:id="560484147">
      <w:bodyDiv w:val="1"/>
      <w:marLeft w:val="0"/>
      <w:marRight w:val="0"/>
      <w:marTop w:val="0"/>
      <w:marBottom w:val="0"/>
      <w:divBdr>
        <w:top w:val="none" w:sz="0" w:space="0" w:color="auto"/>
        <w:left w:val="none" w:sz="0" w:space="0" w:color="auto"/>
        <w:bottom w:val="none" w:sz="0" w:space="0" w:color="auto"/>
        <w:right w:val="none" w:sz="0" w:space="0" w:color="auto"/>
      </w:divBdr>
    </w:div>
    <w:div w:id="587034009">
      <w:bodyDiv w:val="1"/>
      <w:marLeft w:val="0"/>
      <w:marRight w:val="0"/>
      <w:marTop w:val="0"/>
      <w:marBottom w:val="0"/>
      <w:divBdr>
        <w:top w:val="none" w:sz="0" w:space="0" w:color="auto"/>
        <w:left w:val="none" w:sz="0" w:space="0" w:color="auto"/>
        <w:bottom w:val="none" w:sz="0" w:space="0" w:color="auto"/>
        <w:right w:val="none" w:sz="0" w:space="0" w:color="auto"/>
      </w:divBdr>
    </w:div>
    <w:div w:id="612901374">
      <w:bodyDiv w:val="1"/>
      <w:marLeft w:val="0"/>
      <w:marRight w:val="0"/>
      <w:marTop w:val="0"/>
      <w:marBottom w:val="0"/>
      <w:divBdr>
        <w:top w:val="none" w:sz="0" w:space="0" w:color="auto"/>
        <w:left w:val="none" w:sz="0" w:space="0" w:color="auto"/>
        <w:bottom w:val="none" w:sz="0" w:space="0" w:color="auto"/>
        <w:right w:val="none" w:sz="0" w:space="0" w:color="auto"/>
      </w:divBdr>
      <w:divsChild>
        <w:div w:id="773287151">
          <w:marLeft w:val="0"/>
          <w:marRight w:val="0"/>
          <w:marTop w:val="0"/>
          <w:marBottom w:val="0"/>
          <w:divBdr>
            <w:top w:val="none" w:sz="0" w:space="0" w:color="auto"/>
            <w:left w:val="none" w:sz="0" w:space="0" w:color="auto"/>
            <w:bottom w:val="none" w:sz="0" w:space="0" w:color="auto"/>
            <w:right w:val="none" w:sz="0" w:space="0" w:color="auto"/>
          </w:divBdr>
          <w:divsChild>
            <w:div w:id="1658723871">
              <w:marLeft w:val="0"/>
              <w:marRight w:val="0"/>
              <w:marTop w:val="0"/>
              <w:marBottom w:val="0"/>
              <w:divBdr>
                <w:top w:val="none" w:sz="0" w:space="0" w:color="auto"/>
                <w:left w:val="none" w:sz="0" w:space="0" w:color="auto"/>
                <w:bottom w:val="none" w:sz="0" w:space="0" w:color="auto"/>
                <w:right w:val="none" w:sz="0" w:space="0" w:color="auto"/>
              </w:divBdr>
              <w:divsChild>
                <w:div w:id="133371374">
                  <w:marLeft w:val="0"/>
                  <w:marRight w:val="0"/>
                  <w:marTop w:val="0"/>
                  <w:marBottom w:val="0"/>
                  <w:divBdr>
                    <w:top w:val="none" w:sz="0" w:space="0" w:color="auto"/>
                    <w:left w:val="none" w:sz="0" w:space="0" w:color="auto"/>
                    <w:bottom w:val="none" w:sz="0" w:space="0" w:color="auto"/>
                    <w:right w:val="none" w:sz="0" w:space="0" w:color="auto"/>
                  </w:divBdr>
                  <w:divsChild>
                    <w:div w:id="166612983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646251358">
      <w:bodyDiv w:val="1"/>
      <w:marLeft w:val="0"/>
      <w:marRight w:val="0"/>
      <w:marTop w:val="0"/>
      <w:marBottom w:val="0"/>
      <w:divBdr>
        <w:top w:val="none" w:sz="0" w:space="0" w:color="auto"/>
        <w:left w:val="none" w:sz="0" w:space="0" w:color="auto"/>
        <w:bottom w:val="none" w:sz="0" w:space="0" w:color="auto"/>
        <w:right w:val="none" w:sz="0" w:space="0" w:color="auto"/>
      </w:divBdr>
    </w:div>
    <w:div w:id="651984546">
      <w:bodyDiv w:val="1"/>
      <w:marLeft w:val="0"/>
      <w:marRight w:val="0"/>
      <w:marTop w:val="0"/>
      <w:marBottom w:val="0"/>
      <w:divBdr>
        <w:top w:val="none" w:sz="0" w:space="0" w:color="auto"/>
        <w:left w:val="none" w:sz="0" w:space="0" w:color="auto"/>
        <w:bottom w:val="none" w:sz="0" w:space="0" w:color="auto"/>
        <w:right w:val="none" w:sz="0" w:space="0" w:color="auto"/>
      </w:divBdr>
    </w:div>
    <w:div w:id="707268195">
      <w:bodyDiv w:val="1"/>
      <w:marLeft w:val="0"/>
      <w:marRight w:val="0"/>
      <w:marTop w:val="0"/>
      <w:marBottom w:val="0"/>
      <w:divBdr>
        <w:top w:val="none" w:sz="0" w:space="0" w:color="auto"/>
        <w:left w:val="none" w:sz="0" w:space="0" w:color="auto"/>
        <w:bottom w:val="none" w:sz="0" w:space="0" w:color="auto"/>
        <w:right w:val="none" w:sz="0" w:space="0" w:color="auto"/>
      </w:divBdr>
    </w:div>
    <w:div w:id="776094971">
      <w:bodyDiv w:val="1"/>
      <w:marLeft w:val="0"/>
      <w:marRight w:val="0"/>
      <w:marTop w:val="0"/>
      <w:marBottom w:val="0"/>
      <w:divBdr>
        <w:top w:val="none" w:sz="0" w:space="0" w:color="auto"/>
        <w:left w:val="none" w:sz="0" w:space="0" w:color="auto"/>
        <w:bottom w:val="none" w:sz="0" w:space="0" w:color="auto"/>
        <w:right w:val="none" w:sz="0" w:space="0" w:color="auto"/>
      </w:divBdr>
      <w:divsChild>
        <w:div w:id="1471750448">
          <w:marLeft w:val="0"/>
          <w:marRight w:val="0"/>
          <w:marTop w:val="0"/>
          <w:marBottom w:val="0"/>
          <w:divBdr>
            <w:top w:val="none" w:sz="0" w:space="0" w:color="auto"/>
            <w:left w:val="none" w:sz="0" w:space="0" w:color="auto"/>
            <w:bottom w:val="none" w:sz="0" w:space="0" w:color="auto"/>
            <w:right w:val="none" w:sz="0" w:space="0" w:color="auto"/>
          </w:divBdr>
          <w:divsChild>
            <w:div w:id="2054648796">
              <w:marLeft w:val="0"/>
              <w:marRight w:val="0"/>
              <w:marTop w:val="0"/>
              <w:marBottom w:val="0"/>
              <w:divBdr>
                <w:top w:val="none" w:sz="0" w:space="0" w:color="auto"/>
                <w:left w:val="none" w:sz="0" w:space="0" w:color="auto"/>
                <w:bottom w:val="none" w:sz="0" w:space="0" w:color="auto"/>
                <w:right w:val="none" w:sz="0" w:space="0" w:color="auto"/>
              </w:divBdr>
              <w:divsChild>
                <w:div w:id="49846703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51720267">
      <w:bodyDiv w:val="1"/>
      <w:marLeft w:val="0"/>
      <w:marRight w:val="0"/>
      <w:marTop w:val="0"/>
      <w:marBottom w:val="0"/>
      <w:divBdr>
        <w:top w:val="none" w:sz="0" w:space="0" w:color="auto"/>
        <w:left w:val="none" w:sz="0" w:space="0" w:color="auto"/>
        <w:bottom w:val="none" w:sz="0" w:space="0" w:color="auto"/>
        <w:right w:val="none" w:sz="0" w:space="0" w:color="auto"/>
      </w:divBdr>
    </w:div>
    <w:div w:id="877543821">
      <w:bodyDiv w:val="1"/>
      <w:marLeft w:val="0"/>
      <w:marRight w:val="0"/>
      <w:marTop w:val="0"/>
      <w:marBottom w:val="0"/>
      <w:divBdr>
        <w:top w:val="none" w:sz="0" w:space="0" w:color="auto"/>
        <w:left w:val="none" w:sz="0" w:space="0" w:color="auto"/>
        <w:bottom w:val="none" w:sz="0" w:space="0" w:color="auto"/>
        <w:right w:val="none" w:sz="0" w:space="0" w:color="auto"/>
      </w:divBdr>
    </w:div>
    <w:div w:id="1021199529">
      <w:bodyDiv w:val="1"/>
      <w:marLeft w:val="0"/>
      <w:marRight w:val="0"/>
      <w:marTop w:val="0"/>
      <w:marBottom w:val="0"/>
      <w:divBdr>
        <w:top w:val="none" w:sz="0" w:space="0" w:color="auto"/>
        <w:left w:val="none" w:sz="0" w:space="0" w:color="auto"/>
        <w:bottom w:val="none" w:sz="0" w:space="0" w:color="auto"/>
        <w:right w:val="none" w:sz="0" w:space="0" w:color="auto"/>
      </w:divBdr>
    </w:div>
    <w:div w:id="1103497493">
      <w:bodyDiv w:val="1"/>
      <w:marLeft w:val="0"/>
      <w:marRight w:val="0"/>
      <w:marTop w:val="0"/>
      <w:marBottom w:val="0"/>
      <w:divBdr>
        <w:top w:val="none" w:sz="0" w:space="0" w:color="auto"/>
        <w:left w:val="none" w:sz="0" w:space="0" w:color="auto"/>
        <w:bottom w:val="none" w:sz="0" w:space="0" w:color="auto"/>
        <w:right w:val="none" w:sz="0" w:space="0" w:color="auto"/>
      </w:divBdr>
    </w:div>
    <w:div w:id="1189871938">
      <w:bodyDiv w:val="1"/>
      <w:marLeft w:val="0"/>
      <w:marRight w:val="0"/>
      <w:marTop w:val="0"/>
      <w:marBottom w:val="0"/>
      <w:divBdr>
        <w:top w:val="none" w:sz="0" w:space="0" w:color="auto"/>
        <w:left w:val="none" w:sz="0" w:space="0" w:color="auto"/>
        <w:bottom w:val="none" w:sz="0" w:space="0" w:color="auto"/>
        <w:right w:val="none" w:sz="0" w:space="0" w:color="auto"/>
      </w:divBdr>
    </w:div>
    <w:div w:id="1240023026">
      <w:bodyDiv w:val="1"/>
      <w:marLeft w:val="0"/>
      <w:marRight w:val="0"/>
      <w:marTop w:val="0"/>
      <w:marBottom w:val="0"/>
      <w:divBdr>
        <w:top w:val="none" w:sz="0" w:space="0" w:color="auto"/>
        <w:left w:val="none" w:sz="0" w:space="0" w:color="auto"/>
        <w:bottom w:val="none" w:sz="0" w:space="0" w:color="auto"/>
        <w:right w:val="none" w:sz="0" w:space="0" w:color="auto"/>
      </w:divBdr>
      <w:divsChild>
        <w:div w:id="2006083033">
          <w:marLeft w:val="0"/>
          <w:marRight w:val="0"/>
          <w:marTop w:val="0"/>
          <w:marBottom w:val="0"/>
          <w:divBdr>
            <w:top w:val="none" w:sz="0" w:space="0" w:color="auto"/>
            <w:left w:val="none" w:sz="0" w:space="0" w:color="auto"/>
            <w:bottom w:val="none" w:sz="0" w:space="0" w:color="auto"/>
            <w:right w:val="none" w:sz="0" w:space="0" w:color="auto"/>
          </w:divBdr>
          <w:divsChild>
            <w:div w:id="2093238247">
              <w:marLeft w:val="0"/>
              <w:marRight w:val="0"/>
              <w:marTop w:val="0"/>
              <w:marBottom w:val="0"/>
              <w:divBdr>
                <w:top w:val="none" w:sz="0" w:space="0" w:color="auto"/>
                <w:left w:val="none" w:sz="0" w:space="0" w:color="auto"/>
                <w:bottom w:val="none" w:sz="0" w:space="0" w:color="auto"/>
                <w:right w:val="none" w:sz="0" w:space="0" w:color="auto"/>
              </w:divBdr>
              <w:divsChild>
                <w:div w:id="11153656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58171421">
      <w:bodyDiv w:val="1"/>
      <w:marLeft w:val="0"/>
      <w:marRight w:val="0"/>
      <w:marTop w:val="0"/>
      <w:marBottom w:val="0"/>
      <w:divBdr>
        <w:top w:val="none" w:sz="0" w:space="0" w:color="auto"/>
        <w:left w:val="none" w:sz="0" w:space="0" w:color="auto"/>
        <w:bottom w:val="none" w:sz="0" w:space="0" w:color="auto"/>
        <w:right w:val="none" w:sz="0" w:space="0" w:color="auto"/>
      </w:divBdr>
    </w:div>
    <w:div w:id="1291522044">
      <w:bodyDiv w:val="1"/>
      <w:marLeft w:val="0"/>
      <w:marRight w:val="0"/>
      <w:marTop w:val="0"/>
      <w:marBottom w:val="0"/>
      <w:divBdr>
        <w:top w:val="none" w:sz="0" w:space="0" w:color="auto"/>
        <w:left w:val="none" w:sz="0" w:space="0" w:color="auto"/>
        <w:bottom w:val="none" w:sz="0" w:space="0" w:color="auto"/>
        <w:right w:val="none" w:sz="0" w:space="0" w:color="auto"/>
      </w:divBdr>
    </w:div>
    <w:div w:id="1331253806">
      <w:bodyDiv w:val="1"/>
      <w:marLeft w:val="0"/>
      <w:marRight w:val="0"/>
      <w:marTop w:val="0"/>
      <w:marBottom w:val="0"/>
      <w:divBdr>
        <w:top w:val="none" w:sz="0" w:space="0" w:color="auto"/>
        <w:left w:val="none" w:sz="0" w:space="0" w:color="auto"/>
        <w:bottom w:val="none" w:sz="0" w:space="0" w:color="auto"/>
        <w:right w:val="none" w:sz="0" w:space="0" w:color="auto"/>
      </w:divBdr>
    </w:div>
    <w:div w:id="1357347579">
      <w:bodyDiv w:val="1"/>
      <w:marLeft w:val="0"/>
      <w:marRight w:val="0"/>
      <w:marTop w:val="0"/>
      <w:marBottom w:val="0"/>
      <w:divBdr>
        <w:top w:val="none" w:sz="0" w:space="0" w:color="auto"/>
        <w:left w:val="none" w:sz="0" w:space="0" w:color="auto"/>
        <w:bottom w:val="none" w:sz="0" w:space="0" w:color="auto"/>
        <w:right w:val="none" w:sz="0" w:space="0" w:color="auto"/>
      </w:divBdr>
    </w:div>
    <w:div w:id="1418478395">
      <w:bodyDiv w:val="1"/>
      <w:marLeft w:val="0"/>
      <w:marRight w:val="0"/>
      <w:marTop w:val="0"/>
      <w:marBottom w:val="0"/>
      <w:divBdr>
        <w:top w:val="none" w:sz="0" w:space="0" w:color="auto"/>
        <w:left w:val="none" w:sz="0" w:space="0" w:color="auto"/>
        <w:bottom w:val="none" w:sz="0" w:space="0" w:color="auto"/>
        <w:right w:val="none" w:sz="0" w:space="0" w:color="auto"/>
      </w:divBdr>
    </w:div>
    <w:div w:id="1891377070">
      <w:bodyDiv w:val="1"/>
      <w:marLeft w:val="0"/>
      <w:marRight w:val="0"/>
      <w:marTop w:val="0"/>
      <w:marBottom w:val="0"/>
      <w:divBdr>
        <w:top w:val="none" w:sz="0" w:space="0" w:color="auto"/>
        <w:left w:val="none" w:sz="0" w:space="0" w:color="auto"/>
        <w:bottom w:val="none" w:sz="0" w:space="0" w:color="auto"/>
        <w:right w:val="none" w:sz="0" w:space="0" w:color="auto"/>
      </w:divBdr>
    </w:div>
    <w:div w:id="1902251316">
      <w:bodyDiv w:val="1"/>
      <w:marLeft w:val="0"/>
      <w:marRight w:val="0"/>
      <w:marTop w:val="0"/>
      <w:marBottom w:val="0"/>
      <w:divBdr>
        <w:top w:val="none" w:sz="0" w:space="0" w:color="auto"/>
        <w:left w:val="none" w:sz="0" w:space="0" w:color="auto"/>
        <w:bottom w:val="none" w:sz="0" w:space="0" w:color="auto"/>
        <w:right w:val="none" w:sz="0" w:space="0" w:color="auto"/>
      </w:divBdr>
    </w:div>
    <w:div w:id="1912080368">
      <w:bodyDiv w:val="1"/>
      <w:marLeft w:val="0"/>
      <w:marRight w:val="0"/>
      <w:marTop w:val="0"/>
      <w:marBottom w:val="0"/>
      <w:divBdr>
        <w:top w:val="none" w:sz="0" w:space="0" w:color="auto"/>
        <w:left w:val="none" w:sz="0" w:space="0" w:color="auto"/>
        <w:bottom w:val="none" w:sz="0" w:space="0" w:color="auto"/>
        <w:right w:val="none" w:sz="0" w:space="0" w:color="auto"/>
      </w:divBdr>
    </w:div>
    <w:div w:id="2006394338">
      <w:bodyDiv w:val="1"/>
      <w:marLeft w:val="0"/>
      <w:marRight w:val="0"/>
      <w:marTop w:val="0"/>
      <w:marBottom w:val="0"/>
      <w:divBdr>
        <w:top w:val="none" w:sz="0" w:space="0" w:color="auto"/>
        <w:left w:val="none" w:sz="0" w:space="0" w:color="auto"/>
        <w:bottom w:val="none" w:sz="0" w:space="0" w:color="auto"/>
        <w:right w:val="none" w:sz="0" w:space="0" w:color="auto"/>
      </w:divBdr>
    </w:div>
    <w:div w:id="210187142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header" Target="header2.xml"/><Relationship Id="rId1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1.xml"/><Relationship Id="rId17" Type="http://schemas.openxmlformats.org/officeDocument/2006/relationships/footer" Target="footer3.xml"/><Relationship Id="rId2" Type="http://schemas.openxmlformats.org/officeDocument/2006/relationships/numbering" Target="numbering.xml"/><Relationship Id="rId16" Type="http://schemas.openxmlformats.org/officeDocument/2006/relationships/header" Target="header3.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4.png"/><Relationship Id="rId5" Type="http://schemas.openxmlformats.org/officeDocument/2006/relationships/webSettings" Target="webSettings.xml"/><Relationship Id="rId15" Type="http://schemas.openxmlformats.org/officeDocument/2006/relationships/footer" Target="footer2.xml"/><Relationship Id="rId10" Type="http://schemas.openxmlformats.org/officeDocument/2006/relationships/image" Target="media/image3.png"/><Relationship Id="rId19"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image" Target="media/image2.png"/><Relationship Id="rId14" Type="http://schemas.openxmlformats.org/officeDocument/2006/relationships/footer" Target="footer1.xml"/></Relationships>
</file>

<file path=word/_rels/header1.xml.rels><?xml version="1.0" encoding="UTF-8" standalone="yes"?>
<Relationships xmlns="http://schemas.openxmlformats.org/package/2006/relationships"><Relationship Id="rId1" Type="http://schemas.openxmlformats.org/officeDocument/2006/relationships/image" Target="media/image5.jpeg"/></Relationships>
</file>

<file path=word/_rels/header2.xml.rels><?xml version="1.0" encoding="UTF-8" standalone="yes"?>
<Relationships xmlns="http://schemas.openxmlformats.org/package/2006/relationships"><Relationship Id="rId1" Type="http://schemas.openxmlformats.org/officeDocument/2006/relationships/image" Target="media/image5.jpeg"/></Relationships>
</file>

<file path=word/_rels/header3.xml.rels><?xml version="1.0" encoding="UTF-8" standalone="yes"?>
<Relationships xmlns="http://schemas.openxmlformats.org/package/2006/relationships"><Relationship Id="rId1" Type="http://schemas.openxmlformats.org/officeDocument/2006/relationships/image" Target="media/image5.jpe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DB4BA611-0E0E-4F1D-9D3E-7AEDF5BCC2E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TotalTime>
  <Pages>18</Pages>
  <Words>4237</Words>
  <Characters>23304</Characters>
  <Application>Microsoft Office Word</Application>
  <DocSecurity>0</DocSecurity>
  <Lines>194</Lines>
  <Paragraphs>54</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27487</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oswaldo</dc:creator>
  <cp:keywords/>
  <dc:description/>
  <cp:lastModifiedBy>INFOEM415</cp:lastModifiedBy>
  <cp:revision>5</cp:revision>
  <cp:lastPrinted>2024-11-05T23:11:00Z</cp:lastPrinted>
  <dcterms:created xsi:type="dcterms:W3CDTF">2024-11-05T23:11:00Z</dcterms:created>
  <dcterms:modified xsi:type="dcterms:W3CDTF">2025-02-07T18:27:00Z</dcterms:modified>
</cp:coreProperties>
</file>