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b w:val="1"/>
          <w:sz w:val="22"/>
          <w:szCs w:val="22"/>
          <w:rtl w:val="0"/>
        </w:rPr>
        <w:t xml:space="preserve">veintiuno de noviembre de dos mil veinticuatro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sz w:val="22"/>
          <w:szCs w:val="22"/>
          <w:rtl w:val="0"/>
        </w:rPr>
        <w:t xml:space="preserve">06474/INFOEM/IP/RR/2024</w:t>
      </w:r>
      <w:r w:rsidDel="00000000" w:rsidR="00000000" w:rsidRPr="00000000">
        <w:rPr>
          <w:rFonts w:ascii="Palatino Linotype" w:cs="Palatino Linotype" w:eastAsia="Palatino Linotype" w:hAnsi="Palatino Linotype"/>
          <w:sz w:val="22"/>
          <w:szCs w:val="22"/>
          <w:rtl w:val="0"/>
        </w:rPr>
        <w:t xml:space="preserve">, interpuesto por</w:t>
      </w:r>
      <w:r w:rsidDel="00000000" w:rsidR="00000000" w:rsidRPr="00000000">
        <w:rPr>
          <w:rFonts w:ascii="Palatino Linotype" w:cs="Palatino Linotype" w:eastAsia="Palatino Linotype" w:hAnsi="Palatino Linotype"/>
          <w:b w:val="1"/>
          <w:sz w:val="22"/>
          <w:szCs w:val="22"/>
          <w:rtl w:val="0"/>
        </w:rPr>
        <w:t xml:space="preserve"> un particular que no proporcionó nombre o seudónimo,</w:t>
      </w:r>
      <w:r w:rsidDel="00000000" w:rsidR="00000000" w:rsidRPr="00000000">
        <w:rPr>
          <w:rFonts w:ascii="Palatino Linotype" w:cs="Palatino Linotype" w:eastAsia="Palatino Linotype" w:hAnsi="Palatino Linotype"/>
          <w:sz w:val="22"/>
          <w:szCs w:val="22"/>
          <w:rtl w:val="0"/>
        </w:rPr>
        <w:t xml:space="preserve"> en lo sucesivo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su solicitud por parte del</w:t>
      </w:r>
      <w:r w:rsidDel="00000000" w:rsidR="00000000" w:rsidRPr="00000000">
        <w:rPr>
          <w:rFonts w:ascii="Palatino Linotype" w:cs="Palatino Linotype" w:eastAsia="Palatino Linotype" w:hAnsi="Palatino Linotype"/>
          <w:b w:val="1"/>
          <w:sz w:val="22"/>
          <w:szCs w:val="22"/>
          <w:rtl w:val="0"/>
        </w:rPr>
        <w:t xml:space="preserve"> Consejería Jurídica,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siete de octubre de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dos mil veinticuatro,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sz w:val="22"/>
          <w:szCs w:val="22"/>
          <w:rtl w:val="0"/>
        </w:rPr>
        <w:t xml:space="preserve"> 00230/CJ/IP/2024, </w:t>
      </w:r>
      <w:r w:rsidDel="00000000" w:rsidR="00000000" w:rsidRPr="00000000">
        <w:rPr>
          <w:rFonts w:ascii="Palatino Linotype" w:cs="Palatino Linotype" w:eastAsia="Palatino Linotype" w:hAnsi="Palatino Linotype"/>
          <w:sz w:val="22"/>
          <w:szCs w:val="22"/>
          <w:rtl w:val="0"/>
        </w:rPr>
        <w:t xml:space="preserve">mediante la cual requirió la información siguiente: </w:t>
      </w:r>
      <w:r w:rsidDel="00000000" w:rsidR="00000000" w:rsidRPr="00000000">
        <w:rPr>
          <w:rtl w:val="0"/>
        </w:rPr>
      </w:r>
    </w:p>
    <w:p w:rsidR="00000000" w:rsidDel="00000000" w:rsidP="00000000" w:rsidRDefault="00000000" w:rsidRPr="00000000" w14:paraId="00000005">
      <w:pPr>
        <w:spacing w:after="240" w:before="240" w:lineRule="auto"/>
        <w:ind w:left="851" w:right="616" w:firstLine="0"/>
        <w:jc w:val="both"/>
        <w:rPr>
          <w:rFonts w:ascii="Palatino Linotype" w:cs="Palatino Linotype" w:eastAsia="Palatino Linotype" w:hAnsi="Palatino Linotype"/>
          <w:b w:val="1"/>
          <w:i w:val="1"/>
          <w:sz w:val="22"/>
          <w:szCs w:val="22"/>
        </w:rPr>
      </w:pPr>
      <w:bookmarkStart w:colFirst="0" w:colLast="0" w:name="_heading=h.gjdgxs" w:id="0"/>
      <w:bookmarkEnd w:id="0"/>
      <w:r w:rsidDel="00000000" w:rsidR="00000000" w:rsidRPr="00000000">
        <w:rPr>
          <w:rFonts w:ascii="Palatino Linotype" w:cs="Palatino Linotype" w:eastAsia="Palatino Linotype" w:hAnsi="Palatino Linotype"/>
          <w:i w:val="1"/>
          <w:sz w:val="22"/>
          <w:szCs w:val="22"/>
          <w:rtl w:val="0"/>
        </w:rPr>
        <w:t xml:space="preserve">“EL SUELDO DE LOS OFICILES DEL REGISTRO CIVIL DEL ESTADO DE MEXICO ASI COMO QUIEN LES PAGA.” (Sic) </w:t>
      </w:r>
      <w:r w:rsidDel="00000000" w:rsidR="00000000" w:rsidRPr="00000000">
        <w:rPr>
          <w:rtl w:val="0"/>
        </w:rPr>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de Entrega:</w:t>
      </w:r>
      <w:r w:rsidDel="00000000" w:rsidR="00000000" w:rsidRPr="00000000">
        <w:rPr>
          <w:rFonts w:ascii="Palatino Linotype" w:cs="Palatino Linotype" w:eastAsia="Palatino Linotype" w:hAnsi="Palatino Linotype"/>
          <w:sz w:val="22"/>
          <w:szCs w:val="22"/>
          <w:rtl w:val="0"/>
        </w:rPr>
        <w:t xml:space="preserve"> A través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tl w:val="0"/>
        </w:rPr>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sz w:val="22"/>
          <w:szCs w:val="22"/>
        </w:rPr>
      </w:pPr>
      <w:bookmarkStart w:colFirst="0" w:colLast="0" w:name="_heading=h.3dy6vkm" w:id="1"/>
      <w:bookmarkEnd w:id="1"/>
      <w:r w:rsidDel="00000000" w:rsidR="00000000" w:rsidRPr="00000000">
        <w:rPr>
          <w:rFonts w:ascii="Palatino Linotype" w:cs="Palatino Linotype" w:eastAsia="Palatino Linotype" w:hAnsi="Palatino Linotype"/>
          <w:b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dieciocho de octubre de dos mil veinticuatro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envió su respuesta a la solicitud de acceso a la información a través de SAIMEX, sustancialmente en los términos siguientes:   </w:t>
      </w:r>
    </w:p>
    <w:p w:rsidR="00000000" w:rsidDel="00000000" w:rsidP="00000000" w:rsidRDefault="00000000" w:rsidRPr="00000000" w14:paraId="00000008">
      <w:pPr>
        <w:spacing w:after="240" w:before="24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9">
      <w:pPr>
        <w:spacing w:after="240" w:before="24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que la respuesta no sea legible, favor de comunicarse al teléfono 722 213 75 11, exts: 106 y 110</w:t>
      </w:r>
    </w:p>
    <w:p w:rsidR="00000000" w:rsidDel="00000000" w:rsidP="00000000" w:rsidRDefault="00000000" w:rsidRPr="00000000" w14:paraId="0000000A">
      <w:pPr>
        <w:spacing w:after="240" w:before="24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0B">
      <w:pPr>
        <w:spacing w:after="240" w:before="24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 MARIO CARLOS CANTÚ ESPARZA” </w:t>
      </w:r>
    </w:p>
    <w:p w:rsidR="00000000" w:rsidDel="00000000" w:rsidP="00000000" w:rsidRDefault="00000000" w:rsidRPr="00000000" w14:paraId="0000000C">
      <w:pPr>
        <w:spacing w:after="240" w:before="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Archivos adjuntos: </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360" w:lineRule="auto"/>
        <w:ind w:left="1571"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RPTA.230.RC.pdf: </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571"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número 00230/CJ/IP/2024 de fecha diecisiete de octubre de dos mil veinticuatro, signado por el Titular de la Unidad de Transparencia de la Consejería Jurídica mediante el cual informó que la solicitud fue turnada a la Servidora Pública Habilitada de la Dirección General del Registro Civil, quien emite respuesta a través del oficio número 23301001ª000000/2489/2024, mismo que se adjunta al presente.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7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No omite mencionar que, los Oficiales del Registro Civil, tienen una relación laboral con el Ayuntamiento al que están adscritos, dado que son estos Sujetos Obligados quienes determinan sus emolumentos.</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571"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1701"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número 23301001ª000000/2489/2024 de fecha catorce de octubre de dos mil veinticuatro, signado por la Directora General del Registro Civil del Estado de México, mediante el cual informó que no se cuenta con el dato respecto a los sueldos de los oficiales del Registro Civil, ya que dependen administrativamente del Ayuntamiento, y por cuanto a sus funciones, atribuciones y obligaciones están adscritas al Gobierno del Estado de México, a través de la Dirección General.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360" w:lineRule="auto"/>
        <w:ind w:left="1571" w:right="616"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Lo anterior de conformidad a lo establecido en el Capítulo Cuarto de las Oficialías, artículo 16 del Reglamento Interior del Registro Civil del Estado de México. </w:t>
      </w:r>
      <w:r w:rsidDel="00000000" w:rsidR="00000000" w:rsidRPr="00000000">
        <w:rPr>
          <w:rtl w:val="0"/>
        </w:rPr>
      </w:r>
    </w:p>
    <w:p w:rsidR="00000000" w:rsidDel="00000000" w:rsidP="00000000" w:rsidRDefault="00000000" w:rsidRPr="00000000" w14:paraId="00000013">
      <w:pPr>
        <w:spacing w:after="240" w:before="240"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sz w:val="22"/>
          <w:szCs w:val="22"/>
          <w:rtl w:val="0"/>
        </w:rPr>
        <w:t xml:space="preserve"> veintiuno de octubre de dos mil veinticuatro,</w:t>
      </w:r>
      <w:r w:rsidDel="00000000" w:rsidR="00000000" w:rsidRPr="00000000">
        <w:rPr>
          <w:rFonts w:ascii="Palatino Linotype" w:cs="Palatino Linotype" w:eastAsia="Palatino Linotype" w:hAnsi="Palatino Linotype"/>
          <w:sz w:val="22"/>
          <w:szCs w:val="22"/>
          <w:rtl w:val="0"/>
        </w:rPr>
        <w:t xml:space="preserv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donde se manifestó de la siguiente manera:</w:t>
      </w:r>
      <w:r w:rsidDel="00000000" w:rsidR="00000000" w:rsidRPr="00000000">
        <w:rPr>
          <w:rtl w:val="0"/>
        </w:rPr>
      </w:r>
    </w:p>
    <w:p w:rsidR="00000000" w:rsidDel="00000000" w:rsidP="00000000" w:rsidRDefault="00000000" w:rsidRPr="00000000" w14:paraId="00000014">
      <w:pPr>
        <w:tabs>
          <w:tab w:val="left" w:leader="none" w:pos="2745"/>
        </w:tabs>
        <w:spacing w:after="240" w:before="240" w:line="276"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 Acto impugnado: </w:t>
      </w:r>
    </w:p>
    <w:p w:rsidR="00000000" w:rsidDel="00000000" w:rsidP="00000000" w:rsidRDefault="00000000" w:rsidRPr="00000000" w14:paraId="00000015">
      <w:pPr>
        <w:tabs>
          <w:tab w:val="left" w:leader="none" w:pos="2745"/>
        </w:tabs>
        <w:spacing w:after="240" w:before="240" w:line="276" w:lineRule="auto"/>
        <w:ind w:left="851" w:right="61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i w:val="1"/>
          <w:sz w:val="22"/>
          <w:szCs w:val="22"/>
          <w:rtl w:val="0"/>
        </w:rPr>
        <w:t xml:space="preserve">“no quieren mandar la informacion del sueldo que se les da a los oficialies del Registro civil a si como el recibo de nomina de ellos” (Sic)</w:t>
      </w:r>
      <w:r w:rsidDel="00000000" w:rsidR="00000000" w:rsidRPr="00000000">
        <w:rPr>
          <w:rtl w:val="0"/>
        </w:rPr>
      </w:r>
    </w:p>
    <w:p w:rsidR="00000000" w:rsidDel="00000000" w:rsidP="00000000" w:rsidRDefault="00000000" w:rsidRPr="00000000" w14:paraId="00000016">
      <w:pPr>
        <w:spacing w:line="276" w:lineRule="auto"/>
        <w:ind w:left="851" w:right="616" w:firstLine="0"/>
        <w:jc w:val="both"/>
        <w:rPr>
          <w:rFonts w:ascii="Palatino Linotype" w:cs="Palatino Linotype" w:eastAsia="Palatino Linotype" w:hAnsi="Palatino Linotype"/>
          <w:sz w:val="22"/>
          <w:szCs w:val="22"/>
        </w:rPr>
      </w:pPr>
      <w:bookmarkStart w:colFirst="0" w:colLast="0" w:name="_heading=h.30j0zll" w:id="2"/>
      <w:bookmarkEnd w:id="2"/>
      <w:r w:rsidDel="00000000" w:rsidR="00000000" w:rsidRPr="00000000">
        <w:rPr>
          <w:rFonts w:ascii="Palatino Linotype" w:cs="Palatino Linotype" w:eastAsia="Palatino Linotype" w:hAnsi="Palatino Linotype"/>
          <w:b w:val="1"/>
          <w:sz w:val="22"/>
          <w:szCs w:val="22"/>
          <w:rtl w:val="0"/>
        </w:rPr>
        <w:t xml:space="preserve">b) Razones o motivos de inconformidad</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17">
      <w:pP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no quieren mandar la informacion del sueldo que se les da a los oficialies del Registro civil a si como el recibo de nomina de ellos” (Sic)</w:t>
      </w:r>
    </w:p>
    <w:p w:rsidR="00000000" w:rsidDel="00000000" w:rsidP="00000000" w:rsidRDefault="00000000" w:rsidRPr="00000000" w14:paraId="00000019">
      <w:pPr>
        <w:spacing w:line="276" w:lineRule="auto"/>
        <w:ind w:right="90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A">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5. Admisión del Recurso de revisión.</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sz w:val="22"/>
          <w:szCs w:val="22"/>
          <w:rtl w:val="0"/>
        </w:rPr>
        <w:t xml:space="preserve"> veinticuatro de octubre de dos mil veinticuatro,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bookmarkStart w:colFirst="0" w:colLast="0" w:name="_heading=h.2s8eyo1" w:id="3"/>
      <w:bookmarkEnd w:id="3"/>
      <w:r w:rsidDel="00000000" w:rsidR="00000000" w:rsidRPr="00000000">
        <w:rPr>
          <w:rFonts w:ascii="Palatino Linotype" w:cs="Palatino Linotype" w:eastAsia="Palatino Linotype" w:hAnsi="Palatino Linotype"/>
          <w:b w:val="1"/>
          <w:sz w:val="22"/>
          <w:szCs w:val="22"/>
          <w:rtl w:val="0"/>
        </w:rPr>
        <w:t xml:space="preserve">6. Manifestaciones e Informe Justificado</w:t>
      </w:r>
      <w:r w:rsidDel="00000000" w:rsidR="00000000" w:rsidRPr="00000000">
        <w:rPr>
          <w:rFonts w:ascii="Palatino Linotype" w:cs="Palatino Linotype" w:eastAsia="Palatino Linotype" w:hAnsi="Palatino Linotype"/>
          <w:sz w:val="22"/>
          <w:szCs w:val="22"/>
          <w:rtl w:val="0"/>
        </w:rPr>
        <w:t xml:space="preserve">. De las constancias que integran el expediente en que se actúa se advierte que durante el periodo de manifestaciones el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fue omiso en remitir documento alguno, mientras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 fecha</w:t>
      </w:r>
      <w:r w:rsidDel="00000000" w:rsidR="00000000" w:rsidRPr="00000000">
        <w:rPr>
          <w:rFonts w:ascii="Palatino Linotype" w:cs="Palatino Linotype" w:eastAsia="Palatino Linotype" w:hAnsi="Palatino Linotype"/>
          <w:b w:val="1"/>
          <w:sz w:val="22"/>
          <w:szCs w:val="22"/>
          <w:rtl w:val="0"/>
        </w:rPr>
        <w:t xml:space="preserve"> treinta de octubre de dos mil veinticuatro, </w:t>
      </w:r>
      <w:r w:rsidDel="00000000" w:rsidR="00000000" w:rsidRPr="00000000">
        <w:rPr>
          <w:rFonts w:ascii="Palatino Linotype" w:cs="Palatino Linotype" w:eastAsia="Palatino Linotype" w:hAnsi="Palatino Linotype"/>
          <w:sz w:val="22"/>
          <w:szCs w:val="22"/>
          <w:rtl w:val="0"/>
        </w:rPr>
        <w:t xml:space="preserve">hizo entrega del siguiente archivo electrónico: </w:t>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720"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INFORME.JUST.230.pdf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Documento elaborado de fecha veintiocho de octubre de dos mil veinticuatro, signado por el Titular de la Unidad de Transparencia, mediante el cual reitera que todo el personal de las Oficialías para el registro del estado civil de las personas, de conformidad a su condición laboral y administrativa, es remunerado con recurso público municipal; en tal virtud, se consideran, en el orden jurídico administrativo, como integrante de la administración pública municipal; por lo que consecuentemente son, en forma exclusiva, servidores públicos de ese ámbito.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720"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720"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Asimismo, señaló que el Recurrente amplió su solicitud original, lo que se actualiza en una improcedencia de conformidad con el artículo 191 fracción VII de la Ley de la materia; por lo que </w:t>
      </w:r>
      <w:r w:rsidDel="00000000" w:rsidR="00000000" w:rsidRPr="00000000">
        <w:rPr>
          <w:rFonts w:ascii="Palatino Linotype" w:cs="Palatino Linotype" w:eastAsia="Palatino Linotype" w:hAnsi="Palatino Linotype"/>
          <w:sz w:val="22"/>
          <w:szCs w:val="22"/>
          <w:rtl w:val="0"/>
        </w:rPr>
        <w:t xml:space="preserve">solicitó</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sobreseer el recurso. </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0" w:before="0" w:line="360" w:lineRule="auto"/>
        <w:ind w:left="720" w:right="616"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Documento que fue puesto a la vista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fecha </w:t>
      </w:r>
      <w:r w:rsidDel="00000000" w:rsidR="00000000" w:rsidRPr="00000000">
        <w:rPr>
          <w:rFonts w:ascii="Palatino Linotype" w:cs="Palatino Linotype" w:eastAsia="Palatino Linotype" w:hAnsi="Palatino Linotype"/>
          <w:b w:val="1"/>
          <w:sz w:val="22"/>
          <w:szCs w:val="22"/>
          <w:rtl w:val="0"/>
        </w:rPr>
        <w:t xml:space="preserve">trece de noviembre de dos mil veinticuatro</w:t>
      </w:r>
      <w:r w:rsidDel="00000000" w:rsidR="00000000" w:rsidRPr="00000000">
        <w:rPr>
          <w:rFonts w:ascii="Palatino Linotype" w:cs="Palatino Linotype" w:eastAsia="Palatino Linotype" w:hAnsi="Palatino Linotype"/>
          <w:sz w:val="22"/>
          <w:szCs w:val="22"/>
          <w:rtl w:val="0"/>
        </w:rPr>
        <w:t xml:space="preserve">; no obstante, fue omisa en ejercer dicha prerrogativa. </w:t>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7.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sz w:val="22"/>
          <w:szCs w:val="22"/>
          <w:rtl w:val="0"/>
        </w:rPr>
        <w:t xml:space="preserve">veintiuno de noviembre de dos mil veinticuatro,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6">
      <w:pPr>
        <w:widowControl w:val="0"/>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 C O N S I D E R A N D O S</w:t>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sz w:val="22"/>
          <w:szCs w:val="22"/>
        </w:rPr>
      </w:pPr>
      <w:bookmarkStart w:colFirst="0" w:colLast="0" w:name="_heading=h.tyjcwt" w:id="4"/>
      <w:bookmarkEnd w:id="4"/>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remitió la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dieciocho de octubre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dos mil veinticuatro,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se tuvo por presentado el día </w:t>
      </w:r>
      <w:r w:rsidDel="00000000" w:rsidR="00000000" w:rsidRPr="00000000">
        <w:rPr>
          <w:rFonts w:ascii="Palatino Linotype" w:cs="Palatino Linotype" w:eastAsia="Palatino Linotype" w:hAnsi="Palatino Linotype"/>
          <w:b w:val="1"/>
          <w:sz w:val="22"/>
          <w:szCs w:val="22"/>
          <w:rtl w:val="0"/>
        </w:rPr>
        <w:t xml:space="preserve">dieciocho de octubre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dos mil veinticuatro, </w:t>
      </w:r>
      <w:r w:rsidDel="00000000" w:rsidR="00000000" w:rsidRPr="00000000">
        <w:rPr>
          <w:rFonts w:ascii="Palatino Linotype" w:cs="Palatino Linotype" w:eastAsia="Palatino Linotype" w:hAnsi="Palatino Linotype"/>
          <w:sz w:val="22"/>
          <w:szCs w:val="22"/>
          <w:rtl w:val="0"/>
        </w:rPr>
        <w:t xml:space="preserve">esto es, el mismo día hábil al que tuvo conocimiento de la respuesta impugnada. </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120" w:before="120"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“RECURSO DE RECLAMACIÓN. SU INTERPOSICIÓN NO ES EXTEMPORÁNEA SI SE REALIZA ANTES DE QUE INICIE EL PLAZO PARA HACERLO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120" w:before="120" w:lineRule="auto"/>
        <w:ind w:left="851" w:right="90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se concluye que el presente recurso de revisión se encuentra dentro de los márgenes temporales previstos en las disposiciones legales referidas.</w:t>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 suma importancia mencionar que, si bien la parte no proporcionó algún nombre para ser identificado como se advierte en el detalle de seguimiento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3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solicitudes </w:t>
      </w:r>
      <w:r w:rsidDel="00000000" w:rsidR="00000000" w:rsidRPr="00000000">
        <w:rPr>
          <w:rFonts w:ascii="Palatino Linotype" w:cs="Palatino Linotype" w:eastAsia="Palatino Linotype" w:hAnsi="Palatino Linotype"/>
          <w:b w:val="1"/>
          <w:i w:val="1"/>
          <w:sz w:val="22"/>
          <w:szCs w:val="22"/>
          <w:u w:val="single"/>
          <w:rtl w:val="0"/>
        </w:rPr>
        <w:t xml:space="preserve">anónimas</w:t>
      </w:r>
      <w:r w:rsidDel="00000000" w:rsidR="00000000" w:rsidRPr="00000000">
        <w:rPr>
          <w:rFonts w:ascii="Palatino Linotype" w:cs="Palatino Linotype" w:eastAsia="Palatino Linotype" w:hAnsi="Palatino Linotype"/>
          <w:i w:val="1"/>
          <w:sz w:val="22"/>
          <w:szCs w:val="22"/>
          <w:rtl w:val="0"/>
        </w:rPr>
        <w:t xml:space="preserve">, con nombre incompleto o seudónimo serán procedentes para su trámite por parte del sujeto obligado ante quien se presente. No podrá requerirse información adicional con motivo del nombre proporcionado por el solicitante."</w:t>
      </w:r>
    </w:p>
    <w:p w:rsidR="00000000" w:rsidDel="00000000" w:rsidP="00000000" w:rsidRDefault="00000000" w:rsidRPr="00000000" w14:paraId="00000033">
      <w:pPr>
        <w:tabs>
          <w:tab w:val="left" w:leader="none" w:pos="7938"/>
        </w:tabs>
        <w:spacing w:after="240" w:before="240" w:line="360" w:lineRule="auto"/>
        <w:jc w:val="both"/>
        <w:rPr>
          <w:rFonts w:ascii="Palatino Linotype" w:cs="Palatino Linotype" w:eastAsia="Palatino Linotype" w:hAnsi="Palatino Linotype"/>
          <w:sz w:val="22"/>
          <w:szCs w:val="22"/>
        </w:rPr>
      </w:pPr>
      <w:bookmarkStart w:colFirst="0" w:colLast="0" w:name="_heading=h.3znysh7" w:id="5"/>
      <w:bookmarkEnd w:id="5"/>
      <w:r w:rsidDel="00000000" w:rsidR="00000000" w:rsidRPr="00000000">
        <w:rPr>
          <w:rFonts w:ascii="Palatino Linotype" w:cs="Palatino Linotype" w:eastAsia="Palatino Linotype" w:hAnsi="Palatino Linotype"/>
          <w:sz w:val="22"/>
          <w:szCs w:val="22"/>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3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sus motivos de inconformidad, de acuerdo al artículo 179, fracción I del ordenamiento legal citado, que a la letra dice: </w:t>
      </w:r>
    </w:p>
    <w:p w:rsidR="00000000" w:rsidDel="00000000" w:rsidP="00000000" w:rsidRDefault="00000000" w:rsidRPr="00000000" w14:paraId="00000035">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6">
      <w:pPr>
        <w:spacing w:after="120" w:before="120"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I. La negativa a la información solicitada;</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37">
      <w:pPr>
        <w:spacing w:after="120" w:before="120" w:lineRule="auto"/>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(Énfasis añadido)</w:t>
      </w:r>
      <w:r w:rsidDel="00000000" w:rsidR="00000000" w:rsidRPr="00000000">
        <w:rPr>
          <w:rtl w:val="0"/>
        </w:rPr>
      </w:r>
    </w:p>
    <w:p w:rsidR="00000000" w:rsidDel="00000000" w:rsidP="00000000" w:rsidRDefault="00000000" w:rsidRPr="00000000" w14:paraId="00000038">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sz w:val="22"/>
          <w:szCs w:val="22"/>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sz w:val="22"/>
          <w:szCs w:val="22"/>
          <w:rtl w:val="0"/>
        </w:rPr>
        <w:t xml:space="preserve">de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información.</w:t>
      </w:r>
    </w:p>
    <w:p w:rsidR="00000000" w:rsidDel="00000000" w:rsidP="00000000" w:rsidRDefault="00000000" w:rsidRPr="00000000" w14:paraId="00000039">
      <w:pPr>
        <w:spacing w:after="240" w:before="240" w:line="360" w:lineRule="auto"/>
        <w:jc w:val="both"/>
        <w:rPr>
          <w:rFonts w:ascii="Palatino Linotype" w:cs="Palatino Linotype" w:eastAsia="Palatino Linotype" w:hAnsi="Palatino Linotype"/>
          <w:sz w:val="22"/>
          <w:szCs w:val="22"/>
        </w:rPr>
      </w:pPr>
      <w:bookmarkStart w:colFirst="0" w:colLast="0" w:name="_heading=h.2et92p0" w:id="6"/>
      <w:bookmarkEnd w:id="6"/>
      <w:r w:rsidDel="00000000" w:rsidR="00000000" w:rsidRPr="00000000">
        <w:rPr>
          <w:rFonts w:ascii="Palatino Linotype" w:cs="Palatino Linotype" w:eastAsia="Palatino Linotype" w:hAnsi="Palatino Linotype"/>
          <w:b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3A">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3B">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3C">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D">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3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3F">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40">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w:t>
      </w:r>
      <w:r w:rsidDel="00000000" w:rsidR="00000000" w:rsidRPr="00000000">
        <w:rPr>
          <w:rtl w:val="0"/>
        </w:rPr>
      </w:r>
    </w:p>
    <w:p w:rsidR="00000000" w:rsidDel="00000000" w:rsidP="00000000" w:rsidRDefault="00000000" w:rsidRPr="00000000" w14:paraId="00000041">
      <w:pPr>
        <w:spacing w:after="240" w:before="240"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42">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03/17, emitido por el Instituto Nacional de Transparencia, Acceso a la Información y Protección de Datos Personales, que por rubro y texto, dispone lo siguiente:</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43">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44">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5">
      <w:pPr>
        <w:spacing w:after="120" w:before="12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46">
      <w:pPr>
        <w:spacing w:after="120" w:before="12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47">
      <w:pPr>
        <w:tabs>
          <w:tab w:val="left" w:leader="none" w:pos="8222"/>
        </w:tabs>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48">
      <w:pPr>
        <w:tabs>
          <w:tab w:val="left" w:leader="none" w:pos="8222"/>
        </w:tabs>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9">
      <w:pPr>
        <w:tabs>
          <w:tab w:val="left" w:leader="none" w:pos="8222"/>
        </w:tabs>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4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4B">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4C">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4D">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4E">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4F">
      <w:pPr>
        <w:spacing w:after="120" w:before="120"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50">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5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5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requirió al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le proporcione, información consistente en lo siguiente:</w:t>
      </w:r>
    </w:p>
    <w:p w:rsidR="00000000" w:rsidDel="00000000" w:rsidP="00000000" w:rsidRDefault="00000000" w:rsidRPr="00000000" w14:paraId="0000005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240" w:line="360" w:lineRule="auto"/>
        <w:ind w:left="720" w:right="900" w:hanging="360"/>
        <w:jc w:val="both"/>
        <w:rPr>
          <w:rFonts w:ascii="Palatino Linotype" w:cs="Palatino Linotype" w:eastAsia="Palatino Linotype" w:hAnsi="Palatino Linotype"/>
          <w:b w:val="1"/>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El sueldo de los oficiales del registro civil del Estado de México; así como, quien les paga. </w:t>
      </w:r>
    </w:p>
    <w:p w:rsidR="00000000" w:rsidDel="00000000" w:rsidP="00000000" w:rsidRDefault="00000000" w:rsidRPr="00000000" w14:paraId="00000054">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por conducto de la </w:t>
      </w:r>
      <w:r w:rsidDel="00000000" w:rsidR="00000000" w:rsidRPr="00000000">
        <w:rPr>
          <w:rFonts w:ascii="Palatino Linotype" w:cs="Palatino Linotype" w:eastAsia="Palatino Linotype" w:hAnsi="Palatino Linotype"/>
          <w:b w:val="1"/>
          <w:sz w:val="22"/>
          <w:szCs w:val="22"/>
          <w:rtl w:val="0"/>
        </w:rPr>
        <w:t xml:space="preserve">Directora General del Registro Civil,</w:t>
      </w:r>
      <w:r w:rsidDel="00000000" w:rsidR="00000000" w:rsidRPr="00000000">
        <w:rPr>
          <w:rFonts w:ascii="Palatino Linotype" w:cs="Palatino Linotype" w:eastAsia="Palatino Linotype" w:hAnsi="Palatino Linotype"/>
          <w:sz w:val="22"/>
          <w:szCs w:val="22"/>
          <w:rtl w:val="0"/>
        </w:rPr>
        <w:t xml:space="preserve"> informó que no cuenta con el dato respecto a los sueldos de los oficiales del Registro Civil, ya que dependen administrativamente del Ayuntamiento, y por cuanto a sus funciones, atribuciones y obligaciones están adscritas al Gobierno del Estado de México, a través de la Dirección General, lo anterior de conformidad, de conformidad con lo establecido en el artículo 16 del Reglamento Interior del Registro Civil del Estado de México.</w:t>
      </w:r>
    </w:p>
    <w:p w:rsidR="00000000" w:rsidDel="00000000" w:rsidP="00000000" w:rsidRDefault="00000000" w:rsidRPr="00000000" w14:paraId="00000055">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la Unidad de Transparencia informó que los Oficiales del Registro Civil, tienen una relación laboral con el Ayuntamiento al que están adscritos, dado que son estos Sujetos Obligados quienes determinan sus emolumentos.</w:t>
      </w:r>
    </w:p>
    <w:p w:rsidR="00000000" w:rsidDel="00000000" w:rsidP="00000000" w:rsidRDefault="00000000" w:rsidRPr="00000000" w14:paraId="00000056">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7">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Conocida la respuesta por la persona solicitante, al no estar conforme con los términos de la misma, interpuso el recurso de revisión que nos ocupa, mediante el cual se inconformó por la falta de entrega de la información y solicitando la entrega de los recibos de nómina. </w:t>
      </w:r>
    </w:p>
    <w:p w:rsidR="00000000" w:rsidDel="00000000" w:rsidP="00000000" w:rsidRDefault="00000000" w:rsidRPr="00000000" w14:paraId="00000058">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Admitido el presente recurso de revisión, en términos del artículo 185 fracción II</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teniendo así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mediante informe justificado ratifico que todo el personal de las Oficialías para el registro del estado civil de las personas, de conformidad a su condición laboral y administrativa, es remunerado con recurso público municipal; en tal virtud, se consideran, en el orden jurídico administrativo, como integrante de la administración pública municipal; por lo que consecuentemente son, en forma exclusiva, servidores públicos de ese ámbito.</w:t>
      </w:r>
    </w:p>
    <w:p w:rsidR="00000000" w:rsidDel="00000000" w:rsidP="00000000" w:rsidRDefault="00000000" w:rsidRPr="00000000" w14:paraId="0000005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Una vez expuestas las posturas de las partes, primeramente es importante recordar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 respuesta informó que los Oficiales del Registro Civil, tienen una relación laboral con el Ayuntamiento al que están adscritos, dado que son estos Sujetos Obligados quienes determinan sus emolumentos.</w:t>
      </w:r>
    </w:p>
    <w:p w:rsidR="00000000" w:rsidDel="00000000" w:rsidP="00000000" w:rsidRDefault="00000000" w:rsidRPr="00000000" w14:paraId="0000005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ello informó que no se cuenta con el dato respecto a los sueldos de los oficiales del Registro Civil, ya que dependen administrativamente del Ayuntamiento, y por cuanto a sus funciones, atribuciones y obligaciones están adscritas al Gobierno del Estado de México, a través de la Dirección General. </w:t>
      </w:r>
    </w:p>
    <w:p w:rsidR="00000000" w:rsidDel="00000000" w:rsidP="00000000" w:rsidRDefault="00000000" w:rsidRPr="00000000" w14:paraId="0000005B">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el Manual General de Organización de la Consejería Jurídica, establece que la Dirección de Registro Civil, tiene como objetivo planear, organizar, coordinar, dirigir y evaluar las acciones y mecanismos para el asentamiento de los actos y hechos del estado civil en el Estado de México, a fin de que se realicen de manera ágil, oportuna y de conformidad con la normatividad vigente en la materia; asimismo, se advierte que cuenta con las siguientes funciones: </w:t>
      </w:r>
    </w:p>
    <w:p w:rsidR="00000000" w:rsidDel="00000000" w:rsidP="00000000" w:rsidRDefault="00000000" w:rsidRPr="00000000" w14:paraId="0000005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227030000 DIRECCIÓN GENERAL DEL REGISTRO CIVIL</w:t>
      </w:r>
      <w:r w:rsidDel="00000000" w:rsidR="00000000" w:rsidRPr="00000000">
        <w:rPr>
          <w:rtl w:val="0"/>
        </w:rPr>
      </w:r>
    </w:p>
    <w:p w:rsidR="00000000" w:rsidDel="00000000" w:rsidP="00000000" w:rsidRDefault="00000000" w:rsidRPr="00000000" w14:paraId="0000005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FUNCIONES:</w:t>
      </w:r>
    </w:p>
    <w:p w:rsidR="00000000" w:rsidDel="00000000" w:rsidP="00000000" w:rsidRDefault="00000000" w:rsidRPr="00000000" w14:paraId="0000005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Establecer los planes y programas en materia registral civil, a fin de cumplir eficazmente con la prestación del servicio en la entidad.</w:t>
      </w:r>
    </w:p>
    <w:p w:rsidR="00000000" w:rsidDel="00000000" w:rsidP="00000000" w:rsidRDefault="00000000" w:rsidRPr="00000000" w14:paraId="0000005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Establecer y promover la actualización de los sistemas y procedimientos para la inscripción y registro de los actos y hechos del Registro Civil.</w:t>
      </w:r>
    </w:p>
    <w:p w:rsidR="00000000" w:rsidDel="00000000" w:rsidP="00000000" w:rsidRDefault="00000000" w:rsidRPr="00000000" w14:paraId="0000006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Fomentar la celebración de convenios de coordinación en materia de registro civil, que coadyuven a mejorar los servicios que proporciona la dirección general.</w:t>
      </w:r>
    </w:p>
    <w:p w:rsidR="00000000" w:rsidDel="00000000" w:rsidP="00000000" w:rsidRDefault="00000000" w:rsidRPr="00000000" w14:paraId="0000006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Proporcionar asesoría jurídica, administrativa y técnica a las subdirecciones, oficinas regionales y Oficialías del Registro Civil, cuando así lo soliciten.</w:t>
      </w:r>
    </w:p>
    <w:p w:rsidR="00000000" w:rsidDel="00000000" w:rsidP="00000000" w:rsidRDefault="00000000" w:rsidRPr="00000000" w14:paraId="0000006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Proponer a la Consejería los nombramientos de los titulares de las unidades administrativas de adscripción de la dirección general y, en su caso, la baja de los mismos.</w:t>
      </w:r>
    </w:p>
    <w:p w:rsidR="00000000" w:rsidDel="00000000" w:rsidP="00000000" w:rsidRDefault="00000000" w:rsidRPr="00000000" w14:paraId="0000006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Solicitar a las unidades administrativas responsables la reposición o, en su caso, la rehabilitación de los libros, actas y documentos deteriorados, destruidos o extraviados, a fin de contar con información veraz en materia de registro civil en la entidad.</w:t>
      </w:r>
    </w:p>
    <w:p w:rsidR="00000000" w:rsidDel="00000000" w:rsidP="00000000" w:rsidRDefault="00000000" w:rsidRPr="00000000" w14:paraId="0000006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Autorizar los Libros del Registro Civil con firma autógrafa por medio electrónico o facsimilar, así como verificar que se precise el nombre del municipio, número de oficialía, acto, volumen, número de actas contenidas y el año de emisión.</w:t>
      </w:r>
    </w:p>
    <w:p w:rsidR="00000000" w:rsidDel="00000000" w:rsidP="00000000" w:rsidRDefault="00000000" w:rsidRPr="00000000" w14:paraId="0000006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Autorizar y ordenar la impresión y distribución de los formatos oficiales en papel seguridad para el asentamiento de los actos y hechos del estado civil, así como para la expedición de copias certificadas de actas.</w:t>
      </w:r>
    </w:p>
    <w:p w:rsidR="00000000" w:rsidDel="00000000" w:rsidP="00000000" w:rsidRDefault="00000000" w:rsidRPr="00000000" w14:paraId="0000006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Celebrar los actos y hechos del estado civil de las personas, cuando así se solicite.</w:t>
      </w:r>
    </w:p>
    <w:p w:rsidR="00000000" w:rsidDel="00000000" w:rsidP="00000000" w:rsidRDefault="00000000" w:rsidRPr="00000000" w14:paraId="0000006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Certificar las actas del Registro Civil, mediante firma autógrafa o electrónica del archivo a su cargo.</w:t>
      </w:r>
    </w:p>
    <w:p w:rsidR="00000000" w:rsidDel="00000000" w:rsidP="00000000" w:rsidRDefault="00000000" w:rsidRPr="00000000" w14:paraId="0000006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Efectuar los cambios de adscripción de los jefes de oficina regional y de los oficiales del registro civil, cuando éstos resulten convenientes para la prestación del servicio.</w:t>
      </w:r>
    </w:p>
    <w:p w:rsidR="00000000" w:rsidDel="00000000" w:rsidP="00000000" w:rsidRDefault="00000000" w:rsidRPr="00000000" w14:paraId="0000006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Dictar el oficio de continuidad en las solicitudes de divorcio administrativo, así como el acuerdo de corrección de vicios o defectos y registros extemporáneos, de conformidad con las disposiciones establecidas en el Código Civil del Estado de México y en el Reglamento del Registro Civil del Estado de México.</w:t>
      </w:r>
    </w:p>
    <w:p w:rsidR="00000000" w:rsidDel="00000000" w:rsidP="00000000" w:rsidRDefault="00000000" w:rsidRPr="00000000" w14:paraId="0000006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Nombrar al servidor público encargado de sustituir a los titulares de las unidades administrativas del registro civil, durante sus ausencias e impedimentos.</w:t>
      </w:r>
    </w:p>
    <w:p w:rsidR="00000000" w:rsidDel="00000000" w:rsidP="00000000" w:rsidRDefault="00000000" w:rsidRPr="00000000" w14:paraId="0000006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Formular y desarrollar los estudios sociodemográficos para determinar la necesidad de crear subdirecciones, oficinas regionales y Oficialías del Registro Civil o, en su caso, para reubicar las existentes, desconcentrar el servicio y mejorar la atención a la ciudadanía.</w:t>
      </w:r>
    </w:p>
    <w:p w:rsidR="00000000" w:rsidDel="00000000" w:rsidP="00000000" w:rsidRDefault="00000000" w:rsidRPr="00000000" w14:paraId="0000006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Desarrollar campañas para la regularización del estado civil de las personas, así como difundir los servicios que se proporcionan en este rubro.</w:t>
      </w:r>
    </w:p>
    <w:p w:rsidR="00000000" w:rsidDel="00000000" w:rsidP="00000000" w:rsidRDefault="00000000" w:rsidRPr="00000000" w14:paraId="0000006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Establecer y fijar la jurisdicción de las subdirecciones, oficinas regionales y Oficialías del Registro Civil de nueva creación, para la prestación y desarrollo eficaz de sus funciones.</w:t>
      </w:r>
    </w:p>
    <w:p w:rsidR="00000000" w:rsidDel="00000000" w:rsidP="00000000" w:rsidRDefault="00000000" w:rsidRPr="00000000" w14:paraId="0000006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Verificar que se informe oportunamente a la Secretaría de Gobernación sobre los actos y hechos del estado civil en los que intervengan extranjeros, conforme a la legislación aplicable vigente.</w:t>
      </w:r>
    </w:p>
    <w:p w:rsidR="00000000" w:rsidDel="00000000" w:rsidP="00000000" w:rsidRDefault="00000000" w:rsidRPr="00000000" w14:paraId="0000006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Verificar la realización de la evaluación del desempeño de los servidores públicos del registro civil, así como formular y emitir, en su caso, la denuncia correspondiente cuando incurran en alguna falta u omisión.</w:t>
      </w:r>
    </w:p>
    <w:p w:rsidR="00000000" w:rsidDel="00000000" w:rsidP="00000000" w:rsidRDefault="00000000" w:rsidRPr="00000000" w14:paraId="0000007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Elaborar y presentar a la Consejería Jurídica el informe mensual de las actividades realizadas, así como los que le requieran eventualmente.</w:t>
      </w:r>
    </w:p>
    <w:p w:rsidR="00000000" w:rsidDel="00000000" w:rsidP="00000000" w:rsidRDefault="00000000" w:rsidRPr="00000000" w14:paraId="0000007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Desarrollar las demás funciones inherentes al área de su competencia.”</w:t>
      </w:r>
    </w:p>
    <w:p w:rsidR="00000000" w:rsidDel="00000000" w:rsidP="00000000" w:rsidRDefault="00000000" w:rsidRPr="00000000" w14:paraId="0000007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advierte que si bien es la Unidad Administrativa competente para conocer de temas relacionados con las acciones y mecanismos para el asentamiento de los actos y hechos del estado civil en el Estado de México, lo cierto es que en efecto, no se advierte que dicha Dirección conozca de la información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desea conocer. </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tenor, se colige que existe una evidente incompetencia por parte de la </w:t>
      </w:r>
      <w:r w:rsidDel="00000000" w:rsidR="00000000" w:rsidRPr="00000000">
        <w:rPr>
          <w:rFonts w:ascii="Palatino Linotype" w:cs="Palatino Linotype" w:eastAsia="Palatino Linotype" w:hAnsi="Palatino Linotype"/>
          <w:b w:val="1"/>
          <w:sz w:val="22"/>
          <w:szCs w:val="22"/>
          <w:rtl w:val="0"/>
        </w:rPr>
        <w:t xml:space="preserve">Consejería Jurídica, </w:t>
      </w:r>
      <w:r w:rsidDel="00000000" w:rsidR="00000000" w:rsidRPr="00000000">
        <w:rPr>
          <w:rFonts w:ascii="Palatino Linotype" w:cs="Palatino Linotype" w:eastAsia="Palatino Linotype" w:hAnsi="Palatino Linotype"/>
          <w:sz w:val="22"/>
          <w:szCs w:val="22"/>
          <w:rtl w:val="0"/>
        </w:rPr>
        <w:t xml:space="preserve">como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satisfacer lo solicitado, lo anterior es así, toda vez que en el caso particular, no se observa que cuente con alguna atribución de la cual pudiera desprenderse la información relacionada con los sueldos de los Oficiales del Registro Civil del Estado de México, por lo que, se entiende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cuenta con atribuciones, facultades o competencias que se relacionen con la información solicitada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7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resulta aplicable el criterio 13/17 emitido por el Pleno del Instituto Nacional de Transparencia, Acceso a la Información y Protección de Datos Personales, el cual, para pronta referencia se reproduce a continuación:</w:t>
      </w:r>
    </w:p>
    <w:p w:rsidR="00000000" w:rsidDel="00000000" w:rsidP="00000000" w:rsidRDefault="00000000" w:rsidRPr="00000000" w14:paraId="00000075">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“Incompetencia. La incompetencia implica la ausencia de atribuciones del sujeto obligado para poseer la información solicitada</w:t>
      </w:r>
      <w:r w:rsidDel="00000000" w:rsidR="00000000" w:rsidRPr="00000000">
        <w:rPr>
          <w:rFonts w:ascii="Palatino Linotype" w:cs="Palatino Linotype" w:eastAsia="Palatino Linotype" w:hAnsi="Palatino Linotype"/>
          <w:i w:val="1"/>
          <w:sz w:val="22"/>
          <w:szCs w:val="22"/>
          <w:rtl w:val="0"/>
        </w:rPr>
        <w:t xml:space="preserve">; es decir, se trata de una cuestión de derecho, </w:t>
      </w:r>
      <w:r w:rsidDel="00000000" w:rsidR="00000000" w:rsidRPr="00000000">
        <w:rPr>
          <w:rFonts w:ascii="Palatino Linotype" w:cs="Palatino Linotype" w:eastAsia="Palatino Linotype" w:hAnsi="Palatino Linotype"/>
          <w:b w:val="1"/>
          <w:i w:val="1"/>
          <w:sz w:val="22"/>
          <w:szCs w:val="22"/>
          <w:rtl w:val="0"/>
        </w:rPr>
        <w:t xml:space="preserve">en tanto que no existan facultades para contar con lo requerido</w:t>
      </w:r>
      <w:r w:rsidDel="00000000" w:rsidR="00000000" w:rsidRPr="00000000">
        <w:rPr>
          <w:rFonts w:ascii="Palatino Linotype" w:cs="Palatino Linotype" w:eastAsia="Palatino Linotype" w:hAnsi="Palatino Linotype"/>
          <w:i w:val="1"/>
          <w:sz w:val="22"/>
          <w:szCs w:val="22"/>
          <w:rtl w:val="0"/>
        </w:rPr>
        <w:t xml:space="preserve">; por lo que la incompetencia es una cualidad atribuida al sujeto obligado que la declara.”</w:t>
      </w:r>
    </w:p>
    <w:p w:rsidR="00000000" w:rsidDel="00000000" w:rsidP="00000000" w:rsidRDefault="00000000" w:rsidRPr="00000000" w14:paraId="00000076">
      <w:pPr>
        <w:spacing w:after="120" w:before="120" w:lineRule="auto"/>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7">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para robustecer lo anterior, el Código Civil del Estado de México en su artículo 3.1 señala que el Registro Civil es la institución de carácter público y de interés social, mediante la cual el Estado, a través del titular y sus oficiales investidos de fe pública, inscribe, registra, autoriza, certifica, da publicidad y solemnidad a los actos y hechos relativos al estado civil de las personas y expide las actas relativas al nacimiento, reconocimiento de hijos, adopción, matrimonio, divorcio, defunción, y expedición de acta por rectificación para el reconocimiento de identidad de género, previa anotación correspondiente al acta de nacimiento primigenia, asimismo, inscribe las resoluciones que la Ley autoriza, en la forma y términos que establezca su Reglamento.</w:t>
      </w:r>
    </w:p>
    <w:p w:rsidR="00000000" w:rsidDel="00000000" w:rsidP="00000000" w:rsidRDefault="00000000" w:rsidRPr="00000000" w14:paraId="00000078">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9">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ello, señala que las oficialías del Registro Civil dependen administrativamente del Ayuntamiento, y por cuanto a sus funciones, atribuciones y obligaciones están adscritas a la Dirección General, para ello el Gobierno del Estado emitirá los Lineamientos Administrativos relativos a los recursos humanos, materiales y financieros, suficientes y oportunos para el buen funcionamiento de las Oficialías y cuando algún Ayuntamiento incumpla con lo ordenado en los Lineamientos, el Gobierno del Estado emitirá Decreto para que la o las Oficialías queden bajo su control.</w:t>
      </w:r>
    </w:p>
    <w:p w:rsidR="00000000" w:rsidDel="00000000" w:rsidP="00000000" w:rsidRDefault="00000000" w:rsidRPr="00000000" w14:paraId="0000007A">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B">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Correlativo a lo anterior, el artículo 15 del Reglamento Interior del Registro Civil del Estado de México establece que para el debido cumplimiento de sus funciones, el Registro Civil contará con las oficialías necesarias en el Estado de México, de acuerdo con la situación sociodemográfica de cada municipio, de conformidad con los ordenamientos jurídicos correspondientes.</w:t>
      </w:r>
    </w:p>
    <w:p w:rsidR="00000000" w:rsidDel="00000000" w:rsidP="00000000" w:rsidRDefault="00000000" w:rsidRPr="00000000" w14:paraId="0000007C">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D">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su parte el artículo 16, del citado Reglamento señala que las Oficialías estarán a cargo de una persona Oficial quien será nombrada por la persona titular de la Subsecretaría de Justicia, misma que para el mejor desempeño de sus funciones se auxiliará de personas servidoras públicas municipales.</w:t>
      </w:r>
    </w:p>
    <w:p w:rsidR="00000000" w:rsidDel="00000000" w:rsidP="00000000" w:rsidRDefault="00000000" w:rsidRPr="00000000" w14:paraId="0000007E">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señala que </w:t>
      </w:r>
      <w:r w:rsidDel="00000000" w:rsidR="00000000" w:rsidRPr="00000000">
        <w:rPr>
          <w:rFonts w:ascii="Palatino Linotype" w:cs="Palatino Linotype" w:eastAsia="Palatino Linotype" w:hAnsi="Palatino Linotype"/>
          <w:b w:val="1"/>
          <w:sz w:val="22"/>
          <w:szCs w:val="22"/>
          <w:u w:val="single"/>
          <w:rtl w:val="0"/>
        </w:rPr>
        <w:t xml:space="preserve">las oficialías del Registro Civil dependen administrativamente del Ayuntamiento</w:t>
      </w:r>
      <w:r w:rsidDel="00000000" w:rsidR="00000000" w:rsidRPr="00000000">
        <w:rPr>
          <w:rFonts w:ascii="Palatino Linotype" w:cs="Palatino Linotype" w:eastAsia="Palatino Linotype" w:hAnsi="Palatino Linotype"/>
          <w:sz w:val="22"/>
          <w:szCs w:val="22"/>
          <w:rtl w:val="0"/>
        </w:rPr>
        <w:t xml:space="preserve">, y por cuanto a sus funciones, atribuciones y obligaciones están adscritas al Gobierno del Estado de México, a través de la Dirección General del Registro Civil del Estado de México.</w:t>
      </w:r>
    </w:p>
    <w:p w:rsidR="00000000" w:rsidDel="00000000" w:rsidP="00000000" w:rsidRDefault="00000000" w:rsidRPr="00000000" w14:paraId="0000007F">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la normativa insertada con anterioridad, se acredita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efectivamente no genera, posee o administra, dentro de sus archivos la información requerida en el presente asunto, toda vez que los oficiales del Registro Civil depende directamente de los Ayuntamientos, entendiéndose que su sueldo es remunerado con recursos públicos municipales, toda vez que forman parte de la administración pública municipal; por lo que consecuentemente son, en forma exclusiva, servidores públicos de ese ámbito.</w:t>
      </w:r>
    </w:p>
    <w:p w:rsidR="00000000" w:rsidDel="00000000" w:rsidP="00000000" w:rsidRDefault="00000000" w:rsidRPr="00000000" w14:paraId="00000080">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para dar mayor certeza a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de la incompetencia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para conocer los sueldos de los oficiales del Registro Civil del Estado de México, este Organismo Garante encontró a manera de ejemplo el Tabulador de Sueldos de los Ayuntamientos de Toluca y Mexicaltzingo, en el que se advierte que tal y como lo refiere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tanto en respuesta como en Informe Justificado, los Oficiales del Registro Civil forman parte de la nómina de los Ayuntamientos:  </w:t>
      </w:r>
    </w:p>
    <w:p w:rsidR="00000000" w:rsidDel="00000000" w:rsidP="00000000" w:rsidRDefault="00000000" w:rsidRPr="00000000" w14:paraId="00000081">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2">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443812" cy="649322"/>
            <wp:effectExtent b="0" l="0" r="0" t="0"/>
            <wp:docPr id="11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443812" cy="649322"/>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line="360" w:lineRule="auto"/>
        <w:ind w:right="51"/>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84">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473710"/>
            <wp:effectExtent b="0" l="0" r="0" t="0"/>
            <wp:docPr id="120"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5612130" cy="47371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304800</wp:posOffset>
                </wp:positionV>
                <wp:extent cx="647806" cy="140618"/>
                <wp:effectExtent b="0" l="0" r="0" t="0"/>
                <wp:wrapNone/>
                <wp:docPr id="114" name=""/>
                <a:graphic>
                  <a:graphicData uri="http://schemas.microsoft.com/office/word/2010/wordprocessingShape">
                    <wps:wsp>
                      <wps:cNvSpPr/>
                      <wps:cNvPr id="2" name="Shape 2"/>
                      <wps:spPr>
                        <a:xfrm>
                          <a:off x="5031622" y="3719216"/>
                          <a:ext cx="628756" cy="121568"/>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304800</wp:posOffset>
                </wp:positionV>
                <wp:extent cx="647806" cy="140618"/>
                <wp:effectExtent b="0" l="0" r="0" t="0"/>
                <wp:wrapNone/>
                <wp:docPr id="114"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647806" cy="140618"/>
                        </a:xfrm>
                        <a:prstGeom prst="rect"/>
                        <a:ln/>
                      </pic:spPr>
                    </pic:pic>
                  </a:graphicData>
                </a:graphic>
              </wp:anchor>
            </w:drawing>
          </mc:Fallback>
        </mc:AlternateContent>
      </w:r>
    </w:p>
    <w:p w:rsidR="00000000" w:rsidDel="00000000" w:rsidP="00000000" w:rsidRDefault="00000000" w:rsidRPr="00000000" w14:paraId="00000085">
      <w:pPr>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612130" cy="1069975"/>
            <wp:effectExtent b="0" l="0" r="0" t="0"/>
            <wp:docPr id="119"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612130" cy="1069975"/>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after="240" w:before="24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5776914" cy="361439"/>
            <wp:effectExtent b="0" l="0" r="0" t="0"/>
            <wp:docPr id="12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776914" cy="36143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139700</wp:posOffset>
                </wp:positionV>
                <wp:extent cx="647806" cy="140618"/>
                <wp:effectExtent b="0" l="0" r="0" t="0"/>
                <wp:wrapNone/>
                <wp:docPr id="115" name=""/>
                <a:graphic>
                  <a:graphicData uri="http://schemas.microsoft.com/office/word/2010/wordprocessingShape">
                    <wps:wsp>
                      <wps:cNvSpPr/>
                      <wps:cNvPr id="3" name="Shape 3"/>
                      <wps:spPr>
                        <a:xfrm>
                          <a:off x="5031622" y="3719216"/>
                          <a:ext cx="628756" cy="121568"/>
                        </a:xfrm>
                        <a:prstGeom prst="rect">
                          <a:avLst/>
                        </a:prstGeom>
                        <a:noFill/>
                        <a:ln cap="flat" cmpd="sng" w="19050">
                          <a:solidFill>
                            <a:srgbClr val="FF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139700</wp:posOffset>
                </wp:positionV>
                <wp:extent cx="647806" cy="140618"/>
                <wp:effectExtent b="0" l="0" r="0" t="0"/>
                <wp:wrapNone/>
                <wp:docPr id="115"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647806" cy="140618"/>
                        </a:xfrm>
                        <a:prstGeom prst="rect"/>
                        <a:ln/>
                      </pic:spPr>
                    </pic:pic>
                  </a:graphicData>
                </a:graphic>
              </wp:anchor>
            </w:drawing>
          </mc:Fallback>
        </mc:AlternateContent>
      </w:r>
    </w:p>
    <w:p w:rsidR="00000000" w:rsidDel="00000000" w:rsidP="00000000" w:rsidRDefault="00000000" w:rsidRPr="00000000" w14:paraId="00000087">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reitera que la autoridad competente para conocer de la información relacionada con los sueldos de los oficiales del Registro Civil del Estado de México, es de competencia municipal. </w:t>
      </w:r>
    </w:p>
    <w:p w:rsidR="00000000" w:rsidDel="00000000" w:rsidP="00000000" w:rsidRDefault="00000000" w:rsidRPr="00000000" w14:paraId="00000088">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Atento a las consideraciones expuestas, no es procedente la entrega de información alguna para atender la solicitud de información,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Del="00000000" w:rsidR="00000000" w:rsidRPr="00000000">
        <w:rPr>
          <w:rFonts w:ascii="Palatino Linotype" w:cs="Palatino Linotype" w:eastAsia="Palatino Linotype" w:hAnsi="Palatino Linotype"/>
          <w:i w:val="1"/>
          <w:sz w:val="22"/>
          <w:szCs w:val="22"/>
          <w:rtl w:val="0"/>
        </w:rPr>
        <w:t xml:space="preserve"> contrario sensu</w:t>
      </w:r>
      <w:r w:rsidDel="00000000" w:rsidR="00000000" w:rsidRPr="00000000">
        <w:rPr>
          <w:rFonts w:ascii="Palatino Linotype" w:cs="Palatino Linotype" w:eastAsia="Palatino Linotype" w:hAnsi="Palatino Linotype"/>
          <w:sz w:val="22"/>
          <w:szCs w:val="22"/>
          <w:rtl w:val="0"/>
        </w:rPr>
        <w:t xml:space="preserve"> significa que no se está obligado a proporcionar lo que no obre en sus archivos, en consecuencia, el pronunciamiento vertido por el Titular de la Unidad de Transparencia y la Directora General del Registro Civil del Estado de México, es suficiente para tener por atendidos los requerimientos de información. </w:t>
      </w:r>
    </w:p>
    <w:p w:rsidR="00000000" w:rsidDel="00000000" w:rsidP="00000000" w:rsidRDefault="00000000" w:rsidRPr="00000000" w14:paraId="00000089">
      <w:pPr>
        <w:spacing w:line="360" w:lineRule="auto"/>
        <w:ind w:right="13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forma que, respecto a la Declaración de Incompetencia la Ley de Transparencia y Acceso a la Información Pública del Estado de México y Municipios, establece, en los artículos 49, fracción II y 167, lo siguiente: </w:t>
      </w:r>
    </w:p>
    <w:p w:rsidR="00000000" w:rsidDel="00000000" w:rsidP="00000000" w:rsidRDefault="00000000" w:rsidRPr="00000000" w14:paraId="0000008A">
      <w:pPr>
        <w:spacing w:line="360" w:lineRule="auto"/>
        <w:ind w:right="13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B">
      <w:pPr>
        <w:tabs>
          <w:tab w:val="left" w:leader="none" w:pos="851"/>
        </w:tabs>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08C">
      <w:pPr>
        <w:tabs>
          <w:tab w:val="left" w:leader="none" w:pos="851"/>
        </w:tabs>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8D">
      <w:pPr>
        <w:tabs>
          <w:tab w:val="left" w:leader="none" w:pos="851"/>
        </w:tabs>
        <w:ind w:left="851" w:right="616"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Confirmar, modificar o revocar</w:t>
      </w:r>
      <w:r w:rsidDel="00000000" w:rsidR="00000000" w:rsidRPr="00000000">
        <w:rPr>
          <w:rFonts w:ascii="Palatino Linotype" w:cs="Palatino Linotype" w:eastAsia="Palatino Linotype" w:hAnsi="Palatino Linotype"/>
          <w:i w:val="1"/>
          <w:sz w:val="22"/>
          <w:szCs w:val="22"/>
          <w:rtl w:val="0"/>
        </w:rPr>
        <w:t xml:space="preserve"> las determinaciones que en materia de ampliación del plazo de respuesta, clasificación de la información </w:t>
      </w:r>
      <w:r w:rsidDel="00000000" w:rsidR="00000000" w:rsidRPr="00000000">
        <w:rPr>
          <w:rFonts w:ascii="Palatino Linotype" w:cs="Palatino Linotype" w:eastAsia="Palatino Linotype" w:hAnsi="Palatino Linotype"/>
          <w:b w:val="1"/>
          <w:i w:val="1"/>
          <w:sz w:val="22"/>
          <w:szCs w:val="22"/>
          <w:rtl w:val="0"/>
        </w:rPr>
        <w:t xml:space="preserve">y declaración</w:t>
      </w:r>
      <w:r w:rsidDel="00000000" w:rsidR="00000000" w:rsidRPr="00000000">
        <w:rPr>
          <w:rFonts w:ascii="Palatino Linotype" w:cs="Palatino Linotype" w:eastAsia="Palatino Linotype" w:hAnsi="Palatino Linotype"/>
          <w:i w:val="1"/>
          <w:sz w:val="22"/>
          <w:szCs w:val="22"/>
          <w:rtl w:val="0"/>
        </w:rPr>
        <w:t xml:space="preserve"> de inexistencia o </w:t>
      </w:r>
      <w:r w:rsidDel="00000000" w:rsidR="00000000" w:rsidRPr="00000000">
        <w:rPr>
          <w:rFonts w:ascii="Palatino Linotype" w:cs="Palatino Linotype" w:eastAsia="Palatino Linotype" w:hAnsi="Palatino Linotype"/>
          <w:b w:val="1"/>
          <w:i w:val="1"/>
          <w:sz w:val="22"/>
          <w:szCs w:val="22"/>
          <w:rtl w:val="0"/>
        </w:rPr>
        <w:t xml:space="preserve">de incompetencia realicen los titulares de las áreas de los sujetos obligados;</w:t>
      </w:r>
      <w:r w:rsidDel="00000000" w:rsidR="00000000" w:rsidRPr="00000000">
        <w:rPr>
          <w:rtl w:val="0"/>
        </w:rPr>
      </w:r>
    </w:p>
    <w:p w:rsidR="00000000" w:rsidDel="00000000" w:rsidP="00000000" w:rsidRDefault="00000000" w:rsidRPr="00000000" w14:paraId="0000008E">
      <w:pPr>
        <w:tabs>
          <w:tab w:val="left" w:leader="none" w:pos="851"/>
        </w:tabs>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8F">
      <w:pPr>
        <w:tabs>
          <w:tab w:val="left" w:leader="none" w:pos="851"/>
        </w:tabs>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167</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Cuando las unidades de transparencia determinen la notoria incompetencia</w:t>
      </w:r>
      <w:r w:rsidDel="00000000" w:rsidR="00000000" w:rsidRPr="00000000">
        <w:rPr>
          <w:rFonts w:ascii="Palatino Linotype" w:cs="Palatino Linotype" w:eastAsia="Palatino Linotype" w:hAnsi="Palatino Linotype"/>
          <w:i w:val="1"/>
          <w:sz w:val="22"/>
          <w:szCs w:val="22"/>
          <w:rtl w:val="0"/>
        </w:rPr>
        <w:t xml:space="preserve"> por parte de los sujetos obligados, dentro del ámbito de aplicación, para atender la solicitud de acceso a la información, </w:t>
      </w:r>
      <w:r w:rsidDel="00000000" w:rsidR="00000000" w:rsidRPr="00000000">
        <w:rPr>
          <w:rFonts w:ascii="Palatino Linotype" w:cs="Palatino Linotype" w:eastAsia="Palatino Linotype" w:hAnsi="Palatino Linotype"/>
          <w:b w:val="1"/>
          <w:i w:val="1"/>
          <w:sz w:val="22"/>
          <w:szCs w:val="22"/>
          <w:rtl w:val="0"/>
        </w:rPr>
        <w:t xml:space="preserve">deberán comunicarlo al solicitante, dentro de los tres días hábiles posteriores a la recepción de la solicitud</w:t>
      </w:r>
      <w:r w:rsidDel="00000000" w:rsidR="00000000" w:rsidRPr="00000000">
        <w:rPr>
          <w:rFonts w:ascii="Palatino Linotype" w:cs="Palatino Linotype" w:eastAsia="Palatino Linotype" w:hAnsi="Palatino Linotype"/>
          <w:i w:val="1"/>
          <w:sz w:val="22"/>
          <w:szCs w:val="22"/>
          <w:rtl w:val="0"/>
        </w:rPr>
        <w:t xml:space="preserve"> y, </w:t>
      </w:r>
      <w:r w:rsidDel="00000000" w:rsidR="00000000" w:rsidRPr="00000000">
        <w:rPr>
          <w:rFonts w:ascii="Palatino Linotype" w:cs="Palatino Linotype" w:eastAsia="Palatino Linotype" w:hAnsi="Palatino Linotype"/>
          <w:b w:val="1"/>
          <w:i w:val="1"/>
          <w:sz w:val="22"/>
          <w:szCs w:val="22"/>
          <w:rtl w:val="0"/>
        </w:rPr>
        <w:t xml:space="preserve">en su caso orientar al solicitante, el o los sujetos obligados competentes.” </w:t>
      </w:r>
    </w:p>
    <w:p w:rsidR="00000000" w:rsidDel="00000000" w:rsidP="00000000" w:rsidRDefault="00000000" w:rsidRPr="00000000" w14:paraId="00000090">
      <w:pPr>
        <w:tabs>
          <w:tab w:val="left" w:leader="none" w:pos="142"/>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1">
      <w:pPr>
        <w:tabs>
          <w:tab w:val="left" w:leader="none" w:pos="142"/>
          <w:tab w:val="left" w:leader="none" w:pos="284"/>
        </w:tabs>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De los preceptos citados se desprende que es atribución del Comité de Transparencia confirmar, modificar o revocar, en su caso, la declaración de incompetencia,</w:t>
      </w:r>
      <w:r w:rsidDel="00000000" w:rsidR="00000000" w:rsidRPr="00000000">
        <w:rPr>
          <w:rFonts w:ascii="Palatino Linotype" w:cs="Palatino Linotype" w:eastAsia="Palatino Linotype" w:hAnsi="Palatino Linotype"/>
          <w:b w:val="1"/>
          <w:sz w:val="22"/>
          <w:szCs w:val="22"/>
          <w:rtl w:val="0"/>
        </w:rPr>
        <w:t xml:space="preserve"> en aquellos casos en los que no se trate de una notoria incompetencia. </w:t>
      </w:r>
    </w:p>
    <w:p w:rsidR="00000000" w:rsidDel="00000000" w:rsidP="00000000" w:rsidRDefault="00000000" w:rsidRPr="00000000" w14:paraId="00000092">
      <w:pPr>
        <w:tabs>
          <w:tab w:val="left" w:leader="none" w:pos="142"/>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3">
      <w:pPr>
        <w:tabs>
          <w:tab w:val="left" w:leader="none" w:pos="142"/>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Puesto que la Ley también prevé que dicho acuerdo no es necesario cuando la Unidad de Transparencia determine que la incompetencia es notoria dando un plazo de tres días hábiles para hacerlo del conocimiento del particular, por lo que si bien, en el caso particular, no fue respetado dicho plazo, ello no cambia la circunstancia de que la incompetencia del sujeto obligado para dar atención a la solicitud de información siga siendo notoria. </w:t>
      </w:r>
    </w:p>
    <w:p w:rsidR="00000000" w:rsidDel="00000000" w:rsidP="00000000" w:rsidRDefault="00000000" w:rsidRPr="00000000" w14:paraId="00000094">
      <w:pPr>
        <w:tabs>
          <w:tab w:val="left" w:leader="none" w:pos="142"/>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5">
      <w:pPr>
        <w:tabs>
          <w:tab w:val="left" w:leader="none" w:pos="142"/>
          <w:tab w:val="left" w:leader="none" w:pos="284"/>
        </w:tabs>
        <w:spacing w:line="360" w:lineRule="auto"/>
        <w:jc w:val="both"/>
        <w:rPr>
          <w:rFonts w:ascii="Palatino Linotype" w:cs="Palatino Linotype" w:eastAsia="Palatino Linotype" w:hAnsi="Palatino Linotype"/>
          <w:sz w:val="22"/>
          <w:szCs w:val="22"/>
          <w:u w:val="single"/>
        </w:rPr>
      </w:pPr>
      <w:r w:rsidDel="00000000" w:rsidR="00000000" w:rsidRPr="00000000">
        <w:rPr>
          <w:rFonts w:ascii="Palatino Linotype" w:cs="Palatino Linotype" w:eastAsia="Palatino Linotype" w:hAnsi="Palatino Linotype"/>
          <w:sz w:val="22"/>
          <w:szCs w:val="22"/>
          <w:rtl w:val="0"/>
        </w:rPr>
        <w:t xml:space="preserve">En otras palabras, la Ley de la Materia confiere a las Unidades de Transparencia la posibilidad de notificar la incompetencia cuando esta sea notoria, siendo innecesario que dicha circunstancia sea sometida a consideración de los integrantes del Comité de Transparencia </w:t>
      </w:r>
      <w:r w:rsidDel="00000000" w:rsidR="00000000" w:rsidRPr="00000000">
        <w:rPr>
          <w:rFonts w:ascii="Palatino Linotype" w:cs="Palatino Linotype" w:eastAsia="Palatino Linotype" w:hAnsi="Palatino Linotype"/>
          <w:sz w:val="22"/>
          <w:szCs w:val="22"/>
          <w:u w:val="single"/>
          <w:rtl w:val="0"/>
        </w:rPr>
        <w:t xml:space="preserve">para su aprobación. </w:t>
      </w:r>
    </w:p>
    <w:p w:rsidR="00000000" w:rsidDel="00000000" w:rsidP="00000000" w:rsidRDefault="00000000" w:rsidRPr="00000000" w14:paraId="00000096">
      <w:pPr>
        <w:spacing w:line="360" w:lineRule="auto"/>
        <w:ind w:right="18"/>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7">
      <w:pPr>
        <w:spacing w:line="360" w:lineRule="auto"/>
        <w:ind w:right="18"/>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sustento de lo anterior, resulta aplicable el Criterio 20/20, emitido por el Instituto Nacional de Transparencia, Acceso a la Información, y Protección de Datos Personales, INAI, que lleva por rubro y texto los siguientes:  </w:t>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“Declaración de incompetencia por parte del Comité, cuando no sea notoria o manifiesta.</w:t>
      </w:r>
      <w:r w:rsidDel="00000000" w:rsidR="00000000" w:rsidRPr="00000000">
        <w:rPr>
          <w:rFonts w:ascii="Palatino Linotype" w:cs="Palatino Linotype" w:eastAsia="Palatino Linotype" w:hAnsi="Palatino Linotype"/>
          <w:i w:val="1"/>
          <w:sz w:val="22"/>
          <w:szCs w:val="22"/>
          <w:rtl w:val="0"/>
        </w:rPr>
        <w:t xml:space="preserve"> Cuando la normatividad que prevé las atribuciones del sujeto obligado no sea clara en delimitar su competencia respecto a lo requerido por la persona solicitante y resulte necesario efectuar un análisis mayor para determinar la incompetencia, ésta debe ser declarada por el Comité de Transparencia.”</w:t>
      </w:r>
    </w:p>
    <w:p w:rsidR="00000000" w:rsidDel="00000000" w:rsidP="00000000" w:rsidRDefault="00000000" w:rsidRPr="00000000" w14:paraId="0000009A">
      <w:pPr>
        <w:tabs>
          <w:tab w:val="left" w:leader="none" w:pos="142"/>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B">
      <w:pPr>
        <w:tabs>
          <w:tab w:val="left" w:leader="none" w:pos="142"/>
          <w:tab w:val="left" w:leader="none" w:pos="284"/>
        </w:tabs>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igual manera, el Pleno de este Instituto, a través del Criterio 02/04 emitido en la Segunda Época, precisa los alcances del artículo 167 de la Ley de Transparencia, al señalar que corresponde al Comité de Transparencia confirmar la declaratoria de incompetencia y notificarle dicha determinación al particular, refiriéndose a aquellos casos en los que exista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b w:val="1"/>
          <w:sz w:val="22"/>
          <w:szCs w:val="22"/>
          <w:u w:val="single"/>
          <w:rtl w:val="0"/>
        </w:rPr>
        <w:t xml:space="preserve">duda razonable sobre la administración del documento materia de la solicitud de información</w:t>
      </w:r>
      <w:r w:rsidDel="00000000" w:rsidR="00000000" w:rsidRPr="00000000">
        <w:rPr>
          <w:rFonts w:ascii="Palatino Linotype" w:cs="Palatino Linotype" w:eastAsia="Palatino Linotype" w:hAnsi="Palatino Linotype"/>
          <w:sz w:val="22"/>
          <w:szCs w:val="22"/>
          <w:rtl w:val="0"/>
        </w:rPr>
        <w:t xml:space="preserve">, como se lee enseguida:</w:t>
      </w:r>
    </w:p>
    <w:p w:rsidR="00000000" w:rsidDel="00000000" w:rsidP="00000000" w:rsidRDefault="00000000" w:rsidRPr="00000000" w14:paraId="0000009C">
      <w:pPr>
        <w:spacing w:line="276" w:lineRule="auto"/>
        <w:ind w:left="851"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9D">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“DECLARATORIA DE INCOMPETENCIA DEL SUJETO OBLIGADO. SUPUESTO PARA CONFIRMARLA POR ACUERDO DEL COMITÉ DE TRANSPARENCIA. </w:t>
      </w:r>
      <w:r w:rsidDel="00000000" w:rsidR="00000000" w:rsidRPr="00000000">
        <w:rPr>
          <w:rFonts w:ascii="Palatino Linotype" w:cs="Palatino Linotype" w:eastAsia="Palatino Linotype" w:hAnsi="Palatino Linotype"/>
          <w:i w:val="1"/>
          <w:sz w:val="22"/>
          <w:szCs w:val="22"/>
          <w:rtl w:val="0"/>
        </w:rPr>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w:t>
      </w:r>
      <w:r w:rsidDel="00000000" w:rsidR="00000000" w:rsidRPr="00000000">
        <w:rPr>
          <w:rFonts w:ascii="Palatino Linotype" w:cs="Palatino Linotype" w:eastAsia="Palatino Linotype" w:hAnsi="Palatino Linotype"/>
          <w:b w:val="1"/>
          <w:i w:val="1"/>
          <w:sz w:val="22"/>
          <w:szCs w:val="22"/>
          <w:rtl w:val="0"/>
        </w:rPr>
        <w:t xml:space="preserve">al ejercer el derecho de acceso a la información pública cabe la posibilidad de que existan atribuciones concurrentes entre dos o más Sujetos Obligados que </w:t>
      </w:r>
      <w:r w:rsidDel="00000000" w:rsidR="00000000" w:rsidRPr="00000000">
        <w:rPr>
          <w:rFonts w:ascii="Palatino Linotype" w:cs="Palatino Linotype" w:eastAsia="Palatino Linotype" w:hAnsi="Palatino Linotype"/>
          <w:b w:val="1"/>
          <w:i w:val="1"/>
          <w:sz w:val="22"/>
          <w:szCs w:val="22"/>
          <w:u w:val="single"/>
          <w:rtl w:val="0"/>
        </w:rPr>
        <w:t xml:space="preserve">impiden determinar dentro del término legal de tres días hábiles</w:t>
      </w:r>
      <w:r w:rsidDel="00000000" w:rsidR="00000000" w:rsidRPr="00000000">
        <w:rPr>
          <w:rFonts w:ascii="Palatino Linotype" w:cs="Palatino Linotype" w:eastAsia="Palatino Linotype" w:hAnsi="Palatino Linotype"/>
          <w:b w:val="1"/>
          <w:i w:val="1"/>
          <w:sz w:val="22"/>
          <w:szCs w:val="22"/>
          <w:rtl w:val="0"/>
        </w:rPr>
        <w:t xml:space="preserve">, si se posee o no la información por el Sujeto Obligado requerid</w:t>
      </w:r>
      <w:r w:rsidDel="00000000" w:rsidR="00000000" w:rsidRPr="00000000">
        <w:rPr>
          <w:rFonts w:ascii="Palatino Linotype" w:cs="Palatino Linotype" w:eastAsia="Palatino Linotype" w:hAnsi="Palatino Linotype"/>
          <w:i w:val="1"/>
          <w:sz w:val="22"/>
          <w:szCs w:val="22"/>
          <w:rtl w:val="0"/>
        </w:rPr>
        <w:t xml:space="preserve">o; en virtud de ello, en aras de disipar toda duda razonable sobre 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w:t>
      </w:r>
    </w:p>
    <w:p w:rsidR="00000000" w:rsidDel="00000000" w:rsidP="00000000" w:rsidRDefault="00000000" w:rsidRPr="00000000" w14:paraId="0000009E">
      <w:pPr>
        <w:spacing w:line="360" w:lineRule="auto"/>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F">
      <w:pPr>
        <w:spacing w:line="360" w:lineRule="auto"/>
        <w:jc w:val="both"/>
        <w:rPr>
          <w:rFonts w:ascii="Palatino Linotype" w:cs="Palatino Linotype" w:eastAsia="Palatino Linotype" w:hAnsi="Palatino Linotype"/>
          <w:b w:val="1"/>
          <w:sz w:val="22"/>
          <w:szCs w:val="22"/>
          <w:u w:val="single"/>
        </w:rPr>
      </w:pPr>
      <w:r w:rsidDel="00000000" w:rsidR="00000000" w:rsidRPr="00000000">
        <w:rPr>
          <w:rFonts w:ascii="Palatino Linotype" w:cs="Palatino Linotype" w:eastAsia="Palatino Linotype" w:hAnsi="Palatino Linotype"/>
          <w:sz w:val="22"/>
          <w:szCs w:val="22"/>
          <w:rtl w:val="0"/>
        </w:rPr>
        <w:t xml:space="preserve">Es así que, ordenar al Comité de Transparencia del Sujeto Obligado que sesione para que emita un acuerdo en el que confirme la declaratoria de incompetencia para garantizar el derecho de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dilata los plazos del procedimiento, genera una carga adicional al Sujeto Obligado, y </w:t>
      </w:r>
      <w:r w:rsidDel="00000000" w:rsidR="00000000" w:rsidRPr="00000000">
        <w:rPr>
          <w:rFonts w:ascii="Palatino Linotype" w:cs="Palatino Linotype" w:eastAsia="Palatino Linotype" w:hAnsi="Palatino Linotype"/>
          <w:b w:val="1"/>
          <w:sz w:val="22"/>
          <w:szCs w:val="22"/>
          <w:u w:val="single"/>
          <w:rtl w:val="0"/>
        </w:rPr>
        <w:t xml:space="preserve">ello no modifica el hecho de que la parte Recurrente no obtendrá la información que es de su interés por esta vía. </w:t>
      </w:r>
    </w:p>
    <w:p w:rsidR="00000000" w:rsidDel="00000000" w:rsidP="00000000" w:rsidRDefault="00000000" w:rsidRPr="00000000" w14:paraId="000000A0">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ello, instruir al Comité de Transparencia para que sesione y emita una resolución en la que se confirme una notoria incompetencia que ya fue declarada por el Sujeto Obligado y analizada por este Organismo Garante, se aparta de los principios de sencillez y rapidez establecidos por la Ley de Transparencia y Acceso a la Información Pública del Estado de México y Municipios, en sus artículos 2, fracciones II y III, 21 y 150. </w:t>
      </w:r>
    </w:p>
    <w:p w:rsidR="00000000" w:rsidDel="00000000" w:rsidP="00000000" w:rsidRDefault="00000000" w:rsidRPr="00000000" w14:paraId="000000A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por lo que, pese a que la Consejería Jurídica declinó su competencia respecto a la información relacionada con el sueldo de los oficiales del registro civil del Estado de México, también lo es que, en el caso particular no resulta dable ordenar el acuerdo que declare formalmente la incompetencia del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pues como se advirtió del estudio la incompetencia resulta notaria.</w:t>
      </w:r>
    </w:p>
    <w:p w:rsidR="00000000" w:rsidDel="00000000" w:rsidP="00000000" w:rsidRDefault="00000000" w:rsidRPr="00000000" w14:paraId="000000A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resulta necesario precisar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el hecho de notificar a las personas solicitantes sobre la incompetencia cuando esta sea notoria, dentro del plazo de tres días siguientes a partir de la recepción de las solicitudes, permite que estas puedan presentar sin mayor dilación sus requerimientos de información ante los Sujetos Obligados competentes con la finalidad de obtener la información que es de su interés.</w:t>
      </w:r>
    </w:p>
    <w:p w:rsidR="00000000" w:rsidDel="00000000" w:rsidP="00000000" w:rsidRDefault="00000000" w:rsidRPr="00000000" w14:paraId="000000A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7">
      <w:pPr>
        <w:spacing w:line="360" w:lineRule="auto"/>
        <w:jc w:val="both"/>
        <w:rPr>
          <w:rFonts w:ascii="Palatino Linotype" w:cs="Palatino Linotype" w:eastAsia="Palatino Linotype" w:hAnsi="Palatino Linotype"/>
          <w:sz w:val="22"/>
          <w:szCs w:val="22"/>
        </w:rPr>
      </w:pPr>
      <w:bookmarkStart w:colFirst="0" w:colLast="0" w:name="_heading=h.1fob9te" w:id="7"/>
      <w:bookmarkEnd w:id="7"/>
      <w:r w:rsidDel="00000000" w:rsidR="00000000" w:rsidRPr="00000000">
        <w:rPr>
          <w:rFonts w:ascii="Palatino Linotype" w:cs="Palatino Linotype" w:eastAsia="Palatino Linotype" w:hAnsi="Palatino Linotype"/>
          <w:sz w:val="22"/>
          <w:szCs w:val="22"/>
          <w:rtl w:val="0"/>
        </w:rPr>
        <w:t xml:space="preserve">Es por ello que resulta de suma importancia que las Unidades de Transparencia, cuando adviertan que dicho supuesto se actualiza, se ciñan al plazo que la normativa establece, a fin de ajustarse al principio de expeditez que en todo procedimiento en materia de transparencia se debe observar.</w:t>
      </w:r>
    </w:p>
    <w:p w:rsidR="00000000" w:rsidDel="00000000" w:rsidP="00000000" w:rsidRDefault="00000000" w:rsidRPr="00000000" w14:paraId="000000A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cuando se advierta una notoria incompetencia respecto de la información solicitada por un particular,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debe atender los plazos establecidos por la norma para declarar la incompetencia </w:t>
      </w:r>
      <w:r w:rsidDel="00000000" w:rsidR="00000000" w:rsidRPr="00000000">
        <w:rPr>
          <w:rFonts w:ascii="Palatino Linotype" w:cs="Palatino Linotype" w:eastAsia="Palatino Linotype" w:hAnsi="Palatino Linotype"/>
          <w:sz w:val="22"/>
          <w:szCs w:val="22"/>
          <w:rtl w:val="0"/>
        </w:rPr>
        <w:t xml:space="preserve">para entregar información, con el propósito de que los particulares puedan acudir ante las instancias correspondientes para formular las solicitudes que estimen pertinentes.</w:t>
      </w:r>
    </w:p>
    <w:p w:rsidR="00000000" w:rsidDel="00000000" w:rsidP="00000000" w:rsidRDefault="00000000" w:rsidRPr="00000000" w14:paraId="000000A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entendido, se determina que toda vez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declaró su incompetencia y de este estudio se concluyó que la incompetencia resulta notoria, los agravios hechos valer por este devienen </w:t>
      </w:r>
      <w:r w:rsidDel="00000000" w:rsidR="00000000" w:rsidRPr="00000000">
        <w:rPr>
          <w:rFonts w:ascii="Palatino Linotype" w:cs="Palatino Linotype" w:eastAsia="Palatino Linotype" w:hAnsi="Palatino Linotype"/>
          <w:b w:val="1"/>
          <w:sz w:val="22"/>
          <w:szCs w:val="22"/>
          <w:rtl w:val="0"/>
        </w:rPr>
        <w:t xml:space="preserve">Infundados </w:t>
      </w:r>
      <w:r w:rsidDel="00000000" w:rsidR="00000000" w:rsidRPr="00000000">
        <w:rPr>
          <w:rFonts w:ascii="Palatino Linotype" w:cs="Palatino Linotype" w:eastAsia="Palatino Linotype" w:hAnsi="Palatino Linotype"/>
          <w:sz w:val="22"/>
          <w:szCs w:val="22"/>
          <w:rtl w:val="0"/>
        </w:rPr>
        <w:t xml:space="preserve">y, por lo tanto, resulta procedente </w:t>
      </w:r>
      <w:r w:rsidDel="00000000" w:rsidR="00000000" w:rsidRPr="00000000">
        <w:rPr>
          <w:rFonts w:ascii="Palatino Linotype" w:cs="Palatino Linotype" w:eastAsia="Palatino Linotype" w:hAnsi="Palatino Linotype"/>
          <w:b w:val="1"/>
          <w:sz w:val="22"/>
          <w:szCs w:val="22"/>
          <w:rtl w:val="0"/>
        </w:rPr>
        <w:t xml:space="preserve">CONFIRMAR </w:t>
      </w:r>
      <w:r w:rsidDel="00000000" w:rsidR="00000000" w:rsidRPr="00000000">
        <w:rPr>
          <w:rFonts w:ascii="Palatino Linotype" w:cs="Palatino Linotype" w:eastAsia="Palatino Linotype" w:hAnsi="Palatino Linotype"/>
          <w:sz w:val="22"/>
          <w:szCs w:val="22"/>
          <w:rtl w:val="0"/>
        </w:rPr>
        <w:t xml:space="preserve">la respuesta emitida por el Sujeto Obligado, en términos de la fracción II del artículo 186 de la Ley de Transparencia y Acceso a la Información Pública del Estado de México y Municipios. </w:t>
      </w:r>
    </w:p>
    <w:p w:rsidR="00000000" w:rsidDel="00000000" w:rsidP="00000000" w:rsidRDefault="00000000" w:rsidRPr="00000000" w14:paraId="000000A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no escapa de la óptica de este Organismo Garante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al momento de interponer el recurso de revisión de mérito, manifestó: </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 a si como el recibo de nomina de ellos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sin embargo, de dicho pronunciamiento se desprende que la persona solicitante pretendió ampliar su solicitud, es decir, lo precisado no fue requerido en un primer momento en dichos términos, toda vez que se advierte que al momento de presentar su solicitud de información, este requerimiento, no formaba parte; por lo que, no es motivo de análisis en el presente estudio. En este sentido, dichos pronunciamientos se traducen como una </w:t>
      </w:r>
      <w:r w:rsidDel="00000000" w:rsidR="00000000" w:rsidRPr="00000000">
        <w:rPr>
          <w:rFonts w:ascii="Palatino Linotype" w:cs="Palatino Linotype" w:eastAsia="Palatino Linotype" w:hAnsi="Palatino Linotype"/>
          <w:i w:val="1"/>
          <w:sz w:val="22"/>
          <w:szCs w:val="22"/>
          <w:rtl w:val="0"/>
        </w:rPr>
        <w:t xml:space="preserve">plus petitio</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y por tanto inatendibles a través del recurso de revisión. </w:t>
      </w:r>
    </w:p>
    <w:p w:rsidR="00000000" w:rsidDel="00000000" w:rsidP="00000000" w:rsidRDefault="00000000" w:rsidRPr="00000000" w14:paraId="000000AE">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F">
      <w:pP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orden de ideas, una vez formulada su solicitud inicial,</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los particulares no pueden modificarla o ampliarla a través de posteriores promociones o en el momento de ingresar su recurso de revisión y menos aún si les fue otorgada la oportunidad para su ampliación, por tanto, la materia de las solicitudes de información se circunscribe a que se permita el acceso a los documentos inicialmente solicitados y en su caso a los aclarados o corregidos.</w:t>
      </w:r>
    </w:p>
    <w:p w:rsidR="00000000" w:rsidDel="00000000" w:rsidP="00000000" w:rsidRDefault="00000000" w:rsidRPr="00000000" w14:paraId="000000B0">
      <w:pP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Robustece lo anterior lo plasmado en el criterio orientador número 01/17 emitido por el Instituto Nacional de Transparencia, Acceso a la Información y Protección de Datos Personales, INAI, que lleva por rubro y texto lo que a continuación se transcribe:</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3">
      <w:pPr>
        <w:ind w:left="567" w:right="5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Es improcedente ampliar las solicitudes de acceso a información, a través de la interposición del recurso de revisión. </w:t>
      </w:r>
      <w:r w:rsidDel="00000000" w:rsidR="00000000" w:rsidRPr="00000000">
        <w:rPr>
          <w:rFonts w:ascii="Palatino Linotype" w:cs="Palatino Linotype" w:eastAsia="Palatino Linotype" w:hAnsi="Palatino Linotype"/>
          <w:i w:val="1"/>
          <w:sz w:val="22"/>
          <w:szCs w:val="22"/>
          <w:rtl w:val="0"/>
        </w:rPr>
        <w:t xml:space="preserve">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4">
      <w:pPr>
        <w:ind w:left="851" w:right="90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No obstante, de lo anterior, se dejan a salvo los derechos de la persona solicitante, para que, en caso de considerar conveniente a sus intereses, el conocer la información que fue señalada, la solicite a través de una nueva solicitud de información 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competente, señalando de manera clara y precisa la información y/o documentación a la que pretende acceder mediante el ejercicio del derecho de acceso a la información.</w:t>
      </w:r>
    </w:p>
    <w:p w:rsidR="00000000" w:rsidDel="00000000" w:rsidP="00000000" w:rsidRDefault="00000000" w:rsidRPr="00000000" w14:paraId="000000B6">
      <w:pPr>
        <w:spacing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rsidR="00000000" w:rsidDel="00000000" w:rsidP="00000000" w:rsidRDefault="00000000" w:rsidRPr="00000000" w14:paraId="000000B7">
      <w:pPr>
        <w:spacing w:line="360" w:lineRule="auto"/>
        <w:jc w:val="both"/>
        <w:rPr>
          <w:rFonts w:ascii="Palatino Linotype" w:cs="Palatino Linotype" w:eastAsia="Palatino Linotype" w:hAnsi="Palatino Linotype"/>
          <w:b w:val="1"/>
          <w:sz w:val="22"/>
          <w:szCs w:val="22"/>
          <w:u w:val="single"/>
        </w:rPr>
      </w:pPr>
      <w:r w:rsidDel="00000000" w:rsidR="00000000" w:rsidRPr="00000000">
        <w:rPr>
          <w:rtl w:val="0"/>
        </w:rPr>
      </w:r>
    </w:p>
    <w:p w:rsidR="00000000" w:rsidDel="00000000" w:rsidP="00000000" w:rsidRDefault="00000000" w:rsidRPr="00000000" w14:paraId="000000B8">
      <w:pPr>
        <w:widowControl w:val="0"/>
        <w:spacing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III. R E S U E L V E:</w:t>
      </w:r>
    </w:p>
    <w:p w:rsidR="00000000" w:rsidDel="00000000" w:rsidP="00000000" w:rsidRDefault="00000000" w:rsidRPr="00000000" w14:paraId="000000B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sz w:val="22"/>
          <w:szCs w:val="22"/>
          <w:rtl w:val="0"/>
        </w:rPr>
        <w:t xml:space="preserve">infundados</w:t>
      </w:r>
      <w:r w:rsidDel="00000000" w:rsidR="00000000" w:rsidRPr="00000000">
        <w:rPr>
          <w:rFonts w:ascii="Palatino Linotype" w:cs="Palatino Linotype" w:eastAsia="Palatino Linotype" w:hAnsi="Palatino Linotype"/>
          <w:sz w:val="22"/>
          <w:szCs w:val="22"/>
          <w:rtl w:val="0"/>
        </w:rPr>
        <w:t xml:space="preserve"> los motivos de inconformidad hechos valer por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sz w:val="22"/>
          <w:szCs w:val="22"/>
          <w:rtl w:val="0"/>
        </w:rPr>
        <w:t xml:space="preserve">06474/INFOEM/IP/RR/2024</w:t>
      </w:r>
      <w:r w:rsidDel="00000000" w:rsidR="00000000" w:rsidRPr="00000000">
        <w:rPr>
          <w:rFonts w:ascii="Palatino Linotype" w:cs="Palatino Linotype" w:eastAsia="Palatino Linotype" w:hAnsi="Palatino Linotype"/>
          <w:sz w:val="22"/>
          <w:szCs w:val="22"/>
          <w:rtl w:val="0"/>
        </w:rPr>
        <w:t xml:space="preserve"> por lo que, en términos del</w:t>
      </w:r>
      <w:r w:rsidDel="00000000" w:rsidR="00000000" w:rsidRPr="00000000">
        <w:rPr>
          <w:rFonts w:ascii="Palatino Linotype" w:cs="Palatino Linotype" w:eastAsia="Palatino Linotype" w:hAnsi="Palatino Linotype"/>
          <w:b w:val="1"/>
          <w:sz w:val="22"/>
          <w:szCs w:val="22"/>
          <w:rtl w:val="0"/>
        </w:rPr>
        <w:t xml:space="preserve"> Considerando 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sz w:val="22"/>
          <w:szCs w:val="22"/>
          <w:rtl w:val="0"/>
        </w:rPr>
        <w:t xml:space="preserve">Confirma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BA">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B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Notifíquese </w:t>
      </w:r>
      <w:r w:rsidDel="00000000" w:rsidR="00000000" w:rsidRPr="00000000">
        <w:rPr>
          <w:rFonts w:ascii="Palatino Linotype" w:cs="Palatino Linotype" w:eastAsia="Palatino Linotype" w:hAnsi="Palatino Linotype"/>
          <w:sz w:val="22"/>
          <w:szCs w:val="22"/>
          <w:rtl w:val="0"/>
        </w:rPr>
        <w:t xml:space="preserve">vía</w:t>
      </w:r>
      <w:r w:rsidDel="00000000" w:rsidR="00000000" w:rsidRPr="00000000">
        <w:rPr>
          <w:rFonts w:ascii="Palatino Linotype" w:cs="Palatino Linotype" w:eastAsia="Palatino Linotype" w:hAnsi="Palatino Linotype"/>
          <w:b w:val="1"/>
          <w:sz w:val="22"/>
          <w:szCs w:val="22"/>
          <w:rtl w:val="0"/>
        </w:rPr>
        <w:t xml:space="preserve"> Sistema de Acceso a la Información Mexiquense (SAIMEX)</w:t>
      </w:r>
      <w:r w:rsidDel="00000000" w:rsidR="00000000" w:rsidRPr="00000000">
        <w:rPr>
          <w:rFonts w:ascii="Palatino Linotype" w:cs="Palatino Linotype" w:eastAsia="Palatino Linotype" w:hAnsi="Palatino Linotype"/>
          <w:sz w:val="22"/>
          <w:szCs w:val="22"/>
          <w:rtl w:val="0"/>
        </w:rPr>
        <w:t xml:space="preserve">, al Titular de la Unidad de Transparencia del Sujeto Obligado; para su conocimiento; lo anterior en términos del artículo 189 de la Ley de Transparencia y Acceso a la Información Pública del Estado de México y Municipios.</w:t>
      </w:r>
    </w:p>
    <w:p w:rsidR="00000000" w:rsidDel="00000000" w:rsidP="00000000" w:rsidRDefault="00000000" w:rsidRPr="00000000" w14:paraId="000000B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sz w:val="22"/>
          <w:szCs w:val="22"/>
          <w:rtl w:val="0"/>
        </w:rPr>
        <w:t xml:space="preserve">Sistema de Acceso a la Información Mexiquense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la presente resolución a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así como,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0B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F">
      <w:pPr>
        <w:spacing w:line="360" w:lineRule="auto"/>
        <w:jc w:val="both"/>
        <w:rPr>
          <w:rFonts w:ascii="Palatino Linotype" w:cs="Palatino Linotype" w:eastAsia="Palatino Linotype" w:hAnsi="Palatino Linotype"/>
          <w:sz w:val="22"/>
          <w:szCs w:val="22"/>
        </w:rPr>
        <w:sectPr>
          <w:headerReference r:id="rId14" w:type="default"/>
          <w:headerReference r:id="rId15" w:type="first"/>
          <w:footerReference r:id="rId16" w:type="default"/>
          <w:footerReference r:id="rId17" w:type="first"/>
          <w:pgSz w:h="15840" w:w="12240" w:orient="portrait"/>
          <w:pgMar w:bottom="1701" w:top="1985" w:left="1701" w:right="1701" w:header="709" w:footer="709"/>
          <w:pgNumType w:start="1"/>
          <w:titlePg w:val="1"/>
        </w:sectPr>
      </w:pPr>
      <w:bookmarkStart w:colFirst="0" w:colLast="0" w:name="_heading=h.1t3h5sf" w:id="8"/>
      <w:bookmarkEnd w:id="8"/>
      <w:r w:rsidDel="00000000" w:rsidR="00000000" w:rsidRPr="00000000">
        <w:rPr>
          <w:rFonts w:ascii="Palatino Linotype" w:cs="Palatino Linotype" w:eastAsia="Palatino Linotype" w:hAnsi="Palatino Linotype"/>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VEINTIUNO DE NOVIEMBRE DE DOS MIL VEINTICUATRO, ANTE EL SECRETARIO TÉCNICO DEL PLENO ALEXIS TAPIA RAMÍREZ. </w:t>
      </w:r>
    </w:p>
    <w:p w:rsidR="00000000" w:rsidDel="00000000" w:rsidP="00000000" w:rsidRDefault="00000000" w:rsidRPr="00000000" w14:paraId="000000C0">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8" w:type="first"/>
      <w:footerReference r:id="rId19" w:type="first"/>
      <w:type w:val="nextPage"/>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9">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C">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26</w:t>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C1">
      <w:pPr>
        <w:pBdr>
          <w:top w:space="0" w:sz="0" w:val="nil"/>
          <w:left w:space="0" w:sz="0" w:val="nil"/>
          <w:bottom w:space="0" w:sz="0" w:val="nil"/>
          <w:right w:space="0" w:sz="0" w:val="nil"/>
          <w:between w:space="0" w:sz="0" w:val="nil"/>
        </w:pBdr>
        <w:ind w:left="720" w:hanging="720"/>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0C2">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3">
    <w:pPr>
      <w:rPr>
        <w:rFonts w:ascii="Cambria" w:cs="Cambria" w:eastAsia="Cambria" w:hAnsi="Cambria"/>
        <w:color w:val="000000"/>
      </w:rPr>
    </w:pPr>
    <w:r w:rsidDel="00000000" w:rsidR="00000000" w:rsidRPr="00000000">
      <w:rPr>
        <w:rtl w:val="0"/>
      </w:rPr>
    </w:r>
  </w:p>
  <w:tbl>
    <w:tblPr>
      <w:tblStyle w:val="Table1"/>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0C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C5">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06474/INFOEM/IP/RR/2024</w:t>
          </w:r>
        </w:p>
      </w:tc>
    </w:tr>
    <w:tr>
      <w:trPr>
        <w:cantSplit w:val="0"/>
        <w:trHeight w:val="228" w:hRule="atLeast"/>
        <w:tblHeader w:val="0"/>
      </w:trPr>
      <w:tc>
        <w:tcPr>
          <w:shd w:fill="auto" w:val="clear"/>
          <w:vAlign w:val="center"/>
        </w:tcPr>
        <w:p w:rsidR="00000000" w:rsidDel="00000000" w:rsidP="00000000" w:rsidRDefault="00000000" w:rsidRPr="00000000" w14:paraId="000000C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C7">
          <w:pPr>
            <w:ind w:right="-54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Consejería Jurídica</w:t>
          </w:r>
          <w:r w:rsidDel="00000000" w:rsidR="00000000" w:rsidRPr="00000000">
            <w:drawing>
              <wp:anchor allowOverlap="1" behindDoc="1" distB="0" distT="0" distL="0" distR="0" hidden="0" layoutInCell="1" locked="0" relativeHeight="0" simplePos="0">
                <wp:simplePos x="0" y="0"/>
                <wp:positionH relativeFrom="column">
                  <wp:posOffset>-4800598</wp:posOffset>
                </wp:positionH>
                <wp:positionV relativeFrom="paragraph">
                  <wp:posOffset>-880108</wp:posOffset>
                </wp:positionV>
                <wp:extent cx="7809865" cy="10165715"/>
                <wp:effectExtent b="0" l="0" r="0" t="0"/>
                <wp:wrapNone/>
                <wp:docPr id="116"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c>
    </w:tr>
    <w:tr>
      <w:trPr>
        <w:cantSplit w:val="0"/>
        <w:tblHeader w:val="0"/>
      </w:trPr>
      <w:tc>
        <w:tcPr>
          <w:shd w:fill="auto" w:val="clear"/>
          <w:vAlign w:val="center"/>
        </w:tcPr>
        <w:p w:rsidR="00000000" w:rsidDel="00000000" w:rsidP="00000000" w:rsidRDefault="00000000" w:rsidRPr="00000000" w14:paraId="000000C8">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C9">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CA">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-1079489</wp:posOffset>
          </wp:positionH>
          <wp:positionV relativeFrom="paragraph">
            <wp:posOffset>-328917</wp:posOffset>
          </wp:positionV>
          <wp:extent cx="7809865" cy="10165715"/>
          <wp:effectExtent b="0" l="0" r="0" t="0"/>
          <wp:wrapNone/>
          <wp:docPr id="11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670.0" w:type="dxa"/>
      <w:jc w:val="left"/>
      <w:tblInd w:w="3402.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0C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CD">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06474/INFOEM/IP/RR/2024</w:t>
          </w:r>
        </w:p>
      </w:tc>
    </w:tr>
    <w:tr>
      <w:trPr>
        <w:cantSplit w:val="0"/>
        <w:trHeight w:val="130" w:hRule="atLeast"/>
        <w:tblHeader w:val="0"/>
      </w:trPr>
      <w:tc>
        <w:tcPr>
          <w:shd w:fill="auto" w:val="clear"/>
          <w:vAlign w:val="center"/>
        </w:tcPr>
        <w:p w:rsidR="00000000" w:rsidDel="00000000" w:rsidP="00000000" w:rsidRDefault="00000000" w:rsidRPr="00000000" w14:paraId="000000C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0CF">
          <w:pPr>
            <w:ind w:left="-45" w:right="593" w:firstLine="0"/>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shd w:fill="auto" w:val="clear"/>
          <w:vAlign w:val="center"/>
        </w:tcPr>
        <w:p w:rsidR="00000000" w:rsidDel="00000000" w:rsidP="00000000" w:rsidRDefault="00000000" w:rsidRPr="00000000" w14:paraId="000000D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D1">
          <w:pPr>
            <w:ind w:left="-45" w:right="73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Consejería Jurídica</w:t>
          </w:r>
        </w:p>
      </w:tc>
    </w:tr>
    <w:tr>
      <w:trPr>
        <w:cantSplit w:val="0"/>
        <w:tblHeader w:val="0"/>
      </w:trPr>
      <w:tc>
        <w:tcPr>
          <w:shd w:fill="auto" w:val="clear"/>
          <w:vAlign w:val="center"/>
        </w:tcPr>
        <w:p w:rsidR="00000000" w:rsidDel="00000000" w:rsidP="00000000" w:rsidRDefault="00000000" w:rsidRPr="00000000" w14:paraId="000000D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D3">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D4">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2"/>
      <w:numFmt w:val="bullet"/>
      <w:lvlText w:val="-"/>
      <w:lvlJc w:val="left"/>
      <w:pPr>
        <w:ind w:left="1571" w:hanging="360"/>
      </w:pPr>
      <w:rPr>
        <w:rFonts w:ascii="Palatino Linotype" w:cs="Palatino Linotype" w:eastAsia="Palatino Linotype" w:hAnsi="Palatino Linotype"/>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2">
    <w:lvl w:ilvl="0">
      <w:start w:val="2"/>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2291" w:hanging="360"/>
      </w:pPr>
      <w:rPr>
        <w:rFonts w:ascii="Noto Sans Symbols" w:cs="Noto Sans Symbols" w:eastAsia="Noto Sans Symbols" w:hAnsi="Noto Sans Symbols"/>
      </w:rPr>
    </w:lvl>
    <w:lvl w:ilvl="1">
      <w:start w:val="1"/>
      <w:numFmt w:val="bullet"/>
      <w:lvlText w:val="o"/>
      <w:lvlJc w:val="left"/>
      <w:pPr>
        <w:ind w:left="3011" w:hanging="360"/>
      </w:pPr>
      <w:rPr>
        <w:rFonts w:ascii="Courier New" w:cs="Courier New" w:eastAsia="Courier New" w:hAnsi="Courier New"/>
      </w:rPr>
    </w:lvl>
    <w:lvl w:ilvl="2">
      <w:start w:val="1"/>
      <w:numFmt w:val="bullet"/>
      <w:lvlText w:val="▪"/>
      <w:lvlJc w:val="left"/>
      <w:pPr>
        <w:ind w:left="3731" w:hanging="360"/>
      </w:pPr>
      <w:rPr>
        <w:rFonts w:ascii="Noto Sans Symbols" w:cs="Noto Sans Symbols" w:eastAsia="Noto Sans Symbols" w:hAnsi="Noto Sans Symbols"/>
      </w:rPr>
    </w:lvl>
    <w:lvl w:ilvl="3">
      <w:start w:val="1"/>
      <w:numFmt w:val="bullet"/>
      <w:lvlText w:val="●"/>
      <w:lvlJc w:val="left"/>
      <w:pPr>
        <w:ind w:left="4451" w:hanging="360"/>
      </w:pPr>
      <w:rPr>
        <w:rFonts w:ascii="Noto Sans Symbols" w:cs="Noto Sans Symbols" w:eastAsia="Noto Sans Symbols" w:hAnsi="Noto Sans Symbols"/>
      </w:rPr>
    </w:lvl>
    <w:lvl w:ilvl="4">
      <w:start w:val="1"/>
      <w:numFmt w:val="bullet"/>
      <w:lvlText w:val="o"/>
      <w:lvlJc w:val="left"/>
      <w:pPr>
        <w:ind w:left="5171" w:hanging="360"/>
      </w:pPr>
      <w:rPr>
        <w:rFonts w:ascii="Courier New" w:cs="Courier New" w:eastAsia="Courier New" w:hAnsi="Courier New"/>
      </w:rPr>
    </w:lvl>
    <w:lvl w:ilvl="5">
      <w:start w:val="1"/>
      <w:numFmt w:val="bullet"/>
      <w:lvlText w:val="▪"/>
      <w:lvlJc w:val="left"/>
      <w:pPr>
        <w:ind w:left="5891" w:hanging="360"/>
      </w:pPr>
      <w:rPr>
        <w:rFonts w:ascii="Noto Sans Symbols" w:cs="Noto Sans Symbols" w:eastAsia="Noto Sans Symbols" w:hAnsi="Noto Sans Symbols"/>
      </w:rPr>
    </w:lvl>
    <w:lvl w:ilvl="6">
      <w:start w:val="1"/>
      <w:numFmt w:val="bullet"/>
      <w:lvlText w:val="●"/>
      <w:lvlJc w:val="left"/>
      <w:pPr>
        <w:ind w:left="6611" w:hanging="360"/>
      </w:pPr>
      <w:rPr>
        <w:rFonts w:ascii="Noto Sans Symbols" w:cs="Noto Sans Symbols" w:eastAsia="Noto Sans Symbols" w:hAnsi="Noto Sans Symbols"/>
      </w:rPr>
    </w:lvl>
    <w:lvl w:ilvl="7">
      <w:start w:val="1"/>
      <w:numFmt w:val="bullet"/>
      <w:lvlText w:val="o"/>
      <w:lvlJc w:val="left"/>
      <w:pPr>
        <w:ind w:left="7331" w:hanging="360"/>
      </w:pPr>
      <w:rPr>
        <w:rFonts w:ascii="Courier New" w:cs="Courier New" w:eastAsia="Courier New" w:hAnsi="Courier New"/>
      </w:rPr>
    </w:lvl>
    <w:lvl w:ilvl="8">
      <w:start w:val="1"/>
      <w:numFmt w:val="bullet"/>
      <w:lvlText w:val="▪"/>
      <w:lvlJc w:val="left"/>
      <w:pPr>
        <w:ind w:left="8051"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A750A"/>
  </w:style>
  <w:style w:type="paragraph" w:styleId="Ttulo1">
    <w:name w:val="heading 1"/>
    <w:basedOn w:val="Normal"/>
    <w:next w:val="Normal"/>
    <w:uiPriority w:val="9"/>
    <w:qFormat w:val="1"/>
    <w:pPr>
      <w:keepNext w:val="1"/>
      <w:keepLines w:val="1"/>
      <w:spacing w:before="240"/>
      <w:outlineLvl w:val="0"/>
    </w:pPr>
    <w:rPr>
      <w:rFonts w:ascii="Calibri" w:cs="Calibri" w:eastAsia="Calibri" w:hAnsi="Calibri"/>
      <w:color w:val="366091"/>
      <w:sz w:val="32"/>
      <w:szCs w:val="32"/>
    </w:rPr>
  </w:style>
  <w:style w:type="paragraph" w:styleId="Ttulo2">
    <w:name w:val="heading 2"/>
    <w:basedOn w:val="Normal"/>
    <w:next w:val="Normal"/>
    <w:uiPriority w:val="9"/>
    <w:semiHidden w:val="1"/>
    <w:unhideWhenUsed w:val="1"/>
    <w:qFormat w:val="1"/>
    <w:pPr>
      <w:keepNext w:val="1"/>
      <w:keepLines w:val="1"/>
      <w:spacing w:before="40"/>
      <w:outlineLvl w:val="1"/>
    </w:pPr>
    <w:rPr>
      <w:rFonts w:ascii="Calibri" w:cs="Calibri" w:eastAsia="Calibri" w:hAnsi="Calibri"/>
      <w:color w:val="366091"/>
      <w:sz w:val="26"/>
      <w:szCs w:val="26"/>
    </w:rPr>
  </w:style>
  <w:style w:type="paragraph" w:styleId="Ttulo3">
    <w:name w:val="heading 3"/>
    <w:basedOn w:val="Normal"/>
    <w:next w:val="Normal"/>
    <w:uiPriority w:val="9"/>
    <w:semiHidden w:val="1"/>
    <w:unhideWhenUsed w:val="1"/>
    <w:qFormat w:val="1"/>
    <w:pPr>
      <w:keepNext w:val="1"/>
      <w:spacing w:after="60" w:before="240"/>
      <w:ind w:left="2160" w:hanging="720"/>
      <w:outlineLvl w:val="2"/>
    </w:pPr>
    <w:rPr>
      <w:rFonts w:ascii="Calibri" w:cs="Calibri" w:eastAsia="Calibri" w:hAnsi="Calibri"/>
      <w:b w:val="1"/>
      <w:sz w:val="26"/>
      <w:szCs w:val="26"/>
    </w:rPr>
  </w:style>
  <w:style w:type="paragraph" w:styleId="Ttulo4">
    <w:name w:val="heading 4"/>
    <w:basedOn w:val="Normal"/>
    <w:next w:val="Normal"/>
    <w:uiPriority w:val="9"/>
    <w:semiHidden w:val="1"/>
    <w:unhideWhenUsed w:val="1"/>
    <w:qFormat w:val="1"/>
    <w:pPr>
      <w:keepNext w:val="1"/>
      <w:spacing w:after="60" w:before="240"/>
      <w:ind w:left="2880" w:hanging="720"/>
      <w:outlineLvl w:val="3"/>
    </w:pPr>
    <w:rPr>
      <w:rFonts w:ascii="Cambria" w:cs="Cambria" w:eastAsia="Cambria" w:hAnsi="Cambria"/>
      <w:b w:val="1"/>
      <w:sz w:val="28"/>
      <w:szCs w:val="28"/>
    </w:rPr>
  </w:style>
  <w:style w:type="paragraph" w:styleId="Ttulo5">
    <w:name w:val="heading 5"/>
    <w:basedOn w:val="Normal"/>
    <w:next w:val="Normal"/>
    <w:uiPriority w:val="9"/>
    <w:semiHidden w:val="1"/>
    <w:unhideWhenUsed w:val="1"/>
    <w:qFormat w:val="1"/>
    <w:pPr>
      <w:spacing w:after="60" w:before="240"/>
      <w:ind w:left="3600" w:hanging="720"/>
      <w:outlineLvl w:val="4"/>
    </w:pPr>
    <w:rPr>
      <w:rFonts w:ascii="Cambria" w:cs="Cambria" w:eastAsia="Cambria" w:hAnsi="Cambria"/>
      <w:b w:val="1"/>
      <w:i w:val="1"/>
      <w:sz w:val="26"/>
      <w:szCs w:val="26"/>
    </w:rPr>
  </w:style>
  <w:style w:type="paragraph" w:styleId="Ttulo6">
    <w:name w:val="heading 6"/>
    <w:basedOn w:val="Normal"/>
    <w:next w:val="Normal"/>
    <w:uiPriority w:val="9"/>
    <w:semiHidden w:val="1"/>
    <w:unhideWhenUsed w:val="1"/>
    <w:qFormat w:val="1"/>
    <w:pPr>
      <w:spacing w:after="60" w:before="240"/>
      <w:ind w:left="4320" w:hanging="720"/>
      <w:outlineLvl w:val="5"/>
    </w:pPr>
    <w:rPr>
      <w:b w:val="1"/>
      <w:sz w:val="22"/>
      <w:szCs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5"/>
    <w:tblPr>
      <w:tblStyleRowBandSize w:val="1"/>
      <w:tblStyleColBandSize w:val="1"/>
      <w:tblCellMar>
        <w:left w:w="115.0" w:type="dxa"/>
        <w:right w:w="115.0" w:type="dxa"/>
      </w:tblCellMar>
    </w:tblPr>
  </w:style>
  <w:style w:type="table" w:styleId="a0" w:customStyle="1">
    <w:basedOn w:val="TableNormal5"/>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B215CF"/>
    <w:pPr>
      <w:tabs>
        <w:tab w:val="center" w:pos="4419"/>
        <w:tab w:val="right" w:pos="8838"/>
      </w:tabs>
    </w:pPr>
  </w:style>
  <w:style w:type="character" w:styleId="EncabezadoCar" w:customStyle="1">
    <w:name w:val="Encabezado Car"/>
    <w:basedOn w:val="Fuentedeprrafopredeter"/>
    <w:link w:val="Encabezado"/>
    <w:uiPriority w:val="99"/>
    <w:rsid w:val="00B215CF"/>
  </w:style>
  <w:style w:type="paragraph" w:styleId="Piedepgina">
    <w:name w:val="footer"/>
    <w:basedOn w:val="Normal"/>
    <w:link w:val="PiedepginaCar"/>
    <w:uiPriority w:val="99"/>
    <w:unhideWhenUsed w:val="1"/>
    <w:rsid w:val="00B215CF"/>
    <w:pPr>
      <w:tabs>
        <w:tab w:val="center" w:pos="4419"/>
        <w:tab w:val="right" w:pos="8838"/>
      </w:tabs>
    </w:pPr>
  </w:style>
  <w:style w:type="character" w:styleId="PiedepginaCar" w:customStyle="1">
    <w:name w:val="Pie de página Car"/>
    <w:basedOn w:val="Fuentedeprrafopredeter"/>
    <w:link w:val="Piedepgina"/>
    <w:uiPriority w:val="99"/>
    <w:rsid w:val="00B215CF"/>
  </w:style>
  <w:style w:type="paragraph" w:styleId="NormalWeb">
    <w:name w:val="Normal (Web)"/>
    <w:basedOn w:val="Normal"/>
    <w:uiPriority w:val="99"/>
    <w:unhideWhenUsed w:val="1"/>
    <w:rsid w:val="00DA0443"/>
    <w:pPr>
      <w:spacing w:after="100" w:afterAutospacing="1" w:before="100" w:beforeAutospacing="1"/>
    </w:pPr>
  </w:style>
  <w:style w:type="paragraph" w:styleId="Prrafodelista">
    <w:name w:val="List Paragraph"/>
    <w:basedOn w:val="Normal"/>
    <w:uiPriority w:val="34"/>
    <w:qFormat w:val="1"/>
    <w:rsid w:val="000038B1"/>
    <w:pPr>
      <w:ind w:left="720"/>
      <w:contextualSpacing w:val="1"/>
    </w:pPr>
  </w:style>
  <w:style w:type="table" w:styleId="a1" w:customStyle="1">
    <w:basedOn w:val="TableNormal5"/>
    <w:tblPr>
      <w:tblStyleRowBandSize w:val="1"/>
      <w:tblStyleColBandSize w:val="1"/>
      <w:tblCellMar>
        <w:left w:w="115.0" w:type="dxa"/>
        <w:right w:w="115.0" w:type="dxa"/>
      </w:tblCellMar>
    </w:tblPr>
  </w:style>
  <w:style w:type="table" w:styleId="a2" w:customStyle="1">
    <w:basedOn w:val="TableNormal5"/>
    <w:tblPr>
      <w:tblStyleRowBandSize w:val="1"/>
      <w:tblStyleColBandSize w:val="1"/>
      <w:tblCellMar>
        <w:left w:w="115.0" w:type="dxa"/>
        <w:right w:w="115.0" w:type="dxa"/>
      </w:tblCellMar>
    </w:tblPr>
  </w:style>
  <w:style w:type="table" w:styleId="a3" w:customStyle="1">
    <w:basedOn w:val="TableNormal4"/>
    <w:tblPr>
      <w:tblStyleRowBandSize w:val="1"/>
      <w:tblStyleColBandSize w:val="1"/>
      <w:tblCellMar>
        <w:left w:w="115.0" w:type="dxa"/>
        <w:right w:w="115.0" w:type="dxa"/>
      </w:tblCellMar>
    </w:tblPr>
  </w:style>
  <w:style w:type="table" w:styleId="a4" w:customStyle="1">
    <w:basedOn w:val="TableNormal4"/>
    <w:tblPr>
      <w:tblStyleRowBandSize w:val="1"/>
      <w:tblStyleColBandSize w:val="1"/>
      <w:tblCellMar>
        <w:left w:w="115.0" w:type="dxa"/>
        <w:right w:w="115.0" w:type="dxa"/>
      </w:tblCellMar>
    </w:tblPr>
  </w:style>
  <w:style w:type="table" w:styleId="a5" w:customStyle="1">
    <w:basedOn w:val="TableNormal3"/>
    <w:tblPr>
      <w:tblStyleRowBandSize w:val="1"/>
      <w:tblStyleColBandSize w:val="1"/>
      <w:tblCellMar>
        <w:left w:w="115.0" w:type="dxa"/>
        <w:right w:w="115.0" w:type="dxa"/>
      </w:tblCellMar>
    </w:tblPr>
  </w:style>
  <w:style w:type="table" w:styleId="a6" w:customStyle="1">
    <w:basedOn w:val="TableNormal3"/>
    <w:tblPr>
      <w:tblStyleRowBandSize w:val="1"/>
      <w:tblStyleColBandSize w:val="1"/>
      <w:tblCellMar>
        <w:left w:w="115.0" w:type="dxa"/>
        <w:right w:w="115.0" w:type="dxa"/>
      </w:tblCellMar>
    </w:tblPr>
  </w:style>
  <w:style w:type="character" w:styleId="Hipervnculo">
    <w:name w:val="Hyperlink"/>
    <w:basedOn w:val="Fuentedeprrafopredeter"/>
    <w:uiPriority w:val="99"/>
    <w:unhideWhenUsed w:val="1"/>
    <w:rsid w:val="00455091"/>
    <w:rPr>
      <w:color w:val="0000ff" w:themeColor="hyperlink"/>
      <w:u w:val="single"/>
    </w:rPr>
  </w:style>
  <w:style w:type="paragraph" w:styleId="Listaconvietas3">
    <w:name w:val="List Bullet 3"/>
    <w:basedOn w:val="Normal"/>
    <w:uiPriority w:val="99"/>
    <w:unhideWhenUsed w:val="1"/>
    <w:rsid w:val="00210E50"/>
    <w:pPr>
      <w:numPr>
        <w:numId w:val="4"/>
      </w:numPr>
      <w:contextualSpacing w:val="1"/>
    </w:pPr>
    <w:rPr>
      <w:lang w:val="es-ES"/>
    </w:rPr>
  </w:style>
  <w:style w:type="table" w:styleId="a7" w:customStyle="1">
    <w:basedOn w:val="TableNormal2"/>
    <w:tblPr>
      <w:tblStyleRowBandSize w:val="1"/>
      <w:tblStyleColBandSize w:val="1"/>
      <w:tblCellMar>
        <w:left w:w="115.0" w:type="dxa"/>
        <w:right w:w="115.0" w:type="dxa"/>
      </w:tblCellMar>
    </w:tblPr>
  </w:style>
  <w:style w:type="table" w:styleId="a8" w:customStyle="1">
    <w:basedOn w:val="TableNormal2"/>
    <w:tblPr>
      <w:tblStyleRowBandSize w:val="1"/>
      <w:tblStyleColBandSize w:val="1"/>
      <w:tblCellMar>
        <w:left w:w="115.0" w:type="dxa"/>
        <w:right w:w="115.0" w:type="dxa"/>
      </w:tblCellMar>
    </w:tblPr>
  </w:style>
  <w:style w:type="table" w:styleId="a9" w:customStyle="1">
    <w:basedOn w:val="TableNormal1"/>
    <w:tblPr>
      <w:tblStyleRowBandSize w:val="1"/>
      <w:tblStyleColBandSize w:val="1"/>
      <w:tblCellMar>
        <w:left w:w="115.0" w:type="dxa"/>
        <w:right w:w="115.0" w:type="dxa"/>
      </w:tblCellMar>
    </w:tblPr>
  </w:style>
  <w:style w:type="table" w:styleId="aa" w:customStyle="1">
    <w:basedOn w:val="TableNormal1"/>
    <w:tblPr>
      <w:tblStyleRowBandSize w:val="1"/>
      <w:tblStyleColBandSize w:val="1"/>
      <w:tblCellMar>
        <w:left w:w="115.0" w:type="dxa"/>
        <w:right w:w="115.0" w:type="dxa"/>
      </w:tblCellMar>
    </w:tblPr>
  </w:style>
  <w:style w:type="table" w:styleId="ab" w:customStyle="1">
    <w:basedOn w:val="TableNormal0"/>
    <w:tblPr>
      <w:tblStyleRowBandSize w:val="1"/>
      <w:tblStyleColBandSize w:val="1"/>
      <w:tblCellMar>
        <w:left w:w="115.0" w:type="dxa"/>
        <w:right w:w="115.0" w:type="dxa"/>
      </w:tblCellMar>
    </w:tblPr>
  </w:style>
  <w:style w:type="table" w:styleId="ac" w:customStyle="1">
    <w:basedOn w:val="TableNormal0"/>
    <w:tblPr>
      <w:tblStyleRowBandSize w:val="1"/>
      <w:tblStyleColBandSize w:val="1"/>
      <w:tblCellMar>
        <w:left w:w="115.0" w:type="dxa"/>
        <w:right w:w="115.0" w:type="dxa"/>
      </w:tblCellMar>
    </w:tblPr>
  </w:style>
  <w:style w:type="table" w:styleId="Tablaconcuadrcula">
    <w:name w:val="Table Grid"/>
    <w:basedOn w:val="Tablanormal"/>
    <w:uiPriority w:val="39"/>
    <w:rsid w:val="00FA3EB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ipervnculovisitado">
    <w:name w:val="FollowedHyperlink"/>
    <w:basedOn w:val="Fuentedeprrafopredeter"/>
    <w:uiPriority w:val="99"/>
    <w:semiHidden w:val="1"/>
    <w:unhideWhenUsed w:val="1"/>
    <w:rsid w:val="00FA3EBA"/>
    <w:rPr>
      <w:color w:val="800080" w:themeColor="followedHyperlink"/>
      <w:u w:val="single"/>
    </w:rPr>
  </w:style>
  <w:style w:type="table" w:styleId="Tablaconcuadrcula1" w:customStyle="1">
    <w:name w:val="Tabla con cuadrícula1"/>
    <w:basedOn w:val="Tablanormal"/>
    <w:next w:val="Tablaconcuadrcula"/>
    <w:uiPriority w:val="59"/>
    <w:rsid w:val="00DA7169"/>
    <w:rPr>
      <w:rFonts w:asciiTheme="minorHAnsi" w:cstheme="minorBidi" w:eastAsiaTheme="minorEastAsia" w:hAnsiTheme="minorHAnsi"/>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6.png"/><Relationship Id="rId13" Type="http://schemas.openxmlformats.org/officeDocument/2006/relationships/image" Target="media/image7.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png"/><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footer" Target="footer3.xml"/><Relationship Id="rId6" Type="http://schemas.openxmlformats.org/officeDocument/2006/relationships/styles" Target="styles.xml"/><Relationship Id="rId18" Type="http://schemas.openxmlformats.org/officeDocument/2006/relationships/header" Target="header3.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0DY0lA/Rs/LaS7qYNuROVRKLsg==">CgMxLjAyCGguZ2pkZ3hzMgloLjNkeTZ2a20yCWguMzBqMHpsbDIJaC4yczhleW8xMghoLnR5amN3dDIJaC4zem55c2g3MgloLjJldDkycDAyCWguMWZvYjl0ZTIJaC4xdDNoNXNmOAByITF3WnJwYklTYnJMYjVDM0VKZFQ5aUxjdTRmbWNjRmN4WQ==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2024-12-05T23:05:00Z</dcterms:created>
  <dc:creator>USUARIO</dc:creator>
</cp:coreProperties>
</file>