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BE70B" w14:textId="77777777" w:rsidR="00DA517C" w:rsidRPr="003D754B" w:rsidRDefault="00C361F7">
      <w:pPr>
        <w:spacing w:after="0" w:line="360" w:lineRule="auto"/>
        <w:ind w:right="49"/>
        <w:jc w:val="both"/>
        <w:rPr>
          <w:rFonts w:ascii="Palatino Linotype" w:eastAsia="Palatino Linotype" w:hAnsi="Palatino Linotype" w:cs="Palatino Linotype"/>
        </w:rPr>
      </w:pPr>
      <w:r w:rsidRPr="003D754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Pr="004D7AD8">
        <w:rPr>
          <w:rFonts w:ascii="Palatino Linotype" w:eastAsia="Palatino Linotype" w:hAnsi="Palatino Linotype" w:cs="Palatino Linotype"/>
          <w:b/>
        </w:rPr>
        <w:t>catorce de agosto de dos mil veinticuatro</w:t>
      </w:r>
      <w:r w:rsidRPr="003D754B">
        <w:rPr>
          <w:rFonts w:ascii="Palatino Linotype" w:eastAsia="Palatino Linotype" w:hAnsi="Palatino Linotype" w:cs="Palatino Linotype"/>
        </w:rPr>
        <w:t xml:space="preserve">. </w:t>
      </w:r>
    </w:p>
    <w:p w14:paraId="0D7B56FC" w14:textId="77777777" w:rsidR="00DA517C" w:rsidRPr="003D754B" w:rsidRDefault="00DA517C">
      <w:pPr>
        <w:spacing w:after="0" w:line="360" w:lineRule="auto"/>
        <w:ind w:right="49"/>
        <w:jc w:val="center"/>
        <w:rPr>
          <w:rFonts w:ascii="Palatino Linotype" w:eastAsia="Palatino Linotype" w:hAnsi="Palatino Linotype" w:cs="Palatino Linotype"/>
        </w:rPr>
      </w:pPr>
    </w:p>
    <w:p w14:paraId="4FC4A7AF" w14:textId="77777777" w:rsidR="00DA517C" w:rsidRPr="003D754B" w:rsidRDefault="00C361F7">
      <w:pPr>
        <w:spacing w:after="0" w:line="360" w:lineRule="auto"/>
        <w:ind w:right="49"/>
        <w:jc w:val="both"/>
        <w:rPr>
          <w:rFonts w:ascii="Palatino Linotype" w:eastAsia="Palatino Linotype" w:hAnsi="Palatino Linotype" w:cs="Palatino Linotype"/>
        </w:rPr>
      </w:pPr>
      <w:r w:rsidRPr="003D754B">
        <w:rPr>
          <w:rFonts w:ascii="Palatino Linotype" w:eastAsia="Palatino Linotype" w:hAnsi="Palatino Linotype" w:cs="Palatino Linotype"/>
        </w:rPr>
        <w:t xml:space="preserve">Visto el expediente relativo al recurso de revisión </w:t>
      </w:r>
      <w:r w:rsidRPr="003D754B">
        <w:rPr>
          <w:rFonts w:ascii="Palatino Linotype" w:eastAsia="Palatino Linotype" w:hAnsi="Palatino Linotype" w:cs="Palatino Linotype"/>
          <w:b/>
        </w:rPr>
        <w:t>03149/INFOEM/IP/RR/2024</w:t>
      </w:r>
      <w:r w:rsidRPr="003D754B">
        <w:rPr>
          <w:rFonts w:ascii="Palatino Linotype" w:eastAsia="Palatino Linotype" w:hAnsi="Palatino Linotype" w:cs="Palatino Linotype"/>
        </w:rPr>
        <w:t xml:space="preserve">, interpuesto por </w:t>
      </w:r>
      <w:r w:rsidRPr="003D754B">
        <w:rPr>
          <w:rFonts w:ascii="Palatino Linotype" w:eastAsia="Palatino Linotype" w:hAnsi="Palatino Linotype" w:cs="Palatino Linotype"/>
          <w:b/>
        </w:rPr>
        <w:t>una persona usuaria del Sistema de Acceso a la Información Mexiquense</w:t>
      </w:r>
      <w:r w:rsidRPr="003D754B">
        <w:rPr>
          <w:rFonts w:ascii="Palatino Linotype" w:eastAsia="Palatino Linotype" w:hAnsi="Palatino Linotype" w:cs="Palatino Linotype"/>
        </w:rPr>
        <w:t xml:space="preserve">, al cual en lo sucesivo se le denominará la parte </w:t>
      </w:r>
      <w:r w:rsidRPr="003D754B">
        <w:rPr>
          <w:rFonts w:ascii="Palatino Linotype" w:eastAsia="Palatino Linotype" w:hAnsi="Palatino Linotype" w:cs="Palatino Linotype"/>
          <w:b/>
        </w:rPr>
        <w:t>RECURRENTE</w:t>
      </w:r>
      <w:r w:rsidRPr="003D754B">
        <w:rPr>
          <w:rFonts w:ascii="Palatino Linotype" w:eastAsia="Palatino Linotype" w:hAnsi="Palatino Linotype" w:cs="Palatino Linotype"/>
        </w:rPr>
        <w:t xml:space="preserve">, en contra de la respuesta a su solicitud de información identificada con número de folio </w:t>
      </w:r>
      <w:r w:rsidRPr="003D754B">
        <w:rPr>
          <w:rFonts w:ascii="Palatino Linotype" w:eastAsia="Palatino Linotype" w:hAnsi="Palatino Linotype" w:cs="Palatino Linotype"/>
          <w:b/>
        </w:rPr>
        <w:t>00422/MELOCAM/IP/2024</w:t>
      </w:r>
      <w:r w:rsidRPr="003D754B">
        <w:rPr>
          <w:rFonts w:ascii="Palatino Linotype" w:eastAsia="Palatino Linotype" w:hAnsi="Palatino Linotype" w:cs="Palatino Linotype"/>
        </w:rPr>
        <w:t xml:space="preserve"> proporcionada por parte del </w:t>
      </w:r>
      <w:r w:rsidRPr="003D754B">
        <w:rPr>
          <w:rFonts w:ascii="Palatino Linotype" w:eastAsia="Palatino Linotype" w:hAnsi="Palatino Linotype" w:cs="Palatino Linotype"/>
          <w:b/>
        </w:rPr>
        <w:t>Ayuntamiento de Melchor Ocampo</w:t>
      </w:r>
      <w:r w:rsidRPr="003D754B">
        <w:rPr>
          <w:rFonts w:ascii="Palatino Linotype" w:eastAsia="Palatino Linotype" w:hAnsi="Palatino Linotype" w:cs="Palatino Linotype"/>
        </w:rPr>
        <w:t xml:space="preserve">, en lo sucesivo el </w:t>
      </w:r>
      <w:r w:rsidRPr="003D754B">
        <w:rPr>
          <w:rFonts w:ascii="Palatino Linotype" w:eastAsia="Palatino Linotype" w:hAnsi="Palatino Linotype" w:cs="Palatino Linotype"/>
          <w:b/>
        </w:rPr>
        <w:t>SUJETO OBLIGADO</w:t>
      </w:r>
      <w:r w:rsidRPr="003D754B">
        <w:rPr>
          <w:rFonts w:ascii="Palatino Linotype" w:eastAsia="Palatino Linotype" w:hAnsi="Palatino Linotype" w:cs="Palatino Linotype"/>
        </w:rPr>
        <w:t>; se procede a dictar la presente resolución, con base en los siguientes:</w:t>
      </w:r>
    </w:p>
    <w:p w14:paraId="4661CFDF" w14:textId="77777777" w:rsidR="00DA517C" w:rsidRPr="003D754B" w:rsidRDefault="00DA517C">
      <w:pPr>
        <w:spacing w:after="0" w:line="360" w:lineRule="auto"/>
        <w:ind w:right="49"/>
        <w:jc w:val="both"/>
        <w:rPr>
          <w:rFonts w:ascii="Palatino Linotype" w:eastAsia="Palatino Linotype" w:hAnsi="Palatino Linotype" w:cs="Palatino Linotype"/>
        </w:rPr>
      </w:pPr>
    </w:p>
    <w:p w14:paraId="31707C0C" w14:textId="77777777" w:rsidR="00DA517C" w:rsidRPr="003D754B" w:rsidRDefault="00C361F7">
      <w:pPr>
        <w:spacing w:after="0" w:line="360" w:lineRule="auto"/>
        <w:ind w:right="49"/>
        <w:jc w:val="center"/>
        <w:rPr>
          <w:rFonts w:ascii="Palatino Linotype" w:eastAsia="Palatino Linotype" w:hAnsi="Palatino Linotype" w:cs="Palatino Linotype"/>
          <w:b/>
        </w:rPr>
      </w:pPr>
      <w:r w:rsidRPr="003D754B">
        <w:rPr>
          <w:rFonts w:ascii="Palatino Linotype" w:eastAsia="Palatino Linotype" w:hAnsi="Palatino Linotype" w:cs="Palatino Linotype"/>
          <w:b/>
        </w:rPr>
        <w:t>I.</w:t>
      </w:r>
      <w:r w:rsidRPr="003D754B">
        <w:rPr>
          <w:rFonts w:ascii="Palatino Linotype" w:eastAsia="Palatino Linotype" w:hAnsi="Palatino Linotype" w:cs="Palatino Linotype"/>
          <w:b/>
        </w:rPr>
        <w:tab/>
        <w:t>A N T E C E D E N T E S</w:t>
      </w:r>
    </w:p>
    <w:p w14:paraId="4353B0A0" w14:textId="77777777" w:rsidR="00DA517C" w:rsidRPr="003D754B" w:rsidRDefault="00DA517C">
      <w:pPr>
        <w:spacing w:after="0" w:line="360" w:lineRule="auto"/>
        <w:ind w:right="49"/>
        <w:jc w:val="both"/>
        <w:rPr>
          <w:rFonts w:ascii="Palatino Linotype" w:eastAsia="Palatino Linotype" w:hAnsi="Palatino Linotype" w:cs="Palatino Linotype"/>
        </w:rPr>
      </w:pPr>
    </w:p>
    <w:p w14:paraId="7CABC2E9" w14:textId="77777777" w:rsidR="00DA517C" w:rsidRPr="003D754B" w:rsidRDefault="00C361F7">
      <w:pPr>
        <w:numPr>
          <w:ilvl w:val="0"/>
          <w:numId w:val="2"/>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3D754B">
        <w:rPr>
          <w:rFonts w:ascii="Palatino Linotype" w:eastAsia="Palatino Linotype" w:hAnsi="Palatino Linotype" w:cs="Palatino Linotype"/>
          <w:b/>
        </w:rPr>
        <w:t>Solicitud de acceso a la información.</w:t>
      </w:r>
      <w:r w:rsidRPr="003D754B">
        <w:rPr>
          <w:rFonts w:ascii="Palatino Linotype" w:eastAsia="Palatino Linotype" w:hAnsi="Palatino Linotype" w:cs="Palatino Linotype"/>
        </w:rPr>
        <w:t xml:space="preserve"> Con fecha </w:t>
      </w:r>
      <w:r w:rsidRPr="003D754B">
        <w:rPr>
          <w:rFonts w:ascii="Palatino Linotype" w:eastAsia="Palatino Linotype" w:hAnsi="Palatino Linotype" w:cs="Palatino Linotype"/>
          <w:b/>
        </w:rPr>
        <w:t>diecisiete de abril de dos mil veinticuatro</w:t>
      </w:r>
      <w:r w:rsidRPr="003D754B">
        <w:rPr>
          <w:rFonts w:ascii="Palatino Linotype" w:eastAsia="Palatino Linotype" w:hAnsi="Palatino Linotype" w:cs="Palatino Linotype"/>
        </w:rPr>
        <w:t xml:space="preserve">, la parte </w:t>
      </w:r>
      <w:r w:rsidRPr="003D754B">
        <w:rPr>
          <w:rFonts w:ascii="Palatino Linotype" w:eastAsia="Palatino Linotype" w:hAnsi="Palatino Linotype" w:cs="Palatino Linotype"/>
          <w:b/>
        </w:rPr>
        <w:t>RECURRENTE</w:t>
      </w:r>
      <w:r w:rsidRPr="003D754B">
        <w:rPr>
          <w:rFonts w:ascii="Palatino Linotype" w:eastAsia="Palatino Linotype" w:hAnsi="Palatino Linotype" w:cs="Palatino Linotype"/>
        </w:rPr>
        <w:t xml:space="preserve"> formuló solicitud de acceso a información pública al</w:t>
      </w:r>
      <w:r w:rsidRPr="003D754B">
        <w:rPr>
          <w:rFonts w:ascii="Palatino Linotype" w:eastAsia="Palatino Linotype" w:hAnsi="Palatino Linotype" w:cs="Palatino Linotype"/>
          <w:b/>
        </w:rPr>
        <w:t xml:space="preserve"> SUJETO OBLIGADO</w:t>
      </w:r>
      <w:r w:rsidRPr="003D754B">
        <w:rPr>
          <w:rFonts w:ascii="Palatino Linotype" w:eastAsia="Palatino Linotype" w:hAnsi="Palatino Linotype" w:cs="Palatino Linotype"/>
        </w:rPr>
        <w:t xml:space="preserve"> a través del Sistema de Acceso a la Información Mexiquense, en adelante SAIMEX, en la que requirió lo siguiente: </w:t>
      </w:r>
    </w:p>
    <w:p w14:paraId="64616E36" w14:textId="77777777" w:rsidR="00DA517C" w:rsidRPr="003D754B" w:rsidRDefault="00C361F7">
      <w:pPr>
        <w:tabs>
          <w:tab w:val="left" w:pos="1530"/>
        </w:tabs>
        <w:spacing w:after="0" w:line="360" w:lineRule="auto"/>
        <w:ind w:right="49"/>
        <w:jc w:val="both"/>
        <w:rPr>
          <w:rFonts w:ascii="Palatino Linotype" w:eastAsia="Palatino Linotype" w:hAnsi="Palatino Linotype" w:cs="Palatino Linotype"/>
        </w:rPr>
      </w:pPr>
      <w:r w:rsidRPr="003D754B">
        <w:rPr>
          <w:rFonts w:ascii="Palatino Linotype" w:eastAsia="Palatino Linotype" w:hAnsi="Palatino Linotype" w:cs="Palatino Linotype"/>
        </w:rPr>
        <w:tab/>
      </w:r>
    </w:p>
    <w:p w14:paraId="08CDFA58" w14:textId="77777777" w:rsidR="00DA517C" w:rsidRPr="003D754B" w:rsidRDefault="00C361F7">
      <w:pPr>
        <w:spacing w:after="0" w:line="240" w:lineRule="auto"/>
        <w:ind w:left="567" w:right="701"/>
        <w:jc w:val="both"/>
        <w:rPr>
          <w:rFonts w:ascii="Palatino Linotype" w:eastAsia="Palatino Linotype" w:hAnsi="Palatino Linotype" w:cs="Palatino Linotype"/>
          <w:i/>
        </w:rPr>
      </w:pPr>
      <w:bookmarkStart w:id="0" w:name="_heading=h.30j0zll" w:colFirst="0" w:colLast="0"/>
      <w:bookmarkEnd w:id="0"/>
      <w:r w:rsidRPr="003D754B">
        <w:rPr>
          <w:rFonts w:ascii="Palatino Linotype" w:eastAsia="Palatino Linotype" w:hAnsi="Palatino Linotype" w:cs="Palatino Linotype"/>
          <w:i/>
        </w:rPr>
        <w:t>“Licencia de funcionamiento en versión publica de todos los negocios con venta de alcohol y pista del municipio de Melchor Ocampo, de enero 2019 al mes de marzo del año 2024”.</w:t>
      </w:r>
    </w:p>
    <w:p w14:paraId="6109A495" w14:textId="77777777" w:rsidR="00DA517C" w:rsidRPr="003D754B" w:rsidRDefault="00C361F7">
      <w:pPr>
        <w:spacing w:after="0"/>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t xml:space="preserve"> </w:t>
      </w:r>
    </w:p>
    <w:p w14:paraId="49FBE52F" w14:textId="77777777" w:rsidR="00DA517C" w:rsidRPr="003D754B" w:rsidRDefault="00C361F7">
      <w:pPr>
        <w:spacing w:after="0" w:line="360" w:lineRule="auto"/>
        <w:ind w:right="49"/>
        <w:jc w:val="both"/>
        <w:rPr>
          <w:rFonts w:ascii="Palatino Linotype" w:eastAsia="Palatino Linotype" w:hAnsi="Palatino Linotype" w:cs="Palatino Linotype"/>
        </w:rPr>
      </w:pPr>
      <w:r w:rsidRPr="003D754B">
        <w:rPr>
          <w:rFonts w:ascii="Palatino Linotype" w:eastAsia="Palatino Linotype" w:hAnsi="Palatino Linotype" w:cs="Palatino Linotype"/>
          <w:b/>
        </w:rPr>
        <w:t>Modalidad elegida para la entrega de la información:</w:t>
      </w:r>
      <w:r w:rsidRPr="003D754B">
        <w:rPr>
          <w:rFonts w:ascii="Palatino Linotype" w:eastAsia="Palatino Linotype" w:hAnsi="Palatino Linotype" w:cs="Palatino Linotype"/>
        </w:rPr>
        <w:t xml:space="preserve"> a través del Sistema de Acceso a la Información Mexiquense (SAIMEX). </w:t>
      </w:r>
    </w:p>
    <w:p w14:paraId="5F941BFB" w14:textId="77777777" w:rsidR="00DA517C" w:rsidRPr="003D754B" w:rsidRDefault="00DA517C">
      <w:pPr>
        <w:spacing w:after="0" w:line="360" w:lineRule="auto"/>
        <w:ind w:right="49"/>
        <w:jc w:val="both"/>
        <w:rPr>
          <w:rFonts w:ascii="Palatino Linotype" w:eastAsia="Palatino Linotype" w:hAnsi="Palatino Linotype" w:cs="Palatino Linotype"/>
        </w:rPr>
      </w:pPr>
    </w:p>
    <w:p w14:paraId="50025934" w14:textId="77777777" w:rsidR="00DA517C" w:rsidRPr="003D754B" w:rsidRDefault="00C361F7">
      <w:pPr>
        <w:numPr>
          <w:ilvl w:val="0"/>
          <w:numId w:val="2"/>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rPr>
      </w:pPr>
      <w:r w:rsidRPr="003D754B">
        <w:rPr>
          <w:rFonts w:ascii="Palatino Linotype" w:eastAsia="Palatino Linotype" w:hAnsi="Palatino Linotype" w:cs="Palatino Linotype"/>
          <w:b/>
        </w:rPr>
        <w:t xml:space="preserve">Solicitud de Aclaración. </w:t>
      </w:r>
      <w:r w:rsidRPr="003D754B">
        <w:rPr>
          <w:rFonts w:ascii="Palatino Linotype" w:eastAsia="Palatino Linotype" w:hAnsi="Palatino Linotype" w:cs="Palatino Linotype"/>
        </w:rPr>
        <w:t xml:space="preserve">En fecha </w:t>
      </w:r>
      <w:r w:rsidRPr="003D754B">
        <w:rPr>
          <w:rFonts w:ascii="Palatino Linotype" w:eastAsia="Palatino Linotype" w:hAnsi="Palatino Linotype" w:cs="Palatino Linotype"/>
          <w:b/>
        </w:rPr>
        <w:t>veintidós de abril de dos mil veinticuatro</w:t>
      </w:r>
      <w:r w:rsidRPr="003D754B">
        <w:rPr>
          <w:rFonts w:ascii="Palatino Linotype" w:eastAsia="Palatino Linotype" w:hAnsi="Palatino Linotype" w:cs="Palatino Linotype"/>
        </w:rPr>
        <w:t xml:space="preserve">, el </w:t>
      </w:r>
      <w:r w:rsidRPr="003D754B">
        <w:rPr>
          <w:rFonts w:ascii="Palatino Linotype" w:eastAsia="Palatino Linotype" w:hAnsi="Palatino Linotype" w:cs="Palatino Linotype"/>
          <w:b/>
        </w:rPr>
        <w:t xml:space="preserve">SUJETO OBLIGADO </w:t>
      </w:r>
      <w:r w:rsidRPr="003D754B">
        <w:rPr>
          <w:rFonts w:ascii="Palatino Linotype" w:eastAsia="Palatino Linotype" w:hAnsi="Palatino Linotype" w:cs="Palatino Linotype"/>
        </w:rPr>
        <w:t>solicitó una aclaración al tenor de lo siguiente:</w:t>
      </w:r>
    </w:p>
    <w:p w14:paraId="052504BF" w14:textId="77777777" w:rsidR="00DA517C" w:rsidRPr="003D754B" w:rsidRDefault="00C361F7">
      <w:pPr>
        <w:spacing w:after="0"/>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lastRenderedPageBreak/>
        <w:t xml:space="preserve">Con fundamento en el </w:t>
      </w:r>
      <w:proofErr w:type="spellStart"/>
      <w:r w:rsidRPr="003D754B">
        <w:rPr>
          <w:rFonts w:ascii="Palatino Linotype" w:eastAsia="Palatino Linotype" w:hAnsi="Palatino Linotype" w:cs="Palatino Linotype"/>
          <w:i/>
        </w:rPr>
        <w:t>articulo</w:t>
      </w:r>
      <w:proofErr w:type="spellEnd"/>
      <w:r w:rsidRPr="003D754B">
        <w:rPr>
          <w:rFonts w:ascii="Palatino Linotype" w:eastAsia="Palatino Linotype" w:hAnsi="Palatino Linotype" w:cs="Palatino Linotype"/>
          <w:i/>
        </w:rPr>
        <w:t xml:space="preserve"> 159 de la Ley de Transparencia y Acceso a la Información Pública del Estado de México y Municipios, se le requiere para que dentro del plazo de diez días hábiles realice lo siguiente:</w:t>
      </w:r>
    </w:p>
    <w:p w14:paraId="7833D997" w14:textId="77777777" w:rsidR="00DA517C" w:rsidRPr="003D754B" w:rsidRDefault="00C361F7">
      <w:pPr>
        <w:spacing w:after="0"/>
        <w:ind w:left="567" w:right="560"/>
        <w:jc w:val="both"/>
        <w:rPr>
          <w:rFonts w:ascii="Palatino Linotype" w:eastAsia="Palatino Linotype" w:hAnsi="Palatino Linotype" w:cs="Palatino Linotype"/>
          <w:b/>
          <w:i/>
        </w:rPr>
      </w:pPr>
      <w:r w:rsidRPr="003D754B">
        <w:rPr>
          <w:rFonts w:ascii="Palatino Linotype" w:eastAsia="Palatino Linotype" w:hAnsi="Palatino Linotype" w:cs="Palatino Linotype"/>
          <w:i/>
        </w:rPr>
        <w:t xml:space="preserve">Con fundamento en el Artículo 159 de la Ley de Transparencia y Acceso a la Información Pública del Estado de México y Municipio me permito solicitar tenga a bien precisar </w:t>
      </w:r>
      <w:r w:rsidRPr="003D754B">
        <w:rPr>
          <w:rFonts w:ascii="Palatino Linotype" w:eastAsia="Palatino Linotype" w:hAnsi="Palatino Linotype" w:cs="Palatino Linotype"/>
          <w:b/>
          <w:i/>
        </w:rPr>
        <w:t xml:space="preserve">a </w:t>
      </w:r>
      <w:proofErr w:type="spellStart"/>
      <w:r w:rsidRPr="003D754B">
        <w:rPr>
          <w:rFonts w:ascii="Palatino Linotype" w:eastAsia="Palatino Linotype" w:hAnsi="Palatino Linotype" w:cs="Palatino Linotype"/>
          <w:b/>
          <w:i/>
        </w:rPr>
        <w:t>que</w:t>
      </w:r>
      <w:proofErr w:type="spellEnd"/>
      <w:r w:rsidRPr="003D754B">
        <w:rPr>
          <w:rFonts w:ascii="Palatino Linotype" w:eastAsia="Palatino Linotype" w:hAnsi="Palatino Linotype" w:cs="Palatino Linotype"/>
          <w:b/>
          <w:i/>
        </w:rPr>
        <w:t xml:space="preserve"> se refiere con “Licencia de funcionamiento de los negocios con venta de alcohol y pista”,</w:t>
      </w:r>
      <w:r w:rsidRPr="003D754B">
        <w:rPr>
          <w:rFonts w:ascii="Palatino Linotype" w:eastAsia="Palatino Linotype" w:hAnsi="Palatino Linotype" w:cs="Palatino Linotype"/>
          <w:i/>
        </w:rPr>
        <w:t xml:space="preserve"> ello a razón de atender su requerimiento de manera eficiente, precisa y concisa.</w:t>
      </w:r>
    </w:p>
    <w:p w14:paraId="782F7D9F" w14:textId="77777777" w:rsidR="00DA517C" w:rsidRPr="003D754B" w:rsidRDefault="00C361F7">
      <w:pPr>
        <w:spacing w:after="0"/>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50F3420F" w14:textId="77777777" w:rsidR="00DA517C" w:rsidRPr="003D754B" w:rsidRDefault="00DA517C">
      <w:pPr>
        <w:spacing w:after="0" w:line="360" w:lineRule="auto"/>
        <w:jc w:val="both"/>
        <w:rPr>
          <w:rFonts w:ascii="Palatino Linotype" w:eastAsia="Palatino Linotype" w:hAnsi="Palatino Linotype" w:cs="Palatino Linotype"/>
        </w:rPr>
      </w:pPr>
    </w:p>
    <w:p w14:paraId="1F3A18AF" w14:textId="77777777" w:rsidR="00DA517C" w:rsidRPr="003D754B" w:rsidRDefault="00C361F7">
      <w:pPr>
        <w:numPr>
          <w:ilvl w:val="0"/>
          <w:numId w:val="2"/>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3D754B">
        <w:rPr>
          <w:rFonts w:ascii="Palatino Linotype" w:eastAsia="Palatino Linotype" w:hAnsi="Palatino Linotype" w:cs="Palatino Linotype"/>
          <w:b/>
        </w:rPr>
        <w:t xml:space="preserve">No presentó la aclaración: </w:t>
      </w:r>
      <w:r w:rsidRPr="003D754B">
        <w:rPr>
          <w:rFonts w:ascii="Palatino Linotype" w:eastAsia="Palatino Linotype" w:hAnsi="Palatino Linotype" w:cs="Palatino Linotype"/>
        </w:rPr>
        <w:t xml:space="preserve">En fecha </w:t>
      </w:r>
      <w:r w:rsidRPr="003D754B">
        <w:rPr>
          <w:rFonts w:ascii="Palatino Linotype" w:eastAsia="Palatino Linotype" w:hAnsi="Palatino Linotype" w:cs="Palatino Linotype"/>
          <w:b/>
        </w:rPr>
        <w:t>nueve de mayo de dos mil veinticuatro</w:t>
      </w:r>
      <w:r w:rsidRPr="003D754B">
        <w:rPr>
          <w:rFonts w:ascii="Palatino Linotype" w:eastAsia="Palatino Linotype" w:hAnsi="Palatino Linotype" w:cs="Palatino Linotype"/>
        </w:rPr>
        <w:t xml:space="preserve">, el </w:t>
      </w:r>
      <w:r w:rsidRPr="003D754B">
        <w:rPr>
          <w:rFonts w:ascii="Palatino Linotype" w:eastAsia="Palatino Linotype" w:hAnsi="Palatino Linotype" w:cs="Palatino Linotype"/>
          <w:b/>
        </w:rPr>
        <w:t xml:space="preserve">SUJETO OBLIGADO </w:t>
      </w:r>
      <w:r w:rsidRPr="003D754B">
        <w:rPr>
          <w:rFonts w:ascii="Palatino Linotype" w:eastAsia="Palatino Linotype" w:hAnsi="Palatino Linotype" w:cs="Palatino Linotype"/>
        </w:rPr>
        <w:t>tuvo por no presentada la aclaración, precisando lo siguiente:</w:t>
      </w:r>
    </w:p>
    <w:p w14:paraId="12D1C63F" w14:textId="77777777" w:rsidR="00DA517C" w:rsidRPr="003D754B" w:rsidRDefault="00DA517C">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14AF1C1B" w14:textId="77777777" w:rsidR="00DA517C" w:rsidRPr="003D754B" w:rsidRDefault="00C361F7">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t xml:space="preserve">Con fundamento en el </w:t>
      </w:r>
      <w:proofErr w:type="spellStart"/>
      <w:r w:rsidRPr="003D754B">
        <w:rPr>
          <w:rFonts w:ascii="Palatino Linotype" w:eastAsia="Palatino Linotype" w:hAnsi="Palatino Linotype" w:cs="Palatino Linotype"/>
          <w:i/>
        </w:rPr>
        <w:t>articulo</w:t>
      </w:r>
      <w:proofErr w:type="spellEnd"/>
      <w:r w:rsidRPr="003D754B">
        <w:rPr>
          <w:rFonts w:ascii="Palatino Linotype" w:eastAsia="Palatino Linotype" w:hAnsi="Palatino Linotype" w:cs="Palatino Linotype"/>
          <w:i/>
        </w:rPr>
        <w:t xml:space="preserve"> 159, tercer párrafo de la Ley de Transparencia y Acceso a la Información Pública del Estado de México y Municipios, se le hace de su conocimiento que se tiene por no presentada la solicitud de aclaración citada al rubro, en virtud de que</w:t>
      </w:r>
    </w:p>
    <w:p w14:paraId="1CD5FAA6" w14:textId="77777777" w:rsidR="00DA517C" w:rsidRPr="003D754B" w:rsidRDefault="00C361F7">
      <w:pPr>
        <w:pBdr>
          <w:top w:val="nil"/>
          <w:left w:val="nil"/>
          <w:bottom w:val="nil"/>
          <w:right w:val="nil"/>
          <w:between w:val="nil"/>
        </w:pBdr>
        <w:spacing w:after="0"/>
        <w:ind w:left="567" w:right="560"/>
        <w:jc w:val="both"/>
        <w:rPr>
          <w:rFonts w:ascii="Palatino Linotype" w:eastAsia="Palatino Linotype" w:hAnsi="Palatino Linotype" w:cs="Palatino Linotype"/>
          <w:b/>
          <w:i/>
        </w:rPr>
      </w:pPr>
      <w:r w:rsidRPr="003D754B">
        <w:rPr>
          <w:rFonts w:ascii="Palatino Linotype" w:eastAsia="Palatino Linotype" w:hAnsi="Palatino Linotype" w:cs="Palatino Linotype"/>
          <w:b/>
          <w:i/>
        </w:rPr>
        <w:t>Aclaración no presentada.</w:t>
      </w:r>
    </w:p>
    <w:p w14:paraId="57FD66AE" w14:textId="77777777" w:rsidR="00DA517C" w:rsidRPr="003D754B" w:rsidRDefault="00C361F7">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t>Quedando a salvo sus derechos para volverla a presentar. En virtud de lo anterior, se archiva la presente solicitud como concluida Se hace de su conocimiento que tiene derecho de interponer recurso de revisión dentro del plazo de 15 días hábiles contados a partir de la fecha en que se realice la notificación vía electrónica, a través del SAIMEX.</w:t>
      </w:r>
    </w:p>
    <w:p w14:paraId="2F58F9C7" w14:textId="77777777" w:rsidR="00DA517C" w:rsidRPr="003D754B" w:rsidRDefault="00C361F7">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t>ATENTAMENTE</w:t>
      </w:r>
    </w:p>
    <w:p w14:paraId="03731599" w14:textId="77777777" w:rsidR="00DA517C" w:rsidRPr="003D754B" w:rsidRDefault="00C361F7">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t>H. AYUNTAMIENTO MELCHOR OCAMPO</w:t>
      </w:r>
    </w:p>
    <w:p w14:paraId="71103AF0" w14:textId="77777777" w:rsidR="00DA517C" w:rsidRPr="003D754B" w:rsidRDefault="00DA517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6B1F769" w14:textId="77777777" w:rsidR="00DA517C" w:rsidRPr="003D754B" w:rsidRDefault="00C361F7">
      <w:pPr>
        <w:numPr>
          <w:ilvl w:val="0"/>
          <w:numId w:val="2"/>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3D754B">
        <w:rPr>
          <w:rFonts w:ascii="Palatino Linotype" w:eastAsia="Palatino Linotype" w:hAnsi="Palatino Linotype" w:cs="Palatino Linotype"/>
          <w:b/>
        </w:rPr>
        <w:t xml:space="preserve">Recurso de Revisión. </w:t>
      </w:r>
      <w:r w:rsidRPr="003D754B">
        <w:rPr>
          <w:rFonts w:ascii="Palatino Linotype" w:eastAsia="Palatino Linotype" w:hAnsi="Palatino Linotype" w:cs="Palatino Linotype"/>
        </w:rPr>
        <w:t xml:space="preserve">En fecha </w:t>
      </w:r>
      <w:r w:rsidRPr="003D754B">
        <w:rPr>
          <w:rFonts w:ascii="Palatino Linotype" w:eastAsia="Palatino Linotype" w:hAnsi="Palatino Linotype" w:cs="Palatino Linotype"/>
          <w:b/>
        </w:rPr>
        <w:t>veinte de mayo de dos mil veinticuatro</w:t>
      </w:r>
      <w:r w:rsidRPr="003D754B">
        <w:rPr>
          <w:rFonts w:ascii="Palatino Linotype" w:eastAsia="Palatino Linotype" w:hAnsi="Palatino Linotype" w:cs="Palatino Linotype"/>
        </w:rPr>
        <w:t xml:space="preserve"> la persona Solicitante interpuso Recurso de Revisión a través del </w:t>
      </w:r>
      <w:r w:rsidRPr="003D754B">
        <w:rPr>
          <w:rFonts w:ascii="Palatino Linotype" w:eastAsia="Palatino Linotype" w:hAnsi="Palatino Linotype" w:cs="Palatino Linotype"/>
          <w:b/>
        </w:rPr>
        <w:t>SAIMEX</w:t>
      </w:r>
      <w:r w:rsidRPr="003D754B">
        <w:rPr>
          <w:rFonts w:ascii="Palatino Linotype" w:eastAsia="Palatino Linotype" w:hAnsi="Palatino Linotype" w:cs="Palatino Linotype"/>
        </w:rPr>
        <w:t>, a través del cual expresó lo siguiente:</w:t>
      </w:r>
    </w:p>
    <w:p w14:paraId="446D321D" w14:textId="77777777" w:rsidR="00DA517C" w:rsidRPr="003D754B" w:rsidRDefault="00DA517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C285A81" w14:textId="77777777" w:rsidR="00DA517C" w:rsidRPr="003D754B" w:rsidRDefault="00C361F7">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r w:rsidRPr="003D754B">
        <w:rPr>
          <w:rFonts w:ascii="Palatino Linotype" w:eastAsia="Palatino Linotype" w:hAnsi="Palatino Linotype" w:cs="Palatino Linotype"/>
          <w:b/>
        </w:rPr>
        <w:t>Acto impugnado</w:t>
      </w:r>
      <w:r w:rsidRPr="003D754B">
        <w:rPr>
          <w:rFonts w:ascii="Palatino Linotype" w:eastAsia="Palatino Linotype" w:hAnsi="Palatino Linotype" w:cs="Palatino Linotype"/>
          <w:b/>
          <w:i/>
        </w:rPr>
        <w:t xml:space="preserve">. </w:t>
      </w:r>
      <w:r w:rsidRPr="003D754B">
        <w:rPr>
          <w:rFonts w:ascii="Palatino Linotype" w:eastAsia="Palatino Linotype" w:hAnsi="Palatino Linotype" w:cs="Palatino Linotype"/>
          <w:i/>
        </w:rPr>
        <w:t>“INCONFORME DE LA RESPUESTA”.</w:t>
      </w:r>
    </w:p>
    <w:p w14:paraId="2324C3C8" w14:textId="77777777" w:rsidR="00DA517C" w:rsidRPr="003D754B" w:rsidRDefault="00DA517C">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p>
    <w:p w14:paraId="54779CFB" w14:textId="77777777" w:rsidR="00DA517C" w:rsidRPr="003D754B" w:rsidRDefault="00C361F7">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rPr>
      </w:pPr>
      <w:r w:rsidRPr="003D754B">
        <w:rPr>
          <w:rFonts w:ascii="Palatino Linotype" w:eastAsia="Palatino Linotype" w:hAnsi="Palatino Linotype" w:cs="Palatino Linotype"/>
          <w:b/>
        </w:rPr>
        <w:lastRenderedPageBreak/>
        <w:t xml:space="preserve">Razones o motivos de la inconformidad: </w:t>
      </w:r>
      <w:r w:rsidRPr="003D754B">
        <w:rPr>
          <w:rFonts w:ascii="Palatino Linotype" w:eastAsia="Palatino Linotype" w:hAnsi="Palatino Linotype" w:cs="Palatino Linotype"/>
          <w:i/>
        </w:rPr>
        <w:t xml:space="preserve">“INCONFORME DE LA RESPUESTA”. </w:t>
      </w:r>
    </w:p>
    <w:p w14:paraId="0BCE3469" w14:textId="77777777" w:rsidR="00DA517C" w:rsidRPr="003D754B" w:rsidRDefault="00DA517C">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p>
    <w:p w14:paraId="00BD50DA" w14:textId="77777777" w:rsidR="00DA517C" w:rsidRPr="003D754B" w:rsidRDefault="00C361F7">
      <w:pPr>
        <w:numPr>
          <w:ilvl w:val="0"/>
          <w:numId w:val="2"/>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3D754B">
        <w:rPr>
          <w:rFonts w:ascii="Palatino Linotype" w:eastAsia="Palatino Linotype" w:hAnsi="Palatino Linotype" w:cs="Palatino Linotype"/>
          <w:b/>
        </w:rPr>
        <w:t>Turno.</w:t>
      </w:r>
      <w:r w:rsidRPr="003D754B">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Pr="003D754B">
        <w:rPr>
          <w:rFonts w:ascii="Palatino Linotype" w:eastAsia="Palatino Linotype" w:hAnsi="Palatino Linotype" w:cs="Palatino Linotype"/>
          <w:b/>
        </w:rPr>
        <w:t>03149/INFOEM/IP/RR/2024</w:t>
      </w:r>
      <w:r w:rsidRPr="003D754B">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79D37137" w14:textId="77777777" w:rsidR="00DA517C" w:rsidRPr="003D754B" w:rsidRDefault="00DA517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FAB49C3" w14:textId="77777777" w:rsidR="00DA517C" w:rsidRPr="003D754B" w:rsidRDefault="00C361F7">
      <w:pPr>
        <w:numPr>
          <w:ilvl w:val="0"/>
          <w:numId w:val="2"/>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3D754B">
        <w:rPr>
          <w:rFonts w:ascii="Palatino Linotype" w:eastAsia="Palatino Linotype" w:hAnsi="Palatino Linotype" w:cs="Palatino Linotype"/>
          <w:b/>
        </w:rPr>
        <w:t>Admisión del recurso de revisión</w:t>
      </w:r>
      <w:r w:rsidRPr="003D754B">
        <w:rPr>
          <w:rFonts w:ascii="Palatino Linotype" w:eastAsia="Palatino Linotype" w:hAnsi="Palatino Linotype" w:cs="Palatino Linotype"/>
        </w:rPr>
        <w:t xml:space="preserve">: En fecha </w:t>
      </w:r>
      <w:r w:rsidRPr="003D754B">
        <w:rPr>
          <w:rFonts w:ascii="Palatino Linotype" w:eastAsia="Palatino Linotype" w:hAnsi="Palatino Linotype" w:cs="Palatino Linotype"/>
          <w:b/>
        </w:rPr>
        <w:t>veintitrés de mayo de dos mil veinticuatro</w:t>
      </w:r>
      <w:r w:rsidRPr="003D754B">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293989BE" w14:textId="77777777" w:rsidR="00DA517C" w:rsidRPr="003D754B" w:rsidRDefault="00DA517C">
      <w:pPr>
        <w:pBdr>
          <w:top w:val="nil"/>
          <w:left w:val="nil"/>
          <w:bottom w:val="nil"/>
          <w:right w:val="nil"/>
          <w:between w:val="nil"/>
        </w:pBdr>
        <w:ind w:left="720"/>
        <w:rPr>
          <w:rFonts w:ascii="Palatino Linotype" w:eastAsia="Palatino Linotype" w:hAnsi="Palatino Linotype" w:cs="Palatino Linotype"/>
        </w:rPr>
      </w:pPr>
    </w:p>
    <w:p w14:paraId="1F6617F1" w14:textId="77777777" w:rsidR="00DA517C" w:rsidRPr="003D754B" w:rsidRDefault="00C361F7">
      <w:pPr>
        <w:numPr>
          <w:ilvl w:val="0"/>
          <w:numId w:val="2"/>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3D754B">
        <w:rPr>
          <w:rFonts w:ascii="Palatino Linotype" w:eastAsia="Palatino Linotype" w:hAnsi="Palatino Linotype" w:cs="Palatino Linotype"/>
          <w:b/>
        </w:rPr>
        <w:t xml:space="preserve">Manifestaciones. </w:t>
      </w:r>
      <w:r w:rsidRPr="003D754B">
        <w:rPr>
          <w:rFonts w:ascii="Palatino Linotype" w:eastAsia="Palatino Linotype" w:hAnsi="Palatino Linotype" w:cs="Palatino Linotype"/>
        </w:rPr>
        <w:t xml:space="preserve">Las partes fueron omisas en rendir manifestaciones. </w:t>
      </w:r>
    </w:p>
    <w:p w14:paraId="2AB12AD4" w14:textId="77777777" w:rsidR="00DA517C" w:rsidRPr="003D754B" w:rsidRDefault="00DA517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9C4DC48" w14:textId="77777777" w:rsidR="00DA517C" w:rsidRPr="003D754B" w:rsidRDefault="00C361F7">
      <w:pPr>
        <w:numPr>
          <w:ilvl w:val="0"/>
          <w:numId w:val="2"/>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rPr>
      </w:pPr>
      <w:r w:rsidRPr="003D754B">
        <w:rPr>
          <w:rFonts w:ascii="Palatino Linotype" w:eastAsia="Palatino Linotype" w:hAnsi="Palatino Linotype" w:cs="Palatino Linotype"/>
          <w:b/>
        </w:rPr>
        <w:t>Ampliación de plazo:</w:t>
      </w:r>
      <w:r w:rsidRPr="003D754B">
        <w:rPr>
          <w:rFonts w:ascii="Palatino Linotype" w:eastAsia="Palatino Linotype" w:hAnsi="Palatino Linotype" w:cs="Palatino Linotype"/>
        </w:rPr>
        <w:t xml:space="preserve"> En fecha </w:t>
      </w:r>
      <w:r w:rsidRPr="003D754B">
        <w:rPr>
          <w:rFonts w:ascii="Palatino Linotype" w:eastAsia="Palatino Linotype" w:hAnsi="Palatino Linotype" w:cs="Palatino Linotype"/>
          <w:b/>
        </w:rPr>
        <w:t>siete de agosto de dos mil veinticuatro</w:t>
      </w:r>
      <w:r w:rsidRPr="003D754B">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4043AB1F" w14:textId="77777777" w:rsidR="00DA517C" w:rsidRPr="003D754B" w:rsidRDefault="00DA517C">
      <w:pPr>
        <w:widowControl w:val="0"/>
        <w:spacing w:after="0" w:line="360" w:lineRule="auto"/>
        <w:jc w:val="both"/>
        <w:rPr>
          <w:rFonts w:ascii="Palatino Linotype" w:eastAsia="Palatino Linotype" w:hAnsi="Palatino Linotype" w:cs="Palatino Linotype"/>
        </w:rPr>
      </w:pPr>
    </w:p>
    <w:p w14:paraId="7F088C7D" w14:textId="77777777" w:rsidR="00DA517C" w:rsidRPr="003D754B" w:rsidRDefault="00C361F7">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r w:rsidRPr="003D754B">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6029B83" w14:textId="77777777" w:rsidR="00DA517C" w:rsidRPr="003D754B" w:rsidRDefault="00DA517C">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p>
    <w:p w14:paraId="2D14AD0F" w14:textId="77777777" w:rsidR="00DA517C" w:rsidRPr="003D754B" w:rsidRDefault="00C361F7">
      <w:p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lastRenderedPageBreak/>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0D3FE255" w14:textId="77777777" w:rsidR="00DA517C" w:rsidRPr="003D754B" w:rsidRDefault="00DA517C">
      <w:pPr>
        <w:spacing w:after="0" w:line="360" w:lineRule="auto"/>
        <w:jc w:val="both"/>
        <w:rPr>
          <w:rFonts w:ascii="Palatino Linotype" w:eastAsia="Palatino Linotype" w:hAnsi="Palatino Linotype" w:cs="Palatino Linotype"/>
        </w:rPr>
      </w:pPr>
    </w:p>
    <w:p w14:paraId="66DA8E19" w14:textId="77777777" w:rsidR="00DA517C" w:rsidRPr="003D754B" w:rsidRDefault="00C361F7">
      <w:p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98A5043" w14:textId="77777777" w:rsidR="00DA517C" w:rsidRPr="003D754B" w:rsidRDefault="00DA517C">
      <w:pPr>
        <w:spacing w:after="0" w:line="360" w:lineRule="auto"/>
        <w:jc w:val="both"/>
        <w:rPr>
          <w:rFonts w:ascii="Palatino Linotype" w:eastAsia="Palatino Linotype" w:hAnsi="Palatino Linotype" w:cs="Palatino Linotype"/>
        </w:rPr>
      </w:pPr>
    </w:p>
    <w:p w14:paraId="7A360BDA" w14:textId="77777777" w:rsidR="00DA517C" w:rsidRPr="003D754B" w:rsidRDefault="00C361F7">
      <w:p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671B185" w14:textId="77777777" w:rsidR="00DA517C" w:rsidRPr="003D754B" w:rsidRDefault="00DA517C">
      <w:pPr>
        <w:spacing w:after="0" w:line="360" w:lineRule="auto"/>
        <w:jc w:val="both"/>
        <w:rPr>
          <w:rFonts w:ascii="Palatino Linotype" w:eastAsia="Palatino Linotype" w:hAnsi="Palatino Linotype" w:cs="Palatino Linotype"/>
        </w:rPr>
      </w:pPr>
    </w:p>
    <w:p w14:paraId="52B3F097" w14:textId="77777777" w:rsidR="00DA517C" w:rsidRPr="003D754B" w:rsidRDefault="00C361F7">
      <w:pPr>
        <w:spacing w:after="0" w:line="360" w:lineRule="auto"/>
        <w:jc w:val="both"/>
        <w:rPr>
          <w:rFonts w:ascii="Palatino Linotype" w:eastAsia="Palatino Linotype" w:hAnsi="Palatino Linotype" w:cs="Palatino Linotype"/>
          <w:strike/>
        </w:rPr>
      </w:pPr>
      <w:r w:rsidRPr="003D754B">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5C21B050" w14:textId="77777777" w:rsidR="00DA517C" w:rsidRPr="003D754B" w:rsidRDefault="00DA517C">
      <w:pPr>
        <w:spacing w:after="0" w:line="360" w:lineRule="auto"/>
        <w:jc w:val="both"/>
        <w:rPr>
          <w:rFonts w:ascii="Palatino Linotype" w:eastAsia="Palatino Linotype" w:hAnsi="Palatino Linotype" w:cs="Palatino Linotype"/>
        </w:rPr>
      </w:pPr>
    </w:p>
    <w:p w14:paraId="1375D6A4" w14:textId="77777777" w:rsidR="00DA517C" w:rsidRPr="003D754B" w:rsidRDefault="00C361F7">
      <w:pPr>
        <w:numPr>
          <w:ilvl w:val="0"/>
          <w:numId w:val="3"/>
        </w:num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2AB8026F" w14:textId="77777777" w:rsidR="00DA517C" w:rsidRPr="003D754B" w:rsidRDefault="00C361F7">
      <w:pPr>
        <w:numPr>
          <w:ilvl w:val="0"/>
          <w:numId w:val="3"/>
        </w:num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t>Actividad Procesal del interesado. Acciones u omisiones del interesado.</w:t>
      </w:r>
    </w:p>
    <w:p w14:paraId="70422048" w14:textId="77777777" w:rsidR="00DA517C" w:rsidRPr="003D754B" w:rsidRDefault="00C361F7">
      <w:pPr>
        <w:numPr>
          <w:ilvl w:val="0"/>
          <w:numId w:val="3"/>
        </w:num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t>Conducta de la Autoridad: Las Acciones u omisiones realizadas en el procedimiento. Así como si la autoridad actuó con la debida diligencia.</w:t>
      </w:r>
    </w:p>
    <w:p w14:paraId="33DD60B2" w14:textId="77777777" w:rsidR="00DA517C" w:rsidRPr="003D754B" w:rsidRDefault="00C361F7">
      <w:pPr>
        <w:numPr>
          <w:ilvl w:val="0"/>
          <w:numId w:val="3"/>
        </w:num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t xml:space="preserve"> La afectación generada en la situación jurídica de la persona involucrada en el proceso: Violación a sus derechos humanos.</w:t>
      </w:r>
    </w:p>
    <w:p w14:paraId="4ED34DED" w14:textId="77777777" w:rsidR="00DA517C" w:rsidRPr="003D754B" w:rsidRDefault="00C361F7">
      <w:p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B615EF5" w14:textId="77777777" w:rsidR="00DA517C" w:rsidRPr="003D754B" w:rsidRDefault="00DA517C">
      <w:pPr>
        <w:spacing w:after="0" w:line="360" w:lineRule="auto"/>
        <w:jc w:val="both"/>
        <w:rPr>
          <w:rFonts w:ascii="Palatino Linotype" w:eastAsia="Palatino Linotype" w:hAnsi="Palatino Linotype" w:cs="Palatino Linotype"/>
        </w:rPr>
      </w:pPr>
    </w:p>
    <w:p w14:paraId="01849907" w14:textId="77777777" w:rsidR="00DA517C" w:rsidRPr="003D754B" w:rsidRDefault="00C361F7">
      <w:p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3D754B">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3D754B">
        <w:rPr>
          <w:rFonts w:ascii="Palatino Linotype" w:eastAsia="Palatino Linotype" w:hAnsi="Palatino Linotype" w:cs="Palatino Linotype"/>
        </w:rPr>
        <w:t>, visible en la Gaceta del Seminario Judicial de la Federación con el registro digital 205635.</w:t>
      </w:r>
    </w:p>
    <w:p w14:paraId="56EF419C" w14:textId="77777777" w:rsidR="00DA517C" w:rsidRPr="003D754B" w:rsidRDefault="00DA517C">
      <w:pPr>
        <w:spacing w:after="0" w:line="360" w:lineRule="auto"/>
        <w:jc w:val="both"/>
        <w:rPr>
          <w:rFonts w:ascii="Palatino Linotype" w:eastAsia="Palatino Linotype" w:hAnsi="Palatino Linotype" w:cs="Palatino Linotype"/>
        </w:rPr>
      </w:pPr>
    </w:p>
    <w:p w14:paraId="33B4F3FC" w14:textId="77777777" w:rsidR="00DA517C" w:rsidRPr="003D754B" w:rsidRDefault="00C361F7">
      <w:p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000E895" w14:textId="77777777" w:rsidR="00DA517C" w:rsidRPr="003D754B" w:rsidRDefault="00DA517C">
      <w:pPr>
        <w:spacing w:after="0" w:line="360" w:lineRule="auto"/>
        <w:jc w:val="both"/>
        <w:rPr>
          <w:rFonts w:ascii="Palatino Linotype" w:eastAsia="Palatino Linotype" w:hAnsi="Palatino Linotype" w:cs="Palatino Linotype"/>
        </w:rPr>
      </w:pPr>
    </w:p>
    <w:p w14:paraId="7DE77464" w14:textId="77777777" w:rsidR="00DA517C" w:rsidRPr="003D754B" w:rsidRDefault="00C361F7">
      <w:p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33691F7C" w14:textId="77777777" w:rsidR="00DA517C" w:rsidRPr="003D754B" w:rsidRDefault="00C361F7">
      <w:pPr>
        <w:spacing w:after="0" w:line="360" w:lineRule="auto"/>
        <w:ind w:left="567" w:right="616"/>
        <w:jc w:val="both"/>
        <w:rPr>
          <w:rFonts w:ascii="Palatino Linotype" w:eastAsia="Palatino Linotype" w:hAnsi="Palatino Linotype" w:cs="Palatino Linotype"/>
        </w:rPr>
      </w:pPr>
      <w:r w:rsidRPr="003D754B">
        <w:rPr>
          <w:rFonts w:ascii="Palatino Linotype" w:eastAsia="Palatino Linotype" w:hAnsi="Palatino Linotype" w:cs="Palatino Linotype"/>
          <w:b/>
        </w:rPr>
        <w:lastRenderedPageBreak/>
        <w:t xml:space="preserve"> </w:t>
      </w:r>
      <w:r w:rsidRPr="003D754B">
        <w:rPr>
          <w:rFonts w:ascii="Palatino Linotype" w:eastAsia="Palatino Linotype" w:hAnsi="Palatino Linotype" w:cs="Palatino Linotype"/>
          <w:b/>
          <w:i/>
        </w:rPr>
        <w:t>“PLAZO RAZONABLE PARA RESOLVER. DIMENSIÓN Y EFECTOS DE ESTE CONCEPTO CUANDO SE ADUCE EXCESIVA CARGA DE TRABAJO.”</w:t>
      </w:r>
      <w:r w:rsidRPr="003D754B">
        <w:rPr>
          <w:rFonts w:ascii="Palatino Linotype" w:eastAsia="Palatino Linotype" w:hAnsi="Palatino Linotype" w:cs="Palatino Linotype"/>
        </w:rPr>
        <w:t xml:space="preserve"> consultable en el Seminario Judicial de la Federación y su gaceta, con el registro digital 2002351.</w:t>
      </w:r>
    </w:p>
    <w:p w14:paraId="62E994F6" w14:textId="77777777" w:rsidR="00DA517C" w:rsidRPr="003D754B" w:rsidRDefault="00C361F7">
      <w:pPr>
        <w:spacing w:after="0" w:line="360" w:lineRule="auto"/>
        <w:ind w:left="567" w:right="616"/>
        <w:jc w:val="both"/>
        <w:rPr>
          <w:rFonts w:ascii="Palatino Linotype" w:eastAsia="Palatino Linotype" w:hAnsi="Palatino Linotype" w:cs="Palatino Linotype"/>
        </w:rPr>
      </w:pPr>
      <w:r w:rsidRPr="003D754B">
        <w:rPr>
          <w:rFonts w:ascii="Palatino Linotype" w:eastAsia="Palatino Linotype" w:hAnsi="Palatino Linotype" w:cs="Palatino Linotype"/>
          <w:b/>
          <w:i/>
        </w:rPr>
        <w:t>“PLAZO RAZONABLE PARA RESOLVER. CONCEPTO Y ELEMENTOS QUE LO INTEGRAN A LA LUZ DEL DERECHO INTERNACIONAL DE LOS DERECHOS HUMANOS</w:t>
      </w:r>
      <w:r w:rsidRPr="003D754B">
        <w:rPr>
          <w:rFonts w:ascii="Palatino Linotype" w:eastAsia="Palatino Linotype" w:hAnsi="Palatino Linotype" w:cs="Palatino Linotype"/>
          <w:i/>
        </w:rPr>
        <w:t>.”</w:t>
      </w:r>
      <w:r w:rsidRPr="003D754B">
        <w:rPr>
          <w:rFonts w:ascii="Palatino Linotype" w:eastAsia="Palatino Linotype" w:hAnsi="Palatino Linotype" w:cs="Palatino Linotype"/>
        </w:rPr>
        <w:t>, visible en el Seminario Judicial de la Federación y su gaceta, con el registro digital 2002350.</w:t>
      </w:r>
    </w:p>
    <w:p w14:paraId="3604950F" w14:textId="77777777" w:rsidR="00DA517C" w:rsidRPr="003D754B" w:rsidRDefault="00DA517C">
      <w:pPr>
        <w:spacing w:after="0" w:line="360" w:lineRule="auto"/>
        <w:ind w:left="567" w:right="616"/>
        <w:jc w:val="both"/>
        <w:rPr>
          <w:rFonts w:ascii="Palatino Linotype" w:eastAsia="Palatino Linotype" w:hAnsi="Palatino Linotype" w:cs="Palatino Linotype"/>
        </w:rPr>
      </w:pPr>
    </w:p>
    <w:p w14:paraId="68D7254E" w14:textId="77777777" w:rsidR="00DA517C" w:rsidRPr="003D754B" w:rsidRDefault="00C361F7">
      <w:p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20BF1EC5" w14:textId="77777777" w:rsidR="00DA517C" w:rsidRPr="003D754B" w:rsidRDefault="00DA517C">
      <w:pPr>
        <w:spacing w:after="0" w:line="360" w:lineRule="auto"/>
        <w:jc w:val="both"/>
        <w:rPr>
          <w:rFonts w:ascii="Palatino Linotype" w:eastAsia="Palatino Linotype" w:hAnsi="Palatino Linotype" w:cs="Palatino Linotype"/>
        </w:rPr>
      </w:pPr>
    </w:p>
    <w:p w14:paraId="5F0C2197" w14:textId="77777777" w:rsidR="00DA517C" w:rsidRPr="003D754B" w:rsidRDefault="00C361F7">
      <w:pPr>
        <w:numPr>
          <w:ilvl w:val="0"/>
          <w:numId w:val="2"/>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3D754B">
        <w:rPr>
          <w:rFonts w:ascii="Palatino Linotype" w:eastAsia="Palatino Linotype" w:hAnsi="Palatino Linotype" w:cs="Palatino Linotype"/>
          <w:b/>
        </w:rPr>
        <w:t>Cierre de instrucción</w:t>
      </w:r>
      <w:r w:rsidRPr="003D754B">
        <w:rPr>
          <w:rFonts w:ascii="Palatino Linotype" w:eastAsia="Palatino Linotype" w:hAnsi="Palatino Linotype" w:cs="Palatino Linotype"/>
        </w:rPr>
        <w:t xml:space="preserve">. En fecha </w:t>
      </w:r>
      <w:r w:rsidRPr="003D754B">
        <w:rPr>
          <w:rFonts w:ascii="Palatino Linotype" w:eastAsia="Palatino Linotype" w:hAnsi="Palatino Linotype" w:cs="Palatino Linotype"/>
          <w:b/>
        </w:rPr>
        <w:t>siete de agosto de dos mil veinticuatro</w:t>
      </w:r>
      <w:r w:rsidRPr="003D754B">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6F717645" w14:textId="77777777" w:rsidR="00DA517C" w:rsidRPr="003D754B" w:rsidRDefault="00DA517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ED31BCA" w14:textId="77777777" w:rsidR="00DA517C" w:rsidRPr="003D754B" w:rsidRDefault="00C361F7">
      <w:pPr>
        <w:spacing w:after="0" w:line="360" w:lineRule="auto"/>
        <w:ind w:right="49"/>
        <w:jc w:val="both"/>
        <w:rPr>
          <w:rFonts w:ascii="Palatino Linotype" w:eastAsia="Palatino Linotype" w:hAnsi="Palatino Linotype" w:cs="Palatino Linotype"/>
        </w:rPr>
      </w:pPr>
      <w:r w:rsidRPr="003D754B">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33DE15C9" w14:textId="77777777" w:rsidR="00DA517C" w:rsidRPr="003D754B" w:rsidRDefault="00C361F7">
      <w:pPr>
        <w:spacing w:after="0" w:line="360" w:lineRule="auto"/>
        <w:ind w:right="49"/>
        <w:jc w:val="center"/>
        <w:rPr>
          <w:rFonts w:ascii="Palatino Linotype" w:eastAsia="Palatino Linotype" w:hAnsi="Palatino Linotype" w:cs="Palatino Linotype"/>
          <w:b/>
        </w:rPr>
      </w:pPr>
      <w:r w:rsidRPr="003D754B">
        <w:rPr>
          <w:rFonts w:ascii="Palatino Linotype" w:eastAsia="Palatino Linotype" w:hAnsi="Palatino Linotype" w:cs="Palatino Linotype"/>
          <w:b/>
        </w:rPr>
        <w:t>II.</w:t>
      </w:r>
      <w:r w:rsidRPr="003D754B">
        <w:rPr>
          <w:rFonts w:ascii="Palatino Linotype" w:eastAsia="Palatino Linotype" w:hAnsi="Palatino Linotype" w:cs="Palatino Linotype"/>
          <w:b/>
        </w:rPr>
        <w:tab/>
        <w:t>C O N S I D E R A N D O:</w:t>
      </w:r>
    </w:p>
    <w:p w14:paraId="69F68E2B" w14:textId="77777777" w:rsidR="00DA517C" w:rsidRPr="003D754B" w:rsidRDefault="00DA517C">
      <w:pPr>
        <w:spacing w:after="0" w:line="360" w:lineRule="auto"/>
        <w:ind w:right="49"/>
        <w:jc w:val="both"/>
        <w:rPr>
          <w:rFonts w:ascii="Palatino Linotype" w:eastAsia="Palatino Linotype" w:hAnsi="Palatino Linotype" w:cs="Palatino Linotype"/>
        </w:rPr>
      </w:pPr>
    </w:p>
    <w:p w14:paraId="32B8F2C5" w14:textId="77777777" w:rsidR="00DA517C" w:rsidRPr="003D754B" w:rsidRDefault="00C361F7">
      <w:p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b/>
        </w:rPr>
        <w:t xml:space="preserve">Primero. Competencia. </w:t>
      </w:r>
      <w:r w:rsidRPr="003D754B">
        <w:rPr>
          <w:rFonts w:ascii="Palatino Linotype" w:eastAsia="Palatino Linotype" w:hAnsi="Palatino Linotype" w:cs="Palatino Linotype"/>
        </w:rPr>
        <w:t xml:space="preserve">El Instituto de Transparencia, Acceso a la Información Pública y Protección de Datos Personales del Estado de México y Municipios, es competente para conocer y resolver el presente recurso de revisión interpuesto por la parte recurrente, </w:t>
      </w:r>
      <w:r w:rsidRPr="003D754B">
        <w:rPr>
          <w:rFonts w:ascii="Palatino Linotype" w:eastAsia="Palatino Linotype" w:hAnsi="Palatino Linotype" w:cs="Palatino Linotype"/>
        </w:rPr>
        <w:lastRenderedPageBreak/>
        <w:t>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C463FA9" w14:textId="77777777" w:rsidR="00DA517C" w:rsidRPr="003D754B" w:rsidRDefault="00DA517C">
      <w:pPr>
        <w:spacing w:after="0" w:line="360" w:lineRule="auto"/>
        <w:ind w:right="49"/>
        <w:jc w:val="both"/>
        <w:rPr>
          <w:rFonts w:ascii="Palatino Linotype" w:eastAsia="Palatino Linotype" w:hAnsi="Palatino Linotype" w:cs="Palatino Linotype"/>
        </w:rPr>
      </w:pPr>
    </w:p>
    <w:p w14:paraId="2E053D44" w14:textId="77777777" w:rsidR="00DA517C" w:rsidRPr="003D754B" w:rsidRDefault="00C361F7">
      <w:pPr>
        <w:spacing w:after="0" w:line="360" w:lineRule="auto"/>
        <w:jc w:val="both"/>
        <w:rPr>
          <w:rFonts w:ascii="Palatino Linotype" w:eastAsia="Palatino Linotype" w:hAnsi="Palatino Linotype" w:cs="Palatino Linotype"/>
          <w:i/>
        </w:rPr>
      </w:pPr>
      <w:r w:rsidRPr="003D754B">
        <w:rPr>
          <w:rFonts w:ascii="Palatino Linotype" w:eastAsia="Palatino Linotype" w:hAnsi="Palatino Linotype" w:cs="Palatino Linotype"/>
          <w:b/>
        </w:rPr>
        <w:t>Segundo. Oportunidad y Procedibilidad del Recurso de Revisión.</w:t>
      </w:r>
      <w:r w:rsidR="001559C5" w:rsidRPr="003D754B">
        <w:rPr>
          <w:rFonts w:ascii="Palatino Linotype" w:eastAsia="Palatino Linotype" w:hAnsi="Palatino Linotype" w:cs="Palatino Linotype"/>
          <w:b/>
        </w:rPr>
        <w:t xml:space="preserve"> </w:t>
      </w:r>
      <w:r w:rsidR="001559C5" w:rsidRPr="003D754B">
        <w:rPr>
          <w:rFonts w:ascii="Palatino Linotype" w:eastAsia="Palatino Linotype" w:hAnsi="Palatino Linotype" w:cs="Palatino Linotype"/>
        </w:rPr>
        <w:t>P</w:t>
      </w:r>
      <w:r w:rsidRPr="003D754B">
        <w:rPr>
          <w:rFonts w:ascii="Palatino Linotype" w:eastAsia="Palatino Linotype" w:hAnsi="Palatino Linotype" w:cs="Palatino Linotype"/>
        </w:rPr>
        <w:t>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1A0C31BF" w14:textId="77777777" w:rsidR="00DA517C" w:rsidRPr="003D754B" w:rsidRDefault="00DA517C">
      <w:pPr>
        <w:spacing w:after="0" w:line="360" w:lineRule="auto"/>
        <w:jc w:val="both"/>
        <w:rPr>
          <w:rFonts w:ascii="Palatino Linotype" w:eastAsia="Palatino Linotype" w:hAnsi="Palatino Linotype" w:cs="Palatino Linotype"/>
        </w:rPr>
      </w:pPr>
    </w:p>
    <w:p w14:paraId="60DD3045" w14:textId="77777777" w:rsidR="00DA517C" w:rsidRPr="003D754B" w:rsidRDefault="00C361F7">
      <w:p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t xml:space="preserve">Finalmente, antes de entrar al estudio de la presente resolución es preciso determinar si resulta procedente la interposición del recurso de revisión, toda vez que se actualiza la hipótesis prevista </w:t>
      </w:r>
      <w:r w:rsidR="001559C5" w:rsidRPr="003D754B">
        <w:rPr>
          <w:rFonts w:ascii="Palatino Linotype" w:eastAsia="Palatino Linotype" w:hAnsi="Palatino Linotype" w:cs="Palatino Linotype"/>
        </w:rPr>
        <w:t>en el artículo 179, fracción XI</w:t>
      </w:r>
      <w:r w:rsidRPr="003D754B">
        <w:rPr>
          <w:rFonts w:ascii="Palatino Linotype" w:eastAsia="Palatino Linotype" w:hAnsi="Palatino Linotype" w:cs="Palatino Linotype"/>
        </w:rPr>
        <w:t xml:space="preserve"> de la ley de la materia, que a la letra dice:</w:t>
      </w:r>
    </w:p>
    <w:p w14:paraId="2091B6A3" w14:textId="77777777" w:rsidR="00DA517C" w:rsidRPr="003D754B" w:rsidRDefault="00DA517C">
      <w:pPr>
        <w:spacing w:after="0" w:line="360" w:lineRule="auto"/>
        <w:jc w:val="both"/>
        <w:rPr>
          <w:rFonts w:ascii="Palatino Linotype" w:eastAsia="Palatino Linotype" w:hAnsi="Palatino Linotype" w:cs="Palatino Linotype"/>
        </w:rPr>
      </w:pPr>
    </w:p>
    <w:p w14:paraId="11185074" w14:textId="77777777" w:rsidR="00DA517C" w:rsidRPr="003D754B" w:rsidRDefault="00C361F7">
      <w:pPr>
        <w:spacing w:after="0"/>
        <w:ind w:left="851" w:right="851"/>
        <w:jc w:val="both"/>
        <w:rPr>
          <w:rFonts w:ascii="Palatino Linotype" w:eastAsia="Palatino Linotype" w:hAnsi="Palatino Linotype" w:cs="Palatino Linotype"/>
          <w:i/>
        </w:rPr>
      </w:pPr>
      <w:r w:rsidRPr="003D754B">
        <w:rPr>
          <w:rFonts w:ascii="Palatino Linotype" w:eastAsia="Palatino Linotype" w:hAnsi="Palatino Linotype" w:cs="Palatino Linotype"/>
          <w:i/>
        </w:rPr>
        <w:t>“</w:t>
      </w:r>
      <w:r w:rsidRPr="003D754B">
        <w:rPr>
          <w:rFonts w:ascii="Palatino Linotype" w:eastAsia="Palatino Linotype" w:hAnsi="Palatino Linotype" w:cs="Palatino Linotype"/>
          <w:b/>
          <w:i/>
        </w:rPr>
        <w:t xml:space="preserve">Artículo 179. </w:t>
      </w:r>
      <w:r w:rsidRPr="003D754B">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6CD31F52" w14:textId="77777777" w:rsidR="00DA517C" w:rsidRPr="003D754B" w:rsidRDefault="00C361F7">
      <w:pPr>
        <w:spacing w:after="0"/>
        <w:ind w:left="851" w:right="851"/>
        <w:jc w:val="both"/>
        <w:rPr>
          <w:rFonts w:ascii="Palatino Linotype" w:eastAsia="Palatino Linotype" w:hAnsi="Palatino Linotype" w:cs="Palatino Linotype"/>
          <w:i/>
        </w:rPr>
      </w:pPr>
      <w:r w:rsidRPr="003D754B">
        <w:rPr>
          <w:rFonts w:ascii="Palatino Linotype" w:eastAsia="Palatino Linotype" w:hAnsi="Palatino Linotype" w:cs="Palatino Linotype"/>
          <w:i/>
        </w:rPr>
        <w:t>…</w:t>
      </w:r>
    </w:p>
    <w:p w14:paraId="7A657AEE" w14:textId="77777777" w:rsidR="00DA517C" w:rsidRPr="003D754B" w:rsidRDefault="001559C5">
      <w:pPr>
        <w:spacing w:after="0"/>
        <w:ind w:left="851" w:right="851"/>
        <w:jc w:val="both"/>
        <w:rPr>
          <w:rFonts w:ascii="Palatino Linotype" w:eastAsia="Palatino Linotype" w:hAnsi="Palatino Linotype" w:cs="Palatino Linotype"/>
          <w:i/>
        </w:rPr>
      </w:pPr>
      <w:r w:rsidRPr="003D754B">
        <w:rPr>
          <w:rFonts w:ascii="Palatino Linotype" w:eastAsia="Palatino Linotype" w:hAnsi="Palatino Linotype" w:cs="Palatino Linotype"/>
          <w:i/>
        </w:rPr>
        <w:t>XI. La falta de trámite a una solicitud</w:t>
      </w:r>
      <w:r w:rsidR="00C361F7" w:rsidRPr="003D754B">
        <w:rPr>
          <w:rFonts w:ascii="Palatino Linotype" w:eastAsia="Palatino Linotype" w:hAnsi="Palatino Linotype" w:cs="Palatino Linotype"/>
          <w:i/>
        </w:rPr>
        <w:t>;”</w:t>
      </w:r>
    </w:p>
    <w:p w14:paraId="2229FD44" w14:textId="77777777" w:rsidR="00DA517C" w:rsidRPr="003D754B" w:rsidRDefault="00DA517C">
      <w:pPr>
        <w:spacing w:after="0" w:line="360" w:lineRule="auto"/>
        <w:ind w:left="1134" w:right="851"/>
        <w:jc w:val="both"/>
        <w:rPr>
          <w:rFonts w:ascii="Palatino Linotype" w:eastAsia="Palatino Linotype" w:hAnsi="Palatino Linotype" w:cs="Palatino Linotype"/>
          <w:i/>
        </w:rPr>
      </w:pPr>
    </w:p>
    <w:p w14:paraId="3FE5D678" w14:textId="77777777" w:rsidR="00DA517C" w:rsidRPr="003D754B" w:rsidRDefault="00C361F7">
      <w:p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lastRenderedPageBreak/>
        <w:t xml:space="preserve">El precepto legal citado, establece como supuesto de procedencia del recurso de revisión, en aquellos casos en que la parte Recurrente estime </w:t>
      </w:r>
      <w:r w:rsidR="001559C5" w:rsidRPr="003D754B">
        <w:rPr>
          <w:rFonts w:ascii="Palatino Linotype" w:eastAsia="Palatino Linotype" w:hAnsi="Palatino Linotype" w:cs="Palatino Linotype"/>
        </w:rPr>
        <w:t xml:space="preserve">que no existe trámite a su solicitud de información y exprese </w:t>
      </w:r>
      <w:r w:rsidRPr="003D754B">
        <w:rPr>
          <w:rFonts w:ascii="Palatino Linotype" w:eastAsia="Palatino Linotype" w:hAnsi="Palatino Linotype" w:cs="Palatino Linotype"/>
        </w:rPr>
        <w:t>motivos de inconformidad en contra de dicha circunstancia.</w:t>
      </w:r>
    </w:p>
    <w:p w14:paraId="6F619F58" w14:textId="77777777" w:rsidR="00DA517C" w:rsidRPr="003D754B" w:rsidRDefault="00DA517C">
      <w:pPr>
        <w:spacing w:after="0" w:line="360" w:lineRule="auto"/>
        <w:ind w:right="49"/>
        <w:jc w:val="both"/>
        <w:rPr>
          <w:rFonts w:ascii="Palatino Linotype" w:eastAsia="Palatino Linotype" w:hAnsi="Palatino Linotype" w:cs="Palatino Linotype"/>
        </w:rPr>
      </w:pPr>
    </w:p>
    <w:p w14:paraId="0F2AE670" w14:textId="77777777" w:rsidR="00DA517C" w:rsidRPr="003D754B" w:rsidRDefault="00C361F7">
      <w:p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b/>
        </w:rPr>
        <w:t>Tercero. Materia de Revisión</w:t>
      </w:r>
      <w:r w:rsidRPr="003D754B">
        <w:rPr>
          <w:rFonts w:ascii="Palatino Linotype" w:eastAsia="Palatino Linotype" w:hAnsi="Palatino Linotype" w:cs="Palatino Linotype"/>
        </w:rPr>
        <w:t>: De las constancias que integran el expediente electrónico se advierte que el tema sobre el que este Instituto se pronunciará será en determinar</w:t>
      </w:r>
      <w:r w:rsidR="001559C5" w:rsidRPr="003D754B">
        <w:rPr>
          <w:rFonts w:ascii="Palatino Linotype" w:eastAsia="Palatino Linotype" w:hAnsi="Palatino Linotype" w:cs="Palatino Linotype"/>
        </w:rPr>
        <w:t xml:space="preserve"> si se actualiza la fracción XI</w:t>
      </w:r>
      <w:r w:rsidRPr="003D754B">
        <w:rPr>
          <w:rFonts w:ascii="Palatino Linotype" w:eastAsia="Palatino Linotype" w:hAnsi="Palatino Linotype" w:cs="Palatino Linotype"/>
        </w:rPr>
        <w:t xml:space="preserve"> del artículo 179 de la Ley de Transparencia y Acceso a la Información Pública del Estado de México y Municipios.  </w:t>
      </w:r>
    </w:p>
    <w:p w14:paraId="7BD706B7" w14:textId="77777777" w:rsidR="00DA517C" w:rsidRPr="003D754B" w:rsidRDefault="00DA517C">
      <w:pPr>
        <w:spacing w:after="0" w:line="360" w:lineRule="auto"/>
        <w:jc w:val="both"/>
        <w:rPr>
          <w:rFonts w:ascii="Palatino Linotype" w:eastAsia="Palatino Linotype" w:hAnsi="Palatino Linotype" w:cs="Palatino Linotype"/>
        </w:rPr>
      </w:pPr>
    </w:p>
    <w:p w14:paraId="032984E2" w14:textId="77777777" w:rsidR="00DA517C" w:rsidRPr="003D754B" w:rsidRDefault="00C361F7">
      <w:pPr>
        <w:spacing w:after="0" w:line="360" w:lineRule="auto"/>
        <w:ind w:right="49"/>
        <w:jc w:val="both"/>
        <w:rPr>
          <w:rFonts w:ascii="Palatino Linotype" w:eastAsia="Palatino Linotype" w:hAnsi="Palatino Linotype" w:cs="Palatino Linotype"/>
        </w:rPr>
      </w:pPr>
      <w:r w:rsidRPr="003D754B">
        <w:rPr>
          <w:rFonts w:ascii="Palatino Linotype" w:eastAsia="Palatino Linotype" w:hAnsi="Palatino Linotype" w:cs="Palatino Linotype"/>
          <w:b/>
        </w:rPr>
        <w:t>Cuarto.</w:t>
      </w:r>
      <w:r w:rsidRPr="003D754B">
        <w:rPr>
          <w:rFonts w:ascii="Palatino Linotype" w:eastAsia="Palatino Linotype" w:hAnsi="Palatino Linotype" w:cs="Palatino Linotype"/>
        </w:rPr>
        <w:t xml:space="preserve"> </w:t>
      </w:r>
      <w:r w:rsidRPr="003D754B">
        <w:rPr>
          <w:rFonts w:ascii="Palatino Linotype" w:eastAsia="Palatino Linotype" w:hAnsi="Palatino Linotype" w:cs="Palatino Linotype"/>
          <w:b/>
        </w:rPr>
        <w:t>Estudio de fondo del asunto.</w:t>
      </w:r>
      <w:r w:rsidRPr="003D754B">
        <w:rPr>
          <w:rFonts w:ascii="Palatino Linotype" w:eastAsia="Palatino Linotype" w:hAnsi="Palatino Linotype" w:cs="Palatino Linotype"/>
        </w:rPr>
        <w:t xml:space="preserve">  Es conveniente analizar si las actuaciones realizadas por el Sujeto Obligado cumplen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ADB82E1" w14:textId="77777777" w:rsidR="00DA517C" w:rsidRPr="003D754B" w:rsidRDefault="00DA517C">
      <w:pPr>
        <w:spacing w:after="0" w:line="360" w:lineRule="auto"/>
        <w:jc w:val="both"/>
        <w:rPr>
          <w:rFonts w:ascii="Palatino Linotype" w:eastAsia="Palatino Linotype" w:hAnsi="Palatino Linotype" w:cs="Palatino Linotype"/>
        </w:rPr>
      </w:pPr>
    </w:p>
    <w:p w14:paraId="0238D51A" w14:textId="77777777" w:rsidR="00DA517C" w:rsidRPr="003D754B" w:rsidRDefault="00C361F7">
      <w:pPr>
        <w:tabs>
          <w:tab w:val="left" w:pos="851"/>
        </w:tabs>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w:t>
      </w:r>
      <w:r w:rsidRPr="003D754B">
        <w:rPr>
          <w:rFonts w:ascii="Palatino Linotype" w:eastAsia="Palatino Linotype" w:hAnsi="Palatino Linotype" w:cs="Palatino Linotype"/>
          <w:b/>
          <w:i/>
        </w:rPr>
        <w:t>Artículo 4</w:t>
      </w:r>
      <w:r w:rsidRPr="003D754B">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953E517" w14:textId="77777777" w:rsidR="00DA517C" w:rsidRPr="003D754B" w:rsidRDefault="00C361F7">
      <w:pPr>
        <w:tabs>
          <w:tab w:val="left" w:pos="851"/>
        </w:tabs>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3D754B">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w:t>
      </w:r>
      <w:r w:rsidRPr="003D754B">
        <w:rPr>
          <w:rFonts w:ascii="Palatino Linotype" w:eastAsia="Palatino Linotype" w:hAnsi="Palatino Linotype" w:cs="Palatino Linotype"/>
          <w:i/>
        </w:rPr>
        <w:lastRenderedPageBreak/>
        <w:t>como reservada temporalmente por razones de interés público, en los términos de las causas legítimas y estrictamente necesarias previstas por esta Ley.</w:t>
      </w:r>
    </w:p>
    <w:p w14:paraId="0288885D" w14:textId="77777777" w:rsidR="00DA517C" w:rsidRPr="003D754B" w:rsidRDefault="00C361F7">
      <w:pPr>
        <w:tabs>
          <w:tab w:val="left" w:pos="851"/>
        </w:tabs>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3D754B">
        <w:rPr>
          <w:rFonts w:ascii="Palatino Linotype" w:eastAsia="Palatino Linotype" w:hAnsi="Palatino Linotype" w:cs="Palatino Linotype"/>
          <w:i/>
        </w:rPr>
        <w:t>.”</w:t>
      </w:r>
    </w:p>
    <w:p w14:paraId="4AE41C92" w14:textId="77777777" w:rsidR="00DA517C" w:rsidRPr="003D754B" w:rsidRDefault="00DA517C">
      <w:pPr>
        <w:spacing w:after="0" w:line="360" w:lineRule="auto"/>
        <w:jc w:val="both"/>
        <w:rPr>
          <w:rFonts w:ascii="Palatino Linotype" w:eastAsia="Palatino Linotype" w:hAnsi="Palatino Linotype" w:cs="Palatino Linotype"/>
        </w:rPr>
      </w:pPr>
    </w:p>
    <w:p w14:paraId="2C28DD24" w14:textId="77777777" w:rsidR="00DA517C" w:rsidRPr="003D754B" w:rsidRDefault="00C361F7">
      <w:p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6B87F3A" w14:textId="77777777" w:rsidR="00DA517C" w:rsidRPr="003D754B" w:rsidRDefault="00DA517C">
      <w:pPr>
        <w:spacing w:after="0"/>
        <w:ind w:left="567" w:right="616"/>
        <w:jc w:val="both"/>
        <w:rPr>
          <w:rFonts w:ascii="Palatino Linotype" w:eastAsia="Palatino Linotype" w:hAnsi="Palatino Linotype" w:cs="Palatino Linotype"/>
        </w:rPr>
      </w:pPr>
    </w:p>
    <w:p w14:paraId="5EF5A30B"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w:t>
      </w:r>
      <w:r w:rsidRPr="003D754B">
        <w:rPr>
          <w:rFonts w:ascii="Palatino Linotype" w:eastAsia="Palatino Linotype" w:hAnsi="Palatino Linotype" w:cs="Palatino Linotype"/>
          <w:b/>
          <w:i/>
        </w:rPr>
        <w:t>Artículo 12.-</w:t>
      </w:r>
      <w:r w:rsidRPr="003D754B">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107CC812" w14:textId="77777777" w:rsidR="00DA517C" w:rsidRPr="003D754B" w:rsidRDefault="00DA517C">
      <w:pPr>
        <w:spacing w:after="0"/>
        <w:ind w:left="567" w:right="616"/>
        <w:jc w:val="both"/>
        <w:rPr>
          <w:rFonts w:ascii="Palatino Linotype" w:eastAsia="Palatino Linotype" w:hAnsi="Palatino Linotype" w:cs="Palatino Linotype"/>
          <w:i/>
        </w:rPr>
      </w:pPr>
    </w:p>
    <w:p w14:paraId="1E1423AC"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3D754B">
        <w:rPr>
          <w:rFonts w:ascii="Palatino Linotype" w:eastAsia="Palatino Linotype" w:hAnsi="Palatino Linotype" w:cs="Palatino Linotype"/>
          <w:i/>
        </w:rPr>
        <w:t xml:space="preserve">. </w:t>
      </w:r>
      <w:r w:rsidRPr="003D754B">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r w:rsidRPr="003D754B">
        <w:rPr>
          <w:rFonts w:ascii="Palatino Linotype" w:eastAsia="Palatino Linotype" w:hAnsi="Palatino Linotype" w:cs="Palatino Linotype"/>
          <w:i/>
        </w:rPr>
        <w:t xml:space="preserve">.” </w:t>
      </w:r>
    </w:p>
    <w:p w14:paraId="05A93BC1" w14:textId="77777777" w:rsidR="00DA517C" w:rsidRPr="003D754B" w:rsidRDefault="00DA517C">
      <w:pPr>
        <w:spacing w:after="0" w:line="360" w:lineRule="auto"/>
        <w:ind w:right="-93"/>
        <w:jc w:val="both"/>
        <w:rPr>
          <w:rFonts w:ascii="Palatino Linotype" w:eastAsia="Palatino Linotype" w:hAnsi="Palatino Linotype" w:cs="Palatino Linotype"/>
        </w:rPr>
      </w:pPr>
    </w:p>
    <w:p w14:paraId="48660C6A" w14:textId="77777777" w:rsidR="00DA517C" w:rsidRPr="003D754B" w:rsidRDefault="00C361F7">
      <w:pPr>
        <w:spacing w:after="0" w:line="360" w:lineRule="auto"/>
        <w:ind w:right="-93"/>
        <w:jc w:val="both"/>
        <w:rPr>
          <w:rFonts w:ascii="Palatino Linotype" w:eastAsia="Palatino Linotype" w:hAnsi="Palatino Linotype" w:cs="Palatino Linotype"/>
        </w:rPr>
      </w:pPr>
      <w:r w:rsidRPr="003D754B">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0DF72C48" w14:textId="77777777" w:rsidR="00DA517C" w:rsidRPr="003D754B" w:rsidRDefault="00DA517C">
      <w:pPr>
        <w:spacing w:after="0" w:line="360" w:lineRule="auto"/>
        <w:ind w:right="-93"/>
        <w:jc w:val="both"/>
        <w:rPr>
          <w:rFonts w:ascii="Palatino Linotype" w:eastAsia="Palatino Linotype" w:hAnsi="Palatino Linotype" w:cs="Palatino Linotype"/>
        </w:rPr>
      </w:pPr>
    </w:p>
    <w:p w14:paraId="5E6A7D9A" w14:textId="77777777" w:rsidR="00DA517C" w:rsidRPr="003D754B" w:rsidRDefault="00C361F7">
      <w:pPr>
        <w:spacing w:after="0" w:line="360" w:lineRule="auto"/>
        <w:jc w:val="both"/>
        <w:rPr>
          <w:rFonts w:ascii="Palatino Linotype" w:eastAsia="Palatino Linotype" w:hAnsi="Palatino Linotype" w:cs="Palatino Linotype"/>
          <w:b/>
        </w:rPr>
      </w:pPr>
      <w:r w:rsidRPr="003D754B">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3D754B">
        <w:rPr>
          <w:rFonts w:ascii="Palatino Linotype" w:eastAsia="Palatino Linotype" w:hAnsi="Palatino Linotype" w:cs="Palatino Linotype"/>
          <w:b/>
        </w:rPr>
        <w:t xml:space="preserve"> </w:t>
      </w:r>
    </w:p>
    <w:p w14:paraId="366166AC" w14:textId="77777777" w:rsidR="00DA517C" w:rsidRPr="003D754B" w:rsidRDefault="00DA517C">
      <w:pPr>
        <w:spacing w:after="0"/>
        <w:ind w:left="851" w:right="850"/>
        <w:jc w:val="both"/>
        <w:rPr>
          <w:rFonts w:ascii="Palatino Linotype" w:eastAsia="Palatino Linotype" w:hAnsi="Palatino Linotype" w:cs="Palatino Linotype"/>
        </w:rPr>
      </w:pPr>
    </w:p>
    <w:p w14:paraId="51AC9346"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w:t>
      </w:r>
      <w:r w:rsidRPr="003D754B">
        <w:rPr>
          <w:rFonts w:ascii="Palatino Linotype" w:eastAsia="Palatino Linotype" w:hAnsi="Palatino Linotype" w:cs="Palatino Linotype"/>
          <w:b/>
          <w:i/>
        </w:rPr>
        <w:t>No existe obligación de elaborar documentos ad hoc para atender las solicitudes de acceso a la información.</w:t>
      </w:r>
      <w:r w:rsidRPr="003D754B">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649AC682" w14:textId="77777777" w:rsidR="00DA517C" w:rsidRPr="003D754B" w:rsidRDefault="00DA517C">
      <w:pPr>
        <w:spacing w:after="0"/>
        <w:ind w:left="567" w:right="616"/>
        <w:jc w:val="both"/>
        <w:rPr>
          <w:rFonts w:ascii="Palatino Linotype" w:eastAsia="Palatino Linotype" w:hAnsi="Palatino Linotype" w:cs="Palatino Linotype"/>
          <w:i/>
        </w:rPr>
      </w:pPr>
    </w:p>
    <w:p w14:paraId="20BE6084" w14:textId="77777777" w:rsidR="00DA517C" w:rsidRPr="003D754B" w:rsidRDefault="00C361F7">
      <w:p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2896206" w14:textId="77777777" w:rsidR="00DA517C" w:rsidRPr="003D754B" w:rsidRDefault="00DA517C">
      <w:pPr>
        <w:spacing w:after="0" w:line="360" w:lineRule="auto"/>
        <w:jc w:val="both"/>
        <w:rPr>
          <w:rFonts w:ascii="Palatino Linotype" w:eastAsia="Palatino Linotype" w:hAnsi="Palatino Linotype" w:cs="Palatino Linotype"/>
        </w:rPr>
      </w:pPr>
    </w:p>
    <w:p w14:paraId="2B825141" w14:textId="77777777" w:rsidR="00DA517C" w:rsidRPr="003D754B" w:rsidRDefault="00C361F7">
      <w:pPr>
        <w:spacing w:after="0" w:line="360" w:lineRule="auto"/>
        <w:ind w:right="49"/>
        <w:jc w:val="both"/>
        <w:rPr>
          <w:rFonts w:ascii="Palatino Linotype" w:eastAsia="Palatino Linotype" w:hAnsi="Palatino Linotype" w:cs="Palatino Linotype"/>
        </w:rPr>
      </w:pPr>
      <w:r w:rsidRPr="003D754B">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173F29F" w14:textId="77777777" w:rsidR="00DA517C" w:rsidRPr="003D754B" w:rsidRDefault="00DA517C">
      <w:pPr>
        <w:spacing w:after="0" w:line="360" w:lineRule="auto"/>
        <w:ind w:right="49"/>
        <w:jc w:val="both"/>
        <w:rPr>
          <w:rFonts w:ascii="Palatino Linotype" w:eastAsia="Palatino Linotype" w:hAnsi="Palatino Linotype" w:cs="Palatino Linotype"/>
        </w:rPr>
      </w:pPr>
    </w:p>
    <w:p w14:paraId="182F8698" w14:textId="77777777" w:rsidR="00DA517C" w:rsidRPr="003D754B" w:rsidRDefault="00C361F7">
      <w:p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24B3DF9" w14:textId="77777777" w:rsidR="00DA517C" w:rsidRPr="003D754B" w:rsidRDefault="00DA517C">
      <w:pPr>
        <w:spacing w:after="0" w:line="360" w:lineRule="auto"/>
        <w:jc w:val="both"/>
        <w:rPr>
          <w:rFonts w:ascii="Palatino Linotype" w:eastAsia="Palatino Linotype" w:hAnsi="Palatino Linotype" w:cs="Palatino Linotype"/>
        </w:rPr>
      </w:pPr>
    </w:p>
    <w:p w14:paraId="4B95619B"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w:t>
      </w:r>
      <w:r w:rsidRPr="003D754B">
        <w:rPr>
          <w:rFonts w:ascii="Palatino Linotype" w:eastAsia="Palatino Linotype" w:hAnsi="Palatino Linotype" w:cs="Palatino Linotype"/>
          <w:b/>
          <w:i/>
        </w:rPr>
        <w:t xml:space="preserve">Artículo 3. </w:t>
      </w:r>
      <w:r w:rsidRPr="003D754B">
        <w:rPr>
          <w:rFonts w:ascii="Palatino Linotype" w:eastAsia="Palatino Linotype" w:hAnsi="Palatino Linotype" w:cs="Palatino Linotype"/>
          <w:i/>
        </w:rPr>
        <w:t>Para los efectos de la presente Ley se entenderá por:</w:t>
      </w:r>
    </w:p>
    <w:p w14:paraId="3CCE63BB"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w:t>
      </w:r>
    </w:p>
    <w:p w14:paraId="54D4D067"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b/>
          <w:i/>
        </w:rPr>
        <w:t>XI. Documento:</w:t>
      </w:r>
      <w:r w:rsidRPr="003D754B">
        <w:rPr>
          <w:rFonts w:ascii="Palatino Linotype" w:eastAsia="Palatino Linotype" w:hAnsi="Palatino Linotype" w:cs="Palatino Linotype"/>
          <w:i/>
        </w:rPr>
        <w:t xml:space="preserve"> Los expedientes, reportes, estudios, actas</w:t>
      </w:r>
      <w:r w:rsidRPr="003D754B">
        <w:rPr>
          <w:rFonts w:ascii="Palatino Linotype" w:eastAsia="Palatino Linotype" w:hAnsi="Palatino Linotype" w:cs="Palatino Linotype"/>
          <w:b/>
          <w:i/>
        </w:rPr>
        <w:t>,</w:t>
      </w:r>
      <w:r w:rsidRPr="003D754B">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34BE699" w14:textId="77777777" w:rsidR="00DA517C" w:rsidRPr="003D754B" w:rsidRDefault="00DA517C">
      <w:pPr>
        <w:spacing w:after="0" w:line="360" w:lineRule="auto"/>
        <w:ind w:left="851" w:right="899"/>
        <w:jc w:val="both"/>
        <w:rPr>
          <w:rFonts w:ascii="Palatino Linotype" w:eastAsia="Palatino Linotype" w:hAnsi="Palatino Linotype" w:cs="Palatino Linotype"/>
        </w:rPr>
      </w:pPr>
    </w:p>
    <w:p w14:paraId="11DA33A2" w14:textId="77777777" w:rsidR="00DA517C" w:rsidRPr="003D754B" w:rsidRDefault="00C361F7">
      <w:p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AFB7C3B" w14:textId="77777777" w:rsidR="00DA517C" w:rsidRPr="003D754B" w:rsidRDefault="00DA517C">
      <w:pPr>
        <w:spacing w:after="0" w:line="360" w:lineRule="auto"/>
        <w:ind w:left="851" w:right="899"/>
        <w:jc w:val="both"/>
        <w:rPr>
          <w:rFonts w:ascii="Palatino Linotype" w:eastAsia="Palatino Linotype" w:hAnsi="Palatino Linotype" w:cs="Palatino Linotype"/>
        </w:rPr>
      </w:pPr>
    </w:p>
    <w:p w14:paraId="1CD9E4FD" w14:textId="77777777" w:rsidR="00DA517C" w:rsidRPr="003D754B" w:rsidRDefault="00C361F7">
      <w:pPr>
        <w:tabs>
          <w:tab w:val="left" w:pos="7797"/>
        </w:tabs>
        <w:spacing w:after="0"/>
        <w:ind w:left="709" w:right="616"/>
        <w:jc w:val="both"/>
        <w:rPr>
          <w:rFonts w:ascii="Palatino Linotype" w:eastAsia="Palatino Linotype" w:hAnsi="Palatino Linotype" w:cs="Palatino Linotype"/>
          <w:b/>
          <w:i/>
        </w:rPr>
      </w:pPr>
      <w:r w:rsidRPr="003D754B">
        <w:rPr>
          <w:rFonts w:ascii="Palatino Linotype" w:eastAsia="Palatino Linotype" w:hAnsi="Palatino Linotype" w:cs="Palatino Linotype"/>
          <w:b/>
        </w:rPr>
        <w:t>“</w:t>
      </w:r>
      <w:r w:rsidRPr="003D754B">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3D754B">
        <w:rPr>
          <w:rFonts w:ascii="Palatino Linotype" w:eastAsia="Palatino Linotype" w:hAnsi="Palatino Linotype" w:cs="Palatino Linotype"/>
          <w:i/>
        </w:rPr>
        <w:t xml:space="preserve"> De conformidad con los artículos antes referidos, el derecho de acceso a la información pública, se define </w:t>
      </w:r>
      <w:r w:rsidRPr="003D754B">
        <w:rPr>
          <w:rFonts w:ascii="Palatino Linotype" w:eastAsia="Palatino Linotype" w:hAnsi="Palatino Linotype" w:cs="Palatino Linotype"/>
          <w:i/>
        </w:rPr>
        <w:lastRenderedPageBreak/>
        <w:t>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E3273A2" w14:textId="77777777" w:rsidR="00DA517C" w:rsidRPr="003D754B" w:rsidRDefault="00C361F7">
      <w:pPr>
        <w:tabs>
          <w:tab w:val="left" w:pos="7797"/>
        </w:tabs>
        <w:spacing w:after="0"/>
        <w:ind w:left="709"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En consecuencia el acceso a la información se refiere a que se cumplan cualquiera de los siguientes tres supuestos:</w:t>
      </w:r>
    </w:p>
    <w:p w14:paraId="208AF0C2" w14:textId="77777777" w:rsidR="00DA517C" w:rsidRPr="003D754B" w:rsidRDefault="00C361F7">
      <w:pPr>
        <w:tabs>
          <w:tab w:val="left" w:pos="7797"/>
        </w:tabs>
        <w:spacing w:after="0"/>
        <w:ind w:left="709"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0D431354" w14:textId="77777777" w:rsidR="00DA517C" w:rsidRPr="003D754B" w:rsidRDefault="00C361F7">
      <w:pPr>
        <w:tabs>
          <w:tab w:val="left" w:pos="7797"/>
        </w:tabs>
        <w:spacing w:after="0"/>
        <w:ind w:left="709" w:right="616"/>
        <w:jc w:val="both"/>
        <w:rPr>
          <w:rFonts w:ascii="Palatino Linotype" w:eastAsia="Palatino Linotype" w:hAnsi="Palatino Linotype" w:cs="Palatino Linotype"/>
          <w:b/>
          <w:i/>
        </w:rPr>
      </w:pPr>
      <w:r w:rsidRPr="003D754B">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6149309D" w14:textId="77777777" w:rsidR="00DA517C" w:rsidRPr="003D754B" w:rsidRDefault="00C361F7">
      <w:pPr>
        <w:tabs>
          <w:tab w:val="left" w:pos="7797"/>
        </w:tabs>
        <w:spacing w:after="0"/>
        <w:ind w:left="709" w:right="616"/>
        <w:jc w:val="both"/>
        <w:rPr>
          <w:rFonts w:ascii="Palatino Linotype" w:eastAsia="Palatino Linotype" w:hAnsi="Palatino Linotype" w:cs="Palatino Linotype"/>
          <w:b/>
          <w:i/>
        </w:rPr>
      </w:pPr>
      <w:r w:rsidRPr="003D754B">
        <w:rPr>
          <w:rFonts w:ascii="Palatino Linotype" w:eastAsia="Palatino Linotype" w:hAnsi="Palatino Linotype" w:cs="Palatino Linotype"/>
          <w:b/>
          <w:i/>
        </w:rPr>
        <w:t xml:space="preserve">3) Que se trate de información registrada en cualquier soporte documental, que en ejercicio de las atribuciones conferidas, se encuentre en posesión de los Sujetos Obligados.” </w:t>
      </w:r>
    </w:p>
    <w:p w14:paraId="4FDAF297" w14:textId="77777777" w:rsidR="00DA517C" w:rsidRPr="003D754B" w:rsidRDefault="00DA517C">
      <w:pPr>
        <w:spacing w:after="0" w:line="360" w:lineRule="auto"/>
        <w:jc w:val="both"/>
        <w:rPr>
          <w:rFonts w:ascii="Palatino Linotype" w:eastAsia="Palatino Linotype" w:hAnsi="Palatino Linotype" w:cs="Palatino Linotype"/>
        </w:rPr>
      </w:pPr>
    </w:p>
    <w:p w14:paraId="1D9978DA" w14:textId="77777777" w:rsidR="00DA517C" w:rsidRPr="003D754B" w:rsidRDefault="00C361F7">
      <w:pPr>
        <w:spacing w:after="0" w:line="360" w:lineRule="auto"/>
        <w:ind w:right="49"/>
        <w:jc w:val="both"/>
        <w:rPr>
          <w:rFonts w:ascii="Palatino Linotype" w:eastAsia="Palatino Linotype" w:hAnsi="Palatino Linotype" w:cs="Palatino Linotype"/>
        </w:rPr>
      </w:pPr>
      <w:r w:rsidRPr="003D754B">
        <w:rPr>
          <w:rFonts w:ascii="Palatino Linotype" w:eastAsia="Palatino Linotype" w:hAnsi="Palatino Linotype" w:cs="Palatino Linotype"/>
        </w:rPr>
        <w:t xml:space="preserve">De las actuaciones que integran el expediente electrónico, se procede al análisis de los agravios hechos valer por el Recurrente, relativos a la falta de </w:t>
      </w:r>
      <w:r w:rsidR="00C72136" w:rsidRPr="003D754B">
        <w:rPr>
          <w:rFonts w:ascii="Palatino Linotype" w:eastAsia="Palatino Linotype" w:hAnsi="Palatino Linotype" w:cs="Palatino Linotype"/>
        </w:rPr>
        <w:t>trámite de la</w:t>
      </w:r>
      <w:r w:rsidRPr="003D754B">
        <w:rPr>
          <w:rFonts w:ascii="Palatino Linotype" w:eastAsia="Palatino Linotype" w:hAnsi="Palatino Linotype" w:cs="Palatino Linotype"/>
        </w:rPr>
        <w:t xml:space="preserve"> solicitud de acceso a la información, lo que actualiza la causal de procede</w:t>
      </w:r>
      <w:r w:rsidR="00C72136" w:rsidRPr="003D754B">
        <w:rPr>
          <w:rFonts w:ascii="Palatino Linotype" w:eastAsia="Palatino Linotype" w:hAnsi="Palatino Linotype" w:cs="Palatino Linotype"/>
        </w:rPr>
        <w:t>ncia prevista en la fracción XI</w:t>
      </w:r>
      <w:r w:rsidRPr="003D754B">
        <w:rPr>
          <w:rFonts w:ascii="Palatino Linotype" w:eastAsia="Palatino Linotype" w:hAnsi="Palatino Linotype" w:cs="Palatino Linotype"/>
        </w:rPr>
        <w:t xml:space="preserve"> del artículo 179 de la Ley de Transparencia y Acceso a la Información Pública del Estado de México y Municipios.</w:t>
      </w:r>
    </w:p>
    <w:p w14:paraId="23BE0F8D" w14:textId="77777777" w:rsidR="00DA517C" w:rsidRPr="003D754B" w:rsidRDefault="00DA517C">
      <w:pPr>
        <w:spacing w:after="0" w:line="360" w:lineRule="auto"/>
        <w:jc w:val="both"/>
        <w:rPr>
          <w:rFonts w:ascii="Palatino Linotype" w:eastAsia="Palatino Linotype" w:hAnsi="Palatino Linotype" w:cs="Palatino Linotype"/>
        </w:rPr>
      </w:pPr>
    </w:p>
    <w:p w14:paraId="4D674B38" w14:textId="77777777" w:rsidR="00DA517C" w:rsidRPr="003D754B" w:rsidRDefault="00C361F7">
      <w:pPr>
        <w:spacing w:after="0" w:line="360" w:lineRule="auto"/>
        <w:jc w:val="both"/>
        <w:rPr>
          <w:rFonts w:ascii="Palatino Linotype" w:eastAsia="Palatino Linotype" w:hAnsi="Palatino Linotype" w:cs="Palatino Linotype"/>
          <w:b/>
        </w:rPr>
      </w:pPr>
      <w:r w:rsidRPr="003D754B">
        <w:rPr>
          <w:rFonts w:ascii="Palatino Linotype" w:eastAsia="Palatino Linotype" w:hAnsi="Palatino Linotype" w:cs="Palatino Linotype"/>
        </w:rPr>
        <w:t>Dicho lo anterior, es de recordar que la parte Solicitante requirió se le proporcionaran las l</w:t>
      </w:r>
      <w:r w:rsidRPr="003D754B">
        <w:rPr>
          <w:rFonts w:ascii="Palatino Linotype" w:eastAsia="Palatino Linotype" w:hAnsi="Palatino Linotype" w:cs="Palatino Linotype"/>
          <w:b/>
        </w:rPr>
        <w:t xml:space="preserve">icencias de funcionamiento en versión pública de todos los negocios con venta de alcohol y pista del municipio de Melchor Ocampo, de enero 2019 al mes de marzo del año 2024. </w:t>
      </w:r>
    </w:p>
    <w:p w14:paraId="0EBD89A0" w14:textId="77777777" w:rsidR="00DA517C" w:rsidRPr="003D754B" w:rsidRDefault="00DA517C">
      <w:pPr>
        <w:spacing w:after="0" w:line="360" w:lineRule="auto"/>
        <w:jc w:val="both"/>
        <w:rPr>
          <w:rFonts w:ascii="Palatino Linotype" w:eastAsia="Palatino Linotype" w:hAnsi="Palatino Linotype" w:cs="Palatino Linotype"/>
          <w:b/>
        </w:rPr>
      </w:pPr>
    </w:p>
    <w:p w14:paraId="18557048" w14:textId="77777777" w:rsidR="00DA517C" w:rsidRPr="003D754B" w:rsidRDefault="00C361F7">
      <w:p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t xml:space="preserve">En respuesta, el Sujeto Obligado solicitó al Recurrente aclarara a qué se refería con </w:t>
      </w:r>
      <w:r w:rsidRPr="003D754B">
        <w:rPr>
          <w:rFonts w:ascii="Palatino Linotype" w:eastAsia="Palatino Linotype" w:hAnsi="Palatino Linotype" w:cs="Palatino Linotype"/>
          <w:i/>
        </w:rPr>
        <w:t>“Licencia de funcionamiento de los negocios con venta de alcohol y pista”</w:t>
      </w:r>
    </w:p>
    <w:p w14:paraId="20C133A1" w14:textId="77777777" w:rsidR="00DA517C" w:rsidRPr="003D754B" w:rsidRDefault="00DA517C">
      <w:pPr>
        <w:spacing w:after="0" w:line="360" w:lineRule="auto"/>
        <w:jc w:val="both"/>
        <w:rPr>
          <w:rFonts w:ascii="Palatino Linotype" w:eastAsia="Palatino Linotype" w:hAnsi="Palatino Linotype" w:cs="Palatino Linotype"/>
          <w:b/>
        </w:rPr>
      </w:pPr>
    </w:p>
    <w:p w14:paraId="2EE6672E" w14:textId="77777777" w:rsidR="00DA517C" w:rsidRPr="003D754B" w:rsidRDefault="00C361F7">
      <w:p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lastRenderedPageBreak/>
        <w:t xml:space="preserve">La parte Recurrente fue omisa en desahogar el requerimiento de aclaración y por ende, el Sujeto Obligado determinó tenerlo como no presentado. </w:t>
      </w:r>
    </w:p>
    <w:p w14:paraId="58111252" w14:textId="77777777" w:rsidR="00DA517C" w:rsidRPr="003D754B" w:rsidRDefault="00DA517C">
      <w:pPr>
        <w:spacing w:after="0" w:line="360" w:lineRule="auto"/>
        <w:jc w:val="both"/>
        <w:rPr>
          <w:rFonts w:ascii="Palatino Linotype" w:eastAsia="Palatino Linotype" w:hAnsi="Palatino Linotype" w:cs="Palatino Linotype"/>
        </w:rPr>
      </w:pPr>
    </w:p>
    <w:p w14:paraId="21F8BFFD" w14:textId="77777777" w:rsidR="00DA517C" w:rsidRPr="003D754B" w:rsidRDefault="00C361F7">
      <w:p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t>La parte Re</w:t>
      </w:r>
      <w:r w:rsidR="00C72136" w:rsidRPr="003D754B">
        <w:rPr>
          <w:rFonts w:ascii="Palatino Linotype" w:eastAsia="Palatino Linotype" w:hAnsi="Palatino Linotype" w:cs="Palatino Linotype"/>
        </w:rPr>
        <w:t xml:space="preserve">currente, se inconformó por la respuesta a la solicitud. </w:t>
      </w:r>
    </w:p>
    <w:p w14:paraId="5EEA0B79" w14:textId="77777777" w:rsidR="00DA517C" w:rsidRPr="003D754B" w:rsidRDefault="00DA517C">
      <w:pPr>
        <w:spacing w:after="0" w:line="360" w:lineRule="auto"/>
        <w:jc w:val="both"/>
        <w:rPr>
          <w:rFonts w:ascii="Palatino Linotype" w:eastAsia="Palatino Linotype" w:hAnsi="Palatino Linotype" w:cs="Palatino Linotype"/>
        </w:rPr>
      </w:pPr>
    </w:p>
    <w:p w14:paraId="53C7147F" w14:textId="77777777" w:rsidR="00DA517C" w:rsidRPr="003D754B" w:rsidRDefault="00C361F7">
      <w:p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t>Las partes fueron omisas en remitir manifestaciones.</w:t>
      </w:r>
    </w:p>
    <w:p w14:paraId="176A296D" w14:textId="77777777" w:rsidR="00DA517C" w:rsidRPr="003D754B" w:rsidRDefault="00DA517C">
      <w:pPr>
        <w:spacing w:after="0" w:line="360" w:lineRule="auto"/>
        <w:ind w:right="49"/>
        <w:jc w:val="both"/>
        <w:rPr>
          <w:rFonts w:ascii="Palatino Linotype" w:eastAsia="Palatino Linotype" w:hAnsi="Palatino Linotype" w:cs="Palatino Linotype"/>
        </w:rPr>
      </w:pPr>
    </w:p>
    <w:p w14:paraId="5EC3F38B" w14:textId="77777777" w:rsidR="00DA517C" w:rsidRPr="003D754B" w:rsidRDefault="00C361F7">
      <w:pPr>
        <w:widowControl w:val="0"/>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t xml:space="preserve">Dicho lo anterior, en principio resulta necesario mencionar que, del expediente no se advierte que el Sujeto Obligado </w:t>
      </w:r>
      <w:r w:rsidR="00C72136" w:rsidRPr="003D754B">
        <w:rPr>
          <w:rFonts w:ascii="Palatino Linotype" w:eastAsia="Palatino Linotype" w:hAnsi="Palatino Linotype" w:cs="Palatino Linotype"/>
        </w:rPr>
        <w:t>haya dado trámite a la solicitud de información de conformidad con la fracción XI</w:t>
      </w:r>
      <w:r w:rsidRPr="003D754B">
        <w:rPr>
          <w:rFonts w:ascii="Palatino Linotype" w:eastAsia="Palatino Linotype" w:hAnsi="Palatino Linotype" w:cs="Palatino Linotype"/>
        </w:rPr>
        <w:t xml:space="preserve"> del artículo 179 de la Ley de Transparencia de la Entidad, por lo que, los agravios hechos valer por la parte Recurrente, devienen </w:t>
      </w:r>
      <w:r w:rsidRPr="003D754B">
        <w:rPr>
          <w:rFonts w:ascii="Palatino Linotype" w:eastAsia="Palatino Linotype" w:hAnsi="Palatino Linotype" w:cs="Palatino Linotype"/>
          <w:b/>
        </w:rPr>
        <w:t>FUNDADOS</w:t>
      </w:r>
      <w:r w:rsidRPr="003D754B">
        <w:rPr>
          <w:rFonts w:ascii="Palatino Linotype" w:eastAsia="Palatino Linotype" w:hAnsi="Palatino Linotype" w:cs="Palatino Linotype"/>
        </w:rPr>
        <w:t xml:space="preserve">. </w:t>
      </w:r>
    </w:p>
    <w:p w14:paraId="1E62F723" w14:textId="77777777" w:rsidR="00DA517C" w:rsidRPr="003D754B" w:rsidRDefault="00DA517C">
      <w:pPr>
        <w:widowControl w:val="0"/>
        <w:spacing w:after="0" w:line="360" w:lineRule="auto"/>
        <w:jc w:val="both"/>
        <w:rPr>
          <w:rFonts w:ascii="Palatino Linotype" w:eastAsia="Palatino Linotype" w:hAnsi="Palatino Linotype" w:cs="Palatino Linotype"/>
        </w:rPr>
      </w:pPr>
    </w:p>
    <w:p w14:paraId="55AFB2CF" w14:textId="77777777" w:rsidR="00DA517C" w:rsidRPr="003D754B" w:rsidRDefault="00C361F7">
      <w:pPr>
        <w:widowControl w:val="0"/>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t>Asimismo, es de suma importancia resaltar que, en la solicitud de información, la parte Recurrente requirió de manera textual:</w:t>
      </w:r>
    </w:p>
    <w:p w14:paraId="506B98C6" w14:textId="77777777" w:rsidR="00DA517C" w:rsidRPr="003D754B" w:rsidRDefault="00DA517C">
      <w:pPr>
        <w:widowControl w:val="0"/>
        <w:spacing w:after="0" w:line="360" w:lineRule="auto"/>
        <w:jc w:val="both"/>
        <w:rPr>
          <w:rFonts w:ascii="Palatino Linotype" w:eastAsia="Palatino Linotype" w:hAnsi="Palatino Linotype" w:cs="Palatino Linotype"/>
        </w:rPr>
      </w:pPr>
    </w:p>
    <w:p w14:paraId="4AD0BB25" w14:textId="77777777" w:rsidR="00DA517C" w:rsidRPr="003D754B" w:rsidRDefault="00C361F7">
      <w:pPr>
        <w:widowControl w:val="0"/>
        <w:spacing w:after="0" w:line="360" w:lineRule="auto"/>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t xml:space="preserve">“Licencia de funcionamiento en versión publica de todos los negocios </w:t>
      </w:r>
      <w:r w:rsidRPr="003D754B">
        <w:rPr>
          <w:rFonts w:ascii="Palatino Linotype" w:eastAsia="Palatino Linotype" w:hAnsi="Palatino Linotype" w:cs="Palatino Linotype"/>
          <w:i/>
          <w:u w:val="single"/>
        </w:rPr>
        <w:t xml:space="preserve">con venta de alcohol y pista </w:t>
      </w:r>
      <w:r w:rsidRPr="003D754B">
        <w:rPr>
          <w:rFonts w:ascii="Palatino Linotype" w:eastAsia="Palatino Linotype" w:hAnsi="Palatino Linotype" w:cs="Palatino Linotype"/>
          <w:i/>
        </w:rPr>
        <w:t>del municipio de Melchor Ocampo…”</w:t>
      </w:r>
    </w:p>
    <w:p w14:paraId="44A864C4" w14:textId="77777777" w:rsidR="00DA517C" w:rsidRPr="003D754B" w:rsidRDefault="00DA517C">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0B2E8361" w14:textId="77777777" w:rsidR="00DA517C" w:rsidRPr="003D754B" w:rsidRDefault="00C361F7">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3D754B">
        <w:rPr>
          <w:rFonts w:ascii="Palatino Linotype" w:eastAsia="Palatino Linotype" w:hAnsi="Palatino Linotype" w:cs="Palatino Linotype"/>
        </w:rPr>
        <w:t xml:space="preserve">Por lo que, de conformidad con el Reglamento del Ordenamiento Comercial, Industrial y de Servicios del Municipio de Melchor Ocampo (consultado en </w:t>
      </w:r>
      <w:hyperlink r:id="rId9">
        <w:r w:rsidRPr="003D754B">
          <w:rPr>
            <w:rFonts w:ascii="Palatino Linotype" w:eastAsia="Palatino Linotype" w:hAnsi="Palatino Linotype" w:cs="Palatino Linotype"/>
            <w:u w:val="single"/>
          </w:rPr>
          <w:t>https://melchor-ocampo.gob.mx/contenidos/melchor-ocampo/docs/223_reglamento-de-ordenamiento-comercial-industrial-y-de-servicios-del-municipio-de-melchor-ocampo-2023_23425114838.pdf</w:t>
        </w:r>
      </w:hyperlink>
      <w:r w:rsidRPr="003D754B">
        <w:rPr>
          <w:rFonts w:ascii="Palatino Linotype" w:eastAsia="Palatino Linotype" w:hAnsi="Palatino Linotype" w:cs="Palatino Linotype"/>
        </w:rPr>
        <w:t xml:space="preserve">), se encontró como unidades económicas de alto impacto las siguientes: </w:t>
      </w:r>
    </w:p>
    <w:p w14:paraId="1272E15B" w14:textId="77777777" w:rsidR="00DA517C" w:rsidRPr="003D754B" w:rsidRDefault="00C361F7">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3D754B">
        <w:rPr>
          <w:rFonts w:ascii="Palatino Linotype" w:eastAsia="Palatino Linotype" w:hAnsi="Palatino Linotype" w:cs="Palatino Linotype"/>
          <w:noProof/>
          <w:lang w:eastAsia="es-MX"/>
        </w:rPr>
        <w:lastRenderedPageBreak/>
        <w:drawing>
          <wp:inline distT="0" distB="0" distL="0" distR="0" wp14:anchorId="15C22FBF" wp14:editId="55AE7D8A">
            <wp:extent cx="5687219" cy="2553056"/>
            <wp:effectExtent l="0" t="0" r="0" b="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87219" cy="2553056"/>
                    </a:xfrm>
                    <a:prstGeom prst="rect">
                      <a:avLst/>
                    </a:prstGeom>
                    <a:ln/>
                  </pic:spPr>
                </pic:pic>
              </a:graphicData>
            </a:graphic>
          </wp:inline>
        </w:drawing>
      </w:r>
      <w:r w:rsidRPr="003D754B">
        <w:rPr>
          <w:noProof/>
          <w:lang w:eastAsia="es-MX"/>
        </w:rPr>
        <mc:AlternateContent>
          <mc:Choice Requires="wpg">
            <w:drawing>
              <wp:anchor distT="0" distB="0" distL="114300" distR="114300" simplePos="0" relativeHeight="251658240" behindDoc="0" locked="0" layoutInCell="1" hidden="0" allowOverlap="1" wp14:anchorId="2212F818" wp14:editId="4CC465D8">
                <wp:simplePos x="0" y="0"/>
                <wp:positionH relativeFrom="column">
                  <wp:posOffset>-12699</wp:posOffset>
                </wp:positionH>
                <wp:positionV relativeFrom="paragraph">
                  <wp:posOffset>1206500</wp:posOffset>
                </wp:positionV>
                <wp:extent cx="5715635" cy="533400"/>
                <wp:effectExtent l="0" t="0" r="0" b="0"/>
                <wp:wrapNone/>
                <wp:docPr id="31" name="Rectángulo 31"/>
                <wp:cNvGraphicFramePr/>
                <a:graphic xmlns:a="http://schemas.openxmlformats.org/drawingml/2006/main">
                  <a:graphicData uri="http://schemas.microsoft.com/office/word/2010/wordprocessingShape">
                    <wps:wsp>
                      <wps:cNvSpPr/>
                      <wps:spPr>
                        <a:xfrm>
                          <a:off x="2507233" y="3532350"/>
                          <a:ext cx="5677535" cy="495300"/>
                        </a:xfrm>
                        <a:prstGeom prst="rect">
                          <a:avLst/>
                        </a:prstGeom>
                        <a:noFill/>
                        <a:ln w="38100" cap="flat" cmpd="sng">
                          <a:solidFill>
                            <a:srgbClr val="FF0000"/>
                          </a:solidFill>
                          <a:prstDash val="solid"/>
                          <a:miter lim="800000"/>
                          <a:headEnd type="none" w="sm" len="sm"/>
                          <a:tailEnd type="none" w="sm" len="sm"/>
                        </a:ln>
                      </wps:spPr>
                      <wps:txbx>
                        <w:txbxContent>
                          <w:p w14:paraId="6DBE279C" w14:textId="77777777" w:rsidR="00DA517C" w:rsidRDefault="00DA517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-12699</wp:posOffset>
                </wp:positionH>
                <wp:positionV relativeFrom="paragraph">
                  <wp:posOffset>1206500</wp:posOffset>
                </wp:positionV>
                <wp:extent cx="5715635" cy="533400"/>
                <wp:effectExtent b="0" l="0" r="0" t="0"/>
                <wp:wrapNone/>
                <wp:docPr id="31"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5715635" cy="533400"/>
                        </a:xfrm>
                        <a:prstGeom prst="rect"/>
                        <a:ln/>
                      </pic:spPr>
                    </pic:pic>
                  </a:graphicData>
                </a:graphic>
              </wp:anchor>
            </w:drawing>
          </mc:Fallback>
        </mc:AlternateContent>
      </w:r>
    </w:p>
    <w:p w14:paraId="5C3C0D9D" w14:textId="77777777" w:rsidR="00DA517C" w:rsidRPr="003D754B" w:rsidRDefault="00DA517C">
      <w:pPr>
        <w:pBdr>
          <w:top w:val="nil"/>
          <w:left w:val="nil"/>
          <w:bottom w:val="nil"/>
          <w:right w:val="nil"/>
          <w:between w:val="nil"/>
        </w:pBdr>
        <w:spacing w:after="0" w:line="360" w:lineRule="auto"/>
        <w:ind w:right="-7" w:firstLine="720"/>
        <w:jc w:val="both"/>
        <w:rPr>
          <w:rFonts w:ascii="Palatino Linotype" w:eastAsia="Palatino Linotype" w:hAnsi="Palatino Linotype" w:cs="Palatino Linotype"/>
        </w:rPr>
      </w:pPr>
    </w:p>
    <w:p w14:paraId="06E32AA9" w14:textId="77777777" w:rsidR="00DA517C" w:rsidRPr="003D754B" w:rsidRDefault="00C361F7">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b/>
          <w:i/>
        </w:rPr>
        <w:t>Artículo 79.-</w:t>
      </w:r>
      <w:r w:rsidRPr="003D754B">
        <w:rPr>
          <w:rFonts w:ascii="Palatino Linotype" w:eastAsia="Palatino Linotype" w:hAnsi="Palatino Linotype" w:cs="Palatino Linotype"/>
          <w:i/>
        </w:rPr>
        <w:t xml:space="preserve"> Para efectos del presente Reglamento, se precisan las siguientes actividades servicios: </w:t>
      </w:r>
    </w:p>
    <w:p w14:paraId="53E85B14" w14:textId="77777777" w:rsidR="00DA517C" w:rsidRPr="003D754B" w:rsidRDefault="00C361F7">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t xml:space="preserve">I. Bar o cantina: Establecimiento que de manera independiente o formado parte de otra actividad económica, vende preponderantemente bebidas alcohólicas al copeo, para su consumo en el mismo local, pudiendo de manera complementaria servir alimentos, presentar música en vivo, grabada o video grabada. </w:t>
      </w:r>
    </w:p>
    <w:p w14:paraId="13FAE543" w14:textId="77777777" w:rsidR="00DA517C" w:rsidRPr="003D754B" w:rsidRDefault="00C361F7">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t xml:space="preserve">II. Cervecería: Establecimiento que expende cervezas para el consumo en lo interior del local. </w:t>
      </w:r>
    </w:p>
    <w:p w14:paraId="1B39EA66" w14:textId="77777777" w:rsidR="00DA517C" w:rsidRPr="003D754B" w:rsidRDefault="00C361F7">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t>III. Pulquería: Establecimiento que extiende pulque o sus derivados para consumo en el interior del local o para llevar.</w:t>
      </w:r>
    </w:p>
    <w:p w14:paraId="17E2013B" w14:textId="77777777" w:rsidR="00DA517C" w:rsidRPr="003D754B" w:rsidRDefault="00C361F7">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t xml:space="preserve">IV. Restaurante bar: Establecimiento que tiene como giro preponderantemente la venta de bebidas alcohólicas al copeo o en botella abierta, con o sin el consumo de alimentos, con música grabada o en vivo, dentro del cual complementariamente pueden presentarse espectáculos. </w:t>
      </w:r>
    </w:p>
    <w:p w14:paraId="5455F46C" w14:textId="77777777" w:rsidR="00DA517C" w:rsidRPr="003D754B" w:rsidRDefault="00C361F7">
      <w:pPr>
        <w:pBdr>
          <w:top w:val="nil"/>
          <w:left w:val="nil"/>
          <w:bottom w:val="nil"/>
          <w:right w:val="nil"/>
          <w:between w:val="nil"/>
        </w:pBdr>
        <w:spacing w:after="0"/>
        <w:ind w:left="567" w:right="560"/>
        <w:jc w:val="both"/>
        <w:rPr>
          <w:rFonts w:ascii="Palatino Linotype" w:eastAsia="Palatino Linotype" w:hAnsi="Palatino Linotype" w:cs="Palatino Linotype"/>
          <w:b/>
          <w:i/>
        </w:rPr>
      </w:pPr>
      <w:r w:rsidRPr="003D754B">
        <w:rPr>
          <w:rFonts w:ascii="Palatino Linotype" w:eastAsia="Palatino Linotype" w:hAnsi="Palatino Linotype" w:cs="Palatino Linotype"/>
          <w:b/>
          <w:i/>
        </w:rPr>
        <w:t xml:space="preserve">V. Centros nocturnos, cabarets, discotecas o de espectáculos: Los establecimientos que tengan como actividad económica la venta de bebidas alcohólicas al copeo o en botella abierta, con música grabada o en vivo y pista de baile en los que se presente espectáculos artísticos, musicales, de revista y baile o variedad. </w:t>
      </w:r>
    </w:p>
    <w:p w14:paraId="008EB1B9" w14:textId="77777777" w:rsidR="00DA517C" w:rsidRPr="003D754B" w:rsidRDefault="00DA517C">
      <w:pPr>
        <w:pBdr>
          <w:top w:val="nil"/>
          <w:left w:val="nil"/>
          <w:bottom w:val="nil"/>
          <w:right w:val="nil"/>
          <w:between w:val="nil"/>
        </w:pBdr>
        <w:spacing w:after="0"/>
        <w:ind w:left="567" w:right="560"/>
        <w:jc w:val="both"/>
        <w:rPr>
          <w:rFonts w:ascii="Palatino Linotype" w:eastAsia="Palatino Linotype" w:hAnsi="Palatino Linotype" w:cs="Palatino Linotype"/>
          <w:b/>
          <w:i/>
        </w:rPr>
      </w:pPr>
    </w:p>
    <w:p w14:paraId="7D44BB8D" w14:textId="77777777" w:rsidR="00DA517C" w:rsidRPr="003D754B" w:rsidRDefault="00C361F7">
      <w:pPr>
        <w:pBdr>
          <w:top w:val="nil"/>
          <w:left w:val="nil"/>
          <w:bottom w:val="nil"/>
          <w:right w:val="nil"/>
          <w:between w:val="nil"/>
        </w:pBdr>
        <w:spacing w:after="0"/>
        <w:ind w:left="567" w:right="560"/>
        <w:jc w:val="both"/>
        <w:rPr>
          <w:rFonts w:ascii="Palatino Linotype" w:eastAsia="Palatino Linotype" w:hAnsi="Palatino Linotype" w:cs="Palatino Linotype"/>
          <w:b/>
          <w:i/>
          <w:u w:val="single"/>
        </w:rPr>
      </w:pPr>
      <w:r w:rsidRPr="003D754B">
        <w:rPr>
          <w:rFonts w:ascii="Palatino Linotype" w:eastAsia="Palatino Linotype" w:hAnsi="Palatino Linotype" w:cs="Palatino Linotype"/>
          <w:b/>
          <w:i/>
          <w:u w:val="single"/>
        </w:rPr>
        <w:lastRenderedPageBreak/>
        <w:t>En los establecimientos mencionados en tres primeras fracciones no se autorizará variedad ni pista de baile.</w:t>
      </w:r>
    </w:p>
    <w:p w14:paraId="50DC1D03" w14:textId="77777777" w:rsidR="00DA517C" w:rsidRPr="003D754B" w:rsidRDefault="00DA517C">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2751ED29" w14:textId="77777777" w:rsidR="00DA517C" w:rsidRPr="003D754B" w:rsidRDefault="00C361F7">
      <w:pPr>
        <w:pBdr>
          <w:top w:val="nil"/>
          <w:left w:val="nil"/>
          <w:bottom w:val="nil"/>
          <w:right w:val="nil"/>
          <w:between w:val="nil"/>
        </w:pBdr>
        <w:spacing w:after="0" w:line="360" w:lineRule="auto"/>
        <w:ind w:right="-7"/>
        <w:jc w:val="both"/>
        <w:rPr>
          <w:rFonts w:ascii="Palatino Linotype" w:eastAsia="Palatino Linotype" w:hAnsi="Palatino Linotype" w:cs="Palatino Linotype"/>
          <w:b/>
          <w:u w:val="single"/>
        </w:rPr>
      </w:pPr>
      <w:r w:rsidRPr="003D754B">
        <w:rPr>
          <w:rFonts w:ascii="Palatino Linotype" w:eastAsia="Palatino Linotype" w:hAnsi="Palatino Linotype" w:cs="Palatino Linotype"/>
          <w:b/>
          <w:u w:val="single"/>
        </w:rPr>
        <w:t xml:space="preserve">De lo que se advierte, que la pretensión de la parte Recurrente, es obtener las licencias de funcionamiento de negocios con venta de bebidas alcohólicas y que cuenten con pistas de baile, como pudieran ser centros nocturnos, cabarets, discotecas o de espectáculos, siendo denominadas como unidades económicas de alto impacto. </w:t>
      </w:r>
    </w:p>
    <w:p w14:paraId="0D03F50C" w14:textId="77777777" w:rsidR="00DA517C" w:rsidRPr="003D754B" w:rsidRDefault="00DA517C">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6BDC74D8" w14:textId="77777777" w:rsidR="00DA517C" w:rsidRPr="003D754B" w:rsidRDefault="00C361F7">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3D754B">
        <w:rPr>
          <w:rFonts w:ascii="Palatino Linotype" w:eastAsia="Palatino Linotype" w:hAnsi="Palatino Linotype" w:cs="Palatino Linotype"/>
        </w:rPr>
        <w:t>Es así que, en lo que respecta a las licencias de funcionamiento, se procede a contextualizar la información requerida, para ello, de conformidad con Eduardo López Sosa, Natalia López Sosa. (2014). “Derecho Administrativo Mexicano”. (p. 262), establece que la autorización, la licencia, o el permiso es el acto administrativo por medio de los cuales se otorga a un particular, por un órgano administrativo, la facultad o el derecho para realizar una actividad o para hacer alguna cosa.</w:t>
      </w:r>
    </w:p>
    <w:p w14:paraId="037B781C" w14:textId="77777777" w:rsidR="00DA517C" w:rsidRPr="003D754B" w:rsidRDefault="00DA517C">
      <w:pPr>
        <w:widowControl w:val="0"/>
        <w:tabs>
          <w:tab w:val="center" w:pos="4522"/>
        </w:tabs>
        <w:spacing w:after="0" w:line="360" w:lineRule="auto"/>
        <w:rPr>
          <w:rFonts w:ascii="Palatino Linotype" w:eastAsia="Palatino Linotype" w:hAnsi="Palatino Linotype" w:cs="Palatino Linotype"/>
        </w:rPr>
      </w:pPr>
    </w:p>
    <w:p w14:paraId="32BB848B" w14:textId="77777777" w:rsidR="00DA517C" w:rsidRPr="003D754B" w:rsidRDefault="00C361F7">
      <w:pPr>
        <w:widowControl w:val="0"/>
        <w:tabs>
          <w:tab w:val="center" w:pos="4522"/>
        </w:tabs>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t xml:space="preserve">Sobre dichos documentos, el artículo 31, fracciones, XXIV </w:t>
      </w:r>
      <w:proofErr w:type="spellStart"/>
      <w:r w:rsidRPr="003D754B">
        <w:rPr>
          <w:rFonts w:ascii="Palatino Linotype" w:eastAsia="Palatino Linotype" w:hAnsi="Palatino Linotype" w:cs="Palatino Linotype"/>
        </w:rPr>
        <w:t>Quáter</w:t>
      </w:r>
      <w:proofErr w:type="spellEnd"/>
      <w:r w:rsidRPr="003D754B">
        <w:rPr>
          <w:rFonts w:ascii="Palatino Linotype" w:eastAsia="Palatino Linotype" w:hAnsi="Palatino Linotype" w:cs="Palatino Linotype"/>
        </w:rPr>
        <w:t xml:space="preserve"> y XLIV, de la Ley Orgánica Municipal el Estado de México, establece que los Ayuntamientos son los encargados de otorgar licencias para el funcionamiento de unidades económicas; así como, de crear el Registro Municipal de Unidades Económicas, donde se especifique la licencia de funcionamiento y las características que se determinen convenientes.</w:t>
      </w:r>
    </w:p>
    <w:p w14:paraId="5ED88F14" w14:textId="77777777" w:rsidR="00DA517C" w:rsidRPr="003D754B" w:rsidRDefault="00DA517C">
      <w:pPr>
        <w:widowControl w:val="0"/>
        <w:tabs>
          <w:tab w:val="center" w:pos="4522"/>
        </w:tabs>
        <w:spacing w:after="0" w:line="360" w:lineRule="auto"/>
        <w:jc w:val="both"/>
        <w:rPr>
          <w:rFonts w:ascii="Palatino Linotype" w:eastAsia="Palatino Linotype" w:hAnsi="Palatino Linotype" w:cs="Palatino Linotype"/>
        </w:rPr>
      </w:pPr>
    </w:p>
    <w:p w14:paraId="34F5D027" w14:textId="77777777" w:rsidR="00DA517C" w:rsidRPr="003D754B" w:rsidRDefault="00C361F7">
      <w:pPr>
        <w:widowControl w:val="0"/>
        <w:tabs>
          <w:tab w:val="center" w:pos="4522"/>
        </w:tabs>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t xml:space="preserve">Para lograr lo anterior, los Ayuntamientos contarán con un Director de Desarrollo Económico o equivalente que impulsa la simplificación de trámites y reducción de plazos para el otorgamiento de permisos, </w:t>
      </w:r>
      <w:r w:rsidRPr="003D754B">
        <w:rPr>
          <w:rFonts w:ascii="Palatino Linotype" w:eastAsia="Palatino Linotype" w:hAnsi="Palatino Linotype" w:cs="Palatino Linotype"/>
          <w:b/>
        </w:rPr>
        <w:t>licencias</w:t>
      </w:r>
      <w:r w:rsidRPr="003D754B">
        <w:rPr>
          <w:rFonts w:ascii="Palatino Linotype" w:eastAsia="Palatino Linotype" w:hAnsi="Palatino Linotype" w:cs="Palatino Linotype"/>
        </w:rPr>
        <w:t xml:space="preserve"> y autorizaciones del orden municipal, así como de operar y actualizar el Registro Municipal de Unidades Económicas de los permisos o licencias de funcionamiento otorgadas, de conformidad con el artículo 96 </w:t>
      </w:r>
      <w:proofErr w:type="spellStart"/>
      <w:r w:rsidRPr="003D754B">
        <w:rPr>
          <w:rFonts w:ascii="Palatino Linotype" w:eastAsia="Palatino Linotype" w:hAnsi="Palatino Linotype" w:cs="Palatino Linotype"/>
        </w:rPr>
        <w:t>Quáter</w:t>
      </w:r>
      <w:proofErr w:type="spellEnd"/>
      <w:r w:rsidRPr="003D754B">
        <w:rPr>
          <w:rFonts w:ascii="Palatino Linotype" w:eastAsia="Palatino Linotype" w:hAnsi="Palatino Linotype" w:cs="Palatino Linotype"/>
        </w:rPr>
        <w:t xml:space="preserve"> de la Ley señalada en el </w:t>
      </w:r>
      <w:r w:rsidRPr="003D754B">
        <w:rPr>
          <w:rFonts w:ascii="Palatino Linotype" w:eastAsia="Palatino Linotype" w:hAnsi="Palatino Linotype" w:cs="Palatino Linotype"/>
        </w:rPr>
        <w:lastRenderedPageBreak/>
        <w:t>párrafo anterior, como se advierte a continuación:</w:t>
      </w:r>
    </w:p>
    <w:p w14:paraId="553F327F" w14:textId="77777777" w:rsidR="00DA517C" w:rsidRPr="003D754B" w:rsidRDefault="00DA517C">
      <w:pPr>
        <w:widowControl w:val="0"/>
        <w:tabs>
          <w:tab w:val="center" w:pos="4522"/>
        </w:tabs>
        <w:spacing w:after="0" w:line="360" w:lineRule="auto"/>
        <w:jc w:val="both"/>
        <w:rPr>
          <w:rFonts w:ascii="Palatino Linotype" w:eastAsia="Palatino Linotype" w:hAnsi="Palatino Linotype" w:cs="Palatino Linotype"/>
        </w:rPr>
      </w:pPr>
    </w:p>
    <w:p w14:paraId="7481132A" w14:textId="77777777" w:rsidR="00DA517C" w:rsidRPr="003D754B" w:rsidRDefault="00C361F7">
      <w:pPr>
        <w:widowControl w:val="0"/>
        <w:tabs>
          <w:tab w:val="center" w:pos="4522"/>
        </w:tabs>
        <w:spacing w:after="0"/>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b/>
          <w:i/>
        </w:rPr>
        <w:t xml:space="preserve">Artículo 96 </w:t>
      </w:r>
      <w:proofErr w:type="spellStart"/>
      <w:r w:rsidRPr="003D754B">
        <w:rPr>
          <w:rFonts w:ascii="Palatino Linotype" w:eastAsia="Palatino Linotype" w:hAnsi="Palatino Linotype" w:cs="Palatino Linotype"/>
          <w:b/>
          <w:i/>
        </w:rPr>
        <w:t>Quáter</w:t>
      </w:r>
      <w:proofErr w:type="spellEnd"/>
      <w:r w:rsidRPr="003D754B">
        <w:rPr>
          <w:rFonts w:ascii="Palatino Linotype" w:eastAsia="Palatino Linotype" w:hAnsi="Palatino Linotype" w:cs="Palatino Linotype"/>
          <w:b/>
          <w:i/>
        </w:rPr>
        <w:t>.-</w:t>
      </w:r>
      <w:r w:rsidRPr="003D754B">
        <w:rPr>
          <w:rFonts w:ascii="Palatino Linotype" w:eastAsia="Palatino Linotype" w:hAnsi="Palatino Linotype" w:cs="Palatino Linotype"/>
          <w:i/>
        </w:rPr>
        <w:t xml:space="preserve"> El Titular de la Dirección de Desarrollo Económico Municipal o el Titular de la Unidad Administrativa equivalente, tiene las siguientes atribuciones:</w:t>
      </w:r>
    </w:p>
    <w:p w14:paraId="16C93B14" w14:textId="77777777" w:rsidR="00DA517C" w:rsidRPr="003D754B" w:rsidRDefault="00C361F7">
      <w:pPr>
        <w:widowControl w:val="0"/>
        <w:tabs>
          <w:tab w:val="center" w:pos="4522"/>
        </w:tabs>
        <w:spacing w:after="0"/>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t>II Bis. Impulsar y difundir la simplificación de trámites y reducción de plazos para el otorgamiento de permisos, licencias y autorizaciones del orden municipal, de conformidad con la Ley para la Mejora Regulatoria del Estado de México y Municipios, la Ley de Competitividad y Ordenamiento Comercial del Estado de México, la Ley de Fomento Económico del Estado de México, sus respectivos reglamentos y demás disposiciones jurídicas aplicables;</w:t>
      </w:r>
    </w:p>
    <w:p w14:paraId="40EC3BD1" w14:textId="77777777" w:rsidR="00DA517C" w:rsidRPr="003D754B" w:rsidRDefault="00C361F7">
      <w:pPr>
        <w:widowControl w:val="0"/>
        <w:tabs>
          <w:tab w:val="center" w:pos="4522"/>
        </w:tabs>
        <w:spacing w:after="0"/>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t>…</w:t>
      </w:r>
    </w:p>
    <w:p w14:paraId="41BF9AB1" w14:textId="77777777" w:rsidR="00DA517C" w:rsidRPr="003D754B" w:rsidRDefault="00C361F7">
      <w:pPr>
        <w:widowControl w:val="0"/>
        <w:tabs>
          <w:tab w:val="center" w:pos="4522"/>
        </w:tabs>
        <w:spacing w:after="0"/>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t>XIX. Operar y actualizar el Registro Municipal de Unidades Económicas de los permisos o licencias de funcionamiento otorgadas a las unidades económicas respectivas, así como remitir dentro de los cinco días hábiles siguientes los datos generados al Sistema que al efecto integre la Secretaría de Desarrollo Económico, a la Secretaría de Seguridad y a la Fiscalía General de Justicia del Estado de México, la información respectiva; XX. Crear y actualizar el Registro de las Unidades Económicas que cuenten con el Dictamen de Giro, para la solicitud o refrendo de las licencias de funcionamiento;</w:t>
      </w:r>
    </w:p>
    <w:p w14:paraId="6E9E4300" w14:textId="77777777" w:rsidR="00DA517C" w:rsidRPr="003D754B" w:rsidRDefault="00C361F7">
      <w:pPr>
        <w:widowControl w:val="0"/>
        <w:tabs>
          <w:tab w:val="center" w:pos="4522"/>
        </w:tabs>
        <w:spacing w:after="0"/>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t>…</w:t>
      </w:r>
    </w:p>
    <w:p w14:paraId="487D5AE0" w14:textId="77777777" w:rsidR="00DA517C" w:rsidRPr="003D754B" w:rsidRDefault="00DA517C">
      <w:pPr>
        <w:widowControl w:val="0"/>
        <w:tabs>
          <w:tab w:val="center" w:pos="4522"/>
        </w:tabs>
        <w:spacing w:after="0"/>
        <w:ind w:left="567" w:right="560"/>
        <w:jc w:val="both"/>
        <w:rPr>
          <w:rFonts w:ascii="Palatino Linotype" w:eastAsia="Palatino Linotype" w:hAnsi="Palatino Linotype" w:cs="Palatino Linotype"/>
          <w:i/>
        </w:rPr>
      </w:pPr>
    </w:p>
    <w:p w14:paraId="0C14113B" w14:textId="77777777" w:rsidR="00DA517C" w:rsidRPr="003D754B" w:rsidRDefault="00C361F7">
      <w:pPr>
        <w:widowControl w:val="0"/>
        <w:tabs>
          <w:tab w:val="center" w:pos="4522"/>
        </w:tabs>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t>En ese sentido, en el artículo 2°, fracciones XV y XXXVIII, 5°, fracción X, 7°, fracción V, 15, 16 y 33 de la Ley de Competitividad y Ordenamiento Comercial del Estado de México, establece que la licencia de funcionamiento, es el acto administrativo emitido por los Municipios, a través de la Ventanilla Única, a través del cual se autoriza a una persona física o jurídica colectiva a desarrollar actividades económicas de bajo impacto, entre las que se encuentran la intermediación, compraventa, arredramiento, distribución de bienes o prestación de servicios comerciales.</w:t>
      </w:r>
    </w:p>
    <w:p w14:paraId="78E5AD57" w14:textId="77777777" w:rsidR="00DA517C" w:rsidRPr="003D754B" w:rsidRDefault="00DA517C">
      <w:pPr>
        <w:widowControl w:val="0"/>
        <w:tabs>
          <w:tab w:val="center" w:pos="4522"/>
        </w:tabs>
        <w:spacing w:after="0" w:line="360" w:lineRule="auto"/>
        <w:jc w:val="both"/>
        <w:rPr>
          <w:rFonts w:ascii="Palatino Linotype" w:eastAsia="Palatino Linotype" w:hAnsi="Palatino Linotype" w:cs="Palatino Linotype"/>
        </w:rPr>
      </w:pPr>
    </w:p>
    <w:p w14:paraId="1E37E98E" w14:textId="77777777" w:rsidR="00DA517C" w:rsidRPr="003D754B" w:rsidRDefault="00C361F7">
      <w:p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lastRenderedPageBreak/>
        <w:t>Para efecto de lo anterior, conviene citar el contenido de los siguientes artículos 2, fracciones XV, 4 fracción VIII, 7 fracción V, 16 fracción II y 66 de la Ley de Competitividad y Ordenamiento Comercial del Estado de México, que a la letra disponen lo siguiente:</w:t>
      </w:r>
    </w:p>
    <w:p w14:paraId="6207A54E" w14:textId="77777777" w:rsidR="00DA517C" w:rsidRPr="003D754B" w:rsidRDefault="00DA517C">
      <w:pPr>
        <w:spacing w:after="0" w:line="360" w:lineRule="auto"/>
        <w:jc w:val="both"/>
        <w:rPr>
          <w:rFonts w:ascii="Palatino Linotype" w:eastAsia="Palatino Linotype" w:hAnsi="Palatino Linotype" w:cs="Palatino Linotype"/>
        </w:rPr>
      </w:pPr>
    </w:p>
    <w:p w14:paraId="5A5D8E6E" w14:textId="77777777" w:rsidR="00DA517C" w:rsidRPr="003D754B" w:rsidRDefault="00C361F7">
      <w:pPr>
        <w:spacing w:after="0" w:line="240" w:lineRule="auto"/>
        <w:ind w:left="567" w:right="560"/>
        <w:jc w:val="both"/>
        <w:rPr>
          <w:rFonts w:ascii="Palatino Linotype" w:eastAsia="Palatino Linotype" w:hAnsi="Palatino Linotype" w:cs="Palatino Linotype"/>
          <w:b/>
          <w:i/>
        </w:rPr>
      </w:pPr>
      <w:r w:rsidRPr="003D754B">
        <w:rPr>
          <w:rFonts w:ascii="Palatino Linotype" w:eastAsia="Palatino Linotype" w:hAnsi="Palatino Linotype" w:cs="Palatino Linotype"/>
          <w:b/>
          <w:i/>
        </w:rPr>
        <w:t>“Artículo 2. Para los efectos de esta Ley, se entenderá por:</w:t>
      </w:r>
    </w:p>
    <w:p w14:paraId="522DFDC8" w14:textId="77777777" w:rsidR="00DA517C" w:rsidRPr="003D754B" w:rsidRDefault="00C361F7">
      <w:pPr>
        <w:spacing w:after="0" w:line="240" w:lineRule="auto"/>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t>[…]</w:t>
      </w:r>
    </w:p>
    <w:p w14:paraId="496DCA1B" w14:textId="77777777" w:rsidR="00DA517C" w:rsidRPr="003D754B" w:rsidRDefault="00C361F7">
      <w:pPr>
        <w:spacing w:after="0" w:line="240" w:lineRule="auto"/>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b/>
          <w:i/>
        </w:rPr>
        <w:t>XV. Licencia de funcionamiento:</w:t>
      </w:r>
      <w:r w:rsidRPr="003D754B">
        <w:rPr>
          <w:rFonts w:ascii="Palatino Linotype" w:eastAsia="Palatino Linotype" w:hAnsi="Palatino Linotype" w:cs="Palatino Linotype"/>
          <w:i/>
        </w:rPr>
        <w:t xml:space="preserve"> Al acto administrativo que emite la autoridad, por el cual autoriza a una persona física o jurídica colectiva a desarrollar actividades económicas.</w:t>
      </w:r>
    </w:p>
    <w:p w14:paraId="13EF4F98" w14:textId="77777777" w:rsidR="00DA517C" w:rsidRPr="003D754B" w:rsidRDefault="00C361F7">
      <w:pPr>
        <w:spacing w:after="0" w:line="240" w:lineRule="auto"/>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t>[…]</w:t>
      </w:r>
    </w:p>
    <w:p w14:paraId="5ECD2F44" w14:textId="77777777" w:rsidR="00DA517C" w:rsidRPr="003D754B" w:rsidRDefault="00C361F7">
      <w:pPr>
        <w:spacing w:after="0" w:line="240" w:lineRule="auto"/>
        <w:ind w:left="567" w:right="560"/>
        <w:jc w:val="both"/>
        <w:rPr>
          <w:rFonts w:ascii="Palatino Linotype" w:eastAsia="Palatino Linotype" w:hAnsi="Palatino Linotype" w:cs="Palatino Linotype"/>
          <w:b/>
          <w:i/>
        </w:rPr>
      </w:pPr>
      <w:r w:rsidRPr="003D754B">
        <w:rPr>
          <w:rFonts w:ascii="Palatino Linotype" w:eastAsia="Palatino Linotype" w:hAnsi="Palatino Linotype" w:cs="Palatino Linotype"/>
          <w:b/>
          <w:i/>
        </w:rPr>
        <w:t>Artículo 4. Son autoridades encargadas de la aplicación de esta Ley las siguientes:</w:t>
      </w:r>
    </w:p>
    <w:p w14:paraId="009B34A0" w14:textId="77777777" w:rsidR="00DA517C" w:rsidRPr="003D754B" w:rsidRDefault="00C361F7">
      <w:pPr>
        <w:spacing w:after="0" w:line="240" w:lineRule="auto"/>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t>[…]</w:t>
      </w:r>
    </w:p>
    <w:p w14:paraId="5D3E8756" w14:textId="77777777" w:rsidR="00DA517C" w:rsidRPr="003D754B" w:rsidRDefault="00C361F7">
      <w:pPr>
        <w:spacing w:after="0" w:line="240" w:lineRule="auto"/>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t>VIII. Ayuntamientos.</w:t>
      </w:r>
    </w:p>
    <w:p w14:paraId="42DAC456" w14:textId="77777777" w:rsidR="00DA517C" w:rsidRPr="003D754B" w:rsidRDefault="00C361F7">
      <w:pPr>
        <w:spacing w:after="0" w:line="240" w:lineRule="auto"/>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t>[…]</w:t>
      </w:r>
    </w:p>
    <w:p w14:paraId="5DAAF13B" w14:textId="77777777" w:rsidR="00DA517C" w:rsidRPr="003D754B" w:rsidRDefault="00C361F7">
      <w:pPr>
        <w:spacing w:after="0" w:line="240" w:lineRule="auto"/>
        <w:ind w:left="567" w:right="560"/>
        <w:jc w:val="both"/>
        <w:rPr>
          <w:rFonts w:ascii="Palatino Linotype" w:eastAsia="Palatino Linotype" w:hAnsi="Palatino Linotype" w:cs="Palatino Linotype"/>
          <w:b/>
          <w:i/>
        </w:rPr>
      </w:pPr>
      <w:r w:rsidRPr="003D754B">
        <w:rPr>
          <w:rFonts w:ascii="Palatino Linotype" w:eastAsia="Palatino Linotype" w:hAnsi="Palatino Linotype" w:cs="Palatino Linotype"/>
          <w:b/>
          <w:i/>
        </w:rPr>
        <w:t>Artículo 7. Corresponde a los municipios:</w:t>
      </w:r>
    </w:p>
    <w:p w14:paraId="01F5440C" w14:textId="77777777" w:rsidR="00DA517C" w:rsidRPr="003D754B" w:rsidRDefault="00C361F7">
      <w:pPr>
        <w:spacing w:after="0" w:line="240" w:lineRule="auto"/>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t>[…]</w:t>
      </w:r>
    </w:p>
    <w:p w14:paraId="39402B25" w14:textId="77777777" w:rsidR="00DA517C" w:rsidRPr="003D754B" w:rsidRDefault="00C361F7">
      <w:pPr>
        <w:spacing w:after="0" w:line="240" w:lineRule="auto"/>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t>V</w:t>
      </w:r>
      <w:r w:rsidRPr="003D754B">
        <w:rPr>
          <w:rFonts w:ascii="Palatino Linotype" w:eastAsia="Palatino Linotype" w:hAnsi="Palatino Linotype" w:cs="Palatino Linotype"/>
          <w:b/>
          <w:i/>
        </w:rPr>
        <w:t>. Resguardar y actualizar el archivo físico y digital con los documentos requeridos por las leyes para la expedición y refrendo de las licencias correspondientes.</w:t>
      </w:r>
    </w:p>
    <w:p w14:paraId="6DC3F96A" w14:textId="77777777" w:rsidR="00DA517C" w:rsidRPr="003D754B" w:rsidRDefault="00C361F7">
      <w:pPr>
        <w:spacing w:after="0" w:line="240" w:lineRule="auto"/>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t>[…]”</w:t>
      </w:r>
    </w:p>
    <w:p w14:paraId="12445996" w14:textId="77777777" w:rsidR="00DA517C" w:rsidRPr="003D754B" w:rsidRDefault="00C361F7">
      <w:pPr>
        <w:spacing w:after="0" w:line="240" w:lineRule="auto"/>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t>“</w:t>
      </w:r>
      <w:r w:rsidRPr="003D754B">
        <w:rPr>
          <w:rFonts w:ascii="Palatino Linotype" w:eastAsia="Palatino Linotype" w:hAnsi="Palatino Linotype" w:cs="Palatino Linotype"/>
          <w:b/>
          <w:i/>
        </w:rPr>
        <w:t>Artículo 16. Las ventanillas, en los diferentes ámbitos de su competencia, gestionarán los trámites siguientes:</w:t>
      </w:r>
      <w:r w:rsidRPr="003D754B">
        <w:rPr>
          <w:rFonts w:ascii="Palatino Linotype" w:eastAsia="Palatino Linotype" w:hAnsi="Palatino Linotype" w:cs="Palatino Linotype"/>
          <w:i/>
        </w:rPr>
        <w:t xml:space="preserve"> </w:t>
      </w:r>
    </w:p>
    <w:p w14:paraId="632D8F8E" w14:textId="77777777" w:rsidR="00DA517C" w:rsidRPr="003D754B" w:rsidRDefault="00C361F7">
      <w:pPr>
        <w:spacing w:after="0" w:line="240" w:lineRule="auto"/>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t>[…]</w:t>
      </w:r>
    </w:p>
    <w:p w14:paraId="65E92009" w14:textId="77777777" w:rsidR="00DA517C" w:rsidRPr="003D754B" w:rsidRDefault="00C361F7">
      <w:pPr>
        <w:spacing w:after="0" w:line="240" w:lineRule="auto"/>
        <w:ind w:left="567" w:right="560"/>
        <w:jc w:val="both"/>
        <w:rPr>
          <w:rFonts w:ascii="Palatino Linotype" w:eastAsia="Palatino Linotype" w:hAnsi="Palatino Linotype" w:cs="Palatino Linotype"/>
          <w:b/>
          <w:i/>
        </w:rPr>
      </w:pPr>
      <w:r w:rsidRPr="003D754B">
        <w:rPr>
          <w:rFonts w:ascii="Palatino Linotype" w:eastAsia="Palatino Linotype" w:hAnsi="Palatino Linotype" w:cs="Palatino Linotype"/>
          <w:b/>
          <w:i/>
        </w:rPr>
        <w:t>II. Licencias</w:t>
      </w:r>
    </w:p>
    <w:p w14:paraId="3B7EF739" w14:textId="77777777" w:rsidR="00DA517C" w:rsidRPr="003D754B" w:rsidRDefault="00C361F7">
      <w:pPr>
        <w:spacing w:after="0" w:line="240" w:lineRule="auto"/>
        <w:ind w:left="567" w:right="560"/>
        <w:jc w:val="center"/>
        <w:rPr>
          <w:rFonts w:ascii="Palatino Linotype" w:eastAsia="Palatino Linotype" w:hAnsi="Palatino Linotype" w:cs="Palatino Linotype"/>
          <w:b/>
          <w:i/>
        </w:rPr>
      </w:pPr>
      <w:r w:rsidRPr="003D754B">
        <w:rPr>
          <w:rFonts w:ascii="Palatino Linotype" w:eastAsia="Palatino Linotype" w:hAnsi="Palatino Linotype" w:cs="Palatino Linotype"/>
          <w:b/>
          <w:i/>
        </w:rPr>
        <w:t>“DE LOS REQUISITOS PARA OBTENER PERMISO O LICENCIA DE FUNCIONAMIENTO PARA LAS UNIDADES ECONÓMICAS DE MEDIANO Y ALTO IMPACTO</w:t>
      </w:r>
    </w:p>
    <w:p w14:paraId="10DF2C83" w14:textId="77777777" w:rsidR="00DA517C" w:rsidRPr="003D754B" w:rsidRDefault="00C361F7">
      <w:pPr>
        <w:spacing w:after="0" w:line="240" w:lineRule="auto"/>
        <w:ind w:left="567" w:right="560"/>
        <w:jc w:val="both"/>
        <w:rPr>
          <w:rFonts w:ascii="Palatino Linotype" w:eastAsia="Palatino Linotype" w:hAnsi="Palatino Linotype" w:cs="Palatino Linotype"/>
          <w:b/>
          <w:i/>
        </w:rPr>
      </w:pPr>
      <w:r w:rsidRPr="003D754B">
        <w:rPr>
          <w:rFonts w:ascii="Palatino Linotype" w:eastAsia="Palatino Linotype" w:hAnsi="Palatino Linotype" w:cs="Palatino Linotype"/>
          <w:b/>
          <w:i/>
        </w:rPr>
        <w:t>Artículo 66. Para la obtención de un permiso o licencia de funcionamiento, los solicitantes o representante legal tendrán que cumplir los requisitos siguientes:</w:t>
      </w:r>
    </w:p>
    <w:p w14:paraId="5CBB5928" w14:textId="77777777" w:rsidR="00DA517C" w:rsidRPr="003D754B" w:rsidRDefault="00C361F7">
      <w:pPr>
        <w:spacing w:after="0" w:line="240" w:lineRule="auto"/>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t xml:space="preserve">I. Solicitud en la que se señale la razón social del solicitante, así como domicilio para oír y recibir notificaciones y dirección de correo electrónico para los efectos de esta Ley. En caso de que el solicitante sea persona física se cotejarán los datos de la credencial para votar con fotografía. </w:t>
      </w:r>
    </w:p>
    <w:p w14:paraId="1A583CE2" w14:textId="77777777" w:rsidR="00DA517C" w:rsidRPr="003D754B" w:rsidRDefault="00C361F7">
      <w:pPr>
        <w:spacing w:after="0" w:line="240" w:lineRule="auto"/>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t xml:space="preserve">II. Actividad económica que se pretende operar. </w:t>
      </w:r>
    </w:p>
    <w:p w14:paraId="46246C6A" w14:textId="77777777" w:rsidR="00DA517C" w:rsidRPr="003D754B" w:rsidRDefault="00C361F7">
      <w:pPr>
        <w:spacing w:after="0" w:line="240" w:lineRule="auto"/>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t xml:space="preserve">III. Datos de la licencia de uso del suelo que señale el permitido para la actividad económica que se pretende operar. </w:t>
      </w:r>
    </w:p>
    <w:p w14:paraId="7E5FEED4" w14:textId="77777777" w:rsidR="00DA517C" w:rsidRPr="003D754B" w:rsidRDefault="00C361F7">
      <w:pPr>
        <w:spacing w:after="0" w:line="240" w:lineRule="auto"/>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lastRenderedPageBreak/>
        <w:t xml:space="preserve">IV. Que cuenta con los cajones de estacionamiento que determine la autoridad correspondiente. </w:t>
      </w:r>
    </w:p>
    <w:p w14:paraId="415A306E" w14:textId="77777777" w:rsidR="00DA517C" w:rsidRPr="003D754B" w:rsidRDefault="00C361F7">
      <w:pPr>
        <w:spacing w:after="0" w:line="240" w:lineRule="auto"/>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t xml:space="preserve">V. La capacidad de aforo respectiva. </w:t>
      </w:r>
    </w:p>
    <w:p w14:paraId="3C00B7B7" w14:textId="77777777" w:rsidR="00DA517C" w:rsidRPr="003D754B" w:rsidRDefault="00C361F7">
      <w:pPr>
        <w:spacing w:after="0" w:line="240" w:lineRule="auto"/>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t xml:space="preserve">VI. Dar cuenta del programa interno de protección civil. </w:t>
      </w:r>
    </w:p>
    <w:p w14:paraId="0294B376" w14:textId="77777777" w:rsidR="00DA517C" w:rsidRPr="003D754B" w:rsidRDefault="00C361F7">
      <w:pPr>
        <w:spacing w:after="0" w:line="240" w:lineRule="auto"/>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t xml:space="preserve">VII. Dictamen de Giro o permiso, en su caso, emitido por la autoridad municipal. </w:t>
      </w:r>
    </w:p>
    <w:p w14:paraId="1DB57063" w14:textId="77777777" w:rsidR="00DA517C" w:rsidRPr="003D754B" w:rsidRDefault="00C361F7">
      <w:pPr>
        <w:spacing w:after="0" w:line="240" w:lineRule="auto"/>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t xml:space="preserve">VIII. Para el caso de las unidades económicas de alto impacto deberá manifestar que cuenta con el sistema de seguridad a que hace referencia esta Ley. </w:t>
      </w:r>
    </w:p>
    <w:p w14:paraId="54A55A7C" w14:textId="77777777" w:rsidR="00DA517C" w:rsidRPr="003D754B" w:rsidRDefault="00C361F7">
      <w:pPr>
        <w:spacing w:after="0" w:line="240" w:lineRule="auto"/>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i/>
        </w:rPr>
        <w:t>Una vez cubiertos los requisitos señalados en el presente artículo y en caso de ser procedente el permiso o licencia de funcionamiento, la autoridad hará del conocimiento al solicitante o representante legal el monto a cubrir por los derechos correspondientes, una vez cubiertos se otorgará el permiso o licencia de funcionamiento.”</w:t>
      </w:r>
    </w:p>
    <w:p w14:paraId="668D33B1" w14:textId="77777777" w:rsidR="00DA517C" w:rsidRPr="003D754B" w:rsidRDefault="00C361F7">
      <w:pPr>
        <w:spacing w:after="0" w:line="240" w:lineRule="auto"/>
        <w:ind w:left="567" w:right="560"/>
        <w:jc w:val="right"/>
        <w:rPr>
          <w:rFonts w:ascii="Palatino Linotype" w:eastAsia="Palatino Linotype" w:hAnsi="Palatino Linotype" w:cs="Palatino Linotype"/>
          <w:i/>
        </w:rPr>
      </w:pPr>
      <w:r w:rsidRPr="003D754B">
        <w:rPr>
          <w:rFonts w:ascii="Palatino Linotype" w:eastAsia="Palatino Linotype" w:hAnsi="Palatino Linotype" w:cs="Palatino Linotype"/>
          <w:i/>
        </w:rPr>
        <w:t>(Énfasis añadido)</w:t>
      </w:r>
    </w:p>
    <w:p w14:paraId="5204F5AD" w14:textId="77777777" w:rsidR="00DA517C" w:rsidRPr="003D754B" w:rsidRDefault="00DA517C">
      <w:pPr>
        <w:spacing w:after="0" w:line="360" w:lineRule="auto"/>
        <w:jc w:val="both"/>
        <w:rPr>
          <w:rFonts w:ascii="Palatino Linotype" w:eastAsia="Palatino Linotype" w:hAnsi="Palatino Linotype" w:cs="Palatino Linotype"/>
        </w:rPr>
      </w:pPr>
    </w:p>
    <w:p w14:paraId="2351C8AA" w14:textId="77777777" w:rsidR="00DA517C" w:rsidRPr="003D754B" w:rsidRDefault="00C361F7">
      <w:p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t>De las porciones legales citadas, se desprende que una licencia de funcionamiento es un acto administrativo que emite la autoridad, por el cual autoriza a una persona física o jurídica colectiva a desarrollar actividades económicas.</w:t>
      </w:r>
    </w:p>
    <w:p w14:paraId="138BDAEE" w14:textId="77777777" w:rsidR="00DA517C" w:rsidRPr="003D754B" w:rsidRDefault="00DA517C">
      <w:pPr>
        <w:spacing w:after="0" w:line="360" w:lineRule="auto"/>
        <w:jc w:val="both"/>
        <w:rPr>
          <w:rFonts w:ascii="Palatino Linotype" w:eastAsia="Palatino Linotype" w:hAnsi="Palatino Linotype" w:cs="Palatino Linotype"/>
        </w:rPr>
      </w:pPr>
    </w:p>
    <w:p w14:paraId="775AA6A3" w14:textId="77777777" w:rsidR="00DA517C" w:rsidRPr="003D754B" w:rsidRDefault="00C361F7">
      <w:p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t>Para el caso que ahora nos ocupa, se localizó la Cédula de Registro del Trámite o Servicio contenido en el Sistema Electrónico de Información de Trámites y Servicios del Gobierno del Estado de México, relativo a las unidades económicas de alto impacto que requieren una Licencia de funcionamiento de alto impacto:</w:t>
      </w:r>
    </w:p>
    <w:p w14:paraId="6BB7B4AC" w14:textId="77777777" w:rsidR="00DA517C" w:rsidRPr="003D754B" w:rsidRDefault="00C361F7">
      <w:p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noProof/>
          <w:lang w:eastAsia="es-MX"/>
        </w:rPr>
        <w:lastRenderedPageBreak/>
        <w:drawing>
          <wp:inline distT="0" distB="0" distL="0" distR="0" wp14:anchorId="2583E0FE" wp14:editId="4F5B3BBA">
            <wp:extent cx="5756275" cy="2663825"/>
            <wp:effectExtent l="0" t="0" r="0" b="0"/>
            <wp:docPr id="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756275" cy="2663825"/>
                    </a:xfrm>
                    <a:prstGeom prst="rect">
                      <a:avLst/>
                    </a:prstGeom>
                    <a:ln/>
                  </pic:spPr>
                </pic:pic>
              </a:graphicData>
            </a:graphic>
          </wp:inline>
        </w:drawing>
      </w:r>
      <w:r w:rsidRPr="003D754B">
        <w:rPr>
          <w:noProof/>
          <w:lang w:eastAsia="es-MX"/>
        </w:rPr>
        <mc:AlternateContent>
          <mc:Choice Requires="wpg">
            <w:drawing>
              <wp:anchor distT="0" distB="0" distL="114300" distR="114300" simplePos="0" relativeHeight="251659264" behindDoc="0" locked="0" layoutInCell="1" hidden="0" allowOverlap="1" wp14:anchorId="7A0F2509" wp14:editId="320CBBA3">
                <wp:simplePos x="0" y="0"/>
                <wp:positionH relativeFrom="column">
                  <wp:posOffset>508000</wp:posOffset>
                </wp:positionH>
                <wp:positionV relativeFrom="paragraph">
                  <wp:posOffset>1562100</wp:posOffset>
                </wp:positionV>
                <wp:extent cx="5267325" cy="771525"/>
                <wp:effectExtent l="0" t="0" r="0" b="0"/>
                <wp:wrapNone/>
                <wp:docPr id="30" name="Rectángulo 30"/>
                <wp:cNvGraphicFramePr/>
                <a:graphic xmlns:a="http://schemas.openxmlformats.org/drawingml/2006/main">
                  <a:graphicData uri="http://schemas.microsoft.com/office/word/2010/wordprocessingShape">
                    <wps:wsp>
                      <wps:cNvSpPr/>
                      <wps:spPr>
                        <a:xfrm>
                          <a:off x="2731388" y="3413288"/>
                          <a:ext cx="5229225" cy="733425"/>
                        </a:xfrm>
                        <a:prstGeom prst="rect">
                          <a:avLst/>
                        </a:prstGeom>
                        <a:noFill/>
                        <a:ln w="38100" cap="flat" cmpd="sng">
                          <a:solidFill>
                            <a:srgbClr val="FF0000"/>
                          </a:solidFill>
                          <a:prstDash val="solid"/>
                          <a:miter lim="800000"/>
                          <a:headEnd type="none" w="sm" len="sm"/>
                          <a:tailEnd type="none" w="sm" len="sm"/>
                        </a:ln>
                      </wps:spPr>
                      <wps:txbx>
                        <w:txbxContent>
                          <w:p w14:paraId="01D1582A" w14:textId="77777777" w:rsidR="00DA517C" w:rsidRDefault="00DA517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508000</wp:posOffset>
                </wp:positionH>
                <wp:positionV relativeFrom="paragraph">
                  <wp:posOffset>1562100</wp:posOffset>
                </wp:positionV>
                <wp:extent cx="5267325" cy="771525"/>
                <wp:effectExtent b="0" l="0" r="0" t="0"/>
                <wp:wrapNone/>
                <wp:docPr id="30"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5267325" cy="771525"/>
                        </a:xfrm>
                        <a:prstGeom prst="rect"/>
                        <a:ln/>
                      </pic:spPr>
                    </pic:pic>
                  </a:graphicData>
                </a:graphic>
              </wp:anchor>
            </w:drawing>
          </mc:Fallback>
        </mc:AlternateContent>
      </w:r>
    </w:p>
    <w:p w14:paraId="019B1543" w14:textId="77777777" w:rsidR="00DA517C" w:rsidRPr="003D754B" w:rsidRDefault="00DA517C">
      <w:pPr>
        <w:spacing w:after="0" w:line="360" w:lineRule="auto"/>
        <w:jc w:val="both"/>
        <w:rPr>
          <w:rFonts w:ascii="Palatino Linotype" w:eastAsia="Palatino Linotype" w:hAnsi="Palatino Linotype" w:cs="Palatino Linotype"/>
        </w:rPr>
      </w:pPr>
    </w:p>
    <w:p w14:paraId="358B58AC" w14:textId="77777777" w:rsidR="00DA517C" w:rsidRPr="003D754B" w:rsidRDefault="00C361F7">
      <w:pPr>
        <w:spacing w:after="0" w:line="360" w:lineRule="auto"/>
        <w:jc w:val="both"/>
        <w:rPr>
          <w:rFonts w:ascii="Palatino Linotype" w:eastAsia="Palatino Linotype" w:hAnsi="Palatino Linotype" w:cs="Palatino Linotype"/>
          <w:b/>
          <w:u w:val="single"/>
        </w:rPr>
      </w:pPr>
      <w:r w:rsidRPr="003D754B">
        <w:rPr>
          <w:rFonts w:ascii="Palatino Linotype" w:eastAsia="Palatino Linotype" w:hAnsi="Palatino Linotype" w:cs="Palatino Linotype"/>
          <w:b/>
          <w:u w:val="single"/>
        </w:rPr>
        <w:t>De lo anterior, se desprende que, de conformidad con la normatividad estatal y municipal del Sujeto Obligado, en efecto un establecimiento que vende bebidas alcohólicas y cuenta con pista de baile, al ser una unidad económica de alto impacto, requiere para su funcionamiento una licencia.</w:t>
      </w:r>
    </w:p>
    <w:p w14:paraId="3DD59434" w14:textId="77777777" w:rsidR="00DA517C" w:rsidRPr="003D754B" w:rsidRDefault="00DA517C">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45A36C67" w14:textId="77777777" w:rsidR="00DA517C" w:rsidRPr="003D754B" w:rsidRDefault="00C361F7">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3D754B">
        <w:rPr>
          <w:rFonts w:ascii="Palatino Linotype" w:eastAsia="Palatino Linotype" w:hAnsi="Palatino Linotype" w:cs="Palatino Linotype"/>
        </w:rPr>
        <w:t xml:space="preserve">Ahora bien, en atención a los motivos de inconformidad de la parte Recurrente, es de recordar que, para la atención de las solicitudes de acceso a la información, debe privilegiarse el </w:t>
      </w:r>
      <w:r w:rsidRPr="003D754B">
        <w:rPr>
          <w:rFonts w:ascii="Palatino Linotype" w:eastAsia="Palatino Linotype" w:hAnsi="Palatino Linotype" w:cs="Palatino Linotype"/>
          <w:b/>
        </w:rPr>
        <w:t>principio de máxima publicidad</w:t>
      </w:r>
      <w:r w:rsidRPr="003D754B">
        <w:rPr>
          <w:rFonts w:ascii="Palatino Linotype" w:eastAsia="Palatino Linotype" w:hAnsi="Palatino Linotype" w:cs="Palatino Linotype"/>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29827945" w14:textId="77777777" w:rsidR="00DA517C" w:rsidRPr="003D754B" w:rsidRDefault="00DA517C">
      <w:pPr>
        <w:spacing w:after="0" w:line="360" w:lineRule="auto"/>
        <w:jc w:val="both"/>
        <w:rPr>
          <w:rFonts w:ascii="Palatino Linotype" w:eastAsia="Palatino Linotype" w:hAnsi="Palatino Linotype" w:cs="Palatino Linotype"/>
        </w:rPr>
      </w:pPr>
    </w:p>
    <w:p w14:paraId="0D731B58" w14:textId="77777777" w:rsidR="00DA517C" w:rsidRPr="003D754B" w:rsidRDefault="00C361F7">
      <w:p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t xml:space="preserve">Para lograr esto, los sujetos obligados deben seguir el procedimiento para la atención a las solicitudes de acceso a la información, establecido en los artículos 151, 159, 160, 162, 163, 164, </w:t>
      </w:r>
      <w:r w:rsidRPr="003D754B">
        <w:rPr>
          <w:rFonts w:ascii="Palatino Linotype" w:eastAsia="Palatino Linotype" w:hAnsi="Palatino Linotype" w:cs="Palatino Linotype"/>
        </w:rPr>
        <w:lastRenderedPageBreak/>
        <w:t>165 y 166, de la Ley de Transparencia y Acceso a la Información Pública del Estado de México y Municipios, el cual es el siguiente:</w:t>
      </w:r>
    </w:p>
    <w:p w14:paraId="13ECB931" w14:textId="77777777" w:rsidR="00C72136" w:rsidRPr="003D754B" w:rsidRDefault="00C72136">
      <w:pPr>
        <w:spacing w:after="0" w:line="360" w:lineRule="auto"/>
        <w:jc w:val="both"/>
        <w:rPr>
          <w:rFonts w:ascii="Palatino Linotype" w:eastAsia="Palatino Linotype" w:hAnsi="Palatino Linotype" w:cs="Palatino Linotype"/>
        </w:rPr>
      </w:pPr>
    </w:p>
    <w:p w14:paraId="7B894571" w14:textId="77777777" w:rsidR="00DA517C" w:rsidRPr="003D754B" w:rsidRDefault="00C361F7">
      <w:pPr>
        <w:numPr>
          <w:ilvl w:val="0"/>
          <w:numId w:val="1"/>
        </w:num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5C3A0C8A" w14:textId="77777777" w:rsidR="00DA517C" w:rsidRPr="003D754B" w:rsidRDefault="00C361F7">
      <w:pPr>
        <w:numPr>
          <w:ilvl w:val="0"/>
          <w:numId w:val="1"/>
        </w:num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39FFFA27" w14:textId="77777777" w:rsidR="00DA517C" w:rsidRPr="003D754B" w:rsidRDefault="00C361F7">
      <w:pPr>
        <w:numPr>
          <w:ilvl w:val="0"/>
          <w:numId w:val="1"/>
        </w:num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3D754B">
        <w:rPr>
          <w:rFonts w:ascii="Palatino Linotype" w:eastAsia="Palatino Linotype" w:hAnsi="Palatino Linotype" w:cs="Palatino Linotype"/>
          <w:b/>
        </w:rPr>
        <w:t>quince días, contados a partir del día siguiente a la presentación de ésta.</w:t>
      </w:r>
      <w:r w:rsidRPr="003D754B">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2C2C72DA" w14:textId="77777777" w:rsidR="00DA517C" w:rsidRPr="003D754B" w:rsidRDefault="00C361F7">
      <w:pPr>
        <w:numPr>
          <w:ilvl w:val="0"/>
          <w:numId w:val="1"/>
        </w:numPr>
        <w:spacing w:after="0" w:line="360" w:lineRule="auto"/>
        <w:jc w:val="both"/>
        <w:rPr>
          <w:rFonts w:ascii="Palatino Linotype" w:eastAsia="Palatino Linotype" w:hAnsi="Palatino Linotype" w:cs="Palatino Linotype"/>
          <w:b/>
          <w:u w:val="single"/>
        </w:rPr>
      </w:pPr>
      <w:r w:rsidRPr="003D754B">
        <w:rPr>
          <w:rFonts w:ascii="Palatino Linotype" w:eastAsia="Palatino Linotype" w:hAnsi="Palatino Linotype" w:cs="Palatino Linotype"/>
          <w:b/>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403ED004" w14:textId="77777777" w:rsidR="00DA517C" w:rsidRPr="003D754B" w:rsidRDefault="00C361F7">
      <w:pPr>
        <w:numPr>
          <w:ilvl w:val="0"/>
          <w:numId w:val="1"/>
        </w:numPr>
        <w:spacing w:after="0" w:line="360" w:lineRule="auto"/>
        <w:jc w:val="both"/>
        <w:rPr>
          <w:rFonts w:ascii="Palatino Linotype" w:eastAsia="Palatino Linotype" w:hAnsi="Palatino Linotype" w:cs="Palatino Linotype"/>
          <w:b/>
        </w:rPr>
      </w:pPr>
      <w:r w:rsidRPr="003D754B">
        <w:rPr>
          <w:rFonts w:ascii="Palatino Linotype" w:eastAsia="Palatino Linotype" w:hAnsi="Palatino Linotype" w:cs="Palatino Linotype"/>
        </w:rPr>
        <w:t xml:space="preserve">El acceso se dará en la modalidad de entrega y en su caso, de envío elegido por el solicitante, cuando no pueda entregarse en dicha modalidad, el Sujeto Obligado deberá </w:t>
      </w:r>
      <w:r w:rsidRPr="003D754B">
        <w:rPr>
          <w:rFonts w:ascii="Palatino Linotype" w:eastAsia="Palatino Linotype" w:hAnsi="Palatino Linotype" w:cs="Palatino Linotype"/>
        </w:rPr>
        <w:lastRenderedPageBreak/>
        <w:t>ofrecer otras; por lo cual, deberá fundamentar y motivar la necesidad de modificar el medio de entrega, y</w:t>
      </w:r>
    </w:p>
    <w:p w14:paraId="44BEF37B" w14:textId="77777777" w:rsidR="00DA517C" w:rsidRPr="003D754B" w:rsidRDefault="00C361F7">
      <w:pPr>
        <w:numPr>
          <w:ilvl w:val="0"/>
          <w:numId w:val="1"/>
        </w:numPr>
        <w:spacing w:after="0" w:line="360" w:lineRule="auto"/>
        <w:jc w:val="both"/>
        <w:rPr>
          <w:rFonts w:ascii="Palatino Linotype" w:eastAsia="Palatino Linotype" w:hAnsi="Palatino Linotype" w:cs="Palatino Linotype"/>
          <w:b/>
        </w:rPr>
      </w:pPr>
      <w:r w:rsidRPr="003D754B">
        <w:rPr>
          <w:rFonts w:ascii="Palatino Linotype" w:eastAsia="Palatino Linotype" w:hAnsi="Palatino Linotype" w:cs="Palatino Linotyp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6C8FA134" w14:textId="77777777" w:rsidR="00DA517C" w:rsidRPr="003D754B" w:rsidRDefault="00DA517C">
      <w:pPr>
        <w:spacing w:after="0" w:line="360" w:lineRule="auto"/>
        <w:rPr>
          <w:rFonts w:ascii="Palatino Linotype" w:eastAsia="Palatino Linotype" w:hAnsi="Palatino Linotype" w:cs="Palatino Linotype"/>
        </w:rPr>
      </w:pPr>
    </w:p>
    <w:p w14:paraId="5D283AD4" w14:textId="77777777" w:rsidR="00DA517C" w:rsidRPr="003D754B" w:rsidRDefault="00C361F7">
      <w:pPr>
        <w:spacing w:after="0" w:line="360" w:lineRule="auto"/>
        <w:ind w:right="49"/>
        <w:jc w:val="both"/>
        <w:rPr>
          <w:rFonts w:ascii="Palatino Linotype" w:eastAsia="Palatino Linotype" w:hAnsi="Palatino Linotype" w:cs="Palatino Linotype"/>
        </w:rPr>
      </w:pPr>
      <w:r w:rsidRPr="003D754B">
        <w:rPr>
          <w:rFonts w:ascii="Palatino Linotype" w:eastAsia="Palatino Linotype" w:hAnsi="Palatino Linotype" w:cs="Palatino Linotype"/>
        </w:rPr>
        <w:t xml:space="preserve">De tal manera que, la Unidad de Transparencia debió de haber seguido un determinado procedimiento para atender la solicitud que ahora nos ocupa, entre este, </w:t>
      </w:r>
      <w:r w:rsidRPr="003D754B">
        <w:rPr>
          <w:rFonts w:ascii="Palatino Linotype" w:eastAsia="Palatino Linotype" w:hAnsi="Palatino Linotype" w:cs="Palatino Linotype"/>
          <w:b/>
          <w:u w:val="single"/>
        </w:rPr>
        <w:t>haber turnado la solicitud de información a todas las áreas competentes que pueden contar con la información o deban tenerla de acuerdo con sus facultades, funciones y atribuciones, para que realicen una búsqueda exhaustiva y razonable de la documentación solicitada</w:t>
      </w:r>
      <w:r w:rsidRPr="003D754B">
        <w:rPr>
          <w:rFonts w:ascii="Palatino Linotype" w:eastAsia="Palatino Linotype" w:hAnsi="Palatino Linotype" w:cs="Palatino Linotype"/>
        </w:rPr>
        <w:t xml:space="preserve">, como lo es la Dirección de Desarrollo Económico y Fomento al Empleo, la cual de acuerdo con el artículo 82 del Bando Municipal de Melchor Ocampo, tiene las siguientes atribuciones: </w:t>
      </w:r>
    </w:p>
    <w:p w14:paraId="6B65C96E" w14:textId="77777777" w:rsidR="00DA517C" w:rsidRPr="003D754B" w:rsidRDefault="00DA517C">
      <w:pPr>
        <w:spacing w:after="0" w:line="360" w:lineRule="auto"/>
        <w:ind w:right="49"/>
        <w:jc w:val="both"/>
        <w:rPr>
          <w:rFonts w:ascii="Palatino Linotype" w:eastAsia="Palatino Linotype" w:hAnsi="Palatino Linotype" w:cs="Palatino Linotype"/>
          <w:b/>
        </w:rPr>
      </w:pPr>
    </w:p>
    <w:p w14:paraId="3AED68D0" w14:textId="77777777" w:rsidR="00DA517C" w:rsidRPr="003D754B" w:rsidRDefault="00C361F7">
      <w:pPr>
        <w:spacing w:after="0"/>
        <w:ind w:left="567" w:right="560"/>
        <w:jc w:val="both"/>
        <w:rPr>
          <w:rFonts w:ascii="Palatino Linotype" w:eastAsia="Palatino Linotype" w:hAnsi="Palatino Linotype" w:cs="Palatino Linotype"/>
          <w:i/>
        </w:rPr>
      </w:pPr>
      <w:r w:rsidRPr="003D754B">
        <w:rPr>
          <w:rFonts w:ascii="Palatino Linotype" w:eastAsia="Palatino Linotype" w:hAnsi="Palatino Linotype" w:cs="Palatino Linotype"/>
          <w:b/>
          <w:i/>
        </w:rPr>
        <w:t>Artículo 82.-</w:t>
      </w:r>
      <w:r w:rsidRPr="003D754B">
        <w:rPr>
          <w:rFonts w:ascii="Palatino Linotype" w:eastAsia="Palatino Linotype" w:hAnsi="Palatino Linotype" w:cs="Palatino Linotype"/>
          <w:i/>
        </w:rPr>
        <w:t xml:space="preserve"> La Dirección de Desarrollo Económico y Fomento al Empleo, promoverá las políticas públicas tendientes a impulsar la productividad de micros, pequeñas, medianas y grandes empresas, regulando las actividades del sector privado en materia, industrial, comercial y de servicios; así mismo, propiciará la creación de nuevas empresas, agilizando el trámite de obtención de licencias o permisos; ejecutará programas que atiendan la promoción del empleo y la capacitación para el trabajo; contribuirá al desarrollo humano y empresarial, a través de la preparación, profesionalización y formación de la población. Esta dependencia en el ámbito de su competencia tendrá la facultad de e</w:t>
      </w:r>
      <w:r w:rsidRPr="003D754B">
        <w:rPr>
          <w:rFonts w:ascii="Palatino Linotype" w:eastAsia="Palatino Linotype" w:hAnsi="Palatino Linotype" w:cs="Palatino Linotype"/>
          <w:b/>
          <w:i/>
          <w:u w:val="single"/>
        </w:rPr>
        <w:t>xpedir las licencias de funcionamiento, autorizaciones y/o permisos para todas aquellas personas que dentro del municipio de Melchor Ocampo deseen ejercer la actividad industrial, comercial o de servicios, regulará además el comercio fijo, semifijo y ambulante</w:t>
      </w:r>
      <w:r w:rsidRPr="003D754B">
        <w:rPr>
          <w:rFonts w:ascii="Palatino Linotype" w:eastAsia="Palatino Linotype" w:hAnsi="Palatino Linotype" w:cs="Palatino Linotype"/>
          <w:i/>
        </w:rPr>
        <w:t xml:space="preserve">. </w:t>
      </w:r>
      <w:r w:rsidRPr="003D754B">
        <w:rPr>
          <w:rFonts w:ascii="Palatino Linotype" w:eastAsia="Palatino Linotype" w:hAnsi="Palatino Linotype" w:cs="Palatino Linotype"/>
          <w:i/>
        </w:rPr>
        <w:lastRenderedPageBreak/>
        <w:t>Para la realización de sus funciones se apoyará de: la Jefatura de Comercio e Industria; la Jefatura de Fomento al Empleo y Ventanilla SARE; y la Jefatura de Desarrollo Agropecuario.</w:t>
      </w:r>
    </w:p>
    <w:p w14:paraId="40DAC41C" w14:textId="77777777" w:rsidR="00DA517C" w:rsidRPr="003D754B" w:rsidRDefault="00DA517C">
      <w:pPr>
        <w:spacing w:after="0"/>
        <w:ind w:left="567" w:right="560"/>
        <w:jc w:val="both"/>
        <w:rPr>
          <w:rFonts w:ascii="Palatino Linotype" w:eastAsia="Palatino Linotype" w:hAnsi="Palatino Linotype" w:cs="Palatino Linotype"/>
          <w:i/>
        </w:rPr>
      </w:pPr>
    </w:p>
    <w:p w14:paraId="23A24A21" w14:textId="77777777" w:rsidR="00DA517C" w:rsidRPr="003D754B" w:rsidRDefault="00C361F7">
      <w:pPr>
        <w:spacing w:after="0" w:line="360" w:lineRule="auto"/>
        <w:ind w:right="49"/>
        <w:jc w:val="both"/>
        <w:rPr>
          <w:rFonts w:ascii="Palatino Linotype" w:eastAsia="Palatino Linotype" w:hAnsi="Palatino Linotype" w:cs="Palatino Linotype"/>
        </w:rPr>
      </w:pPr>
      <w:r w:rsidRPr="003D754B">
        <w:rPr>
          <w:rFonts w:ascii="Palatino Linotype" w:eastAsia="Palatino Linotype" w:hAnsi="Palatino Linotype" w:cs="Palatino Linotype"/>
        </w:rPr>
        <w:t xml:space="preserve">Por lo que, se considera que el Sujeto Obligado no atendió lo establecido en el artículo 162 de la Ley de Transparencia de la Entidad, pues no turnó la solicitud a las unidades administrativas competentes. </w:t>
      </w:r>
    </w:p>
    <w:p w14:paraId="2402934E" w14:textId="77777777" w:rsidR="00DA517C" w:rsidRPr="003D754B" w:rsidRDefault="00DA517C">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11D9DD79" w14:textId="77777777" w:rsidR="00DA517C" w:rsidRPr="003D754B" w:rsidRDefault="00C361F7">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3D754B">
        <w:rPr>
          <w:rFonts w:ascii="Palatino Linotype" w:eastAsia="Palatino Linotype" w:hAnsi="Palatino Linotype" w:cs="Palatino Linotype"/>
        </w:rPr>
        <w:t xml:space="preserve">Por lo antes dicho, los agravios hechos valer por la parte Solicitante deviene </w:t>
      </w:r>
      <w:r w:rsidRPr="003D754B">
        <w:rPr>
          <w:rFonts w:ascii="Palatino Linotype" w:eastAsia="Palatino Linotype" w:hAnsi="Palatino Linotype" w:cs="Palatino Linotype"/>
          <w:b/>
        </w:rPr>
        <w:t xml:space="preserve">FUNDADOS </w:t>
      </w:r>
      <w:r w:rsidRPr="003D754B">
        <w:rPr>
          <w:rFonts w:ascii="Palatino Linotype" w:eastAsia="Palatino Linotype" w:hAnsi="Palatino Linotype" w:cs="Palatino Linotype"/>
        </w:rPr>
        <w:t xml:space="preserve">y, por ende, este Organismo Garante determina </w:t>
      </w:r>
      <w:r w:rsidRPr="003D754B">
        <w:rPr>
          <w:rFonts w:ascii="Palatino Linotype" w:eastAsia="Palatino Linotype" w:hAnsi="Palatino Linotype" w:cs="Palatino Linotype"/>
          <w:b/>
        </w:rPr>
        <w:t>ORDENAR</w:t>
      </w:r>
      <w:r w:rsidRPr="003D754B">
        <w:rPr>
          <w:rFonts w:ascii="Palatino Linotype" w:eastAsia="Palatino Linotype" w:hAnsi="Palatino Linotype" w:cs="Palatino Linotype"/>
        </w:rPr>
        <w:t xml:space="preserve"> al Sujeto Obligado, la entrega, previa búsqueda exhaustiva y razonable, en versión pública, de lo siguiente: </w:t>
      </w:r>
    </w:p>
    <w:p w14:paraId="6E121F08" w14:textId="77777777" w:rsidR="00DA517C" w:rsidRPr="003D754B" w:rsidRDefault="00DA517C">
      <w:pPr>
        <w:spacing w:after="0" w:line="360" w:lineRule="auto"/>
        <w:jc w:val="both"/>
        <w:rPr>
          <w:rFonts w:ascii="Palatino Linotype" w:eastAsia="Palatino Linotype" w:hAnsi="Palatino Linotype" w:cs="Palatino Linotype"/>
        </w:rPr>
      </w:pPr>
    </w:p>
    <w:p w14:paraId="483D58F6" w14:textId="77777777" w:rsidR="00DA517C" w:rsidRPr="003D754B" w:rsidRDefault="00C361F7">
      <w:pPr>
        <w:numPr>
          <w:ilvl w:val="0"/>
          <w:numId w:val="4"/>
        </w:numPr>
        <w:pBdr>
          <w:top w:val="nil"/>
          <w:left w:val="nil"/>
          <w:bottom w:val="nil"/>
          <w:right w:val="nil"/>
          <w:between w:val="nil"/>
        </w:pBdr>
        <w:spacing w:after="0" w:line="360" w:lineRule="auto"/>
        <w:ind w:left="567" w:right="560"/>
        <w:jc w:val="both"/>
        <w:rPr>
          <w:rFonts w:ascii="Palatino Linotype" w:eastAsia="Palatino Linotype" w:hAnsi="Palatino Linotype" w:cs="Palatino Linotype"/>
          <w:b/>
        </w:rPr>
      </w:pPr>
      <w:r w:rsidRPr="003D754B">
        <w:rPr>
          <w:rFonts w:ascii="Palatino Linotype" w:eastAsia="Palatino Linotype" w:hAnsi="Palatino Linotype" w:cs="Palatino Linotype"/>
          <w:b/>
        </w:rPr>
        <w:t>Las licencias de funcionamiento (de alto impacto) para venta de alcohol y  pista de baile emitidas del uno de enero de dos mil diecinueve al treinta y uno de marzo de dos mil veinticuatro.</w:t>
      </w:r>
    </w:p>
    <w:p w14:paraId="748AB44C" w14:textId="77777777" w:rsidR="00DA517C" w:rsidRPr="003D754B" w:rsidRDefault="00DA517C">
      <w:pPr>
        <w:pBdr>
          <w:top w:val="nil"/>
          <w:left w:val="nil"/>
          <w:bottom w:val="nil"/>
          <w:right w:val="nil"/>
          <w:between w:val="nil"/>
        </w:pBdr>
        <w:spacing w:after="0" w:line="360" w:lineRule="auto"/>
        <w:ind w:left="567" w:right="560"/>
        <w:jc w:val="both"/>
        <w:rPr>
          <w:rFonts w:ascii="Palatino Linotype" w:eastAsia="Palatino Linotype" w:hAnsi="Palatino Linotype" w:cs="Palatino Linotype"/>
          <w:b/>
        </w:rPr>
      </w:pPr>
    </w:p>
    <w:p w14:paraId="0833CD23" w14:textId="77777777" w:rsidR="00DA517C" w:rsidRPr="003D754B" w:rsidRDefault="00C361F7">
      <w:pPr>
        <w:spacing w:after="0"/>
        <w:ind w:left="567" w:right="615"/>
        <w:jc w:val="both"/>
        <w:rPr>
          <w:rFonts w:ascii="Palatino Linotype" w:eastAsia="Palatino Linotype" w:hAnsi="Palatino Linotype" w:cs="Palatino Linotype"/>
          <w:i/>
        </w:rPr>
      </w:pPr>
      <w:r w:rsidRPr="003D754B">
        <w:rPr>
          <w:rFonts w:ascii="Palatino Linotype" w:eastAsia="Palatino Linotype" w:hAnsi="Palatino Linotype" w:cs="Palatino Linotype"/>
          <w:i/>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3D754B">
        <w:rPr>
          <w:rFonts w:ascii="Palatino Linotype" w:eastAsia="Palatino Linotype" w:hAnsi="Palatino Linotype" w:cs="Palatino Linotype"/>
          <w:b/>
          <w:i/>
        </w:rPr>
        <w:t xml:space="preserve"> </w:t>
      </w:r>
      <w:r w:rsidRPr="003D754B">
        <w:rPr>
          <w:rFonts w:ascii="Palatino Linotype" w:eastAsia="Palatino Linotype" w:hAnsi="Palatino Linotype" w:cs="Palatino Linotype"/>
          <w:i/>
        </w:rPr>
        <w:t>y  se ponga a disposición de la parte Recurrente, en términos de los artículos 49, fracción VIII,  de la Ley de Transparencia y Acceso a la Información Pública del Estado de México y Municipios.</w:t>
      </w:r>
    </w:p>
    <w:p w14:paraId="46515F34" w14:textId="77777777" w:rsidR="00DA517C" w:rsidRPr="003D754B" w:rsidRDefault="00DA517C">
      <w:pPr>
        <w:spacing w:after="0"/>
        <w:ind w:right="615"/>
        <w:jc w:val="both"/>
        <w:rPr>
          <w:rFonts w:ascii="Palatino Linotype" w:eastAsia="Palatino Linotype" w:hAnsi="Palatino Linotype" w:cs="Palatino Linotype"/>
          <w:i/>
        </w:rPr>
      </w:pPr>
    </w:p>
    <w:p w14:paraId="3ABE1D2A" w14:textId="77777777" w:rsidR="00DA517C" w:rsidRPr="003D754B" w:rsidRDefault="00C361F7">
      <w:p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b/>
        </w:rPr>
        <w:t xml:space="preserve">Quinto. Versión Pública. </w:t>
      </w:r>
      <w:r w:rsidRPr="003D754B">
        <w:rPr>
          <w:rFonts w:ascii="Palatino Linotype" w:eastAsia="Palatino Linotype" w:hAnsi="Palatino Linotype" w:cs="Palatino Linotype"/>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2A71B4D8" w14:textId="77777777" w:rsidR="00DA517C" w:rsidRPr="003D754B" w:rsidRDefault="00DA517C">
      <w:pPr>
        <w:spacing w:after="0" w:line="360" w:lineRule="auto"/>
        <w:jc w:val="both"/>
        <w:rPr>
          <w:rFonts w:ascii="Palatino Linotype" w:eastAsia="Palatino Linotype" w:hAnsi="Palatino Linotype" w:cs="Palatino Linotype"/>
        </w:rPr>
      </w:pPr>
    </w:p>
    <w:p w14:paraId="67337B1D" w14:textId="77777777" w:rsidR="00DA517C" w:rsidRPr="003D754B" w:rsidRDefault="00C361F7">
      <w:p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lastRenderedPageBreak/>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3D06EDAA" w14:textId="77777777" w:rsidR="00DA517C" w:rsidRPr="003D754B" w:rsidRDefault="00DA517C">
      <w:pPr>
        <w:spacing w:after="0" w:line="360" w:lineRule="auto"/>
        <w:jc w:val="both"/>
        <w:rPr>
          <w:rFonts w:ascii="Palatino Linotype" w:eastAsia="Palatino Linotype" w:hAnsi="Palatino Linotype" w:cs="Palatino Linotype"/>
        </w:rPr>
      </w:pPr>
    </w:p>
    <w:p w14:paraId="4DD85C56" w14:textId="77777777" w:rsidR="00DA517C" w:rsidRPr="003D754B" w:rsidRDefault="00C361F7">
      <w:pPr>
        <w:spacing w:after="0" w:line="360" w:lineRule="auto"/>
        <w:ind w:right="50"/>
        <w:jc w:val="both"/>
        <w:rPr>
          <w:rFonts w:ascii="Palatino Linotype" w:eastAsia="Palatino Linotype" w:hAnsi="Palatino Linotype" w:cs="Palatino Linotype"/>
        </w:rPr>
      </w:pPr>
      <w:r w:rsidRPr="003D754B">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005B3752" w14:textId="77777777" w:rsidR="00DA517C" w:rsidRPr="003D754B" w:rsidRDefault="00DA517C">
      <w:pPr>
        <w:spacing w:after="0" w:line="360" w:lineRule="auto"/>
        <w:ind w:right="50"/>
        <w:jc w:val="both"/>
        <w:rPr>
          <w:rFonts w:ascii="Palatino Linotype" w:eastAsia="Palatino Linotype" w:hAnsi="Palatino Linotype" w:cs="Palatino Linotype"/>
        </w:rPr>
      </w:pPr>
    </w:p>
    <w:p w14:paraId="466603BB"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w:t>
      </w:r>
      <w:r w:rsidRPr="003D754B">
        <w:rPr>
          <w:rFonts w:ascii="Palatino Linotype" w:eastAsia="Palatino Linotype" w:hAnsi="Palatino Linotype" w:cs="Palatino Linotype"/>
          <w:b/>
          <w:i/>
        </w:rPr>
        <w:t>Artículo 3.</w:t>
      </w:r>
      <w:r w:rsidRPr="003D754B">
        <w:rPr>
          <w:rFonts w:ascii="Palatino Linotype" w:eastAsia="Palatino Linotype" w:hAnsi="Palatino Linotype" w:cs="Palatino Linotype"/>
          <w:i/>
        </w:rPr>
        <w:t xml:space="preserve"> Para los efectos de la presente Ley se entenderá por:</w:t>
      </w:r>
    </w:p>
    <w:p w14:paraId="52A9E697"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w:t>
      </w:r>
    </w:p>
    <w:p w14:paraId="5B0005EC"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2AF00B1F"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XX. Información clasificada: Aquella considerada por la presente Ley como reservada o confidencial;</w:t>
      </w:r>
    </w:p>
    <w:p w14:paraId="55E77CAD"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CA6DF93"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18DBE55E"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w:t>
      </w:r>
    </w:p>
    <w:p w14:paraId="46FB0E41"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b/>
          <w:i/>
        </w:rPr>
        <w:t>Artículo 91.</w:t>
      </w:r>
      <w:r w:rsidRPr="003D754B">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285EBBEA"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b/>
          <w:i/>
        </w:rPr>
        <w:t>Artículo 132.</w:t>
      </w:r>
      <w:r w:rsidRPr="003D754B">
        <w:rPr>
          <w:rFonts w:ascii="Palatino Linotype" w:eastAsia="Palatino Linotype" w:hAnsi="Palatino Linotype" w:cs="Palatino Linotype"/>
          <w:i/>
        </w:rPr>
        <w:t xml:space="preserve"> La clasificación de la información se llevará a cabo en el momento en que:</w:t>
      </w:r>
    </w:p>
    <w:p w14:paraId="555BD3DA" w14:textId="77777777" w:rsidR="00DA517C" w:rsidRPr="003D754B" w:rsidRDefault="00C361F7">
      <w:pPr>
        <w:tabs>
          <w:tab w:val="left" w:pos="1134"/>
        </w:tabs>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I. Se reciba una solicitud de acceso a la información;</w:t>
      </w:r>
    </w:p>
    <w:p w14:paraId="3EDB35DA" w14:textId="77777777" w:rsidR="00DA517C" w:rsidRPr="003D754B" w:rsidRDefault="00C361F7">
      <w:pPr>
        <w:tabs>
          <w:tab w:val="left" w:pos="1134"/>
        </w:tabs>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II. Se determine mediante resolución de autoridad competente; o</w:t>
      </w:r>
    </w:p>
    <w:p w14:paraId="7AADB5FF" w14:textId="77777777" w:rsidR="00DA517C" w:rsidRPr="003D754B" w:rsidRDefault="00C361F7">
      <w:pPr>
        <w:tabs>
          <w:tab w:val="left" w:pos="1134"/>
        </w:tabs>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III. Se generen versiones públicas para dar cumplimiento a las obligaciones de transparencia previstas en esta Ley.</w:t>
      </w:r>
    </w:p>
    <w:p w14:paraId="752BF49D"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w:t>
      </w:r>
    </w:p>
    <w:p w14:paraId="32542A57"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b/>
          <w:i/>
        </w:rPr>
        <w:lastRenderedPageBreak/>
        <w:t>Artículo 143</w:t>
      </w:r>
      <w:r w:rsidRPr="003D754B">
        <w:rPr>
          <w:rFonts w:ascii="Palatino Linotype" w:eastAsia="Palatino Linotype" w:hAnsi="Palatino Linotype" w:cs="Palatino Linotype"/>
          <w:i/>
        </w:rPr>
        <w:t>. Para los efectos de esta Ley se considera información confidencial, la clasificada como tal, de manera permanente, por su naturaleza, cuando:</w:t>
      </w:r>
    </w:p>
    <w:p w14:paraId="61E91675"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460F71F3"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5993633F"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III. La que presenten los particulares a los sujetos obligados, de conformidad con lo dispuesto por las leyes o los tratados internacionales.</w:t>
      </w:r>
    </w:p>
    <w:p w14:paraId="06535E47"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47547CF8"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0F4B1242" w14:textId="77777777" w:rsidR="00DA517C" w:rsidRPr="003D754B" w:rsidRDefault="00DA517C">
      <w:pPr>
        <w:spacing w:after="0"/>
        <w:ind w:left="567" w:right="616"/>
        <w:jc w:val="both"/>
        <w:rPr>
          <w:rFonts w:ascii="Palatino Linotype" w:eastAsia="Palatino Linotype" w:hAnsi="Palatino Linotype" w:cs="Palatino Linotype"/>
          <w:i/>
        </w:rPr>
      </w:pPr>
    </w:p>
    <w:p w14:paraId="4E08317D" w14:textId="77777777" w:rsidR="00DA517C" w:rsidRPr="003D754B" w:rsidRDefault="00C361F7">
      <w:p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2B5F5523" w14:textId="77777777" w:rsidR="00DA517C" w:rsidRPr="003D754B" w:rsidRDefault="00DA517C">
      <w:pPr>
        <w:spacing w:after="0"/>
        <w:jc w:val="both"/>
        <w:rPr>
          <w:rFonts w:ascii="Palatino Linotype" w:eastAsia="Palatino Linotype" w:hAnsi="Palatino Linotype" w:cs="Palatino Linotype"/>
        </w:rPr>
      </w:pPr>
    </w:p>
    <w:p w14:paraId="0351F98F" w14:textId="77777777" w:rsidR="00DA517C" w:rsidRPr="003D754B" w:rsidRDefault="00C361F7">
      <w:p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7ADF8E41" w14:textId="77777777" w:rsidR="00DA517C" w:rsidRPr="003D754B" w:rsidRDefault="00DA517C">
      <w:pPr>
        <w:spacing w:after="0" w:line="360" w:lineRule="auto"/>
        <w:jc w:val="both"/>
        <w:rPr>
          <w:rFonts w:ascii="Palatino Linotype" w:eastAsia="Palatino Linotype" w:hAnsi="Palatino Linotype" w:cs="Palatino Linotype"/>
        </w:rPr>
      </w:pPr>
    </w:p>
    <w:p w14:paraId="6D61535E"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lastRenderedPageBreak/>
        <w:t xml:space="preserve"> “</w:t>
      </w:r>
      <w:r w:rsidRPr="003D754B">
        <w:rPr>
          <w:rFonts w:ascii="Palatino Linotype" w:eastAsia="Palatino Linotype" w:hAnsi="Palatino Linotype" w:cs="Palatino Linotype"/>
          <w:b/>
          <w:i/>
        </w:rPr>
        <w:t>Quincuagésimo</w:t>
      </w:r>
      <w:r w:rsidRPr="003D754B">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9C82260" w14:textId="77777777" w:rsidR="00DA517C" w:rsidRPr="003D754B" w:rsidRDefault="00C361F7">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b/>
          <w:i/>
        </w:rPr>
        <w:t>Quincuagésimo primero.</w:t>
      </w:r>
      <w:r w:rsidRPr="003D754B">
        <w:rPr>
          <w:rFonts w:ascii="Palatino Linotype" w:eastAsia="Palatino Linotype" w:hAnsi="Palatino Linotype" w:cs="Palatino Linotype"/>
          <w:i/>
        </w:rPr>
        <w:t xml:space="preserve"> Toda acta del Comité de Transparencia deberá contener: </w:t>
      </w:r>
    </w:p>
    <w:p w14:paraId="1DDBA600" w14:textId="77777777" w:rsidR="00DA517C" w:rsidRPr="003D754B" w:rsidRDefault="00C361F7">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 xml:space="preserve">I. El número de sesión y fecha; </w:t>
      </w:r>
    </w:p>
    <w:p w14:paraId="0E7C21C6" w14:textId="77777777" w:rsidR="00DA517C" w:rsidRPr="003D754B" w:rsidRDefault="00C361F7">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 xml:space="preserve">II. El nombre del área que solicitó la clasificación de información; </w:t>
      </w:r>
    </w:p>
    <w:p w14:paraId="4B285F41" w14:textId="77777777" w:rsidR="00DA517C" w:rsidRPr="003D754B" w:rsidRDefault="00C361F7">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 xml:space="preserve">III. La fundamentación legal y motivación correspondiente; </w:t>
      </w:r>
    </w:p>
    <w:p w14:paraId="66DB0E89" w14:textId="77777777" w:rsidR="00DA517C" w:rsidRPr="003D754B" w:rsidRDefault="00C361F7">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 xml:space="preserve">IV. La resolución o resoluciones aprobadas; y </w:t>
      </w:r>
    </w:p>
    <w:p w14:paraId="7CC99A5F" w14:textId="77777777" w:rsidR="00DA517C" w:rsidRPr="003D754B" w:rsidRDefault="00C361F7">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 xml:space="preserve">V. La rúbrica o firma digital de cada integrante del Comité de Transparencia. </w:t>
      </w:r>
    </w:p>
    <w:p w14:paraId="5D343156" w14:textId="77777777" w:rsidR="00DA517C" w:rsidRPr="003D754B" w:rsidRDefault="00C361F7">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36558FC7" w14:textId="77777777" w:rsidR="00DA517C" w:rsidRPr="003D754B" w:rsidRDefault="00C361F7">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I. Los motivos y razonamientos que sustenten la confirmación o modificación de la prueba de daño;</w:t>
      </w:r>
    </w:p>
    <w:p w14:paraId="0B798F7A" w14:textId="77777777" w:rsidR="00DA517C" w:rsidRPr="003D754B" w:rsidRDefault="00C361F7">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 xml:space="preserve">II. Descripción de las partes o secciones reservadas, en caso de clasificación parcial; </w:t>
      </w:r>
    </w:p>
    <w:p w14:paraId="5181E80D" w14:textId="77777777" w:rsidR="00DA517C" w:rsidRPr="003D754B" w:rsidRDefault="00C361F7">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 xml:space="preserve">III. El periodo por el que mantendrá su clasificación y fecha de expiración; y </w:t>
      </w:r>
    </w:p>
    <w:p w14:paraId="7FB0256B" w14:textId="77777777" w:rsidR="00DA517C" w:rsidRPr="003D754B" w:rsidRDefault="00C361F7">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 xml:space="preserve">IV. El nombre del titular y área encargada de realizar la versión pública del documento, en su caso. </w:t>
      </w:r>
    </w:p>
    <w:p w14:paraId="23986CE3" w14:textId="77777777" w:rsidR="00DA517C" w:rsidRPr="003D754B" w:rsidRDefault="00C361F7">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2996136A" w14:textId="77777777" w:rsidR="00DA517C" w:rsidRPr="003D754B" w:rsidRDefault="00C361F7">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7D737FE7"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b/>
          <w:i/>
        </w:rPr>
        <w:t>Quincuagésimo segundo.</w:t>
      </w:r>
      <w:r w:rsidRPr="003D754B">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2FEBC2D"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1185DC8C"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I. Fijar la fecha en que se elaboró la versión pública y la fecha en la cual el Comité de Transparencia confirmó dicha versión;</w:t>
      </w:r>
    </w:p>
    <w:p w14:paraId="576AA44D"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312DF5B7"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lastRenderedPageBreak/>
        <w:t>III. Señalar las personas o instancias autorizadas a acceder a la información clasificada.</w:t>
      </w:r>
    </w:p>
    <w:p w14:paraId="4B383BDB"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475D1A3F" w14:textId="77777777" w:rsidR="00DA517C" w:rsidRPr="003D754B" w:rsidRDefault="00DA517C">
      <w:pPr>
        <w:spacing w:after="0" w:line="360" w:lineRule="auto"/>
        <w:jc w:val="both"/>
        <w:rPr>
          <w:rFonts w:ascii="Palatino Linotype" w:eastAsia="Palatino Linotype" w:hAnsi="Palatino Linotype" w:cs="Palatino Linotype"/>
        </w:rPr>
      </w:pPr>
    </w:p>
    <w:p w14:paraId="59C4CCFC" w14:textId="77777777" w:rsidR="00DA517C" w:rsidRPr="003D754B" w:rsidRDefault="00C361F7">
      <w:p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6DF8C12D" w14:textId="77777777" w:rsidR="00DA517C" w:rsidRPr="003D754B" w:rsidRDefault="00DA517C">
      <w:pPr>
        <w:spacing w:after="0" w:line="360" w:lineRule="auto"/>
        <w:jc w:val="both"/>
        <w:rPr>
          <w:rFonts w:ascii="Palatino Linotype" w:eastAsia="Palatino Linotype" w:hAnsi="Palatino Linotype" w:cs="Palatino Linotype"/>
        </w:rPr>
      </w:pPr>
    </w:p>
    <w:p w14:paraId="7B17CF2F" w14:textId="77777777" w:rsidR="00DA517C" w:rsidRPr="003D754B" w:rsidRDefault="00C361F7">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w:t>
      </w:r>
      <w:r w:rsidRPr="003D754B">
        <w:rPr>
          <w:rFonts w:ascii="Palatino Linotype" w:eastAsia="Palatino Linotype" w:hAnsi="Palatino Linotype" w:cs="Palatino Linotype"/>
          <w:b/>
          <w:i/>
        </w:rPr>
        <w:t>Quincuagésimo cuarto.</w:t>
      </w:r>
      <w:r w:rsidRPr="003D754B">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5B743762"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b/>
          <w:i/>
        </w:rPr>
        <w:t>Quincuagésimo quinto.</w:t>
      </w:r>
      <w:r w:rsidRPr="003D754B">
        <w:rPr>
          <w:rFonts w:ascii="Palatino Linotype" w:eastAsia="Palatino Linotype" w:hAnsi="Palatino Linotype" w:cs="Palatino Linotype"/>
          <w:i/>
        </w:rPr>
        <w:t xml:space="preserve"> Cada área del sujeto obligado podrá designar formalmente a una o más personas como responsables del </w:t>
      </w:r>
      <w:proofErr w:type="spellStart"/>
      <w:r w:rsidRPr="003D754B">
        <w:rPr>
          <w:rFonts w:ascii="Palatino Linotype" w:eastAsia="Palatino Linotype" w:hAnsi="Palatino Linotype" w:cs="Palatino Linotype"/>
          <w:i/>
        </w:rPr>
        <w:t>testado</w:t>
      </w:r>
      <w:proofErr w:type="spellEnd"/>
      <w:r w:rsidRPr="003D754B">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147D8771"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w:t>
      </w:r>
    </w:p>
    <w:p w14:paraId="2EC1AF8D"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b/>
          <w:i/>
        </w:rPr>
        <w:t>Quincuagésimo séptimo.</w:t>
      </w:r>
      <w:r w:rsidRPr="003D754B">
        <w:rPr>
          <w:rFonts w:ascii="Palatino Linotype" w:eastAsia="Palatino Linotype" w:hAnsi="Palatino Linotype" w:cs="Palatino Linotype"/>
          <w:i/>
        </w:rPr>
        <w:t xml:space="preserve"> Se considera, en principio, como información pública y no podrá omitirse de las versiones públicas la siguiente: </w:t>
      </w:r>
    </w:p>
    <w:p w14:paraId="57788239"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4528A1EB"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42D88CB6"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089B01E1"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3DA3CD76" w14:textId="77777777" w:rsidR="00DA517C" w:rsidRPr="003D754B" w:rsidRDefault="00C361F7">
      <w:pPr>
        <w:spacing w:after="0"/>
        <w:ind w:left="567" w:right="616"/>
        <w:jc w:val="both"/>
        <w:rPr>
          <w:rFonts w:ascii="Palatino Linotype" w:eastAsia="Palatino Linotype" w:hAnsi="Palatino Linotype" w:cs="Palatino Linotype"/>
          <w:i/>
        </w:rPr>
      </w:pPr>
      <w:r w:rsidRPr="003D754B">
        <w:rPr>
          <w:rFonts w:ascii="Palatino Linotype" w:eastAsia="Palatino Linotype" w:hAnsi="Palatino Linotype" w:cs="Palatino Linotype"/>
          <w:i/>
        </w:rPr>
        <w:lastRenderedPageBreak/>
        <w:t>Quincuagésimo octavo. Los sujetos obligados garantizarán que los sistemas o medios empleados para eliminar la información en las versiones públicas sean irreversibles, de tal forma que no permitan su recuperación o la visualización de la misma.”</w:t>
      </w:r>
    </w:p>
    <w:p w14:paraId="500DEE99" w14:textId="77777777" w:rsidR="00DA517C" w:rsidRPr="003D754B" w:rsidRDefault="00DA517C">
      <w:pPr>
        <w:spacing w:after="0" w:line="360" w:lineRule="auto"/>
        <w:ind w:left="567" w:right="616"/>
        <w:jc w:val="both"/>
        <w:rPr>
          <w:rFonts w:ascii="Palatino Linotype" w:eastAsia="Palatino Linotype" w:hAnsi="Palatino Linotype" w:cs="Palatino Linotype"/>
          <w:i/>
        </w:rPr>
      </w:pPr>
    </w:p>
    <w:p w14:paraId="41874F67" w14:textId="77777777" w:rsidR="00DA517C" w:rsidRPr="003D754B" w:rsidRDefault="00C361F7">
      <w:p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7EFE0ADD" w14:textId="77777777" w:rsidR="00DA517C" w:rsidRPr="003D754B" w:rsidRDefault="00DA517C">
      <w:pPr>
        <w:spacing w:after="0" w:line="360" w:lineRule="auto"/>
        <w:jc w:val="both"/>
        <w:rPr>
          <w:rFonts w:ascii="Palatino Linotype" w:eastAsia="Palatino Linotype" w:hAnsi="Palatino Linotype" w:cs="Palatino Linotype"/>
        </w:rPr>
      </w:pPr>
    </w:p>
    <w:p w14:paraId="72F3C86D" w14:textId="77777777" w:rsidR="00DA517C" w:rsidRPr="003D754B" w:rsidRDefault="00C361F7">
      <w:pPr>
        <w:spacing w:after="0" w:line="360" w:lineRule="auto"/>
        <w:ind w:right="49"/>
        <w:jc w:val="both"/>
        <w:rPr>
          <w:rFonts w:ascii="Palatino Linotype" w:eastAsia="Palatino Linotype" w:hAnsi="Palatino Linotype" w:cs="Palatino Linotype"/>
        </w:rPr>
      </w:pPr>
      <w:r w:rsidRPr="003D754B">
        <w:rPr>
          <w:rFonts w:ascii="Palatino Linotype" w:eastAsia="Palatino Linotype" w:hAnsi="Palatino Linotype" w:cs="Palatino Linotype"/>
        </w:rPr>
        <w:t xml:space="preserve">Es así como, en mérito de lo expuesto en líneas anteriores, resultan fundadas las razones o motivos de inconformidad hechos valer por la parte </w:t>
      </w:r>
      <w:r w:rsidRPr="003D754B">
        <w:rPr>
          <w:rFonts w:ascii="Palatino Linotype" w:eastAsia="Palatino Linotype" w:hAnsi="Palatino Linotype" w:cs="Palatino Linotype"/>
          <w:b/>
        </w:rPr>
        <w:t>RECURRENTE</w:t>
      </w:r>
      <w:r w:rsidRPr="003D754B">
        <w:rPr>
          <w:rFonts w:ascii="Palatino Linotype" w:eastAsia="Palatino Linotype" w:hAnsi="Palatino Linotype" w:cs="Palatino Linotype"/>
        </w:rPr>
        <w:t xml:space="preserve"> dentro del recurso de revisión </w:t>
      </w:r>
      <w:r w:rsidRPr="003D754B">
        <w:rPr>
          <w:rFonts w:ascii="Palatino Linotype" w:eastAsia="Palatino Linotype" w:hAnsi="Palatino Linotype" w:cs="Palatino Linotype"/>
          <w:b/>
        </w:rPr>
        <w:t>03149/INFOEM/IP/RR/2024</w:t>
      </w:r>
      <w:r w:rsidRPr="003D754B">
        <w:rPr>
          <w:rFonts w:ascii="Palatino Linotype" w:eastAsia="Palatino Linotype" w:hAnsi="Palatino Linotype" w:cs="Palatino Linotype"/>
        </w:rPr>
        <w:t xml:space="preserve">; por ello, y con fundamento en la fracción IV del numeral 186 de la Ley de Transparencia y Acceso a la Información Pública del Estado de México y Municipios, se </w:t>
      </w:r>
      <w:r w:rsidRPr="003D754B">
        <w:rPr>
          <w:rFonts w:ascii="Palatino Linotype" w:eastAsia="Palatino Linotype" w:hAnsi="Palatino Linotype" w:cs="Palatino Linotype"/>
          <w:b/>
        </w:rPr>
        <w:t>ORDENA</w:t>
      </w:r>
      <w:r w:rsidRPr="003D754B">
        <w:rPr>
          <w:rFonts w:ascii="Palatino Linotype" w:eastAsia="Palatino Linotype" w:hAnsi="Palatino Linotype" w:cs="Palatino Linotype"/>
        </w:rPr>
        <w:t xml:space="preserve"> la respuesta a la solicitud de información número </w:t>
      </w:r>
      <w:r w:rsidRPr="003D754B">
        <w:rPr>
          <w:rFonts w:ascii="Palatino Linotype" w:eastAsia="Palatino Linotype" w:hAnsi="Palatino Linotype" w:cs="Palatino Linotype"/>
          <w:b/>
        </w:rPr>
        <w:t>00422/MELOCAM/IP/2024.</w:t>
      </w:r>
    </w:p>
    <w:p w14:paraId="0D5CFF74" w14:textId="77777777" w:rsidR="00DA517C" w:rsidRPr="003D754B" w:rsidRDefault="00DA517C">
      <w:pPr>
        <w:spacing w:after="0" w:line="360" w:lineRule="auto"/>
        <w:ind w:right="49"/>
        <w:jc w:val="both"/>
        <w:rPr>
          <w:rFonts w:ascii="Palatino Linotype" w:eastAsia="Palatino Linotype" w:hAnsi="Palatino Linotype" w:cs="Palatino Linotype"/>
        </w:rPr>
      </w:pPr>
    </w:p>
    <w:p w14:paraId="43C0B060" w14:textId="77777777" w:rsidR="00DA517C" w:rsidRPr="003D754B" w:rsidRDefault="00C361F7">
      <w:pPr>
        <w:spacing w:after="0" w:line="360" w:lineRule="auto"/>
        <w:ind w:right="49"/>
        <w:jc w:val="both"/>
        <w:rPr>
          <w:rFonts w:ascii="Palatino Linotype" w:eastAsia="Palatino Linotype" w:hAnsi="Palatino Linotype" w:cs="Palatino Linotype"/>
        </w:rPr>
      </w:pPr>
      <w:r w:rsidRPr="003D754B">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23B254C" w14:textId="77777777" w:rsidR="00DA517C" w:rsidRPr="003D754B" w:rsidRDefault="00DA517C">
      <w:pPr>
        <w:spacing w:after="0" w:line="360" w:lineRule="auto"/>
        <w:ind w:right="49"/>
        <w:jc w:val="both"/>
        <w:rPr>
          <w:rFonts w:ascii="Palatino Linotype" w:eastAsia="Palatino Linotype" w:hAnsi="Palatino Linotype" w:cs="Palatino Linotype"/>
        </w:rPr>
      </w:pPr>
    </w:p>
    <w:p w14:paraId="4212A6F5" w14:textId="77777777" w:rsidR="00DA517C" w:rsidRPr="003D754B" w:rsidRDefault="00C361F7">
      <w:pPr>
        <w:spacing w:after="0" w:line="360" w:lineRule="auto"/>
        <w:ind w:right="49"/>
        <w:jc w:val="center"/>
        <w:rPr>
          <w:rFonts w:ascii="Palatino Linotype" w:eastAsia="Palatino Linotype" w:hAnsi="Palatino Linotype" w:cs="Palatino Linotype"/>
          <w:b/>
        </w:rPr>
      </w:pPr>
      <w:r w:rsidRPr="003D754B">
        <w:rPr>
          <w:rFonts w:ascii="Palatino Linotype" w:eastAsia="Palatino Linotype" w:hAnsi="Palatino Linotype" w:cs="Palatino Linotype"/>
          <w:b/>
        </w:rPr>
        <w:lastRenderedPageBreak/>
        <w:t>III.</w:t>
      </w:r>
      <w:r w:rsidRPr="003D754B">
        <w:rPr>
          <w:rFonts w:ascii="Palatino Linotype" w:eastAsia="Palatino Linotype" w:hAnsi="Palatino Linotype" w:cs="Palatino Linotype"/>
          <w:b/>
        </w:rPr>
        <w:tab/>
        <w:t>R E S U E L V E:</w:t>
      </w:r>
    </w:p>
    <w:p w14:paraId="609BD061" w14:textId="77777777" w:rsidR="00DA517C" w:rsidRPr="003D754B" w:rsidRDefault="00DA517C">
      <w:pPr>
        <w:spacing w:after="0" w:line="360" w:lineRule="auto"/>
        <w:ind w:right="49"/>
        <w:jc w:val="both"/>
        <w:rPr>
          <w:rFonts w:ascii="Palatino Linotype" w:eastAsia="Palatino Linotype" w:hAnsi="Palatino Linotype" w:cs="Palatino Linotype"/>
        </w:rPr>
      </w:pPr>
    </w:p>
    <w:p w14:paraId="54960F19" w14:textId="77777777" w:rsidR="00DA517C" w:rsidRPr="003D754B" w:rsidRDefault="00C361F7">
      <w:pPr>
        <w:spacing w:after="0" w:line="360" w:lineRule="auto"/>
        <w:ind w:right="49"/>
        <w:jc w:val="both"/>
        <w:rPr>
          <w:rFonts w:ascii="Palatino Linotype" w:eastAsia="Palatino Linotype" w:hAnsi="Palatino Linotype" w:cs="Palatino Linotype"/>
        </w:rPr>
      </w:pPr>
      <w:r w:rsidRPr="003D754B">
        <w:rPr>
          <w:rFonts w:ascii="Palatino Linotype" w:eastAsia="Palatino Linotype" w:hAnsi="Palatino Linotype" w:cs="Palatino Linotype"/>
          <w:b/>
        </w:rPr>
        <w:t xml:space="preserve">Primero. </w:t>
      </w:r>
      <w:r w:rsidRPr="003D754B">
        <w:rPr>
          <w:rFonts w:ascii="Palatino Linotype" w:eastAsia="Palatino Linotype" w:hAnsi="Palatino Linotype" w:cs="Palatino Linotype"/>
        </w:rPr>
        <w:t>Resultan</w:t>
      </w:r>
      <w:r w:rsidRPr="003D754B">
        <w:rPr>
          <w:rFonts w:ascii="Palatino Linotype" w:eastAsia="Palatino Linotype" w:hAnsi="Palatino Linotype" w:cs="Palatino Linotype"/>
          <w:b/>
        </w:rPr>
        <w:t xml:space="preserve"> FUNDADOS </w:t>
      </w:r>
      <w:r w:rsidRPr="003D754B">
        <w:rPr>
          <w:rFonts w:ascii="Palatino Linotype" w:eastAsia="Palatino Linotype" w:hAnsi="Palatino Linotype" w:cs="Palatino Linotype"/>
        </w:rPr>
        <w:t xml:space="preserve">los motivos de inconformidad de la parte </w:t>
      </w:r>
      <w:r w:rsidRPr="003D754B">
        <w:rPr>
          <w:rFonts w:ascii="Palatino Linotype" w:eastAsia="Palatino Linotype" w:hAnsi="Palatino Linotype" w:cs="Palatino Linotype"/>
          <w:b/>
        </w:rPr>
        <w:t>Recurrente</w:t>
      </w:r>
      <w:r w:rsidRPr="003D754B">
        <w:rPr>
          <w:rFonts w:ascii="Palatino Linotype" w:eastAsia="Palatino Linotype" w:hAnsi="Palatino Linotype" w:cs="Palatino Linotype"/>
        </w:rPr>
        <w:t xml:space="preserve">, hechos valer en el Recurso de Revisión </w:t>
      </w:r>
      <w:r w:rsidRPr="003D754B">
        <w:rPr>
          <w:rFonts w:ascii="Palatino Linotype" w:eastAsia="Palatino Linotype" w:hAnsi="Palatino Linotype" w:cs="Palatino Linotype"/>
          <w:b/>
        </w:rPr>
        <w:t>03149/INFOEM/IP/RR/2024</w:t>
      </w:r>
      <w:r w:rsidRPr="003D754B">
        <w:rPr>
          <w:rFonts w:ascii="Palatino Linotype" w:eastAsia="Palatino Linotype" w:hAnsi="Palatino Linotype" w:cs="Palatino Linotype"/>
        </w:rPr>
        <w:t>, en términos del</w:t>
      </w:r>
      <w:r w:rsidRPr="003D754B">
        <w:rPr>
          <w:rFonts w:ascii="Palatino Linotype" w:eastAsia="Palatino Linotype" w:hAnsi="Palatino Linotype" w:cs="Palatino Linotype"/>
          <w:b/>
        </w:rPr>
        <w:t xml:space="preserve"> Considerando</w:t>
      </w:r>
      <w:r w:rsidRPr="003D754B">
        <w:rPr>
          <w:rFonts w:ascii="Palatino Linotype" w:eastAsia="Palatino Linotype" w:hAnsi="Palatino Linotype" w:cs="Palatino Linotype"/>
        </w:rPr>
        <w:t xml:space="preserve"> </w:t>
      </w:r>
      <w:r w:rsidRPr="003D754B">
        <w:rPr>
          <w:rFonts w:ascii="Palatino Linotype" w:eastAsia="Palatino Linotype" w:hAnsi="Palatino Linotype" w:cs="Palatino Linotype"/>
          <w:b/>
        </w:rPr>
        <w:t>Cuarto</w:t>
      </w:r>
      <w:r w:rsidRPr="003D754B">
        <w:rPr>
          <w:rFonts w:ascii="Palatino Linotype" w:eastAsia="Palatino Linotype" w:hAnsi="Palatino Linotype" w:cs="Palatino Linotype"/>
        </w:rPr>
        <w:t xml:space="preserve"> de la presente resolución.</w:t>
      </w:r>
    </w:p>
    <w:p w14:paraId="1BCE2792" w14:textId="77777777" w:rsidR="00DA517C" w:rsidRPr="003D754B" w:rsidRDefault="00DA517C">
      <w:pPr>
        <w:spacing w:after="0" w:line="360" w:lineRule="auto"/>
        <w:ind w:right="49"/>
        <w:jc w:val="both"/>
        <w:rPr>
          <w:rFonts w:ascii="Palatino Linotype" w:eastAsia="Palatino Linotype" w:hAnsi="Palatino Linotype" w:cs="Palatino Linotype"/>
        </w:rPr>
      </w:pPr>
    </w:p>
    <w:p w14:paraId="4ED0DEAF" w14:textId="77777777" w:rsidR="00DA517C" w:rsidRPr="003D754B" w:rsidRDefault="00C361F7">
      <w:pPr>
        <w:spacing w:after="0" w:line="360" w:lineRule="auto"/>
        <w:jc w:val="both"/>
        <w:rPr>
          <w:rFonts w:ascii="Palatino Linotype" w:eastAsia="Palatino Linotype" w:hAnsi="Palatino Linotype" w:cs="Palatino Linotype"/>
        </w:rPr>
      </w:pPr>
      <w:bookmarkStart w:id="1" w:name="_heading=h.3dy6vkm" w:colFirst="0" w:colLast="0"/>
      <w:bookmarkEnd w:id="1"/>
      <w:r w:rsidRPr="003D754B">
        <w:rPr>
          <w:rFonts w:ascii="Palatino Linotype" w:eastAsia="Palatino Linotype" w:hAnsi="Palatino Linotype" w:cs="Palatino Linotype"/>
          <w:b/>
        </w:rPr>
        <w:t>Segundo.</w:t>
      </w:r>
      <w:r w:rsidRPr="003D754B">
        <w:rPr>
          <w:rFonts w:ascii="Palatino Linotype" w:eastAsia="Palatino Linotype" w:hAnsi="Palatino Linotype" w:cs="Palatino Linotype"/>
        </w:rPr>
        <w:t xml:space="preserve"> Se</w:t>
      </w:r>
      <w:r w:rsidRPr="003D754B">
        <w:rPr>
          <w:rFonts w:ascii="Palatino Linotype" w:eastAsia="Palatino Linotype" w:hAnsi="Palatino Linotype" w:cs="Palatino Linotype"/>
          <w:b/>
        </w:rPr>
        <w:t xml:space="preserve"> Ordena </w:t>
      </w:r>
      <w:r w:rsidRPr="003D754B">
        <w:rPr>
          <w:rFonts w:ascii="Palatino Linotype" w:eastAsia="Palatino Linotype" w:hAnsi="Palatino Linotype" w:cs="Palatino Linotype"/>
        </w:rPr>
        <w:t xml:space="preserve">al </w:t>
      </w:r>
      <w:r w:rsidRPr="003D754B">
        <w:rPr>
          <w:rFonts w:ascii="Palatino Linotype" w:eastAsia="Palatino Linotype" w:hAnsi="Palatino Linotype" w:cs="Palatino Linotype"/>
          <w:b/>
        </w:rPr>
        <w:t>Sujeto Obligado</w:t>
      </w:r>
      <w:r w:rsidRPr="003D754B">
        <w:rPr>
          <w:rFonts w:ascii="Palatino Linotype" w:eastAsia="Palatino Linotype" w:hAnsi="Palatino Linotype" w:cs="Palatino Linotype"/>
        </w:rPr>
        <w:t xml:space="preserve">, haga entrega a la parte </w:t>
      </w:r>
      <w:r w:rsidRPr="003D754B">
        <w:rPr>
          <w:rFonts w:ascii="Palatino Linotype" w:eastAsia="Palatino Linotype" w:hAnsi="Palatino Linotype" w:cs="Palatino Linotype"/>
          <w:b/>
        </w:rPr>
        <w:t xml:space="preserve">Recurrente </w:t>
      </w:r>
      <w:r w:rsidRPr="003D754B">
        <w:rPr>
          <w:rFonts w:ascii="Palatino Linotype" w:eastAsia="Palatino Linotype" w:hAnsi="Palatino Linotype" w:cs="Palatino Linotype"/>
        </w:rPr>
        <w:t xml:space="preserve">en términos de los </w:t>
      </w:r>
      <w:r w:rsidRPr="003D754B">
        <w:rPr>
          <w:rFonts w:ascii="Palatino Linotype" w:eastAsia="Palatino Linotype" w:hAnsi="Palatino Linotype" w:cs="Palatino Linotype"/>
          <w:b/>
        </w:rPr>
        <w:t>Considerandos Cuarto y Quinto</w:t>
      </w:r>
      <w:r w:rsidRPr="003D754B">
        <w:rPr>
          <w:rFonts w:ascii="Palatino Linotype" w:eastAsia="Palatino Linotype" w:hAnsi="Palatino Linotype" w:cs="Palatino Linotype"/>
        </w:rPr>
        <w:t xml:space="preserve">, previa búsqueda exhaustiva y razonable, de ser el caso en versión pública, a través del Sistema de Acceso a la Información Mexiquense, de lo siguiente:  </w:t>
      </w:r>
    </w:p>
    <w:p w14:paraId="3DFBC6D3" w14:textId="77777777" w:rsidR="00DA517C" w:rsidRPr="003D754B" w:rsidRDefault="00DA517C">
      <w:pPr>
        <w:spacing w:after="0" w:line="360" w:lineRule="auto"/>
        <w:jc w:val="both"/>
        <w:rPr>
          <w:rFonts w:ascii="Palatino Linotype" w:eastAsia="Palatino Linotype" w:hAnsi="Palatino Linotype" w:cs="Palatino Linotype"/>
        </w:rPr>
      </w:pPr>
    </w:p>
    <w:p w14:paraId="7F077207" w14:textId="77777777" w:rsidR="00DA517C" w:rsidRPr="003D754B" w:rsidRDefault="00C361F7">
      <w:pPr>
        <w:numPr>
          <w:ilvl w:val="0"/>
          <w:numId w:val="4"/>
        </w:numPr>
        <w:pBdr>
          <w:top w:val="nil"/>
          <w:left w:val="nil"/>
          <w:bottom w:val="nil"/>
          <w:right w:val="nil"/>
          <w:between w:val="nil"/>
        </w:pBdr>
        <w:spacing w:after="0" w:line="360" w:lineRule="auto"/>
        <w:ind w:left="567" w:right="560"/>
        <w:jc w:val="both"/>
        <w:rPr>
          <w:rFonts w:ascii="Palatino Linotype" w:eastAsia="Palatino Linotype" w:hAnsi="Palatino Linotype" w:cs="Palatino Linotype"/>
          <w:b/>
        </w:rPr>
      </w:pPr>
      <w:bookmarkStart w:id="2" w:name="_heading=h.qr93j92x5q6k" w:colFirst="0" w:colLast="0"/>
      <w:bookmarkEnd w:id="2"/>
      <w:r w:rsidRPr="003D754B">
        <w:rPr>
          <w:rFonts w:ascii="Palatino Linotype" w:eastAsia="Palatino Linotype" w:hAnsi="Palatino Linotype" w:cs="Palatino Linotype"/>
          <w:b/>
        </w:rPr>
        <w:t>Las licencias de funcionamiento (de alto impacto) para venta de alcohol y  pista de baile emitidas del uno de enero de dos mil diecinueve al treinta y uno de marzo de dos mil veinticuatro.</w:t>
      </w:r>
    </w:p>
    <w:p w14:paraId="5BAE6D87" w14:textId="77777777" w:rsidR="00DA517C" w:rsidRPr="003D754B" w:rsidRDefault="00DA517C">
      <w:pPr>
        <w:pBdr>
          <w:top w:val="nil"/>
          <w:left w:val="nil"/>
          <w:bottom w:val="nil"/>
          <w:right w:val="nil"/>
          <w:between w:val="nil"/>
        </w:pBdr>
        <w:spacing w:after="0" w:line="360" w:lineRule="auto"/>
        <w:ind w:left="567" w:right="560"/>
        <w:jc w:val="both"/>
        <w:rPr>
          <w:rFonts w:ascii="Palatino Linotype" w:eastAsia="Palatino Linotype" w:hAnsi="Palatino Linotype" w:cs="Palatino Linotype"/>
          <w:b/>
        </w:rPr>
      </w:pPr>
    </w:p>
    <w:p w14:paraId="4DACBEF7" w14:textId="77777777" w:rsidR="00DA517C" w:rsidRPr="003D754B" w:rsidRDefault="00C361F7">
      <w:pPr>
        <w:spacing w:after="0"/>
        <w:ind w:left="567" w:right="615"/>
        <w:jc w:val="both"/>
        <w:rPr>
          <w:rFonts w:ascii="Palatino Linotype" w:eastAsia="Palatino Linotype" w:hAnsi="Palatino Linotype" w:cs="Palatino Linotype"/>
          <w:i/>
        </w:rPr>
      </w:pPr>
      <w:bookmarkStart w:id="3" w:name="_heading=h.gjdgxs" w:colFirst="0" w:colLast="0"/>
      <w:bookmarkEnd w:id="3"/>
      <w:r w:rsidRPr="003D754B">
        <w:rPr>
          <w:rFonts w:ascii="Palatino Linotype" w:eastAsia="Palatino Linotype" w:hAnsi="Palatino Linotype" w:cs="Palatino Linotype"/>
          <w:i/>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3D754B">
        <w:rPr>
          <w:rFonts w:ascii="Palatino Linotype" w:eastAsia="Palatino Linotype" w:hAnsi="Palatino Linotype" w:cs="Palatino Linotype"/>
          <w:b/>
          <w:i/>
        </w:rPr>
        <w:t xml:space="preserve"> </w:t>
      </w:r>
      <w:r w:rsidRPr="003D754B">
        <w:rPr>
          <w:rFonts w:ascii="Palatino Linotype" w:eastAsia="Palatino Linotype" w:hAnsi="Palatino Linotype" w:cs="Palatino Linotype"/>
          <w:i/>
        </w:rPr>
        <w:t>y  se ponga a disposición de la parte Recurrente, en términos de los artículos 49, fracción VIII,  de la Ley de Transparencia y Acceso a la Información Pública del Estado de México y Municipios.</w:t>
      </w:r>
    </w:p>
    <w:p w14:paraId="7726EB49" w14:textId="77777777" w:rsidR="00DA517C" w:rsidRPr="003D754B" w:rsidRDefault="00DA517C">
      <w:pPr>
        <w:spacing w:after="0" w:line="360" w:lineRule="auto"/>
        <w:jc w:val="both"/>
        <w:rPr>
          <w:rFonts w:ascii="Palatino Linotype" w:eastAsia="Palatino Linotype" w:hAnsi="Palatino Linotype" w:cs="Palatino Linotype"/>
        </w:rPr>
      </w:pPr>
    </w:p>
    <w:p w14:paraId="2B1D3C64" w14:textId="77777777" w:rsidR="00DA517C" w:rsidRPr="003D754B" w:rsidRDefault="00C361F7">
      <w:pPr>
        <w:spacing w:after="0" w:line="360" w:lineRule="auto"/>
        <w:jc w:val="both"/>
        <w:rPr>
          <w:rFonts w:ascii="Palatino Linotype" w:eastAsia="Palatino Linotype" w:hAnsi="Palatino Linotype" w:cs="Palatino Linotype"/>
        </w:rPr>
      </w:pPr>
      <w:bookmarkStart w:id="4" w:name="_heading=h.3znysh7" w:colFirst="0" w:colLast="0"/>
      <w:bookmarkEnd w:id="4"/>
      <w:r w:rsidRPr="003D754B">
        <w:rPr>
          <w:rFonts w:ascii="Palatino Linotype" w:eastAsia="Palatino Linotype" w:hAnsi="Palatino Linotype" w:cs="Palatino Linotype"/>
          <w:b/>
        </w:rPr>
        <w:t xml:space="preserve">Tercero.  Notifíquese vía SAIMEX, </w:t>
      </w:r>
      <w:r w:rsidRPr="003D754B">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w:t>
      </w:r>
      <w:r w:rsidRPr="003D754B">
        <w:rPr>
          <w:rFonts w:ascii="Palatino Linotype" w:eastAsia="Palatino Linotype" w:hAnsi="Palatino Linotype" w:cs="Palatino Linotype"/>
        </w:rPr>
        <w:lastRenderedPageBreak/>
        <w:t>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BA29F53" w14:textId="77777777" w:rsidR="00DA517C" w:rsidRPr="003D754B" w:rsidRDefault="00DA517C">
      <w:pPr>
        <w:spacing w:after="0" w:line="360" w:lineRule="auto"/>
        <w:jc w:val="both"/>
        <w:rPr>
          <w:rFonts w:ascii="Palatino Linotype" w:eastAsia="Palatino Linotype" w:hAnsi="Palatino Linotype" w:cs="Palatino Linotype"/>
        </w:rPr>
      </w:pPr>
    </w:p>
    <w:p w14:paraId="48C6E235" w14:textId="77777777" w:rsidR="00DA517C" w:rsidRPr="003D754B" w:rsidRDefault="00C361F7">
      <w:p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b/>
        </w:rPr>
        <w:t>Cuarto. Notifíquese</w:t>
      </w:r>
      <w:r w:rsidRPr="003D754B">
        <w:rPr>
          <w:rFonts w:ascii="Palatino Linotype" w:eastAsia="Palatino Linotype" w:hAnsi="Palatino Linotype" w:cs="Palatino Linotype"/>
        </w:rPr>
        <w:t>,</w:t>
      </w:r>
      <w:r w:rsidRPr="003D754B">
        <w:rPr>
          <w:rFonts w:ascii="Palatino Linotype" w:eastAsia="Palatino Linotype" w:hAnsi="Palatino Linotype" w:cs="Palatino Linotype"/>
          <w:b/>
        </w:rPr>
        <w:t xml:space="preserve"> </w:t>
      </w:r>
      <w:r w:rsidRPr="003D754B">
        <w:rPr>
          <w:rFonts w:ascii="Palatino Linotype" w:eastAsia="Palatino Linotype" w:hAnsi="Palatino Linotype" w:cs="Palatino Linotype"/>
        </w:rPr>
        <w:t xml:space="preserve">vía </w:t>
      </w:r>
      <w:r w:rsidRPr="003D754B">
        <w:rPr>
          <w:rFonts w:ascii="Palatino Linotype" w:eastAsia="Palatino Linotype" w:hAnsi="Palatino Linotype" w:cs="Palatino Linotype"/>
          <w:b/>
        </w:rPr>
        <w:t>SAIMEX</w:t>
      </w:r>
      <w:r w:rsidRPr="003D754B">
        <w:rPr>
          <w:rFonts w:ascii="Palatino Linotype" w:eastAsia="Palatino Linotype" w:hAnsi="Palatino Linotype" w:cs="Palatino Linotype"/>
        </w:rPr>
        <w:t xml:space="preserve"> a la parte </w:t>
      </w:r>
      <w:r w:rsidRPr="003D754B">
        <w:rPr>
          <w:rFonts w:ascii="Palatino Linotype" w:eastAsia="Palatino Linotype" w:hAnsi="Palatino Linotype" w:cs="Palatino Linotype"/>
          <w:b/>
        </w:rPr>
        <w:t xml:space="preserve">Recurrente </w:t>
      </w:r>
      <w:r w:rsidRPr="003D754B">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10E0E7CB" w14:textId="77777777" w:rsidR="00DA517C" w:rsidRPr="003D754B" w:rsidRDefault="00DA517C">
      <w:pPr>
        <w:spacing w:after="0" w:line="360" w:lineRule="auto"/>
        <w:jc w:val="both"/>
        <w:rPr>
          <w:rFonts w:ascii="Palatino Linotype" w:eastAsia="Palatino Linotype" w:hAnsi="Palatino Linotype" w:cs="Palatino Linotype"/>
        </w:rPr>
      </w:pPr>
    </w:p>
    <w:p w14:paraId="1F2916BD" w14:textId="77777777" w:rsidR="00DA517C" w:rsidRPr="003D754B" w:rsidRDefault="00C361F7">
      <w:pPr>
        <w:spacing w:after="0" w:line="360" w:lineRule="auto"/>
        <w:jc w:val="both"/>
        <w:rPr>
          <w:rFonts w:ascii="Palatino Linotype" w:eastAsia="Palatino Linotype" w:hAnsi="Palatino Linotype" w:cs="Palatino Linotype"/>
        </w:rPr>
      </w:pPr>
      <w:r w:rsidRPr="003D754B">
        <w:rPr>
          <w:rFonts w:ascii="Palatino Linotype" w:eastAsia="Palatino Linotype" w:hAnsi="Palatino Linotype" w:cs="Palatino Linotype"/>
          <w:b/>
        </w:rPr>
        <w:t>Quinto. Notifíquese</w:t>
      </w:r>
      <w:r w:rsidRPr="003D754B">
        <w:rPr>
          <w:rFonts w:ascii="Palatino Linotype" w:eastAsia="Palatino Linotype" w:hAnsi="Palatino Linotype" w:cs="Palatino Linotype"/>
        </w:rPr>
        <w:t>,</w:t>
      </w:r>
      <w:r w:rsidRPr="003D754B">
        <w:rPr>
          <w:rFonts w:ascii="Palatino Linotype" w:eastAsia="Palatino Linotype" w:hAnsi="Palatino Linotype" w:cs="Palatino Linotype"/>
          <w:b/>
        </w:rPr>
        <w:t xml:space="preserve"> </w:t>
      </w:r>
      <w:r w:rsidRPr="003D754B">
        <w:rPr>
          <w:rFonts w:ascii="Palatino Linotype" w:eastAsia="Palatino Linotype" w:hAnsi="Palatino Linotype" w:cs="Palatino Linotype"/>
        </w:rPr>
        <w:t xml:space="preserve">a la parte </w:t>
      </w:r>
      <w:r w:rsidRPr="003D754B">
        <w:rPr>
          <w:rFonts w:ascii="Palatino Linotype" w:eastAsia="Palatino Linotype" w:hAnsi="Palatino Linotype" w:cs="Palatino Linotype"/>
          <w:b/>
        </w:rPr>
        <w:t xml:space="preserve">Recurrente </w:t>
      </w:r>
      <w:r w:rsidRPr="003D754B">
        <w:rPr>
          <w:rFonts w:ascii="Palatino Linotype" w:eastAsia="Palatino Linotype" w:hAnsi="Palatino Linotype" w:cs="Palatino Linotype"/>
        </w:rPr>
        <w:t xml:space="preserve">que la respuesta que dé el </w:t>
      </w:r>
      <w:r w:rsidRPr="003D754B">
        <w:rPr>
          <w:rFonts w:ascii="Palatino Linotype" w:eastAsia="Palatino Linotype" w:hAnsi="Palatino Linotype" w:cs="Palatino Linotype"/>
          <w:b/>
        </w:rPr>
        <w:t>Sujeto Obligado</w:t>
      </w:r>
      <w:r w:rsidRPr="003D754B">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065A08C9" w14:textId="77777777" w:rsidR="00DA517C" w:rsidRPr="003D754B" w:rsidRDefault="00DA517C">
      <w:pPr>
        <w:spacing w:after="0" w:line="360" w:lineRule="auto"/>
        <w:ind w:right="49"/>
        <w:jc w:val="both"/>
        <w:rPr>
          <w:rFonts w:ascii="Palatino Linotype" w:eastAsia="Palatino Linotype" w:hAnsi="Palatino Linotype" w:cs="Palatino Linotype"/>
        </w:rPr>
      </w:pPr>
    </w:p>
    <w:p w14:paraId="470FBC5E" w14:textId="77777777" w:rsidR="00DA517C" w:rsidRPr="003D754B" w:rsidRDefault="00C361F7">
      <w:pPr>
        <w:spacing w:after="0" w:line="360" w:lineRule="auto"/>
        <w:ind w:right="49"/>
        <w:jc w:val="both"/>
        <w:rPr>
          <w:rFonts w:ascii="Palatino Linotype" w:eastAsia="Palatino Linotype" w:hAnsi="Palatino Linotype" w:cs="Palatino Linotype"/>
        </w:rPr>
      </w:pPr>
      <w:r w:rsidRPr="003D754B">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OCTAVA SESIÓN ORDINARIA CELEBRADA EL CATORCE DE AGOSTO DE DOS MIL VEINTICUATRO, ANTE EL SECRETARIO TÉCNICO DEL PLENO ALEXIS TAPIA RAMÍREZ. </w:t>
      </w:r>
    </w:p>
    <w:p w14:paraId="41BA4893" w14:textId="77777777" w:rsidR="00DA517C" w:rsidRPr="003D754B" w:rsidRDefault="00DA517C">
      <w:pPr>
        <w:spacing w:after="0" w:line="360" w:lineRule="auto"/>
        <w:ind w:right="49"/>
        <w:jc w:val="both"/>
        <w:rPr>
          <w:rFonts w:ascii="Palatino Linotype" w:eastAsia="Palatino Linotype" w:hAnsi="Palatino Linotype" w:cs="Palatino Linotype"/>
        </w:rPr>
      </w:pPr>
    </w:p>
    <w:p w14:paraId="227F14DB" w14:textId="77777777" w:rsidR="00DA517C" w:rsidRPr="003D754B" w:rsidRDefault="00DA517C">
      <w:pPr>
        <w:spacing w:after="0" w:line="360" w:lineRule="auto"/>
        <w:ind w:right="49"/>
        <w:jc w:val="both"/>
        <w:rPr>
          <w:rFonts w:ascii="Palatino Linotype" w:eastAsia="Palatino Linotype" w:hAnsi="Palatino Linotype" w:cs="Palatino Linotype"/>
        </w:rPr>
      </w:pPr>
    </w:p>
    <w:p w14:paraId="004FED27" w14:textId="77777777" w:rsidR="00DA517C" w:rsidRPr="003D754B" w:rsidRDefault="00DA517C">
      <w:pPr>
        <w:spacing w:after="0" w:line="360" w:lineRule="auto"/>
        <w:ind w:right="49"/>
        <w:jc w:val="both"/>
        <w:rPr>
          <w:rFonts w:ascii="Palatino Linotype" w:eastAsia="Palatino Linotype" w:hAnsi="Palatino Linotype" w:cs="Palatino Linotype"/>
        </w:rPr>
      </w:pPr>
    </w:p>
    <w:p w14:paraId="1549B19C" w14:textId="77777777" w:rsidR="003D754B" w:rsidRPr="003D754B" w:rsidRDefault="003D754B">
      <w:pPr>
        <w:spacing w:after="0" w:line="360" w:lineRule="auto"/>
        <w:ind w:right="49"/>
        <w:jc w:val="both"/>
        <w:rPr>
          <w:rFonts w:ascii="Palatino Linotype" w:eastAsia="Palatino Linotype" w:hAnsi="Palatino Linotype" w:cs="Palatino Linotype"/>
        </w:rPr>
      </w:pPr>
    </w:p>
    <w:p w14:paraId="472F693E" w14:textId="77777777" w:rsidR="003D754B" w:rsidRPr="003D754B" w:rsidRDefault="003D754B">
      <w:pPr>
        <w:spacing w:after="0" w:line="360" w:lineRule="auto"/>
        <w:ind w:right="49"/>
        <w:jc w:val="both"/>
        <w:rPr>
          <w:rFonts w:ascii="Palatino Linotype" w:eastAsia="Palatino Linotype" w:hAnsi="Palatino Linotype" w:cs="Palatino Linotype"/>
        </w:rPr>
      </w:pPr>
    </w:p>
    <w:p w14:paraId="00E540E2" w14:textId="77777777" w:rsidR="003D754B" w:rsidRPr="003D754B" w:rsidRDefault="003D754B">
      <w:pPr>
        <w:spacing w:after="0" w:line="360" w:lineRule="auto"/>
        <w:ind w:right="49"/>
        <w:jc w:val="both"/>
        <w:rPr>
          <w:rFonts w:ascii="Palatino Linotype" w:eastAsia="Palatino Linotype" w:hAnsi="Palatino Linotype" w:cs="Palatino Linotype"/>
        </w:rPr>
      </w:pPr>
    </w:p>
    <w:p w14:paraId="75F6BD1E" w14:textId="77777777" w:rsidR="003D754B" w:rsidRPr="003D754B" w:rsidRDefault="003D754B">
      <w:pPr>
        <w:spacing w:after="0" w:line="360" w:lineRule="auto"/>
        <w:ind w:right="49"/>
        <w:jc w:val="both"/>
        <w:rPr>
          <w:rFonts w:ascii="Palatino Linotype" w:eastAsia="Palatino Linotype" w:hAnsi="Palatino Linotype" w:cs="Palatino Linotype"/>
        </w:rPr>
      </w:pPr>
    </w:p>
    <w:sectPr w:rsidR="003D754B" w:rsidRPr="003D754B">
      <w:headerReference w:type="default" r:id="rId14"/>
      <w:footerReference w:type="default" r:id="rId15"/>
      <w:headerReference w:type="first" r:id="rId16"/>
      <w:footerReference w:type="first" r:id="rId17"/>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B5AEA" w14:textId="77777777" w:rsidR="00122F5C" w:rsidRDefault="00122F5C">
      <w:pPr>
        <w:spacing w:after="0" w:line="240" w:lineRule="auto"/>
      </w:pPr>
      <w:r>
        <w:separator/>
      </w:r>
    </w:p>
  </w:endnote>
  <w:endnote w:type="continuationSeparator" w:id="0">
    <w:p w14:paraId="71ED21B5" w14:textId="77777777" w:rsidR="00122F5C" w:rsidRDefault="00122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B6BB" w14:textId="77777777" w:rsidR="00DA517C" w:rsidRDefault="00C361F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12187">
      <w:rPr>
        <w:b/>
        <w:noProof/>
        <w:color w:val="000000"/>
        <w:sz w:val="24"/>
        <w:szCs w:val="24"/>
      </w:rPr>
      <w:t>29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12187">
      <w:rPr>
        <w:b/>
        <w:noProof/>
        <w:color w:val="000000"/>
        <w:sz w:val="24"/>
        <w:szCs w:val="24"/>
      </w:rPr>
      <w:t>30</w:t>
    </w:r>
    <w:r>
      <w:rPr>
        <w:b/>
        <w:color w:val="000000"/>
        <w:sz w:val="24"/>
        <w:szCs w:val="24"/>
      </w:rPr>
      <w:fldChar w:fldCharType="end"/>
    </w:r>
  </w:p>
  <w:p w14:paraId="00B62125" w14:textId="77777777" w:rsidR="00DA517C" w:rsidRDefault="00DA517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CFEC3" w14:textId="77777777" w:rsidR="00DA517C" w:rsidRDefault="00C361F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12187">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12187">
      <w:rPr>
        <w:b/>
        <w:noProof/>
        <w:color w:val="000000"/>
        <w:sz w:val="24"/>
        <w:szCs w:val="24"/>
      </w:rPr>
      <w:t>30</w:t>
    </w:r>
    <w:r>
      <w:rPr>
        <w:b/>
        <w:color w:val="000000"/>
        <w:sz w:val="24"/>
        <w:szCs w:val="24"/>
      </w:rPr>
      <w:fldChar w:fldCharType="end"/>
    </w:r>
  </w:p>
  <w:p w14:paraId="50D651B6" w14:textId="77777777" w:rsidR="00DA517C" w:rsidRDefault="00DA517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72F50" w14:textId="77777777" w:rsidR="00122F5C" w:rsidRDefault="00122F5C">
      <w:pPr>
        <w:spacing w:after="0" w:line="240" w:lineRule="auto"/>
      </w:pPr>
      <w:r>
        <w:separator/>
      </w:r>
    </w:p>
  </w:footnote>
  <w:footnote w:type="continuationSeparator" w:id="0">
    <w:p w14:paraId="3D9719B5" w14:textId="77777777" w:rsidR="00122F5C" w:rsidRDefault="00122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C994" w14:textId="77777777" w:rsidR="00DA517C" w:rsidRDefault="00C361F7">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6C55C424" wp14:editId="31527970">
          <wp:simplePos x="0" y="0"/>
          <wp:positionH relativeFrom="column">
            <wp:posOffset>-679449</wp:posOffset>
          </wp:positionH>
          <wp:positionV relativeFrom="paragraph">
            <wp:posOffset>-564514</wp:posOffset>
          </wp:positionV>
          <wp:extent cx="7809876" cy="10165823"/>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
      <w:tblW w:w="5603" w:type="dxa"/>
      <w:tblInd w:w="3611" w:type="dxa"/>
      <w:tblLayout w:type="fixed"/>
      <w:tblLook w:val="0400" w:firstRow="0" w:lastRow="0" w:firstColumn="0" w:lastColumn="0" w:noHBand="0" w:noVBand="1"/>
    </w:tblPr>
    <w:tblGrid>
      <w:gridCol w:w="2551"/>
      <w:gridCol w:w="3052"/>
    </w:tblGrid>
    <w:tr w:rsidR="00DA517C" w14:paraId="3417573A" w14:textId="77777777">
      <w:tc>
        <w:tcPr>
          <w:tcW w:w="2551" w:type="dxa"/>
          <w:vAlign w:val="center"/>
        </w:tcPr>
        <w:p w14:paraId="1115E678" w14:textId="77777777" w:rsidR="00DA517C" w:rsidRDefault="00C361F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103749CF" w14:textId="77777777" w:rsidR="00DA517C" w:rsidRDefault="00C361F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03149/INFOEM/IP/RR/2024</w:t>
          </w:r>
        </w:p>
      </w:tc>
    </w:tr>
    <w:tr w:rsidR="00DA517C" w14:paraId="1982E482" w14:textId="77777777">
      <w:trPr>
        <w:trHeight w:val="217"/>
      </w:trPr>
      <w:tc>
        <w:tcPr>
          <w:tcW w:w="2551" w:type="dxa"/>
          <w:vAlign w:val="center"/>
        </w:tcPr>
        <w:p w14:paraId="7E7A1B6A" w14:textId="77777777" w:rsidR="00DA517C" w:rsidRDefault="00C361F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2D7ABF6C" w14:textId="77777777" w:rsidR="00DA517C" w:rsidRDefault="00DA517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590E6D45" w14:textId="77777777" w:rsidR="00DA517C" w:rsidRDefault="00C361F7">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Melchor Ocampo</w:t>
          </w:r>
        </w:p>
      </w:tc>
    </w:tr>
    <w:tr w:rsidR="00DA517C" w14:paraId="6083A51D" w14:textId="77777777">
      <w:tc>
        <w:tcPr>
          <w:tcW w:w="2551" w:type="dxa"/>
          <w:vAlign w:val="center"/>
        </w:tcPr>
        <w:p w14:paraId="4D850D0B" w14:textId="77777777" w:rsidR="00DA517C" w:rsidRDefault="00C361F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04523338" w14:textId="77777777" w:rsidR="00DA517C" w:rsidRDefault="00C361F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35622519" w14:textId="77777777" w:rsidR="00DA517C" w:rsidRDefault="00DA517C">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37BB" w14:textId="77777777" w:rsidR="00DA517C" w:rsidRDefault="00C361F7">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440987F1" wp14:editId="3CB1029D">
          <wp:simplePos x="0" y="0"/>
          <wp:positionH relativeFrom="column">
            <wp:posOffset>-702944</wp:posOffset>
          </wp:positionH>
          <wp:positionV relativeFrom="paragraph">
            <wp:posOffset>-248919</wp:posOffset>
          </wp:positionV>
          <wp:extent cx="7809865" cy="10165715"/>
          <wp:effectExtent l="0" t="0" r="0" b="0"/>
          <wp:wrapNone/>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DA517C" w14:paraId="5369F26C" w14:textId="77777777">
      <w:tc>
        <w:tcPr>
          <w:tcW w:w="2551" w:type="dxa"/>
          <w:vAlign w:val="center"/>
        </w:tcPr>
        <w:p w14:paraId="0EE3CBA4" w14:textId="77777777" w:rsidR="00DA517C" w:rsidRDefault="00C361F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540809B9" w14:textId="77777777" w:rsidR="00DA517C" w:rsidRDefault="00C361F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03149/INFOEM/IP/RR/2024</w:t>
          </w:r>
        </w:p>
      </w:tc>
    </w:tr>
    <w:tr w:rsidR="00DA517C" w14:paraId="52DA1B35" w14:textId="77777777">
      <w:tc>
        <w:tcPr>
          <w:tcW w:w="2551" w:type="dxa"/>
          <w:vAlign w:val="center"/>
        </w:tcPr>
        <w:p w14:paraId="2285E883" w14:textId="77777777" w:rsidR="00DA517C" w:rsidRDefault="00C361F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052" w:type="dxa"/>
          <w:vAlign w:val="center"/>
        </w:tcPr>
        <w:p w14:paraId="0635A3D0" w14:textId="77777777" w:rsidR="00DA517C" w:rsidRDefault="00DA517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r>
    <w:tr w:rsidR="00DA517C" w14:paraId="02D85F54" w14:textId="77777777">
      <w:trPr>
        <w:trHeight w:val="152"/>
      </w:trPr>
      <w:tc>
        <w:tcPr>
          <w:tcW w:w="2551" w:type="dxa"/>
          <w:vAlign w:val="center"/>
        </w:tcPr>
        <w:p w14:paraId="1452A662" w14:textId="77777777" w:rsidR="00DA517C" w:rsidRDefault="00C361F7">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41C5C72E" w14:textId="77777777" w:rsidR="00DA517C" w:rsidRDefault="00DA517C">
          <w:pP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5B7717C9" w14:textId="77777777" w:rsidR="00DA517C" w:rsidRDefault="00C361F7">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Melchor Ocampo</w:t>
          </w:r>
        </w:p>
      </w:tc>
    </w:tr>
    <w:tr w:rsidR="00DA517C" w14:paraId="4CDAC4EC" w14:textId="77777777">
      <w:tc>
        <w:tcPr>
          <w:tcW w:w="2551" w:type="dxa"/>
          <w:vAlign w:val="center"/>
        </w:tcPr>
        <w:p w14:paraId="41CDBCCF" w14:textId="77777777" w:rsidR="00DA517C" w:rsidRDefault="00C361F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0CD119E3" w14:textId="77777777" w:rsidR="00DA517C" w:rsidRDefault="00C361F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7FC1790F" w14:textId="77777777" w:rsidR="00DA517C" w:rsidRDefault="00C361F7">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95805"/>
    <w:multiLevelType w:val="multilevel"/>
    <w:tmpl w:val="25B86934"/>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FC60BC"/>
    <w:multiLevelType w:val="multilevel"/>
    <w:tmpl w:val="CC86E9D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515F014B"/>
    <w:multiLevelType w:val="multilevel"/>
    <w:tmpl w:val="B330DC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AD84C9D"/>
    <w:multiLevelType w:val="multilevel"/>
    <w:tmpl w:val="E272ACD8"/>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B2705F"/>
    <w:multiLevelType w:val="multilevel"/>
    <w:tmpl w:val="85E65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17C"/>
    <w:rsid w:val="00122F5C"/>
    <w:rsid w:val="001559C5"/>
    <w:rsid w:val="003C7864"/>
    <w:rsid w:val="003D754B"/>
    <w:rsid w:val="004D7AD8"/>
    <w:rsid w:val="005B714D"/>
    <w:rsid w:val="00756A3C"/>
    <w:rsid w:val="007E63D9"/>
    <w:rsid w:val="00C361F7"/>
    <w:rsid w:val="00C72136"/>
    <w:rsid w:val="00D46167"/>
    <w:rsid w:val="00DA517C"/>
    <w:rsid w:val="00E121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BAAE"/>
  <w15:docId w15:val="{7178916B-4363-4254-BBDC-179EB132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rPr>
      <w:rFonts w:eastAsia="Times New Roman" w:cs="Times New Roman"/>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character" w:customStyle="1" w:styleId="Mencinsinresolver3">
    <w:name w:val="Mención sin resolver3"/>
    <w:basedOn w:val="Fuentedeprrafopredeter"/>
    <w:uiPriority w:val="99"/>
    <w:semiHidden/>
    <w:unhideWhenUsed/>
    <w:rsid w:val="0036720C"/>
    <w:rPr>
      <w:color w:val="605E5C"/>
      <w:shd w:val="clear" w:color="auto" w:fill="E1DFDD"/>
    </w:rPr>
  </w:style>
  <w:style w:type="paragraph" w:styleId="Listaconvietas3">
    <w:name w:val="List Bullet 3"/>
    <w:basedOn w:val="Normal"/>
    <w:uiPriority w:val="99"/>
    <w:unhideWhenUsed/>
    <w:rsid w:val="008F386C"/>
    <w:pPr>
      <w:numPr>
        <w:numId w:val="5"/>
      </w:numPr>
      <w:spacing w:after="0" w:line="240" w:lineRule="auto"/>
      <w:contextualSpacing/>
    </w:pPr>
    <w:rPr>
      <w:rFonts w:ascii="Times New Roman" w:hAnsi="Times New Roman"/>
      <w:sz w:val="24"/>
      <w:szCs w:val="24"/>
      <w:lang w:eastAsia="es-MX"/>
    </w:rPr>
  </w:style>
  <w:style w:type="table" w:customStyle="1" w:styleId="a">
    <w:basedOn w:val="TableNormal0"/>
    <w:tblPr>
      <w:tblStyleRowBandSize w:val="1"/>
      <w:tblStyleColBandSize w:val="1"/>
      <w:tblCellMar>
        <w:top w:w="15" w:type="dxa"/>
        <w:left w:w="115" w:type="dxa"/>
        <w:bottom w:w="15" w:type="dxa"/>
        <w:right w:w="115" w:type="dxa"/>
      </w:tblCellMar>
    </w:tblPr>
  </w:style>
  <w:style w:type="table" w:customStyle="1" w:styleId="a0">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melchor-ocampo.gob.mx/contenidos/melchor-ocampo/docs/223_reglamento-de-ordenamiento-comercial-industrial-y-de-servicios-del-municipio-de-melchor-ocampo-2023_23425114838.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4u28+zZbhMxPrWFzeCZMe/lrtA==">CgMxLjAyCWguMzBqMHpsbDIJaC4zZHk2dmttMg5oLnFyOTNqOTJ4NXE2azIIaC5namRneHMyCWguM3pueXNoNzgAciExdXZCbkZKSlY2cC1UVFBGdFVOTkgtdHBNT3JYN2NtcEM=</go:docsCustomData>
</go:gDocsCustomXmlDataStorage>
</file>

<file path=customXml/itemProps1.xml><?xml version="1.0" encoding="utf-8"?>
<ds:datastoreItem xmlns:ds="http://schemas.openxmlformats.org/officeDocument/2006/customXml" ds:itemID="{26ABA9F4-7292-489A-BFA6-6729E751EEF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7873</Words>
  <Characters>43303</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2024-08-16T18:01:00Z</cp:lastPrinted>
  <dcterms:created xsi:type="dcterms:W3CDTF">2024-08-21T18:12:00Z</dcterms:created>
  <dcterms:modified xsi:type="dcterms:W3CDTF">2024-08-21T18:12:00Z</dcterms:modified>
</cp:coreProperties>
</file>