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5A099" w14:textId="77777777" w:rsidR="007B0F29" w:rsidRPr="00B71E8F" w:rsidRDefault="004470FC">
      <w:pPr>
        <w:spacing w:before="240" w:after="240" w:line="360" w:lineRule="auto"/>
        <w:jc w:val="both"/>
        <w:rPr>
          <w:rFonts w:ascii="Palatino Linotype" w:eastAsia="Palatino Linotype" w:hAnsi="Palatino Linotype" w:cs="Palatino Linotype"/>
          <w:color w:val="FF0000"/>
        </w:rPr>
      </w:pPr>
      <w:r w:rsidRPr="00B71E8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veintiocho de febrero de dos mil veinticuatro.</w:t>
      </w:r>
      <w:r w:rsidRPr="00B71E8F">
        <w:rPr>
          <w:rFonts w:ascii="Palatino Linotype" w:eastAsia="Palatino Linotype" w:hAnsi="Palatino Linotype" w:cs="Palatino Linotype"/>
          <w:color w:val="FF0000"/>
        </w:rPr>
        <w:t xml:space="preserve"> </w:t>
      </w:r>
    </w:p>
    <w:p w14:paraId="409EE852"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VISTO</w:t>
      </w:r>
      <w:r w:rsidRPr="00B71E8F">
        <w:rPr>
          <w:rFonts w:ascii="Palatino Linotype" w:eastAsia="Palatino Linotype" w:hAnsi="Palatino Linotype" w:cs="Palatino Linotype"/>
        </w:rPr>
        <w:t xml:space="preserve"> el expediente formado con motivo del recurso de revisión </w:t>
      </w:r>
      <w:r w:rsidRPr="00B71E8F">
        <w:rPr>
          <w:rFonts w:ascii="Palatino Linotype" w:eastAsia="Palatino Linotype" w:hAnsi="Palatino Linotype" w:cs="Palatino Linotype"/>
          <w:b/>
        </w:rPr>
        <w:t>02464/INFOEM/IP/RR/2023</w:t>
      </w:r>
      <w:r w:rsidRPr="00B71E8F">
        <w:rPr>
          <w:rFonts w:ascii="Palatino Linotype" w:eastAsia="Palatino Linotype" w:hAnsi="Palatino Linotype" w:cs="Palatino Linotype"/>
        </w:rPr>
        <w:t>, interpuesto por</w:t>
      </w:r>
      <w:r w:rsidRPr="00B71E8F">
        <w:rPr>
          <w:rFonts w:ascii="Palatino Linotype" w:eastAsia="Palatino Linotype" w:hAnsi="Palatino Linotype" w:cs="Palatino Linotype"/>
          <w:b/>
        </w:rPr>
        <w:t xml:space="preserve"> un particular que no proporcionó su nombre</w:t>
      </w:r>
      <w:r w:rsidRPr="00B71E8F">
        <w:rPr>
          <w:rFonts w:ascii="Palatino Linotype" w:eastAsia="Palatino Linotype" w:hAnsi="Palatino Linotype" w:cs="Palatino Linotype"/>
        </w:rPr>
        <w:t xml:space="preserve">, en lo sucesivo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en contra de la respuesta a su solicitud de información con número de folio</w:t>
      </w:r>
      <w:r w:rsidRPr="00B71E8F">
        <w:rPr>
          <w:rFonts w:ascii="Palatino Linotype" w:eastAsia="Palatino Linotype" w:hAnsi="Palatino Linotype" w:cs="Palatino Linotype"/>
          <w:b/>
        </w:rPr>
        <w:t xml:space="preserve"> 01222/TOLUCA/IP/2023</w:t>
      </w:r>
      <w:r w:rsidRPr="00B71E8F">
        <w:rPr>
          <w:rFonts w:ascii="Palatino Linotype" w:eastAsia="Palatino Linotype" w:hAnsi="Palatino Linotype" w:cs="Palatino Linotype"/>
        </w:rPr>
        <w:t>,</w:t>
      </w:r>
      <w:r w:rsidRPr="00B71E8F">
        <w:rPr>
          <w:rFonts w:ascii="Verdana" w:eastAsia="Verdana" w:hAnsi="Verdana" w:cs="Verdana"/>
          <w:b/>
          <w:color w:val="FF0000"/>
        </w:rPr>
        <w:t xml:space="preserve"> </w:t>
      </w:r>
      <w:r w:rsidRPr="00B71E8F">
        <w:rPr>
          <w:rFonts w:ascii="Palatino Linotype" w:eastAsia="Palatino Linotype" w:hAnsi="Palatino Linotype" w:cs="Palatino Linotype"/>
        </w:rPr>
        <w:t xml:space="preserve">por parte del </w:t>
      </w:r>
      <w:r w:rsidRPr="00B71E8F">
        <w:rPr>
          <w:rFonts w:ascii="Palatino Linotype" w:eastAsia="Palatino Linotype" w:hAnsi="Palatino Linotype" w:cs="Palatino Linotype"/>
          <w:b/>
        </w:rPr>
        <w:t xml:space="preserve">Ayuntamiento de Toluca, </w:t>
      </w:r>
      <w:r w:rsidRPr="00B71E8F">
        <w:rPr>
          <w:rFonts w:ascii="Palatino Linotype" w:eastAsia="Palatino Linotype" w:hAnsi="Palatino Linotype" w:cs="Palatino Linotype"/>
        </w:rPr>
        <w:t xml:space="preserve">en lo sucesivo el </w:t>
      </w:r>
      <w:r w:rsidRPr="00B71E8F">
        <w:rPr>
          <w:rFonts w:ascii="Palatino Linotype" w:eastAsia="Palatino Linotype" w:hAnsi="Palatino Linotype" w:cs="Palatino Linotype"/>
          <w:b/>
        </w:rPr>
        <w:t xml:space="preserve">SUJETO OBLIGADO, </w:t>
      </w:r>
      <w:r w:rsidRPr="00B71E8F">
        <w:rPr>
          <w:rFonts w:ascii="Palatino Linotype" w:eastAsia="Palatino Linotype" w:hAnsi="Palatino Linotype" w:cs="Palatino Linotype"/>
        </w:rPr>
        <w:t xml:space="preserve">se procede a dictar la presente resolución con base en los siguientes: </w:t>
      </w:r>
    </w:p>
    <w:p w14:paraId="2B436A5B" w14:textId="77777777" w:rsidR="007B0F29" w:rsidRPr="00B71E8F" w:rsidRDefault="004470FC">
      <w:pPr>
        <w:spacing w:before="240" w:after="240" w:line="360" w:lineRule="auto"/>
        <w:jc w:val="center"/>
        <w:rPr>
          <w:rFonts w:ascii="Palatino Linotype" w:eastAsia="Palatino Linotype" w:hAnsi="Palatino Linotype" w:cs="Palatino Linotype"/>
          <w:b/>
        </w:rPr>
      </w:pPr>
      <w:r w:rsidRPr="00B71E8F">
        <w:rPr>
          <w:rFonts w:ascii="Palatino Linotype" w:eastAsia="Palatino Linotype" w:hAnsi="Palatino Linotype" w:cs="Palatino Linotype"/>
          <w:b/>
        </w:rPr>
        <w:t>I. A N T E C E D E N T E S</w:t>
      </w:r>
    </w:p>
    <w:p w14:paraId="5453F35C"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1. Solicitud de acceso a la información.</w:t>
      </w:r>
      <w:r w:rsidRPr="00B71E8F">
        <w:rPr>
          <w:rFonts w:ascii="Palatino Linotype" w:eastAsia="Palatino Linotype" w:hAnsi="Palatino Linotype" w:cs="Palatino Linotype"/>
        </w:rPr>
        <w:t xml:space="preserve"> Con fecha </w:t>
      </w:r>
      <w:r w:rsidRPr="00B71E8F">
        <w:rPr>
          <w:rFonts w:ascii="Palatino Linotype" w:eastAsia="Palatino Linotype" w:hAnsi="Palatino Linotype" w:cs="Palatino Linotype"/>
          <w:b/>
        </w:rPr>
        <w:t>once de abril de dos mil veintitrés,</w:t>
      </w:r>
      <w:r w:rsidRPr="00B71E8F">
        <w:rPr>
          <w:rFonts w:ascii="Palatino Linotype" w:eastAsia="Palatino Linotype" w:hAnsi="Palatino Linotype" w:cs="Palatino Linotype"/>
        </w:rPr>
        <w:t xml:space="preserve"> la parte </w:t>
      </w:r>
      <w:r w:rsidRPr="00B71E8F">
        <w:rPr>
          <w:rFonts w:ascii="Palatino Linotype" w:eastAsia="Palatino Linotype" w:hAnsi="Palatino Linotype" w:cs="Palatino Linotype"/>
          <w:b/>
        </w:rPr>
        <w:t xml:space="preserve">RECURRENTE </w:t>
      </w:r>
      <w:r w:rsidRPr="00B71E8F">
        <w:rPr>
          <w:rFonts w:ascii="Palatino Linotype" w:eastAsia="Palatino Linotype" w:hAnsi="Palatino Linotype" w:cs="Palatino Linotype"/>
        </w:rPr>
        <w:t xml:space="preserve">presentó, a través del Sistema de Acceso a la Información Mexiquense, en lo subsecuente el </w:t>
      </w:r>
      <w:r w:rsidRPr="00B71E8F">
        <w:rPr>
          <w:rFonts w:ascii="Palatino Linotype" w:eastAsia="Palatino Linotype" w:hAnsi="Palatino Linotype" w:cs="Palatino Linotype"/>
          <w:b/>
        </w:rPr>
        <w:t>SAIMEX,</w:t>
      </w:r>
      <w:r w:rsidRPr="00B71E8F">
        <w:rPr>
          <w:rFonts w:ascii="Palatino Linotype" w:eastAsia="Palatino Linotype" w:hAnsi="Palatino Linotype" w:cs="Palatino Linotype"/>
        </w:rPr>
        <w:t xml:space="preserve"> ante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la solicitud de acceso a la información pública, a la que se le asignó el número</w:t>
      </w:r>
      <w:r w:rsidRPr="00B71E8F">
        <w:rPr>
          <w:rFonts w:ascii="Palatino Linotype" w:eastAsia="Palatino Linotype" w:hAnsi="Palatino Linotype" w:cs="Palatino Linotype"/>
          <w:b/>
        </w:rPr>
        <w:t xml:space="preserve"> 01222/TOLUCA/IP/2023, </w:t>
      </w:r>
      <w:r w:rsidRPr="00B71E8F">
        <w:rPr>
          <w:rFonts w:ascii="Palatino Linotype" w:eastAsia="Palatino Linotype" w:hAnsi="Palatino Linotype" w:cs="Palatino Linotype"/>
        </w:rPr>
        <w:t xml:space="preserve">mediante la cual requirió la información siguiente: </w:t>
      </w:r>
    </w:p>
    <w:p w14:paraId="33ABE325" w14:textId="77777777" w:rsidR="007B0F29" w:rsidRPr="00B71E8F" w:rsidRDefault="004470FC">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B71E8F">
        <w:rPr>
          <w:rFonts w:ascii="Palatino Linotype" w:eastAsia="Palatino Linotype" w:hAnsi="Palatino Linotype" w:cs="Palatino Linotype"/>
          <w:i/>
          <w:sz w:val="22"/>
          <w:szCs w:val="22"/>
        </w:rPr>
        <w:t xml:space="preserve">“De la construcción y/o ampliación del panteón de San Pablo Autopan: - Contrato celebrado para realizar dicha obra. - Nombre de la persona que dono el predio. -Contrato de donación del predio en donde se realiza la obra. - Documento en el que conste la intervención de la liga de futbol de San Pablo Autopan. - Fecha de inicio de la obra y fecha estimada de culminación. - Plano arquitectónico. - Cantidad y denominación (se solicita una relación) del material comprado y utilizado para la obra con el FEFOM. - Cuantos albañiles, sus nombres y recibos de nómina que trabajaron o trabajan en dicha obra. - Documento con el que acredito la propiedad el donante del predio. (Se adjunta foto en donde hay un letrero colocado en la obra en donde refieren que se donó el predio) (Ficha técnica </w:t>
      </w:r>
      <w:r w:rsidRPr="00B71E8F">
        <w:rPr>
          <w:rFonts w:ascii="Palatino Linotype" w:eastAsia="Palatino Linotype" w:hAnsi="Palatino Linotype" w:cs="Palatino Linotype"/>
          <w:i/>
          <w:sz w:val="22"/>
          <w:szCs w:val="22"/>
        </w:rPr>
        <w:lastRenderedPageBreak/>
        <w:t>del FEFOM) Del FEFOM 2022 y 2023: - Cantidad asignada o aprobada para el Ayuntamiento de Toluca. - Fecha en la que se le entrego la cantidad asignada al Ayuntamiento de Toluca. -Estado de cuenta, cheque o documento en el que se observe el depósito o entrega del FEFOM.” (Sic)</w:t>
      </w:r>
    </w:p>
    <w:p w14:paraId="6435CA4C" w14:textId="77777777" w:rsidR="007B0F29" w:rsidRPr="00B71E8F" w:rsidRDefault="007B0F29">
      <w:pPr>
        <w:spacing w:before="240"/>
        <w:ind w:left="851" w:right="902"/>
        <w:jc w:val="both"/>
        <w:rPr>
          <w:rFonts w:ascii="Palatino Linotype" w:eastAsia="Palatino Linotype" w:hAnsi="Palatino Linotype" w:cs="Palatino Linotype"/>
          <w:i/>
          <w:sz w:val="22"/>
          <w:szCs w:val="22"/>
        </w:rPr>
      </w:pPr>
    </w:p>
    <w:p w14:paraId="7E9EA6DD"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Modalidad de Entrega:</w:t>
      </w:r>
      <w:r w:rsidRPr="00B71E8F">
        <w:rPr>
          <w:rFonts w:ascii="Palatino Linotype" w:eastAsia="Palatino Linotype" w:hAnsi="Palatino Linotype" w:cs="Palatino Linotype"/>
        </w:rPr>
        <w:t xml:space="preserve"> A través de SAIMEX.</w:t>
      </w:r>
    </w:p>
    <w:p w14:paraId="277463A6" w14:textId="77777777" w:rsidR="007B0F29" w:rsidRPr="00B71E8F" w:rsidRDefault="007B0F29">
      <w:pPr>
        <w:spacing w:line="360" w:lineRule="auto"/>
        <w:jc w:val="both"/>
        <w:rPr>
          <w:rFonts w:ascii="Palatino Linotype" w:eastAsia="Palatino Linotype" w:hAnsi="Palatino Linotype" w:cs="Palatino Linotype"/>
        </w:rPr>
      </w:pPr>
    </w:p>
    <w:p w14:paraId="371F986B" w14:textId="77777777" w:rsidR="007B0F29" w:rsidRPr="00B71E8F" w:rsidRDefault="004470FC">
      <w:pPr>
        <w:spacing w:after="240" w:line="360" w:lineRule="auto"/>
        <w:jc w:val="both"/>
        <w:rPr>
          <w:rFonts w:ascii="Palatino Linotype" w:eastAsia="Palatino Linotype" w:hAnsi="Palatino Linotype" w:cs="Palatino Linotype"/>
          <w:b/>
        </w:rPr>
      </w:pPr>
      <w:r w:rsidRPr="00B71E8F">
        <w:rPr>
          <w:rFonts w:ascii="Palatino Linotype" w:eastAsia="Palatino Linotype" w:hAnsi="Palatino Linotype" w:cs="Palatino Linotype"/>
          <w:b/>
        </w:rPr>
        <w:t>La parte RECURRENTE, adjuntó a su solicitud los siguientes archivos electrónicos:</w:t>
      </w:r>
    </w:p>
    <w:p w14:paraId="522714CA"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w:t>
      </w:r>
      <w:hyperlink r:id="rId8">
        <w:r w:rsidRPr="00B71E8F">
          <w:rPr>
            <w:rFonts w:ascii="Palatino Linotype" w:eastAsia="Palatino Linotype" w:hAnsi="Palatino Linotype" w:cs="Palatino Linotype"/>
          </w:rPr>
          <w:t>foto.docx</w:t>
        </w:r>
      </w:hyperlink>
      <w:r w:rsidRPr="00B71E8F">
        <w:rPr>
          <w:rFonts w:ascii="Palatino Linotype" w:eastAsia="Palatino Linotype" w:hAnsi="Palatino Linotype" w:cs="Palatino Linotype"/>
        </w:rPr>
        <w:t xml:space="preserve">”, el cual contiene la fotografía de un predio en donación en San Pablo Autopan. </w:t>
      </w:r>
    </w:p>
    <w:p w14:paraId="40557402"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w:t>
      </w:r>
      <w:hyperlink r:id="rId9">
        <w:r w:rsidRPr="00B71E8F">
          <w:rPr>
            <w:rFonts w:ascii="Palatino Linotype" w:eastAsia="Palatino Linotype" w:hAnsi="Palatino Linotype" w:cs="Palatino Linotype"/>
          </w:rPr>
          <w:t>DOC-20230223-WA</w:t>
        </w:r>
        <w:proofErr w:type="gramStart"/>
        <w:r w:rsidRPr="00B71E8F">
          <w:rPr>
            <w:rFonts w:ascii="Palatino Linotype" w:eastAsia="Palatino Linotype" w:hAnsi="Palatino Linotype" w:cs="Palatino Linotype"/>
          </w:rPr>
          <w:t>0012..</w:t>
        </w:r>
        <w:proofErr w:type="gramEnd"/>
        <w:r w:rsidRPr="00B71E8F">
          <w:rPr>
            <w:rFonts w:ascii="Palatino Linotype" w:eastAsia="Palatino Linotype" w:hAnsi="Palatino Linotype" w:cs="Palatino Linotype"/>
          </w:rPr>
          <w:t>pdf</w:t>
        </w:r>
      </w:hyperlink>
      <w:r w:rsidRPr="00B71E8F">
        <w:rPr>
          <w:rFonts w:ascii="Palatino Linotype" w:eastAsia="Palatino Linotype" w:hAnsi="Palatino Linotype" w:cs="Palatino Linotype"/>
        </w:rPr>
        <w:t>”, el cual contiene una ficha técnica del Fondo Estatal de Fortalecimiento Estatal del Ayuntamiento de Toluca, sobre:</w:t>
      </w:r>
    </w:p>
    <w:p w14:paraId="29503669"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noProof/>
        </w:rPr>
        <w:drawing>
          <wp:inline distT="0" distB="0" distL="0" distR="0" wp14:anchorId="088F4404" wp14:editId="7B30F8FC">
            <wp:extent cx="5612130" cy="886460"/>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886460"/>
                    </a:xfrm>
                    <a:prstGeom prst="rect">
                      <a:avLst/>
                    </a:prstGeom>
                    <a:ln/>
                  </pic:spPr>
                </pic:pic>
              </a:graphicData>
            </a:graphic>
          </wp:inline>
        </w:drawing>
      </w:r>
      <w:r w:rsidRPr="00B71E8F">
        <w:rPr>
          <w:rFonts w:ascii="Palatino Linotype" w:eastAsia="Palatino Linotype" w:hAnsi="Palatino Linotype" w:cs="Palatino Linotype"/>
        </w:rPr>
        <w:t xml:space="preserve"> </w:t>
      </w:r>
    </w:p>
    <w:p w14:paraId="05443124" w14:textId="77777777" w:rsidR="007B0F29" w:rsidRPr="00B71E8F" w:rsidRDefault="004470FC">
      <w:pPr>
        <w:spacing w:after="240" w:line="360" w:lineRule="auto"/>
        <w:jc w:val="both"/>
        <w:rPr>
          <w:rFonts w:ascii="Palatino Linotype" w:eastAsia="Palatino Linotype" w:hAnsi="Palatino Linotype" w:cs="Palatino Linotype"/>
          <w:b/>
        </w:rPr>
      </w:pPr>
      <w:r w:rsidRPr="00B71E8F">
        <w:rPr>
          <w:rFonts w:ascii="Palatino Linotype" w:eastAsia="Palatino Linotype" w:hAnsi="Palatino Linotype" w:cs="Palatino Linotype"/>
          <w:b/>
        </w:rPr>
        <w:t xml:space="preserve">2. Respuesta. </w:t>
      </w:r>
      <w:r w:rsidRPr="00B71E8F">
        <w:rPr>
          <w:rFonts w:ascii="Palatino Linotype" w:eastAsia="Palatino Linotype" w:hAnsi="Palatino Linotype" w:cs="Palatino Linotype"/>
        </w:rPr>
        <w:t xml:space="preserve">Con fecha </w:t>
      </w:r>
      <w:r w:rsidRPr="00B71E8F">
        <w:rPr>
          <w:rFonts w:ascii="Palatino Linotype" w:eastAsia="Palatino Linotype" w:hAnsi="Palatino Linotype" w:cs="Palatino Linotype"/>
          <w:b/>
        </w:rPr>
        <w:t>tres de mayo de dos mil veintitrés</w:t>
      </w:r>
      <w:r w:rsidRPr="00B71E8F">
        <w:rPr>
          <w:rFonts w:ascii="Palatino Linotype" w:eastAsia="Palatino Linotype" w:hAnsi="Palatino Linotype" w:cs="Palatino Linotype"/>
        </w:rPr>
        <w:t xml:space="preserve">, el </w:t>
      </w:r>
      <w:r w:rsidRPr="00B71E8F">
        <w:rPr>
          <w:rFonts w:ascii="Palatino Linotype" w:eastAsia="Palatino Linotype" w:hAnsi="Palatino Linotype" w:cs="Palatino Linotype"/>
          <w:b/>
        </w:rPr>
        <w:t xml:space="preserve">SUJETO OBLIGADO </w:t>
      </w:r>
      <w:r w:rsidRPr="00B71E8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41DE123" w14:textId="77777777" w:rsidR="007B0F29" w:rsidRPr="00B71E8F" w:rsidRDefault="004470FC">
      <w:pPr>
        <w:spacing w:before="240" w:after="24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“…En atención a la solicitud con folio 01222/TOLUCA/IP/2023, me permito adjuntar al presente la respuesta correspondiente. Sin más por el momento, reciba un saludo...” (Sic)</w:t>
      </w:r>
    </w:p>
    <w:p w14:paraId="2952B1E4" w14:textId="77777777" w:rsidR="007B0F29" w:rsidRPr="00B71E8F" w:rsidRDefault="004470FC">
      <w:pPr>
        <w:spacing w:before="240" w:after="240" w:line="360" w:lineRule="auto"/>
        <w:ind w:right="49"/>
        <w:jc w:val="both"/>
        <w:rPr>
          <w:rFonts w:ascii="Palatino Linotype" w:eastAsia="Palatino Linotype" w:hAnsi="Palatino Linotype" w:cs="Palatino Linotype"/>
          <w:b/>
        </w:rPr>
      </w:pPr>
      <w:r w:rsidRPr="00B71E8F">
        <w:rPr>
          <w:rFonts w:ascii="Palatino Linotype" w:eastAsia="Palatino Linotype" w:hAnsi="Palatino Linotype" w:cs="Palatino Linotype"/>
          <w:b/>
        </w:rPr>
        <w:t>El SUJETO OBLIGADO, adjuntó a su respuesta los siguientes archivos electrónicos:</w:t>
      </w:r>
    </w:p>
    <w:p w14:paraId="647F37D1" w14:textId="77777777" w:rsidR="007B0F29" w:rsidRPr="00B71E8F" w:rsidRDefault="004470FC">
      <w:pPr>
        <w:spacing w:before="240" w:after="240" w:line="360" w:lineRule="auto"/>
        <w:ind w:right="49"/>
        <w:jc w:val="both"/>
        <w:rPr>
          <w:rFonts w:ascii="Palatino Linotype" w:eastAsia="Palatino Linotype" w:hAnsi="Palatino Linotype" w:cs="Palatino Linotype"/>
        </w:rPr>
      </w:pPr>
      <w:bookmarkStart w:id="1" w:name="_heading=h.3znysh7" w:colFirst="0" w:colLast="0"/>
      <w:bookmarkEnd w:id="1"/>
      <w:r w:rsidRPr="00B71E8F">
        <w:rPr>
          <w:rFonts w:ascii="Palatino Linotype" w:eastAsia="Palatino Linotype" w:hAnsi="Palatino Linotype" w:cs="Palatino Linotype"/>
        </w:rPr>
        <w:lastRenderedPageBreak/>
        <w:t>“</w:t>
      </w:r>
      <w:hyperlink r:id="rId11">
        <w:r w:rsidRPr="00B71E8F">
          <w:rPr>
            <w:rFonts w:ascii="Palatino Linotype" w:eastAsia="Palatino Linotype" w:hAnsi="Palatino Linotype" w:cs="Palatino Linotype"/>
          </w:rPr>
          <w:t>Respuesta 1222_2.pdf</w:t>
        </w:r>
      </w:hyperlink>
      <w:r w:rsidRPr="00B71E8F">
        <w:rPr>
          <w:rFonts w:ascii="Palatino Linotype" w:eastAsia="Palatino Linotype" w:hAnsi="Palatino Linotype" w:cs="Palatino Linotype"/>
        </w:rPr>
        <w:t xml:space="preserve">”, por medio del cual el Titular de la Unidad de Transparencia, señaló que la Dirección General de Desarrollo Urbano, Ordenamiento Territorial y Obras Públicas, le informó que atendiendo a la ubicación proporcionada por el peticionario mediante fotografía que anexa a su solicitud, esta Dirección no está ejecutando ninguna obra, razón por la cual no se ha generado, poseído o administrado documento que dé cuenta de la información requerida del predio indicado en la solicitud. </w:t>
      </w:r>
    </w:p>
    <w:p w14:paraId="7F8D2B68"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t>Por otra parte, la Secretaría del Ayuntamiento, informó que derivado de la búsqueda exhaustiva y razonable en sus archivos, no se localizó documento que, de atención a su solicitud, toda vez, que no se ha generado, poseído y/o administrado.</w:t>
      </w:r>
    </w:p>
    <w:p w14:paraId="65C736DB"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Finalmente, el Instituto Municipal de Cultura Física y Deporte de Toluca, informó </w:t>
      </w:r>
      <w:proofErr w:type="gramStart"/>
      <w:r w:rsidRPr="00B71E8F">
        <w:rPr>
          <w:rFonts w:ascii="Palatino Linotype" w:eastAsia="Palatino Linotype" w:hAnsi="Palatino Linotype" w:cs="Palatino Linotype"/>
        </w:rPr>
        <w:t>que</w:t>
      </w:r>
      <w:proofErr w:type="gramEnd"/>
      <w:r w:rsidRPr="00B71E8F">
        <w:rPr>
          <w:rFonts w:ascii="Palatino Linotype" w:eastAsia="Palatino Linotype" w:hAnsi="Palatino Linotype" w:cs="Palatino Linotype"/>
        </w:rPr>
        <w:t xml:space="preserve"> dentro del Departamento de Infraestructura Deportiva, cuenta con un registro de ligas deportivas dentro del municipio; sin embargo, no se encuentra bajo la administración de este Instituto; motivo por el cual se desconoce la intervención de la liga de futbol de San Pablo Autopan en la construcción y/o ampliación del panteón de la misma delegación. </w:t>
      </w:r>
    </w:p>
    <w:p w14:paraId="269055FD"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3. Interposición del recurso de revisión. </w:t>
      </w:r>
      <w:r w:rsidRPr="00B71E8F">
        <w:rPr>
          <w:rFonts w:ascii="Palatino Linotype" w:eastAsia="Palatino Linotype" w:hAnsi="Palatino Linotype" w:cs="Palatino Linotype"/>
        </w:rPr>
        <w:t xml:space="preserve">Inconforme con los términos de la respuesta emitida por parte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el </w:t>
      </w:r>
      <w:r w:rsidRPr="00B71E8F">
        <w:rPr>
          <w:rFonts w:ascii="Palatino Linotype" w:eastAsia="Palatino Linotype" w:hAnsi="Palatino Linotype" w:cs="Palatino Linotype"/>
          <w:b/>
        </w:rPr>
        <w:t>ocho de mayo del dos mil veintitrés,</w:t>
      </w:r>
      <w:r w:rsidRPr="00B71E8F">
        <w:rPr>
          <w:rFonts w:ascii="Palatino Linotype" w:eastAsia="Palatino Linotype" w:hAnsi="Palatino Linotype" w:cs="Palatino Linotype"/>
        </w:rPr>
        <w:t xml:space="preserve"> la parte recurrente interpuso el recurso de revisión a través de </w:t>
      </w:r>
      <w:r w:rsidRPr="00B71E8F">
        <w:rPr>
          <w:rFonts w:ascii="Palatino Linotype" w:eastAsia="Palatino Linotype" w:hAnsi="Palatino Linotype" w:cs="Palatino Linotype"/>
          <w:b/>
        </w:rPr>
        <w:t xml:space="preserve">SAIMEX, </w:t>
      </w:r>
      <w:r w:rsidRPr="00B71E8F">
        <w:rPr>
          <w:rFonts w:ascii="Palatino Linotype" w:eastAsia="Palatino Linotype" w:hAnsi="Palatino Linotype" w:cs="Palatino Linotype"/>
        </w:rPr>
        <w:t>en donde se manifestó de la siguiente manera:</w:t>
      </w:r>
    </w:p>
    <w:p w14:paraId="0A3F8A01" w14:textId="77777777" w:rsidR="007B0F29" w:rsidRPr="00B71E8F" w:rsidRDefault="004470FC">
      <w:pPr>
        <w:tabs>
          <w:tab w:val="left" w:pos="2745"/>
        </w:tabs>
        <w:spacing w:before="240" w:after="240" w:line="360" w:lineRule="auto"/>
        <w:jc w:val="both"/>
        <w:rPr>
          <w:rFonts w:ascii="Palatino Linotype" w:eastAsia="Palatino Linotype" w:hAnsi="Palatino Linotype" w:cs="Palatino Linotype"/>
          <w:b/>
        </w:rPr>
      </w:pPr>
      <w:r w:rsidRPr="00B71E8F">
        <w:rPr>
          <w:rFonts w:ascii="Palatino Linotype" w:eastAsia="Palatino Linotype" w:hAnsi="Palatino Linotype" w:cs="Palatino Linotype"/>
          <w:b/>
        </w:rPr>
        <w:t xml:space="preserve">Acto impugnado: </w:t>
      </w:r>
      <w:r w:rsidRPr="00B71E8F">
        <w:rPr>
          <w:rFonts w:ascii="Palatino Linotype" w:eastAsia="Palatino Linotype" w:hAnsi="Palatino Linotype" w:cs="Palatino Linotype"/>
          <w:b/>
        </w:rPr>
        <w:tab/>
      </w:r>
    </w:p>
    <w:p w14:paraId="429DF997" w14:textId="77777777" w:rsidR="007B0F29" w:rsidRPr="00B71E8F" w:rsidRDefault="004470FC">
      <w:pPr>
        <w:spacing w:line="360" w:lineRule="auto"/>
        <w:ind w:left="851" w:right="900"/>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“No entrega la información” (Sic)</w:t>
      </w:r>
    </w:p>
    <w:p w14:paraId="417CFCA8"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lastRenderedPageBreak/>
        <w:t>Y Razones o motivos de inconformidad</w:t>
      </w:r>
      <w:r w:rsidRPr="00B71E8F">
        <w:rPr>
          <w:rFonts w:ascii="Palatino Linotype" w:eastAsia="Palatino Linotype" w:hAnsi="Palatino Linotype" w:cs="Palatino Linotype"/>
        </w:rPr>
        <w:t>:</w:t>
      </w:r>
    </w:p>
    <w:p w14:paraId="72F59AF6" w14:textId="77777777" w:rsidR="007B0F29" w:rsidRPr="00B71E8F" w:rsidRDefault="004470FC">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B71E8F">
        <w:rPr>
          <w:rFonts w:ascii="Palatino Linotype" w:eastAsia="Palatino Linotype" w:hAnsi="Palatino Linotype" w:cs="Palatino Linotype"/>
          <w:i/>
          <w:sz w:val="22"/>
          <w:szCs w:val="22"/>
        </w:rPr>
        <w:t xml:space="preserve"> “Se hacen pendejos. - No entrega la información solicitada, no oculten la información. Si están realizando la obra, atiendan todos los puntos” (Sic)</w:t>
      </w:r>
    </w:p>
    <w:p w14:paraId="5346B8B7" w14:textId="77777777" w:rsidR="007B0F29" w:rsidRPr="00B71E8F" w:rsidRDefault="007B0F29">
      <w:pPr>
        <w:ind w:left="851" w:right="902"/>
        <w:jc w:val="both"/>
        <w:rPr>
          <w:rFonts w:ascii="Palatino Linotype" w:eastAsia="Palatino Linotype" w:hAnsi="Palatino Linotype" w:cs="Palatino Linotype"/>
          <w:i/>
          <w:sz w:val="22"/>
          <w:szCs w:val="22"/>
        </w:rPr>
      </w:pPr>
    </w:p>
    <w:p w14:paraId="5B292D4E" w14:textId="77777777" w:rsidR="007B0F29" w:rsidRPr="00B71E8F" w:rsidRDefault="004470FC">
      <w:pPr>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4. Turno. </w:t>
      </w:r>
      <w:r w:rsidRPr="00B71E8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71E8F">
        <w:rPr>
          <w:rFonts w:ascii="Palatino Linotype" w:eastAsia="Palatino Linotype" w:hAnsi="Palatino Linotype" w:cs="Palatino Linotype"/>
          <w:b/>
        </w:rPr>
        <w:t xml:space="preserve">Guadalupe Ramírez Peña, </w:t>
      </w:r>
      <w:r w:rsidRPr="00B71E8F">
        <w:rPr>
          <w:rFonts w:ascii="Palatino Linotype" w:eastAsia="Palatino Linotype" w:hAnsi="Palatino Linotype" w:cs="Palatino Linotype"/>
        </w:rPr>
        <w:t xml:space="preserve">a efecto de que analizara sobre su admisión o su </w:t>
      </w:r>
      <w:proofErr w:type="spellStart"/>
      <w:r w:rsidRPr="00B71E8F">
        <w:rPr>
          <w:rFonts w:ascii="Palatino Linotype" w:eastAsia="Palatino Linotype" w:hAnsi="Palatino Linotype" w:cs="Palatino Linotype"/>
        </w:rPr>
        <w:t>desechamiento</w:t>
      </w:r>
      <w:proofErr w:type="spellEnd"/>
      <w:r w:rsidRPr="00B71E8F">
        <w:rPr>
          <w:rFonts w:ascii="Palatino Linotype" w:eastAsia="Palatino Linotype" w:hAnsi="Palatino Linotype" w:cs="Palatino Linotype"/>
        </w:rPr>
        <w:t>.</w:t>
      </w:r>
    </w:p>
    <w:p w14:paraId="55BBE798" w14:textId="77777777" w:rsidR="007B0F29" w:rsidRPr="00B71E8F" w:rsidRDefault="007B0F29">
      <w:pPr>
        <w:spacing w:line="360" w:lineRule="auto"/>
        <w:ind w:right="51"/>
        <w:jc w:val="both"/>
        <w:rPr>
          <w:rFonts w:ascii="Palatino Linotype" w:eastAsia="Palatino Linotype" w:hAnsi="Palatino Linotype" w:cs="Palatino Linotype"/>
        </w:rPr>
      </w:pPr>
    </w:p>
    <w:p w14:paraId="24B09F64"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5. Admisión del Recurso de revisión.</w:t>
      </w:r>
      <w:r w:rsidRPr="00B71E8F">
        <w:rPr>
          <w:rFonts w:ascii="Palatino Linotype" w:eastAsia="Palatino Linotype" w:hAnsi="Palatino Linotype" w:cs="Palatino Linotype"/>
        </w:rPr>
        <w:t xml:space="preserve"> Con fecha</w:t>
      </w:r>
      <w:r w:rsidRPr="00B71E8F">
        <w:rPr>
          <w:rFonts w:ascii="Palatino Linotype" w:eastAsia="Palatino Linotype" w:hAnsi="Palatino Linotype" w:cs="Palatino Linotype"/>
          <w:b/>
        </w:rPr>
        <w:t xml:space="preserve"> once de mayo de dos mil veintitrés, </w:t>
      </w:r>
      <w:r w:rsidRPr="00B71E8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71E8F">
        <w:rPr>
          <w:rFonts w:ascii="Palatino Linotype" w:eastAsia="Palatino Linotype" w:hAnsi="Palatino Linotype" w:cs="Palatino Linotype"/>
          <w:b/>
        </w:rPr>
        <w:t xml:space="preserve">SUJETO OBLIGADO </w:t>
      </w:r>
      <w:r w:rsidRPr="00B71E8F">
        <w:rPr>
          <w:rFonts w:ascii="Palatino Linotype" w:eastAsia="Palatino Linotype" w:hAnsi="Palatino Linotype" w:cs="Palatino Linotype"/>
        </w:rPr>
        <w:t>presentara su informe justificado.</w:t>
      </w:r>
    </w:p>
    <w:p w14:paraId="26DF8BC2" w14:textId="77777777" w:rsidR="007B0F29" w:rsidRPr="00B71E8F" w:rsidRDefault="004470F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6. Manifestaciones</w:t>
      </w:r>
      <w:r w:rsidRPr="00B71E8F">
        <w:rPr>
          <w:rFonts w:ascii="Palatino Linotype" w:eastAsia="Palatino Linotype" w:hAnsi="Palatino Linotype" w:cs="Palatino Linotype"/>
        </w:rPr>
        <w:t xml:space="preserve">. </w:t>
      </w:r>
      <w:r w:rsidRPr="00B71E8F">
        <w:rPr>
          <w:rFonts w:ascii="Palatino Linotype" w:eastAsia="Palatino Linotype" w:hAnsi="Palatino Linotype" w:cs="Palatino Linotype"/>
          <w:color w:val="000000"/>
        </w:rPr>
        <w:t xml:space="preserve">De las constancias que integran el expediente en que se actúa se advierte que </w:t>
      </w:r>
      <w:r w:rsidRPr="00B71E8F">
        <w:rPr>
          <w:rFonts w:ascii="Palatino Linotype" w:eastAsia="Palatino Linotype" w:hAnsi="Palatino Linotype" w:cs="Palatino Linotype"/>
        </w:rPr>
        <w:t xml:space="preserve">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fecha veintidós de mayo del año dos mil veintitrés, remitió el siguiente archivo electrónico:</w:t>
      </w:r>
    </w:p>
    <w:p w14:paraId="69014F71"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w:t>
      </w:r>
      <w:hyperlink r:id="rId12">
        <w:r w:rsidRPr="00B71E8F">
          <w:rPr>
            <w:rFonts w:ascii="Palatino Linotype" w:eastAsia="Palatino Linotype" w:hAnsi="Palatino Linotype" w:cs="Palatino Linotype"/>
          </w:rPr>
          <w:t>RR2464.pdf</w:t>
        </w:r>
      </w:hyperlink>
      <w:r w:rsidRPr="00B71E8F">
        <w:rPr>
          <w:rFonts w:ascii="Palatino Linotype" w:eastAsia="Palatino Linotype" w:hAnsi="Palatino Linotype" w:cs="Palatino Linotype"/>
        </w:rPr>
        <w:t xml:space="preserve">”, el cual contiene el informe justificado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mediante el cual ratifica en lo sustancial la respuesta proporcionada en primera instancia, asimismo, indicó que la Unidad de Transparencia tuvo a bien garantizar que la solicitud se turnara a todas las áreas competentes que cuenten con la </w:t>
      </w:r>
      <w:r w:rsidRPr="00B71E8F">
        <w:rPr>
          <w:rFonts w:ascii="Palatino Linotype" w:eastAsia="Palatino Linotype" w:hAnsi="Palatino Linotype" w:cs="Palatino Linotype"/>
        </w:rPr>
        <w:lastRenderedPageBreak/>
        <w:t>información o deban tenerla de acuerdo a sus facultades, competencias y funciones, con el objeto de que realicen una búsqueda exhaustiva y razonable de la información solicitada, acreditándolo con la captura de pantalla del apartado de requerimientos del SAIMEX, solicitando por último que se confirme su respuesta.</w:t>
      </w:r>
    </w:p>
    <w:p w14:paraId="72518434" w14:textId="77777777" w:rsidR="007B0F29" w:rsidRPr="00B71E8F" w:rsidRDefault="007B0F29">
      <w:pPr>
        <w:spacing w:line="360" w:lineRule="auto"/>
        <w:jc w:val="both"/>
        <w:rPr>
          <w:rFonts w:ascii="Palatino Linotype" w:eastAsia="Palatino Linotype" w:hAnsi="Palatino Linotype" w:cs="Palatino Linotype"/>
        </w:rPr>
      </w:pPr>
    </w:p>
    <w:p w14:paraId="3C49BD25"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Además, señaló que derivado de la búsqueda exhaustiva y razonable que realizó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las dependencias señaladas, no se localizó información en referencia al predio señalado, toda vez que no se cuenta con el mismo como propiedad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los archivos, aseverando que con una fotografía de la cual no se sabe su origen y el modo de obtención de la misma no es un prueba para aseverar que este predio es propiedad del Ayuntamiento de Toluca, por no ser una fuente oficial o confiable  una evidencia fotográfica, por lo que preciso que el Sujeto Obligado fundo y motivo la búsqueda exhaustiva y razonable sin encontrar información.  </w:t>
      </w:r>
    </w:p>
    <w:p w14:paraId="73EA10D3" w14:textId="77777777" w:rsidR="007B0F29" w:rsidRPr="00B71E8F" w:rsidRDefault="007B0F29">
      <w:pPr>
        <w:spacing w:line="360" w:lineRule="auto"/>
        <w:jc w:val="both"/>
        <w:rPr>
          <w:rFonts w:ascii="Palatino Linotype" w:eastAsia="Palatino Linotype" w:hAnsi="Palatino Linotype" w:cs="Palatino Linotype"/>
        </w:rPr>
      </w:pPr>
    </w:p>
    <w:p w14:paraId="75946D6E"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Por otro lado informó que si bien existe una obra en relación al panteón que señala, y que corresponde a la ficha anexa a la solicitud, también lo es, que esta no se encuentra en el predio que señala en su solicitud y que este predio sea donado por alguna liga de futbol, ratificando que no se cuenta con la información del predio referido donado por </w:t>
      </w:r>
      <w:proofErr w:type="gramStart"/>
      <w:r w:rsidRPr="00B71E8F">
        <w:rPr>
          <w:rFonts w:ascii="Palatino Linotype" w:eastAsia="Palatino Linotype" w:hAnsi="Palatino Linotype" w:cs="Palatino Linotype"/>
        </w:rPr>
        <w:t>alguna  liga</w:t>
      </w:r>
      <w:proofErr w:type="gramEnd"/>
      <w:r w:rsidRPr="00B71E8F">
        <w:rPr>
          <w:rFonts w:ascii="Palatino Linotype" w:eastAsia="Palatino Linotype" w:hAnsi="Palatino Linotype" w:cs="Palatino Linotype"/>
        </w:rPr>
        <w:t xml:space="preserve"> de futbol, como se informó en la respuesta primigenia. </w:t>
      </w:r>
    </w:p>
    <w:p w14:paraId="5A36FBB0" w14:textId="77777777" w:rsidR="007B0F29" w:rsidRPr="00B71E8F" w:rsidRDefault="007B0F29">
      <w:pPr>
        <w:spacing w:line="360" w:lineRule="auto"/>
        <w:jc w:val="both"/>
        <w:rPr>
          <w:rFonts w:ascii="Palatino Linotype" w:eastAsia="Palatino Linotype" w:hAnsi="Palatino Linotype" w:cs="Palatino Linotype"/>
        </w:rPr>
      </w:pPr>
    </w:p>
    <w:p w14:paraId="0A6269FB"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Archivo, que se puso a la vista de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en términos de la fracción III del artículo 185 de la Ley de Transparencia y Acceso a la Información Pública del </w:t>
      </w:r>
      <w:r w:rsidRPr="00B71E8F">
        <w:rPr>
          <w:rFonts w:ascii="Palatino Linotype" w:eastAsia="Palatino Linotype" w:hAnsi="Palatino Linotype" w:cs="Palatino Linotype"/>
        </w:rPr>
        <w:lastRenderedPageBreak/>
        <w:t xml:space="preserve">Estado de México y Municipios; para que en el término de tres días manifestara lo que a su derecho convenga, sin que el solicitante hiciera manifestación alguna. </w:t>
      </w:r>
    </w:p>
    <w:p w14:paraId="7C8869E4" w14:textId="77777777" w:rsidR="007B0F29" w:rsidRPr="00B71E8F" w:rsidRDefault="007B0F29">
      <w:pPr>
        <w:spacing w:line="360" w:lineRule="auto"/>
        <w:jc w:val="both"/>
        <w:rPr>
          <w:rFonts w:ascii="Palatino Linotype" w:eastAsia="Palatino Linotype" w:hAnsi="Palatino Linotype" w:cs="Palatino Linotype"/>
        </w:rPr>
      </w:pPr>
    </w:p>
    <w:p w14:paraId="18535A60"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Por su parte,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en fecha dieciséis de enero del año en curso, remitió el siguiente archivo electrónico:</w:t>
      </w:r>
    </w:p>
    <w:p w14:paraId="50BEC2CE" w14:textId="77777777" w:rsidR="007B0F29" w:rsidRPr="00B71E8F" w:rsidRDefault="004470FC">
      <w:pPr>
        <w:widowControl w:val="0"/>
        <w:tabs>
          <w:tab w:val="left" w:pos="709"/>
        </w:tabs>
        <w:spacing w:before="12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w:t>
      </w:r>
      <w:hyperlink r:id="rId13">
        <w:r w:rsidRPr="00B71E8F">
          <w:rPr>
            <w:rFonts w:ascii="Palatino Linotype" w:eastAsia="Palatino Linotype" w:hAnsi="Palatino Linotype" w:cs="Palatino Linotype"/>
          </w:rPr>
          <w:t>Ya solo queremos esto.docx</w:t>
        </w:r>
      </w:hyperlink>
      <w:r w:rsidRPr="00B71E8F">
        <w:rPr>
          <w:rFonts w:ascii="Palatino Linotype" w:eastAsia="Palatino Linotype" w:hAnsi="Palatino Linotype" w:cs="Palatino Linotype"/>
        </w:rPr>
        <w:t>”, el cual contiene un escrito por medio del cual la parte RECURRENTE, manifestó lo siguiente:</w:t>
      </w:r>
    </w:p>
    <w:p w14:paraId="41443FF0"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Ya solo queremos esto:</w:t>
      </w:r>
    </w:p>
    <w:p w14:paraId="7255B1A0" w14:textId="77777777" w:rsidR="007B0F29" w:rsidRPr="00B71E8F" w:rsidRDefault="004470FC">
      <w:pPr>
        <w:ind w:left="567" w:right="616"/>
        <w:jc w:val="both"/>
        <w:rPr>
          <w:rFonts w:ascii="Palatino Linotype" w:eastAsia="Palatino Linotype" w:hAnsi="Palatino Linotype" w:cs="Palatino Linotype"/>
          <w:i/>
          <w:sz w:val="22"/>
          <w:szCs w:val="22"/>
        </w:rPr>
      </w:pPr>
      <w:bookmarkStart w:id="3" w:name="_heading=h.1t3h5sf" w:colFirst="0" w:colLast="0"/>
      <w:bookmarkEnd w:id="3"/>
      <w:r w:rsidRPr="00B71E8F">
        <w:rPr>
          <w:rFonts w:ascii="Palatino Linotype" w:eastAsia="Palatino Linotype" w:hAnsi="Palatino Linotype" w:cs="Palatino Linotype"/>
          <w:i/>
          <w:sz w:val="22"/>
          <w:szCs w:val="22"/>
        </w:rPr>
        <w:t xml:space="preserve">De la construcción y/o ampliación del panteón de San Pablo Autopan: - Contrato celebrado para realizar dicha obra. - Nombre de la persona que dono el predio. -Contrato de donación del predio en donde se realiza la obra. - Cantidad y denominación (se solicita una relación) del material comprado y utilizado para la obra con el FEFOM. - Documento con el que acredito la propiedad el donante del predio. </w:t>
      </w:r>
    </w:p>
    <w:p w14:paraId="5C8C465A" w14:textId="77777777" w:rsidR="007B0F29" w:rsidRPr="00B71E8F" w:rsidRDefault="007B0F29">
      <w:pPr>
        <w:spacing w:line="360" w:lineRule="auto"/>
        <w:jc w:val="both"/>
        <w:rPr>
          <w:rFonts w:ascii="Palatino Linotype" w:eastAsia="Palatino Linotype" w:hAnsi="Palatino Linotype" w:cs="Palatino Linotype"/>
        </w:rPr>
      </w:pPr>
    </w:p>
    <w:p w14:paraId="0C73D506" w14:textId="77777777" w:rsidR="007B0F29" w:rsidRPr="00B71E8F" w:rsidRDefault="004470FC">
      <w:pPr>
        <w:widowControl w:val="0"/>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7. Ampliación del plazo.</w:t>
      </w:r>
      <w:r w:rsidRPr="00B71E8F">
        <w:rPr>
          <w:rFonts w:ascii="Palatino Linotype" w:eastAsia="Palatino Linotype" w:hAnsi="Palatino Linotype" w:cs="Palatino Linotype"/>
        </w:rPr>
        <w:t xml:space="preserve"> En fecha doce de febrero del año dos mil veinticuatro, con fundamento en el artículo 181, párrafo tercero de la Ley de Transparencia y Acceso a la Información Pública del Estado de México y Municipios, se acordó la ampliación del plazo para su resolución.</w:t>
      </w:r>
    </w:p>
    <w:p w14:paraId="52BFF0FD" w14:textId="77777777" w:rsidR="007B0F29" w:rsidRPr="00B71E8F" w:rsidRDefault="004470FC">
      <w:pPr>
        <w:widowControl w:val="0"/>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se incrementó aproximadamente un 300%, circunstancia atípica que ha rebasado las capacidades técnicas y humanas del personal encargado de la proyección de las resoluciones a dichos medios de impugnación.</w:t>
      </w:r>
    </w:p>
    <w:p w14:paraId="288D0163" w14:textId="77777777" w:rsidR="007B0F29" w:rsidRPr="00B71E8F" w:rsidRDefault="007B0F29">
      <w:pPr>
        <w:spacing w:line="360" w:lineRule="auto"/>
        <w:jc w:val="both"/>
        <w:rPr>
          <w:rFonts w:ascii="Palatino Linotype" w:eastAsia="Palatino Linotype" w:hAnsi="Palatino Linotype" w:cs="Palatino Linotype"/>
        </w:rPr>
      </w:pPr>
    </w:p>
    <w:p w14:paraId="447B06E2"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C3F6BA" w14:textId="77777777" w:rsidR="007B0F29" w:rsidRPr="00B71E8F" w:rsidRDefault="007B0F29">
      <w:pPr>
        <w:spacing w:line="360" w:lineRule="auto"/>
        <w:jc w:val="both"/>
        <w:rPr>
          <w:rFonts w:ascii="Palatino Linotype" w:eastAsia="Palatino Linotype" w:hAnsi="Palatino Linotype" w:cs="Palatino Linotype"/>
        </w:rPr>
      </w:pPr>
    </w:p>
    <w:p w14:paraId="7EDD0340"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D2AB9A" w14:textId="77777777" w:rsidR="007B0F29" w:rsidRPr="00B71E8F" w:rsidRDefault="007B0F29">
      <w:pPr>
        <w:spacing w:line="360" w:lineRule="auto"/>
        <w:jc w:val="both"/>
        <w:rPr>
          <w:rFonts w:ascii="Palatino Linotype" w:eastAsia="Palatino Linotype" w:hAnsi="Palatino Linotype" w:cs="Palatino Linotype"/>
        </w:rPr>
      </w:pPr>
    </w:p>
    <w:p w14:paraId="500E2ECD"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26520D" w14:textId="77777777" w:rsidR="007B0F29" w:rsidRPr="00B71E8F" w:rsidRDefault="007B0F29">
      <w:pPr>
        <w:spacing w:line="360" w:lineRule="auto"/>
        <w:jc w:val="both"/>
        <w:rPr>
          <w:rFonts w:ascii="Palatino Linotype" w:eastAsia="Palatino Linotype" w:hAnsi="Palatino Linotype" w:cs="Palatino Linotype"/>
        </w:rPr>
      </w:pPr>
    </w:p>
    <w:p w14:paraId="1826A5ED" w14:textId="77777777" w:rsidR="007B0F29" w:rsidRPr="00B71E8F" w:rsidRDefault="004470FC">
      <w:pPr>
        <w:spacing w:line="360" w:lineRule="auto"/>
        <w:jc w:val="both"/>
        <w:rPr>
          <w:rFonts w:ascii="Palatino Linotype" w:eastAsia="Palatino Linotype" w:hAnsi="Palatino Linotype" w:cs="Palatino Linotype"/>
          <w:strike/>
          <w:color w:val="FF0000"/>
        </w:rPr>
      </w:pPr>
      <w:r w:rsidRPr="00B71E8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DB8297A" w14:textId="77777777" w:rsidR="007B0F29" w:rsidRPr="00B71E8F" w:rsidRDefault="007B0F29">
      <w:pPr>
        <w:spacing w:line="360" w:lineRule="auto"/>
        <w:jc w:val="both"/>
        <w:rPr>
          <w:rFonts w:ascii="Palatino Linotype" w:eastAsia="Palatino Linotype" w:hAnsi="Palatino Linotype" w:cs="Palatino Linotype"/>
        </w:rPr>
      </w:pPr>
    </w:p>
    <w:p w14:paraId="3D1BDF86" w14:textId="77777777" w:rsidR="007B0F29" w:rsidRPr="00B71E8F" w:rsidRDefault="004470FC">
      <w:pPr>
        <w:numPr>
          <w:ilvl w:val="0"/>
          <w:numId w:val="10"/>
        </w:numPr>
        <w:ind w:left="851"/>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15AE5FA" w14:textId="77777777" w:rsidR="007B0F29" w:rsidRPr="00B71E8F" w:rsidRDefault="007B0F29">
      <w:pPr>
        <w:ind w:left="851" w:hanging="360"/>
        <w:jc w:val="both"/>
        <w:rPr>
          <w:rFonts w:ascii="Palatino Linotype" w:eastAsia="Palatino Linotype" w:hAnsi="Palatino Linotype" w:cs="Palatino Linotype"/>
        </w:rPr>
      </w:pPr>
    </w:p>
    <w:p w14:paraId="4735A0E8" w14:textId="77777777" w:rsidR="007B0F29" w:rsidRPr="00B71E8F" w:rsidRDefault="004470FC">
      <w:pPr>
        <w:numPr>
          <w:ilvl w:val="0"/>
          <w:numId w:val="10"/>
        </w:numPr>
        <w:ind w:left="851"/>
        <w:jc w:val="both"/>
        <w:rPr>
          <w:rFonts w:ascii="Palatino Linotype" w:eastAsia="Palatino Linotype" w:hAnsi="Palatino Linotype" w:cs="Palatino Linotype"/>
        </w:rPr>
      </w:pPr>
      <w:r w:rsidRPr="00B71E8F">
        <w:rPr>
          <w:rFonts w:ascii="Palatino Linotype" w:eastAsia="Palatino Linotype" w:hAnsi="Palatino Linotype" w:cs="Palatino Linotype"/>
        </w:rPr>
        <w:t>Actividad Procesal del interesado. Acciones u omisiones del interesado.</w:t>
      </w:r>
    </w:p>
    <w:p w14:paraId="6F6AAC23" w14:textId="77777777" w:rsidR="007B0F29" w:rsidRPr="00B71E8F" w:rsidRDefault="007B0F29">
      <w:pPr>
        <w:ind w:left="851" w:hanging="360"/>
        <w:jc w:val="both"/>
        <w:rPr>
          <w:rFonts w:ascii="Palatino Linotype" w:eastAsia="Palatino Linotype" w:hAnsi="Palatino Linotype" w:cs="Palatino Linotype"/>
        </w:rPr>
      </w:pPr>
    </w:p>
    <w:p w14:paraId="6A5A9BF8" w14:textId="77777777" w:rsidR="007B0F29" w:rsidRPr="00B71E8F" w:rsidRDefault="004470FC">
      <w:pPr>
        <w:numPr>
          <w:ilvl w:val="0"/>
          <w:numId w:val="10"/>
        </w:numPr>
        <w:ind w:left="851"/>
        <w:jc w:val="both"/>
        <w:rPr>
          <w:rFonts w:ascii="Palatino Linotype" w:eastAsia="Palatino Linotype" w:hAnsi="Palatino Linotype" w:cs="Palatino Linotype"/>
        </w:rPr>
      </w:pPr>
      <w:r w:rsidRPr="00B71E8F">
        <w:rPr>
          <w:rFonts w:ascii="Palatino Linotype" w:eastAsia="Palatino Linotype" w:hAnsi="Palatino Linotype" w:cs="Palatino Linotype"/>
        </w:rPr>
        <w:t>Conducta de la Autoridad: Las Acciones u omisiones realizadas en el procedimiento. Así como si la autoridad actuó con la debida diligencia.</w:t>
      </w:r>
    </w:p>
    <w:p w14:paraId="311E709B" w14:textId="77777777" w:rsidR="007B0F29" w:rsidRPr="00B71E8F" w:rsidRDefault="007B0F29">
      <w:pPr>
        <w:ind w:left="851" w:hanging="360"/>
        <w:rPr>
          <w:rFonts w:ascii="Palatino Linotype" w:eastAsia="Palatino Linotype" w:hAnsi="Palatino Linotype" w:cs="Palatino Linotype"/>
        </w:rPr>
      </w:pPr>
    </w:p>
    <w:p w14:paraId="77D2B948" w14:textId="77777777" w:rsidR="007B0F29" w:rsidRPr="00B71E8F" w:rsidRDefault="004470FC">
      <w:pPr>
        <w:ind w:left="851" w:hanging="360"/>
        <w:jc w:val="both"/>
        <w:rPr>
          <w:rFonts w:ascii="Palatino Linotype" w:eastAsia="Palatino Linotype" w:hAnsi="Palatino Linotype" w:cs="Palatino Linotype"/>
        </w:rPr>
      </w:pPr>
      <w:r w:rsidRPr="00B71E8F">
        <w:rPr>
          <w:rFonts w:ascii="Palatino Linotype" w:eastAsia="Palatino Linotype" w:hAnsi="Palatino Linotype" w:cs="Palatino Linotype"/>
        </w:rPr>
        <w:t>d) La afectación generada en la situación jurídica de la persona involucrada en el proceso: Violación a sus derechos humanos.</w:t>
      </w:r>
    </w:p>
    <w:p w14:paraId="6A1AEA3A" w14:textId="77777777" w:rsidR="007B0F29" w:rsidRPr="00B71E8F" w:rsidRDefault="007B0F29">
      <w:pPr>
        <w:spacing w:line="360" w:lineRule="auto"/>
        <w:jc w:val="both"/>
        <w:rPr>
          <w:rFonts w:ascii="Palatino Linotype" w:eastAsia="Palatino Linotype" w:hAnsi="Palatino Linotype" w:cs="Palatino Linotype"/>
        </w:rPr>
      </w:pPr>
    </w:p>
    <w:p w14:paraId="2598A2A4"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A432CF" w14:textId="77777777" w:rsidR="007B0F29" w:rsidRPr="00B71E8F" w:rsidRDefault="007B0F29">
      <w:pPr>
        <w:spacing w:line="360" w:lineRule="auto"/>
        <w:jc w:val="both"/>
        <w:rPr>
          <w:rFonts w:ascii="Palatino Linotype" w:eastAsia="Palatino Linotype" w:hAnsi="Palatino Linotype" w:cs="Palatino Linotype"/>
        </w:rPr>
      </w:pPr>
    </w:p>
    <w:p w14:paraId="153E291C" w14:textId="77777777" w:rsidR="007B0F29" w:rsidRPr="00B71E8F" w:rsidRDefault="004470FC">
      <w:pPr>
        <w:spacing w:line="360" w:lineRule="auto"/>
        <w:jc w:val="both"/>
        <w:rPr>
          <w:rFonts w:ascii="Palatino Linotype" w:eastAsia="Palatino Linotype" w:hAnsi="Palatino Linotype" w:cs="Palatino Linotype"/>
          <w:b/>
        </w:rPr>
      </w:pPr>
      <w:r w:rsidRPr="00B71E8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71E8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71E8F">
        <w:rPr>
          <w:rFonts w:ascii="Palatino Linotype" w:eastAsia="Palatino Linotype" w:hAnsi="Palatino Linotype" w:cs="Palatino Linotype"/>
        </w:rPr>
        <w:t>, visible en la Gaceta del Seminario Judicial de la Federación con el registro digital 205635.</w:t>
      </w:r>
    </w:p>
    <w:p w14:paraId="0CBBDF08" w14:textId="77777777" w:rsidR="007B0F29" w:rsidRPr="00B71E8F" w:rsidRDefault="007B0F29">
      <w:pPr>
        <w:spacing w:line="360" w:lineRule="auto"/>
        <w:jc w:val="both"/>
        <w:rPr>
          <w:rFonts w:ascii="Palatino Linotype" w:eastAsia="Palatino Linotype" w:hAnsi="Palatino Linotype" w:cs="Palatino Linotype"/>
        </w:rPr>
      </w:pPr>
    </w:p>
    <w:p w14:paraId="1E67F0CD"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B71E8F">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8DB979" w14:textId="77777777" w:rsidR="007B0F29" w:rsidRPr="00B71E8F" w:rsidRDefault="007B0F29">
      <w:pPr>
        <w:spacing w:line="360" w:lineRule="auto"/>
        <w:jc w:val="both"/>
        <w:rPr>
          <w:rFonts w:ascii="Palatino Linotype" w:eastAsia="Palatino Linotype" w:hAnsi="Palatino Linotype" w:cs="Palatino Linotype"/>
        </w:rPr>
      </w:pPr>
    </w:p>
    <w:p w14:paraId="1C1117FF"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6D25E96" w14:textId="77777777" w:rsidR="007B0F29" w:rsidRPr="00B71E8F" w:rsidRDefault="007B0F29">
      <w:pPr>
        <w:spacing w:line="360" w:lineRule="auto"/>
        <w:jc w:val="both"/>
        <w:rPr>
          <w:rFonts w:ascii="Palatino Linotype" w:eastAsia="Palatino Linotype" w:hAnsi="Palatino Linotype" w:cs="Palatino Linotype"/>
        </w:rPr>
      </w:pPr>
    </w:p>
    <w:p w14:paraId="5F838F3C"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 </w:t>
      </w:r>
      <w:r w:rsidRPr="00B71E8F">
        <w:rPr>
          <w:rFonts w:ascii="Palatino Linotype" w:eastAsia="Palatino Linotype" w:hAnsi="Palatino Linotype" w:cs="Palatino Linotype"/>
          <w:i/>
        </w:rPr>
        <w:t>“PLAZO RAZONABLE PARA RESOLVER. DIMENSIÓN Y EFECTOS DE ESTE CONCEPTO CUANDO SE ADUCE EXCESIVA CARGA DE TRABAJO.”</w:t>
      </w:r>
      <w:r w:rsidRPr="00B71E8F">
        <w:rPr>
          <w:rFonts w:ascii="Palatino Linotype" w:eastAsia="Palatino Linotype" w:hAnsi="Palatino Linotype" w:cs="Palatino Linotype"/>
        </w:rPr>
        <w:t xml:space="preserve"> consultable en el Seminario Judicial de la Federación y su gaceta, con el registro digital 2002351.</w:t>
      </w:r>
    </w:p>
    <w:p w14:paraId="551ADC78" w14:textId="77777777" w:rsidR="007B0F29" w:rsidRPr="00B71E8F" w:rsidRDefault="007B0F29">
      <w:pPr>
        <w:spacing w:line="360" w:lineRule="auto"/>
        <w:jc w:val="both"/>
        <w:rPr>
          <w:rFonts w:ascii="Palatino Linotype" w:eastAsia="Palatino Linotype" w:hAnsi="Palatino Linotype" w:cs="Palatino Linotype"/>
          <w:b/>
        </w:rPr>
      </w:pPr>
    </w:p>
    <w:p w14:paraId="0288C21C"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i/>
        </w:rPr>
        <w:t>“PLAZO RAZONABLE PARA RESOLVER. CONCEPTO Y ELEMENTOS QUE LO INTEGRAN A LA LUZ DEL DERECHO INTERNACIONAL DE LOS DERECHOS HUMANOS.”</w:t>
      </w:r>
      <w:r w:rsidRPr="00B71E8F">
        <w:rPr>
          <w:rFonts w:ascii="Palatino Linotype" w:eastAsia="Palatino Linotype" w:hAnsi="Palatino Linotype" w:cs="Palatino Linotype"/>
        </w:rPr>
        <w:t>, visible en el Seminario Judicial de la Federación y su gaceta, con el registro digital 2002350.</w:t>
      </w:r>
    </w:p>
    <w:p w14:paraId="538B6FD5" w14:textId="77777777" w:rsidR="007B0F29" w:rsidRPr="00B71E8F" w:rsidRDefault="007B0F29">
      <w:pPr>
        <w:spacing w:line="360" w:lineRule="auto"/>
        <w:jc w:val="both"/>
        <w:rPr>
          <w:rFonts w:ascii="Palatino Linotype" w:eastAsia="Palatino Linotype" w:hAnsi="Palatino Linotype" w:cs="Palatino Linotype"/>
        </w:rPr>
      </w:pPr>
    </w:p>
    <w:p w14:paraId="274E190C"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A23A398"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lastRenderedPageBreak/>
        <w:t xml:space="preserve">8. Cierre de instrucción. </w:t>
      </w:r>
      <w:r w:rsidRPr="00B71E8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71E8F">
        <w:rPr>
          <w:rFonts w:ascii="Palatino Linotype" w:eastAsia="Palatino Linotype" w:hAnsi="Palatino Linotype" w:cs="Palatino Linotype"/>
          <w:b/>
        </w:rPr>
        <w:t>dieciséis de febrero</w:t>
      </w:r>
      <w:r w:rsidRPr="00B71E8F">
        <w:rPr>
          <w:rFonts w:ascii="Palatino Linotype" w:eastAsia="Palatino Linotype" w:hAnsi="Palatino Linotype" w:cs="Palatino Linotype"/>
          <w:b/>
          <w:color w:val="FF0000"/>
        </w:rPr>
        <w:t xml:space="preserve"> </w:t>
      </w:r>
      <w:r w:rsidRPr="00B71E8F">
        <w:rPr>
          <w:rFonts w:ascii="Palatino Linotype" w:eastAsia="Palatino Linotype" w:hAnsi="Palatino Linotype" w:cs="Palatino Linotype"/>
          <w:b/>
        </w:rPr>
        <w:t>de dos mil veintitrés</w:t>
      </w:r>
      <w:r w:rsidRPr="00B71E8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447EDF0"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67FE370" w14:textId="77777777" w:rsidR="007B0F29" w:rsidRPr="00B71E8F" w:rsidRDefault="004470FC">
      <w:pPr>
        <w:widowControl w:val="0"/>
        <w:spacing w:line="360" w:lineRule="auto"/>
        <w:jc w:val="center"/>
        <w:rPr>
          <w:rFonts w:ascii="Palatino Linotype" w:eastAsia="Palatino Linotype" w:hAnsi="Palatino Linotype" w:cs="Palatino Linotype"/>
          <w:b/>
        </w:rPr>
      </w:pPr>
      <w:r w:rsidRPr="00B71E8F">
        <w:rPr>
          <w:rFonts w:ascii="Palatino Linotype" w:eastAsia="Palatino Linotype" w:hAnsi="Palatino Linotype" w:cs="Palatino Linotype"/>
          <w:b/>
        </w:rPr>
        <w:t>II. C O N S I D E R A N D O S</w:t>
      </w:r>
    </w:p>
    <w:p w14:paraId="4344EB98" w14:textId="77777777" w:rsidR="007B0F29" w:rsidRPr="00B71E8F" w:rsidRDefault="007B0F29">
      <w:pPr>
        <w:widowControl w:val="0"/>
        <w:spacing w:line="360" w:lineRule="auto"/>
        <w:jc w:val="center"/>
        <w:rPr>
          <w:rFonts w:ascii="Palatino Linotype" w:eastAsia="Palatino Linotype" w:hAnsi="Palatino Linotype" w:cs="Palatino Linotype"/>
          <w:b/>
        </w:rPr>
      </w:pPr>
    </w:p>
    <w:p w14:paraId="460F10FE"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Primero. Competencia.</w:t>
      </w:r>
      <w:r w:rsidRPr="00B71E8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B0BB3E5" w14:textId="77777777" w:rsidR="007B0F29" w:rsidRPr="00B71E8F" w:rsidRDefault="004470FC">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B71E8F">
        <w:rPr>
          <w:rFonts w:ascii="Palatino Linotype" w:eastAsia="Palatino Linotype" w:hAnsi="Palatino Linotype" w:cs="Palatino Linotype"/>
          <w:b/>
        </w:rPr>
        <w:lastRenderedPageBreak/>
        <w:t xml:space="preserve">Segundo. Oportunidad y Procedibilidad del Recurso de Revisión. </w:t>
      </w:r>
      <w:r w:rsidRPr="00B71E8F">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emitió su respuesta a la solicitud planteada por el solicitante el tres de mayo del año dos mil veintitrés y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presentó su recurso de revisión el ocho de mayo del mismo año; esto es, al tercer día hábil siguiente de aquel en que tuvo conocimiento de la respuesta; evidenciándose que la interposición del recurso se encuentra dentro de los márgenes temporales previstos en el citado precepto legal.</w:t>
      </w:r>
    </w:p>
    <w:p w14:paraId="1B0126F2" w14:textId="77777777" w:rsidR="007B0F29" w:rsidRPr="00B71E8F" w:rsidRDefault="004470F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Además, por cuanto hace a la procedibilidad de</w:t>
      </w:r>
      <w:r w:rsidRPr="00B71E8F">
        <w:rPr>
          <w:rFonts w:ascii="Palatino Linotype" w:eastAsia="Palatino Linotype" w:hAnsi="Palatino Linotype" w:cs="Palatino Linotype"/>
        </w:rPr>
        <w:t>l</w:t>
      </w:r>
      <w:r w:rsidRPr="00B71E8F">
        <w:rPr>
          <w:rFonts w:ascii="Palatino Linotype" w:eastAsia="Palatino Linotype" w:hAnsi="Palatino Linotype" w:cs="Palatino Linotype"/>
          <w:color w:val="000000"/>
        </w:rPr>
        <w:t xml:space="preserve"> recurso de revisión una vez realizado el análisis de</w:t>
      </w:r>
      <w:r w:rsidRPr="00B71E8F">
        <w:rPr>
          <w:rFonts w:ascii="Palatino Linotype" w:eastAsia="Palatino Linotype" w:hAnsi="Palatino Linotype" w:cs="Palatino Linotype"/>
        </w:rPr>
        <w:t>l</w:t>
      </w:r>
      <w:r w:rsidRPr="00B71E8F">
        <w:rPr>
          <w:rFonts w:ascii="Palatino Linotype" w:eastAsia="Palatino Linotype" w:hAnsi="Palatino Linotype" w:cs="Palatino Linotype"/>
          <w:color w:val="000000"/>
        </w:rPr>
        <w:t xml:space="preserve"> formato de interposición de</w:t>
      </w:r>
      <w:r w:rsidRPr="00B71E8F">
        <w:rPr>
          <w:rFonts w:ascii="Palatino Linotype" w:eastAsia="Palatino Linotype" w:hAnsi="Palatino Linotype" w:cs="Palatino Linotype"/>
        </w:rPr>
        <w:t>l</w:t>
      </w:r>
      <w:r w:rsidRPr="00B71E8F">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71E8F">
        <w:rPr>
          <w:rFonts w:ascii="Palatino Linotype" w:eastAsia="Palatino Linotype" w:hAnsi="Palatino Linotype" w:cs="Palatino Linotype"/>
          <w:b/>
          <w:color w:val="000000"/>
        </w:rPr>
        <w:t>EL</w:t>
      </w:r>
      <w:r w:rsidRPr="00B71E8F">
        <w:rPr>
          <w:rFonts w:ascii="Palatino Linotype" w:eastAsia="Palatino Linotype" w:hAnsi="Palatino Linotype" w:cs="Palatino Linotype"/>
          <w:color w:val="000000"/>
        </w:rPr>
        <w:t xml:space="preserve"> </w:t>
      </w:r>
      <w:r w:rsidRPr="00B71E8F">
        <w:rPr>
          <w:rFonts w:ascii="Palatino Linotype" w:eastAsia="Palatino Linotype" w:hAnsi="Palatino Linotype" w:cs="Palatino Linotype"/>
          <w:b/>
          <w:color w:val="000000"/>
        </w:rPr>
        <w:t>SAIMEX</w:t>
      </w:r>
      <w:r w:rsidRPr="00B71E8F">
        <w:rPr>
          <w:rFonts w:ascii="Palatino Linotype" w:eastAsia="Palatino Linotype" w:hAnsi="Palatino Linotype" w:cs="Palatino Linotype"/>
          <w:color w:val="000000"/>
        </w:rPr>
        <w:t>.</w:t>
      </w:r>
    </w:p>
    <w:p w14:paraId="163FC1B9" w14:textId="77777777" w:rsidR="007B0F29" w:rsidRPr="00B71E8F" w:rsidRDefault="007B0F29">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26F78557"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00C317C0" w14:textId="77777777" w:rsidR="007B0F29" w:rsidRPr="00B71E8F" w:rsidRDefault="004470FC">
      <w:pPr>
        <w:ind w:left="1276" w:right="175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 xml:space="preserve">Artículo 179. </w:t>
      </w:r>
      <w:r w:rsidRPr="00B71E8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772DC9E" w14:textId="77777777" w:rsidR="007B0F29" w:rsidRPr="00B71E8F" w:rsidRDefault="004470FC">
      <w:pPr>
        <w:ind w:left="1276" w:right="175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w:t>
      </w:r>
    </w:p>
    <w:p w14:paraId="6C867842" w14:textId="77777777" w:rsidR="007B0F29" w:rsidRPr="00B71E8F" w:rsidRDefault="004470FC">
      <w:pPr>
        <w:ind w:left="1276" w:right="1752"/>
        <w:jc w:val="both"/>
        <w:rPr>
          <w:rFonts w:ascii="Palatino Linotype" w:eastAsia="Palatino Linotype" w:hAnsi="Palatino Linotype" w:cs="Palatino Linotype"/>
          <w:i/>
          <w:sz w:val="22"/>
          <w:szCs w:val="22"/>
        </w:rPr>
      </w:pPr>
      <w:r w:rsidRPr="00B71E8F">
        <w:t>I</w:t>
      </w:r>
      <w:r w:rsidRPr="00B71E8F">
        <w:rPr>
          <w:rFonts w:ascii="Palatino Linotype" w:eastAsia="Palatino Linotype" w:hAnsi="Palatino Linotype" w:cs="Palatino Linotype"/>
          <w:i/>
          <w:sz w:val="22"/>
          <w:szCs w:val="22"/>
        </w:rPr>
        <w:t>. La negativa de la información solicitada…” (Sic)</w:t>
      </w:r>
    </w:p>
    <w:p w14:paraId="7DC05FA1" w14:textId="77777777" w:rsidR="007B0F29" w:rsidRPr="00B71E8F" w:rsidRDefault="004470FC">
      <w:pPr>
        <w:spacing w:before="280" w:after="28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color w:val="000000"/>
        </w:rPr>
        <w:t>Tercero. Materia de Revisión</w:t>
      </w:r>
      <w:r w:rsidRPr="00B71E8F">
        <w:rPr>
          <w:rFonts w:ascii="Palatino Linotype" w:eastAsia="Palatino Linotype" w:hAnsi="Palatino Linotype" w:cs="Palatino Linotype"/>
          <w:color w:val="000000"/>
        </w:rPr>
        <w:t xml:space="preserve">: </w:t>
      </w:r>
      <w:r w:rsidRPr="00B71E8F">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B71E8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71E8F">
        <w:rPr>
          <w:rFonts w:ascii="Palatino Linotype" w:eastAsia="Palatino Linotype" w:hAnsi="Palatino Linotype" w:cs="Palatino Linotype"/>
        </w:rPr>
        <w:t xml:space="preserve">de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o en su defecto, en caso de ser procedente, ordenar la entrega de información.</w:t>
      </w:r>
    </w:p>
    <w:p w14:paraId="582193CE"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Cuarto. Estudio de fondo del asunto. </w:t>
      </w:r>
      <w:r w:rsidRPr="00B71E8F">
        <w:rPr>
          <w:rFonts w:ascii="Palatino Linotype" w:eastAsia="Palatino Linotype" w:hAnsi="Palatino Linotype" w:cs="Palatino Linotype"/>
        </w:rPr>
        <w:t xml:space="preserve">es conveniente analizar si la respuesta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B71E8F">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B302A78" w14:textId="77777777" w:rsidR="007B0F29" w:rsidRPr="00B71E8F" w:rsidRDefault="004470FC">
      <w:pPr>
        <w:spacing w:before="240"/>
        <w:ind w:left="709" w:right="760"/>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Artículo 4.</w:t>
      </w:r>
      <w:r w:rsidRPr="00B71E8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D9EEE6" w14:textId="77777777" w:rsidR="007B0F29" w:rsidRPr="00B71E8F" w:rsidRDefault="004470FC">
      <w:pPr>
        <w:ind w:left="709" w:right="760"/>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71E8F">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B71E8F">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40AEB4F6" w14:textId="77777777" w:rsidR="007B0F29" w:rsidRPr="00B71E8F" w:rsidRDefault="004470FC">
      <w:pPr>
        <w:ind w:left="709" w:right="760"/>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09611F2E"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DF5EB12" w14:textId="77777777" w:rsidR="007B0F29" w:rsidRPr="00B71E8F" w:rsidRDefault="004470FC">
      <w:pPr>
        <w:ind w:left="567" w:right="758"/>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Artículo12.-</w:t>
      </w:r>
      <w:r w:rsidRPr="00B71E8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47F6B2" w14:textId="77777777" w:rsidR="007B0F29" w:rsidRPr="00B71E8F" w:rsidRDefault="004470FC">
      <w:pPr>
        <w:ind w:left="567" w:right="758"/>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71E8F">
        <w:rPr>
          <w:rFonts w:ascii="Palatino Linotype" w:eastAsia="Palatino Linotype" w:hAnsi="Palatino Linotype" w:cs="Palatino Linotype"/>
          <w:i/>
          <w:sz w:val="22"/>
          <w:szCs w:val="22"/>
        </w:rPr>
        <w:t xml:space="preserve">. </w:t>
      </w:r>
      <w:r w:rsidRPr="00B71E8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9CFC687" w14:textId="77777777" w:rsidR="007B0F29" w:rsidRPr="00B71E8F" w:rsidRDefault="007B0F29">
      <w:pPr>
        <w:spacing w:line="360" w:lineRule="auto"/>
        <w:ind w:right="-93"/>
        <w:jc w:val="both"/>
        <w:rPr>
          <w:rFonts w:ascii="Palatino Linotype" w:eastAsia="Palatino Linotype" w:hAnsi="Palatino Linotype" w:cs="Palatino Linotype"/>
          <w:color w:val="000000"/>
        </w:rPr>
      </w:pPr>
    </w:p>
    <w:p w14:paraId="33002E44" w14:textId="77777777" w:rsidR="007B0F29" w:rsidRPr="00B71E8F" w:rsidRDefault="004470FC">
      <w:pPr>
        <w:spacing w:line="360" w:lineRule="auto"/>
        <w:ind w:right="-93"/>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8FBBF0C" w14:textId="77777777" w:rsidR="007B0F29" w:rsidRPr="00B71E8F" w:rsidRDefault="007B0F29">
      <w:pPr>
        <w:spacing w:line="360" w:lineRule="auto"/>
        <w:ind w:right="-93"/>
        <w:jc w:val="both"/>
        <w:rPr>
          <w:rFonts w:ascii="Palatino Linotype" w:eastAsia="Palatino Linotype" w:hAnsi="Palatino Linotype" w:cs="Palatino Linotype"/>
          <w:color w:val="000000"/>
        </w:rPr>
      </w:pPr>
    </w:p>
    <w:p w14:paraId="5CDCE8C1"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21DA1333" w14:textId="77777777" w:rsidR="007B0F29" w:rsidRPr="00B71E8F" w:rsidRDefault="004470FC">
      <w:pPr>
        <w:spacing w:line="360" w:lineRule="auto"/>
        <w:jc w:val="both"/>
        <w:rPr>
          <w:rFonts w:ascii="Palatino Linotype" w:eastAsia="Palatino Linotype" w:hAnsi="Palatino Linotype" w:cs="Palatino Linotype"/>
          <w:b/>
          <w:color w:val="000000"/>
        </w:rPr>
      </w:pPr>
      <w:r w:rsidRPr="00B71E8F">
        <w:rPr>
          <w:rFonts w:ascii="Palatino Linotype" w:eastAsia="Palatino Linotype" w:hAnsi="Palatino Linotype" w:cs="Palatino Linotype"/>
          <w:b/>
          <w:color w:val="000000"/>
        </w:rPr>
        <w:t xml:space="preserve"> </w:t>
      </w:r>
    </w:p>
    <w:p w14:paraId="461F5242" w14:textId="77777777" w:rsidR="007B0F29" w:rsidRPr="00B71E8F" w:rsidRDefault="004470FC">
      <w:pPr>
        <w:ind w:left="851" w:right="901"/>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w:t>
      </w:r>
      <w:r w:rsidRPr="00B71E8F">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B71E8F">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AA399CD" w14:textId="77777777" w:rsidR="007B0F29" w:rsidRPr="00B71E8F" w:rsidRDefault="004470FC">
      <w:pPr>
        <w:ind w:left="851" w:right="901"/>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 xml:space="preserve">Resoluciones: </w:t>
      </w:r>
    </w:p>
    <w:p w14:paraId="31500F90" w14:textId="77777777" w:rsidR="007B0F29" w:rsidRPr="00B71E8F" w:rsidRDefault="004470FC">
      <w:pPr>
        <w:ind w:left="851" w:right="901"/>
        <w:jc w:val="both"/>
        <w:rPr>
          <w:rFonts w:ascii="Palatino Linotype" w:eastAsia="Palatino Linotype" w:hAnsi="Palatino Linotype" w:cs="Palatino Linotype"/>
          <w:i/>
          <w:color w:val="000000"/>
          <w:sz w:val="22"/>
          <w:szCs w:val="22"/>
        </w:rPr>
      </w:pPr>
      <w:r w:rsidRPr="00B71E8F">
        <w:rPr>
          <w:rFonts w:ascii="Noto Sans Symbols" w:eastAsia="Noto Sans Symbols" w:hAnsi="Noto Sans Symbols" w:cs="Noto Sans Symbols"/>
          <w:i/>
          <w:color w:val="000000"/>
          <w:sz w:val="22"/>
          <w:szCs w:val="22"/>
        </w:rPr>
        <w:t>∙</w:t>
      </w:r>
      <w:r w:rsidRPr="00B71E8F">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6771C2BB" w14:textId="77777777" w:rsidR="007B0F29" w:rsidRPr="00B71E8F" w:rsidRDefault="004470FC">
      <w:pPr>
        <w:ind w:left="851" w:right="901"/>
        <w:jc w:val="both"/>
        <w:rPr>
          <w:rFonts w:ascii="Palatino Linotype" w:eastAsia="Palatino Linotype" w:hAnsi="Palatino Linotype" w:cs="Palatino Linotype"/>
          <w:i/>
          <w:color w:val="000000"/>
          <w:sz w:val="22"/>
          <w:szCs w:val="22"/>
        </w:rPr>
      </w:pPr>
      <w:r w:rsidRPr="00B71E8F">
        <w:rPr>
          <w:rFonts w:ascii="Noto Sans Symbols" w:eastAsia="Noto Sans Symbols" w:hAnsi="Noto Sans Symbols" w:cs="Noto Sans Symbols"/>
          <w:i/>
          <w:color w:val="000000"/>
          <w:sz w:val="22"/>
          <w:szCs w:val="22"/>
        </w:rPr>
        <w:t>∙</w:t>
      </w:r>
      <w:r w:rsidRPr="00B71E8F">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12485B59" w14:textId="77777777" w:rsidR="007B0F29" w:rsidRPr="00B71E8F" w:rsidRDefault="004470FC">
      <w:pPr>
        <w:ind w:left="851" w:right="901"/>
        <w:jc w:val="both"/>
        <w:rPr>
          <w:rFonts w:ascii="Palatino Linotype" w:eastAsia="Palatino Linotype" w:hAnsi="Palatino Linotype" w:cs="Palatino Linotype"/>
          <w:i/>
          <w:color w:val="000000"/>
          <w:sz w:val="22"/>
          <w:szCs w:val="22"/>
        </w:rPr>
      </w:pPr>
      <w:r w:rsidRPr="00B71E8F">
        <w:rPr>
          <w:rFonts w:ascii="Noto Sans Symbols" w:eastAsia="Noto Sans Symbols" w:hAnsi="Noto Sans Symbols" w:cs="Noto Sans Symbols"/>
          <w:i/>
          <w:color w:val="000000"/>
          <w:sz w:val="22"/>
          <w:szCs w:val="22"/>
        </w:rPr>
        <w:t>∙</w:t>
      </w:r>
      <w:r w:rsidRPr="00B71E8F">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B71E8F">
        <w:rPr>
          <w:rFonts w:ascii="Palatino Linotype" w:eastAsia="Palatino Linotype" w:hAnsi="Palatino Linotype" w:cs="Palatino Linotype"/>
          <w:i/>
          <w:color w:val="000000"/>
          <w:sz w:val="22"/>
          <w:szCs w:val="22"/>
        </w:rPr>
        <w:t>.”(</w:t>
      </w:r>
      <w:proofErr w:type="gramEnd"/>
      <w:r w:rsidRPr="00B71E8F">
        <w:rPr>
          <w:rFonts w:ascii="Palatino Linotype" w:eastAsia="Palatino Linotype" w:hAnsi="Palatino Linotype" w:cs="Palatino Linotype"/>
          <w:i/>
          <w:color w:val="000000"/>
          <w:sz w:val="22"/>
          <w:szCs w:val="22"/>
        </w:rPr>
        <w:t>Sic)</w:t>
      </w:r>
    </w:p>
    <w:p w14:paraId="7CE52FE2" w14:textId="77777777" w:rsidR="007B0F29" w:rsidRPr="00B71E8F" w:rsidRDefault="007B0F29">
      <w:pPr>
        <w:spacing w:line="360" w:lineRule="auto"/>
        <w:jc w:val="both"/>
        <w:rPr>
          <w:rFonts w:ascii="Palatino Linotype" w:eastAsia="Palatino Linotype" w:hAnsi="Palatino Linotype" w:cs="Palatino Linotype"/>
        </w:rPr>
      </w:pPr>
    </w:p>
    <w:p w14:paraId="7F6AE709" w14:textId="77777777" w:rsidR="007B0F29" w:rsidRPr="00B71E8F" w:rsidRDefault="004470FC">
      <w:pPr>
        <w:spacing w:line="360" w:lineRule="auto"/>
        <w:jc w:val="both"/>
        <w:rPr>
          <w:rFonts w:ascii="Palatino Linotype" w:eastAsia="Palatino Linotype" w:hAnsi="Palatino Linotype" w:cs="Palatino Linotype"/>
          <w:strike/>
          <w:color w:val="FF0000"/>
        </w:rPr>
      </w:pPr>
      <w:r w:rsidRPr="00B71E8F">
        <w:rPr>
          <w:rFonts w:ascii="Palatino Linotype" w:eastAsia="Palatino Linotype" w:hAnsi="Palatino Linotype" w:cs="Palatino Linotype"/>
        </w:rPr>
        <w:t xml:space="preserve">En esa tesitura, el artículo 24 en su último párrafo de la Ley de la Materia, dispone que los Sujetos Obligados </w:t>
      </w:r>
      <w:r w:rsidRPr="00B71E8F">
        <w:rPr>
          <w:rFonts w:ascii="Palatino Linotype" w:eastAsia="Palatino Linotype" w:hAnsi="Palatino Linotype" w:cs="Palatino Linotype"/>
          <w:color w:val="000000"/>
        </w:rPr>
        <w:t xml:space="preserve">sólo proporcionarán la información pública que </w:t>
      </w:r>
      <w:r w:rsidRPr="00B71E8F">
        <w:rPr>
          <w:rFonts w:ascii="Palatino Linotype" w:eastAsia="Palatino Linotype" w:hAnsi="Palatino Linotype" w:cs="Palatino Linotype"/>
        </w:rPr>
        <w:t>generen</w:t>
      </w:r>
      <w:r w:rsidRPr="00B71E8F">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432E40E0" w14:textId="77777777" w:rsidR="007B0F29" w:rsidRPr="00B71E8F" w:rsidRDefault="004470FC">
      <w:pPr>
        <w:spacing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07BADE9" w14:textId="77777777" w:rsidR="007B0F29" w:rsidRPr="00B71E8F" w:rsidRDefault="007B0F29">
      <w:pPr>
        <w:spacing w:line="360" w:lineRule="auto"/>
        <w:ind w:right="49"/>
        <w:jc w:val="both"/>
        <w:rPr>
          <w:rFonts w:ascii="Palatino Linotype" w:eastAsia="Palatino Linotype" w:hAnsi="Palatino Linotype" w:cs="Palatino Linotype"/>
        </w:rPr>
      </w:pPr>
    </w:p>
    <w:p w14:paraId="03CBAA00"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7457A1F" w14:textId="77777777" w:rsidR="007B0F29" w:rsidRPr="00B71E8F" w:rsidRDefault="007B0F29">
      <w:pPr>
        <w:ind w:left="851" w:right="899"/>
        <w:jc w:val="both"/>
        <w:rPr>
          <w:rFonts w:ascii="Palatino Linotype" w:eastAsia="Palatino Linotype" w:hAnsi="Palatino Linotype" w:cs="Palatino Linotype"/>
          <w:i/>
          <w:sz w:val="22"/>
          <w:szCs w:val="22"/>
        </w:rPr>
      </w:pPr>
    </w:p>
    <w:p w14:paraId="7F6AD2F8" w14:textId="77777777" w:rsidR="007B0F29" w:rsidRPr="00B71E8F" w:rsidRDefault="004470FC">
      <w:pPr>
        <w:ind w:left="851" w:right="899"/>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 xml:space="preserve">Artículo 3. </w:t>
      </w:r>
      <w:r w:rsidRPr="00B71E8F">
        <w:rPr>
          <w:rFonts w:ascii="Palatino Linotype" w:eastAsia="Palatino Linotype" w:hAnsi="Palatino Linotype" w:cs="Palatino Linotype"/>
          <w:i/>
          <w:sz w:val="22"/>
          <w:szCs w:val="22"/>
        </w:rPr>
        <w:t>Para los efectos de la presente Ley se entenderá por:</w:t>
      </w:r>
    </w:p>
    <w:p w14:paraId="402C80E2" w14:textId="77777777" w:rsidR="007B0F29" w:rsidRPr="00B71E8F" w:rsidRDefault="004470FC">
      <w:pPr>
        <w:ind w:left="851" w:right="899"/>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p>
    <w:p w14:paraId="065943A2" w14:textId="77777777" w:rsidR="007B0F29" w:rsidRPr="00B71E8F" w:rsidRDefault="004470FC">
      <w:pPr>
        <w:ind w:left="851" w:right="89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XI. Documento:</w:t>
      </w:r>
      <w:r w:rsidRPr="00B71E8F">
        <w:rPr>
          <w:rFonts w:ascii="Palatino Linotype" w:eastAsia="Palatino Linotype" w:hAnsi="Palatino Linotype" w:cs="Palatino Linotype"/>
          <w:i/>
          <w:color w:val="000000"/>
          <w:sz w:val="22"/>
          <w:szCs w:val="22"/>
        </w:rPr>
        <w:t xml:space="preserve"> Los expedientes, reportes, estudios, actas</w:t>
      </w:r>
      <w:r w:rsidRPr="00B71E8F">
        <w:rPr>
          <w:rFonts w:ascii="Palatino Linotype" w:eastAsia="Palatino Linotype" w:hAnsi="Palatino Linotype" w:cs="Palatino Linotype"/>
          <w:b/>
          <w:i/>
          <w:color w:val="000000"/>
          <w:sz w:val="22"/>
          <w:szCs w:val="22"/>
        </w:rPr>
        <w:t>,</w:t>
      </w:r>
      <w:r w:rsidRPr="00B71E8F">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984560D" w14:textId="77777777" w:rsidR="007B0F29" w:rsidRPr="00B71E8F" w:rsidRDefault="007B0F29">
      <w:pPr>
        <w:ind w:left="851" w:right="899"/>
        <w:jc w:val="both"/>
        <w:rPr>
          <w:rFonts w:ascii="Palatino Linotype" w:eastAsia="Palatino Linotype" w:hAnsi="Palatino Linotype" w:cs="Palatino Linotype"/>
          <w:sz w:val="22"/>
          <w:szCs w:val="22"/>
        </w:rPr>
      </w:pPr>
    </w:p>
    <w:p w14:paraId="54E5ED0A"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C37AF1" w14:textId="77777777" w:rsidR="007B0F29" w:rsidRPr="00B71E8F" w:rsidRDefault="007B0F29">
      <w:pPr>
        <w:ind w:left="851" w:right="899"/>
        <w:jc w:val="both"/>
        <w:rPr>
          <w:rFonts w:ascii="Palatino Linotype" w:eastAsia="Palatino Linotype" w:hAnsi="Palatino Linotype" w:cs="Palatino Linotype"/>
        </w:rPr>
      </w:pPr>
    </w:p>
    <w:p w14:paraId="4D502F04" w14:textId="77777777" w:rsidR="007B0F29" w:rsidRPr="00B71E8F" w:rsidRDefault="004470FC">
      <w:pPr>
        <w:ind w:left="851" w:right="899"/>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sz w:val="22"/>
          <w:szCs w:val="22"/>
        </w:rPr>
        <w:t>“</w:t>
      </w:r>
      <w:r w:rsidRPr="00B71E8F">
        <w:rPr>
          <w:rFonts w:ascii="Palatino Linotype" w:eastAsia="Palatino Linotype" w:hAnsi="Palatino Linotype" w:cs="Palatino Linotype"/>
          <w:b/>
          <w:i/>
          <w:sz w:val="22"/>
          <w:szCs w:val="22"/>
        </w:rPr>
        <w:t>CRITERIO 0002-11</w:t>
      </w:r>
    </w:p>
    <w:p w14:paraId="18288087" w14:textId="77777777" w:rsidR="007B0F29" w:rsidRPr="00B71E8F" w:rsidRDefault="004470FC">
      <w:pPr>
        <w:ind w:left="851" w:right="899"/>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71E8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D766E0" w14:textId="77777777" w:rsidR="007B0F29" w:rsidRPr="00B71E8F" w:rsidRDefault="004470FC">
      <w:pPr>
        <w:ind w:left="851" w:right="899"/>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En </w:t>
      </w:r>
      <w:proofErr w:type="gramStart"/>
      <w:r w:rsidRPr="00B71E8F">
        <w:rPr>
          <w:rFonts w:ascii="Palatino Linotype" w:eastAsia="Palatino Linotype" w:hAnsi="Palatino Linotype" w:cs="Palatino Linotype"/>
          <w:i/>
          <w:sz w:val="22"/>
          <w:szCs w:val="22"/>
        </w:rPr>
        <w:t>consecuencia</w:t>
      </w:r>
      <w:proofErr w:type="gramEnd"/>
      <w:r w:rsidRPr="00B71E8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692832E" w14:textId="77777777" w:rsidR="007B0F29" w:rsidRPr="00B71E8F" w:rsidRDefault="004470FC">
      <w:pPr>
        <w:ind w:left="851" w:right="899"/>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71E8F">
        <w:rPr>
          <w:rFonts w:ascii="Palatino Linotype" w:eastAsia="Palatino Linotype" w:hAnsi="Palatino Linotype" w:cs="Palatino Linotype"/>
          <w:i/>
          <w:sz w:val="22"/>
          <w:szCs w:val="22"/>
        </w:rPr>
        <w:t>que</w:t>
      </w:r>
      <w:proofErr w:type="gramEnd"/>
      <w:r w:rsidRPr="00B71E8F">
        <w:rPr>
          <w:rFonts w:ascii="Palatino Linotype" w:eastAsia="Palatino Linotype" w:hAnsi="Palatino Linotype" w:cs="Palatino Linotype"/>
          <w:i/>
          <w:sz w:val="22"/>
          <w:szCs w:val="22"/>
        </w:rPr>
        <w:t xml:space="preserve"> en ejercicio de las atribuciones conferidas, sea generada por los Sujetos Obligados;</w:t>
      </w:r>
    </w:p>
    <w:p w14:paraId="2DBF5374" w14:textId="77777777" w:rsidR="007B0F29" w:rsidRPr="00B71E8F" w:rsidRDefault="004470FC">
      <w:pPr>
        <w:ind w:left="851" w:right="899"/>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71E8F">
        <w:rPr>
          <w:rFonts w:ascii="Palatino Linotype" w:eastAsia="Palatino Linotype" w:hAnsi="Palatino Linotype" w:cs="Palatino Linotype"/>
          <w:b/>
          <w:i/>
          <w:sz w:val="22"/>
          <w:szCs w:val="22"/>
        </w:rPr>
        <w:t>que</w:t>
      </w:r>
      <w:proofErr w:type="gramEnd"/>
      <w:r w:rsidRPr="00B71E8F">
        <w:rPr>
          <w:rFonts w:ascii="Palatino Linotype" w:eastAsia="Palatino Linotype" w:hAnsi="Palatino Linotype" w:cs="Palatino Linotype"/>
          <w:b/>
          <w:i/>
          <w:sz w:val="22"/>
          <w:szCs w:val="22"/>
        </w:rPr>
        <w:t xml:space="preserve"> en ejercicio de las atribuciones conferidas, sea administrada por los Sujetos Obligados, y</w:t>
      </w:r>
    </w:p>
    <w:p w14:paraId="1FF15785" w14:textId="77777777" w:rsidR="007B0F29" w:rsidRPr="00B71E8F" w:rsidRDefault="004470FC">
      <w:pPr>
        <w:ind w:left="851" w:right="899"/>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B71E8F">
        <w:rPr>
          <w:rFonts w:ascii="Palatino Linotype" w:eastAsia="Palatino Linotype" w:hAnsi="Palatino Linotype" w:cs="Palatino Linotype"/>
          <w:b/>
          <w:i/>
          <w:sz w:val="22"/>
          <w:szCs w:val="22"/>
        </w:rPr>
        <w:t>.”(</w:t>
      </w:r>
      <w:proofErr w:type="gramEnd"/>
      <w:r w:rsidRPr="00B71E8F">
        <w:rPr>
          <w:rFonts w:ascii="Palatino Linotype" w:eastAsia="Palatino Linotype" w:hAnsi="Palatino Linotype" w:cs="Palatino Linotype"/>
          <w:b/>
          <w:i/>
          <w:sz w:val="22"/>
          <w:szCs w:val="22"/>
        </w:rPr>
        <w:t>Sic)</w:t>
      </w:r>
    </w:p>
    <w:p w14:paraId="08B73CA5"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Toluca, de la construcción y/o ampliación del panteón de San Pablo Autopan; lo siguiente:</w:t>
      </w:r>
    </w:p>
    <w:p w14:paraId="789E49AC" w14:textId="77777777" w:rsidR="007B0F29" w:rsidRPr="00B71E8F" w:rsidRDefault="007B0F29">
      <w:pPr>
        <w:spacing w:before="240" w:after="240" w:line="360" w:lineRule="auto"/>
        <w:ind w:right="49"/>
        <w:jc w:val="both"/>
        <w:rPr>
          <w:rFonts w:ascii="Palatino Linotype" w:eastAsia="Palatino Linotype" w:hAnsi="Palatino Linotype" w:cs="Palatino Linotype"/>
        </w:rPr>
      </w:pPr>
    </w:p>
    <w:p w14:paraId="6B7D537A" w14:textId="77777777" w:rsidR="007B0F29" w:rsidRPr="00B71E8F" w:rsidRDefault="004470FC">
      <w:pPr>
        <w:numPr>
          <w:ilvl w:val="0"/>
          <w:numId w:val="1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celebrado para realizar dicha obra. </w:t>
      </w:r>
    </w:p>
    <w:p w14:paraId="41F8633C"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 xml:space="preserve">Nombre de la persona que dono el predio.  </w:t>
      </w:r>
    </w:p>
    <w:p w14:paraId="7103CEA2"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de donación del predio en donde se realiza la obra. </w:t>
      </w:r>
    </w:p>
    <w:p w14:paraId="3A1B14E3"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Documento en el que conste la intervención de la liga de futbol de San Pablo Autopan. </w:t>
      </w:r>
    </w:p>
    <w:p w14:paraId="3BFD2201"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Fecha de inicio de la obra y fecha estimada de culminación. </w:t>
      </w:r>
    </w:p>
    <w:p w14:paraId="790E5C86"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Plano arquitectónico. </w:t>
      </w:r>
    </w:p>
    <w:p w14:paraId="37006A8E"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Cantidad y denominación (se solicita una relación) del material comprado y utilizado para la obra con el FEFOM. </w:t>
      </w:r>
    </w:p>
    <w:p w14:paraId="26049664"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Cuantos albañiles, sus nombres y recibos de nómina que trabajaron o trabajan en dicha obra. </w:t>
      </w:r>
    </w:p>
    <w:p w14:paraId="190A34C6"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Documento con el que acredito la propiedad el donante del predio.  (Se adjunta foto en donde hay un letrero colocado en la obra en donde refieren que se donó el predio) </w:t>
      </w:r>
    </w:p>
    <w:p w14:paraId="37975D7B"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(Ficha técnica del FEFOM) Del FEFOM 2022 y 2023: </w:t>
      </w:r>
    </w:p>
    <w:p w14:paraId="44EA1173"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Cantidad asignada o aprobada para el Ayuntamiento de Toluca. </w:t>
      </w:r>
    </w:p>
    <w:p w14:paraId="62AC337B" w14:textId="77777777" w:rsidR="007B0F29" w:rsidRPr="00B71E8F" w:rsidRDefault="004470FC">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Fecha en la que se le entrego la cantidad asignada al Ayuntamiento de Toluca.</w:t>
      </w:r>
    </w:p>
    <w:p w14:paraId="033FD333" w14:textId="77777777" w:rsidR="007B0F29" w:rsidRPr="00B71E8F" w:rsidRDefault="004470FC">
      <w:pPr>
        <w:numPr>
          <w:ilvl w:val="0"/>
          <w:numId w:val="1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Estado de cuenta, cheque o documento en el que se observe el depósito o entrega del FEFOM.</w:t>
      </w:r>
    </w:p>
    <w:p w14:paraId="4295F304"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respuesta, el </w:t>
      </w:r>
      <w:r w:rsidRPr="00B71E8F">
        <w:rPr>
          <w:rFonts w:ascii="Palatino Linotype" w:eastAsia="Palatino Linotype" w:hAnsi="Palatino Linotype" w:cs="Palatino Linotype"/>
          <w:b/>
        </w:rPr>
        <w:t xml:space="preserve">SUJETO OBLIGADO </w:t>
      </w:r>
      <w:r w:rsidRPr="00B71E8F">
        <w:rPr>
          <w:rFonts w:ascii="Palatino Linotype" w:eastAsia="Palatino Linotype" w:hAnsi="Palatino Linotype" w:cs="Palatino Linotype"/>
        </w:rPr>
        <w:t xml:space="preserve">a través de su la Dirección General de Desarrollo Urbano, Ordenamiento Territorial y Obras Públicas, le informó que atendiendo a la ubicación proporcionada por el peticionario mediante fotografía que anexa a su solicitud, esta Dirección no está ejecutando ninguna obra, razón por la cual no se ha generado, poseído o administrado documento que dé cuenta de la información requerida del predio indicado en la solicitud. </w:t>
      </w:r>
    </w:p>
    <w:p w14:paraId="0D98AFBC"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Por otra parte, la Secretaría del Ayuntamiento, informó que derivado de la búsqueda exhaustiva y razonable en sus archivos, no se localizó documento que, de atención a su solicitud, toda vez, que no se ha generado, poseído y/o administrado.</w:t>
      </w:r>
    </w:p>
    <w:p w14:paraId="359A6A28"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Finalmente, el Instituto Municipal de Cultura Física y Deporte de Toluca, informó que, dentro del Departamento de Infraestructura Deportiva, cuenta con un registro de ligas deportivas dentro del municipio; sin embargo, no se encuentra bajo la administración de este Instituto; motivo por el cual se desconoce la intervención de la liga de futbol de San Pablo Autopan en la construcción y/o ampliación del panteón de la misma delegación. </w:t>
      </w:r>
    </w:p>
    <w:p w14:paraId="7FE75678" w14:textId="77777777" w:rsidR="007B0F29" w:rsidRPr="00B71E8F" w:rsidRDefault="004470FC">
      <w:pPr>
        <w:spacing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No conforme con la respuesta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interpuso el recurso de revisión que se analiza en el presente asunto, por medio del cual se inconformó en lo medular por la negativa de la información solicitada.</w:t>
      </w:r>
    </w:p>
    <w:p w14:paraId="68ED46E8"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Ante la interposición del recurso de revisión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rindió su informe justificado mediante el cual además de ratificar su respuesta inicial, informó que derivado de la búsqueda exhaustiva y razonable que realizó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las dependencias señaladas, no se localizó información en referencia al predio señalado, toda vez que no se cuenta con el mismo como propiedad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los archivos, aseverando que con una fotografía de la cual no se sabe su origen y el modo de obtención de la misma no es un prueba para aseverar que este predio es propiedad del Ayuntamiento de Toluca, por no ser una fuente oficial o confiable  una evidencia fotográfica, por lo que preciso que el Sujeto Obligado fundo y motivo la búsqueda exhaustiva y razonable sin encontrar información.  </w:t>
      </w:r>
    </w:p>
    <w:p w14:paraId="71C6224C" w14:textId="77777777" w:rsidR="007B0F29" w:rsidRPr="00B71E8F" w:rsidRDefault="007B0F29">
      <w:pPr>
        <w:spacing w:line="360" w:lineRule="auto"/>
        <w:jc w:val="both"/>
        <w:rPr>
          <w:rFonts w:ascii="Palatino Linotype" w:eastAsia="Palatino Linotype" w:hAnsi="Palatino Linotype" w:cs="Palatino Linotype"/>
        </w:rPr>
      </w:pPr>
    </w:p>
    <w:p w14:paraId="591EACA7"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Por otro lado, informó que si bien existe una obra en relación al panteón que señala, y que corresponde a la ficha anexa a la solicitud, también lo es, que esta no se encuentra en el predio que señala en su solicitud y que este predio sea donado por alguna liga de fútbol, ratificando que no se cuenta con la información del predio referido donado por alguna liga de fútbol, como se informó en la respuesta primigenia. </w:t>
      </w:r>
    </w:p>
    <w:p w14:paraId="08D26401" w14:textId="77777777" w:rsidR="007B0F29" w:rsidRPr="00B71E8F" w:rsidRDefault="007B0F29">
      <w:pPr>
        <w:spacing w:line="360" w:lineRule="auto"/>
        <w:jc w:val="both"/>
        <w:rPr>
          <w:rFonts w:ascii="Palatino Linotype" w:eastAsia="Palatino Linotype" w:hAnsi="Palatino Linotype" w:cs="Palatino Linotype"/>
          <w:color w:val="000000"/>
        </w:rPr>
      </w:pPr>
    </w:p>
    <w:p w14:paraId="0A532BF8"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color w:val="000000"/>
        </w:rPr>
        <w:t>Con base en lo precedente</w:t>
      </w:r>
      <w:r w:rsidRPr="00B71E8F">
        <w:rPr>
          <w:rFonts w:ascii="Palatino Linotype" w:eastAsia="Palatino Linotype" w:hAnsi="Palatino Linotype" w:cs="Palatino Linotype"/>
        </w:rPr>
        <w:t xml:space="preserve">, se determina que la información proporcionada por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por ello, los motivos de inconformidad acontecen fundados para revocar la respuesta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de acuerdo a las siguientes consideraciones:</w:t>
      </w:r>
    </w:p>
    <w:p w14:paraId="33CA8603"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Antes del estudio se fondo, es de señalar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a la fecha de la solicitud de información; es decir, al once de abril del año dos mil veintitrés, discernimiento que encuentra apoyado en los Criterios 1/2010 y 2/2010,  emitidos por el “Comité de Acceso a la Información y </w:t>
      </w:r>
      <w:r w:rsidRPr="00B71E8F">
        <w:rPr>
          <w:rFonts w:ascii="Palatino Linotype" w:eastAsia="Palatino Linotype" w:hAnsi="Palatino Linotype" w:cs="Palatino Linotype"/>
        </w:rPr>
        <w:lastRenderedPageBreak/>
        <w:t xml:space="preserve">Protección de Datos personales” de la Suprema Corte de Justicia de la Nación, que disponen: </w:t>
      </w:r>
    </w:p>
    <w:p w14:paraId="7B83EE6A"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rPr>
        <w:t xml:space="preserve"> </w:t>
      </w:r>
      <w:r w:rsidRPr="00B71E8F">
        <w:rPr>
          <w:rFonts w:ascii="Palatino Linotype" w:eastAsia="Palatino Linotype" w:hAnsi="Palatino Linotype" w:cs="Palatino Linotype"/>
          <w:i/>
          <w:sz w:val="22"/>
          <w:szCs w:val="22"/>
        </w:rPr>
        <w:t>“Criterio 1/2010</w:t>
      </w:r>
    </w:p>
    <w:p w14:paraId="0F5E43BC"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2E593414"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2F2FA042"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Clasificación de Información 69/2009-A. 30 de septiembre de 2009. Unanimidad de votos.”</w:t>
      </w:r>
    </w:p>
    <w:p w14:paraId="5123D845"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“Criterio 2/2010.</w:t>
      </w:r>
    </w:p>
    <w:p w14:paraId="672CB62A"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39556710"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1C5FA9AE"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Clasificación de Información 69/2009-A. 30 de septiembre de 2009. Unanimidad de votos</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1CFD3C06" w14:textId="77777777" w:rsidR="007B0F29" w:rsidRPr="00B71E8F" w:rsidRDefault="007B0F29">
      <w:pPr>
        <w:spacing w:line="360" w:lineRule="auto"/>
        <w:jc w:val="both"/>
        <w:rPr>
          <w:rFonts w:ascii="Palatino Linotype" w:eastAsia="Palatino Linotype" w:hAnsi="Palatino Linotype" w:cs="Palatino Linotype"/>
        </w:rPr>
      </w:pPr>
    </w:p>
    <w:p w14:paraId="39F4746B" w14:textId="77777777" w:rsidR="007B0F29" w:rsidRPr="00B71E8F" w:rsidRDefault="004470FC">
      <w:pPr>
        <w:spacing w:line="360" w:lineRule="auto"/>
        <w:jc w:val="both"/>
        <w:rPr>
          <w:rFonts w:ascii="Palatino Linotype" w:eastAsia="Palatino Linotype" w:hAnsi="Palatino Linotype" w:cs="Palatino Linotype"/>
        </w:rPr>
      </w:pPr>
      <w:proofErr w:type="gramStart"/>
      <w:r w:rsidRPr="00B71E8F">
        <w:rPr>
          <w:rFonts w:ascii="Palatino Linotype" w:eastAsia="Palatino Linotype" w:hAnsi="Palatino Linotype" w:cs="Palatino Linotype"/>
        </w:rPr>
        <w:t>Además,  se</w:t>
      </w:r>
      <w:proofErr w:type="gramEnd"/>
      <w:r w:rsidRPr="00B71E8F">
        <w:rPr>
          <w:rFonts w:ascii="Palatino Linotype" w:eastAsia="Palatino Linotype" w:hAnsi="Palatino Linotype" w:cs="Palatino Linotype"/>
        </w:rPr>
        <w:t xml:space="preserve"> debe determinar, que en el apartado de manifestaciones  del SAIMEX,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presentó un escrito; por medio del cual señaló lo siguiente:</w:t>
      </w:r>
    </w:p>
    <w:p w14:paraId="7222F639" w14:textId="77777777" w:rsidR="007B0F29" w:rsidRPr="00B71E8F" w:rsidRDefault="007B0F29">
      <w:pPr>
        <w:spacing w:line="360" w:lineRule="auto"/>
        <w:jc w:val="both"/>
        <w:rPr>
          <w:rFonts w:ascii="Palatino Linotype" w:eastAsia="Palatino Linotype" w:hAnsi="Palatino Linotype" w:cs="Palatino Linotype"/>
        </w:rPr>
      </w:pPr>
    </w:p>
    <w:p w14:paraId="424CE23E"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“Ya solo queremos esto:</w:t>
      </w:r>
    </w:p>
    <w:p w14:paraId="1A902FFB"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De la construcción y/o ampliación del panteón de San Pablo Autopan: - Contrato celebrado para realizar dicha obra. - Nombre de la persona que dono el predio. -Contrato de donación del predio en donde se realiza la obra. - Cantidad y denominación (se solicita una relación) del material comprado y utilizado para la obra con el FEFOM. - Documento con el que acredito la propiedad el donante del predio</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288D604A" w14:textId="77777777" w:rsidR="007B0F29" w:rsidRPr="00B71E8F" w:rsidRDefault="007B0F29">
      <w:pPr>
        <w:spacing w:line="360" w:lineRule="auto"/>
        <w:jc w:val="both"/>
        <w:rPr>
          <w:rFonts w:ascii="Palatino Linotype" w:eastAsia="Palatino Linotype" w:hAnsi="Palatino Linotype" w:cs="Palatino Linotype"/>
        </w:rPr>
      </w:pPr>
    </w:p>
    <w:p w14:paraId="52B3C1E3"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donde se advierte que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acotó sus requerimientos iniciales a sólo lo siguiente:</w:t>
      </w:r>
    </w:p>
    <w:p w14:paraId="5521F47C" w14:textId="77777777" w:rsidR="007B0F29" w:rsidRPr="00B71E8F" w:rsidRDefault="007B0F29">
      <w:pPr>
        <w:spacing w:line="360" w:lineRule="auto"/>
        <w:jc w:val="both"/>
        <w:rPr>
          <w:rFonts w:ascii="Palatino Linotype" w:eastAsia="Palatino Linotype" w:hAnsi="Palatino Linotype" w:cs="Palatino Linotype"/>
        </w:rPr>
      </w:pPr>
    </w:p>
    <w:p w14:paraId="12AD1CC8"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De la construcción y/o ampliación del panteón de San Pablo Autopan:</w:t>
      </w:r>
    </w:p>
    <w:p w14:paraId="1635CF12" w14:textId="77777777" w:rsidR="007B0F29" w:rsidRPr="00B71E8F" w:rsidRDefault="004470F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celebrado para realizar dicha obra. </w:t>
      </w:r>
    </w:p>
    <w:p w14:paraId="295591AC" w14:textId="77777777" w:rsidR="007B0F29" w:rsidRPr="00B71E8F" w:rsidRDefault="004470F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Nombre de la persona que dono el predio. </w:t>
      </w:r>
    </w:p>
    <w:p w14:paraId="52C24CCC" w14:textId="77777777" w:rsidR="007B0F29" w:rsidRPr="00B71E8F" w:rsidRDefault="004470F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de donación del predio en donde se realiza la obra. </w:t>
      </w:r>
    </w:p>
    <w:p w14:paraId="03091BBC" w14:textId="77777777" w:rsidR="007B0F29" w:rsidRPr="00B71E8F" w:rsidRDefault="004470F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Cantidad y denominación (se solicita una relación) del material comprado y utilizado para la obra con el FEFOM. </w:t>
      </w:r>
    </w:p>
    <w:p w14:paraId="0F79A4CF" w14:textId="77777777" w:rsidR="007B0F29" w:rsidRPr="00B71E8F" w:rsidRDefault="004470F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Documento con el que acredito la propiedad el donante del predio.</w:t>
      </w:r>
    </w:p>
    <w:p w14:paraId="48B464CE" w14:textId="77777777" w:rsidR="007B0F29" w:rsidRPr="00B71E8F" w:rsidRDefault="007B0F29">
      <w:pPr>
        <w:spacing w:line="360" w:lineRule="auto"/>
        <w:jc w:val="both"/>
        <w:rPr>
          <w:rFonts w:ascii="Palatino Linotype" w:eastAsia="Palatino Linotype" w:hAnsi="Palatino Linotype" w:cs="Palatino Linotype"/>
        </w:rPr>
      </w:pPr>
    </w:p>
    <w:p w14:paraId="4B8C07E1"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Por consiguiente, en cuanto a los requerimientos descritos en la solicitud de acceso a la información pública, relacionados con:</w:t>
      </w:r>
    </w:p>
    <w:p w14:paraId="561722CC" w14:textId="77777777" w:rsidR="007B0F29" w:rsidRPr="00B71E8F" w:rsidRDefault="004470FC">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Documento en el que conste la intervención de la liga de futbol de San Pablo Autopan. </w:t>
      </w:r>
    </w:p>
    <w:p w14:paraId="509EC0B4" w14:textId="77777777" w:rsidR="007B0F29" w:rsidRPr="00B71E8F" w:rsidRDefault="004470F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Fecha de inicio de la obra y fecha estimada de culminación. </w:t>
      </w:r>
    </w:p>
    <w:p w14:paraId="75539600" w14:textId="77777777" w:rsidR="007B0F29" w:rsidRPr="00B71E8F" w:rsidRDefault="004470F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Plano arquitectónico. </w:t>
      </w:r>
    </w:p>
    <w:p w14:paraId="22AE6B53" w14:textId="77777777" w:rsidR="007B0F29" w:rsidRPr="00B71E8F" w:rsidRDefault="004470F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Cuantos albañiles, sus nombres y recibos de nómina que trabajaron o trabajan en dicha obra. </w:t>
      </w:r>
    </w:p>
    <w:p w14:paraId="1858033B" w14:textId="77777777" w:rsidR="007B0F29" w:rsidRPr="00B71E8F" w:rsidRDefault="004470F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 xml:space="preserve">Cantidad asignada o aprobada para el Ayuntamiento de Toluca. </w:t>
      </w:r>
    </w:p>
    <w:p w14:paraId="0380AB21" w14:textId="77777777" w:rsidR="007B0F29" w:rsidRPr="00B71E8F" w:rsidRDefault="004470F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Fecha en la que se le entrego la cantidad asignada al Ayuntamiento de Toluca.</w:t>
      </w:r>
    </w:p>
    <w:p w14:paraId="7A31C968" w14:textId="77777777" w:rsidR="007B0F29" w:rsidRPr="00B71E8F" w:rsidRDefault="004470FC">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Estado de cuenta, cheque o documento en el que se observe el depósito o entrega del FEFOM.</w:t>
      </w:r>
    </w:p>
    <w:p w14:paraId="6308925D" w14:textId="472C622F" w:rsidR="00C87D40" w:rsidRPr="00B71E8F" w:rsidRDefault="00C87D40" w:rsidP="00C87D40">
      <w:pPr>
        <w:spacing w:line="360" w:lineRule="auto"/>
        <w:contextualSpacing/>
        <w:jc w:val="both"/>
        <w:rPr>
          <w:rFonts w:ascii="Palatino Linotype" w:eastAsia="Palatino Linotype" w:hAnsi="Palatino Linotype" w:cs="Palatino Linotype"/>
        </w:rPr>
      </w:pPr>
      <w:r w:rsidRPr="00B71E8F">
        <w:rPr>
          <w:rFonts w:ascii="Palatino Linotype" w:eastAsia="Palatino Linotype" w:hAnsi="Palatino Linotype" w:cs="Palatino Linotype"/>
        </w:rPr>
        <w:t>Al no existir razón o motivo de inconformidad en contra de dichos rubros, los mismos deben estimarse atendidos, sirve de apoyo a lo anterior, por analogía, la Tesis Jurisprudencial Número 3ª./J.7/91, publicada en el Semanario Judicial de la Federación y su Gaceta bajo el número de registro 174,177, que establece lo siguiente:</w:t>
      </w:r>
    </w:p>
    <w:p w14:paraId="5AE3F617" w14:textId="77777777" w:rsidR="00C87D40" w:rsidRPr="00B71E8F" w:rsidRDefault="00C87D40" w:rsidP="00C87D40">
      <w:pPr>
        <w:spacing w:before="240" w:after="240" w:line="276" w:lineRule="auto"/>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sz w:val="22"/>
          <w:szCs w:val="22"/>
        </w:rPr>
        <w:t>“</w:t>
      </w:r>
      <w:r w:rsidRPr="00B71E8F">
        <w:rPr>
          <w:rFonts w:ascii="Palatino Linotype" w:eastAsia="Palatino Linotype" w:hAnsi="Palatino Linotype" w:cs="Palatino Linotype"/>
          <w:b/>
          <w:i/>
          <w:sz w:val="22"/>
          <w:szCs w:val="22"/>
        </w:rPr>
        <w:t>REVISIÓN EN AMPARO. LOS RESOLUTIVOS NO COMBATIDOS DEBEN DECLARARSE FIRMES</w:t>
      </w:r>
      <w:r w:rsidRPr="00B71E8F">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7664B74E" w14:textId="77777777" w:rsidR="00C87D40" w:rsidRPr="00B71E8F" w:rsidRDefault="00C87D40" w:rsidP="00C87D40">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Esto es, la parte de la solicitud sobre la que no se expresó inconformidad, debe declararse consentida por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0D91B35" w14:textId="77777777" w:rsidR="00C87D40" w:rsidRPr="00B71E8F" w:rsidRDefault="00C87D40" w:rsidP="00C87D40">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3F57B12" w14:textId="77777777" w:rsidR="00C87D40" w:rsidRPr="00B71E8F" w:rsidRDefault="00C87D40" w:rsidP="00C87D40">
      <w:pPr>
        <w:spacing w:before="240" w:after="240" w:line="276" w:lineRule="auto"/>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w:t>
      </w:r>
      <w:r w:rsidRPr="00B71E8F">
        <w:rPr>
          <w:rFonts w:ascii="Palatino Linotype" w:eastAsia="Palatino Linotype" w:hAnsi="Palatino Linotype" w:cs="Palatino Linotype"/>
          <w:b/>
          <w:i/>
          <w:sz w:val="22"/>
          <w:szCs w:val="22"/>
        </w:rPr>
        <w:t>ACTOS CONSENTIDOS. SON LOS QUE NO SE IMPUGNAN MEDIANTE EL RECURSO IDÓNEO</w:t>
      </w:r>
      <w:r w:rsidRPr="00B71E8F">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2B7F51EF"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En otro orden de ideas, en cuanto a los requerimientos de la solicitud relacionados con:</w:t>
      </w:r>
    </w:p>
    <w:p w14:paraId="4E7702FC" w14:textId="77777777" w:rsidR="007B0F29" w:rsidRPr="00B71E8F" w:rsidRDefault="007B0F29">
      <w:pPr>
        <w:spacing w:line="360" w:lineRule="auto"/>
        <w:jc w:val="both"/>
        <w:rPr>
          <w:rFonts w:ascii="Palatino Linotype" w:eastAsia="Palatino Linotype" w:hAnsi="Palatino Linotype" w:cs="Palatino Linotype"/>
        </w:rPr>
      </w:pPr>
    </w:p>
    <w:p w14:paraId="46BA4A20"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De la construcción y/o ampliación del panteón de San Pablo Autopan:</w:t>
      </w:r>
    </w:p>
    <w:p w14:paraId="73BA7986" w14:textId="77777777" w:rsidR="007B0F29" w:rsidRPr="00B71E8F" w:rsidRDefault="004470FC">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celebrado para realizar dicha obra. </w:t>
      </w:r>
    </w:p>
    <w:p w14:paraId="53D509F5" w14:textId="77777777" w:rsidR="007B0F29" w:rsidRPr="00B71E8F" w:rsidRDefault="004470FC">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Cantidad y denominación (se solicita una relación) del material comprado y utilizado para la obra con el FEFOM. </w:t>
      </w:r>
    </w:p>
    <w:p w14:paraId="2EEBD4A5" w14:textId="77777777" w:rsidR="007B0F29" w:rsidRPr="00B71E8F" w:rsidRDefault="007B0F29">
      <w:pPr>
        <w:spacing w:line="360" w:lineRule="auto"/>
        <w:jc w:val="both"/>
        <w:rPr>
          <w:rFonts w:ascii="Palatino Linotype" w:eastAsia="Palatino Linotype" w:hAnsi="Palatino Linotype" w:cs="Palatino Linotype"/>
        </w:rPr>
      </w:pPr>
    </w:p>
    <w:p w14:paraId="28499336" w14:textId="77777777" w:rsidR="007B0F29" w:rsidRPr="00B71E8F" w:rsidRDefault="004470FC">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B71E8F">
        <w:rPr>
          <w:rFonts w:ascii="Palatino Linotype" w:eastAsia="Palatino Linotype" w:hAnsi="Palatino Linotype" w:cs="Palatino Linotype"/>
          <w:b/>
          <w:color w:val="000000"/>
        </w:rPr>
        <w:t xml:space="preserve">RESPECTO AL FEFOM. </w:t>
      </w:r>
    </w:p>
    <w:p w14:paraId="29A14D38" w14:textId="77777777" w:rsidR="007B0F29" w:rsidRPr="00B71E8F" w:rsidRDefault="007B0F29">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p>
    <w:p w14:paraId="2C1C2593"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Este corresponde al Fondo Estatal de Fortalecimiento Municipal, que es otorgado por el Gobierno del Estado de México, a través de su Secretaría de Finanzas en cada ejercicio fiscal, el cual se determina a través de fórmulas y variables utilizadas para determinar el monto, establecidas en el siguiente acuerdo:</w:t>
      </w:r>
    </w:p>
    <w:p w14:paraId="4EDA5623" w14:textId="77777777" w:rsidR="007B0F29" w:rsidRPr="00B71E8F" w:rsidRDefault="007B0F29">
      <w:pPr>
        <w:spacing w:line="360" w:lineRule="auto"/>
        <w:jc w:val="both"/>
        <w:rPr>
          <w:rFonts w:ascii="Palatino Linotype" w:eastAsia="Palatino Linotype" w:hAnsi="Palatino Linotype" w:cs="Palatino Linotype"/>
        </w:rPr>
      </w:pPr>
    </w:p>
    <w:p w14:paraId="29275F79" w14:textId="77777777" w:rsidR="007B0F29" w:rsidRPr="00B71E8F" w:rsidRDefault="004470FC">
      <w:pPr>
        <w:spacing w:line="276" w:lineRule="auto"/>
        <w:ind w:left="851" w:right="900"/>
        <w:jc w:val="both"/>
        <w:rPr>
          <w:rFonts w:ascii="Palatino Linotype" w:eastAsia="Palatino Linotype" w:hAnsi="Palatino Linotype" w:cs="Palatino Linotype"/>
          <w:b/>
          <w:i/>
        </w:rPr>
      </w:pPr>
      <w:r w:rsidRPr="00B71E8F">
        <w:rPr>
          <w:rFonts w:ascii="Palatino Linotype" w:eastAsia="Palatino Linotype" w:hAnsi="Palatino Linotype" w:cs="Palatino Linotype"/>
          <w:b/>
          <w:i/>
        </w:rPr>
        <w:t>ACUERDO POR EL QUE SE DAN A CONOCER LAS FÓRMULAS Y VARIABLES UTILIZADAS PARA DETERMINAR EL MONTO ASIGNADO A CADA MUNICIPIO DEL FONDO ESTATAL DE FORTALECIMIENTO MUNICIPAL PARA EL EJERCICIO FISCAL 2022</w:t>
      </w:r>
    </w:p>
    <w:p w14:paraId="668667DE" w14:textId="77777777" w:rsidR="007B0F29" w:rsidRPr="00B71E8F" w:rsidRDefault="007B0F29">
      <w:pPr>
        <w:spacing w:line="360" w:lineRule="auto"/>
        <w:ind w:left="851" w:right="900"/>
        <w:jc w:val="both"/>
        <w:rPr>
          <w:rFonts w:ascii="Palatino Linotype" w:eastAsia="Palatino Linotype" w:hAnsi="Palatino Linotype" w:cs="Palatino Linotype"/>
          <w:i/>
        </w:rPr>
      </w:pPr>
    </w:p>
    <w:p w14:paraId="4D4B915B"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 xml:space="preserve">Una vez determinado el monto asignado a cada municipio, utilizando las </w:t>
      </w:r>
      <w:proofErr w:type="spellStart"/>
      <w:r w:rsidRPr="00B71E8F">
        <w:rPr>
          <w:rFonts w:ascii="Palatino Linotype" w:eastAsia="Palatino Linotype" w:hAnsi="Palatino Linotype" w:cs="Palatino Linotype"/>
        </w:rPr>
        <w:t>formulas</w:t>
      </w:r>
      <w:proofErr w:type="spellEnd"/>
      <w:r w:rsidRPr="00B71E8F">
        <w:rPr>
          <w:rFonts w:ascii="Palatino Linotype" w:eastAsia="Palatino Linotype" w:hAnsi="Palatino Linotype" w:cs="Palatino Linotype"/>
        </w:rPr>
        <w:t xml:space="preserve"> y </w:t>
      </w:r>
      <w:proofErr w:type="gramStart"/>
      <w:r w:rsidRPr="00B71E8F">
        <w:rPr>
          <w:rFonts w:ascii="Palatino Linotype" w:eastAsia="Palatino Linotype" w:hAnsi="Palatino Linotype" w:cs="Palatino Linotype"/>
        </w:rPr>
        <w:t>variables establecida</w:t>
      </w:r>
      <w:proofErr w:type="gramEnd"/>
      <w:r w:rsidRPr="00B71E8F">
        <w:rPr>
          <w:rFonts w:ascii="Palatino Linotype" w:eastAsia="Palatino Linotype" w:hAnsi="Palatino Linotype" w:cs="Palatino Linotype"/>
        </w:rPr>
        <w:t xml:space="preserve"> en el acuerdo señalado anteriormente, la Secretaría de Finanzas deberá publicar el monto de recursos del FEFOM asignados a cada Municipio, monto que deberá conocer el Ayuntamiento de Toluca, el cual para el año 2022, se le asignó un monto de 59, 581,947.96, como se observa a continuación:</w:t>
      </w:r>
    </w:p>
    <w:p w14:paraId="67142480" w14:textId="77777777" w:rsidR="007B0F29" w:rsidRPr="00B71E8F" w:rsidRDefault="007B0F29">
      <w:pPr>
        <w:pBdr>
          <w:top w:val="nil"/>
          <w:left w:val="nil"/>
          <w:bottom w:val="nil"/>
          <w:right w:val="nil"/>
          <w:between w:val="nil"/>
        </w:pBdr>
        <w:spacing w:line="360" w:lineRule="auto"/>
        <w:jc w:val="both"/>
        <w:rPr>
          <w:rFonts w:ascii="Palatino Linotype" w:eastAsia="Palatino Linotype" w:hAnsi="Palatino Linotype" w:cs="Palatino Linotype"/>
        </w:rPr>
      </w:pPr>
    </w:p>
    <w:p w14:paraId="0AC9378B"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noProof/>
        </w:rPr>
        <w:drawing>
          <wp:inline distT="0" distB="0" distL="0" distR="0" wp14:anchorId="20CCC9D8" wp14:editId="6B682554">
            <wp:extent cx="5612130" cy="113665"/>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13665"/>
                    </a:xfrm>
                    <a:prstGeom prst="rect">
                      <a:avLst/>
                    </a:prstGeom>
                    <a:ln/>
                  </pic:spPr>
                </pic:pic>
              </a:graphicData>
            </a:graphic>
          </wp:inline>
        </w:drawing>
      </w:r>
    </w:p>
    <w:p w14:paraId="64647855" w14:textId="77777777" w:rsidR="007B0F29" w:rsidRPr="00B71E8F" w:rsidRDefault="007B0F29">
      <w:pPr>
        <w:pBdr>
          <w:top w:val="nil"/>
          <w:left w:val="nil"/>
          <w:bottom w:val="nil"/>
          <w:right w:val="nil"/>
          <w:between w:val="nil"/>
        </w:pBdr>
        <w:spacing w:line="360" w:lineRule="auto"/>
        <w:jc w:val="both"/>
        <w:rPr>
          <w:rFonts w:ascii="Palatino Linotype" w:eastAsia="Palatino Linotype" w:hAnsi="Palatino Linotype" w:cs="Palatino Linotype"/>
        </w:rPr>
      </w:pPr>
    </w:p>
    <w:p w14:paraId="7D692E7D"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rPr>
        <w:t xml:space="preserve">Ahora bien, para esclarecer el presente punto, es necesario establecer cuál es la naturaleza de la información solicitada; es ese sentido, </w:t>
      </w:r>
      <w:r w:rsidRPr="00B71E8F">
        <w:rPr>
          <w:rFonts w:ascii="Palatino Linotype" w:eastAsia="Palatino Linotype" w:hAnsi="Palatino Linotype" w:cs="Palatino Linotype"/>
          <w:color w:val="000000"/>
        </w:rPr>
        <w:t>es importante traer a contexto en los artículos 31, fracciones VII y XVIII y 96 Bis, fracciones IX, XIV y XXII, de la Ley Orgánica Municipal del Estado de México, que a la letra indican:</w:t>
      </w:r>
    </w:p>
    <w:p w14:paraId="47297AE7" w14:textId="77777777" w:rsidR="007B0F29" w:rsidRPr="00B71E8F" w:rsidRDefault="007B0F29">
      <w:pPr>
        <w:spacing w:line="360" w:lineRule="auto"/>
        <w:jc w:val="both"/>
        <w:rPr>
          <w:rFonts w:ascii="Palatino Linotype" w:eastAsia="Palatino Linotype" w:hAnsi="Palatino Linotype" w:cs="Palatino Linotype"/>
          <w:color w:val="000000"/>
        </w:rPr>
      </w:pPr>
    </w:p>
    <w:p w14:paraId="1D5CD5B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31.- Son atribuciones de los ayuntamientos: </w:t>
      </w:r>
    </w:p>
    <w:p w14:paraId="0D80D476"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22635EB4"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5934DCD5"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 </w:t>
      </w:r>
    </w:p>
    <w:p w14:paraId="5C08AF1E"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XVIII. Administrar su hacienda en términos de ley, y controlar a través del presidente y síndico la aplicación del presupuesto de egresos del municipio; </w:t>
      </w:r>
    </w:p>
    <w:p w14:paraId="543306A3"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96. </w:t>
      </w:r>
      <w:proofErr w:type="gramStart"/>
      <w:r w:rsidRPr="00B71E8F">
        <w:rPr>
          <w:rFonts w:ascii="Palatino Linotype" w:eastAsia="Palatino Linotype" w:hAnsi="Palatino Linotype" w:cs="Palatino Linotype"/>
          <w:i/>
          <w:sz w:val="22"/>
          <w:szCs w:val="22"/>
        </w:rPr>
        <w:t>Bis.-</w:t>
      </w:r>
      <w:proofErr w:type="gramEnd"/>
      <w:r w:rsidRPr="00B71E8F">
        <w:rPr>
          <w:rFonts w:ascii="Palatino Linotype" w:eastAsia="Palatino Linotype" w:hAnsi="Palatino Linotype" w:cs="Palatino Linotype"/>
          <w:i/>
          <w:sz w:val="22"/>
          <w:szCs w:val="22"/>
        </w:rPr>
        <w:t xml:space="preserve"> El Director de Obras Públicas o el Titular de la Unidad Administrativa equivalente, tiene las siguientes atribuciones: </w:t>
      </w:r>
    </w:p>
    <w:p w14:paraId="449274E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p>
    <w:p w14:paraId="419BAC04"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0C22F71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346DD478"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XIV. Cumplir y hacer cumplir la legislación y normatividad en materia de obra pública; </w:t>
      </w:r>
    </w:p>
    <w:p w14:paraId="747CD263"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73A01526"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XXII. Coordinar y supervisar que todo el proceso de las obras públicas que se realicen en el municipio se realice conforme a la legislación y normatividad en materia de obra pública</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5F58564D" w14:textId="77777777" w:rsidR="007B0F29" w:rsidRPr="00B71E8F" w:rsidRDefault="007B0F29">
      <w:pPr>
        <w:ind w:left="992" w:right="1043"/>
        <w:jc w:val="both"/>
        <w:rPr>
          <w:rFonts w:ascii="Palatino Linotype" w:eastAsia="Palatino Linotype" w:hAnsi="Palatino Linotype" w:cs="Palatino Linotype"/>
          <w:i/>
          <w:sz w:val="22"/>
          <w:szCs w:val="22"/>
        </w:rPr>
      </w:pPr>
    </w:p>
    <w:p w14:paraId="5AF3BFC8"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Asimismo, se trae a colación lo establecido en los artículos 12.1, fracción III, 12.8, 12.20, 12.21, 12.38, 12.60, fracción I y 12.64, del Libro Décimo Segundo del Código Administrativo del Estado de México, los cuales se transcriben a continuación:</w:t>
      </w:r>
    </w:p>
    <w:p w14:paraId="54114681"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35CA9D74"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390735C5"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III. Los ayuntamientos de los municipios del Estado; </w:t>
      </w:r>
    </w:p>
    <w:p w14:paraId="64A69D1B"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12.8.- Corresponde a la Secretaría del Ramo y a los ayuntamientos, en el ámbito de sus respectivas competencias, ejecutar la obra pública, mediante contrato con terceros o por administración directa. </w:t>
      </w:r>
    </w:p>
    <w:p w14:paraId="66E60D24"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La Secretaría del Ramo podrá autorizar a las dependencias y entidades estatales, a ejecutar obras, por contrato o por administración directa, cuando a su juicio éstas cuenten con elementos propios y organización necesarios. </w:t>
      </w:r>
    </w:p>
    <w:p w14:paraId="22931358"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El acuerdo de autorización deberá publicarse en la Gaceta del Gobierno. </w:t>
      </w:r>
    </w:p>
    <w:p w14:paraId="7F59D4B5"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14:paraId="3442175F"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12.20.- Los contratos a que se refiere este Libro, se adjudicarán a través de licitaciones públicas, mediante convocatoria pública. </w:t>
      </w:r>
    </w:p>
    <w:p w14:paraId="6687557A"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Artículo 12.21.- Las dependencias, entidades y ayuntamientos podrán adjudicar contratos para la ejecución de obra pública o servicios relacionados con la misma mediante las excepciones al procedimiento de licitación siguientes: </w:t>
      </w:r>
    </w:p>
    <w:p w14:paraId="70E70B79"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Invitación restringida; </w:t>
      </w:r>
    </w:p>
    <w:p w14:paraId="6AB01F35"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Adjudicación directa. </w:t>
      </w:r>
    </w:p>
    <w:p w14:paraId="01AA3702"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7A0CF9C7"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Si la dependencia, entidad o ayuntamiento no firmare el contrato dentro del plazo a que se refiere el párrafo anterior, el licitante ganador podrá exigir que se le cubran los gastos que realizo en preparar y elaborar su propuesta. </w:t>
      </w:r>
    </w:p>
    <w:p w14:paraId="5ED72E05"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000D5C66"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Utilizar mano de obra local complementaria, la que necesariamente deberá contratarse por obra determinada; </w:t>
      </w:r>
    </w:p>
    <w:p w14:paraId="1B9E5BB8"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Alquilar equipo y maquinaria de construcción complementaria; </w:t>
      </w:r>
    </w:p>
    <w:p w14:paraId="25317132"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III. Utilizar preferentemente los materiales de la región; </w:t>
      </w:r>
    </w:p>
    <w:p w14:paraId="74D059FC"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IV. Contratar equipos, instrumentos, elementos prefabricados terminados y materiales u otros bienes que deban ser instalados, montados, colocados o aplicados; </w:t>
      </w:r>
    </w:p>
    <w:p w14:paraId="78191C0B"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 Utilizar servicios de fletes y acarreos complementarios. </w:t>
      </w:r>
    </w:p>
    <w:p w14:paraId="7655C9CE"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542BCEC2"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14:paraId="2FA7CA1C"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 xml:space="preserve">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 </w:t>
      </w:r>
    </w:p>
    <w:p w14:paraId="530161A6" w14:textId="77777777" w:rsidR="007B0F29" w:rsidRPr="00B71E8F" w:rsidRDefault="007B0F29">
      <w:pPr>
        <w:spacing w:line="360" w:lineRule="auto"/>
        <w:jc w:val="both"/>
        <w:rPr>
          <w:rFonts w:ascii="Palatino Linotype" w:eastAsia="Palatino Linotype" w:hAnsi="Palatino Linotype" w:cs="Palatino Linotype"/>
          <w:color w:val="000000"/>
        </w:rPr>
      </w:pPr>
    </w:p>
    <w:p w14:paraId="770BF019"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Asimismo, de los preceptos en cita, es importante resaltar que, la ejecución de obra pública puede llevarse a cabo a través de dos vías, la administración directa, o bien, mediante la contratación de terceros.</w:t>
      </w:r>
    </w:p>
    <w:p w14:paraId="2006E446" w14:textId="77777777" w:rsidR="007B0F29" w:rsidRPr="00B71E8F" w:rsidRDefault="007B0F29">
      <w:pPr>
        <w:spacing w:line="360" w:lineRule="auto"/>
        <w:jc w:val="both"/>
        <w:rPr>
          <w:rFonts w:ascii="Palatino Linotype" w:eastAsia="Palatino Linotype" w:hAnsi="Palatino Linotype" w:cs="Palatino Linotype"/>
          <w:color w:val="000000"/>
        </w:rPr>
      </w:pPr>
    </w:p>
    <w:p w14:paraId="43700834"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de manera enunciativa más no limitativa, la referida en el artículo 92, fracción XXIX, de la Ley de la Materia:</w:t>
      </w:r>
    </w:p>
    <w:p w14:paraId="3BF78443" w14:textId="77777777" w:rsidR="007B0F29" w:rsidRPr="00B71E8F" w:rsidRDefault="007B0F29">
      <w:pPr>
        <w:ind w:left="992" w:right="1043"/>
        <w:jc w:val="both"/>
        <w:rPr>
          <w:rFonts w:ascii="Palatino Linotype" w:eastAsia="Palatino Linotype" w:hAnsi="Palatino Linotype" w:cs="Palatino Linotype"/>
          <w:i/>
          <w:sz w:val="22"/>
          <w:szCs w:val="22"/>
        </w:rPr>
      </w:pPr>
    </w:p>
    <w:p w14:paraId="2199E23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27885D0E"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w:t>
      </w:r>
      <w:r w:rsidRPr="00B71E8F">
        <w:rPr>
          <w:rFonts w:ascii="Palatino Linotype" w:eastAsia="Palatino Linotype" w:hAnsi="Palatino Linotype" w:cs="Palatino Linotype"/>
          <w:i/>
          <w:sz w:val="22"/>
          <w:szCs w:val="22"/>
        </w:rPr>
        <w:lastRenderedPageBreak/>
        <w:t xml:space="preserve">naturaleza, incluyendo la versión pública del expediente respectivo y de los contratos celebrados, que deberán contener, por los menos, lo siguiente: </w:t>
      </w:r>
    </w:p>
    <w:p w14:paraId="3566AC5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 De licitaciones públicas o procedimientos de invitación restringida: </w:t>
      </w:r>
    </w:p>
    <w:p w14:paraId="3EEE5FAB"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59D909B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2) Los nombres de los participantes o invitados; </w:t>
      </w:r>
    </w:p>
    <w:p w14:paraId="7655E50D"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3) El nombre del ganador y las razones que lo justifican; </w:t>
      </w:r>
    </w:p>
    <w:p w14:paraId="5841196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4) El área solicitante y la responsable de su ejecución; </w:t>
      </w:r>
    </w:p>
    <w:p w14:paraId="54799EF3"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5) Las convocatorias e invitaciones emitidas; </w:t>
      </w:r>
    </w:p>
    <w:p w14:paraId="58D3B22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6) Los dictámenes y fallo de adjudicación; </w:t>
      </w:r>
    </w:p>
    <w:p w14:paraId="4C65A4BB" w14:textId="77777777" w:rsidR="007B0F29" w:rsidRPr="00B71E8F" w:rsidRDefault="004470FC">
      <w:pPr>
        <w:ind w:left="992" w:right="1043"/>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7) El contrato y, en su caso, sus anexos; </w:t>
      </w:r>
    </w:p>
    <w:p w14:paraId="726D86BA"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6ED683E1" w14:textId="77777777" w:rsidR="007B0F29" w:rsidRPr="00B71E8F" w:rsidRDefault="004470FC">
      <w:pPr>
        <w:ind w:left="992" w:right="1043"/>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368E47C0" w14:textId="77777777" w:rsidR="007B0F29" w:rsidRPr="00B71E8F" w:rsidRDefault="004470FC">
      <w:pPr>
        <w:ind w:left="992" w:right="1043"/>
        <w:jc w:val="both"/>
      </w:pPr>
      <w:r w:rsidRPr="00B71E8F">
        <w:rPr>
          <w:rFonts w:ascii="Palatino Linotype" w:eastAsia="Palatino Linotype" w:hAnsi="Palatino Linotype" w:cs="Palatino Linotype"/>
          <w:b/>
          <w:i/>
          <w:sz w:val="22"/>
          <w:szCs w:val="22"/>
          <w:u w:val="single"/>
        </w:rPr>
        <w:t>10) Origen de los recursos especificando si son federales, estatales o municipales, así como el tipo de fondo de participación o aportación respectiva;</w:t>
      </w:r>
      <w:r w:rsidRPr="00B71E8F">
        <w:rPr>
          <w:rFonts w:ascii="Palatino Linotype" w:eastAsia="Palatino Linotype" w:hAnsi="Palatino Linotype" w:cs="Palatino Linotype"/>
          <w:i/>
          <w:sz w:val="22"/>
          <w:szCs w:val="22"/>
        </w:rPr>
        <w:t xml:space="preserve"> 11) Los convenios modificatorios que, en su caso, sean firmados, precisando el objeto y la fecha de celebración;</w:t>
      </w:r>
      <w:r w:rsidRPr="00B71E8F">
        <w:t xml:space="preserve"> </w:t>
      </w:r>
    </w:p>
    <w:p w14:paraId="0B6351B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12) Los informes de avance físico y financiero sobre las obras o servicios contratados; </w:t>
      </w:r>
    </w:p>
    <w:p w14:paraId="7C429F76"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13) El convenio de terminación; y </w:t>
      </w:r>
    </w:p>
    <w:p w14:paraId="22EC64BC"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14) El finiquito.</w:t>
      </w:r>
    </w:p>
    <w:p w14:paraId="61E1454E"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b) De las adjudicaciones directas: </w:t>
      </w:r>
    </w:p>
    <w:p w14:paraId="1A2CA658"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 La propuesta enviada por el participante; </w:t>
      </w:r>
    </w:p>
    <w:p w14:paraId="3DF62BC0"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2) Los motivos y fundamentos legales aplicados para llevarla a cabo; </w:t>
      </w:r>
    </w:p>
    <w:p w14:paraId="27F93DEB"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3) La autorización del ejercicio de la opción; </w:t>
      </w:r>
    </w:p>
    <w:p w14:paraId="1FC919B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4) En su caso, las cotizaciones consideradas, especificando los nombres de los proveedores y sus montos</w:t>
      </w:r>
      <w:r w:rsidRPr="00B71E8F">
        <w:rPr>
          <w:rFonts w:ascii="Palatino Linotype" w:eastAsia="Palatino Linotype" w:hAnsi="Palatino Linotype" w:cs="Palatino Linotype"/>
          <w:i/>
          <w:sz w:val="22"/>
          <w:szCs w:val="22"/>
        </w:rPr>
        <w:t xml:space="preserve">; </w:t>
      </w:r>
    </w:p>
    <w:p w14:paraId="00EB736C"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5) El nombre de la persona física o jurídica colectiva adjudicada; </w:t>
      </w:r>
    </w:p>
    <w:p w14:paraId="63B79AB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6) La unidad administrativa solicitante y la responsable de su ejecución; </w:t>
      </w:r>
    </w:p>
    <w:p w14:paraId="15B796A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3F1B7C1B"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1C74DFD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9) Los informes de avance sobre las obras o servicios contratados; </w:t>
      </w:r>
    </w:p>
    <w:p w14:paraId="4ABB1DC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10) El convenio de terminación; y </w:t>
      </w:r>
    </w:p>
    <w:p w14:paraId="0771643C"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11) El finiquito.” (Sic) </w:t>
      </w:r>
    </w:p>
    <w:p w14:paraId="241F1396" w14:textId="77777777" w:rsidR="007B0F29" w:rsidRPr="00B71E8F" w:rsidRDefault="007B0F29">
      <w:pPr>
        <w:spacing w:line="360" w:lineRule="auto"/>
        <w:jc w:val="both"/>
        <w:rPr>
          <w:rFonts w:ascii="Palatino Linotype" w:eastAsia="Palatino Linotype" w:hAnsi="Palatino Linotype" w:cs="Palatino Linotype"/>
          <w:color w:val="000000"/>
        </w:rPr>
      </w:pPr>
    </w:p>
    <w:p w14:paraId="573F2766"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Aunado a lo anterior, debe observarse lo establecido en los artículos 8, 214, 215, 217, 218 y 219, del Reglamento del Libro Décimo Segundo del Código Administrativo del Estado de México:</w:t>
      </w:r>
    </w:p>
    <w:p w14:paraId="2CD75FF4"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Artículo 8.- Las dependencias</w:t>
      </w:r>
      <w:r w:rsidRPr="00B71E8F">
        <w:rPr>
          <w:rFonts w:ascii="Palatino Linotype" w:eastAsia="Palatino Linotype" w:hAnsi="Palatino Linotype" w:cs="Palatino Linotype"/>
          <w:i/>
          <w:sz w:val="22"/>
          <w:szCs w:val="22"/>
        </w:rPr>
        <w:t xml:space="preserve">, entidades y, en su caso, </w:t>
      </w:r>
      <w:r w:rsidRPr="00B71E8F">
        <w:rPr>
          <w:rFonts w:ascii="Palatino Linotype" w:eastAsia="Palatino Linotype" w:hAnsi="Palatino Linotype" w:cs="Palatino Linotype"/>
          <w:b/>
          <w:i/>
          <w:sz w:val="22"/>
          <w:szCs w:val="22"/>
        </w:rPr>
        <w:t>los ayuntamientos</w:t>
      </w:r>
      <w:r w:rsidRPr="00B71E8F">
        <w:rPr>
          <w:rFonts w:ascii="Palatino Linotype" w:eastAsia="Palatino Linotype" w:hAnsi="Palatino Linotype" w:cs="Palatino Linotype"/>
          <w:i/>
          <w:sz w:val="22"/>
          <w:szCs w:val="22"/>
        </w:rPr>
        <w:t xml:space="preserve">, al realizar la planeación de una obra pública o servicio, deberán considerar, además de lo previsto en el Libro, lo siguiente: </w:t>
      </w:r>
    </w:p>
    <w:p w14:paraId="5D88DCB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66877653"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La debida realización del análisis de factibilidad técnica, económica, social, ecológica, ambiental y, en su caso, los estudios de costo beneficio; </w:t>
      </w:r>
    </w:p>
    <w:p w14:paraId="75D329F0"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III. La congruencia de la obra con las características ambientales, climáticas y geográficas de la región donde se realizará, así como los impactos previsibles; </w:t>
      </w:r>
    </w:p>
    <w:p w14:paraId="40FCC995"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IV. La determinación de la forma de ejecución, por contrato o administración directa. En el caso de contrato, precisar las áreas responsables de la contratación y la supervisión de los trabajos; y en el caso de obras por administración directa, de los responsables de las áreas de ejecución</w:t>
      </w:r>
      <w:r w:rsidRPr="00B71E8F">
        <w:rPr>
          <w:rFonts w:ascii="Palatino Linotype" w:eastAsia="Palatino Linotype" w:hAnsi="Palatino Linotype" w:cs="Palatino Linotype"/>
          <w:i/>
          <w:sz w:val="22"/>
          <w:szCs w:val="22"/>
        </w:rPr>
        <w:t xml:space="preserve">; </w:t>
      </w:r>
    </w:p>
    <w:p w14:paraId="3CCE3A76"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14:paraId="4EA598D5" w14:textId="77777777" w:rsidR="007B0F29" w:rsidRPr="00B71E8F" w:rsidRDefault="004470FC">
      <w:pPr>
        <w:ind w:left="992" w:right="1043"/>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u w:val="single"/>
        </w:rPr>
        <w:t>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w:t>
      </w:r>
      <w:r w:rsidRPr="00B71E8F">
        <w:rPr>
          <w:rFonts w:ascii="Palatino Linotype" w:eastAsia="Palatino Linotype" w:hAnsi="Palatino Linotype" w:cs="Palatino Linotype"/>
          <w:b/>
          <w:i/>
          <w:sz w:val="22"/>
          <w:szCs w:val="22"/>
        </w:rPr>
        <w:t xml:space="preserve">; </w:t>
      </w:r>
    </w:p>
    <w:p w14:paraId="41E506A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0A3D4EB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VIII. La definición de las obras principales, de infraestructura; de las complementarias, inducidas y accesorias; y de las acciones requeridas para ponerlas en servicio e incorporarlas en el programa general de la obra; </w:t>
      </w:r>
    </w:p>
    <w:p w14:paraId="6D01D410"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IX. La determinación del presupuesto total de la obra y, en su caso, por ejercicios presupuéstales; </w:t>
      </w:r>
    </w:p>
    <w:p w14:paraId="7A31673D"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 La determinación de acciones de adquisición y, en su caso, de regularización de la tenencia de la tierra; y </w:t>
      </w:r>
    </w:p>
    <w:p w14:paraId="5452920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7EBA2FD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214.- La ejecución de los trabajos deberá realizarse en el orden y tiempo previstos en los programas pactados en el contrato. </w:t>
      </w:r>
    </w:p>
    <w:p w14:paraId="47CB89D4"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215.- Para dar inicio a la ejecución de los trabajos, el contratante nombrará al servidor público residente de obra; y el contratista, al superintendente de la obra que lo representará. Cuando la supervisión sea contratada con terceras personas, es conveniente que participe desde el fallo del procedimiento de adjudicación del contrato de obra. </w:t>
      </w:r>
    </w:p>
    <w:p w14:paraId="667361C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217.- Las funciones de la residencia de obra serán: </w:t>
      </w:r>
    </w:p>
    <w:p w14:paraId="737A1DD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Vigilar que se cuente con el oficio de autorización de los recursos presupuestales; </w:t>
      </w:r>
    </w:p>
    <w:p w14:paraId="2ED80DE3"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14:paraId="3199814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III. Abrir la bitácora de obra, la cual quedará bajo su resguardo, y por medio de ella dar las instrucciones pertinentes, y recibir las solicitudes que le formule la supervisión y el contratista; </w:t>
      </w:r>
    </w:p>
    <w:p w14:paraId="6901430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IV. Supervisar, revisar, vigilar y controlar los trabajos; </w:t>
      </w:r>
    </w:p>
    <w:p w14:paraId="7075534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 Vigilar y controlar el desarrollo de los trabajos, en sus aspectos de tiempo, calidad, costo y apego a los programas de ejecución de los trabajos de acuerdo con los avances, recursos asignados, rendimientos y consumos pactados en el contrato; </w:t>
      </w:r>
    </w:p>
    <w:p w14:paraId="6008048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218.- La supervisión es el auxiliar de la residencia de obra. Tendrá las funciones que se señalan en este Reglamento, así como las que, en su caso, se pacten en el contrato de supervisión. </w:t>
      </w:r>
    </w:p>
    <w:p w14:paraId="2EA1E10B"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Para tal función se deberá contar con la certificación de conocimientos y habilidades en la materia. </w:t>
      </w:r>
    </w:p>
    <w:p w14:paraId="1343397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219.- Las funciones de la supervisión serán: </w:t>
      </w:r>
    </w:p>
    <w:p w14:paraId="1500553D"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14:paraId="48D2B1D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 </w:t>
      </w:r>
    </w:p>
    <w:p w14:paraId="55FC82A8"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III. Integrar y mantener en orden y actualizado el archivo y documentación derivada de la realización de los trabajos, el que contendrá, entre otros: a. Contrato, convenios, programas de obra y suministros, números generadores, cantidades de obra realizadas y faltantes de ejecutar y presupuesto; b. Permisos, licencias y autorizaciones; c. Especificaciones de construcción y procedimientos constructivos; d. Registro y control de la bitácora y de las minutas de las juntas de obra; e. Copia de planos y sus modificaciones; f. Matrices de precios unitarios o cédula de avances y pagos programados, según corresponda; g. Estimaciones; h. Reportes de laboratorio y resultado de las pruebas, y i. Manuales y garantía de la maquinaria y equipo…”(Sic)</w:t>
      </w:r>
    </w:p>
    <w:p w14:paraId="532D37CE" w14:textId="77777777" w:rsidR="007B0F29" w:rsidRPr="00B71E8F" w:rsidRDefault="007B0F29">
      <w:pPr>
        <w:spacing w:line="360" w:lineRule="auto"/>
        <w:jc w:val="both"/>
        <w:rPr>
          <w:rFonts w:ascii="Palatino Linotype" w:eastAsia="Palatino Linotype" w:hAnsi="Palatino Linotype" w:cs="Palatino Linotype"/>
          <w:color w:val="000000"/>
        </w:rPr>
      </w:pPr>
    </w:p>
    <w:p w14:paraId="08C2AC56"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En donde se establece que los Ayuntamientos, en este caso el Ayuntamiento de Toluca en cada proyecto que realice deberá conocer </w:t>
      </w:r>
      <w:r w:rsidRPr="00B71E8F">
        <w:rPr>
          <w:rFonts w:ascii="Palatino Linotype" w:eastAsia="Palatino Linotype" w:hAnsi="Palatino Linotype" w:cs="Palatino Linotype"/>
          <w:b/>
          <w:color w:val="000000"/>
          <w:u w:val="single"/>
        </w:rPr>
        <w:t>los materiales, productos, equipos y procedimientos de construcción que satisfagan los requerimientos técnicos y económicos del proyecto</w:t>
      </w:r>
      <w:r w:rsidRPr="00B71E8F">
        <w:rPr>
          <w:rFonts w:ascii="Palatino Linotype" w:eastAsia="Palatino Linotype" w:hAnsi="Palatino Linotype" w:cs="Palatino Linotype"/>
          <w:color w:val="000000"/>
        </w:rPr>
        <w:t xml:space="preserve">, considerando preferentemente el empleo de los recursos humanos y los materiales propios de la región donde se ubiquen las obras. </w:t>
      </w:r>
    </w:p>
    <w:p w14:paraId="2F5A1232" w14:textId="77777777" w:rsidR="007B0F29" w:rsidRPr="00B71E8F" w:rsidRDefault="007B0F29">
      <w:pPr>
        <w:spacing w:line="360" w:lineRule="auto"/>
        <w:jc w:val="both"/>
        <w:rPr>
          <w:rFonts w:ascii="Palatino Linotype" w:eastAsia="Palatino Linotype" w:hAnsi="Palatino Linotype" w:cs="Palatino Linotype"/>
          <w:color w:val="000000"/>
        </w:rPr>
      </w:pPr>
    </w:p>
    <w:p w14:paraId="2D78CF6C"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Ahora bien, los artículos 22, 24, fracción II, 26 y 27, de la Ley de Contratación Pública del Estado de México y Municipios precisan, a su vez, lo siguiente:</w:t>
      </w:r>
    </w:p>
    <w:p w14:paraId="0EBA321C" w14:textId="77777777" w:rsidR="007B0F29" w:rsidRPr="00B71E8F" w:rsidRDefault="007B0F29">
      <w:pPr>
        <w:spacing w:line="360" w:lineRule="auto"/>
        <w:jc w:val="both"/>
        <w:rPr>
          <w:rFonts w:ascii="Palatino Linotype" w:eastAsia="Palatino Linotype" w:hAnsi="Palatino Linotype" w:cs="Palatino Linotype"/>
          <w:color w:val="000000"/>
        </w:rPr>
      </w:pPr>
    </w:p>
    <w:p w14:paraId="182127C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22.- Los comités son órganos colegiados con facultades de opinión, que tienen por objeto auxiliar a la Secretaría, entidades, tribunales administrativos y ayuntamientos, en la substanciación de los procedimientos </w:t>
      </w:r>
      <w:r w:rsidRPr="00B71E8F">
        <w:rPr>
          <w:rFonts w:ascii="Palatino Linotype" w:eastAsia="Palatino Linotype" w:hAnsi="Palatino Linotype" w:cs="Palatino Linotype"/>
          <w:i/>
          <w:sz w:val="22"/>
          <w:szCs w:val="22"/>
        </w:rPr>
        <w:lastRenderedPageBreak/>
        <w:t xml:space="preserve">de adquisiciones y de servicios, de conformidad con el Reglamento y los manuales de operación. </w:t>
      </w:r>
    </w:p>
    <w:p w14:paraId="4AFFBB55"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En la Secretaría, en cada entidad, tribunal administrativo y ayuntamiento se constituirá un comité de adquisiciones y servicios. </w:t>
      </w:r>
    </w:p>
    <w:p w14:paraId="4FC2950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La Secretaría, las entidades, los tribunales administrativos y los ayuntamientos se auxiliarán de un comité de arrendamientos, adquisiciones de inmuebles y enajenaciones. </w:t>
      </w:r>
    </w:p>
    <w:p w14:paraId="76DB1B2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24.- El comité de arrendamientos, adquisiciones de inmuebles y enajenaciones tendrá las funciones siguientes: </w:t>
      </w:r>
    </w:p>
    <w:p w14:paraId="4EACC40A"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w:t>
      </w:r>
    </w:p>
    <w:p w14:paraId="54E981A2"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Participar en los procedimientos de licitación, invitación restringida y adjudicación directa, hasta dejarlos en estado de dictar el fallo correspondiente, tratándose de adquisición de inmuebles y arrendamientos. </w:t>
      </w:r>
    </w:p>
    <w:p w14:paraId="1D1F011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25.- La integración y el funcionamiento de los comités a que se refiere el presente capítulo se determinará en el reglamento de esta Ley. </w:t>
      </w:r>
    </w:p>
    <w:p w14:paraId="49789B27"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26.- Las adquisiciones, arrendamientos y servicios se adjudicarán a través de licitaciones públicas, mediante convocatoria pública. </w:t>
      </w:r>
    </w:p>
    <w:p w14:paraId="32E506ED"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1747912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Invitación restringida. </w:t>
      </w:r>
    </w:p>
    <w:p w14:paraId="2F997ECF"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II. Adjudicación directa</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2EA290A9" w14:textId="77777777" w:rsidR="007B0F29" w:rsidRPr="00B71E8F" w:rsidRDefault="007B0F29">
      <w:pPr>
        <w:spacing w:line="360" w:lineRule="auto"/>
        <w:jc w:val="both"/>
        <w:rPr>
          <w:rFonts w:ascii="Palatino Linotype" w:eastAsia="Palatino Linotype" w:hAnsi="Palatino Linotype" w:cs="Palatino Linotype"/>
          <w:color w:val="000000"/>
        </w:rPr>
      </w:pPr>
    </w:p>
    <w:p w14:paraId="2D94657C"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Bajo esa óptica, los artículos 43 y 44 del Reglamento de la Ley de Contratación Pública del Estado de México y Municipios, indican:</w:t>
      </w:r>
    </w:p>
    <w:p w14:paraId="31060177"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43.- La Secretaría, organismos auxiliares, tribunales administrativos y municipios, se auxiliarán de un Comité de Adquisiciones y Servicios, para la substanciación de los procedimientos de adquisición regulados en la Ley. </w:t>
      </w:r>
    </w:p>
    <w:p w14:paraId="4E730DA4"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44.- El Comité de Adquisiciones y Servicios se integrará por: </w:t>
      </w:r>
    </w:p>
    <w:p w14:paraId="2EDF3D7F"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454700B6"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II. Un representante del área financiera de la Secretaría, entidad, tribunal administrativo o municipio, con función de vocal; </w:t>
      </w:r>
    </w:p>
    <w:p w14:paraId="4FF31C36"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III. Un representante de cada dependencia o unidad administrativa interesada en la adquisición de los bienes o contratación del servicio, con función de vocal; IV. Un representante de la Consejería Jurídica o del área jurídica respectiva o quien lleve a cabo las funciones de esta naturaleza, con función de vocal; </w:t>
      </w:r>
    </w:p>
    <w:p w14:paraId="3C8E1224"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 Un representante del Órgano de Control, con función de vocal; y </w:t>
      </w:r>
    </w:p>
    <w:p w14:paraId="315AD6B5"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VI. Un secretario ejecutivo, que será designado por el presidente. 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04EB9940"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w:t>
      </w:r>
    </w:p>
    <w:p w14:paraId="5D62E844"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En caso de empate, el presidente tendrá voto de calidad. A las sesiones del comité podrá invitarse a cualquier persona cuya intervención se considere necesaria por el secretario ejecutivo, para aclarar aspectos técnicos o administrativos relacionados con los asuntos sometidos al comité. </w:t>
      </w:r>
    </w:p>
    <w:p w14:paraId="36756580"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Los integrantes del comité designarán por escrito a sus respectivos suplentes, y sólo participarán en ausencia del titular. </w:t>
      </w:r>
    </w:p>
    <w:p w14:paraId="50C3AF73" w14:textId="77777777" w:rsidR="007B0F29" w:rsidRPr="00B71E8F" w:rsidRDefault="004470FC">
      <w:pPr>
        <w:spacing w:before="240"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Los cargos de los integrantes del comité serán honoríficos</w:t>
      </w:r>
      <w:proofErr w:type="gramStart"/>
      <w:r w:rsidRPr="00B71E8F">
        <w:rPr>
          <w:rFonts w:ascii="Palatino Linotype" w:eastAsia="Palatino Linotype" w:hAnsi="Palatino Linotype" w:cs="Palatino Linotype"/>
          <w:i/>
          <w:sz w:val="22"/>
          <w:szCs w:val="22"/>
        </w:rPr>
        <w:t>. ”</w:t>
      </w:r>
      <w:proofErr w:type="gramEnd"/>
      <w:r w:rsidRPr="00B71E8F">
        <w:rPr>
          <w:rFonts w:ascii="Palatino Linotype" w:eastAsia="Palatino Linotype" w:hAnsi="Palatino Linotype" w:cs="Palatino Linotype"/>
          <w:i/>
          <w:sz w:val="22"/>
          <w:szCs w:val="22"/>
        </w:rPr>
        <w:t xml:space="preserve"> (Sic)</w:t>
      </w:r>
    </w:p>
    <w:p w14:paraId="7E2EA158"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En virtud de lo anterior, se advierte que </w:t>
      </w:r>
      <w:r w:rsidRPr="00B71E8F">
        <w:rPr>
          <w:rFonts w:ascii="Palatino Linotype" w:eastAsia="Palatino Linotype" w:hAnsi="Palatino Linotype" w:cs="Palatino Linotype"/>
          <w:b/>
          <w:color w:val="000000"/>
        </w:rPr>
        <w:t>EL</w:t>
      </w:r>
      <w:r w:rsidRPr="00B71E8F">
        <w:rPr>
          <w:rFonts w:ascii="Palatino Linotype" w:eastAsia="Palatino Linotype" w:hAnsi="Palatino Linotype" w:cs="Palatino Linotype"/>
          <w:color w:val="000000"/>
        </w:rPr>
        <w:t xml:space="preserve"> </w:t>
      </w:r>
      <w:r w:rsidRPr="00B71E8F">
        <w:rPr>
          <w:rFonts w:ascii="Palatino Linotype" w:eastAsia="Palatino Linotype" w:hAnsi="Palatino Linotype" w:cs="Palatino Linotype"/>
          <w:b/>
          <w:color w:val="000000"/>
        </w:rPr>
        <w:t>SUJETO OBLIGADO</w:t>
      </w:r>
      <w:r w:rsidRPr="00B71E8F">
        <w:rPr>
          <w:rFonts w:ascii="Palatino Linotype" w:eastAsia="Palatino Linotype" w:hAnsi="Palatino Linotype" w:cs="Palatino Linotype"/>
          <w:color w:val="000000"/>
        </w:rPr>
        <w:t xml:space="preserve"> acorde a sus atribuciones, funciones, facultades o competencias se encuentra en posibilidad de celebrar contratos de obra pública y generar diverso tipo de información relativa a la ejecución de las mismas, tales como las señaladas, de manera ejemplificativa en la solicitud como lo es la c</w:t>
      </w:r>
      <w:r w:rsidRPr="00B71E8F">
        <w:rPr>
          <w:rFonts w:ascii="Palatino Linotype" w:eastAsia="Palatino Linotype" w:hAnsi="Palatino Linotype" w:cs="Palatino Linotype"/>
        </w:rPr>
        <w:t xml:space="preserve">antidad y denominación del material comprado y utilizado para la obra y el Origen de los recursos especificando si son federales, estatales o </w:t>
      </w:r>
      <w:r w:rsidRPr="00B71E8F">
        <w:rPr>
          <w:rFonts w:ascii="Palatino Linotype" w:eastAsia="Palatino Linotype" w:hAnsi="Palatino Linotype" w:cs="Palatino Linotype"/>
        </w:rPr>
        <w:lastRenderedPageBreak/>
        <w:t>municipales, así como el tipo de fondo de participación o aportación respectiva</w:t>
      </w:r>
      <w:r w:rsidRPr="00B71E8F">
        <w:rPr>
          <w:rFonts w:ascii="Palatino Linotype" w:eastAsia="Palatino Linotype" w:hAnsi="Palatino Linotype" w:cs="Palatino Linotype"/>
          <w:color w:val="000000"/>
        </w:rPr>
        <w:t xml:space="preserve">; por tanto, este Organismo Garante advierte la presencia de elementos suficientes para concluir que </w:t>
      </w:r>
      <w:r w:rsidRPr="00B71E8F">
        <w:rPr>
          <w:rFonts w:ascii="Palatino Linotype" w:eastAsia="Palatino Linotype" w:hAnsi="Palatino Linotype" w:cs="Palatino Linotype"/>
          <w:b/>
          <w:color w:val="000000"/>
        </w:rPr>
        <w:t>el SUJETO OBLIGADO</w:t>
      </w:r>
      <w:r w:rsidRPr="00B71E8F">
        <w:rPr>
          <w:rFonts w:ascii="Palatino Linotype" w:eastAsia="Palatino Linotype" w:hAnsi="Palatino Linotype" w:cs="Palatino Linotype"/>
          <w:color w:val="000000"/>
        </w:rPr>
        <w:t xml:space="preserve">, puede contar en sus archivos con la información requerida </w:t>
      </w:r>
      <w:r w:rsidRPr="00B71E8F">
        <w:rPr>
          <w:rFonts w:ascii="Palatino Linotype" w:eastAsia="Palatino Linotype" w:hAnsi="Palatino Linotype" w:cs="Palatino Linotype"/>
          <w:b/>
          <w:color w:val="000000"/>
        </w:rPr>
        <w:t>por la parte RECURRENTE</w:t>
      </w:r>
      <w:r w:rsidRPr="00B71E8F">
        <w:rPr>
          <w:rFonts w:ascii="Palatino Linotype" w:eastAsia="Palatino Linotype" w:hAnsi="Palatino Linotype" w:cs="Palatino Linotype"/>
          <w:color w:val="000000"/>
        </w:rPr>
        <w:t>.</w:t>
      </w:r>
    </w:p>
    <w:p w14:paraId="5DF0B39D" w14:textId="77777777" w:rsidR="007B0F29" w:rsidRPr="00B71E8F" w:rsidRDefault="007B0F29">
      <w:pPr>
        <w:spacing w:line="360" w:lineRule="auto"/>
        <w:jc w:val="both"/>
        <w:rPr>
          <w:rFonts w:ascii="Palatino Linotype" w:eastAsia="Palatino Linotype" w:hAnsi="Palatino Linotype" w:cs="Palatino Linotype"/>
        </w:rPr>
      </w:pPr>
    </w:p>
    <w:p w14:paraId="7627779B" w14:textId="77777777" w:rsidR="007B0F29" w:rsidRPr="00B71E8F" w:rsidRDefault="004470FC">
      <w:pP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rPr>
        <w:t xml:space="preserve">Máxime, que los procedimientos de licitación pública, o bien, de manera excepcional, mediante los procedimientos de invitación restringida </w:t>
      </w:r>
      <w:r w:rsidRPr="00B71E8F">
        <w:rPr>
          <w:rFonts w:ascii="Palatino Linotype" w:eastAsia="Palatino Linotype" w:hAnsi="Palatino Linotype" w:cs="Palatino Linotype"/>
          <w:color w:val="000000"/>
        </w:rPr>
        <w:t>y adjudicación directa, es una obligación de transparencia que se debe publicar en el IPOMEX (Información pública de oficio mexiquense), de la cual se debe generar expediente respectivo, en términos de los señalado por el artículo 92, fracción XXIX, de la Ley de la Materia, previamente señalado.</w:t>
      </w:r>
    </w:p>
    <w:p w14:paraId="632472E3" w14:textId="77777777" w:rsidR="007B0F29" w:rsidRPr="00B71E8F" w:rsidRDefault="007B0F29">
      <w:pPr>
        <w:spacing w:line="360" w:lineRule="auto"/>
        <w:jc w:val="both"/>
        <w:rPr>
          <w:rFonts w:ascii="Palatino Linotype" w:eastAsia="Palatino Linotype" w:hAnsi="Palatino Linotype" w:cs="Palatino Linotype"/>
          <w:color w:val="000000"/>
        </w:rPr>
      </w:pPr>
    </w:p>
    <w:p w14:paraId="085858CB"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Lo que se</w:t>
      </w:r>
      <w:r w:rsidRPr="00B71E8F">
        <w:rPr>
          <w:rFonts w:ascii="Palatino Linotype" w:eastAsia="Palatino Linotype" w:hAnsi="Palatino Linotype" w:cs="Palatino Linotype"/>
          <w:i/>
          <w:sz w:val="22"/>
          <w:szCs w:val="22"/>
        </w:rPr>
        <w:t xml:space="preserve"> </w:t>
      </w:r>
      <w:r w:rsidRPr="00B71E8F">
        <w:rPr>
          <w:rFonts w:ascii="Palatino Linotype" w:eastAsia="Palatino Linotype" w:hAnsi="Palatino Linotype" w:cs="Palatino Linotype"/>
        </w:rPr>
        <w:t xml:space="preserve">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15">
        <w:r w:rsidRPr="00B71E8F">
          <w:rPr>
            <w:rFonts w:ascii="Palatino Linotype" w:eastAsia="Palatino Linotype" w:hAnsi="Palatino Linotype" w:cs="Palatino Linotype"/>
            <w:color w:val="0000FF"/>
            <w:u w:val="single"/>
          </w:rPr>
          <w:t>https://www.transparencia.ipn.mx/Apoyo/SIPOT/LTG_DOF28122020.pdf</w:t>
        </w:r>
      </w:hyperlink>
      <w:r w:rsidRPr="00B71E8F">
        <w:rPr>
          <w:rFonts w:ascii="Palatino Linotype" w:eastAsia="Palatino Linotype" w:hAnsi="Palatino Linotype" w:cs="Palatino Linotype"/>
        </w:rPr>
        <w:t xml:space="preserve">) para publicar la información de los procedimientos </w:t>
      </w:r>
      <w:r w:rsidRPr="00B71E8F">
        <w:t xml:space="preserve">de </w:t>
      </w:r>
      <w:r w:rsidRPr="00B71E8F">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40530D8E" w14:textId="77777777" w:rsidR="007B0F29" w:rsidRPr="00B71E8F" w:rsidRDefault="007B0F29">
      <w:pPr>
        <w:spacing w:line="360" w:lineRule="auto"/>
        <w:jc w:val="both"/>
        <w:rPr>
          <w:rFonts w:ascii="Palatino Linotype" w:eastAsia="Palatino Linotype" w:hAnsi="Palatino Linotype" w:cs="Palatino Linotype"/>
        </w:rPr>
      </w:pPr>
    </w:p>
    <w:p w14:paraId="4D3BE810"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0E4281BC" w14:textId="77777777" w:rsidR="007B0F29" w:rsidRPr="00B71E8F" w:rsidRDefault="004470FC">
      <w:pPr>
        <w:ind w:left="851" w:right="851"/>
        <w:jc w:val="both"/>
        <w:rPr>
          <w:rFonts w:ascii="Palatino Linotype" w:eastAsia="Palatino Linotype" w:hAnsi="Palatino Linotype" w:cs="Palatino Linotype"/>
          <w:b/>
          <w:i/>
          <w:sz w:val="22"/>
          <w:szCs w:val="22"/>
          <w:u w:val="single"/>
        </w:rPr>
      </w:pPr>
      <w:r w:rsidRPr="00B71E8F">
        <w:rPr>
          <w:rFonts w:ascii="Palatino Linotype" w:eastAsia="Palatino Linotype" w:hAnsi="Palatino Linotype" w:cs="Palatino Linotype"/>
          <w:b/>
          <w:i/>
          <w:sz w:val="22"/>
          <w:szCs w:val="22"/>
          <w:u w:val="single"/>
        </w:rPr>
        <w:t xml:space="preserve">a) De licitaciones públicas o procedimientos de invitación restringida: </w:t>
      </w:r>
    </w:p>
    <w:p w14:paraId="2877CD8F"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1715ACA3"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2. Los nombres de los participantes o invitados; </w:t>
      </w:r>
    </w:p>
    <w:p w14:paraId="358C99D8"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3. El nombre del ganador y las razones que lo justifican; </w:t>
      </w:r>
    </w:p>
    <w:p w14:paraId="6DF6C8E2"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4. El área solicitante y la responsable de su ejecución; </w:t>
      </w:r>
    </w:p>
    <w:p w14:paraId="2F858901"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5. Las convocatorias e invitaciones emitidas; </w:t>
      </w:r>
    </w:p>
    <w:p w14:paraId="30E5AB6E"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6. Los dictámenes y fallo de adjudicación; </w:t>
      </w:r>
    </w:p>
    <w:p w14:paraId="75EE5A0C" w14:textId="77777777" w:rsidR="007B0F29" w:rsidRPr="00B71E8F" w:rsidRDefault="004470FC">
      <w:pPr>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i/>
          <w:sz w:val="22"/>
          <w:szCs w:val="22"/>
        </w:rPr>
        <w:t>7</w:t>
      </w:r>
      <w:r w:rsidRPr="00B71E8F">
        <w:rPr>
          <w:rFonts w:ascii="Palatino Linotype" w:eastAsia="Palatino Linotype" w:hAnsi="Palatino Linotype" w:cs="Palatino Linotype"/>
          <w:b/>
          <w:i/>
          <w:sz w:val="22"/>
          <w:szCs w:val="22"/>
        </w:rPr>
        <w:t xml:space="preserve">. El contrato y, en su caso, sus anexos; </w:t>
      </w:r>
    </w:p>
    <w:p w14:paraId="54017C50"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580AEFF0"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6A3B317" w14:textId="77777777" w:rsidR="007B0F29" w:rsidRPr="00B71E8F" w:rsidRDefault="004470FC">
      <w:pPr>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10. Origen de los recursos especificando si son federales, estatales o municipales, así como el tipo de fondo de participación o aportación respectiva; </w:t>
      </w:r>
    </w:p>
    <w:p w14:paraId="411A3838"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25EBA565" w14:textId="77777777" w:rsidR="007B0F29" w:rsidRPr="00B71E8F" w:rsidRDefault="004470FC">
      <w:pPr>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12. Los informes de avance físico y financiero sobre las obras o servicios contratados; </w:t>
      </w:r>
    </w:p>
    <w:p w14:paraId="5C34E07E"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13. El convenio de terminación; y </w:t>
      </w:r>
    </w:p>
    <w:p w14:paraId="73952294"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14. El finiquito.</w:t>
      </w:r>
    </w:p>
    <w:p w14:paraId="3B5C7BAE"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u w:val="single"/>
        </w:rPr>
        <w:t xml:space="preserve"> b) De las adjudicaciones directas</w:t>
      </w:r>
      <w:r w:rsidRPr="00B71E8F">
        <w:rPr>
          <w:rFonts w:ascii="Palatino Linotype" w:eastAsia="Palatino Linotype" w:hAnsi="Palatino Linotype" w:cs="Palatino Linotype"/>
          <w:b/>
          <w:i/>
          <w:sz w:val="22"/>
          <w:szCs w:val="22"/>
        </w:rPr>
        <w:t>:</w:t>
      </w:r>
      <w:r w:rsidRPr="00B71E8F">
        <w:rPr>
          <w:rFonts w:ascii="Palatino Linotype" w:eastAsia="Palatino Linotype" w:hAnsi="Palatino Linotype" w:cs="Palatino Linotype"/>
          <w:i/>
          <w:sz w:val="22"/>
          <w:szCs w:val="22"/>
        </w:rPr>
        <w:t xml:space="preserve"> </w:t>
      </w:r>
    </w:p>
    <w:p w14:paraId="66019C0C"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1. La propuesta enviada por el participante; </w:t>
      </w:r>
    </w:p>
    <w:p w14:paraId="66CC7064"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2. Los motivos y fundamentos legales aplicados para llevarla a cabo; </w:t>
      </w:r>
    </w:p>
    <w:p w14:paraId="4C00AC15"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3. La autorización del ejercicio de la opción; </w:t>
      </w:r>
    </w:p>
    <w:p w14:paraId="50D66FDA"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4D8DF050"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5. El nombre de la persona física o moral adjudicada; </w:t>
      </w:r>
    </w:p>
    <w:p w14:paraId="5948F90A"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6. La unidad administrativa solicitante y la responsable de su ejecución; </w:t>
      </w:r>
    </w:p>
    <w:p w14:paraId="5F86D583"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52B9FD79"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443DE09A"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9. Los informes de avance sobre las obras o servicios contratados</w:t>
      </w:r>
      <w:r w:rsidRPr="00B71E8F">
        <w:rPr>
          <w:rFonts w:ascii="Palatino Linotype" w:eastAsia="Palatino Linotype" w:hAnsi="Palatino Linotype" w:cs="Palatino Linotype"/>
          <w:i/>
          <w:sz w:val="22"/>
          <w:szCs w:val="22"/>
        </w:rPr>
        <w:t xml:space="preserve">; </w:t>
      </w:r>
    </w:p>
    <w:p w14:paraId="14DE3F07" w14:textId="77777777" w:rsidR="007B0F29" w:rsidRPr="00B71E8F" w:rsidRDefault="004470FC">
      <w:pPr>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10. El convenio de terminación; y </w:t>
      </w:r>
    </w:p>
    <w:p w14:paraId="2D24A32C"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11. El finiquito. </w:t>
      </w:r>
    </w:p>
    <w:p w14:paraId="7194883A"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6A3B1094"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76F7F32D"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Licitación pública </w:t>
      </w:r>
    </w:p>
    <w:p w14:paraId="2138F764"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Invitación a cuando menos tres personas (restringida) </w:t>
      </w:r>
    </w:p>
    <w:p w14:paraId="21777C7D"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Adjudicación directa Para cada tipo de procedimiento se deberá especificar la materia: </w:t>
      </w:r>
    </w:p>
    <w:p w14:paraId="7FEF93FC"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Obra pública </w:t>
      </w:r>
    </w:p>
    <w:p w14:paraId="250D1CD1"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Servicios relacionados con obra pública </w:t>
      </w:r>
    </w:p>
    <w:p w14:paraId="0317318E"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Arrendamiento </w:t>
      </w:r>
    </w:p>
    <w:p w14:paraId="2BD4CDD5"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Adquisición o </w:t>
      </w:r>
    </w:p>
    <w:p w14:paraId="1DE93588"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Servicios </w:t>
      </w:r>
    </w:p>
    <w:p w14:paraId="16B76206"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Y el carácter: </w:t>
      </w:r>
    </w:p>
    <w:p w14:paraId="14383BD3"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Nacional </w:t>
      </w:r>
    </w:p>
    <w:p w14:paraId="4C5BD79B"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Internacional (en cualquier modalidad específica) </w:t>
      </w:r>
    </w:p>
    <w:p w14:paraId="7A6B39DC"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14:paraId="7E97A3FB"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Los sujetos obligados deberán asegurarse de que la información publicada en esta sección mantenga correspondencia y coherencia, con lo publicado en el sistema </w:t>
      </w:r>
      <w:r w:rsidRPr="00B71E8F">
        <w:rPr>
          <w:rFonts w:ascii="Palatino Linotype" w:eastAsia="Palatino Linotype" w:hAnsi="Palatino Linotype" w:cs="Palatino Linotype"/>
          <w:i/>
          <w:sz w:val="22"/>
          <w:szCs w:val="22"/>
        </w:rPr>
        <w:lastRenderedPageBreak/>
        <w:t>electrónico de información pública gubernamental sobre contrataciones, concursos, licitaciones, adquisiciones, arrendamientos y servicios, que en su caso cada entidad federativa desarrolle y administre.</w:t>
      </w:r>
    </w:p>
    <w:p w14:paraId="1A7AC627"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w:t>
      </w:r>
    </w:p>
    <w:p w14:paraId="73108448"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Párrafo Modificado DOF 28/12/2020 </w:t>
      </w:r>
    </w:p>
    <w:p w14:paraId="5BAFAE3F" w14:textId="77777777" w:rsidR="007B0F29" w:rsidRPr="00B71E8F" w:rsidRDefault="004470FC">
      <w:pPr>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Aplica a: todos los sujetos obligados” (Sic)</w:t>
      </w:r>
    </w:p>
    <w:p w14:paraId="7DBC9CE5" w14:textId="77777777" w:rsidR="007B0F29" w:rsidRPr="00B71E8F" w:rsidRDefault="004470FC">
      <w:pPr>
        <w:spacing w:line="360" w:lineRule="auto"/>
        <w:jc w:val="both"/>
        <w:rPr>
          <w:rFonts w:ascii="Palatino Linotype" w:eastAsia="Palatino Linotype" w:hAnsi="Palatino Linotype" w:cs="Palatino Linotype"/>
          <w:u w:val="single"/>
        </w:rPr>
      </w:pPr>
      <w:r w:rsidRPr="00B71E8F">
        <w:rPr>
          <w:rFonts w:ascii="Palatino Linotype" w:eastAsia="Palatino Linotype" w:hAnsi="Palatino Linotype" w:cs="Palatino Linotype"/>
          <w:u w:val="single"/>
        </w:rPr>
        <w:t xml:space="preserve">Asimismo de lo anterior se advierte que existen informes financieros sobre la obra, en donde deben constar todo lo realizado con los recursos económicos por parte del proveedor o contratistas encargado de la obra; es decir, que se debe informar todo lo ejecutado con los recursos públicos proporcionados por el </w:t>
      </w:r>
      <w:r w:rsidRPr="00B71E8F">
        <w:rPr>
          <w:rFonts w:ascii="Palatino Linotype" w:eastAsia="Palatino Linotype" w:hAnsi="Palatino Linotype" w:cs="Palatino Linotype"/>
          <w:b/>
          <w:u w:val="single"/>
        </w:rPr>
        <w:t>SUJETO OBLIGADO</w:t>
      </w:r>
      <w:r w:rsidRPr="00B71E8F">
        <w:rPr>
          <w:rFonts w:ascii="Palatino Linotype" w:eastAsia="Palatino Linotype" w:hAnsi="Palatino Linotype" w:cs="Palatino Linotype"/>
          <w:u w:val="single"/>
        </w:rPr>
        <w:t xml:space="preserve"> por el contratista o proveedor contratado para la realización de la obra pública, en donde pudiere constar todo lo comprado y utilizado para la obra señalada en la solicitud de acceso a la información pública con el recurso público denominado Fondo Estatal de Fortalecimiento Municipal.</w:t>
      </w:r>
    </w:p>
    <w:p w14:paraId="47DC009E" w14:textId="77777777" w:rsidR="007B0F29" w:rsidRPr="00B71E8F" w:rsidRDefault="007B0F29">
      <w:pPr>
        <w:spacing w:line="360" w:lineRule="auto"/>
        <w:jc w:val="both"/>
        <w:rPr>
          <w:rFonts w:ascii="Palatino Linotype" w:eastAsia="Palatino Linotype" w:hAnsi="Palatino Linotype" w:cs="Palatino Linotype"/>
          <w:color w:val="FF0000"/>
        </w:rPr>
      </w:pPr>
    </w:p>
    <w:p w14:paraId="5E1077F3"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Precisado lo anterior, regresando con la respuesta si bien es cierto que la Dirección General de Desarrollo Urbano, Ordenamiento Territorial y Obras Públicas del Ayuntamiento de Toluca, informó que no está ejecutando ninguna obra, siendo el área competente para conocer de la información solicita en términos de lo señalado </w:t>
      </w:r>
    </w:p>
    <w:p w14:paraId="38D69B37" w14:textId="2AAB1AB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por el artículo 3.55 </w:t>
      </w:r>
      <w:r w:rsidR="003F715F" w:rsidRPr="00B71E8F">
        <w:rPr>
          <w:rFonts w:ascii="Palatino Linotype" w:eastAsia="Palatino Linotype" w:hAnsi="Palatino Linotype" w:cs="Palatino Linotype"/>
        </w:rPr>
        <w:t>del Código</w:t>
      </w:r>
      <w:r w:rsidRPr="00B71E8F">
        <w:rPr>
          <w:rFonts w:ascii="Palatino Linotype" w:eastAsia="Palatino Linotype" w:hAnsi="Palatino Linotype" w:cs="Palatino Linotype"/>
        </w:rPr>
        <w:t xml:space="preserve"> Reglamentario Municipal de Toluca, que señala:</w:t>
      </w:r>
    </w:p>
    <w:p w14:paraId="1C0D6313" w14:textId="77777777" w:rsidR="007B0F29" w:rsidRPr="00B71E8F" w:rsidRDefault="007B0F29">
      <w:pPr>
        <w:spacing w:line="360" w:lineRule="auto"/>
        <w:jc w:val="both"/>
        <w:rPr>
          <w:rFonts w:ascii="Palatino Linotype" w:eastAsia="Palatino Linotype" w:hAnsi="Palatino Linotype" w:cs="Palatino Linotype"/>
        </w:rPr>
      </w:pPr>
    </w:p>
    <w:p w14:paraId="489E9E6D"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3.55. La o el titular de la Dirección de Obras Públicas, tendrá las siguientes atribuciones: </w:t>
      </w:r>
    </w:p>
    <w:p w14:paraId="0830A33A"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 Desarrollar, proponer y ejecutar el Programa Anual de Obra en los términos establecidos por la normatividad aplicable, así como proponer y solicitar las modificaciones y reconducciones necesarias al mismo; </w:t>
      </w:r>
    </w:p>
    <w:p w14:paraId="4CF2A390"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II. Coordinar actos relativos a la planeación, programación, presupuestación, adjudicación y contratación de la obra pública, cuidando que los mismos se proyecten con perspectiva de género; así como los servicios relacionados con las mismas; </w:t>
      </w:r>
    </w:p>
    <w:p w14:paraId="1379ADB2"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III. Proyectar las obras públicas y servicios relacionados, incluyendo la construcción de edificios públicos, monumentos y bienes de uso común;</w:t>
      </w:r>
    </w:p>
    <w:p w14:paraId="3E094C19"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IV. Planear, dirigir, organizar y ejecutar, en coordinación con las autoridades estatales competentes, programas de construcción y mantenimiento a las vialidades del municipio de Toluca; </w:t>
      </w:r>
    </w:p>
    <w:p w14:paraId="05B92B09"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V. Programar, coadyuvar y ejecutar la construcción de edificios, monumentos, bienes de uso común, avenidas, calles, caminos y todo tipo de vialidades e infraestructura urbana de jurisdicción municipal; </w:t>
      </w:r>
    </w:p>
    <w:p w14:paraId="2BB4A47B"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VI. Vigilar la construcción de las obras por contrato que hayan sido adjudicadas en términos de la legislación de la materia</w:t>
      </w:r>
      <w:r w:rsidRPr="00B71E8F">
        <w:rPr>
          <w:rFonts w:ascii="Palatino Linotype" w:eastAsia="Palatino Linotype" w:hAnsi="Palatino Linotype" w:cs="Palatino Linotype"/>
          <w:i/>
          <w:sz w:val="22"/>
          <w:szCs w:val="22"/>
        </w:rPr>
        <w:t xml:space="preserve">; </w:t>
      </w:r>
    </w:p>
    <w:p w14:paraId="4C16BC9A"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VII. Vigilar la construcción de las obras por contrato que hayan sido adjudicadas en términos de la legislación de la materia</w:t>
      </w:r>
      <w:r w:rsidRPr="00B71E8F">
        <w:rPr>
          <w:rFonts w:ascii="Palatino Linotype" w:eastAsia="Palatino Linotype" w:hAnsi="Palatino Linotype" w:cs="Palatino Linotype"/>
          <w:i/>
          <w:sz w:val="22"/>
          <w:szCs w:val="22"/>
        </w:rPr>
        <w:t xml:space="preserve">; </w:t>
      </w:r>
    </w:p>
    <w:p w14:paraId="1F4E4972" w14:textId="77777777" w:rsidR="007B0F29" w:rsidRPr="00B71E8F" w:rsidRDefault="004470FC">
      <w:pPr>
        <w:spacing w:before="120" w:after="120"/>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VIII. Supervisar y vigilar la ejecución de obras por cooperación, así como la construcción y mejoramiento de obras de infraestructura y equipamiento urbano; </w:t>
      </w:r>
    </w:p>
    <w:p w14:paraId="19646AAA"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IX. Coadyuvar con la Contraloría Municipal la integración de los Comités Ciudadanos de Control y Vigilancia, encargados de supervisar la obra pública municipal; </w:t>
      </w:r>
    </w:p>
    <w:p w14:paraId="3C5CC3D7"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 Designar a los residentes y supervisores de obras en los términos establecidos por la normatividad aplicable; </w:t>
      </w:r>
    </w:p>
    <w:p w14:paraId="4DD1DEE7" w14:textId="77777777" w:rsidR="007B0F29" w:rsidRPr="00B71E8F" w:rsidRDefault="004470FC">
      <w:pPr>
        <w:spacing w:before="120" w:after="120"/>
        <w:ind w:left="851" w:right="85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XI. Integrar y verificar que se elaboren de manera correcta y completa las bitácoras y/o expedientes abiertos con motivo de la obra pública y servicios relacionados con la misma, conforme a la normatividad aplicable;</w:t>
      </w:r>
    </w:p>
    <w:p w14:paraId="07612EEB"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 XII. Revisar y autorizar para su pago, previa validación del avance y calidad de las obras, los presupuestos y estimaciones de las obras públicas municipales; XIII. Integrar y autorizar con su firma, la documentación que, en materia de obra pública, deba presentarse al Órgano Superior de Fiscalización del Estado de México; </w:t>
      </w:r>
    </w:p>
    <w:p w14:paraId="3651AF89"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 xml:space="preserve">XIV. Integrar, coordinar, supervisar y dar seguimiento al adecuado funcionamiento del Comité Interno de Obra Pública en los términos dispuestos por la normatividad aplicable en la materia; </w:t>
      </w:r>
    </w:p>
    <w:p w14:paraId="76C7DD27"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XV. Atender lo enmarcado en el Artículo 92 de la Ley de Transparencia y Acceso a la Información Pública del Estado de México y Municipios, de acuerdo a la información generada por el área; y </w:t>
      </w:r>
    </w:p>
    <w:p w14:paraId="6C7C1ED2" w14:textId="77777777" w:rsidR="007B0F29" w:rsidRPr="00B71E8F" w:rsidRDefault="004470FC">
      <w:pPr>
        <w:spacing w:before="120" w:after="120"/>
        <w:ind w:left="851" w:right="85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XVI. Las demás que le asignen otros ordenamientos, el presidente municipal y la o el Director General de Desarrollo Urbano, Ordenamiento Territorial y Obras Públicas</w:t>
      </w:r>
      <w:proofErr w:type="gramStart"/>
      <w:r w:rsidRPr="00B71E8F">
        <w:rPr>
          <w:rFonts w:ascii="Palatino Linotype" w:eastAsia="Palatino Linotype" w:hAnsi="Palatino Linotype" w:cs="Palatino Linotype"/>
          <w:i/>
          <w:sz w:val="22"/>
          <w:szCs w:val="22"/>
        </w:rPr>
        <w:t>. ”</w:t>
      </w:r>
      <w:proofErr w:type="gramEnd"/>
      <w:r w:rsidRPr="00B71E8F">
        <w:rPr>
          <w:rFonts w:ascii="Palatino Linotype" w:eastAsia="Palatino Linotype" w:hAnsi="Palatino Linotype" w:cs="Palatino Linotype"/>
          <w:i/>
          <w:sz w:val="22"/>
          <w:szCs w:val="22"/>
        </w:rPr>
        <w:t xml:space="preserve"> (Sic)</w:t>
      </w:r>
    </w:p>
    <w:p w14:paraId="70B74FA7" w14:textId="77777777" w:rsidR="007B0F29" w:rsidRPr="00B71E8F" w:rsidRDefault="007B0F29">
      <w:pPr>
        <w:spacing w:before="120" w:after="120"/>
        <w:ind w:left="851" w:right="851"/>
        <w:jc w:val="both"/>
        <w:rPr>
          <w:rFonts w:ascii="Palatino Linotype" w:eastAsia="Palatino Linotype" w:hAnsi="Palatino Linotype" w:cs="Palatino Linotype"/>
          <w:i/>
          <w:sz w:val="22"/>
          <w:szCs w:val="22"/>
        </w:rPr>
      </w:pPr>
    </w:p>
    <w:p w14:paraId="4377B320"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Sin embargo, a través del informe justificado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modificó su al señalar que existe una obra en relación al panteón que señala y que corresponde a la ficha anexa a la solicitud, ficha que es la siguiente:</w:t>
      </w:r>
    </w:p>
    <w:p w14:paraId="621FBD65"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noProof/>
        </w:rPr>
        <w:drawing>
          <wp:inline distT="0" distB="0" distL="0" distR="0" wp14:anchorId="156CFAC2" wp14:editId="10DCA60B">
            <wp:extent cx="5622823" cy="4439071"/>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b="3208"/>
                    <a:stretch>
                      <a:fillRect/>
                    </a:stretch>
                  </pic:blipFill>
                  <pic:spPr>
                    <a:xfrm>
                      <a:off x="0" y="0"/>
                      <a:ext cx="5622823" cy="4439071"/>
                    </a:xfrm>
                    <a:prstGeom prst="rect">
                      <a:avLst/>
                    </a:prstGeom>
                    <a:ln/>
                  </pic:spPr>
                </pic:pic>
              </a:graphicData>
            </a:graphic>
          </wp:inline>
        </w:drawing>
      </w:r>
    </w:p>
    <w:p w14:paraId="76B1C5AC"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Por consiguiente, si bien es cierto que en respuesta la Dirección General de Desarrollo Urbano, Ordenamiento Territorial y Obras Públicas del Ayuntamiento de Toluca, manifestó que atendiendo a la ubicación proporcionada por el peticionario mediante fotografía que anexa a su solicitud, esta Dirección no está ejecutando ninguna obra, razón por la cual no se ha generado, poseído o administrado documento que dé cuenta de la información requerida del predio indicado en la solicitud; sin embargo, en informe justificado informó que existe una obra en relación al panteón que señala en la solicitud de acceso a la información pública y que corresponde  la ficha técnica que anexa a la solicitud, lo que da cuenta de la construcción del nuevo panteón en San Pablo Autopan y por lo tanto el pleno de este instituto, determina ordenar la búsqueda exhaustiva y razonable de lo siguiente:</w:t>
      </w:r>
    </w:p>
    <w:p w14:paraId="1CF94C9A"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En relación con la construcción y/o ampliación del panteón de San Pablo Autopan:</w:t>
      </w:r>
    </w:p>
    <w:p w14:paraId="22FC5FD4" w14:textId="77777777" w:rsidR="007B0F29" w:rsidRPr="00B71E8F" w:rsidRDefault="004470FC">
      <w:pPr>
        <w:numPr>
          <w:ilvl w:val="0"/>
          <w:numId w:val="9"/>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Contrato celebrado para realizar dicha obra</w:t>
      </w:r>
      <w:r w:rsidRPr="00B71E8F">
        <w:rPr>
          <w:rFonts w:ascii="Palatino Linotype" w:eastAsia="Palatino Linotype" w:hAnsi="Palatino Linotype" w:cs="Palatino Linotype"/>
        </w:rPr>
        <w:t xml:space="preserve"> al once de abril del año dos mil veintitrés. </w:t>
      </w:r>
    </w:p>
    <w:p w14:paraId="46F4FE1D" w14:textId="77777777" w:rsidR="007B0F29" w:rsidRPr="00B71E8F" w:rsidRDefault="004470FC">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rPr>
        <w:t>Documento o documentos en donde conste la c</w:t>
      </w:r>
      <w:r w:rsidRPr="00B71E8F">
        <w:rPr>
          <w:rFonts w:ascii="Palatino Linotype" w:eastAsia="Palatino Linotype" w:hAnsi="Palatino Linotype" w:cs="Palatino Linotype"/>
          <w:color w:val="000000"/>
        </w:rPr>
        <w:t xml:space="preserve">antidad y denominación del material comprado y utilizado para la obra, desde el comienzo de la obra al once de abril del año dos mil </w:t>
      </w:r>
      <w:r w:rsidRPr="00B71E8F">
        <w:rPr>
          <w:rFonts w:ascii="Palatino Linotype" w:eastAsia="Palatino Linotype" w:hAnsi="Palatino Linotype" w:cs="Palatino Linotype"/>
        </w:rPr>
        <w:t>veintitrés</w:t>
      </w:r>
      <w:r w:rsidRPr="00B71E8F">
        <w:rPr>
          <w:rFonts w:ascii="Palatino Linotype" w:eastAsia="Palatino Linotype" w:hAnsi="Palatino Linotype" w:cs="Palatino Linotype"/>
          <w:color w:val="000000"/>
        </w:rPr>
        <w:t>.</w:t>
      </w:r>
    </w:p>
    <w:p w14:paraId="3FC57DEB" w14:textId="77777777" w:rsidR="007B0F29" w:rsidRPr="00B71E8F" w:rsidRDefault="004470FC">
      <w:pPr>
        <w:spacing w:before="240" w:after="240" w:line="360" w:lineRule="auto"/>
        <w:jc w:val="both"/>
        <w:rPr>
          <w:rFonts w:ascii="Palatino Linotype" w:eastAsia="Palatino Linotype" w:hAnsi="Palatino Linotype" w:cs="Palatino Linotype"/>
          <w:color w:val="FF0000"/>
        </w:rPr>
      </w:pPr>
      <w:r w:rsidRPr="00B71E8F">
        <w:rPr>
          <w:rFonts w:ascii="Palatino Linotype" w:eastAsia="Palatino Linotype" w:hAnsi="Palatino Linotype" w:cs="Palatino Linotype"/>
        </w:rPr>
        <w:t xml:space="preserve">En versión pública </w:t>
      </w:r>
      <w:r w:rsidR="00FF704E" w:rsidRPr="00B71E8F">
        <w:rPr>
          <w:rFonts w:ascii="Palatino Linotype" w:eastAsia="Palatino Linotype" w:hAnsi="Palatino Linotype" w:cs="Palatino Linotype"/>
        </w:rPr>
        <w:t xml:space="preserve">de ser procedente, </w:t>
      </w:r>
      <w:r w:rsidRPr="00B71E8F">
        <w:rPr>
          <w:rFonts w:ascii="Palatino Linotype" w:eastAsia="Palatino Linotype" w:hAnsi="Palatino Linotype" w:cs="Palatino Linotype"/>
        </w:rPr>
        <w:t xml:space="preserve">conforme a lo señalado en el considerando quinto del presente fallo. </w:t>
      </w:r>
    </w:p>
    <w:p w14:paraId="167C82FB" w14:textId="77777777" w:rsidR="007B0F29" w:rsidRPr="00B71E8F" w:rsidRDefault="004470FC">
      <w:pPr>
        <w:pBdr>
          <w:top w:val="nil"/>
          <w:left w:val="nil"/>
          <w:bottom w:val="nil"/>
          <w:right w:val="nil"/>
          <w:between w:val="nil"/>
        </w:pBdr>
        <w:spacing w:before="240" w:line="360" w:lineRule="auto"/>
        <w:jc w:val="both"/>
        <w:rPr>
          <w:rFonts w:ascii="Palatino Linotype" w:eastAsia="Palatino Linotype" w:hAnsi="Palatino Linotype" w:cs="Palatino Linotype"/>
          <w:b/>
          <w:color w:val="000000"/>
          <w:u w:val="single"/>
        </w:rPr>
      </w:pPr>
      <w:r w:rsidRPr="00B71E8F">
        <w:rPr>
          <w:rFonts w:ascii="Palatino Linotype" w:eastAsia="Palatino Linotype" w:hAnsi="Palatino Linotype" w:cs="Palatino Linotype"/>
          <w:b/>
          <w:color w:val="000000"/>
          <w:u w:val="single"/>
        </w:rPr>
        <w:t xml:space="preserve">Por otro </w:t>
      </w:r>
      <w:proofErr w:type="gramStart"/>
      <w:r w:rsidRPr="00B71E8F">
        <w:rPr>
          <w:rFonts w:ascii="Palatino Linotype" w:eastAsia="Palatino Linotype" w:hAnsi="Palatino Linotype" w:cs="Palatino Linotype"/>
          <w:b/>
          <w:color w:val="000000"/>
          <w:u w:val="single"/>
        </w:rPr>
        <w:t>lado</w:t>
      </w:r>
      <w:proofErr w:type="gramEnd"/>
      <w:r w:rsidRPr="00B71E8F">
        <w:rPr>
          <w:rFonts w:ascii="Palatino Linotype" w:eastAsia="Palatino Linotype" w:hAnsi="Palatino Linotype" w:cs="Palatino Linotype"/>
          <w:b/>
          <w:color w:val="000000"/>
          <w:u w:val="single"/>
        </w:rPr>
        <w:t xml:space="preserve"> en cuanto a los puntos de la solicitud en donde se requirió:</w:t>
      </w:r>
    </w:p>
    <w:p w14:paraId="41B98C28" w14:textId="77777777" w:rsidR="007B0F29" w:rsidRPr="00B71E8F" w:rsidRDefault="007B0F29">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p>
    <w:p w14:paraId="0642C47C" w14:textId="77777777" w:rsidR="007B0F29" w:rsidRPr="00B71E8F" w:rsidRDefault="004470F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Nombre de la persona que </w:t>
      </w:r>
      <w:r w:rsidRPr="00B71E8F">
        <w:rPr>
          <w:rFonts w:ascii="Palatino Linotype" w:eastAsia="Palatino Linotype" w:hAnsi="Palatino Linotype" w:cs="Palatino Linotype"/>
        </w:rPr>
        <w:t>donó</w:t>
      </w:r>
      <w:r w:rsidRPr="00B71E8F">
        <w:rPr>
          <w:rFonts w:ascii="Palatino Linotype" w:eastAsia="Palatino Linotype" w:hAnsi="Palatino Linotype" w:cs="Palatino Linotype"/>
          <w:color w:val="000000"/>
        </w:rPr>
        <w:t xml:space="preserve"> el predio. </w:t>
      </w:r>
    </w:p>
    <w:p w14:paraId="4A787661" w14:textId="77777777" w:rsidR="007B0F29" w:rsidRPr="00B71E8F" w:rsidRDefault="004470F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 xml:space="preserve">Contrato de donación del predio en donde se realiza la obra. </w:t>
      </w:r>
    </w:p>
    <w:p w14:paraId="0A623CF6" w14:textId="77777777" w:rsidR="007B0F29" w:rsidRPr="00B71E8F" w:rsidRDefault="007B0F29">
      <w:p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p>
    <w:p w14:paraId="75C9550C" w14:textId="77777777" w:rsidR="007B0F29" w:rsidRPr="00B71E8F" w:rsidRDefault="004470F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FF0000"/>
        </w:rPr>
      </w:pPr>
      <w:r w:rsidRPr="00B71E8F">
        <w:rPr>
          <w:rFonts w:ascii="Palatino Linotype" w:eastAsia="Palatino Linotype" w:hAnsi="Palatino Linotype" w:cs="Palatino Linotype"/>
        </w:rPr>
        <w:t xml:space="preserve">Antes de iniciar el presente estudio en la solicitud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adjuntó una fotografía, donde se aprecia una placa en donde se describe que el Ayuntamiento de Toluca recibo en donación de un predio para la construcción de la ampliación del panteón de San Pablo Autopan, evidenciándose con ello un indicio sobre la existencia de dicha donación, por lo que conviene </w:t>
      </w:r>
      <w:proofErr w:type="gramStart"/>
      <w:r w:rsidRPr="00B71E8F">
        <w:rPr>
          <w:rFonts w:ascii="Palatino Linotype" w:eastAsia="Palatino Linotype" w:hAnsi="Palatino Linotype" w:cs="Palatino Linotype"/>
          <w:color w:val="000000"/>
        </w:rPr>
        <w:t>las siguiente tesis jurisprudencial</w:t>
      </w:r>
      <w:proofErr w:type="gramEnd"/>
      <w:r w:rsidRPr="00B71E8F">
        <w:rPr>
          <w:rFonts w:ascii="Palatino Linotype" w:eastAsia="Palatino Linotype" w:hAnsi="Palatino Linotype" w:cs="Palatino Linotype"/>
        </w:rPr>
        <w:t>:</w:t>
      </w:r>
    </w:p>
    <w:p w14:paraId="47D0A997" w14:textId="77777777" w:rsidR="007B0F29" w:rsidRPr="00B71E8F" w:rsidRDefault="007B0F2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2B06E5FD" w14:textId="77777777" w:rsidR="007B0F29" w:rsidRPr="00B71E8F" w:rsidRDefault="004470FC">
      <w:pPr>
        <w:ind w:left="567" w:right="616"/>
        <w:jc w:val="center"/>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HECHOS NOTORIOS. CONCEPTOS GENERAL Y JURÍDICO</w:t>
      </w:r>
    </w:p>
    <w:p w14:paraId="42B1F679"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 xml:space="preserve">Conforme al artículo los tribunales pueden invocar hechos </w:t>
      </w:r>
      <w:proofErr w:type="gramStart"/>
      <w:r w:rsidRPr="00B71E8F">
        <w:rPr>
          <w:rFonts w:ascii="Palatino Linotype" w:eastAsia="Palatino Linotype" w:hAnsi="Palatino Linotype" w:cs="Palatino Linotype"/>
          <w:b/>
          <w:i/>
          <w:sz w:val="22"/>
          <w:szCs w:val="22"/>
        </w:rPr>
        <w:t>notorios</w:t>
      </w:r>
      <w:proofErr w:type="gramEnd"/>
      <w:r w:rsidRPr="00B71E8F">
        <w:rPr>
          <w:rFonts w:ascii="Palatino Linotype" w:eastAsia="Palatino Linotype" w:hAnsi="Palatino Linotype" w:cs="Palatino Linotype"/>
          <w:b/>
          <w:i/>
          <w:sz w:val="22"/>
          <w:szCs w:val="22"/>
        </w:rPr>
        <w:t xml:space="preserve"> aunque no hayan sido alegados ni probados por las partes.</w:t>
      </w:r>
      <w:r w:rsidRPr="00B71E8F">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B71E8F">
        <w:rPr>
          <w:rFonts w:ascii="Palatino Linotype" w:eastAsia="Palatino Linotype" w:hAnsi="Palatino Linotype" w:cs="Palatino Linotype"/>
          <w:b/>
          <w:i/>
          <w:sz w:val="22"/>
          <w:szCs w:val="22"/>
        </w:rPr>
        <w:t>, a las vicisitudes de la vida pública actual o a circunstancias comúnmente conocidas en un determinado lugar</w:t>
      </w:r>
      <w:r w:rsidRPr="00B71E8F">
        <w:rPr>
          <w:rFonts w:ascii="Palatino Linotype" w:eastAsia="Palatino Linotype" w:hAnsi="Palatino Linotype" w:cs="Palatino Linotype"/>
          <w:i/>
          <w:sz w:val="22"/>
          <w:szCs w:val="22"/>
        </w:rPr>
        <w:t xml:space="preserve">, </w:t>
      </w:r>
      <w:r w:rsidRPr="00B71E8F">
        <w:rPr>
          <w:rFonts w:ascii="Palatino Linotype" w:eastAsia="Palatino Linotype" w:hAnsi="Palatino Linotype" w:cs="Palatino Linotype"/>
          <w:b/>
          <w:i/>
          <w:sz w:val="22"/>
          <w:szCs w:val="22"/>
        </w:rPr>
        <w:t>de modo que toda persona de ese medio esté en condiciones de saberlo</w:t>
      </w:r>
      <w:r w:rsidRPr="00B71E8F">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0495873" w14:textId="77777777" w:rsidR="007B0F29" w:rsidRPr="00B71E8F" w:rsidRDefault="007B0F29">
      <w:pPr>
        <w:ind w:left="567" w:right="616"/>
        <w:rPr>
          <w:rFonts w:ascii="Palatino Linotype" w:eastAsia="Palatino Linotype" w:hAnsi="Palatino Linotype" w:cs="Palatino Linotype"/>
          <w:i/>
          <w:sz w:val="22"/>
          <w:szCs w:val="22"/>
        </w:rPr>
      </w:pPr>
    </w:p>
    <w:p w14:paraId="58D2FB1C"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30F83804"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3D89B8EF" w14:textId="77777777" w:rsidR="007B0F29" w:rsidRPr="00B71E8F" w:rsidRDefault="004470FC">
      <w:pPr>
        <w:ind w:left="567" w:right="616"/>
        <w:jc w:val="both"/>
        <w:rPr>
          <w:rFonts w:ascii="Palatino Linotype" w:eastAsia="Palatino Linotype" w:hAnsi="Palatino Linotype" w:cs="Palatino Linotype"/>
        </w:rPr>
      </w:pPr>
      <w:r w:rsidRPr="00B71E8F">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r w:rsidRPr="00B71E8F">
        <w:rPr>
          <w:rFonts w:ascii="Palatino Linotype" w:eastAsia="Palatino Linotype" w:hAnsi="Palatino Linotype" w:cs="Palatino Linotype"/>
        </w:rPr>
        <w:t xml:space="preserve"> </w:t>
      </w:r>
    </w:p>
    <w:p w14:paraId="67888D9A" w14:textId="77777777" w:rsidR="007B0F29" w:rsidRPr="00B71E8F" w:rsidRDefault="004470FC">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lastRenderedPageBreak/>
        <w:t>Sobre la donación, se define por el artículo 7.610, del Código Civil del Estado de México, que establece que la donación es un contrato, por virtud del cual una persona llamada donante, transfiere, en forma gratuita, una parte de sus bienes presentes, a otra llamada donataria quien acepta dicha liberalidad, y existen cuatro clases (pura, condicional, con carga o remuneratoria), en términos del artículo 7.611 del mismo ordenamiento legal:</w:t>
      </w:r>
    </w:p>
    <w:p w14:paraId="7CAD328B" w14:textId="77777777" w:rsidR="007B0F29" w:rsidRPr="00B71E8F" w:rsidRDefault="007B0F29">
      <w:pPr>
        <w:pBdr>
          <w:top w:val="nil"/>
          <w:left w:val="nil"/>
          <w:bottom w:val="nil"/>
          <w:right w:val="nil"/>
          <w:between w:val="nil"/>
        </w:pBdr>
        <w:spacing w:line="360" w:lineRule="auto"/>
        <w:jc w:val="both"/>
        <w:rPr>
          <w:color w:val="000000"/>
        </w:rPr>
      </w:pPr>
    </w:p>
    <w:p w14:paraId="1B790A64"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La donación pura es la que se otorga en términos absolutos; condicional la que depende de algún acontecimiento futuro de realización incierta; la donación es con carga cuando impone algunas obligaciones; remuneratoria la que se hace en atención a servicios recibidos por el donante y que éste no tenga obligación de pagar.</w:t>
      </w:r>
    </w:p>
    <w:p w14:paraId="0D90569A" w14:textId="77777777" w:rsidR="007B0F29" w:rsidRPr="00B71E8F" w:rsidRDefault="007B0F29">
      <w:pPr>
        <w:pBdr>
          <w:top w:val="nil"/>
          <w:left w:val="nil"/>
          <w:bottom w:val="nil"/>
          <w:right w:val="nil"/>
          <w:between w:val="nil"/>
        </w:pBdr>
        <w:spacing w:line="360" w:lineRule="auto"/>
        <w:jc w:val="both"/>
        <w:rPr>
          <w:color w:val="000000"/>
        </w:rPr>
      </w:pPr>
    </w:p>
    <w:p w14:paraId="7557153A"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Dentro de estos contratos, identificamos las figuras legales de donante, que es quien otorga un bien de forma “gratuita” a otra, quien los recibe y dispone de ellos, en calidad de donatario; en el caso que nos ocupa, está pidiendo el nombre del donante y el contrato de donación.</w:t>
      </w:r>
    </w:p>
    <w:p w14:paraId="28D6569F" w14:textId="77777777" w:rsidR="007B0F29" w:rsidRPr="00B71E8F" w:rsidRDefault="007B0F2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C5D1AD"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De ahí que lo procedente determinar, si el Ayuntamiento de Toluca, tiene la capacidad jurídica para ser donatario en términos de la normatividad municipal que le es aplicable y en un segundo aspecto, si es información que puede ser entregada al Particular.</w:t>
      </w:r>
    </w:p>
    <w:p w14:paraId="5D09B15D" w14:textId="77777777" w:rsidR="007B0F29" w:rsidRPr="00B71E8F" w:rsidRDefault="007B0F2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E61C9E" w14:textId="77777777" w:rsidR="007B0F29" w:rsidRPr="00B71E8F" w:rsidRDefault="004470F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En ese sentido, en términos de lo señalado por el artículo 97 fracción VI de la Ley Orgánica Municipal del Estado de México, que señala:</w:t>
      </w:r>
    </w:p>
    <w:p w14:paraId="31E4BF74" w14:textId="77777777" w:rsidR="007B0F29" w:rsidRPr="00B71E8F" w:rsidRDefault="007B0F29">
      <w:p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p>
    <w:p w14:paraId="2F9187C1"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“Artículo 97.- La hacienda pública municipal se integra por:</w:t>
      </w:r>
    </w:p>
    <w:p w14:paraId="7D11BCF1"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p>
    <w:p w14:paraId="2C8A74D8" w14:textId="77777777" w:rsidR="007B0F29" w:rsidRPr="00B71E8F" w:rsidRDefault="004470FC">
      <w:pPr>
        <w:ind w:left="567" w:right="616"/>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VI. Las donaciones, herencias y legados que reciban</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56B14FB8" w14:textId="77777777" w:rsidR="007B0F29" w:rsidRPr="00B71E8F" w:rsidRDefault="007B0F29">
      <w:pPr>
        <w:spacing w:line="360" w:lineRule="auto"/>
        <w:ind w:right="-93"/>
        <w:jc w:val="both"/>
        <w:rPr>
          <w:rFonts w:ascii="Palatino Linotype" w:eastAsia="Palatino Linotype" w:hAnsi="Palatino Linotype" w:cs="Palatino Linotype"/>
        </w:rPr>
      </w:pPr>
    </w:p>
    <w:p w14:paraId="6B4C2A18"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Lo que se robustece con lo señalado por el artículo 92 fracción XLVIII de la Ley de Transparencia y Acceso a la Información Pública del Estado de México y Municipios vigente, se advierte que se trata de una obligación de transparencia común, que debe publicar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en su portal de la Información Pública de Oficio Mexiquense como así lo señala el artículo 92 fracción XLVIII, que señala:</w:t>
      </w:r>
    </w:p>
    <w:p w14:paraId="63F7DC45" w14:textId="77777777" w:rsidR="007B0F29" w:rsidRPr="00B71E8F" w:rsidRDefault="007B0F29">
      <w:pPr>
        <w:spacing w:line="360" w:lineRule="auto"/>
        <w:ind w:right="-93"/>
        <w:jc w:val="both"/>
        <w:rPr>
          <w:rFonts w:ascii="Palatino Linotype" w:eastAsia="Palatino Linotype" w:hAnsi="Palatino Linotype" w:cs="Palatino Linotype"/>
        </w:rPr>
      </w:pPr>
    </w:p>
    <w:p w14:paraId="36CA1F27"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19FE14"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p>
    <w:p w14:paraId="1734EFC1"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XLVIII. Donaciones hechas a terceros en dinero o en especie…” (Sic) </w:t>
      </w:r>
    </w:p>
    <w:p w14:paraId="64DE7237" w14:textId="77777777" w:rsidR="007B0F29" w:rsidRPr="00B71E8F" w:rsidRDefault="007B0F29">
      <w:pPr>
        <w:shd w:val="clear" w:color="auto" w:fill="FFFFFF"/>
        <w:spacing w:after="240" w:line="360" w:lineRule="auto"/>
        <w:jc w:val="both"/>
        <w:rPr>
          <w:rFonts w:ascii="Palatino Linotype" w:eastAsia="Palatino Linotype" w:hAnsi="Palatino Linotype" w:cs="Palatino Linotype"/>
          <w:color w:val="FF0000"/>
        </w:rPr>
      </w:pPr>
    </w:p>
    <w:p w14:paraId="44D0942D"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Asimismo,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fracción XLIV, que indica:</w:t>
      </w:r>
    </w:p>
    <w:p w14:paraId="10D16747"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“XLIV. Donaciones hechas a terceros en dinero o en especie; Los sujetos obligados que sean ejecutores de gasto podrán otorgar donativos siempre y cuando lo hagan en los términos de la Ley Federal de Presupuesto y Responsabilidad Hacendaria y su Reglamento, 132 las reglas, requisitos y los modelos de contratos para formalizar el otorgamiento de donativos fijadas por </w:t>
      </w:r>
      <w:r w:rsidRPr="00B71E8F">
        <w:rPr>
          <w:rFonts w:ascii="Palatino Linotype" w:eastAsia="Palatino Linotype" w:hAnsi="Palatino Linotype" w:cs="Palatino Linotype"/>
          <w:i/>
          <w:sz w:val="22"/>
          <w:szCs w:val="22"/>
        </w:rPr>
        <w:lastRenderedPageBreak/>
        <w:t>la Secretaría de la Función Pública, así como, en su caso, por las disposiciones análogas de las Entidades Federativas. Las donaciones en especie deberán sujetarse a la Ley General de Bienes Nacionales y demás disposiciones aplicables.</w:t>
      </w:r>
    </w:p>
    <w:p w14:paraId="4C73DBF8"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Se deberá publicar la información relativa a las “Asignaciones que los entes públicos destinan por causa de utilidad social para otorgar donativos a instituciones no lucrativas destinadas a actividades educativas, culturales, de salud, de investigación científica, de aplicación de nuevas tecnologías o de beneficencia, en términos de las disposiciones aplicables”, de acuerdo con el Clasificador por Objeto de Gasto emitido por el Consejo Nacional para la Armonización Contable, Capítulo 4800, conformado por las partidas genéricas 481 a 485134 , u otros ordenamientos normativos. La información deberá estar organizada en dos apartados: el primero respecto a las donaciones en dinero de forma desglosada; el segundo corresponderá a las donaciones en especie (bienes muebles o inmuebles) entregadas a terceros, e incluirá los hipervínculos a los correspondientes contratos de donación, en su caso.135 Los donativos en numerario deberán otorgarse en los términos de la Ley Federal de Presupuesto y Responsabilidad Hacendaria y su Reglamento136, las reglas, requisitos y los modelos de contratos para formalizar el otorgamiento de donativos, fijadas por la Secretaría de la Función Pública y por las disposiciones análogas de las Entidades Federativas. Los ejecutores de gasto que pretendan otorgar donaciones en especie deberán sujetarse a la Ley General de Bienes Nacionales y demás disposiciones aplicables.137 En caso de que el sujeto obligado no haya llevado a cabo donaciones a terceros en dinero o en especie de acuerdo con sus facultades, atribuciones o conforme a su programación presupuestal, deberá especificarlo mediante una nota motivada, fundamentada al periodo que corresponda. Periodo de actualización: semestral Conservar en el sitio de Internet: información que se genere en el ejercicio en curso y la correspondiente al ejercicio anterior Aplica a: todos los sujetos obligados </w:t>
      </w:r>
    </w:p>
    <w:p w14:paraId="13CA9662"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Criterios sustantivos de contenido Respecto a las donaciones en dinero se especificará: </w:t>
      </w:r>
    </w:p>
    <w:p w14:paraId="5DF7E68C"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Criterio 1 Ejercicio </w:t>
      </w:r>
    </w:p>
    <w:p w14:paraId="0A546480"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Criterio 2 Periodo que se reporta (fecha de inicio y fecha de término con el formato día/mes/año) </w:t>
      </w:r>
    </w:p>
    <w:p w14:paraId="62A03B98" w14:textId="77777777" w:rsidR="007B0F29" w:rsidRPr="00B71E8F" w:rsidRDefault="004470FC">
      <w:pPr>
        <w:ind w:left="1134" w:right="902"/>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Criterio 3 Personería jurídica de la parte donataria (catálogo): Persona física/Persona moral (por ejemplo: Asociaciones no lucrativas; fideicomisos constituidos por las entidades federativas; fideicomisos constituidos por particulares; entidades federativas; </w:t>
      </w:r>
      <w:r w:rsidRPr="00B71E8F">
        <w:rPr>
          <w:rFonts w:ascii="Palatino Linotype" w:eastAsia="Palatino Linotype" w:hAnsi="Palatino Linotype" w:cs="Palatino Linotype"/>
          <w:b/>
          <w:i/>
          <w:sz w:val="22"/>
          <w:szCs w:val="22"/>
        </w:rPr>
        <w:lastRenderedPageBreak/>
        <w:t xml:space="preserve">municipios; organismos territoriales de la Ciudad de México; organismos e instituciones internacionales; otro) </w:t>
      </w:r>
    </w:p>
    <w:p w14:paraId="381B1FCB"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Criterio 4 Nombre(s), primer apellido, segundo apellido del beneficiario de la donación (persona física) o razón social (persona moral) </w:t>
      </w:r>
    </w:p>
    <w:p w14:paraId="039F85F7" w14:textId="77777777" w:rsidR="007B0F29" w:rsidRPr="00B71E8F" w:rsidRDefault="004470FC">
      <w:pPr>
        <w:ind w:left="1134" w:right="902"/>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Criterio 5 Nombre de la persona física facultada por el beneficiario para suscribir el contrato de donación </w:t>
      </w:r>
    </w:p>
    <w:p w14:paraId="19E318B1" w14:textId="77777777" w:rsidR="007B0F29" w:rsidRPr="00B71E8F" w:rsidRDefault="004470FC">
      <w:pPr>
        <w:ind w:left="1134"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Criterio 6 Cargo que ocupa</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38370E7A" w14:textId="77777777" w:rsidR="007B0F29" w:rsidRPr="00B71E8F" w:rsidRDefault="007B0F29">
      <w:pPr>
        <w:spacing w:line="360" w:lineRule="auto"/>
        <w:ind w:right="-93"/>
        <w:jc w:val="both"/>
        <w:rPr>
          <w:rFonts w:ascii="Palatino Linotype" w:eastAsia="Palatino Linotype" w:hAnsi="Palatino Linotype" w:cs="Palatino Linotype"/>
        </w:rPr>
      </w:pPr>
    </w:p>
    <w:p w14:paraId="33331F6F"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t>Es así como se identifica que el Ayuntamiento de Toluca cuenta con la atribución para recibir donaciones; por la otra parte, identificamos que estas donaciones se otorgan por personas físicas (actualmente denominadas por el Código Civil del Estado de México, en su artículo 2.1 como “personas físicas”).</w:t>
      </w:r>
    </w:p>
    <w:p w14:paraId="4B49B93E" w14:textId="77777777" w:rsidR="007B0F29" w:rsidRPr="00B71E8F" w:rsidRDefault="007B0F29">
      <w:pPr>
        <w:spacing w:line="360" w:lineRule="auto"/>
        <w:ind w:right="-93"/>
        <w:jc w:val="both"/>
        <w:rPr>
          <w:rFonts w:ascii="Palatino Linotype" w:eastAsia="Palatino Linotype" w:hAnsi="Palatino Linotype" w:cs="Palatino Linotype"/>
        </w:rPr>
      </w:pPr>
    </w:p>
    <w:p w14:paraId="66546A25" w14:textId="77777777" w:rsidR="007B0F29" w:rsidRPr="00B71E8F" w:rsidRDefault="004470FC">
      <w:pPr>
        <w:ind w:right="-93" w:firstLine="567"/>
        <w:jc w:val="both"/>
        <w:rPr>
          <w:rFonts w:ascii="Palatino Linotype" w:eastAsia="Palatino Linotype" w:hAnsi="Palatino Linotype" w:cs="Palatino Linotype"/>
          <w:b/>
          <w:sz w:val="22"/>
          <w:szCs w:val="22"/>
        </w:rPr>
      </w:pPr>
      <w:r w:rsidRPr="00B71E8F">
        <w:rPr>
          <w:rFonts w:ascii="Palatino Linotype" w:eastAsia="Palatino Linotype" w:hAnsi="Palatino Linotype" w:cs="Palatino Linotype"/>
          <w:b/>
          <w:sz w:val="22"/>
          <w:szCs w:val="22"/>
        </w:rPr>
        <w:t>Personas físicas.</w:t>
      </w:r>
    </w:p>
    <w:p w14:paraId="4F78F97D" w14:textId="77777777" w:rsidR="007B0F29" w:rsidRPr="00B71E8F" w:rsidRDefault="004470FC">
      <w:pPr>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Concepto de persona física y viabilidad </w:t>
      </w:r>
    </w:p>
    <w:p w14:paraId="6F080766" w14:textId="77777777" w:rsidR="007B0F29" w:rsidRPr="00B71E8F" w:rsidRDefault="004470FC">
      <w:pPr>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Artículo 2.1.- Persona física es el ser humano desde que nace y es viable, hasta que muere; a quien se le atribuye capacidad de goce y de ejercicio; y que desde que es concebido se le tiene por persona para los efectos declarados por la ley. </w:t>
      </w:r>
    </w:p>
    <w:p w14:paraId="2210CFD7" w14:textId="77777777" w:rsidR="007B0F29" w:rsidRPr="00B71E8F" w:rsidRDefault="004470FC">
      <w:pPr>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Es viable el ser humano que ha vivido veinticuatro horas posteriores a su nacimiento o es presentado vivo ante el Oficial del Registro Civil. Restricciones a la personalidad </w:t>
      </w:r>
    </w:p>
    <w:p w14:paraId="7A022147" w14:textId="77777777" w:rsidR="007B0F29" w:rsidRPr="00B71E8F" w:rsidRDefault="007B0F29">
      <w:pPr>
        <w:ind w:left="567" w:right="567"/>
        <w:jc w:val="both"/>
        <w:rPr>
          <w:rFonts w:ascii="Palatino Linotype" w:eastAsia="Palatino Linotype" w:hAnsi="Palatino Linotype" w:cs="Palatino Linotype"/>
          <w:i/>
          <w:sz w:val="22"/>
          <w:szCs w:val="22"/>
        </w:rPr>
      </w:pPr>
    </w:p>
    <w:p w14:paraId="3EC38725" w14:textId="77777777" w:rsidR="007B0F29" w:rsidRPr="00B71E8F" w:rsidRDefault="004470FC">
      <w:pPr>
        <w:ind w:left="567" w:right="567"/>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Artículo 2.2.- La minoría de edad, el estado de interdicción y las demás incapacidades establecidas por la ley, son restricciones a la personalidad jurídica; con excepción de los incapaces quienes podrán ejercer sus derechos o contraer obligaciones por medio de sus representantes.</w:t>
      </w:r>
    </w:p>
    <w:p w14:paraId="6E247513" w14:textId="77777777" w:rsidR="007B0F29" w:rsidRPr="00B71E8F" w:rsidRDefault="007B0F29">
      <w:pPr>
        <w:ind w:right="-93"/>
        <w:jc w:val="both"/>
        <w:rPr>
          <w:rFonts w:ascii="Palatino Linotype" w:eastAsia="Palatino Linotype" w:hAnsi="Palatino Linotype" w:cs="Palatino Linotype"/>
          <w:sz w:val="22"/>
          <w:szCs w:val="22"/>
        </w:rPr>
      </w:pPr>
    </w:p>
    <w:p w14:paraId="07AC438E" w14:textId="77777777" w:rsidR="007B0F29" w:rsidRPr="00B71E8F" w:rsidRDefault="007B0F29">
      <w:pPr>
        <w:spacing w:line="360" w:lineRule="auto"/>
        <w:ind w:right="-93"/>
        <w:jc w:val="both"/>
        <w:rPr>
          <w:rFonts w:ascii="Palatino Linotype" w:eastAsia="Palatino Linotype" w:hAnsi="Palatino Linotype" w:cs="Palatino Linotype"/>
        </w:rPr>
      </w:pPr>
    </w:p>
    <w:p w14:paraId="76A8568E"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t>Es en ese orden de ideas, se considera oportuno la entrega incluso del nombre del donatario, pues, dar el nombre del donatario, permite inhibir actos de corrupción, toda vez que otorga una herramienta para dar seguimiento a las relaciones que derivan de una donación gubernamental.</w:t>
      </w:r>
    </w:p>
    <w:p w14:paraId="330D79BA" w14:textId="77777777" w:rsidR="007B0F29" w:rsidRPr="00B71E8F" w:rsidRDefault="007B0F29">
      <w:pPr>
        <w:spacing w:line="360" w:lineRule="auto"/>
        <w:ind w:right="-93"/>
        <w:jc w:val="both"/>
        <w:rPr>
          <w:rFonts w:ascii="Palatino Linotype" w:eastAsia="Palatino Linotype" w:hAnsi="Palatino Linotype" w:cs="Palatino Linotype"/>
        </w:rPr>
      </w:pPr>
    </w:p>
    <w:p w14:paraId="27039D07"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Sobre esto, es pertinente señalar los alcances que tienen las obligaciones recíprocas cuando se encuentran plasmadas en un contrato y el riesgo que engendra una donación, en temas de corrupción.</w:t>
      </w:r>
    </w:p>
    <w:p w14:paraId="50ABE1D2" w14:textId="77777777" w:rsidR="007B0F29" w:rsidRPr="00B71E8F" w:rsidRDefault="004470FC">
      <w:pPr>
        <w:numPr>
          <w:ilvl w:val="0"/>
          <w:numId w:val="7"/>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b/>
          <w:color w:val="000000"/>
        </w:rPr>
        <w:t>Sobre los alcances de las obligaciones reciprocas plasmadas en las condiciones de contrato.</w:t>
      </w:r>
      <w:r w:rsidRPr="00B71E8F">
        <w:rPr>
          <w:rFonts w:ascii="Palatino Linotype" w:eastAsia="Palatino Linotype" w:hAnsi="Palatino Linotype" w:cs="Palatino Linotype"/>
          <w:i/>
          <w:color w:val="000000"/>
        </w:rPr>
        <w:t xml:space="preserve"> </w:t>
      </w:r>
      <w:r w:rsidRPr="00B71E8F">
        <w:rPr>
          <w:rFonts w:ascii="Palatino Linotype" w:eastAsia="Palatino Linotype" w:hAnsi="Palatino Linotype" w:cs="Palatino Linotype"/>
          <w:color w:val="000000"/>
        </w:rPr>
        <w:t>Si la donación es condicional, con carga o remuneratoria, existe una contraprestación, reciproca, aunque no necesariamente proporcional. Esto es, el particular, obtuvo algún beneficio de esa donación y este se encuentra como una condicionante para el otorgamiento del bien. Es en estos términos, que el nombre del donatario cuenta con un interés público de ser conocido.</w:t>
      </w:r>
    </w:p>
    <w:p w14:paraId="6D030BAE" w14:textId="77777777" w:rsidR="007B0F29" w:rsidRPr="00B71E8F" w:rsidRDefault="007B0F29">
      <w:pPr>
        <w:spacing w:line="360" w:lineRule="auto"/>
        <w:ind w:left="708" w:right="-93"/>
        <w:jc w:val="both"/>
        <w:rPr>
          <w:rFonts w:ascii="Palatino Linotype" w:eastAsia="Palatino Linotype" w:hAnsi="Palatino Linotype" w:cs="Palatino Linotype"/>
        </w:rPr>
      </w:pPr>
    </w:p>
    <w:p w14:paraId="28E3FC9C" w14:textId="77777777" w:rsidR="007B0F29" w:rsidRPr="00B71E8F" w:rsidRDefault="004470FC">
      <w:pPr>
        <w:spacing w:line="360" w:lineRule="auto"/>
        <w:ind w:left="708" w:right="-93"/>
        <w:jc w:val="both"/>
        <w:rPr>
          <w:rFonts w:ascii="Palatino Linotype" w:eastAsia="Palatino Linotype" w:hAnsi="Palatino Linotype" w:cs="Palatino Linotype"/>
        </w:rPr>
      </w:pPr>
      <w:r w:rsidRPr="00B71E8F">
        <w:rPr>
          <w:rFonts w:ascii="Palatino Linotype" w:eastAsia="Palatino Linotype" w:hAnsi="Palatino Linotype" w:cs="Palatino Linotype"/>
        </w:rPr>
        <w:t>Por lo que respecta a lo establecido en una donación pura, considero que nos encontramos ante el supuesto del engendramiento de obligaciones que no fueron plasmadas de manera legal en un instrumento jurídico.</w:t>
      </w:r>
    </w:p>
    <w:p w14:paraId="4D5EC3D0" w14:textId="77777777" w:rsidR="007B0F29" w:rsidRPr="00B71E8F" w:rsidRDefault="007B0F29">
      <w:pPr>
        <w:spacing w:line="360" w:lineRule="auto"/>
        <w:ind w:left="708" w:right="-93"/>
        <w:jc w:val="both"/>
        <w:rPr>
          <w:rFonts w:ascii="Palatino Linotype" w:eastAsia="Palatino Linotype" w:hAnsi="Palatino Linotype" w:cs="Palatino Linotype"/>
        </w:rPr>
      </w:pPr>
    </w:p>
    <w:p w14:paraId="478AE5EB"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Es en este contexto, conforme a lo señalado anteriormente y lo indicado por los Lineamientos Técnicos Generales para la publicación, homologación y estandarización de la información, antes citado, el nombre del donatario debe ser público. </w:t>
      </w:r>
    </w:p>
    <w:p w14:paraId="36A33CAB" w14:textId="77777777" w:rsidR="007B0F29" w:rsidRPr="00B71E8F" w:rsidRDefault="007B0F29">
      <w:pPr>
        <w:spacing w:line="360" w:lineRule="auto"/>
        <w:ind w:right="-93"/>
        <w:jc w:val="both"/>
        <w:rPr>
          <w:rFonts w:ascii="Palatino Linotype" w:eastAsia="Palatino Linotype" w:hAnsi="Palatino Linotype" w:cs="Palatino Linotype"/>
        </w:rPr>
      </w:pPr>
    </w:p>
    <w:p w14:paraId="2F5B2CDC"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Ahora bien, no pasa desapercibido que el Ayuntamiento de Toluca debe registrar sus bienes inmuebles que hayan sido donados y que se encuentran registrados ante el Instituto de la Función Registral del Estado de México, los cuales deben ser reportados al Organismo Superior de Fiscalización del Estado de México, ya que de </w:t>
      </w:r>
      <w:r w:rsidRPr="00B71E8F">
        <w:rPr>
          <w:rFonts w:ascii="Palatino Linotype" w:eastAsia="Palatino Linotype" w:hAnsi="Palatino Linotype" w:cs="Palatino Linotype"/>
        </w:rPr>
        <w:lastRenderedPageBreak/>
        <w:t>los Lineamientos para la Integración del Informe Trimestral Municipal, emitidos por el mismo Órgano Superior para el ejercicio fiscal 2022, en específico en el módulo cuatro se aprecia que se debe reportar la información de los bienes inmuebles, como así se aprecia en las siguientes imágenes que de manera ilustrativa se insertan a continuación:</w:t>
      </w:r>
    </w:p>
    <w:p w14:paraId="57D4CB5D" w14:textId="77777777" w:rsidR="007B0F29" w:rsidRPr="00B71E8F" w:rsidRDefault="007B0F29">
      <w:pPr>
        <w:spacing w:line="360" w:lineRule="auto"/>
        <w:jc w:val="both"/>
      </w:pPr>
    </w:p>
    <w:p w14:paraId="198A87A7"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drawing>
          <wp:inline distT="0" distB="0" distL="0" distR="0" wp14:anchorId="7BDAA4FF" wp14:editId="0DF8C2E6">
            <wp:extent cx="5512662" cy="3872013"/>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9192" t="20615" r="15331" b="18941"/>
                    <a:stretch>
                      <a:fillRect/>
                    </a:stretch>
                  </pic:blipFill>
                  <pic:spPr>
                    <a:xfrm>
                      <a:off x="0" y="0"/>
                      <a:ext cx="5512662" cy="3872013"/>
                    </a:xfrm>
                    <a:prstGeom prst="rect">
                      <a:avLst/>
                    </a:prstGeom>
                    <a:ln/>
                  </pic:spPr>
                </pic:pic>
              </a:graphicData>
            </a:graphic>
          </wp:inline>
        </w:drawing>
      </w:r>
      <w:r w:rsidRPr="00B71E8F">
        <w:rPr>
          <w:noProof/>
        </w:rPr>
        <mc:AlternateContent>
          <mc:Choice Requires="wpg">
            <w:drawing>
              <wp:anchor distT="0" distB="0" distL="114300" distR="114300" simplePos="0" relativeHeight="251658240" behindDoc="0" locked="0" layoutInCell="1" hidden="0" allowOverlap="1" wp14:anchorId="1B59B990" wp14:editId="5C309224">
                <wp:simplePos x="0" y="0"/>
                <wp:positionH relativeFrom="column">
                  <wp:posOffset>2438400</wp:posOffset>
                </wp:positionH>
                <wp:positionV relativeFrom="paragraph">
                  <wp:posOffset>2959100</wp:posOffset>
                </wp:positionV>
                <wp:extent cx="550074" cy="679099"/>
                <wp:effectExtent l="0" t="0" r="0" b="0"/>
                <wp:wrapNone/>
                <wp:docPr id="54" name="Flecha izquierda 54"/>
                <wp:cNvGraphicFramePr/>
                <a:graphic xmlns:a="http://schemas.openxmlformats.org/drawingml/2006/main">
                  <a:graphicData uri="http://schemas.microsoft.com/office/word/2010/wordprocessingShape">
                    <wps:wsp>
                      <wps:cNvSpPr/>
                      <wps:spPr>
                        <a:xfrm>
                          <a:off x="5096363" y="3465851"/>
                          <a:ext cx="499274" cy="628299"/>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134891C6"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2438400</wp:posOffset>
                </wp:positionH>
                <wp:positionV relativeFrom="paragraph">
                  <wp:posOffset>2959100</wp:posOffset>
                </wp:positionV>
                <wp:extent cx="550074" cy="679099"/>
                <wp:effectExtent b="0" l="0" r="0" t="0"/>
                <wp:wrapNone/>
                <wp:docPr id="5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550074" cy="679099"/>
                        </a:xfrm>
                        <a:prstGeom prst="rect"/>
                        <a:ln/>
                      </pic:spPr>
                    </pic:pic>
                  </a:graphicData>
                </a:graphic>
              </wp:anchor>
            </w:drawing>
          </mc:Fallback>
        </mc:AlternateContent>
      </w:r>
    </w:p>
    <w:p w14:paraId="7282D57A" w14:textId="77777777" w:rsidR="007B0F29" w:rsidRPr="00B71E8F" w:rsidRDefault="007B0F29">
      <w:pPr>
        <w:spacing w:line="360" w:lineRule="auto"/>
        <w:jc w:val="both"/>
      </w:pPr>
    </w:p>
    <w:p w14:paraId="204491EC"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lastRenderedPageBreak/>
        <w:drawing>
          <wp:inline distT="0" distB="0" distL="0" distR="0" wp14:anchorId="4E635E32" wp14:editId="55218C50">
            <wp:extent cx="5547237" cy="3207069"/>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26889" t="20438" r="9536" b="8455"/>
                    <a:stretch>
                      <a:fillRect/>
                    </a:stretch>
                  </pic:blipFill>
                  <pic:spPr>
                    <a:xfrm>
                      <a:off x="0" y="0"/>
                      <a:ext cx="5547237" cy="3207069"/>
                    </a:xfrm>
                    <a:prstGeom prst="rect">
                      <a:avLst/>
                    </a:prstGeom>
                    <a:ln/>
                  </pic:spPr>
                </pic:pic>
              </a:graphicData>
            </a:graphic>
          </wp:inline>
        </w:drawing>
      </w:r>
    </w:p>
    <w:p w14:paraId="019ED418" w14:textId="77777777" w:rsidR="007B0F29" w:rsidRPr="00B71E8F" w:rsidRDefault="007B0F29">
      <w:pPr>
        <w:spacing w:line="360" w:lineRule="auto"/>
        <w:jc w:val="both"/>
        <w:rPr>
          <w:rFonts w:ascii="Palatino Linotype" w:eastAsia="Palatino Linotype" w:hAnsi="Palatino Linotype" w:cs="Palatino Linotype"/>
        </w:rPr>
      </w:pPr>
    </w:p>
    <w:p w14:paraId="453B4987"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drawing>
          <wp:inline distT="0" distB="0" distL="0" distR="0" wp14:anchorId="0310C557" wp14:editId="356F39C7">
            <wp:extent cx="5470143" cy="3041761"/>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26791" t="23637" r="9935" b="32097"/>
                    <a:stretch>
                      <a:fillRect/>
                    </a:stretch>
                  </pic:blipFill>
                  <pic:spPr>
                    <a:xfrm>
                      <a:off x="0" y="0"/>
                      <a:ext cx="5470143" cy="3041761"/>
                    </a:xfrm>
                    <a:prstGeom prst="rect">
                      <a:avLst/>
                    </a:prstGeom>
                    <a:ln/>
                  </pic:spPr>
                </pic:pic>
              </a:graphicData>
            </a:graphic>
          </wp:inline>
        </w:drawing>
      </w:r>
    </w:p>
    <w:p w14:paraId="0E808B5A" w14:textId="77777777" w:rsidR="007B0F29" w:rsidRPr="00B71E8F" w:rsidRDefault="007B0F29">
      <w:pPr>
        <w:spacing w:line="360" w:lineRule="auto"/>
        <w:jc w:val="both"/>
        <w:rPr>
          <w:rFonts w:ascii="Palatino Linotype" w:eastAsia="Palatino Linotype" w:hAnsi="Palatino Linotype" w:cs="Palatino Linotype"/>
        </w:rPr>
      </w:pPr>
    </w:p>
    <w:p w14:paraId="746EA953"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lastRenderedPageBreak/>
        <w:drawing>
          <wp:inline distT="0" distB="0" distL="0" distR="0" wp14:anchorId="0708505B" wp14:editId="64FF5AFE">
            <wp:extent cx="5543052" cy="6910475"/>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38689" t="12262" r="24223" b="5960"/>
                    <a:stretch>
                      <a:fillRect/>
                    </a:stretch>
                  </pic:blipFill>
                  <pic:spPr>
                    <a:xfrm>
                      <a:off x="0" y="0"/>
                      <a:ext cx="5543052" cy="6910475"/>
                    </a:xfrm>
                    <a:prstGeom prst="rect">
                      <a:avLst/>
                    </a:prstGeom>
                    <a:ln/>
                  </pic:spPr>
                </pic:pic>
              </a:graphicData>
            </a:graphic>
          </wp:inline>
        </w:drawing>
      </w:r>
      <w:r w:rsidRPr="00B71E8F">
        <w:rPr>
          <w:noProof/>
        </w:rPr>
        <mc:AlternateContent>
          <mc:Choice Requires="wpg">
            <w:drawing>
              <wp:anchor distT="0" distB="0" distL="114300" distR="114300" simplePos="0" relativeHeight="251659264" behindDoc="0" locked="0" layoutInCell="1" hidden="0" allowOverlap="1" wp14:anchorId="3352BB5C" wp14:editId="07EA8048">
                <wp:simplePos x="0" y="0"/>
                <wp:positionH relativeFrom="column">
                  <wp:posOffset>63501</wp:posOffset>
                </wp:positionH>
                <wp:positionV relativeFrom="paragraph">
                  <wp:posOffset>6604000</wp:posOffset>
                </wp:positionV>
                <wp:extent cx="4767011" cy="271754"/>
                <wp:effectExtent l="0" t="0" r="0" b="0"/>
                <wp:wrapNone/>
                <wp:docPr id="51" name="Rectángulo 51"/>
                <wp:cNvGraphicFramePr/>
                <a:graphic xmlns:a="http://schemas.openxmlformats.org/drawingml/2006/main">
                  <a:graphicData uri="http://schemas.microsoft.com/office/word/2010/wordprocessingShape">
                    <wps:wsp>
                      <wps:cNvSpPr/>
                      <wps:spPr>
                        <a:xfrm>
                          <a:off x="2991070" y="3672698"/>
                          <a:ext cx="4709861" cy="214604"/>
                        </a:xfrm>
                        <a:prstGeom prst="rect">
                          <a:avLst/>
                        </a:prstGeom>
                        <a:noFill/>
                        <a:ln w="28575" cap="flat" cmpd="sng">
                          <a:solidFill>
                            <a:srgbClr val="395E89"/>
                          </a:solidFill>
                          <a:prstDash val="solid"/>
                          <a:round/>
                          <a:headEnd type="none" w="sm" len="sm"/>
                          <a:tailEnd type="none" w="sm" len="sm"/>
                        </a:ln>
                      </wps:spPr>
                      <wps:txbx>
                        <w:txbxContent>
                          <w:p w14:paraId="2803D614"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63501</wp:posOffset>
                </wp:positionH>
                <wp:positionV relativeFrom="paragraph">
                  <wp:posOffset>6604000</wp:posOffset>
                </wp:positionV>
                <wp:extent cx="4767011" cy="271754"/>
                <wp:effectExtent b="0" l="0" r="0" t="0"/>
                <wp:wrapNone/>
                <wp:docPr id="51"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4767011" cy="271754"/>
                        </a:xfrm>
                        <a:prstGeom prst="rect"/>
                        <a:ln/>
                      </pic:spPr>
                    </pic:pic>
                  </a:graphicData>
                </a:graphic>
              </wp:anchor>
            </w:drawing>
          </mc:Fallback>
        </mc:AlternateContent>
      </w:r>
      <w:r w:rsidRPr="00B71E8F">
        <w:rPr>
          <w:noProof/>
        </w:rPr>
        <mc:AlternateContent>
          <mc:Choice Requires="wpg">
            <w:drawing>
              <wp:anchor distT="0" distB="0" distL="114300" distR="114300" simplePos="0" relativeHeight="251660288" behindDoc="0" locked="0" layoutInCell="1" hidden="0" allowOverlap="1" wp14:anchorId="4A48050D" wp14:editId="47F694B8">
                <wp:simplePos x="0" y="0"/>
                <wp:positionH relativeFrom="column">
                  <wp:posOffset>63501</wp:posOffset>
                </wp:positionH>
                <wp:positionV relativeFrom="paragraph">
                  <wp:posOffset>5549900</wp:posOffset>
                </wp:positionV>
                <wp:extent cx="5358426" cy="410568"/>
                <wp:effectExtent l="0" t="0" r="0" b="0"/>
                <wp:wrapNone/>
                <wp:docPr id="56" name="Rectángulo 56"/>
                <wp:cNvGraphicFramePr/>
                <a:graphic xmlns:a="http://schemas.openxmlformats.org/drawingml/2006/main">
                  <a:graphicData uri="http://schemas.microsoft.com/office/word/2010/wordprocessingShape">
                    <wps:wsp>
                      <wps:cNvSpPr/>
                      <wps:spPr>
                        <a:xfrm>
                          <a:off x="2695362" y="3603291"/>
                          <a:ext cx="5301276" cy="353418"/>
                        </a:xfrm>
                        <a:prstGeom prst="rect">
                          <a:avLst/>
                        </a:prstGeom>
                        <a:noFill/>
                        <a:ln w="28575" cap="flat" cmpd="sng">
                          <a:solidFill>
                            <a:srgbClr val="395E89"/>
                          </a:solidFill>
                          <a:prstDash val="solid"/>
                          <a:round/>
                          <a:headEnd type="none" w="sm" len="sm"/>
                          <a:tailEnd type="none" w="sm" len="sm"/>
                        </a:ln>
                      </wps:spPr>
                      <wps:txbx>
                        <w:txbxContent>
                          <w:p w14:paraId="30EA9C6F"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63501</wp:posOffset>
                </wp:positionH>
                <wp:positionV relativeFrom="paragraph">
                  <wp:posOffset>5549900</wp:posOffset>
                </wp:positionV>
                <wp:extent cx="5358426" cy="410568"/>
                <wp:effectExtent b="0" l="0" r="0" t="0"/>
                <wp:wrapNone/>
                <wp:docPr id="56"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5358426" cy="410568"/>
                        </a:xfrm>
                        <a:prstGeom prst="rect"/>
                        <a:ln/>
                      </pic:spPr>
                    </pic:pic>
                  </a:graphicData>
                </a:graphic>
              </wp:anchor>
            </w:drawing>
          </mc:Fallback>
        </mc:AlternateContent>
      </w:r>
    </w:p>
    <w:p w14:paraId="5462C6BE" w14:textId="77777777" w:rsidR="007B0F29" w:rsidRPr="00B71E8F" w:rsidRDefault="007B0F29">
      <w:pPr>
        <w:spacing w:line="360" w:lineRule="auto"/>
        <w:jc w:val="both"/>
      </w:pPr>
    </w:p>
    <w:p w14:paraId="6C6F4EF2"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lastRenderedPageBreak/>
        <w:drawing>
          <wp:inline distT="0" distB="0" distL="0" distR="0" wp14:anchorId="59B43E3E" wp14:editId="72C4C3D6">
            <wp:extent cx="5693855" cy="2937070"/>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16893" t="21504" r="1040" b="5966"/>
                    <a:stretch>
                      <a:fillRect/>
                    </a:stretch>
                  </pic:blipFill>
                  <pic:spPr>
                    <a:xfrm>
                      <a:off x="0" y="0"/>
                      <a:ext cx="5693855" cy="2937070"/>
                    </a:xfrm>
                    <a:prstGeom prst="rect">
                      <a:avLst/>
                    </a:prstGeom>
                    <a:ln/>
                  </pic:spPr>
                </pic:pic>
              </a:graphicData>
            </a:graphic>
          </wp:inline>
        </w:drawing>
      </w:r>
    </w:p>
    <w:p w14:paraId="053497A6"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drawing>
          <wp:inline distT="0" distB="0" distL="0" distR="0" wp14:anchorId="0199D77E" wp14:editId="05EC9BDF">
            <wp:extent cx="5590763" cy="3966996"/>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l="33091" t="9951" r="19428" b="6492"/>
                    <a:stretch>
                      <a:fillRect/>
                    </a:stretch>
                  </pic:blipFill>
                  <pic:spPr>
                    <a:xfrm>
                      <a:off x="0" y="0"/>
                      <a:ext cx="5590763" cy="3966996"/>
                    </a:xfrm>
                    <a:prstGeom prst="rect">
                      <a:avLst/>
                    </a:prstGeom>
                    <a:ln/>
                  </pic:spPr>
                </pic:pic>
              </a:graphicData>
            </a:graphic>
          </wp:inline>
        </w:drawing>
      </w:r>
    </w:p>
    <w:p w14:paraId="4DAA66FD" w14:textId="77777777" w:rsidR="007B0F29" w:rsidRPr="00B71E8F" w:rsidRDefault="004470FC">
      <w:pPr>
        <w:spacing w:line="360" w:lineRule="auto"/>
        <w:jc w:val="both"/>
        <w:rPr>
          <w:rFonts w:ascii="Palatino Linotype" w:eastAsia="Palatino Linotype" w:hAnsi="Palatino Linotype" w:cs="Palatino Linotype"/>
        </w:rPr>
      </w:pPr>
      <w:r w:rsidRPr="00B71E8F">
        <w:rPr>
          <w:noProof/>
        </w:rPr>
        <w:lastRenderedPageBreak/>
        <w:drawing>
          <wp:inline distT="0" distB="0" distL="0" distR="0" wp14:anchorId="61247C19" wp14:editId="4FB9B85C">
            <wp:extent cx="5475394" cy="6764215"/>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32893" t="18483" r="19127" b="8630"/>
                    <a:stretch>
                      <a:fillRect/>
                    </a:stretch>
                  </pic:blipFill>
                  <pic:spPr>
                    <a:xfrm>
                      <a:off x="0" y="0"/>
                      <a:ext cx="5475394" cy="6764215"/>
                    </a:xfrm>
                    <a:prstGeom prst="rect">
                      <a:avLst/>
                    </a:prstGeom>
                    <a:ln/>
                  </pic:spPr>
                </pic:pic>
              </a:graphicData>
            </a:graphic>
          </wp:inline>
        </w:drawing>
      </w:r>
      <w:r w:rsidRPr="00B71E8F">
        <w:rPr>
          <w:noProof/>
        </w:rPr>
        <mc:AlternateContent>
          <mc:Choice Requires="wpg">
            <w:drawing>
              <wp:anchor distT="0" distB="0" distL="114300" distR="114300" simplePos="0" relativeHeight="251661312" behindDoc="0" locked="0" layoutInCell="1" hidden="0" allowOverlap="1" wp14:anchorId="22E283E1" wp14:editId="66EA1C23">
                <wp:simplePos x="0" y="0"/>
                <wp:positionH relativeFrom="column">
                  <wp:posOffset>1</wp:posOffset>
                </wp:positionH>
                <wp:positionV relativeFrom="paragraph">
                  <wp:posOffset>6426200</wp:posOffset>
                </wp:positionV>
                <wp:extent cx="4725206" cy="427990"/>
                <wp:effectExtent l="0" t="0" r="0" b="0"/>
                <wp:wrapNone/>
                <wp:docPr id="55" name="Rectángulo 55"/>
                <wp:cNvGraphicFramePr/>
                <a:graphic xmlns:a="http://schemas.openxmlformats.org/drawingml/2006/main">
                  <a:graphicData uri="http://schemas.microsoft.com/office/word/2010/wordprocessingShape">
                    <wps:wsp>
                      <wps:cNvSpPr/>
                      <wps:spPr>
                        <a:xfrm>
                          <a:off x="3011972" y="3594580"/>
                          <a:ext cx="4668056" cy="370840"/>
                        </a:xfrm>
                        <a:prstGeom prst="rect">
                          <a:avLst/>
                        </a:prstGeom>
                        <a:noFill/>
                        <a:ln w="28575" cap="flat" cmpd="sng">
                          <a:solidFill>
                            <a:srgbClr val="395E89"/>
                          </a:solidFill>
                          <a:prstDash val="solid"/>
                          <a:round/>
                          <a:headEnd type="none" w="sm" len="sm"/>
                          <a:tailEnd type="none" w="sm" len="sm"/>
                        </a:ln>
                      </wps:spPr>
                      <wps:txbx>
                        <w:txbxContent>
                          <w:p w14:paraId="55B72EC2"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6426200</wp:posOffset>
                </wp:positionV>
                <wp:extent cx="4725206" cy="427990"/>
                <wp:effectExtent b="0" l="0" r="0" t="0"/>
                <wp:wrapNone/>
                <wp:docPr id="55"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4725206" cy="427990"/>
                        </a:xfrm>
                        <a:prstGeom prst="rect"/>
                        <a:ln/>
                      </pic:spPr>
                    </pic:pic>
                  </a:graphicData>
                </a:graphic>
              </wp:anchor>
            </w:drawing>
          </mc:Fallback>
        </mc:AlternateContent>
      </w:r>
      <w:r w:rsidRPr="00B71E8F">
        <w:rPr>
          <w:noProof/>
        </w:rPr>
        <mc:AlternateContent>
          <mc:Choice Requires="wpg">
            <w:drawing>
              <wp:anchor distT="0" distB="0" distL="114300" distR="114300" simplePos="0" relativeHeight="251662336" behindDoc="0" locked="0" layoutInCell="1" hidden="0" allowOverlap="1" wp14:anchorId="3E465CE8" wp14:editId="2C67033A">
                <wp:simplePos x="0" y="0"/>
                <wp:positionH relativeFrom="column">
                  <wp:posOffset>50801</wp:posOffset>
                </wp:positionH>
                <wp:positionV relativeFrom="paragraph">
                  <wp:posOffset>2578100</wp:posOffset>
                </wp:positionV>
                <wp:extent cx="5509891" cy="1571800"/>
                <wp:effectExtent l="0" t="0" r="0" b="0"/>
                <wp:wrapNone/>
                <wp:docPr id="52" name="Rectángulo 52"/>
                <wp:cNvGraphicFramePr/>
                <a:graphic xmlns:a="http://schemas.openxmlformats.org/drawingml/2006/main">
                  <a:graphicData uri="http://schemas.microsoft.com/office/word/2010/wordprocessingShape">
                    <wps:wsp>
                      <wps:cNvSpPr/>
                      <wps:spPr>
                        <a:xfrm>
                          <a:off x="2619630" y="3022675"/>
                          <a:ext cx="5452741" cy="1514650"/>
                        </a:xfrm>
                        <a:prstGeom prst="rect">
                          <a:avLst/>
                        </a:prstGeom>
                        <a:noFill/>
                        <a:ln w="28575" cap="flat" cmpd="sng">
                          <a:solidFill>
                            <a:srgbClr val="395E89"/>
                          </a:solidFill>
                          <a:prstDash val="solid"/>
                          <a:round/>
                          <a:headEnd type="none" w="sm" len="sm"/>
                          <a:tailEnd type="none" w="sm" len="sm"/>
                        </a:ln>
                      </wps:spPr>
                      <wps:txbx>
                        <w:txbxContent>
                          <w:p w14:paraId="0F050503"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50801</wp:posOffset>
                </wp:positionH>
                <wp:positionV relativeFrom="paragraph">
                  <wp:posOffset>2578100</wp:posOffset>
                </wp:positionV>
                <wp:extent cx="5509891" cy="1571800"/>
                <wp:effectExtent b="0" l="0" r="0" t="0"/>
                <wp:wrapNone/>
                <wp:docPr id="52"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5509891" cy="1571800"/>
                        </a:xfrm>
                        <a:prstGeom prst="rect"/>
                        <a:ln/>
                      </pic:spPr>
                    </pic:pic>
                  </a:graphicData>
                </a:graphic>
              </wp:anchor>
            </w:drawing>
          </mc:Fallback>
        </mc:AlternateContent>
      </w:r>
      <w:r w:rsidRPr="00B71E8F">
        <w:rPr>
          <w:noProof/>
        </w:rPr>
        <mc:AlternateContent>
          <mc:Choice Requires="wpg">
            <w:drawing>
              <wp:anchor distT="0" distB="0" distL="114300" distR="114300" simplePos="0" relativeHeight="251663360" behindDoc="0" locked="0" layoutInCell="1" hidden="0" allowOverlap="1" wp14:anchorId="06F3A4D6" wp14:editId="4C075446">
                <wp:simplePos x="0" y="0"/>
                <wp:positionH relativeFrom="column">
                  <wp:posOffset>1</wp:posOffset>
                </wp:positionH>
                <wp:positionV relativeFrom="paragraph">
                  <wp:posOffset>4902200</wp:posOffset>
                </wp:positionV>
                <wp:extent cx="5496980" cy="539594"/>
                <wp:effectExtent l="0" t="0" r="0" b="0"/>
                <wp:wrapNone/>
                <wp:docPr id="53" name="Rectángulo 53"/>
                <wp:cNvGraphicFramePr/>
                <a:graphic xmlns:a="http://schemas.openxmlformats.org/drawingml/2006/main">
                  <a:graphicData uri="http://schemas.microsoft.com/office/word/2010/wordprocessingShape">
                    <wps:wsp>
                      <wps:cNvSpPr/>
                      <wps:spPr>
                        <a:xfrm>
                          <a:off x="2626085" y="3538778"/>
                          <a:ext cx="5439830" cy="482444"/>
                        </a:xfrm>
                        <a:prstGeom prst="rect">
                          <a:avLst/>
                        </a:prstGeom>
                        <a:noFill/>
                        <a:ln w="28575" cap="flat" cmpd="sng">
                          <a:solidFill>
                            <a:srgbClr val="395E89"/>
                          </a:solidFill>
                          <a:prstDash val="solid"/>
                          <a:round/>
                          <a:headEnd type="none" w="sm" len="sm"/>
                          <a:tailEnd type="none" w="sm" len="sm"/>
                        </a:ln>
                      </wps:spPr>
                      <wps:txbx>
                        <w:txbxContent>
                          <w:p w14:paraId="20B01F00" w14:textId="77777777" w:rsidR="007B0F29" w:rsidRDefault="007B0F2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4902200</wp:posOffset>
                </wp:positionV>
                <wp:extent cx="5496980" cy="539594"/>
                <wp:effectExtent b="0" l="0" r="0" t="0"/>
                <wp:wrapNone/>
                <wp:docPr id="53"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5496980" cy="539594"/>
                        </a:xfrm>
                        <a:prstGeom prst="rect"/>
                        <a:ln/>
                      </pic:spPr>
                    </pic:pic>
                  </a:graphicData>
                </a:graphic>
              </wp:anchor>
            </w:drawing>
          </mc:Fallback>
        </mc:AlternateContent>
      </w:r>
    </w:p>
    <w:p w14:paraId="1D3DCDC8" w14:textId="77777777" w:rsidR="007B0F29" w:rsidRPr="00B71E8F" w:rsidRDefault="007B0F29">
      <w:pPr>
        <w:spacing w:line="360" w:lineRule="auto"/>
        <w:jc w:val="both"/>
        <w:rPr>
          <w:rFonts w:ascii="Palatino Linotype" w:eastAsia="Palatino Linotype" w:hAnsi="Palatino Linotype" w:cs="Palatino Linotype"/>
        </w:rPr>
      </w:pPr>
    </w:p>
    <w:p w14:paraId="670C2B46" w14:textId="77777777" w:rsidR="007B0F29" w:rsidRPr="00B71E8F" w:rsidRDefault="004470FC">
      <w:pPr>
        <w:spacing w:after="240" w:line="360" w:lineRule="auto"/>
        <w:jc w:val="both"/>
        <w:rPr>
          <w:rFonts w:ascii="Palatino Linotype" w:eastAsia="Palatino Linotype" w:hAnsi="Palatino Linotype" w:cs="Palatino Linotype"/>
          <w:color w:val="FF0000"/>
        </w:rPr>
      </w:pPr>
      <w:r w:rsidRPr="00B71E8F">
        <w:rPr>
          <w:rFonts w:ascii="Palatino Linotype" w:eastAsia="Palatino Linotype" w:hAnsi="Palatino Linotype" w:cs="Palatino Linotype"/>
        </w:rPr>
        <w:lastRenderedPageBreak/>
        <w:t xml:space="preserve">De las anteriores imágenes se acredita que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debe tener previamente toda la documentación relacionada con sus bienes inmuebles propiedad del Municipio de Toluca, entre los que se destacan por aquellos adquiridos por donación, para así integrar el reporte mensual de los movimientos de sus bienes inmuebles y el reporte semestral del inventario de sus bienes inmuebles, integración que se enfatiza en ambos formatos, la anotación de la modalidad de adquisición del bien inmueble, que puede ser de donación y también en los comentarios, se deberá anotar los aspectos relevantes del bien inmueble, para el caso del reporte semestral del inventario se destaca que se deberá anotar los documentos que acrediten la propiedad o posesión del bien inmueble, la escritura o </w:t>
      </w:r>
      <w:r w:rsidRPr="00B71E8F">
        <w:rPr>
          <w:rFonts w:ascii="Palatino Linotype" w:eastAsia="Palatino Linotype" w:hAnsi="Palatino Linotype" w:cs="Palatino Linotype"/>
          <w:b/>
        </w:rPr>
        <w:t>en su caso el contrato</w:t>
      </w:r>
      <w:r w:rsidRPr="00B71E8F">
        <w:rPr>
          <w:rFonts w:ascii="Palatino Linotype" w:eastAsia="Palatino Linotype" w:hAnsi="Palatino Linotype" w:cs="Palatino Linotype"/>
        </w:rPr>
        <w:t xml:space="preserve"> y el número registro de la propiedad</w:t>
      </w:r>
      <w:r w:rsidRPr="00B71E8F">
        <w:rPr>
          <w:rFonts w:ascii="Palatino Linotype" w:eastAsia="Palatino Linotype" w:hAnsi="Palatino Linotype" w:cs="Palatino Linotype"/>
          <w:color w:val="FF0000"/>
        </w:rPr>
        <w:t>.</w:t>
      </w:r>
    </w:p>
    <w:p w14:paraId="58E5106B" w14:textId="77777777" w:rsidR="007B0F29" w:rsidRPr="00B71E8F" w:rsidRDefault="004470FC">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Indicado lo anterior y toda vez que de la respuesta se advierte que las únicas áreas del </w:t>
      </w:r>
      <w:r w:rsidRPr="00B71E8F">
        <w:rPr>
          <w:rFonts w:ascii="Palatino Linotype" w:eastAsia="Palatino Linotype" w:hAnsi="Palatino Linotype" w:cs="Palatino Linotype"/>
          <w:b/>
          <w:color w:val="000000"/>
        </w:rPr>
        <w:t>SUJETO OBLIGADO</w:t>
      </w:r>
      <w:r w:rsidRPr="00B71E8F">
        <w:rPr>
          <w:rFonts w:ascii="Palatino Linotype" w:eastAsia="Palatino Linotype" w:hAnsi="Palatino Linotype" w:cs="Palatino Linotype"/>
          <w:color w:val="000000"/>
        </w:rPr>
        <w:t xml:space="preserve">, que se pronunciaron fue la Secretaría del Ayuntamiento, Dirección General de Desarrollo Urbano, Ordenamiento Territorial y Obras Públicas e Instituto Municipal de Cultura Física y Deporte de Toluca, en sentido negativo, se acredita que el Ayuntamiento de Toluca, no siguió el procedimiento establecido por el artículo 162 de la Ley de Transparencia y Acceso a la Información Pública del Estado de México y Municipios, ya que, no se puede perder de vista que para otorgar respuesta a la solicitud inicial, el </w:t>
      </w:r>
      <w:r w:rsidRPr="00B71E8F">
        <w:rPr>
          <w:rFonts w:ascii="Palatino Linotype" w:eastAsia="Palatino Linotype" w:hAnsi="Palatino Linotype" w:cs="Palatino Linotype"/>
          <w:b/>
          <w:color w:val="000000"/>
        </w:rPr>
        <w:t>SUJETO OBLIGADO</w:t>
      </w:r>
      <w:r w:rsidRPr="00B71E8F">
        <w:rPr>
          <w:rFonts w:ascii="Palatino Linotype" w:eastAsia="Palatino Linotype" w:hAnsi="Palatino Linotype" w:cs="Palatino Linotype"/>
          <w:color w:val="000000"/>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66B3B99A" w14:textId="77777777" w:rsidR="007B0F29" w:rsidRPr="00B71E8F" w:rsidRDefault="004470FC">
      <w:pPr>
        <w:spacing w:before="240" w:after="240"/>
        <w:ind w:left="709" w:right="902"/>
        <w:jc w:val="both"/>
        <w:rPr>
          <w:rFonts w:ascii="Palatino Linotype" w:eastAsia="Palatino Linotype" w:hAnsi="Palatino Linotype" w:cs="Palatino Linotype"/>
          <w:i/>
          <w:sz w:val="20"/>
          <w:szCs w:val="20"/>
        </w:rPr>
      </w:pPr>
      <w:r w:rsidRPr="00B71E8F">
        <w:rPr>
          <w:rFonts w:ascii="Palatino Linotype" w:eastAsia="Palatino Linotype" w:hAnsi="Palatino Linotype" w:cs="Palatino Linotype"/>
          <w:i/>
          <w:sz w:val="20"/>
          <w:szCs w:val="2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17E435E5" w14:textId="77777777" w:rsidR="007B0F29" w:rsidRPr="00B71E8F" w:rsidRDefault="004470FC">
      <w:pPr>
        <w:shd w:val="clear" w:color="auto" w:fill="FFFFFF"/>
        <w:spacing w:before="240" w:after="240" w:line="360" w:lineRule="auto"/>
        <w:jc w:val="both"/>
        <w:rPr>
          <w:color w:val="222222"/>
        </w:rPr>
      </w:pPr>
      <w:r w:rsidRPr="00B71E8F">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B71E8F">
        <w:rPr>
          <w:rFonts w:ascii="Palatino Linotype" w:eastAsia="Palatino Linotype" w:hAnsi="Palatino Linotype" w:cs="Palatino Linotype"/>
          <w:color w:val="000000"/>
        </w:rPr>
        <w:t>de Transparencia y Acceso a la Información Pública del Estado de México y Municipios, el cual menciona lo siguiente:</w:t>
      </w:r>
    </w:p>
    <w:p w14:paraId="28F449B7" w14:textId="77777777" w:rsidR="007B0F29" w:rsidRPr="00B71E8F" w:rsidRDefault="004470FC">
      <w:pPr>
        <w:shd w:val="clear" w:color="auto" w:fill="FFFFFF"/>
        <w:spacing w:after="240" w:line="276" w:lineRule="auto"/>
        <w:ind w:left="993" w:right="1041"/>
        <w:jc w:val="both"/>
        <w:rPr>
          <w:color w:val="222222"/>
        </w:rPr>
      </w:pPr>
      <w:r w:rsidRPr="00B71E8F">
        <w:rPr>
          <w:rFonts w:ascii="Palatino Linotype" w:eastAsia="Palatino Linotype" w:hAnsi="Palatino Linotype" w:cs="Palatino Linotype"/>
          <w:b/>
          <w:i/>
          <w:color w:val="222222"/>
          <w:sz w:val="22"/>
          <w:szCs w:val="22"/>
        </w:rPr>
        <w:t>“Artículo 162.</w:t>
      </w:r>
      <w:r w:rsidRPr="00B71E8F">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3EBCBBCF" w14:textId="77777777" w:rsidR="007B0F29" w:rsidRPr="00B71E8F" w:rsidRDefault="004470FC">
      <w:pPr>
        <w:shd w:val="clear" w:color="auto" w:fill="FFFFFF"/>
        <w:spacing w:line="360" w:lineRule="auto"/>
        <w:jc w:val="both"/>
        <w:rPr>
          <w:color w:val="222222"/>
        </w:rPr>
      </w:pPr>
      <w:r w:rsidRPr="00B71E8F">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B71E8F">
        <w:rPr>
          <w:rFonts w:ascii="Palatino Linotype" w:eastAsia="Palatino Linotype" w:hAnsi="Palatino Linotype" w:cs="Palatino Linotype"/>
          <w:color w:val="222222"/>
          <w:vertAlign w:val="superscript"/>
        </w:rPr>
        <w:footnoteReference w:id="1"/>
      </w:r>
      <w:r w:rsidRPr="00B71E8F">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B71E8F">
        <w:rPr>
          <w:rFonts w:ascii="Palatino Linotype" w:eastAsia="Palatino Linotype" w:hAnsi="Palatino Linotype" w:cs="Palatino Linotype"/>
          <w:color w:val="222222"/>
        </w:rPr>
        <w:lastRenderedPageBreak/>
        <w:t>que darán trámite interno a las solicitudes que no podrán exceder de los periodos establecidos para brindar respuesta, tal cual se desprende de los siguientes artículos:</w:t>
      </w:r>
    </w:p>
    <w:p w14:paraId="697DD53B" w14:textId="77777777" w:rsidR="007B0F29" w:rsidRPr="00B71E8F" w:rsidRDefault="007B0F29">
      <w:pPr>
        <w:shd w:val="clear" w:color="auto" w:fill="FFFFFF"/>
        <w:ind w:left="993" w:right="1041"/>
        <w:jc w:val="both"/>
        <w:rPr>
          <w:rFonts w:ascii="Palatino Linotype" w:eastAsia="Palatino Linotype" w:hAnsi="Palatino Linotype" w:cs="Palatino Linotype"/>
          <w:b/>
          <w:i/>
          <w:color w:val="222222"/>
          <w:sz w:val="22"/>
          <w:szCs w:val="22"/>
        </w:rPr>
      </w:pPr>
    </w:p>
    <w:p w14:paraId="1B6A1AE4"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b/>
          <w:i/>
          <w:color w:val="222222"/>
          <w:sz w:val="22"/>
          <w:szCs w:val="22"/>
        </w:rPr>
        <w:t>“Artículo 160. </w:t>
      </w:r>
      <w:r w:rsidRPr="00B71E8F">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0966A3A"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35762543"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b/>
          <w:i/>
          <w:color w:val="222222"/>
          <w:sz w:val="22"/>
          <w:szCs w:val="22"/>
        </w:rPr>
        <w:t>Artículo 163.</w:t>
      </w:r>
      <w:r w:rsidRPr="00B71E8F">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0804E4A"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5482348"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b/>
          <w:i/>
          <w:color w:val="222222"/>
          <w:sz w:val="22"/>
          <w:szCs w:val="22"/>
        </w:rPr>
        <w:t>Artículo 165.</w:t>
      </w:r>
      <w:r w:rsidRPr="00B71E8F">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5B7E560C" w14:textId="77777777" w:rsidR="007B0F29" w:rsidRPr="00B71E8F" w:rsidRDefault="004470FC">
      <w:pPr>
        <w:shd w:val="clear" w:color="auto" w:fill="FFFFFF"/>
        <w:ind w:left="993" w:right="1041"/>
        <w:jc w:val="both"/>
        <w:rPr>
          <w:color w:val="222222"/>
        </w:rPr>
      </w:pPr>
      <w:r w:rsidRPr="00B71E8F">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18B802D9" w14:textId="77777777" w:rsidR="007B0F29" w:rsidRPr="00B71E8F" w:rsidRDefault="004470FC">
      <w:pPr>
        <w:shd w:val="clear" w:color="auto" w:fill="FFFFFF"/>
        <w:spacing w:after="240"/>
        <w:ind w:left="993" w:right="1041"/>
        <w:jc w:val="both"/>
        <w:rPr>
          <w:color w:val="222222"/>
        </w:rPr>
      </w:pPr>
      <w:r w:rsidRPr="00B71E8F">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6651F54E" w14:textId="77777777" w:rsidR="007B0F29" w:rsidRPr="00B71E8F" w:rsidRDefault="004470FC">
      <w:pPr>
        <w:shd w:val="clear" w:color="auto" w:fill="FFFFFF"/>
        <w:spacing w:before="240" w:after="240" w:line="360" w:lineRule="auto"/>
        <w:jc w:val="both"/>
        <w:rPr>
          <w:color w:val="222222"/>
        </w:rPr>
      </w:pPr>
      <w:r w:rsidRPr="00B71E8F">
        <w:rPr>
          <w:rFonts w:ascii="Palatino Linotype" w:eastAsia="Palatino Linotype" w:hAnsi="Palatino Linotype" w:cs="Palatino Linotype"/>
          <w:color w:val="222222"/>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B71E8F">
        <w:rPr>
          <w:rFonts w:ascii="Palatino Linotype" w:eastAsia="Palatino Linotype" w:hAnsi="Palatino Linotype" w:cs="Palatino Linotype"/>
          <w:color w:val="222222"/>
        </w:rPr>
        <w:lastRenderedPageBreak/>
        <w:t>de la misma en el que ésta se localice</w:t>
      </w:r>
      <w:r w:rsidRPr="00B71E8F">
        <w:rPr>
          <w:rFonts w:ascii="Palatino Linotype" w:eastAsia="Palatino Linotype" w:hAnsi="Palatino Linotype" w:cs="Palatino Linotype"/>
          <w:color w:val="222222"/>
          <w:vertAlign w:val="superscript"/>
        </w:rPr>
        <w:footnoteReference w:id="2"/>
      </w:r>
      <w:r w:rsidRPr="00B71E8F">
        <w:rPr>
          <w:rFonts w:ascii="Palatino Linotype" w:eastAsia="Palatino Linotype" w:hAnsi="Palatino Linotype" w:cs="Palatino Linotype"/>
          <w:color w:val="222222"/>
        </w:rPr>
        <w:t xml:space="preserve">, situación que no se advierte en el presente caso, toda vez que el </w:t>
      </w:r>
      <w:r w:rsidRPr="00B71E8F">
        <w:rPr>
          <w:rFonts w:ascii="Palatino Linotype" w:eastAsia="Palatino Linotype" w:hAnsi="Palatino Linotype" w:cs="Palatino Linotype"/>
          <w:b/>
          <w:color w:val="222222"/>
        </w:rPr>
        <w:t>SUJETO OBLIGADO</w:t>
      </w:r>
      <w:r w:rsidRPr="00B71E8F">
        <w:rPr>
          <w:rFonts w:ascii="Palatino Linotype" w:eastAsia="Palatino Linotype" w:hAnsi="Palatino Linotype" w:cs="Palatino Linotype"/>
          <w:color w:val="222222"/>
        </w:rPr>
        <w:t xml:space="preserve">, a través de su </w:t>
      </w:r>
      <w:r w:rsidRPr="00B71E8F">
        <w:rPr>
          <w:rFonts w:ascii="Palatino Linotype" w:eastAsia="Palatino Linotype" w:hAnsi="Palatino Linotype" w:cs="Palatino Linotype"/>
          <w:color w:val="000000"/>
        </w:rPr>
        <w:t xml:space="preserve">Unidad de Transparencia </w:t>
      </w:r>
      <w:r w:rsidRPr="00B71E8F">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713C8D32" w14:textId="77777777" w:rsidR="007B0F29" w:rsidRPr="00B71E8F" w:rsidRDefault="004470FC">
      <w:pPr>
        <w:spacing w:line="360" w:lineRule="auto"/>
        <w:ind w:right="51"/>
        <w:jc w:val="both"/>
        <w:rPr>
          <w:rFonts w:ascii="Palatino Linotype" w:eastAsia="Palatino Linotype" w:hAnsi="Palatino Linotype" w:cs="Palatino Linotype"/>
          <w:color w:val="222222"/>
        </w:rPr>
      </w:pPr>
      <w:r w:rsidRPr="00B71E8F">
        <w:rPr>
          <w:rFonts w:ascii="Palatino Linotype" w:eastAsia="Palatino Linotype" w:hAnsi="Palatino Linotype" w:cs="Palatino Linotype"/>
          <w:color w:val="222222"/>
        </w:rPr>
        <w:t xml:space="preserve">En mérito de lo anterior, se colige que el </w:t>
      </w:r>
      <w:r w:rsidRPr="00B71E8F">
        <w:rPr>
          <w:rFonts w:ascii="Palatino Linotype" w:eastAsia="Palatino Linotype" w:hAnsi="Palatino Linotype" w:cs="Palatino Linotype"/>
          <w:b/>
          <w:color w:val="222222"/>
        </w:rPr>
        <w:t>SUJETO OBLIGADO</w:t>
      </w:r>
      <w:r w:rsidRPr="00B71E8F">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por ejemplo, el Síndico Municipal, Dirección Jurídica y Dirección de Desarrollo Urbano, en términos de lo señalado por los artículos 53 fracciones VII, VIII y IX de la Ley Orgánica Municipal del Estado de México, 3.38 fracción VII y 3.54 fracción VII del Código Reglamentario Municipal de Toluca, que señalan:</w:t>
      </w:r>
    </w:p>
    <w:p w14:paraId="3B01AB87" w14:textId="77777777" w:rsidR="007B0F29" w:rsidRPr="00B71E8F" w:rsidRDefault="007B0F29">
      <w:pPr>
        <w:spacing w:line="360" w:lineRule="auto"/>
        <w:ind w:right="51"/>
        <w:jc w:val="both"/>
        <w:rPr>
          <w:rFonts w:ascii="Palatino Linotype" w:eastAsia="Palatino Linotype" w:hAnsi="Palatino Linotype" w:cs="Palatino Linotype"/>
          <w:color w:val="222222"/>
        </w:rPr>
      </w:pPr>
    </w:p>
    <w:p w14:paraId="4A1E3754"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 xml:space="preserve">“Artículo 53.- </w:t>
      </w:r>
      <w:r w:rsidRPr="00B71E8F">
        <w:rPr>
          <w:rFonts w:ascii="Palatino Linotype" w:eastAsia="Palatino Linotype" w:hAnsi="Palatino Linotype" w:cs="Palatino Linotype"/>
          <w:b/>
          <w:i/>
          <w:color w:val="222222"/>
          <w:sz w:val="22"/>
          <w:szCs w:val="22"/>
        </w:rPr>
        <w:t>Los síndicos</w:t>
      </w:r>
      <w:r w:rsidRPr="00B71E8F">
        <w:rPr>
          <w:rFonts w:ascii="Palatino Linotype" w:eastAsia="Palatino Linotype" w:hAnsi="Palatino Linotype" w:cs="Palatino Linotype"/>
          <w:i/>
          <w:color w:val="222222"/>
          <w:sz w:val="22"/>
          <w:szCs w:val="22"/>
        </w:rPr>
        <w:t xml:space="preserve"> tendrán las siguientes atribuciones:</w:t>
      </w:r>
    </w:p>
    <w:p w14:paraId="043D70D4"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w:t>
      </w:r>
    </w:p>
    <w:p w14:paraId="441E2A4A"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b/>
          <w:i/>
          <w:color w:val="222222"/>
          <w:sz w:val="22"/>
          <w:szCs w:val="22"/>
          <w:u w:val="single"/>
        </w:rPr>
        <w:t>VII. Intervenir en la formulación del inventario general de los bienes muebles e inmuebles propiedad del municipio</w:t>
      </w:r>
      <w:r w:rsidRPr="00B71E8F">
        <w:rPr>
          <w:rFonts w:ascii="Palatino Linotype" w:eastAsia="Palatino Linotype" w:hAnsi="Palatino Linotype" w:cs="Palatino Linotype"/>
          <w:i/>
          <w:color w:val="222222"/>
          <w:sz w:val="22"/>
          <w:szCs w:val="22"/>
        </w:rPr>
        <w:t xml:space="preserve">, haciendo que se inscriban en el libro especial, con expresión de sus valores y de todas las características de identificación, así como el uso y destino de los mismos; </w:t>
      </w:r>
    </w:p>
    <w:p w14:paraId="54493857"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b/>
          <w:i/>
          <w:color w:val="222222"/>
          <w:sz w:val="22"/>
          <w:szCs w:val="22"/>
          <w:u w:val="single"/>
        </w:rPr>
        <w:t>VIII. Regularizar la propiedad de los bienes inmuebles municipales</w:t>
      </w:r>
      <w:r w:rsidRPr="00B71E8F">
        <w:rPr>
          <w:rFonts w:ascii="Palatino Linotype" w:eastAsia="Palatino Linotype" w:hAnsi="Palatino Linotype" w:cs="Palatino Linotype"/>
          <w:i/>
          <w:color w:val="222222"/>
          <w:sz w:val="22"/>
          <w:szCs w:val="22"/>
        </w:rPr>
        <w:t xml:space="preserve">, para ello tendrán un plazo de ciento veinte días hábiles, contados a partir de la adquisición; </w:t>
      </w:r>
    </w:p>
    <w:p w14:paraId="18034B2F"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b/>
          <w:i/>
          <w:color w:val="222222"/>
          <w:sz w:val="22"/>
          <w:szCs w:val="22"/>
          <w:u w:val="single"/>
        </w:rPr>
        <w:t>IX. Inscribir los bienes inmuebles municipales en el Registro Público de la Propiedad</w:t>
      </w:r>
      <w:r w:rsidRPr="00B71E8F">
        <w:rPr>
          <w:rFonts w:ascii="Palatino Linotype" w:eastAsia="Palatino Linotype" w:hAnsi="Palatino Linotype" w:cs="Palatino Linotype"/>
          <w:i/>
          <w:color w:val="222222"/>
          <w:sz w:val="22"/>
          <w:szCs w:val="22"/>
        </w:rPr>
        <w:t xml:space="preserve">, para iniciar los trámites correspondientes tendrán un plazo </w:t>
      </w:r>
      <w:r w:rsidRPr="00B71E8F">
        <w:rPr>
          <w:rFonts w:ascii="Palatino Linotype" w:eastAsia="Palatino Linotype" w:hAnsi="Palatino Linotype" w:cs="Palatino Linotype"/>
          <w:i/>
          <w:color w:val="222222"/>
          <w:sz w:val="22"/>
          <w:szCs w:val="22"/>
        </w:rPr>
        <w:lastRenderedPageBreak/>
        <w:t>de ciento veinte días hábiles contados a partir de aquel en que concluyo el proceso de regularización;</w:t>
      </w:r>
    </w:p>
    <w:p w14:paraId="5167FAED"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w:t>
      </w:r>
    </w:p>
    <w:p w14:paraId="1D12406C"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 xml:space="preserve">Artículo 3.38. La o el titular </w:t>
      </w:r>
      <w:r w:rsidRPr="00B71E8F">
        <w:rPr>
          <w:rFonts w:ascii="Palatino Linotype" w:eastAsia="Palatino Linotype" w:hAnsi="Palatino Linotype" w:cs="Palatino Linotype"/>
          <w:b/>
          <w:i/>
          <w:color w:val="222222"/>
          <w:sz w:val="22"/>
          <w:szCs w:val="22"/>
        </w:rPr>
        <w:t>de la Dirección Jurídica</w:t>
      </w:r>
      <w:r w:rsidRPr="00B71E8F">
        <w:rPr>
          <w:rFonts w:ascii="Palatino Linotype" w:eastAsia="Palatino Linotype" w:hAnsi="Palatino Linotype" w:cs="Palatino Linotype"/>
          <w:i/>
          <w:color w:val="222222"/>
          <w:sz w:val="22"/>
          <w:szCs w:val="22"/>
        </w:rPr>
        <w:t xml:space="preserve"> tiene las siguientes atribuciones:</w:t>
      </w:r>
    </w:p>
    <w:p w14:paraId="603E3F68"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w:t>
      </w:r>
    </w:p>
    <w:p w14:paraId="4F136042"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b/>
          <w:i/>
          <w:color w:val="222222"/>
          <w:sz w:val="22"/>
          <w:szCs w:val="22"/>
        </w:rPr>
        <w:t xml:space="preserve">VII. Analizar y emitir opinión jurídica respecto de los proyectos de </w:t>
      </w:r>
      <w:r w:rsidRPr="00B71E8F">
        <w:rPr>
          <w:rFonts w:ascii="Palatino Linotype" w:eastAsia="Palatino Linotype" w:hAnsi="Palatino Linotype" w:cs="Palatino Linotype"/>
          <w:i/>
          <w:color w:val="222222"/>
          <w:sz w:val="22"/>
          <w:szCs w:val="22"/>
        </w:rPr>
        <w:t xml:space="preserve">convenios, acuerdos, </w:t>
      </w:r>
      <w:r w:rsidRPr="00B71E8F">
        <w:rPr>
          <w:rFonts w:ascii="Palatino Linotype" w:eastAsia="Palatino Linotype" w:hAnsi="Palatino Linotype" w:cs="Palatino Linotype"/>
          <w:b/>
          <w:i/>
          <w:color w:val="222222"/>
          <w:sz w:val="22"/>
          <w:szCs w:val="22"/>
        </w:rPr>
        <w:t>contratos</w:t>
      </w:r>
      <w:r w:rsidRPr="00B71E8F">
        <w:rPr>
          <w:rFonts w:ascii="Palatino Linotype" w:eastAsia="Palatino Linotype" w:hAnsi="Palatino Linotype" w:cs="Palatino Linotype"/>
          <w:i/>
          <w:color w:val="222222"/>
          <w:sz w:val="22"/>
          <w:szCs w:val="22"/>
        </w:rPr>
        <w:t>, bases de coordinación y demás actos jurídicos a celebrarse con autoridades de los tres niveles de gobierno, de los sectores público y privado, para el desarrollo y operación de las acciones y programas del ámbito de competencia de la Dirección General;</w:t>
      </w:r>
    </w:p>
    <w:p w14:paraId="356097E6"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w:t>
      </w:r>
    </w:p>
    <w:p w14:paraId="55B016D0"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 xml:space="preserve">Artículo 3.54. La o el titular de la </w:t>
      </w:r>
      <w:r w:rsidRPr="00B71E8F">
        <w:rPr>
          <w:rFonts w:ascii="Palatino Linotype" w:eastAsia="Palatino Linotype" w:hAnsi="Palatino Linotype" w:cs="Palatino Linotype"/>
          <w:b/>
          <w:i/>
          <w:color w:val="222222"/>
          <w:sz w:val="22"/>
          <w:szCs w:val="22"/>
        </w:rPr>
        <w:t>Dirección de Desarrollo Urbano</w:t>
      </w:r>
      <w:r w:rsidRPr="00B71E8F">
        <w:rPr>
          <w:rFonts w:ascii="Palatino Linotype" w:eastAsia="Palatino Linotype" w:hAnsi="Palatino Linotype" w:cs="Palatino Linotype"/>
          <w:i/>
          <w:color w:val="222222"/>
          <w:sz w:val="22"/>
          <w:szCs w:val="22"/>
        </w:rPr>
        <w:t>, tendrá las siguientes atribuciones:</w:t>
      </w:r>
    </w:p>
    <w:p w14:paraId="5F68159C"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i/>
          <w:color w:val="222222"/>
          <w:sz w:val="22"/>
          <w:szCs w:val="22"/>
        </w:rPr>
        <w:t>…</w:t>
      </w:r>
    </w:p>
    <w:p w14:paraId="3711D8AA" w14:textId="77777777" w:rsidR="007B0F29" w:rsidRPr="00B71E8F" w:rsidRDefault="004470FC">
      <w:pPr>
        <w:shd w:val="clear" w:color="auto" w:fill="FFFFFF"/>
        <w:ind w:left="993" w:right="1041"/>
        <w:jc w:val="both"/>
        <w:rPr>
          <w:rFonts w:ascii="Palatino Linotype" w:eastAsia="Palatino Linotype" w:hAnsi="Palatino Linotype" w:cs="Palatino Linotype"/>
          <w:i/>
          <w:color w:val="222222"/>
          <w:sz w:val="22"/>
          <w:szCs w:val="22"/>
        </w:rPr>
      </w:pPr>
      <w:r w:rsidRPr="00B71E8F">
        <w:rPr>
          <w:rFonts w:ascii="Palatino Linotype" w:eastAsia="Palatino Linotype" w:hAnsi="Palatino Linotype" w:cs="Palatino Linotype"/>
          <w:b/>
          <w:i/>
          <w:color w:val="222222"/>
          <w:sz w:val="22"/>
          <w:szCs w:val="22"/>
        </w:rPr>
        <w:t>VII. Participar en la supervisión y recepción de obras de</w:t>
      </w:r>
      <w:r w:rsidRPr="00B71E8F">
        <w:rPr>
          <w:rFonts w:ascii="Palatino Linotype" w:eastAsia="Palatino Linotype" w:hAnsi="Palatino Linotype" w:cs="Palatino Linotype"/>
          <w:i/>
          <w:color w:val="222222"/>
          <w:sz w:val="22"/>
          <w:szCs w:val="22"/>
        </w:rPr>
        <w:t xml:space="preserve"> urbanización, infraestructura, equipamiento urbano y </w:t>
      </w:r>
      <w:r w:rsidRPr="00B71E8F">
        <w:rPr>
          <w:rFonts w:ascii="Palatino Linotype" w:eastAsia="Palatino Linotype" w:hAnsi="Palatino Linotype" w:cs="Palatino Linotype"/>
          <w:b/>
          <w:i/>
          <w:color w:val="222222"/>
          <w:sz w:val="22"/>
          <w:szCs w:val="22"/>
        </w:rPr>
        <w:t>áreas de donación</w:t>
      </w:r>
      <w:r w:rsidRPr="00B71E8F">
        <w:rPr>
          <w:rFonts w:ascii="Palatino Linotype" w:eastAsia="Palatino Linotype" w:hAnsi="Palatino Linotype" w:cs="Palatino Linotype"/>
          <w:i/>
          <w:color w:val="222222"/>
          <w:sz w:val="22"/>
          <w:szCs w:val="22"/>
        </w:rPr>
        <w:t xml:space="preserve"> derivadas de la autorización de conjuntos urbanos, condominios y subdivisiones… (Sic)</w:t>
      </w:r>
    </w:p>
    <w:p w14:paraId="42B1C72D" w14:textId="22D5ED9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Razones por las cuales lo procedente es ordenar la búsqueda exhaustiva y razonable del contrato de donación del predio en donde se realiza la obra de construcción y/o ampliación del panteón de San Pablo Autopan, al once de abril del año dos mil veintitrés</w:t>
      </w:r>
      <w:r w:rsidR="003F715F" w:rsidRPr="00B71E8F">
        <w:rPr>
          <w:rFonts w:ascii="Palatino Linotype" w:eastAsia="Palatino Linotype" w:hAnsi="Palatino Linotype" w:cs="Palatino Linotype"/>
        </w:rPr>
        <w:t>,</w:t>
      </w:r>
      <w:r w:rsidRPr="00B71E8F">
        <w:rPr>
          <w:rFonts w:ascii="Palatino Linotype" w:eastAsia="Palatino Linotype" w:hAnsi="Palatino Linotype" w:cs="Palatino Linotype"/>
        </w:rPr>
        <w:t xml:space="preserve"> en versión pública conforme a lo señalado por el considerando quinto del presente fallo. </w:t>
      </w:r>
    </w:p>
    <w:p w14:paraId="3932E5E3" w14:textId="77777777" w:rsidR="007B0F29" w:rsidRPr="00B71E8F" w:rsidRDefault="004470FC">
      <w:pPr>
        <w:spacing w:before="240" w:after="240" w:line="360" w:lineRule="auto"/>
        <w:jc w:val="both"/>
        <w:rPr>
          <w:rFonts w:ascii="Palatino Linotype" w:eastAsia="Palatino Linotype" w:hAnsi="Palatino Linotype" w:cs="Palatino Linotype"/>
          <w:b/>
        </w:rPr>
      </w:pPr>
      <w:r w:rsidRPr="00B71E8F">
        <w:rPr>
          <w:rFonts w:ascii="Palatino Linotype" w:eastAsia="Palatino Linotype" w:hAnsi="Palatino Linotype" w:cs="Palatino Linotype"/>
          <w:b/>
        </w:rPr>
        <w:t>Finalmente, en cuanto al punto de la solicitud en donde se requirió:</w:t>
      </w:r>
    </w:p>
    <w:p w14:paraId="70A9F573" w14:textId="77777777" w:rsidR="007B0F29" w:rsidRPr="00B71E8F" w:rsidRDefault="004470FC">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71E8F">
        <w:rPr>
          <w:rFonts w:ascii="Palatino Linotype" w:eastAsia="Palatino Linotype" w:hAnsi="Palatino Linotype" w:cs="Palatino Linotype"/>
          <w:b/>
          <w:color w:val="000000"/>
        </w:rPr>
        <w:t>Documento con el que acreditó la propiedad el donante del predio.</w:t>
      </w:r>
    </w:p>
    <w:p w14:paraId="433A41A0"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Regresando con el concepto de donación, que es definido por el artículo 7.610 del Código Civil del Estado de México, que señala:</w:t>
      </w:r>
    </w:p>
    <w:p w14:paraId="2CF472EA" w14:textId="77777777" w:rsidR="007B0F29" w:rsidRPr="00B71E8F" w:rsidRDefault="004470FC">
      <w:pPr>
        <w:spacing w:before="120" w:after="12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“Concepto de donación Artículo 7.610.- La donación es un contrato, por virtud del cual una persona llamada donante, transfiere, en forma gratuita, una parte de sus bienes presentes, a otra llamada donataria quien acepta dicha liberalidad.</w:t>
      </w:r>
    </w:p>
    <w:p w14:paraId="38E9420A"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En donde se establece que la figura de donación se establecerá mediante un contrato y tratándose de bienes inmuebles, este se deberá hacer conforme a los contratos para venta de un inmueble, en términos de lo señalado por el artículo 7.620 del mismo ordenamiento legal antes señalado, que indica:</w:t>
      </w:r>
    </w:p>
    <w:p w14:paraId="67975AF6" w14:textId="77777777" w:rsidR="007B0F29" w:rsidRPr="00B71E8F" w:rsidRDefault="004470FC">
      <w:pPr>
        <w:spacing w:before="120" w:after="12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“Formalidad de la donación de inmuebles </w:t>
      </w:r>
    </w:p>
    <w:p w14:paraId="34898DB3" w14:textId="77777777" w:rsidR="007B0F29" w:rsidRPr="00B71E8F" w:rsidRDefault="004470FC">
      <w:pPr>
        <w:spacing w:before="120" w:after="12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Artículo 7.620.- La donación de inmuebles se hará en la misma forma que para su venta exige la ley.” (Sic)</w:t>
      </w:r>
    </w:p>
    <w:p w14:paraId="1C0DC8F2"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Siendo que la venta de inmuebles, se harán mediante escritura pública, como así lo determina el artículo 7600 del Código Civil de referencia, que señala:</w:t>
      </w:r>
    </w:p>
    <w:p w14:paraId="57E2B93D" w14:textId="77777777" w:rsidR="007B0F29" w:rsidRPr="00B71E8F" w:rsidRDefault="004470FC">
      <w:pPr>
        <w:spacing w:before="120" w:after="12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“Formalidad de la compra de inmuebles </w:t>
      </w:r>
    </w:p>
    <w:p w14:paraId="2FE94462" w14:textId="77777777" w:rsidR="007B0F29" w:rsidRPr="00B71E8F" w:rsidRDefault="004470FC">
      <w:pPr>
        <w:spacing w:before="120" w:after="120"/>
        <w:ind w:left="851" w:right="902"/>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Artículo 7.600.- Si se trata de bienes inmuebles, la venta debe otorgarse en escritura pública” (Sic)</w:t>
      </w:r>
    </w:p>
    <w:p w14:paraId="22F13AAC"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En ese sentido, dentro de una escritura pública de la venta de un bien inmueble se deberá anotar el documento con el cual acredita la propiedad el vendedor del inmueble, y </w:t>
      </w:r>
      <w:proofErr w:type="gramStart"/>
      <w:r w:rsidRPr="00B71E8F">
        <w:rPr>
          <w:rFonts w:ascii="Palatino Linotype" w:eastAsia="Palatino Linotype" w:hAnsi="Palatino Linotype" w:cs="Palatino Linotype"/>
        </w:rPr>
        <w:t>que</w:t>
      </w:r>
      <w:proofErr w:type="gramEnd"/>
      <w:r w:rsidRPr="00B71E8F">
        <w:rPr>
          <w:rFonts w:ascii="Palatino Linotype" w:eastAsia="Palatino Linotype" w:hAnsi="Palatino Linotype" w:cs="Palatino Linotype"/>
        </w:rPr>
        <w:t xml:space="preserve"> en el presente caso en el contrato de donación, el donante debió acreditar la propiedad del mismo y anotarse en dicho contrato, para otorgarle validez a dicha donación; máxime que se trata de un requisito que debió acreditar el donante como propietario del inmueble objeto de la donación. </w:t>
      </w:r>
    </w:p>
    <w:p w14:paraId="1B648E83"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Lo anterior se robustece, con el cumplimiento a la resolución del recurso de revisión número </w:t>
      </w:r>
      <w:hyperlink r:id="rId30">
        <w:r w:rsidRPr="00B71E8F">
          <w:rPr>
            <w:rFonts w:ascii="Palatino Linotype" w:eastAsia="Palatino Linotype" w:hAnsi="Palatino Linotype" w:cs="Palatino Linotype"/>
          </w:rPr>
          <w:t>00638/INFOEM/IP/RR/2023</w:t>
        </w:r>
      </w:hyperlink>
      <w:r w:rsidRPr="00B71E8F">
        <w:rPr>
          <w:rFonts w:ascii="Palatino Linotype" w:eastAsia="Palatino Linotype" w:hAnsi="Palatino Linotype" w:cs="Palatino Linotype"/>
        </w:rPr>
        <w:t xml:space="preserve">, en donde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hizo entrega del proyecto de ampliación del panteón de San Pablo Autopan, en el que se observa que el predio en el que se realiza dicha ampliación, se hizo entrega mediante escritura pública número 17, 741 y 17, 742, con fecha de otorgamiento 19/12/2022, como se observa a continuación:</w:t>
      </w:r>
    </w:p>
    <w:p w14:paraId="7BBBE9A3"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noProof/>
        </w:rPr>
        <w:lastRenderedPageBreak/>
        <w:drawing>
          <wp:inline distT="0" distB="0" distL="0" distR="0" wp14:anchorId="5038D38D" wp14:editId="2F18A50F">
            <wp:extent cx="5612130" cy="245745"/>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612130" cy="245745"/>
                    </a:xfrm>
                    <a:prstGeom prst="rect">
                      <a:avLst/>
                    </a:prstGeom>
                    <a:ln/>
                  </pic:spPr>
                </pic:pic>
              </a:graphicData>
            </a:graphic>
          </wp:inline>
        </w:drawing>
      </w:r>
    </w:p>
    <w:p w14:paraId="72FF1F4D"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noProof/>
        </w:rPr>
        <w:drawing>
          <wp:inline distT="0" distB="0" distL="0" distR="0" wp14:anchorId="5F810C4F" wp14:editId="74C2270F">
            <wp:extent cx="5612130" cy="29591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612130" cy="295910"/>
                    </a:xfrm>
                    <a:prstGeom prst="rect">
                      <a:avLst/>
                    </a:prstGeom>
                    <a:ln/>
                  </pic:spPr>
                </pic:pic>
              </a:graphicData>
            </a:graphic>
          </wp:inline>
        </w:drawing>
      </w:r>
    </w:p>
    <w:p w14:paraId="4060CE60" w14:textId="53F6936A"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Razones por las cuales lo procedente es ordenar al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haga una búsqueda exhaustiva y razonable en cada una de las áreas denominadas Secretaría del Ayuntamiento, Síndicos Municipales</w:t>
      </w:r>
      <w:r w:rsidRPr="00B71E8F">
        <w:rPr>
          <w:rFonts w:ascii="Palatino Linotype" w:eastAsia="Palatino Linotype" w:hAnsi="Palatino Linotype" w:cs="Palatino Linotype"/>
          <w:color w:val="222222"/>
        </w:rPr>
        <w:t xml:space="preserve">, Dirección Jurídica y Dirección de Desarrollo Urbano, que en términos de sus atribuciones señaladas en el presente considerando, puede obrar en sus archivos el documento con el que acreditó la propiedad el donante del predio </w:t>
      </w:r>
      <w:r w:rsidRPr="00B71E8F">
        <w:rPr>
          <w:rFonts w:ascii="Palatino Linotype" w:eastAsia="Palatino Linotype" w:hAnsi="Palatino Linotype" w:cs="Palatino Linotype"/>
        </w:rPr>
        <w:t>que servirá para la ampliación del panteón de San Pablo Autopan, que tenga al once de abril del año dos mil veintitrés</w:t>
      </w:r>
      <w:r w:rsidR="003F715F" w:rsidRPr="00B71E8F">
        <w:rPr>
          <w:rFonts w:ascii="Palatino Linotype" w:eastAsia="Palatino Linotype" w:hAnsi="Palatino Linotype" w:cs="Palatino Linotype"/>
        </w:rPr>
        <w:t xml:space="preserve">, de ser el caso </w:t>
      </w:r>
      <w:r w:rsidRPr="00B71E8F">
        <w:rPr>
          <w:rFonts w:ascii="Palatino Linotype" w:eastAsia="Palatino Linotype" w:hAnsi="Palatino Linotype" w:cs="Palatino Linotype"/>
        </w:rPr>
        <w:t xml:space="preserve">en versión pública conforme a lo señalado en el considerando quinto del presente fallo. </w:t>
      </w:r>
    </w:p>
    <w:p w14:paraId="5CDA0706" w14:textId="77777777" w:rsidR="007B0F29" w:rsidRPr="00B71E8F" w:rsidRDefault="004470FC">
      <w:pPr>
        <w:spacing w:before="240" w:after="240"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Quinto. Versión Pública. </w:t>
      </w:r>
      <w:r w:rsidRPr="00B71E8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sin menoscabar el derecho a la protección de los datos personales de terceros.</w:t>
      </w:r>
    </w:p>
    <w:p w14:paraId="334C5C54" w14:textId="77777777" w:rsidR="007B0F29" w:rsidRPr="00B71E8F" w:rsidRDefault="004470FC">
      <w:pPr>
        <w:spacing w:after="240"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sidRPr="00B71E8F">
        <w:rPr>
          <w:rFonts w:ascii="Palatino Linotype" w:eastAsia="Palatino Linotype" w:hAnsi="Palatino Linotype" w:cs="Palatino Linotype"/>
        </w:rPr>
        <w:lastRenderedPageBreak/>
        <w:t>Información Pública del Estado de México y Municipios vigente, que se leen como sigue:</w:t>
      </w:r>
    </w:p>
    <w:p w14:paraId="137ED29E" w14:textId="77777777" w:rsidR="007B0F29" w:rsidRPr="00B71E8F" w:rsidRDefault="004470FC">
      <w:pPr>
        <w:ind w:left="993" w:right="104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 xml:space="preserve"> “Artículo 3. Para los efectos de la presente Ley se entenderá por:</w:t>
      </w:r>
    </w:p>
    <w:p w14:paraId="0362B18C"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IX. Datos personales:</w:t>
      </w:r>
      <w:r w:rsidRPr="00B71E8F">
        <w:rPr>
          <w:rFonts w:ascii="Palatino Linotype" w:eastAsia="Palatino Linotype" w:hAnsi="Palatino Linotype" w:cs="Palatino Linotype"/>
          <w:i/>
          <w:sz w:val="22"/>
          <w:szCs w:val="22"/>
        </w:rPr>
        <w:t xml:space="preserve"> </w:t>
      </w:r>
      <w:r w:rsidRPr="00B71E8F">
        <w:rPr>
          <w:rFonts w:ascii="Palatino Linotype" w:eastAsia="Palatino Linotype" w:hAnsi="Palatino Linotype" w:cs="Palatino Linotype"/>
          <w:b/>
          <w:i/>
          <w:sz w:val="22"/>
          <w:szCs w:val="22"/>
        </w:rPr>
        <w:t>La información concerniente a una persona, identificada o identificable</w:t>
      </w:r>
      <w:r w:rsidRPr="00B71E8F">
        <w:rPr>
          <w:rFonts w:ascii="Palatino Linotype" w:eastAsia="Palatino Linotype" w:hAnsi="Palatino Linotype" w:cs="Palatino Linotype"/>
          <w:i/>
          <w:sz w:val="22"/>
          <w:szCs w:val="22"/>
        </w:rPr>
        <w:t xml:space="preserve"> según lo dispuesto por la Ley de Protección de Datos Personales del Estado de México;</w:t>
      </w:r>
    </w:p>
    <w:p w14:paraId="7C41F989"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XX. Información clasificada:</w:t>
      </w:r>
      <w:r w:rsidRPr="00B71E8F">
        <w:rPr>
          <w:rFonts w:ascii="Palatino Linotype" w:eastAsia="Palatino Linotype" w:hAnsi="Palatino Linotype" w:cs="Palatino Linotype"/>
          <w:i/>
          <w:sz w:val="22"/>
          <w:szCs w:val="22"/>
        </w:rPr>
        <w:t xml:space="preserve"> Aquella considerada por la presente Ley como reservada o confidencial;</w:t>
      </w:r>
    </w:p>
    <w:p w14:paraId="0A0EE705"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XXXII. Protección de Datos Personales:</w:t>
      </w:r>
      <w:r w:rsidRPr="00B71E8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8C1742B"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XLV. Versión pública</w:t>
      </w:r>
      <w:r w:rsidRPr="00B71E8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928F28" w14:textId="77777777" w:rsidR="007B0F29" w:rsidRPr="00B71E8F" w:rsidRDefault="007B0F29">
      <w:pPr>
        <w:ind w:left="993" w:right="1041"/>
        <w:jc w:val="both"/>
        <w:rPr>
          <w:rFonts w:ascii="Palatino Linotype" w:eastAsia="Palatino Linotype" w:hAnsi="Palatino Linotype" w:cs="Palatino Linotype"/>
          <w:i/>
          <w:sz w:val="22"/>
          <w:szCs w:val="22"/>
        </w:rPr>
      </w:pPr>
    </w:p>
    <w:p w14:paraId="018ABCFD"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“Artículo 6.</w:t>
      </w:r>
      <w:r w:rsidRPr="00B71E8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80E604" w14:textId="77777777" w:rsidR="007B0F29" w:rsidRPr="00B71E8F" w:rsidRDefault="007B0F29">
      <w:pPr>
        <w:ind w:left="993" w:right="1041"/>
        <w:jc w:val="both"/>
        <w:rPr>
          <w:rFonts w:ascii="Palatino Linotype" w:eastAsia="Palatino Linotype" w:hAnsi="Palatino Linotype" w:cs="Palatino Linotype"/>
          <w:i/>
          <w:sz w:val="22"/>
          <w:szCs w:val="22"/>
        </w:rPr>
      </w:pPr>
    </w:p>
    <w:p w14:paraId="6604F275" w14:textId="77777777" w:rsidR="007B0F29" w:rsidRPr="00B71E8F" w:rsidRDefault="004470FC">
      <w:pPr>
        <w:ind w:left="993" w:right="1041"/>
        <w:jc w:val="both"/>
        <w:rPr>
          <w:rFonts w:ascii="Palatino Linotype" w:eastAsia="Palatino Linotype" w:hAnsi="Palatino Linotype" w:cs="Palatino Linotype"/>
          <w:b/>
          <w:i/>
          <w:sz w:val="22"/>
          <w:szCs w:val="22"/>
        </w:rPr>
      </w:pPr>
      <w:r w:rsidRPr="00B71E8F">
        <w:rPr>
          <w:rFonts w:ascii="Palatino Linotype" w:eastAsia="Palatino Linotype" w:hAnsi="Palatino Linotype" w:cs="Palatino Linotype"/>
          <w:b/>
          <w:i/>
          <w:sz w:val="22"/>
          <w:szCs w:val="22"/>
        </w:rPr>
        <w:t>“Artículo 137.</w:t>
      </w:r>
      <w:r w:rsidRPr="00B71E8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D650FD" w14:textId="77777777" w:rsidR="007B0F29" w:rsidRPr="00B71E8F" w:rsidRDefault="007B0F29">
      <w:pPr>
        <w:ind w:left="993" w:right="1041"/>
        <w:jc w:val="both"/>
        <w:rPr>
          <w:rFonts w:ascii="Palatino Linotype" w:eastAsia="Palatino Linotype" w:hAnsi="Palatino Linotype" w:cs="Palatino Linotype"/>
          <w:b/>
          <w:i/>
          <w:sz w:val="22"/>
          <w:szCs w:val="22"/>
        </w:rPr>
      </w:pPr>
    </w:p>
    <w:p w14:paraId="46EDD59F"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“Artículo 143</w:t>
      </w:r>
      <w:r w:rsidRPr="00B71E8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D291B31"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I.</w:t>
      </w:r>
      <w:r w:rsidRPr="00B71E8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D04E5E5"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B71E8F">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5FF4336B" w14:textId="77777777" w:rsidR="007B0F29" w:rsidRPr="00B71E8F" w:rsidRDefault="004470FC">
      <w:pPr>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66576AC" w14:textId="77777777" w:rsidR="007B0F29" w:rsidRPr="00B71E8F" w:rsidRDefault="007B0F29">
      <w:pPr>
        <w:ind w:left="993" w:right="1041"/>
        <w:jc w:val="both"/>
        <w:rPr>
          <w:rFonts w:ascii="Palatino Linotype" w:eastAsia="Palatino Linotype" w:hAnsi="Palatino Linotype" w:cs="Palatino Linotype"/>
          <w:i/>
          <w:sz w:val="22"/>
          <w:szCs w:val="22"/>
        </w:rPr>
      </w:pPr>
    </w:p>
    <w:p w14:paraId="6D86866A" w14:textId="77777777" w:rsidR="007B0F29" w:rsidRPr="00B71E8F" w:rsidRDefault="004470FC">
      <w:pPr>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CDF79DB" w14:textId="77777777" w:rsidR="007B0F29" w:rsidRPr="00B71E8F" w:rsidRDefault="007B0F29">
      <w:pPr>
        <w:spacing w:line="360" w:lineRule="auto"/>
        <w:ind w:right="51"/>
        <w:jc w:val="both"/>
        <w:rPr>
          <w:rFonts w:ascii="Palatino Linotype" w:eastAsia="Palatino Linotype" w:hAnsi="Palatino Linotype" w:cs="Palatino Linotype"/>
        </w:rPr>
      </w:pPr>
    </w:p>
    <w:p w14:paraId="0452AF63" w14:textId="77777777" w:rsidR="007B0F29" w:rsidRPr="00B71E8F" w:rsidRDefault="004470FC">
      <w:pPr>
        <w:spacing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31F20DC" w14:textId="77777777" w:rsidR="007B0F29" w:rsidRPr="00B71E8F" w:rsidRDefault="007B0F29">
      <w:pPr>
        <w:spacing w:line="360" w:lineRule="auto"/>
        <w:ind w:right="51"/>
        <w:jc w:val="both"/>
        <w:rPr>
          <w:rFonts w:ascii="Palatino Linotype" w:eastAsia="Palatino Linotype" w:hAnsi="Palatino Linotype" w:cs="Palatino Linotype"/>
        </w:rPr>
      </w:pPr>
    </w:p>
    <w:p w14:paraId="0C3C8519" w14:textId="77777777" w:rsidR="007B0F29" w:rsidRPr="00B71E8F" w:rsidRDefault="004470FC">
      <w:pPr>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w:t>
      </w:r>
      <w:r w:rsidRPr="00B71E8F">
        <w:rPr>
          <w:rFonts w:ascii="Palatino Linotype" w:eastAsia="Palatino Linotype" w:hAnsi="Palatino Linotype" w:cs="Palatino Linotype"/>
        </w:rPr>
        <w:lastRenderedPageBreak/>
        <w:t xml:space="preserve">tome el Servidor Público Habilitado o el </w:t>
      </w:r>
      <w:proofErr w:type="gramStart"/>
      <w:r w:rsidRPr="00B71E8F">
        <w:rPr>
          <w:rFonts w:ascii="Palatino Linotype" w:eastAsia="Palatino Linotype" w:hAnsi="Palatino Linotype" w:cs="Palatino Linotype"/>
        </w:rPr>
        <w:t>Responsable</w:t>
      </w:r>
      <w:proofErr w:type="gramEnd"/>
      <w:r w:rsidRPr="00B71E8F">
        <w:rPr>
          <w:rFonts w:ascii="Palatino Linotype" w:eastAsia="Palatino Linotype" w:hAnsi="Palatino Linotype" w:cs="Palatino Linotype"/>
        </w:rPr>
        <w:t xml:space="preserve"> de la Unidad de Transparencia 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8CAB639" w14:textId="77777777" w:rsidR="007B0F29" w:rsidRPr="00B71E8F" w:rsidRDefault="007B0F29">
      <w:pPr>
        <w:spacing w:line="360" w:lineRule="auto"/>
        <w:ind w:right="51"/>
        <w:jc w:val="both"/>
        <w:rPr>
          <w:rFonts w:ascii="Palatino Linotype" w:eastAsia="Palatino Linotype" w:hAnsi="Palatino Linotype" w:cs="Palatino Linotype"/>
        </w:rPr>
      </w:pPr>
    </w:p>
    <w:p w14:paraId="63BD6DA4"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“Artículo 49.</w:t>
      </w:r>
      <w:r w:rsidRPr="00B71E8F">
        <w:rPr>
          <w:rFonts w:ascii="Palatino Linotype" w:eastAsia="Palatino Linotype" w:hAnsi="Palatino Linotype" w:cs="Palatino Linotype"/>
          <w:i/>
          <w:sz w:val="22"/>
          <w:szCs w:val="22"/>
        </w:rPr>
        <w:t xml:space="preserve"> </w:t>
      </w:r>
      <w:r w:rsidRPr="00B71E8F">
        <w:rPr>
          <w:rFonts w:ascii="Palatino Linotype" w:eastAsia="Palatino Linotype" w:hAnsi="Palatino Linotype" w:cs="Palatino Linotype"/>
          <w:b/>
          <w:i/>
          <w:sz w:val="22"/>
          <w:szCs w:val="22"/>
        </w:rPr>
        <w:t>Los Comités de Transparencia</w:t>
      </w:r>
      <w:r w:rsidRPr="00B71E8F">
        <w:rPr>
          <w:rFonts w:ascii="Palatino Linotype" w:eastAsia="Palatino Linotype" w:hAnsi="Palatino Linotype" w:cs="Palatino Linotype"/>
          <w:i/>
          <w:sz w:val="22"/>
          <w:szCs w:val="22"/>
        </w:rPr>
        <w:t xml:space="preserve"> tendrán las siguientes atribuciones:</w:t>
      </w:r>
    </w:p>
    <w:p w14:paraId="75240A9C"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VIII. Aprobar, modificar o revocar la clasificación de la información</w:t>
      </w:r>
      <w:r w:rsidRPr="00B71E8F">
        <w:rPr>
          <w:rFonts w:ascii="Palatino Linotype" w:eastAsia="Palatino Linotype" w:hAnsi="Palatino Linotype" w:cs="Palatino Linotype"/>
          <w:i/>
          <w:sz w:val="22"/>
          <w:szCs w:val="22"/>
        </w:rPr>
        <w:t>…”</w:t>
      </w:r>
    </w:p>
    <w:p w14:paraId="02B8014E"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Artículo 53.</w:t>
      </w:r>
      <w:r w:rsidRPr="00B71E8F">
        <w:rPr>
          <w:rFonts w:ascii="Palatino Linotype" w:eastAsia="Palatino Linotype" w:hAnsi="Palatino Linotype" w:cs="Palatino Linotype"/>
          <w:i/>
          <w:sz w:val="22"/>
          <w:szCs w:val="22"/>
        </w:rPr>
        <w:t xml:space="preserve"> Las </w:t>
      </w:r>
      <w:r w:rsidRPr="00B71E8F">
        <w:rPr>
          <w:rFonts w:ascii="Palatino Linotype" w:eastAsia="Palatino Linotype" w:hAnsi="Palatino Linotype" w:cs="Palatino Linotype"/>
          <w:b/>
          <w:i/>
          <w:sz w:val="22"/>
          <w:szCs w:val="22"/>
        </w:rPr>
        <w:t>Unidades de Transparencia</w:t>
      </w:r>
      <w:r w:rsidRPr="00B71E8F">
        <w:rPr>
          <w:rFonts w:ascii="Palatino Linotype" w:eastAsia="Palatino Linotype" w:hAnsi="Palatino Linotype" w:cs="Palatino Linotype"/>
          <w:i/>
          <w:sz w:val="22"/>
          <w:szCs w:val="22"/>
        </w:rPr>
        <w:t xml:space="preserve"> tendrán las siguientes </w:t>
      </w:r>
      <w:r w:rsidRPr="00B71E8F">
        <w:rPr>
          <w:rFonts w:ascii="Palatino Linotype" w:eastAsia="Palatino Linotype" w:hAnsi="Palatino Linotype" w:cs="Palatino Linotype"/>
          <w:b/>
          <w:i/>
          <w:sz w:val="22"/>
          <w:szCs w:val="22"/>
        </w:rPr>
        <w:t>funciones</w:t>
      </w:r>
      <w:r w:rsidRPr="00B71E8F">
        <w:rPr>
          <w:rFonts w:ascii="Palatino Linotype" w:eastAsia="Palatino Linotype" w:hAnsi="Palatino Linotype" w:cs="Palatino Linotype"/>
          <w:i/>
          <w:sz w:val="22"/>
          <w:szCs w:val="22"/>
        </w:rPr>
        <w:t>:</w:t>
      </w:r>
    </w:p>
    <w:p w14:paraId="6816BFE9"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X. Presentar ante el Comité, el proyecto de clasificación de información</w:t>
      </w:r>
      <w:r w:rsidRPr="00B71E8F">
        <w:rPr>
          <w:rFonts w:ascii="Palatino Linotype" w:eastAsia="Palatino Linotype" w:hAnsi="Palatino Linotype" w:cs="Palatino Linotype"/>
          <w:i/>
          <w:sz w:val="22"/>
          <w:szCs w:val="22"/>
        </w:rPr>
        <w:t xml:space="preserve">…” </w:t>
      </w:r>
    </w:p>
    <w:p w14:paraId="4BCD3ECA"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“Artículo 59.</w:t>
      </w:r>
      <w:r w:rsidRPr="00B71E8F">
        <w:rPr>
          <w:rFonts w:ascii="Palatino Linotype" w:eastAsia="Palatino Linotype" w:hAnsi="Palatino Linotype" w:cs="Palatino Linotype"/>
          <w:i/>
          <w:sz w:val="22"/>
          <w:szCs w:val="22"/>
        </w:rPr>
        <w:t xml:space="preserve"> Los </w:t>
      </w:r>
      <w:r w:rsidRPr="00B71E8F">
        <w:rPr>
          <w:rFonts w:ascii="Palatino Linotype" w:eastAsia="Palatino Linotype" w:hAnsi="Palatino Linotype" w:cs="Palatino Linotype"/>
          <w:b/>
          <w:i/>
          <w:sz w:val="22"/>
          <w:szCs w:val="22"/>
        </w:rPr>
        <w:t>servidores públicos habilitados</w:t>
      </w:r>
      <w:r w:rsidRPr="00B71E8F">
        <w:rPr>
          <w:rFonts w:ascii="Palatino Linotype" w:eastAsia="Palatino Linotype" w:hAnsi="Palatino Linotype" w:cs="Palatino Linotype"/>
          <w:i/>
          <w:sz w:val="22"/>
          <w:szCs w:val="22"/>
        </w:rPr>
        <w:t xml:space="preserve"> tendrán las </w:t>
      </w:r>
      <w:r w:rsidRPr="00B71E8F">
        <w:rPr>
          <w:rFonts w:ascii="Palatino Linotype" w:eastAsia="Palatino Linotype" w:hAnsi="Palatino Linotype" w:cs="Palatino Linotype"/>
          <w:b/>
          <w:i/>
          <w:sz w:val="22"/>
          <w:szCs w:val="22"/>
        </w:rPr>
        <w:t>funciones</w:t>
      </w:r>
      <w:r w:rsidRPr="00B71E8F">
        <w:rPr>
          <w:rFonts w:ascii="Palatino Linotype" w:eastAsia="Palatino Linotype" w:hAnsi="Palatino Linotype" w:cs="Palatino Linotype"/>
          <w:i/>
          <w:sz w:val="22"/>
          <w:szCs w:val="22"/>
        </w:rPr>
        <w:t xml:space="preserve"> siguientes:</w:t>
      </w:r>
    </w:p>
    <w:p w14:paraId="1BEEA081" w14:textId="77777777" w:rsidR="007B0F29" w:rsidRPr="00B71E8F" w:rsidRDefault="004470FC">
      <w:pPr>
        <w:ind w:left="992" w:right="1043"/>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71E8F">
        <w:rPr>
          <w:rFonts w:ascii="Palatino Linotype" w:eastAsia="Palatino Linotype" w:hAnsi="Palatino Linotype" w:cs="Palatino Linotype"/>
          <w:i/>
          <w:sz w:val="22"/>
          <w:szCs w:val="22"/>
        </w:rPr>
        <w:t>, la cual tendrá los fundamentos y argumentos en que se basa dicha propuesta…” (Sic)</w:t>
      </w:r>
    </w:p>
    <w:p w14:paraId="2C903587" w14:textId="77777777" w:rsidR="007B0F29" w:rsidRPr="00B71E8F" w:rsidRDefault="007B0F29">
      <w:pPr>
        <w:ind w:left="992" w:right="1043"/>
        <w:jc w:val="both"/>
        <w:rPr>
          <w:rFonts w:ascii="Palatino Linotype" w:eastAsia="Palatino Linotype" w:hAnsi="Palatino Linotype" w:cs="Palatino Linotype"/>
          <w:i/>
          <w:sz w:val="22"/>
          <w:szCs w:val="22"/>
        </w:rPr>
      </w:pPr>
    </w:p>
    <w:p w14:paraId="33624C84"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D1E40F0" w14:textId="77777777" w:rsidR="007B0F29" w:rsidRPr="00B71E8F" w:rsidRDefault="007B0F29">
      <w:pPr>
        <w:spacing w:line="360" w:lineRule="auto"/>
        <w:jc w:val="both"/>
        <w:rPr>
          <w:rFonts w:ascii="Palatino Linotype" w:eastAsia="Palatino Linotype" w:hAnsi="Palatino Linotype" w:cs="Palatino Linotype"/>
        </w:rPr>
      </w:pPr>
    </w:p>
    <w:p w14:paraId="6CAE20FC"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6F344FAA" w14:textId="77777777" w:rsidR="007B0F29" w:rsidRPr="00B71E8F" w:rsidRDefault="007B0F29">
      <w:pPr>
        <w:spacing w:line="360" w:lineRule="auto"/>
        <w:jc w:val="both"/>
        <w:rPr>
          <w:rFonts w:ascii="Palatino Linotype" w:eastAsia="Palatino Linotype" w:hAnsi="Palatino Linotype" w:cs="Palatino Linotype"/>
        </w:rPr>
      </w:pPr>
    </w:p>
    <w:p w14:paraId="44E13128" w14:textId="77777777" w:rsidR="007B0F29" w:rsidRPr="00B71E8F" w:rsidRDefault="004470FC">
      <w:pPr>
        <w:spacing w:after="240"/>
        <w:ind w:left="993" w:right="1041"/>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w:t>
      </w:r>
      <w:r w:rsidRPr="00B71E8F">
        <w:rPr>
          <w:rFonts w:ascii="Palatino Linotype" w:eastAsia="Palatino Linotype" w:hAnsi="Palatino Linotype" w:cs="Palatino Linotype"/>
          <w:b/>
          <w:i/>
          <w:sz w:val="22"/>
          <w:szCs w:val="22"/>
        </w:rPr>
        <w:t>Artículo 149.</w:t>
      </w:r>
      <w:r w:rsidRPr="00B71E8F">
        <w:rPr>
          <w:rFonts w:ascii="Palatino Linotype" w:eastAsia="Palatino Linotype" w:hAnsi="Palatino Linotype" w:cs="Palatino Linotype"/>
          <w:i/>
          <w:sz w:val="22"/>
          <w:szCs w:val="22"/>
        </w:rPr>
        <w:t xml:space="preserve"> El </w:t>
      </w:r>
      <w:r w:rsidRPr="00B71E8F">
        <w:rPr>
          <w:rFonts w:ascii="Palatino Linotype" w:eastAsia="Palatino Linotype" w:hAnsi="Palatino Linotype" w:cs="Palatino Linotype"/>
          <w:b/>
          <w:i/>
          <w:sz w:val="22"/>
          <w:szCs w:val="22"/>
        </w:rPr>
        <w:t>acuerdo que clasifique la información como confidencial</w:t>
      </w:r>
      <w:r w:rsidRPr="00B71E8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B71E8F">
        <w:rPr>
          <w:rFonts w:ascii="Palatino Linotype" w:eastAsia="Palatino Linotype" w:hAnsi="Palatino Linotype" w:cs="Palatino Linotype"/>
          <w:i/>
          <w:sz w:val="22"/>
          <w:szCs w:val="22"/>
        </w:rPr>
        <w:t>.”(</w:t>
      </w:r>
      <w:proofErr w:type="gramEnd"/>
      <w:r w:rsidRPr="00B71E8F">
        <w:rPr>
          <w:rFonts w:ascii="Palatino Linotype" w:eastAsia="Palatino Linotype" w:hAnsi="Palatino Linotype" w:cs="Palatino Linotype"/>
          <w:i/>
          <w:sz w:val="22"/>
          <w:szCs w:val="22"/>
        </w:rPr>
        <w:t>Sic)</w:t>
      </w:r>
    </w:p>
    <w:p w14:paraId="0E27A3E0" w14:textId="77777777" w:rsidR="007B0F29" w:rsidRPr="00B71E8F" w:rsidRDefault="007B0F29">
      <w:pPr>
        <w:spacing w:before="240" w:line="360" w:lineRule="auto"/>
        <w:ind w:right="51"/>
        <w:jc w:val="both"/>
        <w:rPr>
          <w:rFonts w:ascii="Palatino Linotype" w:eastAsia="Palatino Linotype" w:hAnsi="Palatino Linotype" w:cs="Palatino Linotype"/>
          <w:i/>
          <w:sz w:val="22"/>
          <w:szCs w:val="22"/>
        </w:rPr>
      </w:pPr>
    </w:p>
    <w:p w14:paraId="21C681C6" w14:textId="77777777" w:rsidR="007B0F29" w:rsidRPr="00B71E8F" w:rsidRDefault="004470FC">
      <w:pPr>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Es decir,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76D41A6" w14:textId="77777777" w:rsidR="007B0F29" w:rsidRPr="00B71E8F" w:rsidRDefault="007B0F29">
      <w:pPr>
        <w:spacing w:line="360" w:lineRule="auto"/>
        <w:ind w:right="51"/>
        <w:jc w:val="both"/>
        <w:rPr>
          <w:rFonts w:ascii="Palatino Linotype" w:eastAsia="Palatino Linotype" w:hAnsi="Palatino Linotype" w:cs="Palatino Linotype"/>
        </w:rPr>
      </w:pPr>
    </w:p>
    <w:p w14:paraId="157C6A67"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Es así,</w:t>
      </w:r>
      <w:r w:rsidRPr="00B71E8F">
        <w:rPr>
          <w:rFonts w:ascii="Palatino Linotype" w:eastAsia="Palatino Linotype" w:hAnsi="Palatino Linotype" w:cs="Palatino Linotype"/>
          <w:sz w:val="22"/>
          <w:szCs w:val="22"/>
        </w:rPr>
        <w:t xml:space="preserve"> que </w:t>
      </w:r>
      <w:r w:rsidRPr="00B71E8F">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10AB6E0" w14:textId="77777777" w:rsidR="007B0F29" w:rsidRPr="00B71E8F" w:rsidRDefault="007B0F29">
      <w:pPr>
        <w:spacing w:line="360" w:lineRule="auto"/>
        <w:ind w:right="50"/>
        <w:jc w:val="both"/>
        <w:rPr>
          <w:rFonts w:ascii="Palatino Linotype" w:eastAsia="Palatino Linotype" w:hAnsi="Palatino Linotype" w:cs="Palatino Linotype"/>
        </w:rPr>
      </w:pPr>
    </w:p>
    <w:p w14:paraId="731697D2" w14:textId="77777777" w:rsidR="007B0F29" w:rsidRPr="00B71E8F" w:rsidRDefault="004470FC">
      <w:pPr>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w:t>
      </w:r>
      <w:r w:rsidRPr="00B71E8F">
        <w:rPr>
          <w:rFonts w:ascii="Palatino Linotype" w:eastAsia="Palatino Linotype" w:hAnsi="Palatino Linotype" w:cs="Palatino Linotype"/>
        </w:rPr>
        <w:lastRenderedPageBreak/>
        <w:t xml:space="preserve">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4CB5B6F" w14:textId="77777777" w:rsidR="007B0F29" w:rsidRPr="00B71E8F" w:rsidRDefault="007B0F29">
      <w:pPr>
        <w:spacing w:line="360" w:lineRule="auto"/>
        <w:ind w:right="51"/>
        <w:jc w:val="both"/>
        <w:rPr>
          <w:rFonts w:ascii="Palatino Linotype" w:eastAsia="Palatino Linotype" w:hAnsi="Palatino Linotype" w:cs="Palatino Linotype"/>
        </w:rPr>
      </w:pPr>
    </w:p>
    <w:p w14:paraId="487F8CD0" w14:textId="77777777" w:rsidR="007B0F29" w:rsidRPr="00B71E8F" w:rsidRDefault="004470FC">
      <w:pPr>
        <w:spacing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6049D915" w14:textId="77777777" w:rsidR="007B0F29" w:rsidRPr="00B71E8F" w:rsidRDefault="007B0F29">
      <w:pPr>
        <w:ind w:right="50"/>
        <w:jc w:val="both"/>
        <w:rPr>
          <w:rFonts w:ascii="Palatino Linotype" w:eastAsia="Palatino Linotype" w:hAnsi="Palatino Linotype" w:cs="Palatino Linotype"/>
        </w:rPr>
      </w:pPr>
    </w:p>
    <w:p w14:paraId="0C19EC73" w14:textId="77777777" w:rsidR="007B0F29" w:rsidRPr="00B71E8F" w:rsidRDefault="004470FC">
      <w:pPr>
        <w:ind w:left="851" w:right="1134"/>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b/>
          <w:i/>
          <w:sz w:val="22"/>
          <w:szCs w:val="22"/>
        </w:rPr>
        <w:t>“Cuentas bancarias y/o CLABE interbancaria de personas físicas y morales privadas.</w:t>
      </w:r>
      <w:r w:rsidRPr="00B71E8F">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990A7E1" w14:textId="77777777" w:rsidR="007B0F29" w:rsidRPr="00B71E8F" w:rsidRDefault="007B0F29">
      <w:pPr>
        <w:ind w:left="851" w:right="899"/>
        <w:jc w:val="center"/>
        <w:rPr>
          <w:rFonts w:ascii="Palatino Linotype" w:eastAsia="Palatino Linotype" w:hAnsi="Palatino Linotype" w:cs="Palatino Linotype"/>
          <w:b/>
          <w:i/>
          <w:sz w:val="22"/>
          <w:szCs w:val="22"/>
        </w:rPr>
      </w:pPr>
    </w:p>
    <w:p w14:paraId="1D85541B" w14:textId="77777777" w:rsidR="007B0F29" w:rsidRPr="00B71E8F" w:rsidRDefault="004470FC">
      <w:pPr>
        <w:spacing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EF862D5" w14:textId="77777777" w:rsidR="007B0F29" w:rsidRPr="00B71E8F" w:rsidRDefault="007B0F29">
      <w:pPr>
        <w:ind w:right="50"/>
        <w:jc w:val="both"/>
        <w:rPr>
          <w:rFonts w:ascii="Palatino Linotype" w:eastAsia="Palatino Linotype" w:hAnsi="Palatino Linotype" w:cs="Palatino Linotype"/>
        </w:rPr>
      </w:pPr>
    </w:p>
    <w:p w14:paraId="39F442BF" w14:textId="77777777" w:rsidR="007B0F29" w:rsidRPr="00B71E8F" w:rsidRDefault="004470FC">
      <w:pPr>
        <w:ind w:left="851" w:right="1134"/>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lastRenderedPageBreak/>
        <w:t>“</w:t>
      </w:r>
      <w:r w:rsidRPr="00B71E8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71E8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w:t>
      </w:r>
      <w:proofErr w:type="gramStart"/>
      <w:r w:rsidRPr="00B71E8F">
        <w:rPr>
          <w:rFonts w:ascii="Palatino Linotype" w:eastAsia="Palatino Linotype" w:hAnsi="Palatino Linotype" w:cs="Palatino Linotype"/>
          <w:i/>
          <w:sz w:val="22"/>
          <w:szCs w:val="22"/>
        </w:rPr>
        <w:t>clasificada.“</w:t>
      </w:r>
      <w:proofErr w:type="gramEnd"/>
      <w:r w:rsidRPr="00B71E8F">
        <w:rPr>
          <w:rFonts w:ascii="Palatino Linotype" w:eastAsia="Palatino Linotype" w:hAnsi="Palatino Linotype" w:cs="Palatino Linotype"/>
          <w:i/>
          <w:sz w:val="22"/>
          <w:szCs w:val="22"/>
        </w:rPr>
        <w:t>(Sic)</w:t>
      </w:r>
    </w:p>
    <w:p w14:paraId="6AB16A28" w14:textId="77777777" w:rsidR="007B0F29" w:rsidRPr="00B71E8F" w:rsidRDefault="004470FC">
      <w:pPr>
        <w:spacing w:before="240" w:after="240"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3427964" w14:textId="77777777" w:rsidR="007B0F29" w:rsidRPr="00B71E8F" w:rsidRDefault="004470FC">
      <w:pPr>
        <w:spacing w:before="240" w:after="240"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837CAA5" w14:textId="77777777" w:rsidR="007B0F29" w:rsidRPr="00B71E8F" w:rsidRDefault="004470FC">
      <w:pPr>
        <w:spacing w:before="240" w:after="240" w:line="360" w:lineRule="auto"/>
        <w:ind w:right="50"/>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sidRPr="00B71E8F">
        <w:rPr>
          <w:rFonts w:ascii="Palatino Linotype" w:eastAsia="Palatino Linotype" w:hAnsi="Palatino Linotype" w:cs="Palatino Linotype"/>
        </w:rPr>
        <w:lastRenderedPageBreak/>
        <w:t>es la que puede generar certeza en los gobernados en que se está ejerciendo debidamente el presupuesto.</w:t>
      </w:r>
    </w:p>
    <w:p w14:paraId="2F65E333"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 xml:space="preserve">Al respecto, se destaca que la versión pública que elabore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71E8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71E8F">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2C9EB66" w14:textId="77777777" w:rsidR="007B0F29" w:rsidRPr="00B71E8F" w:rsidRDefault="007B0F29">
      <w:pPr>
        <w:ind w:left="709" w:right="709"/>
        <w:jc w:val="both"/>
        <w:rPr>
          <w:rFonts w:ascii="Palatino Linotype" w:eastAsia="Palatino Linotype" w:hAnsi="Palatino Linotype" w:cs="Palatino Linotype"/>
          <w:b/>
          <w:i/>
          <w:sz w:val="22"/>
          <w:szCs w:val="22"/>
        </w:rPr>
      </w:pPr>
    </w:p>
    <w:p w14:paraId="47589A05"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2D19964C"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w:t>
      </w:r>
      <w:proofErr w:type="gramStart"/>
      <w:r w:rsidRPr="00B71E8F">
        <w:rPr>
          <w:rFonts w:ascii="Palatino Linotype" w:eastAsia="Palatino Linotype" w:hAnsi="Palatino Linotype" w:cs="Palatino Linotype"/>
          <w:b/>
          <w:i/>
          <w:color w:val="000000"/>
          <w:sz w:val="22"/>
          <w:szCs w:val="22"/>
        </w:rPr>
        <w:t>Segundo.-</w:t>
      </w:r>
      <w:proofErr w:type="gramEnd"/>
      <w:r w:rsidRPr="00B71E8F">
        <w:rPr>
          <w:rFonts w:ascii="Palatino Linotype" w:eastAsia="Palatino Linotype" w:hAnsi="Palatino Linotype" w:cs="Palatino Linotype"/>
          <w:i/>
          <w:color w:val="000000"/>
          <w:sz w:val="22"/>
          <w:szCs w:val="22"/>
        </w:rPr>
        <w:t xml:space="preserve"> Para efectos de los presentes Lineamientos Generales, se entenderá por:</w:t>
      </w:r>
    </w:p>
    <w:p w14:paraId="49A7AB57"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XVIII.</w:t>
      </w:r>
      <w:r w:rsidRPr="00B71E8F">
        <w:rPr>
          <w:rFonts w:ascii="Palatino Linotype" w:eastAsia="Palatino Linotype" w:hAnsi="Palatino Linotype" w:cs="Palatino Linotype"/>
          <w:i/>
          <w:color w:val="000000"/>
          <w:sz w:val="22"/>
          <w:szCs w:val="22"/>
        </w:rPr>
        <w:t xml:space="preserve"> </w:t>
      </w:r>
      <w:r w:rsidRPr="00B71E8F">
        <w:rPr>
          <w:rFonts w:ascii="Palatino Linotype" w:eastAsia="Palatino Linotype" w:hAnsi="Palatino Linotype" w:cs="Palatino Linotype"/>
          <w:b/>
          <w:i/>
          <w:color w:val="000000"/>
          <w:sz w:val="22"/>
          <w:szCs w:val="22"/>
        </w:rPr>
        <w:t>Versión pública:</w:t>
      </w:r>
      <w:r w:rsidRPr="00B71E8F">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B71E8F">
        <w:rPr>
          <w:rFonts w:ascii="Palatino Linotype" w:eastAsia="Palatino Linotype" w:hAnsi="Palatino Linotype" w:cs="Palatino Linotype"/>
          <w:b/>
          <w:i/>
          <w:color w:val="000000"/>
          <w:sz w:val="22"/>
          <w:szCs w:val="22"/>
          <w:u w:val="single"/>
        </w:rPr>
        <w:t>fundando y motivando la</w:t>
      </w:r>
      <w:r w:rsidRPr="00B71E8F">
        <w:rPr>
          <w:rFonts w:ascii="Palatino Linotype" w:eastAsia="Palatino Linotype" w:hAnsi="Palatino Linotype" w:cs="Palatino Linotype"/>
          <w:i/>
          <w:color w:val="000000"/>
          <w:sz w:val="22"/>
          <w:szCs w:val="22"/>
        </w:rPr>
        <w:t xml:space="preserve"> reserva o </w:t>
      </w:r>
      <w:r w:rsidRPr="00B71E8F">
        <w:rPr>
          <w:rFonts w:ascii="Palatino Linotype" w:eastAsia="Palatino Linotype" w:hAnsi="Palatino Linotype" w:cs="Palatino Linotype"/>
          <w:b/>
          <w:i/>
          <w:color w:val="000000"/>
          <w:sz w:val="22"/>
          <w:szCs w:val="22"/>
          <w:u w:val="single"/>
        </w:rPr>
        <w:t>confidencialidad</w:t>
      </w:r>
      <w:r w:rsidRPr="00B71E8F">
        <w:rPr>
          <w:rFonts w:ascii="Palatino Linotype" w:eastAsia="Palatino Linotype" w:hAnsi="Palatino Linotype" w:cs="Palatino Linotype"/>
          <w:i/>
          <w:color w:val="000000"/>
          <w:sz w:val="22"/>
          <w:szCs w:val="22"/>
        </w:rPr>
        <w:t>, a través de la resolución que para tal efecto emita el Comité de Transparencia.</w:t>
      </w:r>
    </w:p>
    <w:p w14:paraId="4064F841"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Cuarto.</w:t>
      </w:r>
      <w:r w:rsidRPr="00B71E8F">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B71E8F">
        <w:rPr>
          <w:rFonts w:ascii="Palatino Linotype" w:eastAsia="Palatino Linotype" w:hAnsi="Palatino Linotype" w:cs="Palatino Linotype"/>
          <w:i/>
          <w:color w:val="000000"/>
          <w:sz w:val="22"/>
          <w:szCs w:val="22"/>
        </w:rPr>
        <w:lastRenderedPageBreak/>
        <w:t>materia en el ámbito de sus respectivas competencias, en tanto estas últimas no contravengan lo dispuesto en la Ley General.</w:t>
      </w:r>
    </w:p>
    <w:p w14:paraId="7C94B2AC"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6F976140"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Quinto.</w:t>
      </w:r>
      <w:r w:rsidRPr="00B71E8F">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D7ABC54"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w:t>
      </w:r>
    </w:p>
    <w:p w14:paraId="0897A189"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Séptimo.</w:t>
      </w:r>
      <w:r w:rsidRPr="00B71E8F">
        <w:rPr>
          <w:rFonts w:ascii="Palatino Linotype" w:eastAsia="Palatino Linotype" w:hAnsi="Palatino Linotype" w:cs="Palatino Linotype"/>
          <w:i/>
          <w:color w:val="000000"/>
          <w:sz w:val="22"/>
          <w:szCs w:val="22"/>
        </w:rPr>
        <w:t xml:space="preserve"> La clasificación de la información se llevará a cabo en el momento en que:</w:t>
      </w:r>
    </w:p>
    <w:p w14:paraId="3C1CAF08"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I.</w:t>
      </w:r>
      <w:r w:rsidRPr="00B71E8F">
        <w:rPr>
          <w:rFonts w:ascii="Palatino Linotype" w:eastAsia="Palatino Linotype" w:hAnsi="Palatino Linotype" w:cs="Palatino Linotype"/>
          <w:i/>
          <w:color w:val="000000"/>
          <w:sz w:val="22"/>
          <w:szCs w:val="22"/>
        </w:rPr>
        <w:t xml:space="preserve"> Se reciba una solicitud de acceso a la información;</w:t>
      </w:r>
    </w:p>
    <w:p w14:paraId="33738A77" w14:textId="77777777" w:rsidR="007B0F29" w:rsidRPr="00B71E8F" w:rsidRDefault="004470F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II.</w:t>
      </w:r>
      <w:r w:rsidRPr="00B71E8F">
        <w:rPr>
          <w:rFonts w:ascii="Palatino Linotype" w:eastAsia="Palatino Linotype" w:hAnsi="Palatino Linotype" w:cs="Palatino Linotype"/>
          <w:i/>
          <w:color w:val="000000"/>
          <w:sz w:val="22"/>
          <w:szCs w:val="22"/>
        </w:rPr>
        <w:t xml:space="preserve"> </w:t>
      </w:r>
      <w:proofErr w:type="gramStart"/>
      <w:r w:rsidRPr="00B71E8F">
        <w:rPr>
          <w:rFonts w:ascii="Palatino Linotype" w:eastAsia="Palatino Linotype" w:hAnsi="Palatino Linotype" w:cs="Palatino Linotype"/>
          <w:i/>
          <w:color w:val="000000"/>
          <w:sz w:val="22"/>
          <w:szCs w:val="22"/>
        </w:rPr>
        <w:t>Se  determine</w:t>
      </w:r>
      <w:proofErr w:type="gramEnd"/>
      <w:r w:rsidRPr="00B71E8F">
        <w:rPr>
          <w:rFonts w:ascii="Palatino Linotype" w:eastAsia="Palatino Linotype" w:hAnsi="Palatino Linotype" w:cs="Palatino Linotype"/>
          <w:i/>
          <w:color w:val="000000"/>
          <w:sz w:val="22"/>
          <w:szCs w:val="22"/>
        </w:rPr>
        <w:t xml:space="preserve"> mediante resolución del Comité de Transparencia, el órgano garante </w:t>
      </w:r>
    </w:p>
    <w:p w14:paraId="7293D8C9"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competente, o en cumplimiento a una sentencia del Poder Judicial; o</w:t>
      </w:r>
    </w:p>
    <w:p w14:paraId="2CF083E4"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III.</w:t>
      </w:r>
      <w:r w:rsidRPr="00B71E8F">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220098D2"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0BF385B6"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Octavo.</w:t>
      </w:r>
      <w:r w:rsidRPr="00B71E8F">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85D4D4B"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E6AF63C" w14:textId="77777777" w:rsidR="007B0F29" w:rsidRPr="00B71E8F" w:rsidRDefault="004470F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8753A47"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Noveno.</w:t>
      </w:r>
      <w:r w:rsidRPr="00B71E8F">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449B7DE"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b/>
          <w:i/>
          <w:color w:val="000000"/>
          <w:sz w:val="22"/>
          <w:szCs w:val="22"/>
        </w:rPr>
        <w:t>Décimo.</w:t>
      </w:r>
      <w:r w:rsidRPr="00B71E8F">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w:t>
      </w:r>
      <w:r w:rsidRPr="00B71E8F">
        <w:rPr>
          <w:rFonts w:ascii="Palatino Linotype" w:eastAsia="Palatino Linotype" w:hAnsi="Palatino Linotype" w:cs="Palatino Linotype"/>
          <w:i/>
          <w:color w:val="000000"/>
          <w:sz w:val="22"/>
          <w:szCs w:val="22"/>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B1FA613"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68330C5A" w14:textId="77777777" w:rsidR="007B0F29" w:rsidRPr="00B71E8F" w:rsidRDefault="004470F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Décimo primero.</w:t>
      </w:r>
      <w:r w:rsidRPr="00B71E8F">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96DD6A7" w14:textId="77777777" w:rsidR="007B0F29" w:rsidRPr="00B71E8F" w:rsidRDefault="007B0F29">
      <w:pPr>
        <w:pBdr>
          <w:top w:val="nil"/>
          <w:left w:val="nil"/>
          <w:bottom w:val="nil"/>
          <w:right w:val="nil"/>
          <w:between w:val="nil"/>
        </w:pBdr>
        <w:ind w:right="709"/>
        <w:jc w:val="both"/>
        <w:rPr>
          <w:color w:val="000000"/>
        </w:rPr>
      </w:pPr>
    </w:p>
    <w:p w14:paraId="55D0851B" w14:textId="77777777" w:rsidR="007B0F29" w:rsidRPr="00B71E8F" w:rsidRDefault="004470FC">
      <w:pPr>
        <w:pBdr>
          <w:top w:val="nil"/>
          <w:left w:val="nil"/>
          <w:bottom w:val="nil"/>
          <w:right w:val="nil"/>
          <w:between w:val="nil"/>
        </w:pBdr>
        <w:ind w:left="709" w:right="709"/>
        <w:jc w:val="both"/>
        <w:rPr>
          <w:color w:val="000000"/>
        </w:rPr>
      </w:pPr>
      <w:r w:rsidRPr="00B71E8F">
        <w:rPr>
          <w:rFonts w:ascii="Palatino Linotype" w:eastAsia="Palatino Linotype" w:hAnsi="Palatino Linotype" w:cs="Palatino Linotype"/>
          <w:i/>
          <w:color w:val="000000"/>
          <w:sz w:val="22"/>
          <w:szCs w:val="22"/>
        </w:rPr>
        <w:t>[…]</w:t>
      </w:r>
    </w:p>
    <w:p w14:paraId="3B8F3EBE" w14:textId="77777777" w:rsidR="007B0F29" w:rsidRPr="00B71E8F" w:rsidRDefault="004470FC">
      <w:pPr>
        <w:pBdr>
          <w:top w:val="nil"/>
          <w:left w:val="nil"/>
          <w:bottom w:val="nil"/>
          <w:right w:val="nil"/>
          <w:between w:val="nil"/>
        </w:pBdr>
        <w:ind w:left="709" w:right="709"/>
        <w:jc w:val="center"/>
        <w:rPr>
          <w:color w:val="000000"/>
        </w:rPr>
      </w:pPr>
      <w:r w:rsidRPr="00B71E8F">
        <w:rPr>
          <w:rFonts w:ascii="Palatino Linotype" w:eastAsia="Palatino Linotype" w:hAnsi="Palatino Linotype" w:cs="Palatino Linotype"/>
          <w:b/>
          <w:i/>
          <w:color w:val="000000"/>
          <w:sz w:val="22"/>
          <w:szCs w:val="22"/>
        </w:rPr>
        <w:t>CAPÍTULO VIII</w:t>
      </w:r>
    </w:p>
    <w:p w14:paraId="0166C203" w14:textId="77777777" w:rsidR="007B0F29" w:rsidRPr="00B71E8F" w:rsidRDefault="004470FC">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B71E8F">
        <w:rPr>
          <w:rFonts w:ascii="Palatino Linotype" w:eastAsia="Palatino Linotype" w:hAnsi="Palatino Linotype" w:cs="Palatino Linotype"/>
          <w:b/>
          <w:i/>
          <w:color w:val="000000"/>
          <w:sz w:val="22"/>
          <w:szCs w:val="22"/>
        </w:rPr>
        <w:t>DE LOS ELEMENTOS PARA LA CLASIFICACIÓN</w:t>
      </w:r>
    </w:p>
    <w:p w14:paraId="5E2DAF66"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Quincuagésimo</w:t>
      </w:r>
      <w:r w:rsidRPr="00B71E8F">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9AED2BF"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Quincuagésimo primero</w:t>
      </w:r>
      <w:r w:rsidRPr="00B71E8F">
        <w:rPr>
          <w:rFonts w:ascii="Palatino Linotype" w:eastAsia="Palatino Linotype" w:hAnsi="Palatino Linotype" w:cs="Palatino Linotype"/>
          <w:i/>
          <w:color w:val="000000"/>
          <w:sz w:val="22"/>
          <w:szCs w:val="22"/>
        </w:rPr>
        <w:t>. Toda acta del Comité de Transparencia deberá contener:</w:t>
      </w:r>
    </w:p>
    <w:p w14:paraId="62D79D89"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 xml:space="preserve">I. El número de sesión y fecha; </w:t>
      </w:r>
    </w:p>
    <w:p w14:paraId="04C37ACC"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 El nombre del área que solicitó la clasificación de información;</w:t>
      </w:r>
    </w:p>
    <w:p w14:paraId="5A4A9868"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III. La fundamentación legal y motivación correspondiente;</w:t>
      </w:r>
    </w:p>
    <w:p w14:paraId="7AC5C5BD"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IV. La resolución o resoluciones aprobadas; y</w:t>
      </w:r>
    </w:p>
    <w:p w14:paraId="103FDC73"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 xml:space="preserve">V. La rúbrica o firma digital de cada integrante del Comité de Transparencia. </w:t>
      </w:r>
    </w:p>
    <w:p w14:paraId="7CF8D3C2"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70E0AB37"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761552FD"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 Descripción de las partes o secciones reservadas, en caso de clasificación parcial;</w:t>
      </w:r>
    </w:p>
    <w:p w14:paraId="2B1DB769"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III. El periodo por el que mantendrá su clasificación y fecha de expiración; y</w:t>
      </w:r>
    </w:p>
    <w:p w14:paraId="2E120898"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04E073B5"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lastRenderedPageBreak/>
        <w:t xml:space="preserve">En los casos en que se clasifique la información como reservada siempre se entregará o anexará la prueba de daño con la respuesta al solicitante. </w:t>
      </w:r>
    </w:p>
    <w:p w14:paraId="31C39AFB"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81D59D0"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b/>
          <w:i/>
          <w:color w:val="000000"/>
          <w:sz w:val="22"/>
          <w:szCs w:val="22"/>
        </w:rPr>
        <w:t>Quincuagésimo segundo</w:t>
      </w:r>
      <w:r w:rsidRPr="00B71E8F">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90B571A"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231978C8"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233B5F8F"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37CDAEB1"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III. Señalar las personas o instancias autorizadas a acceder a la información clasificada.</w:t>
      </w:r>
    </w:p>
    <w:p w14:paraId="68B3898D"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4AB0CA7A" w14:textId="77777777" w:rsidR="007B0F29" w:rsidRPr="00B71E8F" w:rsidRDefault="004470FC">
      <w:pPr>
        <w:pBdr>
          <w:top w:val="nil"/>
          <w:left w:val="nil"/>
          <w:bottom w:val="nil"/>
          <w:right w:val="nil"/>
          <w:between w:val="nil"/>
        </w:pBdr>
        <w:spacing w:after="160"/>
        <w:ind w:left="709" w:right="709"/>
        <w:jc w:val="both"/>
        <w:rPr>
          <w:color w:val="000000"/>
        </w:rPr>
      </w:pPr>
      <w:r w:rsidRPr="00B71E8F">
        <w:rPr>
          <w:rFonts w:ascii="Palatino Linotype" w:eastAsia="Palatino Linotype" w:hAnsi="Palatino Linotype" w:cs="Palatino Linotype"/>
          <w:b/>
          <w:i/>
          <w:color w:val="000000"/>
          <w:sz w:val="22"/>
          <w:szCs w:val="22"/>
        </w:rPr>
        <w:t xml:space="preserve">Quincuagésimo tercero. </w:t>
      </w:r>
      <w:r w:rsidRPr="00B71E8F">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B71E8F">
        <w:rPr>
          <w:rFonts w:ascii="Palatino Linotype" w:eastAsia="Palatino Linotype" w:hAnsi="Palatino Linotype" w:cs="Palatino Linotype"/>
          <w:b/>
          <w:i/>
          <w:color w:val="000000"/>
          <w:sz w:val="22"/>
          <w:szCs w:val="22"/>
          <w:u w:val="single"/>
        </w:rPr>
        <w:t>siguiente:</w:t>
      </w:r>
      <w:r w:rsidRPr="00B71E8F">
        <w:rPr>
          <w:rFonts w:ascii="Palatino Linotype" w:eastAsia="Palatino Linotype" w:hAnsi="Palatino Linotype" w:cs="Palatino Linotype"/>
          <w:i/>
          <w:color w:val="000000"/>
          <w:sz w:val="22"/>
          <w:szCs w:val="22"/>
        </w:rPr>
        <w:t>:</w:t>
      </w:r>
      <w:proofErr w:type="gramEnd"/>
    </w:p>
    <w:tbl>
      <w:tblPr>
        <w:tblStyle w:val="a8"/>
        <w:tblW w:w="8833" w:type="dxa"/>
        <w:jc w:val="center"/>
        <w:tblInd w:w="0" w:type="dxa"/>
        <w:tblLayout w:type="fixed"/>
        <w:tblLook w:val="0400" w:firstRow="0" w:lastRow="0" w:firstColumn="0" w:lastColumn="0" w:noHBand="0" w:noVBand="1"/>
      </w:tblPr>
      <w:tblGrid>
        <w:gridCol w:w="1660"/>
        <w:gridCol w:w="1980"/>
        <w:gridCol w:w="5193"/>
      </w:tblGrid>
      <w:tr w:rsidR="007B0F29" w:rsidRPr="00B71E8F" w14:paraId="5B3C7C2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B548581" w14:textId="77777777" w:rsidR="007B0F29" w:rsidRPr="00B71E8F" w:rsidRDefault="007B0F29">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92A83C"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D0819"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b/>
                <w:i/>
                <w:color w:val="000000"/>
              </w:rPr>
              <w:t>Dónde:</w:t>
            </w:r>
          </w:p>
        </w:tc>
      </w:tr>
      <w:tr w:rsidR="007B0F29" w:rsidRPr="00B71E8F" w14:paraId="7FE2ABC0"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72B7AF"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D892B"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4133B"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7B0F29" w:rsidRPr="00B71E8F" w14:paraId="073E599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E57A"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75590"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A196D"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señalará el nombre del área del cual es titular quien clasifica.</w:t>
            </w:r>
          </w:p>
        </w:tc>
      </w:tr>
      <w:tr w:rsidR="007B0F29" w:rsidRPr="00B71E8F" w14:paraId="1F6A6A2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F00E4"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D21647"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D678E"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7B0F29" w:rsidRPr="00B71E8F" w14:paraId="4BD0570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85E5F"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93F6C"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2F511"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7B0F29" w:rsidRPr="00B71E8F" w14:paraId="1D97D35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891AD"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9484D"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7A37C"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7B0F29" w:rsidRPr="00B71E8F" w14:paraId="00B85B6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498C9"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6367B"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4CFE4"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7B0F29" w:rsidRPr="00B71E8F" w14:paraId="0368A58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978F1B"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9CEFC"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6661F"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Rúbrica autógrafa o firma digital de quien clasifica.</w:t>
            </w:r>
          </w:p>
        </w:tc>
      </w:tr>
      <w:tr w:rsidR="007B0F29" w:rsidRPr="00B71E8F" w14:paraId="0A87393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305F5"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860A4"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106F36"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Se anotará la fecha en que se desclasifica el documento.</w:t>
            </w:r>
          </w:p>
        </w:tc>
      </w:tr>
      <w:tr w:rsidR="007B0F29" w:rsidRPr="00B71E8F" w14:paraId="04301F5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AE194" w14:textId="77777777" w:rsidR="007B0F29" w:rsidRPr="00B71E8F" w:rsidRDefault="007B0F29">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9CA223" w14:textId="77777777" w:rsidR="007B0F29" w:rsidRPr="00B71E8F" w:rsidRDefault="004470FC">
            <w:pPr>
              <w:pBdr>
                <w:top w:val="nil"/>
                <w:left w:val="nil"/>
                <w:bottom w:val="nil"/>
                <w:right w:val="nil"/>
                <w:between w:val="nil"/>
              </w:pBdr>
              <w:jc w:val="center"/>
              <w:rPr>
                <w:color w:val="000000"/>
              </w:rPr>
            </w:pPr>
            <w:r w:rsidRPr="00B71E8F">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4FB79" w14:textId="77777777" w:rsidR="007B0F29" w:rsidRPr="00B71E8F" w:rsidRDefault="004470FC">
            <w:pPr>
              <w:pBdr>
                <w:top w:val="nil"/>
                <w:left w:val="nil"/>
                <w:bottom w:val="nil"/>
                <w:right w:val="nil"/>
                <w:between w:val="nil"/>
              </w:pBdr>
              <w:jc w:val="both"/>
              <w:rPr>
                <w:color w:val="000000"/>
              </w:rPr>
            </w:pPr>
            <w:r w:rsidRPr="00B71E8F">
              <w:rPr>
                <w:rFonts w:ascii="Palatino Linotype" w:eastAsia="Palatino Linotype" w:hAnsi="Palatino Linotype" w:cs="Palatino Linotype"/>
                <w:i/>
                <w:color w:val="000000"/>
              </w:rPr>
              <w:t>Rúbrica autógrafa o firma digital de quien desclasifica.</w:t>
            </w:r>
          </w:p>
        </w:tc>
      </w:tr>
      <w:tr w:rsidR="007B0F29" w:rsidRPr="00B71E8F" w14:paraId="315D79C7"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ED991" w14:textId="77777777" w:rsidR="007B0F29" w:rsidRPr="00B71E8F" w:rsidRDefault="007B0F29">
            <w:pPr>
              <w:widowControl w:val="0"/>
              <w:pBdr>
                <w:top w:val="nil"/>
                <w:left w:val="nil"/>
                <w:bottom w:val="nil"/>
                <w:right w:val="nil"/>
                <w:between w:val="nil"/>
              </w:pBdr>
              <w:spacing w:line="276" w:lineRule="auto"/>
              <w:rPr>
                <w:color w:val="000000"/>
              </w:rPr>
            </w:pPr>
          </w:p>
        </w:tc>
      </w:tr>
    </w:tbl>
    <w:p w14:paraId="6A15828F" w14:textId="77777777" w:rsidR="007B0F29" w:rsidRPr="00B71E8F" w:rsidRDefault="004470F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B71E8F">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63E9BCA" w14:textId="77777777" w:rsidR="007B0F29" w:rsidRPr="00B71E8F" w:rsidRDefault="004470FC">
      <w:pPr>
        <w:pBdr>
          <w:top w:val="nil"/>
          <w:left w:val="nil"/>
          <w:bottom w:val="nil"/>
          <w:right w:val="nil"/>
          <w:between w:val="nil"/>
        </w:pBdr>
        <w:spacing w:after="160"/>
        <w:ind w:left="709" w:right="709"/>
        <w:jc w:val="both"/>
      </w:pPr>
      <w:r w:rsidRPr="00B71E8F">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B71E8F">
        <w:rPr>
          <w:rFonts w:ascii="Palatino Linotype" w:eastAsia="Palatino Linotype" w:hAnsi="Palatino Linotype" w:cs="Palatino Linotype"/>
          <w:i/>
          <w:color w:val="000000"/>
          <w:sz w:val="22"/>
          <w:szCs w:val="22"/>
        </w:rPr>
        <w:t>testado</w:t>
      </w:r>
      <w:proofErr w:type="spellEnd"/>
      <w:r w:rsidRPr="00B71E8F">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3AEB672E" w14:textId="77777777" w:rsidR="007B0F29" w:rsidRPr="00B71E8F" w:rsidRDefault="007B0F29">
      <w:pPr>
        <w:jc w:val="both"/>
      </w:pPr>
    </w:p>
    <w:p w14:paraId="73E21E88" w14:textId="77777777" w:rsidR="007B0F29" w:rsidRPr="00B71E8F" w:rsidRDefault="007B0F29">
      <w:pPr>
        <w:rPr>
          <w:color w:val="000000"/>
        </w:rPr>
      </w:pPr>
    </w:p>
    <w:p w14:paraId="44BA4AE8"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9D877BB" w14:textId="77777777" w:rsidR="007B0F29" w:rsidRPr="00B71E8F" w:rsidRDefault="007B0F29">
      <w:pPr>
        <w:spacing w:line="360" w:lineRule="auto"/>
        <w:jc w:val="both"/>
        <w:rPr>
          <w:rFonts w:ascii="Palatino Linotype" w:eastAsia="Palatino Linotype" w:hAnsi="Palatino Linotype" w:cs="Palatino Linotype"/>
        </w:rPr>
      </w:pPr>
    </w:p>
    <w:p w14:paraId="4076056B" w14:textId="77777777" w:rsidR="007B0F29" w:rsidRPr="00B71E8F" w:rsidRDefault="004470FC">
      <w:pPr>
        <w:shd w:val="clear" w:color="auto" w:fill="FFFFFF"/>
        <w:spacing w:line="360" w:lineRule="auto"/>
        <w:ind w:right="51"/>
        <w:jc w:val="both"/>
        <w:rPr>
          <w:rFonts w:ascii="Palatino Linotype" w:eastAsia="Palatino Linotype" w:hAnsi="Palatino Linotype" w:cs="Palatino Linotype"/>
        </w:rPr>
      </w:pPr>
      <w:r w:rsidRPr="00B71E8F">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w:t>
      </w:r>
    </w:p>
    <w:p w14:paraId="0ABAB477" w14:textId="77777777" w:rsidR="007B0F29" w:rsidRPr="00B71E8F" w:rsidRDefault="007B0F29">
      <w:pPr>
        <w:spacing w:line="360" w:lineRule="auto"/>
        <w:jc w:val="both"/>
        <w:rPr>
          <w:rFonts w:ascii="Palatino Linotype" w:eastAsia="Palatino Linotype" w:hAnsi="Palatino Linotype" w:cs="Palatino Linotype"/>
        </w:rPr>
      </w:pPr>
    </w:p>
    <w:p w14:paraId="37A9DD7F" w14:textId="77777777" w:rsidR="007B0F29" w:rsidRPr="00B71E8F" w:rsidRDefault="004470FC">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AA327AF" w14:textId="77777777" w:rsidR="007B0F29" w:rsidRPr="00B71E8F" w:rsidRDefault="004470F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71E8F">
        <w:rPr>
          <w:rFonts w:ascii="Palatino Linotype" w:eastAsia="Palatino Linotype" w:hAnsi="Palatino Linotype" w:cs="Palatino Linotype"/>
          <w:b/>
        </w:rPr>
        <w:t>III. R E S U E L V E:</w:t>
      </w:r>
    </w:p>
    <w:p w14:paraId="3036102F" w14:textId="77777777" w:rsidR="007B0F29" w:rsidRPr="00B71E8F" w:rsidRDefault="004470FC">
      <w:pPr>
        <w:spacing w:line="360" w:lineRule="auto"/>
        <w:jc w:val="both"/>
        <w:rPr>
          <w:rFonts w:ascii="Palatino Linotype" w:eastAsia="Palatino Linotype" w:hAnsi="Palatino Linotype" w:cs="Palatino Linotype"/>
        </w:rPr>
      </w:pPr>
      <w:bookmarkStart w:id="5" w:name="_heading=h.3dy6vkm" w:colFirst="0" w:colLast="0"/>
      <w:bookmarkEnd w:id="5"/>
      <w:r w:rsidRPr="00B71E8F">
        <w:rPr>
          <w:rFonts w:ascii="Palatino Linotype" w:eastAsia="Palatino Linotype" w:hAnsi="Palatino Linotype" w:cs="Palatino Linotype"/>
          <w:b/>
        </w:rPr>
        <w:t xml:space="preserve">PRIMERO. </w:t>
      </w:r>
      <w:r w:rsidRPr="00B71E8F">
        <w:rPr>
          <w:rFonts w:ascii="Palatino Linotype" w:eastAsia="Palatino Linotype" w:hAnsi="Palatino Linotype" w:cs="Palatino Linotype"/>
        </w:rPr>
        <w:t>Resulta</w:t>
      </w:r>
      <w:r w:rsidRPr="00B71E8F">
        <w:rPr>
          <w:rFonts w:ascii="Palatino Linotype" w:eastAsia="Palatino Linotype" w:hAnsi="Palatino Linotype" w:cs="Palatino Linotype"/>
          <w:b/>
        </w:rPr>
        <w:t xml:space="preserve"> FUNDADO</w:t>
      </w:r>
      <w:r w:rsidRPr="00B71E8F">
        <w:rPr>
          <w:rFonts w:ascii="Palatino Linotype" w:eastAsia="Palatino Linotype" w:hAnsi="Palatino Linotype" w:cs="Palatino Linotype"/>
        </w:rPr>
        <w:t xml:space="preserve"> el motivo de inconformidad hecho valer por la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en el Recurso de Revisión </w:t>
      </w:r>
      <w:r w:rsidRPr="00B71E8F">
        <w:rPr>
          <w:rFonts w:ascii="Palatino Linotype" w:eastAsia="Palatino Linotype" w:hAnsi="Palatino Linotype" w:cs="Palatino Linotype"/>
          <w:b/>
        </w:rPr>
        <w:t xml:space="preserve">02464/INFOEM/IP/RR/2023, </w:t>
      </w:r>
      <w:r w:rsidRPr="00B71E8F">
        <w:rPr>
          <w:rFonts w:ascii="Palatino Linotype" w:eastAsia="Palatino Linotype" w:hAnsi="Palatino Linotype" w:cs="Palatino Linotype"/>
        </w:rPr>
        <w:t xml:space="preserve">por lo que, en términos del considerando </w:t>
      </w:r>
      <w:r w:rsidRPr="00B71E8F">
        <w:rPr>
          <w:rFonts w:ascii="Palatino Linotype" w:eastAsia="Palatino Linotype" w:hAnsi="Palatino Linotype" w:cs="Palatino Linotype"/>
          <w:b/>
        </w:rPr>
        <w:t xml:space="preserve">Cuarto </w:t>
      </w:r>
      <w:r w:rsidRPr="00B71E8F">
        <w:rPr>
          <w:rFonts w:ascii="Palatino Linotype" w:eastAsia="Palatino Linotype" w:hAnsi="Palatino Linotype" w:cs="Palatino Linotype"/>
        </w:rPr>
        <w:t xml:space="preserve">de esta resolución, se </w:t>
      </w:r>
      <w:r w:rsidRPr="00B71E8F">
        <w:rPr>
          <w:rFonts w:ascii="Palatino Linotype" w:eastAsia="Palatino Linotype" w:hAnsi="Palatino Linotype" w:cs="Palatino Linotype"/>
          <w:b/>
        </w:rPr>
        <w:t xml:space="preserve">REVOCA </w:t>
      </w:r>
      <w:r w:rsidRPr="00B71E8F">
        <w:rPr>
          <w:rFonts w:ascii="Palatino Linotype" w:eastAsia="Palatino Linotype" w:hAnsi="Palatino Linotype" w:cs="Palatino Linotype"/>
        </w:rPr>
        <w:t xml:space="preserve">la respuesta emitida por 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w:t>
      </w:r>
    </w:p>
    <w:p w14:paraId="2517A9FA" w14:textId="77777777" w:rsidR="007B0F29" w:rsidRPr="00B71E8F" w:rsidRDefault="007B0F29">
      <w:pPr>
        <w:spacing w:line="360" w:lineRule="auto"/>
        <w:ind w:right="49"/>
        <w:jc w:val="both"/>
        <w:rPr>
          <w:rFonts w:ascii="Palatino Linotype" w:eastAsia="Palatino Linotype" w:hAnsi="Palatino Linotype" w:cs="Palatino Linotype"/>
          <w:b/>
        </w:rPr>
      </w:pPr>
    </w:p>
    <w:p w14:paraId="17E09990" w14:textId="77777777" w:rsidR="007B0F29" w:rsidRPr="00B71E8F" w:rsidRDefault="004470FC">
      <w:pPr>
        <w:spacing w:line="360" w:lineRule="auto"/>
        <w:ind w:right="49"/>
        <w:jc w:val="both"/>
        <w:rPr>
          <w:rFonts w:ascii="Palatino Linotype" w:eastAsia="Palatino Linotype" w:hAnsi="Palatino Linotype" w:cs="Palatino Linotype"/>
        </w:rPr>
      </w:pPr>
      <w:r w:rsidRPr="00B71E8F">
        <w:rPr>
          <w:rFonts w:ascii="Palatino Linotype" w:eastAsia="Palatino Linotype" w:hAnsi="Palatino Linotype" w:cs="Palatino Linotype"/>
          <w:b/>
        </w:rPr>
        <w:lastRenderedPageBreak/>
        <w:t xml:space="preserve">SEGUNDO. </w:t>
      </w:r>
      <w:r w:rsidRPr="00B71E8F">
        <w:rPr>
          <w:rFonts w:ascii="Palatino Linotype" w:eastAsia="Palatino Linotype" w:hAnsi="Palatino Linotype" w:cs="Palatino Linotype"/>
        </w:rPr>
        <w:t>Se</w:t>
      </w:r>
      <w:r w:rsidRPr="00B71E8F">
        <w:rPr>
          <w:rFonts w:ascii="Palatino Linotype" w:eastAsia="Palatino Linotype" w:hAnsi="Palatino Linotype" w:cs="Palatino Linotype"/>
          <w:b/>
        </w:rPr>
        <w:t xml:space="preserve"> ORDENA </w:t>
      </w:r>
      <w:r w:rsidRPr="00B71E8F">
        <w:rPr>
          <w:rFonts w:ascii="Palatino Linotype" w:eastAsia="Palatino Linotype" w:hAnsi="Palatino Linotype" w:cs="Palatino Linotype"/>
        </w:rPr>
        <w:t xml:space="preserve">al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a que,</w:t>
      </w:r>
      <w:r w:rsidRPr="00B71E8F">
        <w:rPr>
          <w:rFonts w:ascii="Palatino Linotype" w:eastAsia="Palatino Linotype" w:hAnsi="Palatino Linotype" w:cs="Palatino Linotype"/>
          <w:b/>
        </w:rPr>
        <w:t xml:space="preserve"> </w:t>
      </w:r>
      <w:r w:rsidRPr="00B71E8F">
        <w:rPr>
          <w:rFonts w:ascii="Palatino Linotype" w:eastAsia="Palatino Linotype" w:hAnsi="Palatino Linotype" w:cs="Palatino Linotype"/>
        </w:rPr>
        <w:t xml:space="preserve">en términos de los Considerandos Cuarto y Quinto, haga entrega vía Sistema de Acceso a la Información Mexiquense (SAIMEX), </w:t>
      </w:r>
      <w:r w:rsidR="00FF704E" w:rsidRPr="00B71E8F">
        <w:rPr>
          <w:rFonts w:ascii="Palatino Linotype" w:eastAsia="Palatino Linotype" w:hAnsi="Palatino Linotype" w:cs="Palatino Linotype"/>
        </w:rPr>
        <w:t xml:space="preserve">en versión pública de ser procedente, </w:t>
      </w:r>
      <w:r w:rsidRPr="00B71E8F">
        <w:rPr>
          <w:rFonts w:ascii="Palatino Linotype" w:eastAsia="Palatino Linotype" w:hAnsi="Palatino Linotype" w:cs="Palatino Linotype"/>
        </w:rPr>
        <w:t>previa búsqu</w:t>
      </w:r>
      <w:r w:rsidR="00FF704E" w:rsidRPr="00B71E8F">
        <w:rPr>
          <w:rFonts w:ascii="Palatino Linotype" w:eastAsia="Palatino Linotype" w:hAnsi="Palatino Linotype" w:cs="Palatino Linotype"/>
        </w:rPr>
        <w:t>eda exhaustiva y razonable</w:t>
      </w:r>
      <w:r w:rsidR="003E40BF" w:rsidRPr="00B71E8F">
        <w:rPr>
          <w:rFonts w:ascii="Palatino Linotype" w:eastAsia="Palatino Linotype" w:hAnsi="Palatino Linotype" w:cs="Palatino Linotype"/>
        </w:rPr>
        <w:t xml:space="preserve">, </w:t>
      </w:r>
      <w:r w:rsidRPr="00B71E8F">
        <w:rPr>
          <w:rFonts w:ascii="Palatino Linotype" w:eastAsia="Palatino Linotype" w:hAnsi="Palatino Linotype" w:cs="Palatino Linotype"/>
        </w:rPr>
        <w:t>de lo siguiente:</w:t>
      </w:r>
    </w:p>
    <w:p w14:paraId="1E6FF691" w14:textId="77777777" w:rsidR="007B0F29" w:rsidRPr="00B71E8F" w:rsidRDefault="004470FC">
      <w:pPr>
        <w:spacing w:before="240" w:after="240"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rPr>
        <w:t>En relación con la construcción y/o ampliación del panteón de San Pablo Autopan:</w:t>
      </w:r>
    </w:p>
    <w:p w14:paraId="4852D691" w14:textId="77777777" w:rsidR="007B0F29" w:rsidRPr="00B71E8F" w:rsidRDefault="004470FC">
      <w:pPr>
        <w:numPr>
          <w:ilvl w:val="0"/>
          <w:numId w:val="5"/>
        </w:numPr>
        <w:pBdr>
          <w:top w:val="nil"/>
          <w:left w:val="nil"/>
          <w:bottom w:val="nil"/>
          <w:right w:val="nil"/>
          <w:between w:val="nil"/>
        </w:pBdr>
        <w:spacing w:before="240"/>
        <w:ind w:left="714" w:hanging="357"/>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 xml:space="preserve">Contrato celebrado para realizar dicha obra, </w:t>
      </w:r>
      <w:r w:rsidRPr="00B71E8F">
        <w:rPr>
          <w:rFonts w:ascii="Palatino Linotype" w:eastAsia="Palatino Linotype" w:hAnsi="Palatino Linotype" w:cs="Palatino Linotype"/>
        </w:rPr>
        <w:t>al once de abril del año dos mil veintitrés</w:t>
      </w:r>
      <w:r w:rsidRPr="00B71E8F">
        <w:rPr>
          <w:rFonts w:ascii="Palatino Linotype" w:eastAsia="Palatino Linotype" w:hAnsi="Palatino Linotype" w:cs="Palatino Linotype"/>
          <w:color w:val="000000"/>
        </w:rPr>
        <w:t xml:space="preserve">. </w:t>
      </w:r>
    </w:p>
    <w:p w14:paraId="2CFE53DD" w14:textId="77777777" w:rsidR="007B0F29" w:rsidRPr="00B71E8F" w:rsidRDefault="004470FC">
      <w:pPr>
        <w:numPr>
          <w:ilvl w:val="0"/>
          <w:numId w:val="5"/>
        </w:numPr>
        <w:pBdr>
          <w:top w:val="nil"/>
          <w:left w:val="nil"/>
          <w:bottom w:val="nil"/>
          <w:right w:val="nil"/>
          <w:between w:val="nil"/>
        </w:pBdr>
        <w:ind w:left="714" w:hanging="357"/>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rPr>
        <w:t>Documento o documentos en donde conste la c</w:t>
      </w:r>
      <w:r w:rsidRPr="00B71E8F">
        <w:rPr>
          <w:rFonts w:ascii="Palatino Linotype" w:eastAsia="Palatino Linotype" w:hAnsi="Palatino Linotype" w:cs="Palatino Linotype"/>
          <w:color w:val="000000"/>
        </w:rPr>
        <w:t>antidad y denominación del material comprado y utilizado desde el comienzo de la obra</w:t>
      </w:r>
      <w:r w:rsidRPr="00B71E8F">
        <w:rPr>
          <w:rFonts w:ascii="Palatino Linotype" w:eastAsia="Palatino Linotype" w:hAnsi="Palatino Linotype" w:cs="Palatino Linotype"/>
        </w:rPr>
        <w:t xml:space="preserve"> al once de abril del año dos mil veintitrés</w:t>
      </w:r>
    </w:p>
    <w:p w14:paraId="33E4214C" w14:textId="77777777" w:rsidR="007B0F29" w:rsidRPr="00B71E8F" w:rsidRDefault="004470FC">
      <w:pPr>
        <w:numPr>
          <w:ilvl w:val="0"/>
          <w:numId w:val="5"/>
        </w:numPr>
        <w:pBdr>
          <w:top w:val="nil"/>
          <w:left w:val="nil"/>
          <w:bottom w:val="nil"/>
          <w:right w:val="nil"/>
          <w:between w:val="nil"/>
        </w:pBdr>
        <w:ind w:left="714" w:right="616" w:hanging="357"/>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Contrato de donación del predio en donde se realiza dicha obra</w:t>
      </w:r>
      <w:r w:rsidRPr="00B71E8F">
        <w:rPr>
          <w:rFonts w:ascii="Palatino Linotype" w:eastAsia="Palatino Linotype" w:hAnsi="Palatino Linotype" w:cs="Palatino Linotype"/>
        </w:rPr>
        <w:t xml:space="preserve">, al once de abril del año dos mil veintitrés. </w:t>
      </w:r>
    </w:p>
    <w:p w14:paraId="51DE3C8C" w14:textId="77777777" w:rsidR="007B0F29" w:rsidRPr="00B71E8F" w:rsidRDefault="004470FC">
      <w:pPr>
        <w:numPr>
          <w:ilvl w:val="0"/>
          <w:numId w:val="5"/>
        </w:numPr>
        <w:pBdr>
          <w:top w:val="nil"/>
          <w:left w:val="nil"/>
          <w:bottom w:val="nil"/>
          <w:right w:val="nil"/>
          <w:between w:val="nil"/>
        </w:pBdr>
        <w:spacing w:after="240"/>
        <w:ind w:left="714" w:right="616" w:hanging="357"/>
        <w:jc w:val="both"/>
        <w:rPr>
          <w:rFonts w:ascii="Palatino Linotype" w:eastAsia="Palatino Linotype" w:hAnsi="Palatino Linotype" w:cs="Palatino Linotype"/>
          <w:color w:val="000000"/>
        </w:rPr>
      </w:pPr>
      <w:r w:rsidRPr="00B71E8F">
        <w:rPr>
          <w:rFonts w:ascii="Palatino Linotype" w:eastAsia="Palatino Linotype" w:hAnsi="Palatino Linotype" w:cs="Palatino Linotype"/>
          <w:color w:val="000000"/>
        </w:rPr>
        <w:t>Documento con el que acredit</w:t>
      </w:r>
      <w:r w:rsidRPr="00B71E8F">
        <w:rPr>
          <w:rFonts w:ascii="Palatino Linotype" w:eastAsia="Palatino Linotype" w:hAnsi="Palatino Linotype" w:cs="Palatino Linotype"/>
        </w:rPr>
        <w:t>ó</w:t>
      </w:r>
      <w:r w:rsidRPr="00B71E8F">
        <w:rPr>
          <w:rFonts w:ascii="Palatino Linotype" w:eastAsia="Palatino Linotype" w:hAnsi="Palatino Linotype" w:cs="Palatino Linotype"/>
          <w:color w:val="000000"/>
        </w:rPr>
        <w:t xml:space="preserve"> la propiedad el donante del predio en donde se realiza dicha obra</w:t>
      </w:r>
      <w:r w:rsidRPr="00B71E8F">
        <w:rPr>
          <w:rFonts w:ascii="Palatino Linotype" w:eastAsia="Palatino Linotype" w:hAnsi="Palatino Linotype" w:cs="Palatino Linotype"/>
        </w:rPr>
        <w:t xml:space="preserve">, al once de abril del año dos mil veintitrés. </w:t>
      </w:r>
    </w:p>
    <w:p w14:paraId="55C59BD4" w14:textId="77777777" w:rsidR="007B0F29" w:rsidRPr="00B71E8F" w:rsidRDefault="007B0F29">
      <w:pPr>
        <w:pBdr>
          <w:top w:val="nil"/>
          <w:left w:val="nil"/>
          <w:bottom w:val="nil"/>
          <w:right w:val="nil"/>
          <w:between w:val="nil"/>
        </w:pBdr>
        <w:ind w:left="720"/>
        <w:rPr>
          <w:color w:val="000000"/>
        </w:rPr>
      </w:pPr>
    </w:p>
    <w:p w14:paraId="18F7ED1C" w14:textId="77777777" w:rsidR="007B0F29" w:rsidRPr="00B71E8F" w:rsidRDefault="00FF704E">
      <w:pPr>
        <w:spacing w:after="120"/>
        <w:ind w:left="360" w:right="40"/>
        <w:jc w:val="both"/>
        <w:rPr>
          <w:rFonts w:ascii="Palatino Linotype" w:eastAsia="Palatino Linotype" w:hAnsi="Palatino Linotype" w:cs="Palatino Linotype"/>
          <w:i/>
          <w:sz w:val="22"/>
          <w:szCs w:val="22"/>
        </w:rPr>
      </w:pPr>
      <w:r w:rsidRPr="00B71E8F">
        <w:rPr>
          <w:rFonts w:ascii="Palatino Linotype" w:eastAsia="Palatino Linotype" w:hAnsi="Palatino Linotype" w:cs="Palatino Linotype"/>
          <w:i/>
          <w:sz w:val="22"/>
          <w:szCs w:val="22"/>
        </w:rPr>
        <w:t>De ser procedente, p</w:t>
      </w:r>
      <w:r w:rsidR="004470FC" w:rsidRPr="00B71E8F">
        <w:rPr>
          <w:rFonts w:ascii="Palatino Linotype" w:eastAsia="Palatino Linotype" w:hAnsi="Palatino Linotype" w:cs="Palatino Linotype"/>
          <w:i/>
          <w:sz w:val="22"/>
          <w:szCs w:val="22"/>
        </w:rPr>
        <w:t>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A4FFD85" w14:textId="77777777" w:rsidR="007B0F29" w:rsidRPr="00B71E8F" w:rsidRDefault="007B0F29">
      <w:pPr>
        <w:spacing w:line="360" w:lineRule="auto"/>
        <w:ind w:right="-93"/>
        <w:jc w:val="both"/>
        <w:rPr>
          <w:rFonts w:ascii="Palatino Linotype" w:eastAsia="Palatino Linotype" w:hAnsi="Palatino Linotype" w:cs="Palatino Linotype"/>
          <w:b/>
          <w:color w:val="FF0000"/>
        </w:rPr>
      </w:pPr>
    </w:p>
    <w:p w14:paraId="69BDD9EA" w14:textId="77777777" w:rsidR="007B0F29" w:rsidRPr="00B71E8F" w:rsidRDefault="004470FC">
      <w:pPr>
        <w:spacing w:line="360" w:lineRule="auto"/>
        <w:ind w:right="-93"/>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TERCERO. Notifíquese </w:t>
      </w:r>
      <w:r w:rsidRPr="00B71E8F">
        <w:rPr>
          <w:rFonts w:ascii="Palatino Linotype" w:eastAsia="Palatino Linotype" w:hAnsi="Palatino Linotype" w:cs="Palatino Linotype"/>
        </w:rPr>
        <w:t>la presente resolución al T</w:t>
      </w:r>
      <w:r w:rsidRPr="00B71E8F">
        <w:rPr>
          <w:rFonts w:ascii="Palatino Linotype" w:eastAsia="Palatino Linotype" w:hAnsi="Palatino Linotype" w:cs="Palatino Linotype"/>
          <w:b/>
        </w:rPr>
        <w:t xml:space="preserve">itular de la Unidad de Transparencia </w:t>
      </w:r>
      <w:r w:rsidRPr="00B71E8F">
        <w:rPr>
          <w:rFonts w:ascii="Palatino Linotype" w:eastAsia="Palatino Linotype" w:hAnsi="Palatino Linotype" w:cs="Palatino Linotype"/>
        </w:rPr>
        <w:t xml:space="preserve">del </w:t>
      </w:r>
      <w:r w:rsidRPr="00B71E8F">
        <w:rPr>
          <w:rFonts w:ascii="Palatino Linotype" w:eastAsia="Palatino Linotype" w:hAnsi="Palatino Linotype" w:cs="Palatino Linotype"/>
          <w:b/>
        </w:rPr>
        <w:t>SUJETO OBLIGADO</w:t>
      </w:r>
      <w:r w:rsidRPr="00B71E8F">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w:t>
      </w:r>
      <w:r w:rsidRPr="00B71E8F">
        <w:rPr>
          <w:rFonts w:ascii="Palatino Linotype" w:eastAsia="Palatino Linotype" w:hAnsi="Palatino Linotype" w:cs="Palatino Linotype"/>
        </w:rPr>
        <w:lastRenderedPageBreak/>
        <w:t>parcial, se le impondrá una medida de apremio de conformidad con lo previsto en los artículos 198, 200, fracción III; 214, 215 y 216 de la Ley  de Transparencia y Acceso a la Información Pública del Estado de México y Municipios.</w:t>
      </w:r>
    </w:p>
    <w:p w14:paraId="335DD6ED" w14:textId="77777777" w:rsidR="007B0F29" w:rsidRPr="00B71E8F" w:rsidRDefault="007B0F29">
      <w:pPr>
        <w:spacing w:line="360" w:lineRule="auto"/>
        <w:ind w:right="-93"/>
        <w:jc w:val="both"/>
        <w:rPr>
          <w:rFonts w:ascii="Palatino Linotype" w:eastAsia="Palatino Linotype" w:hAnsi="Palatino Linotype" w:cs="Palatino Linotype"/>
        </w:rPr>
      </w:pPr>
    </w:p>
    <w:p w14:paraId="320B11AC" w14:textId="77777777" w:rsidR="007B0F29" w:rsidRPr="00B71E8F" w:rsidRDefault="004470FC">
      <w:pPr>
        <w:spacing w:line="360" w:lineRule="auto"/>
        <w:jc w:val="both"/>
        <w:rPr>
          <w:rFonts w:ascii="Palatino Linotype" w:eastAsia="Palatino Linotype" w:hAnsi="Palatino Linotype" w:cs="Palatino Linotype"/>
        </w:rPr>
      </w:pPr>
      <w:r w:rsidRPr="00B71E8F">
        <w:rPr>
          <w:rFonts w:ascii="Palatino Linotype" w:eastAsia="Palatino Linotype" w:hAnsi="Palatino Linotype" w:cs="Palatino Linotype"/>
          <w:b/>
        </w:rPr>
        <w:t xml:space="preserve">CUARTO. </w:t>
      </w:r>
      <w:r w:rsidRPr="00B71E8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B71E8F">
        <w:rPr>
          <w:rFonts w:ascii="Palatino Linotype" w:eastAsia="Palatino Linotype" w:hAnsi="Palatino Linotype" w:cs="Palatino Linotype"/>
          <w:b/>
        </w:rPr>
        <w:t>EL SUJETO OBLIGADO</w:t>
      </w:r>
      <w:r w:rsidRPr="00B71E8F">
        <w:rPr>
          <w:rFonts w:ascii="Palatino Linotype" w:eastAsia="Palatino Linotype" w:hAnsi="Palatino Linotype" w:cs="Palatino Linotype"/>
        </w:rPr>
        <w:t xml:space="preserve"> de manera fundada y motivada, podrá solicitar una ampliación de plazo para el cumplimiento de la presente resolución.</w:t>
      </w:r>
    </w:p>
    <w:p w14:paraId="6DB1C993" w14:textId="77777777" w:rsidR="007B0F29" w:rsidRPr="00B71E8F" w:rsidRDefault="007B0F29">
      <w:pPr>
        <w:spacing w:line="360" w:lineRule="auto"/>
        <w:jc w:val="both"/>
        <w:rPr>
          <w:rFonts w:ascii="Palatino Linotype" w:eastAsia="Palatino Linotype" w:hAnsi="Palatino Linotype" w:cs="Palatino Linotype"/>
          <w:b/>
        </w:rPr>
      </w:pPr>
    </w:p>
    <w:p w14:paraId="588F014A" w14:textId="77777777" w:rsidR="007B0F29" w:rsidRPr="00B71E8F" w:rsidRDefault="004470FC">
      <w:pPr>
        <w:spacing w:line="360" w:lineRule="auto"/>
        <w:ind w:right="49"/>
        <w:jc w:val="both"/>
        <w:rPr>
          <w:rFonts w:ascii="Palatino Linotype" w:eastAsia="Palatino Linotype" w:hAnsi="Palatino Linotype" w:cs="Palatino Linotype"/>
        </w:rPr>
      </w:pPr>
      <w:bookmarkStart w:id="6" w:name="_heading=h.2et92p0" w:colFirst="0" w:colLast="0"/>
      <w:bookmarkEnd w:id="6"/>
      <w:r w:rsidRPr="00B71E8F">
        <w:rPr>
          <w:rFonts w:ascii="Palatino Linotype" w:eastAsia="Palatino Linotype" w:hAnsi="Palatino Linotype" w:cs="Palatino Linotype"/>
          <w:b/>
        </w:rPr>
        <w:t>QUINTO. Notifíquese vía SAIMEX</w:t>
      </w:r>
      <w:r w:rsidRPr="00B71E8F">
        <w:rPr>
          <w:rFonts w:ascii="Palatino Linotype" w:eastAsia="Palatino Linotype" w:hAnsi="Palatino Linotype" w:cs="Palatino Linotype"/>
        </w:rPr>
        <w:t xml:space="preserve">, a la parte </w:t>
      </w:r>
      <w:r w:rsidRPr="00B71E8F">
        <w:rPr>
          <w:rFonts w:ascii="Palatino Linotype" w:eastAsia="Palatino Linotype" w:hAnsi="Palatino Linotype" w:cs="Palatino Linotype"/>
          <w:b/>
        </w:rPr>
        <w:t>RECURRENTE</w:t>
      </w:r>
      <w:r w:rsidRPr="00B71E8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315B83" w14:textId="77777777" w:rsidR="007B0F29" w:rsidRPr="00B71E8F" w:rsidRDefault="007B0F29">
      <w:pPr>
        <w:spacing w:line="360" w:lineRule="auto"/>
        <w:jc w:val="both"/>
        <w:rPr>
          <w:rFonts w:ascii="Palatino Linotype" w:eastAsia="Palatino Linotype" w:hAnsi="Palatino Linotype" w:cs="Palatino Linotype"/>
        </w:rPr>
      </w:pPr>
    </w:p>
    <w:p w14:paraId="5D906C15" w14:textId="77777777" w:rsidR="007B0F29" w:rsidRDefault="004470FC">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B71E8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VEINTIOCHO DE FEBRERO DE DOS MIL VEINTICUATRO, ANTE EL SECRETARIO TÉCNICO DEL PLENO ALEXIS TAPIA RAMÍREZ.</w:t>
      </w:r>
    </w:p>
    <w:p w14:paraId="5714C2DA" w14:textId="77777777" w:rsidR="00676B1D" w:rsidRDefault="00676B1D">
      <w:pPr>
        <w:spacing w:before="240" w:after="240" w:line="360" w:lineRule="auto"/>
        <w:jc w:val="both"/>
        <w:rPr>
          <w:rFonts w:ascii="Palatino Linotype" w:eastAsia="Palatino Linotype" w:hAnsi="Palatino Linotype" w:cs="Palatino Linotype"/>
        </w:rPr>
      </w:pPr>
    </w:p>
    <w:p w14:paraId="52840986" w14:textId="77777777" w:rsidR="00676B1D" w:rsidRDefault="00676B1D">
      <w:pPr>
        <w:spacing w:before="240" w:after="240" w:line="360" w:lineRule="auto"/>
        <w:jc w:val="both"/>
        <w:rPr>
          <w:rFonts w:ascii="Palatino Linotype" w:eastAsia="Palatino Linotype" w:hAnsi="Palatino Linotype" w:cs="Palatino Linotype"/>
        </w:rPr>
      </w:pPr>
    </w:p>
    <w:p w14:paraId="2E6E3BD6" w14:textId="77777777" w:rsidR="00676B1D" w:rsidRDefault="00676B1D">
      <w:pPr>
        <w:spacing w:before="240" w:after="240" w:line="360" w:lineRule="auto"/>
        <w:jc w:val="both"/>
        <w:rPr>
          <w:rFonts w:ascii="Palatino Linotype" w:eastAsia="Palatino Linotype" w:hAnsi="Palatino Linotype" w:cs="Palatino Linotype"/>
        </w:rPr>
      </w:pPr>
    </w:p>
    <w:sectPr w:rsidR="00676B1D">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5AA6" w14:textId="77777777" w:rsidR="00DC5BCD" w:rsidRDefault="00DC5BCD">
      <w:r>
        <w:separator/>
      </w:r>
    </w:p>
  </w:endnote>
  <w:endnote w:type="continuationSeparator" w:id="0">
    <w:p w14:paraId="63C6E09D" w14:textId="77777777" w:rsidR="00DC5BCD" w:rsidRDefault="00DC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F0BB" w14:textId="77777777" w:rsidR="007B0F29" w:rsidRDefault="004470F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4B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4B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42330FB3" w14:textId="77777777" w:rsidR="007B0F29" w:rsidRDefault="007B0F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FE05" w14:textId="77777777" w:rsidR="007B0F29" w:rsidRDefault="004470F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04B0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04B0B">
      <w:rPr>
        <w:rFonts w:ascii="Palatino Linotype" w:eastAsia="Palatino Linotype" w:hAnsi="Palatino Linotype" w:cs="Palatino Linotype"/>
        <w:b/>
        <w:noProof/>
        <w:color w:val="000000"/>
        <w:sz w:val="20"/>
        <w:szCs w:val="20"/>
      </w:rPr>
      <w:t>73</w:t>
    </w:r>
    <w:r>
      <w:rPr>
        <w:rFonts w:ascii="Palatino Linotype" w:eastAsia="Palatino Linotype" w:hAnsi="Palatino Linotype" w:cs="Palatino Linotype"/>
        <w:b/>
        <w:color w:val="000000"/>
        <w:sz w:val="20"/>
        <w:szCs w:val="20"/>
      </w:rPr>
      <w:fldChar w:fldCharType="end"/>
    </w:r>
  </w:p>
  <w:p w14:paraId="2FB9BB9E" w14:textId="77777777" w:rsidR="007B0F29" w:rsidRDefault="007B0F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FD7E" w14:textId="77777777" w:rsidR="00DC5BCD" w:rsidRDefault="00DC5BCD">
      <w:r>
        <w:separator/>
      </w:r>
    </w:p>
  </w:footnote>
  <w:footnote w:type="continuationSeparator" w:id="0">
    <w:p w14:paraId="1189D6ED" w14:textId="77777777" w:rsidR="00DC5BCD" w:rsidRDefault="00DC5BCD">
      <w:r>
        <w:continuationSeparator/>
      </w:r>
    </w:p>
  </w:footnote>
  <w:footnote w:id="1">
    <w:p w14:paraId="58C77276" w14:textId="77777777" w:rsidR="007B0F29" w:rsidRDefault="004470F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67EF2DA" w14:textId="77777777" w:rsidR="007B0F29" w:rsidRDefault="004470F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42C" w14:textId="77777777" w:rsidR="007B0F29" w:rsidRDefault="004470F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009F285B" wp14:editId="74DBD670">
          <wp:simplePos x="0" y="0"/>
          <wp:positionH relativeFrom="column">
            <wp:posOffset>-1080131</wp:posOffset>
          </wp:positionH>
          <wp:positionV relativeFrom="paragraph">
            <wp:posOffset>-488311</wp:posOffset>
          </wp:positionV>
          <wp:extent cx="7809865" cy="1016571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7B0F29" w14:paraId="5A6DBCB4" w14:textId="77777777">
      <w:tc>
        <w:tcPr>
          <w:tcW w:w="2489" w:type="dxa"/>
          <w:shd w:val="clear" w:color="auto" w:fill="auto"/>
        </w:tcPr>
        <w:p w14:paraId="1BA23544"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8E23DE8" w14:textId="77777777" w:rsidR="007B0F29" w:rsidRDefault="004470F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02464/INFOEM/IP/RR/2023</w:t>
          </w:r>
        </w:p>
      </w:tc>
    </w:tr>
    <w:tr w:rsidR="007B0F29" w14:paraId="25FFCB06" w14:textId="77777777">
      <w:trPr>
        <w:trHeight w:val="228"/>
      </w:trPr>
      <w:tc>
        <w:tcPr>
          <w:tcW w:w="2489" w:type="dxa"/>
          <w:shd w:val="clear" w:color="auto" w:fill="auto"/>
          <w:vAlign w:val="center"/>
        </w:tcPr>
        <w:p w14:paraId="3EED33E9"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CED486A" w14:textId="77777777" w:rsidR="007B0F29" w:rsidRDefault="004470FC">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B0F29" w14:paraId="052B54CF" w14:textId="77777777">
      <w:tc>
        <w:tcPr>
          <w:tcW w:w="2489" w:type="dxa"/>
          <w:shd w:val="clear" w:color="auto" w:fill="auto"/>
          <w:vAlign w:val="center"/>
        </w:tcPr>
        <w:p w14:paraId="611C67B7" w14:textId="77777777" w:rsidR="007B0F29" w:rsidRDefault="004470F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9C3BCB6" w14:textId="77777777" w:rsidR="007B0F29" w:rsidRDefault="004470F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612FA3" w14:textId="77777777" w:rsidR="007B0F29" w:rsidRDefault="004470F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B372" w14:textId="77777777" w:rsidR="007B0F29" w:rsidRDefault="007B0F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670" w:type="dxa"/>
      <w:tblInd w:w="3261" w:type="dxa"/>
      <w:tblLayout w:type="fixed"/>
      <w:tblLook w:val="0400" w:firstRow="0" w:lastRow="0" w:firstColumn="0" w:lastColumn="0" w:noHBand="0" w:noVBand="1"/>
    </w:tblPr>
    <w:tblGrid>
      <w:gridCol w:w="2551"/>
      <w:gridCol w:w="3119"/>
    </w:tblGrid>
    <w:tr w:rsidR="007B0F29" w14:paraId="5C64B467" w14:textId="77777777">
      <w:tc>
        <w:tcPr>
          <w:tcW w:w="2551" w:type="dxa"/>
          <w:shd w:val="clear" w:color="auto" w:fill="auto"/>
          <w:vAlign w:val="center"/>
        </w:tcPr>
        <w:p w14:paraId="4A64EA44"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C7C01FB" w14:textId="77777777" w:rsidR="007B0F29" w:rsidRDefault="004470F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02464/INFOEM/IP/RR/2023</w:t>
          </w:r>
        </w:p>
      </w:tc>
    </w:tr>
    <w:tr w:rsidR="007B0F29" w14:paraId="02EFDA27" w14:textId="77777777">
      <w:trPr>
        <w:trHeight w:val="130"/>
      </w:trPr>
      <w:tc>
        <w:tcPr>
          <w:tcW w:w="2551" w:type="dxa"/>
          <w:shd w:val="clear" w:color="auto" w:fill="auto"/>
          <w:vAlign w:val="center"/>
        </w:tcPr>
        <w:p w14:paraId="1E69B26E"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7EEE5B9" w14:textId="77777777" w:rsidR="007B0F29" w:rsidRDefault="004470FC">
          <w:pPr>
            <w:tabs>
              <w:tab w:val="left" w:pos="3153"/>
            </w:tabs>
            <w:ind w:left="-45"/>
            <w:jc w:val="both"/>
            <w:rPr>
              <w:rFonts w:ascii="Palatino Linotype" w:eastAsia="Palatino Linotype" w:hAnsi="Palatino Linotype" w:cs="Palatino Linotype"/>
              <w:b/>
              <w:sz w:val="22"/>
              <w:szCs w:val="22"/>
            </w:rPr>
          </w:pPr>
          <w:r>
            <w:rPr>
              <w:noProof/>
            </w:rPr>
            <w:drawing>
              <wp:anchor distT="0" distB="0" distL="0" distR="0" simplePos="0" relativeHeight="251659264" behindDoc="1" locked="0" layoutInCell="1" hidden="0" allowOverlap="1" wp14:anchorId="30BE8D69" wp14:editId="1943CACA">
                <wp:simplePos x="0" y="0"/>
                <wp:positionH relativeFrom="column">
                  <wp:posOffset>-4629148</wp:posOffset>
                </wp:positionH>
                <wp:positionV relativeFrom="paragraph">
                  <wp:posOffset>-407667</wp:posOffset>
                </wp:positionV>
                <wp:extent cx="7809865" cy="10165715"/>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7B0F29" w14:paraId="28D9F2A8" w14:textId="77777777">
      <w:trPr>
        <w:trHeight w:val="228"/>
      </w:trPr>
      <w:tc>
        <w:tcPr>
          <w:tcW w:w="2551" w:type="dxa"/>
          <w:shd w:val="clear" w:color="auto" w:fill="auto"/>
          <w:vAlign w:val="center"/>
        </w:tcPr>
        <w:p w14:paraId="4690CBE1"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BEA5C0B" w14:textId="77777777" w:rsidR="007B0F29" w:rsidRDefault="004470F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B0F29" w14:paraId="7830893A" w14:textId="77777777">
      <w:tc>
        <w:tcPr>
          <w:tcW w:w="2551" w:type="dxa"/>
          <w:shd w:val="clear" w:color="auto" w:fill="auto"/>
          <w:vAlign w:val="center"/>
        </w:tcPr>
        <w:p w14:paraId="4C3ED6A5" w14:textId="77777777" w:rsidR="007B0F29" w:rsidRDefault="00447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1BD59F3" w14:textId="77777777" w:rsidR="007B0F29" w:rsidRDefault="004470F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0D80FC" w14:textId="77777777" w:rsidR="007B0F29" w:rsidRDefault="007B0F2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E6F"/>
    <w:multiLevelType w:val="multilevel"/>
    <w:tmpl w:val="7730DB44"/>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F2CF7"/>
    <w:multiLevelType w:val="multilevel"/>
    <w:tmpl w:val="94CA9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8C0B5E"/>
    <w:multiLevelType w:val="multilevel"/>
    <w:tmpl w:val="89422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E44DE5"/>
    <w:multiLevelType w:val="multilevel"/>
    <w:tmpl w:val="FDEE608A"/>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94026"/>
    <w:multiLevelType w:val="multilevel"/>
    <w:tmpl w:val="8BE65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76022"/>
    <w:multiLevelType w:val="multilevel"/>
    <w:tmpl w:val="60B6B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5A7D70"/>
    <w:multiLevelType w:val="multilevel"/>
    <w:tmpl w:val="0FC431C0"/>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F0196F"/>
    <w:multiLevelType w:val="multilevel"/>
    <w:tmpl w:val="E7F8C90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624BD4"/>
    <w:multiLevelType w:val="multilevel"/>
    <w:tmpl w:val="A28A167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985A23"/>
    <w:multiLevelType w:val="multilevel"/>
    <w:tmpl w:val="76B225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67BC5AA4"/>
    <w:multiLevelType w:val="multilevel"/>
    <w:tmpl w:val="11FC7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F7647E"/>
    <w:multiLevelType w:val="multilevel"/>
    <w:tmpl w:val="FD008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0"/>
  </w:num>
  <w:num w:numId="4">
    <w:abstractNumId w:val="7"/>
  </w:num>
  <w:num w:numId="5">
    <w:abstractNumId w:val="4"/>
  </w:num>
  <w:num w:numId="6">
    <w:abstractNumId w:val="10"/>
  </w:num>
  <w:num w:numId="7">
    <w:abstractNumId w:val="11"/>
  </w:num>
  <w:num w:numId="8">
    <w:abstractNumId w:val="3"/>
  </w:num>
  <w:num w:numId="9">
    <w:abstractNumId w:val="1"/>
  </w:num>
  <w:num w:numId="10">
    <w:abstractNumId w:val="9"/>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F29"/>
    <w:rsid w:val="00195FE4"/>
    <w:rsid w:val="0033703B"/>
    <w:rsid w:val="00394CB1"/>
    <w:rsid w:val="003E40BF"/>
    <w:rsid w:val="003F715F"/>
    <w:rsid w:val="004470FC"/>
    <w:rsid w:val="00676B1D"/>
    <w:rsid w:val="007B0F29"/>
    <w:rsid w:val="00B71E8F"/>
    <w:rsid w:val="00C04B0B"/>
    <w:rsid w:val="00C87D40"/>
    <w:rsid w:val="00DC5BCD"/>
    <w:rsid w:val="00FF70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2D0D"/>
  <w15:docId w15:val="{A7823753-5ECF-4EEF-98B0-B484BD89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55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customStyle="1" w:styleId="Citas">
    <w:name w:val="Citas"/>
    <w:basedOn w:val="Normal"/>
    <w:qFormat/>
    <w:rsid w:val="0080344A"/>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991032.page" TargetMode="External"/><Relationship Id="rId18" Type="http://schemas.openxmlformats.org/officeDocument/2006/relationships/image" Target="media/image17.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790415.pag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76502.page"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arencia.ipn.mx/Apoyo/SIPOT/LTG_DOF28122020.pdf" TargetMode="External"/><Relationship Id="rId23" Type="http://schemas.openxmlformats.org/officeDocument/2006/relationships/image" Target="media/image19.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imex.org.mx/saimex/solicitud/downloadAttach/1754340.page" TargetMode="External"/><Relationship Id="rId14" Type="http://schemas.openxmlformats.org/officeDocument/2006/relationships/image" Target="media/image2.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saimex.org.mx/saimex/revision/acuse/502287/0/0.page" TargetMode="External"/><Relationship Id="rId35" Type="http://schemas.openxmlformats.org/officeDocument/2006/relationships/header" Target="header2.xml"/><Relationship Id="rId8" Type="http://schemas.openxmlformats.org/officeDocument/2006/relationships/hyperlink" Target="https://saimex.org.mx/saimex/solicitud/downloadAttach/1754339.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81LsE+YXamavv/cZZlr+uMHVoQ==">CgMxLjAyCGguZ2pkZ3hzMgloLjN6bnlzaDcyCWguMzBqMHpsbDIJaC4xdDNoNXNmMghoLnR5amN3dDIJaC4zZHk2dmttMgloLjJldDkycDAyCWguMWZvYjl0ZTgAciExNUtpSHhIUmdldHV0aHJydnZ3OVBpTHlZcTBtQVFWa1k=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18742</Words>
  <Characters>103083</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2024-03-04T16:16:00Z</cp:lastPrinted>
  <dcterms:created xsi:type="dcterms:W3CDTF">2024-03-07T18:41:00Z</dcterms:created>
  <dcterms:modified xsi:type="dcterms:W3CDTF">2024-03-07T18:41:00Z</dcterms:modified>
</cp:coreProperties>
</file>